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theme/themeOverride1.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17.xml" ContentType="application/vnd.openxmlformats-officedocument.drawingml.chart+xml"/>
  <Override PartName="/word/drawings/drawing2.xml" ContentType="application/vnd.openxmlformats-officedocument.drawingml.chartshapes+xml"/>
  <Override PartName="/word/charts/chart1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8E0FD5" w14:textId="77777777" w:rsidR="00E61D6E" w:rsidRPr="00EC6C19" w:rsidRDefault="009100C2" w:rsidP="009100C2">
      <w:pPr>
        <w:jc w:val="center"/>
        <w:rPr>
          <w:rFonts w:ascii="Times New Roman" w:hAnsi="Times New Roman" w:cs="Times New Roman"/>
          <w:sz w:val="36"/>
          <w:szCs w:val="36"/>
        </w:rPr>
      </w:pPr>
      <w:r w:rsidRPr="00EC6C19">
        <w:rPr>
          <w:rFonts w:ascii="Times New Roman" w:hAnsi="Times New Roman" w:cs="Times New Roman"/>
          <w:sz w:val="36"/>
          <w:szCs w:val="36"/>
        </w:rPr>
        <w:t>ANGLIA RUSKIN UNIVERSITY</w:t>
      </w:r>
    </w:p>
    <w:p w14:paraId="780224F5" w14:textId="77777777" w:rsidR="009100C2" w:rsidRPr="00EC6C19" w:rsidRDefault="009100C2" w:rsidP="009100C2">
      <w:pPr>
        <w:jc w:val="center"/>
        <w:rPr>
          <w:rFonts w:ascii="Times New Roman" w:hAnsi="Times New Roman" w:cs="Times New Roman"/>
          <w:sz w:val="36"/>
          <w:szCs w:val="36"/>
        </w:rPr>
      </w:pPr>
      <w:r w:rsidRPr="00EC6C19">
        <w:rPr>
          <w:rFonts w:ascii="Times New Roman" w:hAnsi="Times New Roman" w:cs="Times New Roman"/>
          <w:sz w:val="36"/>
          <w:szCs w:val="36"/>
        </w:rPr>
        <w:br/>
        <w:t xml:space="preserve">FACULTY OF </w:t>
      </w:r>
      <w:r w:rsidR="00C74769" w:rsidRPr="00EC6C19">
        <w:rPr>
          <w:rFonts w:ascii="Times New Roman" w:hAnsi="Times New Roman" w:cs="Times New Roman"/>
          <w:sz w:val="36"/>
          <w:szCs w:val="36"/>
        </w:rPr>
        <w:t>HEALTH, EDUCATION, MEDICINE AND SOCIAL CARE</w:t>
      </w:r>
    </w:p>
    <w:p w14:paraId="0550CF42" w14:textId="77777777" w:rsidR="009100C2" w:rsidRPr="00EC6C19" w:rsidRDefault="009100C2" w:rsidP="009100C2">
      <w:pPr>
        <w:jc w:val="center"/>
        <w:rPr>
          <w:rFonts w:ascii="Times New Roman" w:hAnsi="Times New Roman" w:cs="Times New Roman"/>
          <w:sz w:val="36"/>
          <w:szCs w:val="36"/>
        </w:rPr>
      </w:pPr>
    </w:p>
    <w:p w14:paraId="082BBB05" w14:textId="77777777" w:rsidR="009100C2" w:rsidRPr="00EC6C19" w:rsidRDefault="009100C2" w:rsidP="009100C2">
      <w:pPr>
        <w:jc w:val="center"/>
        <w:rPr>
          <w:rFonts w:ascii="Times New Roman" w:hAnsi="Times New Roman" w:cs="Times New Roman"/>
          <w:sz w:val="36"/>
          <w:szCs w:val="36"/>
        </w:rPr>
      </w:pPr>
      <w:r w:rsidRPr="00EC6C19">
        <w:rPr>
          <w:rFonts w:ascii="Times New Roman" w:hAnsi="Times New Roman" w:cs="Times New Roman"/>
          <w:sz w:val="36"/>
          <w:szCs w:val="36"/>
        </w:rPr>
        <w:t>THE EFFECT OF HYDROSTATIC PRESSURE ON INVASIVE MEASURES OF CORONARY PHYSIOLOGY</w:t>
      </w:r>
    </w:p>
    <w:p w14:paraId="10B27075" w14:textId="77777777" w:rsidR="009100C2" w:rsidRPr="00EC6C19" w:rsidRDefault="009100C2" w:rsidP="009100C2">
      <w:pPr>
        <w:jc w:val="center"/>
        <w:rPr>
          <w:rFonts w:ascii="Times New Roman" w:hAnsi="Times New Roman" w:cs="Times New Roman"/>
          <w:sz w:val="36"/>
          <w:szCs w:val="36"/>
        </w:rPr>
      </w:pPr>
    </w:p>
    <w:p w14:paraId="2890F07A" w14:textId="684B47C0" w:rsidR="009100C2" w:rsidRPr="00EC6C19" w:rsidRDefault="0054043C" w:rsidP="009100C2">
      <w:pPr>
        <w:jc w:val="center"/>
        <w:rPr>
          <w:rFonts w:ascii="Times New Roman" w:hAnsi="Times New Roman" w:cs="Times New Roman"/>
          <w:sz w:val="36"/>
          <w:szCs w:val="36"/>
        </w:rPr>
      </w:pPr>
      <w:r w:rsidRPr="00EC6C19">
        <w:rPr>
          <w:rFonts w:ascii="Times New Roman" w:hAnsi="Times New Roman" w:cs="Times New Roman"/>
          <w:sz w:val="36"/>
          <w:szCs w:val="36"/>
        </w:rPr>
        <w:t>FIRAS AL-JANABI</w:t>
      </w:r>
    </w:p>
    <w:p w14:paraId="7D9BF562" w14:textId="77777777" w:rsidR="0054043C" w:rsidRPr="00EC6C19" w:rsidRDefault="0054043C" w:rsidP="009100C2">
      <w:pPr>
        <w:jc w:val="center"/>
        <w:rPr>
          <w:rFonts w:ascii="Times New Roman" w:hAnsi="Times New Roman" w:cs="Times New Roman"/>
          <w:sz w:val="36"/>
          <w:szCs w:val="36"/>
        </w:rPr>
      </w:pPr>
    </w:p>
    <w:p w14:paraId="6321BBAB" w14:textId="77777777" w:rsidR="0054043C" w:rsidRPr="00EC6C19" w:rsidRDefault="0054043C" w:rsidP="009100C2">
      <w:pPr>
        <w:jc w:val="center"/>
        <w:rPr>
          <w:rFonts w:ascii="Times New Roman" w:hAnsi="Times New Roman" w:cs="Times New Roman"/>
          <w:sz w:val="36"/>
          <w:szCs w:val="36"/>
        </w:rPr>
      </w:pPr>
      <w:r w:rsidRPr="00EC6C19">
        <w:rPr>
          <w:rFonts w:ascii="Times New Roman" w:hAnsi="Times New Roman" w:cs="Times New Roman"/>
          <w:sz w:val="36"/>
          <w:szCs w:val="36"/>
        </w:rPr>
        <w:t xml:space="preserve">A thesis in partial </w:t>
      </w:r>
      <w:r w:rsidR="00DF6113" w:rsidRPr="00EC6C19">
        <w:rPr>
          <w:rFonts w:ascii="Times New Roman" w:hAnsi="Times New Roman" w:cs="Times New Roman"/>
          <w:sz w:val="36"/>
          <w:szCs w:val="36"/>
        </w:rPr>
        <w:t>fulfilment</w:t>
      </w:r>
      <w:r w:rsidRPr="00EC6C19">
        <w:rPr>
          <w:rFonts w:ascii="Times New Roman" w:hAnsi="Times New Roman" w:cs="Times New Roman"/>
          <w:sz w:val="36"/>
          <w:szCs w:val="36"/>
        </w:rPr>
        <w:t xml:space="preserve"> of the requirements of Anglia Ruskin University for the degree of MD by Research</w:t>
      </w:r>
    </w:p>
    <w:p w14:paraId="20296DC2" w14:textId="77777777" w:rsidR="0054043C" w:rsidRPr="00EC6C19" w:rsidRDefault="0054043C" w:rsidP="009100C2">
      <w:pPr>
        <w:jc w:val="center"/>
        <w:rPr>
          <w:rFonts w:ascii="Times New Roman" w:hAnsi="Times New Roman" w:cs="Times New Roman"/>
          <w:sz w:val="36"/>
          <w:szCs w:val="36"/>
        </w:rPr>
      </w:pPr>
    </w:p>
    <w:p w14:paraId="70646EC2" w14:textId="77777777" w:rsidR="0054043C" w:rsidRPr="00EC6C19" w:rsidRDefault="0054043C" w:rsidP="009100C2">
      <w:pPr>
        <w:jc w:val="center"/>
        <w:rPr>
          <w:rFonts w:ascii="Times New Roman" w:hAnsi="Times New Roman" w:cs="Times New Roman"/>
          <w:sz w:val="36"/>
          <w:szCs w:val="36"/>
        </w:rPr>
      </w:pPr>
      <w:r w:rsidRPr="00EC6C19">
        <w:rPr>
          <w:rFonts w:ascii="Times New Roman" w:hAnsi="Times New Roman" w:cs="Times New Roman"/>
          <w:sz w:val="36"/>
          <w:szCs w:val="36"/>
        </w:rPr>
        <w:t xml:space="preserve">This research was carried out in collaboration with </w:t>
      </w:r>
      <w:r w:rsidR="00C52AFD" w:rsidRPr="00EC6C19">
        <w:rPr>
          <w:rFonts w:ascii="Times New Roman" w:hAnsi="Times New Roman" w:cs="Times New Roman"/>
          <w:sz w:val="36"/>
          <w:szCs w:val="36"/>
        </w:rPr>
        <w:t>the Essex Cardiothoracic Centre, Basildon and Thurrock University Hospital NHS Foundation Trust</w:t>
      </w:r>
    </w:p>
    <w:p w14:paraId="57FA0D06" w14:textId="77777777" w:rsidR="00E61D6E" w:rsidRPr="00EC6C19" w:rsidRDefault="00E61D6E">
      <w:pPr>
        <w:rPr>
          <w:rFonts w:ascii="Times New Roman" w:hAnsi="Times New Roman" w:cs="Times New Roman"/>
          <w:b/>
          <w:sz w:val="36"/>
          <w:szCs w:val="36"/>
          <w:u w:val="single"/>
        </w:rPr>
      </w:pPr>
    </w:p>
    <w:p w14:paraId="2ED28575" w14:textId="77777777" w:rsidR="0054043C" w:rsidRPr="00EC6C19" w:rsidRDefault="0054043C" w:rsidP="0054043C">
      <w:pPr>
        <w:jc w:val="center"/>
        <w:rPr>
          <w:rFonts w:ascii="Times New Roman" w:hAnsi="Times New Roman" w:cs="Times New Roman"/>
          <w:sz w:val="36"/>
          <w:szCs w:val="36"/>
        </w:rPr>
      </w:pPr>
      <w:r w:rsidRPr="00EC6C19">
        <w:rPr>
          <w:rFonts w:ascii="Times New Roman" w:hAnsi="Times New Roman" w:cs="Times New Roman"/>
          <w:sz w:val="36"/>
          <w:szCs w:val="36"/>
        </w:rPr>
        <w:t xml:space="preserve">Submitted: </w:t>
      </w:r>
      <w:r w:rsidR="0026223E">
        <w:rPr>
          <w:rFonts w:ascii="Times New Roman" w:hAnsi="Times New Roman" w:cs="Times New Roman"/>
          <w:sz w:val="36"/>
          <w:szCs w:val="36"/>
        </w:rPr>
        <w:t>August</w:t>
      </w:r>
      <w:r w:rsidR="00BB4BA6" w:rsidRPr="00EC6C19">
        <w:rPr>
          <w:rFonts w:ascii="Times New Roman" w:hAnsi="Times New Roman" w:cs="Times New Roman"/>
          <w:sz w:val="36"/>
          <w:szCs w:val="36"/>
        </w:rPr>
        <w:t xml:space="preserve"> 2020</w:t>
      </w:r>
    </w:p>
    <w:p w14:paraId="5D56B105" w14:textId="77777777" w:rsidR="007F523E" w:rsidRDefault="007F523E" w:rsidP="00805F76">
      <w:pPr>
        <w:rPr>
          <w:rFonts w:ascii="Times New Roman" w:hAnsi="Times New Roman" w:cs="Times New Roman"/>
          <w:b/>
          <w:sz w:val="24"/>
          <w:szCs w:val="24"/>
          <w:u w:val="single"/>
        </w:rPr>
      </w:pPr>
    </w:p>
    <w:p w14:paraId="06D35F92" w14:textId="77777777" w:rsidR="00FA433C" w:rsidRDefault="00FA433C" w:rsidP="00805F76">
      <w:pPr>
        <w:rPr>
          <w:rFonts w:ascii="Times New Roman" w:hAnsi="Times New Roman" w:cs="Times New Roman"/>
          <w:b/>
          <w:sz w:val="24"/>
          <w:szCs w:val="24"/>
          <w:u w:val="single"/>
        </w:rPr>
      </w:pPr>
    </w:p>
    <w:p w14:paraId="76062A05" w14:textId="77777777" w:rsidR="00FA433C" w:rsidRDefault="00FA433C" w:rsidP="00805F76">
      <w:pPr>
        <w:rPr>
          <w:rFonts w:ascii="Times New Roman" w:hAnsi="Times New Roman" w:cs="Times New Roman"/>
          <w:b/>
          <w:sz w:val="24"/>
          <w:szCs w:val="24"/>
          <w:u w:val="single"/>
        </w:rPr>
      </w:pPr>
    </w:p>
    <w:p w14:paraId="271B1322" w14:textId="77777777" w:rsidR="00FA433C" w:rsidRDefault="00FA433C" w:rsidP="00805F76">
      <w:pPr>
        <w:rPr>
          <w:rFonts w:ascii="Times New Roman" w:hAnsi="Times New Roman" w:cs="Times New Roman"/>
          <w:b/>
          <w:sz w:val="24"/>
          <w:szCs w:val="24"/>
          <w:u w:val="single"/>
        </w:rPr>
      </w:pPr>
    </w:p>
    <w:p w14:paraId="54C0D1A8" w14:textId="77777777" w:rsidR="00FA433C" w:rsidRDefault="00FA433C" w:rsidP="00805F76">
      <w:pPr>
        <w:rPr>
          <w:rFonts w:ascii="Times New Roman" w:hAnsi="Times New Roman" w:cs="Times New Roman"/>
          <w:b/>
          <w:sz w:val="24"/>
          <w:szCs w:val="24"/>
          <w:u w:val="single"/>
        </w:rPr>
        <w:sectPr w:rsidR="00FA433C" w:rsidSect="007F523E">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61D1ECA6" w14:textId="77777777" w:rsidR="00805F76" w:rsidRPr="00EC6C19" w:rsidRDefault="00805F76" w:rsidP="00805F76">
      <w:pPr>
        <w:rPr>
          <w:rFonts w:ascii="Times New Roman" w:hAnsi="Times New Roman" w:cs="Times New Roman"/>
          <w:b/>
          <w:sz w:val="24"/>
          <w:szCs w:val="24"/>
        </w:rPr>
      </w:pPr>
      <w:r w:rsidRPr="00EC6C19">
        <w:rPr>
          <w:rFonts w:ascii="Times New Roman" w:hAnsi="Times New Roman" w:cs="Times New Roman"/>
          <w:b/>
          <w:sz w:val="24"/>
          <w:szCs w:val="24"/>
        </w:rPr>
        <w:lastRenderedPageBreak/>
        <w:t>Acknowledgements</w:t>
      </w:r>
    </w:p>
    <w:p w14:paraId="4D70825B" w14:textId="77777777" w:rsidR="00805F76" w:rsidRPr="00EC6C19" w:rsidRDefault="00805F76" w:rsidP="00805F76">
      <w:pPr>
        <w:rPr>
          <w:rFonts w:ascii="Times New Roman" w:hAnsi="Times New Roman" w:cs="Times New Roman"/>
          <w:sz w:val="24"/>
          <w:szCs w:val="24"/>
        </w:rPr>
      </w:pPr>
    </w:p>
    <w:p w14:paraId="7045C608" w14:textId="77777777" w:rsidR="00DF6113" w:rsidRPr="00EC6C19" w:rsidRDefault="00DF6113" w:rsidP="00DF6113">
      <w:pPr>
        <w:spacing w:line="360" w:lineRule="auto"/>
        <w:rPr>
          <w:rFonts w:ascii="Times New Roman" w:hAnsi="Times New Roman" w:cs="Times New Roman"/>
          <w:sz w:val="24"/>
          <w:szCs w:val="24"/>
        </w:rPr>
      </w:pPr>
      <w:r w:rsidRPr="00EC6C19">
        <w:rPr>
          <w:rFonts w:ascii="Times New Roman" w:hAnsi="Times New Roman" w:cs="Times New Roman"/>
          <w:sz w:val="24"/>
          <w:szCs w:val="24"/>
        </w:rPr>
        <w:t>I would like to thank Dr Thomas Keeble and Dr John Davies of the Essex Cardiothoracic Centre, for their unfaltering support during my research period. They offered all the help I needed and would always go the extra mile. Approachable, knowledgeable, hardworking and dedicated, I am forever grateful for their supervision and time. Thank you both so much.</w:t>
      </w:r>
    </w:p>
    <w:p w14:paraId="3FCB0D1A" w14:textId="77777777" w:rsidR="003D0808" w:rsidRPr="00EC6C19" w:rsidRDefault="003D0808" w:rsidP="00DF611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Many thanks to Dr Christopher Cook from Imperial College London, for his training and knowledge in the use of coronary doppler, as well as for the mutual support between two new fathers! </w:t>
      </w:r>
    </w:p>
    <w:p w14:paraId="6BC2835F" w14:textId="77777777" w:rsidR="00DF6113" w:rsidRPr="00EC6C19" w:rsidRDefault="00DF6113" w:rsidP="00DF6113">
      <w:pPr>
        <w:spacing w:line="360" w:lineRule="auto"/>
        <w:rPr>
          <w:rFonts w:ascii="Times New Roman" w:hAnsi="Times New Roman" w:cs="Times New Roman"/>
          <w:sz w:val="24"/>
          <w:szCs w:val="24"/>
        </w:rPr>
      </w:pPr>
      <w:r w:rsidRPr="00EC6C19">
        <w:rPr>
          <w:rFonts w:ascii="Times New Roman" w:hAnsi="Times New Roman" w:cs="Times New Roman"/>
          <w:sz w:val="24"/>
          <w:szCs w:val="24"/>
        </w:rPr>
        <w:t>To Dr Rudolph Schutte</w:t>
      </w:r>
      <w:r w:rsidR="00DA1AD3" w:rsidRPr="00EC6C19">
        <w:rPr>
          <w:rFonts w:ascii="Times New Roman" w:hAnsi="Times New Roman" w:cs="Times New Roman"/>
          <w:sz w:val="24"/>
          <w:szCs w:val="24"/>
        </w:rPr>
        <w:t>,</w:t>
      </w:r>
      <w:r w:rsidR="00B94A48" w:rsidRPr="00EC6C19">
        <w:rPr>
          <w:rFonts w:ascii="Times New Roman" w:hAnsi="Times New Roman" w:cs="Times New Roman"/>
          <w:sz w:val="24"/>
          <w:szCs w:val="24"/>
        </w:rPr>
        <w:t xml:space="preserve"> Leica Claydon</w:t>
      </w:r>
      <w:r w:rsidR="009F7DA1">
        <w:rPr>
          <w:rFonts w:ascii="Times New Roman" w:hAnsi="Times New Roman" w:cs="Times New Roman"/>
          <w:sz w:val="24"/>
          <w:szCs w:val="24"/>
        </w:rPr>
        <w:t>, Jufen Zhang</w:t>
      </w:r>
      <w:r w:rsidR="00DA1AD3" w:rsidRPr="00EC6C19">
        <w:rPr>
          <w:rFonts w:ascii="Times New Roman" w:hAnsi="Times New Roman" w:cs="Times New Roman"/>
          <w:sz w:val="24"/>
          <w:szCs w:val="24"/>
        </w:rPr>
        <w:t xml:space="preserve"> and Selim Cellek</w:t>
      </w:r>
      <w:r w:rsidR="00087AB9" w:rsidRPr="00EC6C19">
        <w:rPr>
          <w:rFonts w:ascii="Times New Roman" w:hAnsi="Times New Roman" w:cs="Times New Roman"/>
          <w:sz w:val="24"/>
          <w:szCs w:val="24"/>
        </w:rPr>
        <w:t xml:space="preserve"> of Anglia Ruskin University,</w:t>
      </w:r>
      <w:r w:rsidRPr="00EC6C19">
        <w:rPr>
          <w:rFonts w:ascii="Times New Roman" w:hAnsi="Times New Roman" w:cs="Times New Roman"/>
          <w:sz w:val="24"/>
          <w:szCs w:val="24"/>
        </w:rPr>
        <w:t xml:space="preserve"> for </w:t>
      </w:r>
      <w:r w:rsidR="00B94A48" w:rsidRPr="00EC6C19">
        <w:rPr>
          <w:rFonts w:ascii="Times New Roman" w:hAnsi="Times New Roman" w:cs="Times New Roman"/>
          <w:sz w:val="24"/>
          <w:szCs w:val="24"/>
        </w:rPr>
        <w:t>their</w:t>
      </w:r>
      <w:r w:rsidRPr="00EC6C19">
        <w:rPr>
          <w:rFonts w:ascii="Times New Roman" w:hAnsi="Times New Roman" w:cs="Times New Roman"/>
          <w:sz w:val="24"/>
          <w:szCs w:val="24"/>
        </w:rPr>
        <w:t xml:space="preserve"> knowledge and assistance during my time </w:t>
      </w:r>
      <w:r w:rsidR="00087AB9" w:rsidRPr="00EC6C19">
        <w:rPr>
          <w:rFonts w:ascii="Times New Roman" w:hAnsi="Times New Roman" w:cs="Times New Roman"/>
          <w:sz w:val="24"/>
          <w:szCs w:val="24"/>
        </w:rPr>
        <w:t>there</w:t>
      </w:r>
      <w:r w:rsidRPr="00EC6C19">
        <w:rPr>
          <w:rFonts w:ascii="Times New Roman" w:hAnsi="Times New Roman" w:cs="Times New Roman"/>
          <w:sz w:val="24"/>
          <w:szCs w:val="24"/>
        </w:rPr>
        <w:t xml:space="preserve">, </w:t>
      </w:r>
      <w:r w:rsidR="00E06FA2">
        <w:rPr>
          <w:rFonts w:ascii="Times New Roman" w:hAnsi="Times New Roman" w:cs="Times New Roman"/>
          <w:sz w:val="24"/>
          <w:szCs w:val="24"/>
        </w:rPr>
        <w:t>thank you</w:t>
      </w:r>
      <w:r w:rsidRPr="00EC6C19">
        <w:rPr>
          <w:rFonts w:ascii="Times New Roman" w:hAnsi="Times New Roman" w:cs="Times New Roman"/>
          <w:sz w:val="24"/>
          <w:szCs w:val="24"/>
        </w:rPr>
        <w:t>.</w:t>
      </w:r>
    </w:p>
    <w:p w14:paraId="2036C70E" w14:textId="77777777" w:rsidR="00DF6113" w:rsidRPr="00EC6C19" w:rsidRDefault="00DF6113" w:rsidP="00DF611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To the nurses, radiographers, physiologists and consultants at the Essex Cardiothoracic Centre who gave their time and effort </w:t>
      </w:r>
      <w:r w:rsidR="009F7DA1">
        <w:rPr>
          <w:rFonts w:ascii="Times New Roman" w:hAnsi="Times New Roman" w:cs="Times New Roman"/>
          <w:sz w:val="24"/>
          <w:szCs w:val="24"/>
        </w:rPr>
        <w:t>to this study</w:t>
      </w:r>
      <w:r w:rsidR="00C74769" w:rsidRPr="00EC6C19">
        <w:rPr>
          <w:rFonts w:ascii="Times New Roman" w:hAnsi="Times New Roman" w:cs="Times New Roman"/>
          <w:sz w:val="24"/>
          <w:szCs w:val="24"/>
        </w:rPr>
        <w:t>, I am hugely</w:t>
      </w:r>
      <w:r w:rsidRPr="00EC6C19">
        <w:rPr>
          <w:rFonts w:ascii="Times New Roman" w:hAnsi="Times New Roman" w:cs="Times New Roman"/>
          <w:sz w:val="24"/>
          <w:szCs w:val="24"/>
        </w:rPr>
        <w:t xml:space="preserve"> thankful. Without all of you, this would not have been possible.</w:t>
      </w:r>
      <w:r w:rsidR="00087AB9" w:rsidRPr="00EC6C19">
        <w:rPr>
          <w:rFonts w:ascii="Times New Roman" w:hAnsi="Times New Roman" w:cs="Times New Roman"/>
          <w:sz w:val="24"/>
          <w:szCs w:val="24"/>
        </w:rPr>
        <w:t xml:space="preserve"> The willingness</w:t>
      </w:r>
      <w:r w:rsidR="00382DFA" w:rsidRPr="00EC6C19">
        <w:rPr>
          <w:rFonts w:ascii="Times New Roman" w:hAnsi="Times New Roman" w:cs="Times New Roman"/>
          <w:sz w:val="24"/>
          <w:szCs w:val="24"/>
        </w:rPr>
        <w:t xml:space="preserve"> to</w:t>
      </w:r>
      <w:r w:rsidR="002146FC" w:rsidRPr="00EC6C19">
        <w:rPr>
          <w:rFonts w:ascii="Times New Roman" w:hAnsi="Times New Roman" w:cs="Times New Roman"/>
          <w:sz w:val="24"/>
          <w:szCs w:val="24"/>
        </w:rPr>
        <w:t xml:space="preserve"> </w:t>
      </w:r>
      <w:r w:rsidR="00AD2F80" w:rsidRPr="00EC6C19">
        <w:rPr>
          <w:rFonts w:ascii="Times New Roman" w:hAnsi="Times New Roman" w:cs="Times New Roman"/>
          <w:sz w:val="24"/>
          <w:szCs w:val="24"/>
        </w:rPr>
        <w:t xml:space="preserve">dive into this </w:t>
      </w:r>
      <w:r w:rsidR="00087AB9" w:rsidRPr="00EC6C19">
        <w:rPr>
          <w:rFonts w:ascii="Times New Roman" w:hAnsi="Times New Roman" w:cs="Times New Roman"/>
          <w:sz w:val="24"/>
          <w:szCs w:val="24"/>
        </w:rPr>
        <w:t>stud</w:t>
      </w:r>
      <w:r w:rsidR="00382DFA" w:rsidRPr="00EC6C19">
        <w:rPr>
          <w:rFonts w:ascii="Times New Roman" w:hAnsi="Times New Roman" w:cs="Times New Roman"/>
          <w:sz w:val="24"/>
          <w:szCs w:val="24"/>
        </w:rPr>
        <w:t xml:space="preserve">y with enthusiasm and interest </w:t>
      </w:r>
      <w:r w:rsidR="00087AB9" w:rsidRPr="00EC6C19">
        <w:rPr>
          <w:rFonts w:ascii="Times New Roman" w:hAnsi="Times New Roman" w:cs="Times New Roman"/>
          <w:sz w:val="24"/>
          <w:szCs w:val="24"/>
        </w:rPr>
        <w:t>was truly flattering.</w:t>
      </w:r>
      <w:r w:rsidR="003C6B7D" w:rsidRPr="00EC6C19">
        <w:rPr>
          <w:rFonts w:ascii="Times New Roman" w:hAnsi="Times New Roman" w:cs="Times New Roman"/>
          <w:sz w:val="24"/>
          <w:szCs w:val="24"/>
        </w:rPr>
        <w:t xml:space="preserve"> An amazing place to work with fantastic people.</w:t>
      </w:r>
    </w:p>
    <w:p w14:paraId="707F1B28" w14:textId="77777777" w:rsidR="00087AB9" w:rsidRPr="00EC6C19" w:rsidRDefault="00087AB9" w:rsidP="00DF611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Thank you to Medtronic PLC for their </w:t>
      </w:r>
      <w:r w:rsidR="003C6B7D" w:rsidRPr="00EC6C19">
        <w:rPr>
          <w:rFonts w:ascii="Times New Roman" w:hAnsi="Times New Roman" w:cs="Times New Roman"/>
          <w:sz w:val="24"/>
          <w:szCs w:val="24"/>
        </w:rPr>
        <w:t>interest</w:t>
      </w:r>
      <w:r w:rsidR="00C74769" w:rsidRPr="00EC6C19">
        <w:rPr>
          <w:rFonts w:ascii="Times New Roman" w:hAnsi="Times New Roman" w:cs="Times New Roman"/>
          <w:sz w:val="24"/>
          <w:szCs w:val="24"/>
        </w:rPr>
        <w:t>, commitment</w:t>
      </w:r>
      <w:r w:rsidR="003C6B7D" w:rsidRPr="00EC6C19">
        <w:rPr>
          <w:rFonts w:ascii="Times New Roman" w:hAnsi="Times New Roman" w:cs="Times New Roman"/>
          <w:sz w:val="24"/>
          <w:szCs w:val="24"/>
        </w:rPr>
        <w:t xml:space="preserve"> and </w:t>
      </w:r>
      <w:r w:rsidRPr="00EC6C19">
        <w:rPr>
          <w:rFonts w:ascii="Times New Roman" w:hAnsi="Times New Roman" w:cs="Times New Roman"/>
          <w:sz w:val="24"/>
          <w:szCs w:val="24"/>
        </w:rPr>
        <w:t>financial support during the study period.</w:t>
      </w:r>
    </w:p>
    <w:p w14:paraId="5741BAC7" w14:textId="77777777" w:rsidR="00087AB9" w:rsidRPr="00EC6C19" w:rsidRDefault="00087AB9" w:rsidP="00DF6113">
      <w:pPr>
        <w:spacing w:line="360" w:lineRule="auto"/>
        <w:rPr>
          <w:rFonts w:ascii="Times New Roman" w:hAnsi="Times New Roman" w:cs="Times New Roman"/>
          <w:sz w:val="24"/>
          <w:szCs w:val="24"/>
        </w:rPr>
      </w:pPr>
      <w:r w:rsidRPr="00EC6C19">
        <w:rPr>
          <w:rFonts w:ascii="Times New Roman" w:hAnsi="Times New Roman" w:cs="Times New Roman"/>
          <w:sz w:val="24"/>
          <w:szCs w:val="24"/>
        </w:rPr>
        <w:t>To my mother and father, for their love, support, kindness and encouragement during difficult times. It makes one strive to do as much</w:t>
      </w:r>
      <w:r w:rsidR="00AD2F80" w:rsidRPr="00EC6C19">
        <w:rPr>
          <w:rFonts w:ascii="Times New Roman" w:hAnsi="Times New Roman" w:cs="Times New Roman"/>
          <w:sz w:val="24"/>
          <w:szCs w:val="24"/>
        </w:rPr>
        <w:t xml:space="preserve"> as you</w:t>
      </w:r>
      <w:r w:rsidRPr="00EC6C19">
        <w:rPr>
          <w:rFonts w:ascii="Times New Roman" w:hAnsi="Times New Roman" w:cs="Times New Roman"/>
          <w:sz w:val="24"/>
          <w:szCs w:val="24"/>
        </w:rPr>
        <w:t xml:space="preserve"> for their own children.</w:t>
      </w:r>
      <w:r w:rsidR="00AD2F80" w:rsidRPr="00EC6C19">
        <w:rPr>
          <w:rFonts w:ascii="Times New Roman" w:hAnsi="Times New Roman" w:cs="Times New Roman"/>
          <w:sz w:val="24"/>
          <w:szCs w:val="24"/>
        </w:rPr>
        <w:t xml:space="preserve"> Thank you.</w:t>
      </w:r>
    </w:p>
    <w:p w14:paraId="0FA737D7" w14:textId="77777777" w:rsidR="00087AB9" w:rsidRPr="00EC6C19" w:rsidRDefault="00597AE3" w:rsidP="00DF6113">
      <w:pPr>
        <w:spacing w:line="360" w:lineRule="auto"/>
        <w:rPr>
          <w:rFonts w:ascii="Times New Roman" w:hAnsi="Times New Roman" w:cs="Times New Roman"/>
          <w:sz w:val="24"/>
          <w:szCs w:val="24"/>
        </w:rPr>
      </w:pPr>
      <w:r w:rsidRPr="00EC6C19">
        <w:rPr>
          <w:rFonts w:ascii="Times New Roman" w:hAnsi="Times New Roman" w:cs="Times New Roman"/>
          <w:sz w:val="24"/>
          <w:szCs w:val="24"/>
        </w:rPr>
        <w:t>T</w:t>
      </w:r>
      <w:r w:rsidR="00AD2F80" w:rsidRPr="00EC6C19">
        <w:rPr>
          <w:rFonts w:ascii="Times New Roman" w:hAnsi="Times New Roman" w:cs="Times New Roman"/>
          <w:sz w:val="24"/>
          <w:szCs w:val="24"/>
        </w:rPr>
        <w:t>o my wife and</w:t>
      </w:r>
      <w:r w:rsidR="003C6B7D" w:rsidRPr="00EC6C19">
        <w:rPr>
          <w:rFonts w:ascii="Times New Roman" w:hAnsi="Times New Roman" w:cs="Times New Roman"/>
          <w:sz w:val="24"/>
          <w:szCs w:val="24"/>
        </w:rPr>
        <w:t xml:space="preserve"> two</w:t>
      </w:r>
      <w:r w:rsidR="00AD2F80" w:rsidRPr="00EC6C19">
        <w:rPr>
          <w:rFonts w:ascii="Times New Roman" w:hAnsi="Times New Roman" w:cs="Times New Roman"/>
          <w:sz w:val="24"/>
          <w:szCs w:val="24"/>
        </w:rPr>
        <w:t xml:space="preserve"> daughter</w:t>
      </w:r>
      <w:r w:rsidR="003C6B7D" w:rsidRPr="00EC6C19">
        <w:rPr>
          <w:rFonts w:ascii="Times New Roman" w:hAnsi="Times New Roman" w:cs="Times New Roman"/>
          <w:sz w:val="24"/>
          <w:szCs w:val="24"/>
        </w:rPr>
        <w:t>s</w:t>
      </w:r>
      <w:r w:rsidR="00AD2F80" w:rsidRPr="00EC6C19">
        <w:rPr>
          <w:rFonts w:ascii="Times New Roman" w:hAnsi="Times New Roman" w:cs="Times New Roman"/>
          <w:sz w:val="24"/>
          <w:szCs w:val="24"/>
        </w:rPr>
        <w:t>.</w:t>
      </w:r>
      <w:r w:rsidR="00C74769" w:rsidRPr="00EC6C19">
        <w:rPr>
          <w:rFonts w:ascii="Times New Roman" w:hAnsi="Times New Roman" w:cs="Times New Roman"/>
          <w:sz w:val="24"/>
          <w:szCs w:val="24"/>
        </w:rPr>
        <w:t xml:space="preserve"> Thank you for your patience and understanding</w:t>
      </w:r>
      <w:r w:rsidR="003C6B7D" w:rsidRPr="00EC6C19">
        <w:rPr>
          <w:rFonts w:ascii="Times New Roman" w:hAnsi="Times New Roman" w:cs="Times New Roman"/>
          <w:sz w:val="24"/>
          <w:szCs w:val="24"/>
        </w:rPr>
        <w:t>.</w:t>
      </w:r>
      <w:r w:rsidR="00C74769" w:rsidRPr="00EC6C19">
        <w:rPr>
          <w:rFonts w:ascii="Times New Roman" w:hAnsi="Times New Roman" w:cs="Times New Roman"/>
          <w:sz w:val="24"/>
          <w:szCs w:val="24"/>
        </w:rPr>
        <w:t xml:space="preserve"> They have taught me more than I could imagine and everything is truly for them.</w:t>
      </w:r>
    </w:p>
    <w:p w14:paraId="1D15FAE4" w14:textId="77777777" w:rsidR="00087AB9" w:rsidRPr="00EC6C19" w:rsidRDefault="00087AB9" w:rsidP="00DF6113">
      <w:pPr>
        <w:spacing w:line="360" w:lineRule="auto"/>
        <w:rPr>
          <w:rFonts w:ascii="Times New Roman" w:hAnsi="Times New Roman" w:cs="Times New Roman"/>
          <w:sz w:val="24"/>
          <w:szCs w:val="24"/>
        </w:rPr>
      </w:pPr>
    </w:p>
    <w:p w14:paraId="6F46B0C0" w14:textId="77777777" w:rsidR="00DF6113" w:rsidRDefault="00DF6113" w:rsidP="00DF6113">
      <w:pPr>
        <w:spacing w:line="360" w:lineRule="auto"/>
        <w:rPr>
          <w:rFonts w:ascii="Times New Roman" w:hAnsi="Times New Roman" w:cs="Times New Roman"/>
          <w:sz w:val="24"/>
          <w:szCs w:val="24"/>
        </w:rPr>
      </w:pPr>
      <w:r w:rsidRPr="00EC6C19">
        <w:rPr>
          <w:rFonts w:ascii="Times New Roman" w:hAnsi="Times New Roman" w:cs="Times New Roman"/>
          <w:sz w:val="24"/>
          <w:szCs w:val="24"/>
        </w:rPr>
        <w:tab/>
      </w:r>
    </w:p>
    <w:p w14:paraId="05F7B13C" w14:textId="77777777" w:rsidR="009F7DA1" w:rsidRPr="00EC6C19" w:rsidRDefault="009F7DA1" w:rsidP="00DF6113">
      <w:pPr>
        <w:spacing w:line="360" w:lineRule="auto"/>
        <w:rPr>
          <w:rFonts w:ascii="Times New Roman" w:hAnsi="Times New Roman" w:cs="Times New Roman"/>
          <w:sz w:val="24"/>
          <w:szCs w:val="24"/>
        </w:rPr>
      </w:pPr>
    </w:p>
    <w:p w14:paraId="0A570B77" w14:textId="77777777" w:rsidR="00DB2C7E" w:rsidRDefault="00DB2C7E" w:rsidP="00D43691">
      <w:pPr>
        <w:spacing w:line="240" w:lineRule="auto"/>
        <w:jc w:val="center"/>
        <w:rPr>
          <w:rFonts w:ascii="Times New Roman" w:hAnsi="Times New Roman" w:cs="Times New Roman"/>
          <w:sz w:val="24"/>
          <w:szCs w:val="24"/>
        </w:rPr>
      </w:pPr>
    </w:p>
    <w:p w14:paraId="485F7E57" w14:textId="77777777" w:rsidR="00DB2C7E" w:rsidRDefault="00DB2C7E" w:rsidP="00D43691">
      <w:pPr>
        <w:spacing w:line="240" w:lineRule="auto"/>
        <w:jc w:val="center"/>
        <w:rPr>
          <w:rFonts w:ascii="Times New Roman" w:hAnsi="Times New Roman" w:cs="Times New Roman"/>
          <w:sz w:val="24"/>
          <w:szCs w:val="24"/>
        </w:rPr>
      </w:pPr>
    </w:p>
    <w:p w14:paraId="127EAC98" w14:textId="77777777" w:rsidR="007C603B" w:rsidRPr="00EC6C19" w:rsidRDefault="0054043C" w:rsidP="00DB2C7E">
      <w:pPr>
        <w:spacing w:line="240" w:lineRule="auto"/>
        <w:jc w:val="center"/>
        <w:rPr>
          <w:rFonts w:ascii="Times New Roman" w:hAnsi="Times New Roman" w:cs="Times New Roman"/>
          <w:b/>
          <w:sz w:val="24"/>
          <w:szCs w:val="24"/>
          <w:u w:val="single"/>
        </w:rPr>
      </w:pPr>
      <w:r w:rsidRPr="00EC6C19">
        <w:rPr>
          <w:rFonts w:ascii="Times New Roman" w:hAnsi="Times New Roman" w:cs="Times New Roman"/>
          <w:sz w:val="24"/>
          <w:szCs w:val="24"/>
        </w:rPr>
        <w:lastRenderedPageBreak/>
        <w:t>ANGLIA RUSKIN UNIVERSITY</w:t>
      </w:r>
    </w:p>
    <w:p w14:paraId="20B006A8" w14:textId="77777777" w:rsidR="00DB2C7E" w:rsidRPr="00DB2C7E" w:rsidRDefault="001E2882" w:rsidP="00DB2C7E">
      <w:pPr>
        <w:pStyle w:val="Heading1"/>
        <w:spacing w:line="240" w:lineRule="auto"/>
        <w:jc w:val="center"/>
        <w:rPr>
          <w:rFonts w:ascii="Times New Roman" w:hAnsi="Times New Roman" w:cs="Times New Roman"/>
          <w:b w:val="0"/>
          <w:color w:val="auto"/>
          <w:sz w:val="24"/>
          <w:szCs w:val="24"/>
        </w:rPr>
      </w:pPr>
      <w:bookmarkStart w:id="0" w:name="_Toc80302149"/>
      <w:r w:rsidRPr="00DB2C7E">
        <w:rPr>
          <w:rFonts w:ascii="Times New Roman" w:hAnsi="Times New Roman" w:cs="Times New Roman"/>
          <w:b w:val="0"/>
          <w:color w:val="auto"/>
          <w:sz w:val="24"/>
          <w:szCs w:val="24"/>
        </w:rPr>
        <w:t>ABSTRACT</w:t>
      </w:r>
      <w:bookmarkEnd w:id="0"/>
      <w:r w:rsidR="00DB2C7E">
        <w:rPr>
          <w:rFonts w:ascii="Times New Roman" w:hAnsi="Times New Roman" w:cs="Times New Roman"/>
          <w:b w:val="0"/>
          <w:color w:val="auto"/>
          <w:sz w:val="24"/>
          <w:szCs w:val="24"/>
        </w:rPr>
        <w:br/>
      </w:r>
    </w:p>
    <w:p w14:paraId="1BFC20CB" w14:textId="2B0C6C9D" w:rsidR="001E2882" w:rsidRPr="00EC6C19" w:rsidRDefault="001E2882" w:rsidP="00DB2C7E">
      <w:pPr>
        <w:spacing w:line="240" w:lineRule="auto"/>
        <w:jc w:val="center"/>
        <w:rPr>
          <w:rFonts w:ascii="Times New Roman" w:hAnsi="Times New Roman" w:cs="Times New Roman"/>
          <w:sz w:val="24"/>
          <w:szCs w:val="24"/>
        </w:rPr>
      </w:pPr>
      <w:r w:rsidRPr="00EC6C19">
        <w:rPr>
          <w:rFonts w:ascii="Times New Roman" w:hAnsi="Times New Roman" w:cs="Times New Roman"/>
          <w:sz w:val="24"/>
          <w:szCs w:val="24"/>
        </w:rPr>
        <w:t xml:space="preserve">FACULTY OF </w:t>
      </w:r>
      <w:r w:rsidR="00543B67">
        <w:rPr>
          <w:rFonts w:ascii="Times New Roman" w:hAnsi="Times New Roman" w:cs="Times New Roman"/>
          <w:sz w:val="24"/>
          <w:szCs w:val="24"/>
        </w:rPr>
        <w:t xml:space="preserve">HEALTH, EDUCATION, MEDICINE AND SOCIAL CARE </w:t>
      </w:r>
    </w:p>
    <w:p w14:paraId="3282C358" w14:textId="16AF910A" w:rsidR="001E2882" w:rsidRPr="00EC6C19" w:rsidRDefault="00543B67" w:rsidP="00DB2C7E">
      <w:pPr>
        <w:spacing w:line="240" w:lineRule="auto"/>
        <w:jc w:val="center"/>
        <w:rPr>
          <w:rFonts w:ascii="Times New Roman" w:hAnsi="Times New Roman" w:cs="Times New Roman"/>
          <w:sz w:val="24"/>
          <w:szCs w:val="24"/>
        </w:rPr>
      </w:pPr>
      <w:r>
        <w:rPr>
          <w:rFonts w:ascii="Times New Roman" w:hAnsi="Times New Roman" w:cs="Times New Roman"/>
          <w:sz w:val="24"/>
          <w:szCs w:val="24"/>
        </w:rPr>
        <w:t>DOCTOR OF MEDICINE BY RESEARCH</w:t>
      </w:r>
    </w:p>
    <w:p w14:paraId="5D8CD844" w14:textId="77777777" w:rsidR="001E2882" w:rsidRPr="00EC6C19" w:rsidRDefault="001E2882" w:rsidP="00D43691">
      <w:pPr>
        <w:spacing w:line="240" w:lineRule="auto"/>
        <w:jc w:val="center"/>
        <w:rPr>
          <w:rFonts w:ascii="Times New Roman" w:hAnsi="Times New Roman" w:cs="Times New Roman"/>
          <w:sz w:val="24"/>
          <w:szCs w:val="24"/>
        </w:rPr>
      </w:pPr>
    </w:p>
    <w:p w14:paraId="7F51859C" w14:textId="77777777" w:rsidR="001E2882" w:rsidRPr="00EC6C19" w:rsidRDefault="001E2882" w:rsidP="00D43691">
      <w:pPr>
        <w:spacing w:line="240" w:lineRule="auto"/>
        <w:jc w:val="center"/>
        <w:rPr>
          <w:rFonts w:ascii="Times New Roman" w:hAnsi="Times New Roman" w:cs="Times New Roman"/>
          <w:sz w:val="24"/>
          <w:szCs w:val="24"/>
        </w:rPr>
      </w:pPr>
      <w:r w:rsidRPr="00EC6C19">
        <w:rPr>
          <w:rFonts w:ascii="Times New Roman" w:hAnsi="Times New Roman" w:cs="Times New Roman"/>
          <w:sz w:val="24"/>
          <w:szCs w:val="24"/>
        </w:rPr>
        <w:t>THE EFFECT OF HYDROSTATIC PRESSURE ON INVASIVE MEASURES OF CORONARY PHYSIOLOGY</w:t>
      </w:r>
    </w:p>
    <w:p w14:paraId="757FBADD" w14:textId="77777777" w:rsidR="00D43691" w:rsidRPr="00EC6C19" w:rsidRDefault="00D43691" w:rsidP="00D43691">
      <w:pPr>
        <w:spacing w:line="240" w:lineRule="auto"/>
        <w:jc w:val="center"/>
        <w:rPr>
          <w:rFonts w:ascii="Times New Roman" w:hAnsi="Times New Roman" w:cs="Times New Roman"/>
          <w:sz w:val="24"/>
          <w:szCs w:val="24"/>
        </w:rPr>
      </w:pPr>
      <w:r w:rsidRPr="00EC6C19">
        <w:rPr>
          <w:rFonts w:ascii="Times New Roman" w:hAnsi="Times New Roman" w:cs="Times New Roman"/>
          <w:sz w:val="24"/>
          <w:szCs w:val="24"/>
        </w:rPr>
        <w:t>FIRAS AL-JANABI</w:t>
      </w:r>
    </w:p>
    <w:p w14:paraId="4030A09A" w14:textId="2832BE07" w:rsidR="001E2882" w:rsidRPr="00EC6C19" w:rsidRDefault="00543B67" w:rsidP="00D43691">
      <w:pPr>
        <w:spacing w:line="240" w:lineRule="auto"/>
        <w:jc w:val="center"/>
        <w:rPr>
          <w:rFonts w:ascii="Times New Roman" w:hAnsi="Times New Roman" w:cs="Times New Roman"/>
          <w:sz w:val="24"/>
          <w:szCs w:val="24"/>
        </w:rPr>
      </w:pPr>
      <w:r>
        <w:rPr>
          <w:rFonts w:ascii="Times New Roman" w:hAnsi="Times New Roman" w:cs="Times New Roman"/>
          <w:sz w:val="24"/>
          <w:szCs w:val="24"/>
        </w:rPr>
        <w:t>August</w:t>
      </w:r>
      <w:r w:rsidRPr="00EC6C19">
        <w:rPr>
          <w:rFonts w:ascii="Times New Roman" w:hAnsi="Times New Roman" w:cs="Times New Roman"/>
          <w:sz w:val="24"/>
          <w:szCs w:val="24"/>
        </w:rPr>
        <w:t xml:space="preserve"> </w:t>
      </w:r>
      <w:r w:rsidR="001E2882" w:rsidRPr="00EC6C19">
        <w:rPr>
          <w:rFonts w:ascii="Times New Roman" w:hAnsi="Times New Roman" w:cs="Times New Roman"/>
          <w:sz w:val="24"/>
          <w:szCs w:val="24"/>
        </w:rPr>
        <w:t>20</w:t>
      </w:r>
      <w:r w:rsidR="00A92CF6" w:rsidRPr="00EC6C19">
        <w:rPr>
          <w:rFonts w:ascii="Times New Roman" w:hAnsi="Times New Roman" w:cs="Times New Roman"/>
          <w:sz w:val="24"/>
          <w:szCs w:val="24"/>
        </w:rPr>
        <w:t>20</w:t>
      </w:r>
    </w:p>
    <w:p w14:paraId="248E1893" w14:textId="77777777" w:rsidR="001E2882" w:rsidRPr="00EC6C19" w:rsidRDefault="001E2882" w:rsidP="00382DFA">
      <w:pPr>
        <w:spacing w:line="240" w:lineRule="auto"/>
        <w:jc w:val="center"/>
        <w:rPr>
          <w:rFonts w:ascii="Times New Roman" w:hAnsi="Times New Roman" w:cs="Times New Roman"/>
          <w:sz w:val="24"/>
          <w:szCs w:val="24"/>
        </w:rPr>
      </w:pPr>
    </w:p>
    <w:p w14:paraId="7A519711" w14:textId="77777777" w:rsidR="001E2882" w:rsidRPr="00EC6C19" w:rsidRDefault="002146FC" w:rsidP="00967994">
      <w:pPr>
        <w:spacing w:line="240" w:lineRule="auto"/>
        <w:jc w:val="both"/>
        <w:rPr>
          <w:rFonts w:ascii="Times New Roman" w:hAnsi="Times New Roman" w:cs="Times New Roman"/>
          <w:sz w:val="24"/>
          <w:szCs w:val="24"/>
        </w:rPr>
      </w:pPr>
      <w:r w:rsidRPr="00EC6C19">
        <w:rPr>
          <w:rFonts w:ascii="Times New Roman" w:hAnsi="Times New Roman" w:cs="Times New Roman"/>
          <w:b/>
          <w:sz w:val="24"/>
          <w:szCs w:val="24"/>
        </w:rPr>
        <w:t xml:space="preserve">Introduction: </w:t>
      </w:r>
      <w:r w:rsidRPr="00EC6C19">
        <w:rPr>
          <w:rFonts w:ascii="Times New Roman" w:hAnsi="Times New Roman" w:cs="Times New Roman"/>
          <w:sz w:val="24"/>
          <w:szCs w:val="24"/>
        </w:rPr>
        <w:t>Coronary</w:t>
      </w:r>
      <w:r w:rsidR="00FC2A85" w:rsidRPr="00EC6C19">
        <w:rPr>
          <w:rFonts w:ascii="Times New Roman" w:hAnsi="Times New Roman" w:cs="Times New Roman"/>
          <w:sz w:val="24"/>
          <w:szCs w:val="24"/>
        </w:rPr>
        <w:t xml:space="preserve"> arteries are at differing vertical heights in a supine pat</w:t>
      </w:r>
      <w:r w:rsidR="00856598" w:rsidRPr="00EC6C19">
        <w:rPr>
          <w:rFonts w:ascii="Times New Roman" w:hAnsi="Times New Roman" w:cs="Times New Roman"/>
          <w:sz w:val="24"/>
          <w:szCs w:val="24"/>
        </w:rPr>
        <w:t>ient</w:t>
      </w:r>
      <w:r w:rsidR="00D51B81">
        <w:rPr>
          <w:rFonts w:ascii="Times New Roman" w:hAnsi="Times New Roman" w:cs="Times New Roman"/>
          <w:sz w:val="24"/>
          <w:szCs w:val="24"/>
        </w:rPr>
        <w:t xml:space="preserve"> relative to the aortic root</w:t>
      </w:r>
      <w:r w:rsidR="00856598" w:rsidRPr="00EC6C19">
        <w:rPr>
          <w:rFonts w:ascii="Times New Roman" w:hAnsi="Times New Roman" w:cs="Times New Roman"/>
          <w:sz w:val="24"/>
          <w:szCs w:val="24"/>
        </w:rPr>
        <w:t xml:space="preserve">. </w:t>
      </w:r>
      <w:r w:rsidRPr="00EC6C19">
        <w:rPr>
          <w:rFonts w:ascii="Times New Roman" w:hAnsi="Times New Roman" w:cs="Times New Roman"/>
          <w:sz w:val="24"/>
          <w:szCs w:val="24"/>
        </w:rPr>
        <w:t>Pressure within an artery varies based on distance from the aorta due to hydrostatic effect. This could impact pressure-based indices of stenosis severity, as the vertical distance between distal and proxim</w:t>
      </w:r>
      <w:r w:rsidR="00882DD6">
        <w:rPr>
          <w:rFonts w:ascii="Times New Roman" w:hAnsi="Times New Roman" w:cs="Times New Roman"/>
          <w:sz w:val="24"/>
          <w:szCs w:val="24"/>
        </w:rPr>
        <w:t>al pressure sensors creates a</w:t>
      </w:r>
      <w:r w:rsidRPr="00EC6C19">
        <w:rPr>
          <w:rFonts w:ascii="Times New Roman" w:hAnsi="Times New Roman" w:cs="Times New Roman"/>
          <w:sz w:val="24"/>
          <w:szCs w:val="24"/>
        </w:rPr>
        <w:t xml:space="preserve"> baseline pressure difference. This is neglected in clinical practice, as distal and proximal sensors are considered </w:t>
      </w:r>
      <w:r w:rsidR="00882DD6">
        <w:rPr>
          <w:rFonts w:ascii="Times New Roman" w:hAnsi="Times New Roman" w:cs="Times New Roman"/>
          <w:sz w:val="24"/>
          <w:szCs w:val="24"/>
        </w:rPr>
        <w:t>at the same vertical level</w:t>
      </w:r>
      <w:r w:rsidRPr="00EC6C19">
        <w:rPr>
          <w:rFonts w:ascii="Times New Roman" w:hAnsi="Times New Roman" w:cs="Times New Roman"/>
          <w:sz w:val="24"/>
          <w:szCs w:val="24"/>
        </w:rPr>
        <w:t>.</w:t>
      </w:r>
    </w:p>
    <w:p w14:paraId="271D54F3" w14:textId="140A5AEE" w:rsidR="00A12F39" w:rsidRPr="00EC6C19" w:rsidRDefault="00A12F39" w:rsidP="00967994">
      <w:pPr>
        <w:spacing w:line="240" w:lineRule="auto"/>
        <w:jc w:val="both"/>
        <w:rPr>
          <w:rFonts w:ascii="Times New Roman" w:hAnsi="Times New Roman" w:cs="Times New Roman"/>
          <w:sz w:val="24"/>
          <w:szCs w:val="24"/>
        </w:rPr>
      </w:pPr>
      <w:r w:rsidRPr="00EC6C19">
        <w:rPr>
          <w:rFonts w:ascii="Times New Roman" w:hAnsi="Times New Roman" w:cs="Times New Roman"/>
          <w:b/>
          <w:sz w:val="24"/>
          <w:szCs w:val="24"/>
        </w:rPr>
        <w:t>Method</w:t>
      </w:r>
      <w:r w:rsidR="00882DD6">
        <w:rPr>
          <w:rFonts w:ascii="Times New Roman" w:hAnsi="Times New Roman" w:cs="Times New Roman"/>
          <w:b/>
          <w:sz w:val="24"/>
          <w:szCs w:val="24"/>
        </w:rPr>
        <w:t>s</w:t>
      </w:r>
      <w:r w:rsidRPr="00EC6C19">
        <w:rPr>
          <w:rFonts w:ascii="Times New Roman" w:hAnsi="Times New Roman" w:cs="Times New Roman"/>
          <w:b/>
          <w:sz w:val="24"/>
          <w:szCs w:val="24"/>
        </w:rPr>
        <w:t xml:space="preserve">: </w:t>
      </w:r>
      <w:r w:rsidRPr="00EC6C19">
        <w:rPr>
          <w:rFonts w:ascii="Times New Roman" w:hAnsi="Times New Roman" w:cs="Times New Roman"/>
          <w:sz w:val="24"/>
          <w:szCs w:val="24"/>
        </w:rPr>
        <w:t>Pd/</w:t>
      </w:r>
      <w:r w:rsidR="0001596F" w:rsidRPr="00EC6C19">
        <w:rPr>
          <w:rFonts w:ascii="Times New Roman" w:hAnsi="Times New Roman" w:cs="Times New Roman"/>
          <w:sz w:val="24"/>
          <w:szCs w:val="24"/>
        </w:rPr>
        <w:t>Pa,</w:t>
      </w:r>
      <w:r w:rsidR="00A92CF6" w:rsidRPr="00EC6C19">
        <w:rPr>
          <w:rFonts w:ascii="Times New Roman" w:hAnsi="Times New Roman" w:cs="Times New Roman"/>
          <w:sz w:val="24"/>
          <w:szCs w:val="24"/>
        </w:rPr>
        <w:t xml:space="preserve"> </w:t>
      </w:r>
      <w:r w:rsidR="00856598" w:rsidRPr="00EC6C19">
        <w:rPr>
          <w:rFonts w:ascii="Times New Roman" w:hAnsi="Times New Roman" w:cs="Times New Roman"/>
          <w:sz w:val="24"/>
          <w:szCs w:val="24"/>
        </w:rPr>
        <w:t>instantaneous wave free ratio (</w:t>
      </w:r>
      <w:r w:rsidR="00F627EE" w:rsidRPr="00EC6C19">
        <w:rPr>
          <w:rFonts w:ascii="Times New Roman" w:hAnsi="Times New Roman" w:cs="Times New Roman"/>
          <w:sz w:val="24"/>
          <w:szCs w:val="24"/>
        </w:rPr>
        <w:t>iFR</w:t>
      </w:r>
      <w:r w:rsidR="00856598" w:rsidRPr="00EC6C19">
        <w:rPr>
          <w:rFonts w:ascii="Times New Roman" w:hAnsi="Times New Roman" w:cs="Times New Roman"/>
          <w:sz w:val="24"/>
          <w:szCs w:val="24"/>
        </w:rPr>
        <w:t>), fractional flow reserve</w:t>
      </w:r>
      <w:r w:rsidR="0001596F" w:rsidRPr="00EC6C19">
        <w:rPr>
          <w:rFonts w:ascii="Times New Roman" w:hAnsi="Times New Roman" w:cs="Times New Roman"/>
          <w:sz w:val="24"/>
          <w:szCs w:val="24"/>
        </w:rPr>
        <w:t xml:space="preserve"> FFR and doppler </w:t>
      </w:r>
      <w:r w:rsidR="000037A2" w:rsidRPr="00EC6C19">
        <w:rPr>
          <w:rFonts w:ascii="Times New Roman" w:hAnsi="Times New Roman" w:cs="Times New Roman"/>
          <w:sz w:val="24"/>
          <w:szCs w:val="24"/>
        </w:rPr>
        <w:t>flow</w:t>
      </w:r>
      <w:r w:rsidR="00856598" w:rsidRPr="00EC6C19">
        <w:rPr>
          <w:rFonts w:ascii="Times New Roman" w:hAnsi="Times New Roman" w:cs="Times New Roman"/>
          <w:sz w:val="24"/>
          <w:szCs w:val="24"/>
        </w:rPr>
        <w:t xml:space="preserve"> velocity</w:t>
      </w:r>
      <w:r w:rsidR="000037A2" w:rsidRPr="00EC6C19">
        <w:rPr>
          <w:rFonts w:ascii="Times New Roman" w:hAnsi="Times New Roman" w:cs="Times New Roman"/>
          <w:sz w:val="24"/>
          <w:szCs w:val="24"/>
        </w:rPr>
        <w:t xml:space="preserve"> were recorded in 23 coronary stenose</w:t>
      </w:r>
      <w:r w:rsidRPr="00EC6C19">
        <w:rPr>
          <w:rFonts w:ascii="Times New Roman" w:hAnsi="Times New Roman" w:cs="Times New Roman"/>
          <w:sz w:val="24"/>
          <w:szCs w:val="24"/>
        </w:rPr>
        <w:t>s in the standard supine patient position, and in the prone position.</w:t>
      </w:r>
      <w:r w:rsidR="00882DD6">
        <w:rPr>
          <w:rFonts w:ascii="Times New Roman" w:hAnsi="Times New Roman" w:cs="Times New Roman"/>
          <w:sz w:val="24"/>
          <w:szCs w:val="24"/>
        </w:rPr>
        <w:t xml:space="preserve"> Measurements between positions were compared</w:t>
      </w:r>
      <w:r w:rsidR="00C73DAD">
        <w:rPr>
          <w:rFonts w:ascii="Times New Roman" w:hAnsi="Times New Roman" w:cs="Times New Roman"/>
          <w:sz w:val="24"/>
          <w:szCs w:val="24"/>
        </w:rPr>
        <w:t xml:space="preserve"> using </w:t>
      </w:r>
      <w:r w:rsidR="00583C26">
        <w:rPr>
          <w:rFonts w:ascii="Times New Roman" w:hAnsi="Times New Roman" w:cs="Times New Roman"/>
          <w:sz w:val="24"/>
          <w:szCs w:val="24"/>
        </w:rPr>
        <w:t>a Student’s t test for matched pairs</w:t>
      </w:r>
      <w:r w:rsidR="00882DD6">
        <w:rPr>
          <w:rFonts w:ascii="Times New Roman" w:hAnsi="Times New Roman" w:cs="Times New Roman"/>
          <w:sz w:val="24"/>
          <w:szCs w:val="24"/>
        </w:rPr>
        <w:t>.</w:t>
      </w:r>
      <w:r w:rsidRPr="00EC6C19">
        <w:rPr>
          <w:rFonts w:ascii="Times New Roman" w:hAnsi="Times New Roman" w:cs="Times New Roman"/>
          <w:sz w:val="24"/>
          <w:szCs w:val="24"/>
        </w:rPr>
        <w:t xml:space="preserve"> </w:t>
      </w:r>
    </w:p>
    <w:p w14:paraId="2B50A5CD" w14:textId="419427B2" w:rsidR="000037A2" w:rsidRPr="00EC6C19" w:rsidRDefault="000037A2" w:rsidP="00967994">
      <w:pPr>
        <w:spacing w:line="240" w:lineRule="auto"/>
        <w:jc w:val="both"/>
        <w:rPr>
          <w:rFonts w:ascii="Times New Roman" w:hAnsi="Times New Roman" w:cs="Times New Roman"/>
          <w:sz w:val="24"/>
          <w:szCs w:val="24"/>
        </w:rPr>
      </w:pPr>
      <w:r w:rsidRPr="00EC6C19">
        <w:rPr>
          <w:rFonts w:ascii="Times New Roman" w:hAnsi="Times New Roman" w:cs="Times New Roman"/>
          <w:b/>
          <w:sz w:val="24"/>
          <w:szCs w:val="24"/>
        </w:rPr>
        <w:t xml:space="preserve">Results: </w:t>
      </w:r>
      <w:r w:rsidRPr="00EC6C19">
        <w:rPr>
          <w:rFonts w:ascii="Times New Roman" w:hAnsi="Times New Roman" w:cs="Times New Roman"/>
          <w:sz w:val="24"/>
          <w:szCs w:val="24"/>
        </w:rPr>
        <w:t>There were significant differences in</w:t>
      </w:r>
      <w:r w:rsidR="00922F0D" w:rsidRPr="00EC6C19">
        <w:rPr>
          <w:rFonts w:ascii="Times New Roman" w:hAnsi="Times New Roman" w:cs="Times New Roman"/>
          <w:sz w:val="24"/>
          <w:szCs w:val="24"/>
        </w:rPr>
        <w:t xml:space="preserve"> mean</w:t>
      </w:r>
      <w:r w:rsidR="00A92CF6" w:rsidRPr="00EC6C19">
        <w:rPr>
          <w:rFonts w:ascii="Times New Roman" w:hAnsi="Times New Roman" w:cs="Times New Roman"/>
          <w:sz w:val="24"/>
          <w:szCs w:val="24"/>
        </w:rPr>
        <w:t xml:space="preserve"> </w:t>
      </w:r>
      <w:r w:rsidRPr="00EC6C19">
        <w:rPr>
          <w:rFonts w:ascii="Times New Roman" w:hAnsi="Times New Roman" w:cs="Times New Roman"/>
          <w:sz w:val="24"/>
          <w:szCs w:val="24"/>
        </w:rPr>
        <w:t>Pd/Pa</w:t>
      </w:r>
      <w:r w:rsidR="00FC2A85" w:rsidRPr="00EC6C19">
        <w:rPr>
          <w:rFonts w:ascii="Times New Roman" w:hAnsi="Times New Roman" w:cs="Times New Roman"/>
          <w:sz w:val="24"/>
          <w:szCs w:val="24"/>
        </w:rPr>
        <w:t xml:space="preserve"> (0.05), iFR</w:t>
      </w:r>
      <w:r w:rsidR="003B688C">
        <w:rPr>
          <w:rFonts w:ascii="Times New Roman" w:hAnsi="Times New Roman" w:cs="Times New Roman"/>
          <w:sz w:val="24"/>
          <w:szCs w:val="24"/>
        </w:rPr>
        <w:t xml:space="preserve"> </w:t>
      </w:r>
      <w:r w:rsidR="00FC2A85" w:rsidRPr="00EC6C19">
        <w:rPr>
          <w:rFonts w:ascii="Times New Roman" w:hAnsi="Times New Roman" w:cs="Times New Roman"/>
          <w:sz w:val="24"/>
          <w:szCs w:val="24"/>
        </w:rPr>
        <w:t>(0.06)</w:t>
      </w:r>
      <w:r w:rsidRPr="00EC6C19">
        <w:rPr>
          <w:rFonts w:ascii="Times New Roman" w:hAnsi="Times New Roman" w:cs="Times New Roman"/>
          <w:sz w:val="24"/>
          <w:szCs w:val="24"/>
        </w:rPr>
        <w:t xml:space="preserve"> and FFR</w:t>
      </w:r>
      <w:r w:rsidR="003B688C">
        <w:rPr>
          <w:rFonts w:ascii="Times New Roman" w:hAnsi="Times New Roman" w:cs="Times New Roman"/>
          <w:sz w:val="24"/>
          <w:szCs w:val="24"/>
        </w:rPr>
        <w:t xml:space="preserve"> </w:t>
      </w:r>
      <w:r w:rsidR="00FC2A85" w:rsidRPr="00EC6C19">
        <w:rPr>
          <w:rFonts w:ascii="Times New Roman" w:hAnsi="Times New Roman" w:cs="Times New Roman"/>
          <w:sz w:val="24"/>
          <w:szCs w:val="24"/>
        </w:rPr>
        <w:t>(0.06)</w:t>
      </w:r>
      <w:r w:rsidRPr="00EC6C19">
        <w:rPr>
          <w:rFonts w:ascii="Times New Roman" w:hAnsi="Times New Roman" w:cs="Times New Roman"/>
          <w:sz w:val="24"/>
          <w:szCs w:val="24"/>
        </w:rPr>
        <w:t xml:space="preserve"> when comparing prone and supine positioning (p&lt;0.05).</w:t>
      </w:r>
      <w:r w:rsidR="003B688C">
        <w:rPr>
          <w:rFonts w:ascii="Times New Roman" w:hAnsi="Times New Roman" w:cs="Times New Roman"/>
          <w:sz w:val="24"/>
          <w:szCs w:val="24"/>
        </w:rPr>
        <w:t xml:space="preserve"> </w:t>
      </w:r>
      <w:r w:rsidR="00FC2A85" w:rsidRPr="00EC6C19">
        <w:rPr>
          <w:rFonts w:ascii="Times New Roman" w:eastAsia="Times New Roman" w:hAnsi="Times New Roman" w:cs="Times New Roman"/>
          <w:color w:val="000000"/>
          <w:sz w:val="24"/>
          <w:szCs w:val="24"/>
        </w:rPr>
        <w:t xml:space="preserve">When inferior to the aorta, mean Pd/Pa, iFR and FFR were 0.96±0.05, 0.93±0.11 and 0.84±0.10 respectively. When superior, mean Pd/Pa, iFR and FFR were 0.91±0.07, 0.87±0.11 and 0.78±0 </w:t>
      </w:r>
      <w:r w:rsidR="002146FC" w:rsidRPr="00EC6C19">
        <w:rPr>
          <w:rFonts w:ascii="Times New Roman" w:eastAsia="Times New Roman" w:hAnsi="Times New Roman" w:cs="Times New Roman"/>
          <w:color w:val="000000"/>
          <w:sz w:val="24"/>
          <w:szCs w:val="24"/>
        </w:rPr>
        <w:t xml:space="preserve">respectively. </w:t>
      </w:r>
      <w:r w:rsidR="002146FC" w:rsidRPr="00EC6C19">
        <w:rPr>
          <w:rFonts w:ascii="Times New Roman" w:hAnsi="Times New Roman" w:cs="Times New Roman"/>
          <w:sz w:val="24"/>
          <w:szCs w:val="24"/>
        </w:rPr>
        <w:t>Resting</w:t>
      </w:r>
      <w:r w:rsidR="00FC2A85" w:rsidRPr="00EC6C19">
        <w:rPr>
          <w:rFonts w:ascii="Times New Roman" w:hAnsi="Times New Roman" w:cs="Times New Roman"/>
          <w:sz w:val="24"/>
          <w:szCs w:val="24"/>
        </w:rPr>
        <w:t xml:space="preserve"> and hyperaemic d</w:t>
      </w:r>
      <w:r w:rsidRPr="00EC6C19">
        <w:rPr>
          <w:rFonts w:ascii="Times New Roman" w:hAnsi="Times New Roman" w:cs="Times New Roman"/>
          <w:sz w:val="24"/>
          <w:szCs w:val="24"/>
        </w:rPr>
        <w:t>oppler flow measurements did not change</w:t>
      </w:r>
      <w:r w:rsidR="00856598" w:rsidRPr="00EC6C19">
        <w:rPr>
          <w:rFonts w:ascii="Times New Roman" w:hAnsi="Times New Roman" w:cs="Times New Roman"/>
          <w:sz w:val="24"/>
          <w:szCs w:val="24"/>
        </w:rPr>
        <w:t xml:space="preserve"> </w:t>
      </w:r>
      <w:r w:rsidR="002146FC" w:rsidRPr="00EC6C19">
        <w:rPr>
          <w:rFonts w:ascii="Times New Roman" w:hAnsi="Times New Roman" w:cs="Times New Roman"/>
          <w:sz w:val="24"/>
          <w:szCs w:val="24"/>
        </w:rPr>
        <w:t>significantly when</w:t>
      </w:r>
      <w:r w:rsidR="00FC2A85" w:rsidRPr="00EC6C19">
        <w:rPr>
          <w:rFonts w:ascii="Times New Roman" w:hAnsi="Times New Roman" w:cs="Times New Roman"/>
          <w:sz w:val="24"/>
          <w:szCs w:val="24"/>
        </w:rPr>
        <w:t xml:space="preserve"> comparing prone and supine patient position</w:t>
      </w:r>
      <w:r w:rsidRPr="00EC6C19">
        <w:rPr>
          <w:rFonts w:ascii="Times New Roman" w:hAnsi="Times New Roman" w:cs="Times New Roman"/>
          <w:sz w:val="24"/>
          <w:szCs w:val="24"/>
        </w:rPr>
        <w:t>.</w:t>
      </w:r>
      <w:r w:rsidR="00922F0D" w:rsidRPr="00EC6C19">
        <w:rPr>
          <w:rFonts w:ascii="Times New Roman" w:hAnsi="Times New Roman" w:cs="Times New Roman"/>
          <w:sz w:val="24"/>
          <w:szCs w:val="24"/>
        </w:rPr>
        <w:t xml:space="preserve"> 26% of all FFR and 36% of all </w:t>
      </w:r>
      <w:r w:rsidR="001F1983" w:rsidRPr="00EC6C19">
        <w:rPr>
          <w:rFonts w:ascii="Times New Roman" w:hAnsi="Times New Roman" w:cs="Times New Roman"/>
          <w:sz w:val="24"/>
          <w:szCs w:val="24"/>
        </w:rPr>
        <w:t>i</w:t>
      </w:r>
      <w:r w:rsidR="00922F0D" w:rsidRPr="00EC6C19">
        <w:rPr>
          <w:rFonts w:ascii="Times New Roman" w:hAnsi="Times New Roman" w:cs="Times New Roman"/>
          <w:sz w:val="24"/>
          <w:szCs w:val="24"/>
        </w:rPr>
        <w:t xml:space="preserve">FR values </w:t>
      </w:r>
      <w:r w:rsidR="005918A8">
        <w:rPr>
          <w:rFonts w:ascii="Times New Roman" w:hAnsi="Times New Roman" w:cs="Times New Roman"/>
          <w:sz w:val="24"/>
          <w:szCs w:val="24"/>
        </w:rPr>
        <w:t xml:space="preserve">were </w:t>
      </w:r>
      <w:r w:rsidR="00922F0D" w:rsidRPr="00EC6C19">
        <w:rPr>
          <w:rFonts w:ascii="Times New Roman" w:hAnsi="Times New Roman" w:cs="Times New Roman"/>
          <w:sz w:val="24"/>
          <w:szCs w:val="24"/>
        </w:rPr>
        <w:t xml:space="preserve">re-classified across a </w:t>
      </w:r>
      <w:r w:rsidR="001F1983" w:rsidRPr="00EC6C19">
        <w:rPr>
          <w:rFonts w:ascii="Times New Roman" w:hAnsi="Times New Roman" w:cs="Times New Roman"/>
          <w:sz w:val="24"/>
          <w:szCs w:val="24"/>
        </w:rPr>
        <w:t>treatment</w:t>
      </w:r>
      <w:r w:rsidR="00922F0D" w:rsidRPr="00EC6C19">
        <w:rPr>
          <w:rFonts w:ascii="Times New Roman" w:hAnsi="Times New Roman" w:cs="Times New Roman"/>
          <w:sz w:val="24"/>
          <w:szCs w:val="24"/>
        </w:rPr>
        <w:t xml:space="preserve"> threshold when hydrostatic effect was corrected.</w:t>
      </w:r>
    </w:p>
    <w:p w14:paraId="4FF573CD" w14:textId="06F7CEA6" w:rsidR="00DB2C7E" w:rsidRDefault="000037A2" w:rsidP="00967994">
      <w:pPr>
        <w:jc w:val="both"/>
        <w:rPr>
          <w:rFonts w:ascii="Times New Roman" w:hAnsi="Times New Roman" w:cs="Times New Roman"/>
          <w:sz w:val="24"/>
          <w:szCs w:val="24"/>
        </w:rPr>
      </w:pPr>
      <w:r w:rsidRPr="00EC6C19">
        <w:rPr>
          <w:rFonts w:ascii="Times New Roman" w:hAnsi="Times New Roman" w:cs="Times New Roman"/>
          <w:b/>
          <w:sz w:val="24"/>
          <w:szCs w:val="24"/>
        </w:rPr>
        <w:t>Conclusion</w:t>
      </w:r>
      <w:r w:rsidR="00FC2A85" w:rsidRPr="00EC6C19">
        <w:rPr>
          <w:rFonts w:ascii="Times New Roman" w:hAnsi="Times New Roman" w:cs="Times New Roman"/>
          <w:b/>
          <w:sz w:val="24"/>
          <w:szCs w:val="24"/>
        </w:rPr>
        <w:t xml:space="preserve">. </w:t>
      </w:r>
      <w:r w:rsidR="00882DD6">
        <w:rPr>
          <w:rFonts w:ascii="Times New Roman" w:hAnsi="Times New Roman" w:cs="Times New Roman"/>
          <w:sz w:val="24"/>
          <w:szCs w:val="24"/>
        </w:rPr>
        <w:t xml:space="preserve">Patient position </w:t>
      </w:r>
      <w:r w:rsidR="00922F0D" w:rsidRPr="00EC6C19">
        <w:rPr>
          <w:rFonts w:ascii="Times New Roman" w:hAnsi="Times New Roman" w:cs="Times New Roman"/>
          <w:sz w:val="24"/>
          <w:szCs w:val="24"/>
        </w:rPr>
        <w:t>alters</w:t>
      </w:r>
      <w:r w:rsidR="00FC2A85" w:rsidRPr="00EC6C19">
        <w:rPr>
          <w:rFonts w:ascii="Times New Roman" w:hAnsi="Times New Roman" w:cs="Times New Roman"/>
          <w:sz w:val="24"/>
          <w:szCs w:val="24"/>
        </w:rPr>
        <w:t xml:space="preserve"> physiological stenosis severity as quantified by invasive coronary pressure measurements. </w:t>
      </w:r>
      <w:r w:rsidR="00882DD6">
        <w:rPr>
          <w:rFonts w:ascii="Times New Roman" w:hAnsi="Times New Roman" w:cs="Times New Roman"/>
          <w:sz w:val="24"/>
          <w:szCs w:val="24"/>
        </w:rPr>
        <w:t>C</w:t>
      </w:r>
      <w:r w:rsidR="00FC2A85" w:rsidRPr="00EC6C19">
        <w:rPr>
          <w:rFonts w:ascii="Times New Roman" w:hAnsi="Times New Roman" w:cs="Times New Roman"/>
          <w:sz w:val="24"/>
          <w:szCs w:val="24"/>
        </w:rPr>
        <w:t>oronary stenos</w:t>
      </w:r>
      <w:r w:rsidR="00882DD6">
        <w:rPr>
          <w:rFonts w:ascii="Times New Roman" w:hAnsi="Times New Roman" w:cs="Times New Roman"/>
          <w:sz w:val="24"/>
          <w:szCs w:val="24"/>
        </w:rPr>
        <w:t>e</w:t>
      </w:r>
      <w:r w:rsidR="00FC2A85" w:rsidRPr="00EC6C19">
        <w:rPr>
          <w:rFonts w:ascii="Times New Roman" w:hAnsi="Times New Roman" w:cs="Times New Roman"/>
          <w:sz w:val="24"/>
          <w:szCs w:val="24"/>
        </w:rPr>
        <w:t>s positioned inferiorly to the aorta, produce significantly higher Pd/Pa, iFR and FFR</w:t>
      </w:r>
      <w:r w:rsidR="00856598" w:rsidRPr="00EC6C19">
        <w:rPr>
          <w:rFonts w:ascii="Times New Roman" w:hAnsi="Times New Roman" w:cs="Times New Roman"/>
          <w:sz w:val="24"/>
          <w:szCs w:val="24"/>
        </w:rPr>
        <w:t xml:space="preserve"> values</w:t>
      </w:r>
      <w:r w:rsidR="00FC2A85" w:rsidRPr="00EC6C19">
        <w:rPr>
          <w:rFonts w:ascii="Times New Roman" w:hAnsi="Times New Roman" w:cs="Times New Roman"/>
          <w:sz w:val="24"/>
          <w:szCs w:val="24"/>
        </w:rPr>
        <w:t xml:space="preserve"> when compared to a superior position. Conversely, patient position did not influence coronary doppler flow </w:t>
      </w:r>
      <w:r w:rsidR="002146FC" w:rsidRPr="00EC6C19">
        <w:rPr>
          <w:rFonts w:ascii="Times New Roman" w:hAnsi="Times New Roman" w:cs="Times New Roman"/>
          <w:sz w:val="24"/>
          <w:szCs w:val="24"/>
        </w:rPr>
        <w:t>velocity.</w:t>
      </w:r>
      <w:r w:rsidR="00583C26">
        <w:rPr>
          <w:rFonts w:ascii="Times New Roman" w:hAnsi="Times New Roman" w:cs="Times New Roman"/>
          <w:sz w:val="24"/>
          <w:szCs w:val="24"/>
        </w:rPr>
        <w:t xml:space="preserve"> This </w:t>
      </w:r>
      <w:r w:rsidR="00670CCC">
        <w:rPr>
          <w:rFonts w:ascii="Times New Roman" w:hAnsi="Times New Roman" w:cs="Times New Roman"/>
          <w:sz w:val="24"/>
          <w:szCs w:val="24"/>
        </w:rPr>
        <w:t>is the first study to quantify the effect of hydrostatic pressure on invasive measures of coronary stenosis. The data supports hydrostatic effect as a potential confounding factor leading to inaccurate lesion assessment.</w:t>
      </w:r>
    </w:p>
    <w:p w14:paraId="16686082" w14:textId="770E1A45" w:rsidR="003E2AD3" w:rsidRDefault="00CE1DFB" w:rsidP="00967994">
      <w:pPr>
        <w:jc w:val="both"/>
        <w:rPr>
          <w:rFonts w:ascii="Times New Roman" w:hAnsi="Times New Roman" w:cs="Times New Roman"/>
          <w:sz w:val="24"/>
          <w:szCs w:val="24"/>
        </w:rPr>
      </w:pPr>
      <w:r w:rsidRPr="00670CCC">
        <w:rPr>
          <w:rFonts w:ascii="Times New Roman" w:hAnsi="Times New Roman" w:cs="Times New Roman"/>
          <w:b/>
          <w:bCs/>
          <w:sz w:val="24"/>
          <w:szCs w:val="24"/>
        </w:rPr>
        <w:t>Keywords:</w:t>
      </w:r>
      <w:r w:rsidRPr="00EC6C19">
        <w:rPr>
          <w:rFonts w:ascii="Times New Roman" w:hAnsi="Times New Roman" w:cs="Times New Roman"/>
          <w:sz w:val="24"/>
          <w:szCs w:val="24"/>
        </w:rPr>
        <w:t xml:space="preserve"> Hydrostatic pressure, </w:t>
      </w:r>
      <w:r w:rsidR="00543B67">
        <w:rPr>
          <w:rFonts w:ascii="Times New Roman" w:hAnsi="Times New Roman" w:cs="Times New Roman"/>
          <w:sz w:val="24"/>
          <w:szCs w:val="24"/>
        </w:rPr>
        <w:t>p</w:t>
      </w:r>
      <w:r w:rsidR="00543B67" w:rsidRPr="00EC6C19">
        <w:rPr>
          <w:rFonts w:ascii="Times New Roman" w:hAnsi="Times New Roman" w:cs="Times New Roman"/>
          <w:sz w:val="24"/>
          <w:szCs w:val="24"/>
        </w:rPr>
        <w:t>rone</w:t>
      </w:r>
      <w:r w:rsidRPr="00EC6C19">
        <w:rPr>
          <w:rFonts w:ascii="Times New Roman" w:hAnsi="Times New Roman" w:cs="Times New Roman"/>
          <w:sz w:val="24"/>
          <w:szCs w:val="24"/>
        </w:rPr>
        <w:t xml:space="preserve">, </w:t>
      </w:r>
      <w:r w:rsidR="00543B67">
        <w:rPr>
          <w:rFonts w:ascii="Times New Roman" w:hAnsi="Times New Roman" w:cs="Times New Roman"/>
          <w:sz w:val="24"/>
          <w:szCs w:val="24"/>
        </w:rPr>
        <w:t>s</w:t>
      </w:r>
      <w:r w:rsidR="00543B67" w:rsidRPr="00EC6C19">
        <w:rPr>
          <w:rFonts w:ascii="Times New Roman" w:hAnsi="Times New Roman" w:cs="Times New Roman"/>
          <w:sz w:val="24"/>
          <w:szCs w:val="24"/>
        </w:rPr>
        <w:t>upine</w:t>
      </w:r>
      <w:r w:rsidRPr="00EC6C19">
        <w:rPr>
          <w:rFonts w:ascii="Times New Roman" w:hAnsi="Times New Roman" w:cs="Times New Roman"/>
          <w:sz w:val="24"/>
          <w:szCs w:val="24"/>
        </w:rPr>
        <w:t xml:space="preserve">, FFR, iFR, </w:t>
      </w:r>
      <w:r w:rsidR="00543B67">
        <w:rPr>
          <w:rFonts w:ascii="Times New Roman" w:hAnsi="Times New Roman" w:cs="Times New Roman"/>
          <w:sz w:val="24"/>
          <w:szCs w:val="24"/>
        </w:rPr>
        <w:t>d</w:t>
      </w:r>
      <w:r w:rsidR="00543B67" w:rsidRPr="00EC6C19">
        <w:rPr>
          <w:rFonts w:ascii="Times New Roman" w:hAnsi="Times New Roman" w:cs="Times New Roman"/>
          <w:sz w:val="24"/>
          <w:szCs w:val="24"/>
        </w:rPr>
        <w:t>oppler</w:t>
      </w:r>
    </w:p>
    <w:p w14:paraId="3D4B1752" w14:textId="064E4FE8" w:rsidR="001E2882" w:rsidRPr="00882DD6" w:rsidRDefault="00C52AFD" w:rsidP="003E2AD3">
      <w:pPr>
        <w:jc w:val="center"/>
        <w:rPr>
          <w:rFonts w:ascii="Times New Roman" w:hAnsi="Times New Roman" w:cs="Times New Roman"/>
          <w:sz w:val="24"/>
          <w:szCs w:val="24"/>
        </w:rPr>
      </w:pPr>
      <w:r w:rsidRPr="00EC6C19">
        <w:rPr>
          <w:rFonts w:ascii="Times New Roman" w:hAnsi="Times New Roman" w:cs="Times New Roman"/>
          <w:b/>
          <w:sz w:val="24"/>
          <w:szCs w:val="24"/>
        </w:rPr>
        <w:lastRenderedPageBreak/>
        <w:t>Publications arising from this research</w:t>
      </w:r>
      <w:r w:rsidR="001B3734">
        <w:rPr>
          <w:rFonts w:ascii="Times New Roman" w:hAnsi="Times New Roman" w:cs="Times New Roman"/>
          <w:b/>
          <w:sz w:val="24"/>
          <w:szCs w:val="24"/>
        </w:rPr>
        <w:t>:</w:t>
      </w:r>
    </w:p>
    <w:p w14:paraId="04CA7232" w14:textId="77777777" w:rsidR="00C52AFD" w:rsidRPr="00EC6C19" w:rsidRDefault="00C52AFD" w:rsidP="00C52AFD">
      <w:pPr>
        <w:spacing w:line="240" w:lineRule="auto"/>
        <w:rPr>
          <w:rFonts w:ascii="Times New Roman" w:hAnsi="Times New Roman" w:cs="Times New Roman"/>
          <w:b/>
          <w:sz w:val="24"/>
          <w:szCs w:val="24"/>
        </w:rPr>
      </w:pPr>
    </w:p>
    <w:p w14:paraId="658B8DA0" w14:textId="77777777" w:rsidR="00C52AFD" w:rsidRPr="00EC6C19" w:rsidRDefault="00F40E8E" w:rsidP="00B76178">
      <w:pPr>
        <w:pStyle w:val="Title1"/>
        <w:numPr>
          <w:ilvl w:val="0"/>
          <w:numId w:val="38"/>
        </w:numPr>
        <w:shd w:val="clear" w:color="auto" w:fill="FFFFFF"/>
        <w:spacing w:before="0" w:beforeAutospacing="0" w:after="0" w:afterAutospacing="0" w:line="360" w:lineRule="auto"/>
      </w:pPr>
      <w:hyperlink r:id="rId13" w:history="1">
        <w:bookmarkStart w:id="1" w:name="_Ref44681073"/>
        <w:r w:rsidR="00C52AFD" w:rsidRPr="00EC6C19">
          <w:rPr>
            <w:rStyle w:val="Hyperlink"/>
            <w:color w:val="auto"/>
            <w:u w:val="none"/>
          </w:rPr>
          <w:t>Coronary artery height differences and their effect on fractional flow reserve.</w:t>
        </w:r>
        <w:bookmarkEnd w:id="1"/>
      </w:hyperlink>
    </w:p>
    <w:p w14:paraId="35C52C6F" w14:textId="77777777" w:rsidR="00C52AFD" w:rsidRPr="00EC6C19" w:rsidRDefault="00C52AFD" w:rsidP="00B76178">
      <w:pPr>
        <w:pStyle w:val="desc"/>
        <w:shd w:val="clear" w:color="auto" w:fill="FFFFFF"/>
        <w:spacing w:before="0" w:beforeAutospacing="0" w:after="0" w:afterAutospacing="0" w:line="360" w:lineRule="auto"/>
        <w:ind w:left="720"/>
      </w:pPr>
      <w:r w:rsidRPr="00EC6C19">
        <w:rPr>
          <w:b/>
          <w:bCs/>
        </w:rPr>
        <w:t>Al-Janabi F</w:t>
      </w:r>
      <w:r w:rsidRPr="00EC6C19">
        <w:t>, Karamasis G, Cook CM, Kabir AM, Jagathesan RO, Robinson NM, Sayer JW, Aggarwal RK, Clesham GJ, Kelly PR, Gamma RA, Tang KH, Keeble TR, Davies JR.</w:t>
      </w:r>
    </w:p>
    <w:p w14:paraId="68467B15" w14:textId="77777777" w:rsidR="00C52AFD" w:rsidRPr="00EC6C19" w:rsidRDefault="00C52AFD" w:rsidP="00B76178">
      <w:pPr>
        <w:pStyle w:val="details"/>
        <w:shd w:val="clear" w:color="auto" w:fill="FFFFFF"/>
        <w:spacing w:before="0" w:beforeAutospacing="0" w:after="0" w:afterAutospacing="0" w:line="360" w:lineRule="auto"/>
        <w:ind w:left="720"/>
      </w:pPr>
      <w:r w:rsidRPr="00EC6C19">
        <w:rPr>
          <w:rStyle w:val="jrnl"/>
        </w:rPr>
        <w:t>Cardiol J</w:t>
      </w:r>
      <w:r w:rsidRPr="00EC6C19">
        <w:t>. 2019 Mar 26. doi: 10.5603/CJ.a2019.0031</w:t>
      </w:r>
    </w:p>
    <w:p w14:paraId="72ECCFE2" w14:textId="77777777" w:rsidR="00C52AFD" w:rsidRPr="00EC6C19" w:rsidRDefault="00C52AFD" w:rsidP="00C52AFD">
      <w:pPr>
        <w:spacing w:line="240" w:lineRule="auto"/>
        <w:rPr>
          <w:rFonts w:ascii="Times New Roman" w:hAnsi="Times New Roman" w:cs="Times New Roman"/>
          <w:b/>
          <w:sz w:val="24"/>
          <w:szCs w:val="24"/>
        </w:rPr>
      </w:pPr>
    </w:p>
    <w:p w14:paraId="01F00997" w14:textId="77777777" w:rsidR="00C52AFD" w:rsidRPr="00EC6C19" w:rsidRDefault="00C52AFD" w:rsidP="00C52AFD">
      <w:pPr>
        <w:spacing w:line="240" w:lineRule="auto"/>
        <w:rPr>
          <w:rFonts w:ascii="Times New Roman" w:hAnsi="Times New Roman" w:cs="Times New Roman"/>
          <w:b/>
          <w:sz w:val="24"/>
          <w:szCs w:val="24"/>
        </w:rPr>
      </w:pPr>
    </w:p>
    <w:p w14:paraId="70AC9C53" w14:textId="77777777" w:rsidR="00C52AFD" w:rsidRPr="00EC6C19" w:rsidRDefault="00C52AFD" w:rsidP="00C52AFD">
      <w:pPr>
        <w:spacing w:line="240" w:lineRule="auto"/>
        <w:rPr>
          <w:rFonts w:ascii="Times New Roman" w:hAnsi="Times New Roman" w:cs="Times New Roman"/>
          <w:b/>
          <w:sz w:val="24"/>
          <w:szCs w:val="24"/>
        </w:rPr>
      </w:pPr>
    </w:p>
    <w:p w14:paraId="28F61E62" w14:textId="77777777" w:rsidR="00C52AFD" w:rsidRPr="00EC6C19" w:rsidRDefault="00C52AFD" w:rsidP="00C52AFD">
      <w:pPr>
        <w:spacing w:line="240" w:lineRule="auto"/>
        <w:rPr>
          <w:rFonts w:ascii="Times New Roman" w:hAnsi="Times New Roman" w:cs="Times New Roman"/>
          <w:b/>
          <w:sz w:val="24"/>
          <w:szCs w:val="24"/>
        </w:rPr>
      </w:pPr>
    </w:p>
    <w:p w14:paraId="04F85452" w14:textId="77777777" w:rsidR="00C52AFD" w:rsidRPr="00EC6C19" w:rsidRDefault="00C52AFD" w:rsidP="00C52AFD">
      <w:pPr>
        <w:spacing w:line="240" w:lineRule="auto"/>
        <w:rPr>
          <w:rFonts w:ascii="Times New Roman" w:hAnsi="Times New Roman" w:cs="Times New Roman"/>
          <w:b/>
          <w:sz w:val="24"/>
          <w:szCs w:val="24"/>
        </w:rPr>
      </w:pPr>
      <w:r w:rsidRPr="00EC6C19">
        <w:rPr>
          <w:rFonts w:ascii="Times New Roman" w:hAnsi="Times New Roman" w:cs="Times New Roman"/>
          <w:b/>
          <w:sz w:val="24"/>
          <w:szCs w:val="24"/>
        </w:rPr>
        <w:t>Presentations at scientific meetings</w:t>
      </w:r>
    </w:p>
    <w:p w14:paraId="45C7828A" w14:textId="77777777" w:rsidR="00B76178" w:rsidRPr="00EC6C19" w:rsidRDefault="00B76178" w:rsidP="00C52AFD">
      <w:pPr>
        <w:rPr>
          <w:rFonts w:ascii="Times New Roman" w:hAnsi="Times New Roman" w:cs="Times New Roman"/>
          <w:sz w:val="24"/>
          <w:szCs w:val="24"/>
        </w:rPr>
      </w:pPr>
    </w:p>
    <w:p w14:paraId="11E7BD2E" w14:textId="10EBA2E9" w:rsidR="00C52AFD" w:rsidRPr="00EC6C19" w:rsidRDefault="00C52AFD" w:rsidP="00B76178">
      <w:pPr>
        <w:pStyle w:val="ListParagraph"/>
        <w:numPr>
          <w:ilvl w:val="0"/>
          <w:numId w:val="39"/>
        </w:numPr>
        <w:rPr>
          <w:rFonts w:ascii="Times New Roman" w:hAnsi="Times New Roman" w:cs="Times New Roman"/>
          <w:sz w:val="24"/>
          <w:szCs w:val="24"/>
        </w:rPr>
      </w:pPr>
      <w:r w:rsidRPr="00EC6C19">
        <w:rPr>
          <w:rFonts w:ascii="Times New Roman" w:hAnsi="Times New Roman" w:cs="Times New Roman"/>
          <w:bCs/>
          <w:sz w:val="24"/>
          <w:szCs w:val="24"/>
        </w:rPr>
        <w:t>The Effect of Hydrostatic Pressure on FFR</w:t>
      </w:r>
      <w:r w:rsidR="00B76178" w:rsidRPr="00EC6C19">
        <w:rPr>
          <w:rFonts w:ascii="Times New Roman" w:hAnsi="Times New Roman" w:cs="Times New Roman"/>
          <w:bCs/>
          <w:sz w:val="24"/>
          <w:szCs w:val="24"/>
        </w:rPr>
        <w:t>.</w:t>
      </w:r>
      <w:r w:rsidR="00B76178" w:rsidRPr="00EC6C19">
        <w:rPr>
          <w:rFonts w:ascii="Times New Roman" w:hAnsi="Times New Roman" w:cs="Times New Roman"/>
          <w:sz w:val="24"/>
          <w:szCs w:val="24"/>
          <w:lang w:val="en-US"/>
        </w:rPr>
        <w:t xml:space="preserve"> </w:t>
      </w:r>
      <w:r w:rsidRPr="00EC6C19">
        <w:rPr>
          <w:rFonts w:ascii="Times New Roman" w:hAnsi="Times New Roman" w:cs="Times New Roman"/>
          <w:sz w:val="24"/>
          <w:szCs w:val="24"/>
        </w:rPr>
        <w:t>F. Al-Janabi, G. Karamasis, C.</w:t>
      </w:r>
      <w:r w:rsidR="00B76178" w:rsidRPr="00EC6C19">
        <w:rPr>
          <w:rFonts w:ascii="Times New Roman" w:hAnsi="Times New Roman" w:cs="Times New Roman"/>
          <w:sz w:val="24"/>
          <w:szCs w:val="24"/>
        </w:rPr>
        <w:t xml:space="preserve"> </w:t>
      </w:r>
      <w:r w:rsidRPr="00EC6C19">
        <w:rPr>
          <w:rFonts w:ascii="Times New Roman" w:hAnsi="Times New Roman" w:cs="Times New Roman"/>
          <w:sz w:val="24"/>
          <w:szCs w:val="24"/>
        </w:rPr>
        <w:t xml:space="preserve">Cook, G.J. </w:t>
      </w:r>
      <w:r w:rsidR="00B76178" w:rsidRPr="00EC6C19">
        <w:rPr>
          <w:rFonts w:ascii="Times New Roman" w:hAnsi="Times New Roman" w:cs="Times New Roman"/>
          <w:sz w:val="24"/>
          <w:szCs w:val="24"/>
        </w:rPr>
        <w:t xml:space="preserve"> </w:t>
      </w:r>
      <w:r w:rsidRPr="00EC6C19">
        <w:rPr>
          <w:rFonts w:ascii="Times New Roman" w:hAnsi="Times New Roman" w:cs="Times New Roman"/>
          <w:sz w:val="24"/>
          <w:szCs w:val="24"/>
        </w:rPr>
        <w:t>Clesham, R.K. Aggarwal, R. Gamma, P. Kelly, K. Tang</w:t>
      </w:r>
      <w:r w:rsidR="00B76178" w:rsidRPr="00EC6C19">
        <w:rPr>
          <w:rFonts w:ascii="Times New Roman" w:hAnsi="Times New Roman" w:cs="Times New Roman"/>
          <w:sz w:val="24"/>
          <w:szCs w:val="24"/>
        </w:rPr>
        <w:t xml:space="preserve">, </w:t>
      </w:r>
      <w:r w:rsidRPr="00EC6C19">
        <w:rPr>
          <w:rFonts w:ascii="Times New Roman" w:hAnsi="Times New Roman" w:cs="Times New Roman"/>
          <w:sz w:val="24"/>
          <w:szCs w:val="24"/>
        </w:rPr>
        <w:t xml:space="preserve">J. Davies, T. Keeble </w:t>
      </w:r>
    </w:p>
    <w:p w14:paraId="02514769" w14:textId="66F4D4F9" w:rsidR="00B76178" w:rsidRPr="00EC6C19" w:rsidRDefault="00B76178" w:rsidP="00670CCC">
      <w:pPr>
        <w:ind w:left="720"/>
        <w:rPr>
          <w:rFonts w:ascii="Times New Roman" w:hAnsi="Times New Roman" w:cs="Times New Roman"/>
          <w:sz w:val="24"/>
          <w:szCs w:val="24"/>
        </w:rPr>
      </w:pPr>
      <w:r w:rsidRPr="00EC6C19">
        <w:rPr>
          <w:rFonts w:ascii="Times New Roman" w:hAnsi="Times New Roman" w:cs="Times New Roman"/>
          <w:sz w:val="24"/>
          <w:szCs w:val="24"/>
        </w:rPr>
        <w:t>Euro</w:t>
      </w:r>
      <w:r w:rsidR="00670CCC">
        <w:rPr>
          <w:rFonts w:ascii="Times New Roman" w:hAnsi="Times New Roman" w:cs="Times New Roman"/>
          <w:sz w:val="24"/>
          <w:szCs w:val="24"/>
        </w:rPr>
        <w:t>pean Association for Percutaneous Cardiovascular Interventions</w:t>
      </w:r>
      <w:r w:rsidRPr="00EC6C19">
        <w:rPr>
          <w:rFonts w:ascii="Times New Roman" w:hAnsi="Times New Roman" w:cs="Times New Roman"/>
          <w:sz w:val="24"/>
          <w:szCs w:val="24"/>
        </w:rPr>
        <w:t xml:space="preserve"> 2018 Poster Presentation</w:t>
      </w:r>
      <w:r w:rsidR="00600A1C">
        <w:rPr>
          <w:rFonts w:ascii="Times New Roman" w:hAnsi="Times New Roman" w:cs="Times New Roman"/>
          <w:sz w:val="24"/>
          <w:szCs w:val="24"/>
        </w:rPr>
        <w:t xml:space="preserve"> </w:t>
      </w:r>
      <w:r w:rsidR="00106A32">
        <w:rPr>
          <w:rFonts w:ascii="Times New Roman" w:hAnsi="Times New Roman" w:cs="Times New Roman"/>
          <w:sz w:val="24"/>
          <w:szCs w:val="24"/>
        </w:rPr>
        <w:fldChar w:fldCharType="begin"/>
      </w:r>
      <w:r w:rsidR="00600A1C">
        <w:rPr>
          <w:rFonts w:ascii="Times New Roman" w:hAnsi="Times New Roman" w:cs="Times New Roman"/>
          <w:sz w:val="24"/>
          <w:szCs w:val="24"/>
        </w:rPr>
        <w:instrText xml:space="preserve"> ADDIN ZOTERO_ITEM CSL_CITATION {"citationID":"0kBngs7H","properties":{"formattedCitation":"(PCR Abstract book, 2020)","plainCitation":"(PCR Abstract book, 2020)","noteIndex":0},"citationItems":[{"id":889,"uris":["http://zotero.org/users/local/k67tNDdX/items/UKGYER8U"],"uri":["http://zotero.org/users/local/k67tNDdX/items/UKGYER8U"],"itemData":{"id":889,"type":"webpage","title":"PCR Abstract book","URL":"https://abstractbook.pcronline.com/index/slide/abstract/100377/search/hydro","accessed":{"date-parts":[["2020",7,17]]}}}],"schema":"https://github.com/citation-style-language/schema/raw/master/csl-citation.json"} </w:instrText>
      </w:r>
      <w:r w:rsidR="00106A32">
        <w:rPr>
          <w:rFonts w:ascii="Times New Roman" w:hAnsi="Times New Roman" w:cs="Times New Roman"/>
          <w:sz w:val="24"/>
          <w:szCs w:val="24"/>
        </w:rPr>
        <w:fldChar w:fldCharType="separate"/>
      </w:r>
      <w:r w:rsidR="00600A1C" w:rsidRPr="00600A1C">
        <w:rPr>
          <w:rFonts w:ascii="Times New Roman" w:hAnsi="Times New Roman" w:cs="Times New Roman"/>
          <w:sz w:val="24"/>
        </w:rPr>
        <w:t>(PCR Abstract book, 2020)</w:t>
      </w:r>
      <w:r w:rsidR="00106A32">
        <w:rPr>
          <w:rFonts w:ascii="Times New Roman" w:hAnsi="Times New Roman" w:cs="Times New Roman"/>
          <w:sz w:val="24"/>
          <w:szCs w:val="24"/>
        </w:rPr>
        <w:fldChar w:fldCharType="end"/>
      </w:r>
      <w:r w:rsidR="00600A1C">
        <w:rPr>
          <w:rFonts w:ascii="Times New Roman" w:hAnsi="Times New Roman" w:cs="Times New Roman"/>
          <w:sz w:val="24"/>
          <w:szCs w:val="24"/>
        </w:rPr>
        <w:t xml:space="preserve"> </w:t>
      </w:r>
      <w:r w:rsidR="00600A1C" w:rsidRPr="00600A1C">
        <w:rPr>
          <w:rFonts w:ascii="Times New Roman" w:hAnsi="Times New Roman" w:cs="Times New Roman"/>
          <w:bCs/>
          <w:sz w:val="24"/>
          <w:szCs w:val="24"/>
          <w:shd w:val="clear" w:color="auto" w:fill="FFFFFF" w:themeFill="background1"/>
        </w:rPr>
        <w:t>Euro18A-POS201</w:t>
      </w:r>
    </w:p>
    <w:p w14:paraId="032D3561" w14:textId="77777777" w:rsidR="00B76178" w:rsidRPr="00EC6C19" w:rsidRDefault="00B76178" w:rsidP="00C52AFD">
      <w:pPr>
        <w:rPr>
          <w:rFonts w:ascii="Times New Roman" w:hAnsi="Times New Roman" w:cs="Times New Roman"/>
          <w:sz w:val="24"/>
          <w:szCs w:val="24"/>
        </w:rPr>
      </w:pPr>
    </w:p>
    <w:p w14:paraId="7865807C" w14:textId="77777777" w:rsidR="00B76178" w:rsidRPr="00EC6C19" w:rsidRDefault="00B76178" w:rsidP="00B76178">
      <w:pPr>
        <w:pStyle w:val="ListParagraph"/>
        <w:numPr>
          <w:ilvl w:val="0"/>
          <w:numId w:val="39"/>
        </w:numPr>
        <w:spacing w:after="0" w:line="240" w:lineRule="auto"/>
        <w:rPr>
          <w:rFonts w:ascii="Times New Roman" w:eastAsia="Times New Roman" w:hAnsi="Times New Roman" w:cs="Times New Roman"/>
          <w:bCs/>
          <w:color w:val="000000"/>
          <w:sz w:val="24"/>
          <w:szCs w:val="24"/>
        </w:rPr>
      </w:pPr>
      <w:r w:rsidRPr="00EC6C19">
        <w:rPr>
          <w:rFonts w:ascii="Times New Roman" w:eastAsia="Times New Roman" w:hAnsi="Times New Roman" w:cs="Times New Roman"/>
          <w:bCs/>
          <w:color w:val="000000"/>
          <w:sz w:val="24"/>
          <w:szCs w:val="24"/>
        </w:rPr>
        <w:t>Comparing prone and supine measurements of pressure and doppler based indices across the same coronary stenosis: a first in man case series. F. Al-Janabi</w:t>
      </w:r>
    </w:p>
    <w:p w14:paraId="68FF195D" w14:textId="77777777" w:rsidR="00B76178" w:rsidRPr="00EC6C19" w:rsidRDefault="00B76178" w:rsidP="00B76178">
      <w:pPr>
        <w:spacing w:after="0" w:line="240" w:lineRule="auto"/>
        <w:rPr>
          <w:rFonts w:ascii="Times New Roman" w:eastAsia="Times New Roman" w:hAnsi="Times New Roman" w:cs="Times New Roman"/>
          <w:bCs/>
          <w:color w:val="000000"/>
          <w:sz w:val="24"/>
          <w:szCs w:val="24"/>
        </w:rPr>
      </w:pPr>
      <w:r w:rsidRPr="00EC6C19">
        <w:rPr>
          <w:rFonts w:ascii="Times New Roman" w:eastAsia="Times New Roman" w:hAnsi="Times New Roman" w:cs="Times New Roman"/>
          <w:bCs/>
          <w:color w:val="000000"/>
          <w:sz w:val="24"/>
          <w:szCs w:val="24"/>
        </w:rPr>
        <w:tab/>
      </w:r>
    </w:p>
    <w:p w14:paraId="1D7CF4F5" w14:textId="38FFAE04" w:rsidR="00B76178" w:rsidRPr="00EC6C19" w:rsidRDefault="00B76178" w:rsidP="00F12566">
      <w:pPr>
        <w:spacing w:after="0" w:line="240" w:lineRule="auto"/>
        <w:ind w:left="720"/>
        <w:rPr>
          <w:rFonts w:ascii="Times New Roman" w:eastAsia="Times New Roman" w:hAnsi="Times New Roman" w:cs="Times New Roman"/>
          <w:bCs/>
          <w:color w:val="000000"/>
          <w:sz w:val="24"/>
          <w:szCs w:val="24"/>
        </w:rPr>
      </w:pPr>
      <w:r w:rsidRPr="00EC6C19">
        <w:rPr>
          <w:rFonts w:ascii="Times New Roman" w:eastAsia="Times New Roman" w:hAnsi="Times New Roman" w:cs="Times New Roman"/>
          <w:bCs/>
          <w:color w:val="000000"/>
          <w:sz w:val="24"/>
          <w:szCs w:val="24"/>
        </w:rPr>
        <w:t>Euro</w:t>
      </w:r>
      <w:r w:rsidR="00F12566">
        <w:rPr>
          <w:rFonts w:ascii="Times New Roman" w:eastAsia="Times New Roman" w:hAnsi="Times New Roman" w:cs="Times New Roman"/>
          <w:bCs/>
          <w:color w:val="000000"/>
          <w:sz w:val="24"/>
          <w:szCs w:val="24"/>
        </w:rPr>
        <w:t>pean Associated for Percutaneous Cardiovascular Interventions</w:t>
      </w:r>
      <w:r w:rsidRPr="00EC6C19">
        <w:rPr>
          <w:rFonts w:ascii="Times New Roman" w:eastAsia="Times New Roman" w:hAnsi="Times New Roman" w:cs="Times New Roman"/>
          <w:bCs/>
          <w:color w:val="000000"/>
          <w:sz w:val="24"/>
          <w:szCs w:val="24"/>
        </w:rPr>
        <w:t xml:space="preserve"> 2019  - Shortlisted</w:t>
      </w:r>
      <w:r w:rsidR="00F12566">
        <w:rPr>
          <w:rFonts w:ascii="Times New Roman" w:eastAsia="Times New Roman" w:hAnsi="Times New Roman" w:cs="Times New Roman"/>
          <w:bCs/>
          <w:color w:val="000000"/>
          <w:sz w:val="24"/>
          <w:szCs w:val="24"/>
        </w:rPr>
        <w:t xml:space="preserve"> </w:t>
      </w:r>
      <w:r w:rsidRPr="00EC6C19">
        <w:rPr>
          <w:rFonts w:ascii="Times New Roman" w:eastAsia="Times New Roman" w:hAnsi="Times New Roman" w:cs="Times New Roman"/>
          <w:bCs/>
          <w:color w:val="000000"/>
          <w:sz w:val="24"/>
          <w:szCs w:val="24"/>
        </w:rPr>
        <w:t xml:space="preserve">for oral presentation in PCR's got talent / Young </w:t>
      </w:r>
      <w:r w:rsidRPr="00EC6C19">
        <w:rPr>
          <w:rFonts w:ascii="Times New Roman" w:eastAsia="Times New Roman" w:hAnsi="Times New Roman" w:cs="Times New Roman"/>
          <w:bCs/>
          <w:color w:val="000000"/>
          <w:sz w:val="24"/>
          <w:szCs w:val="24"/>
        </w:rPr>
        <w:tab/>
        <w:t>investigator</w:t>
      </w:r>
    </w:p>
    <w:p w14:paraId="5DCE0B42" w14:textId="77777777" w:rsidR="00B76178" w:rsidRPr="00EC6C19" w:rsidRDefault="00B76178" w:rsidP="00B76178">
      <w:pPr>
        <w:pStyle w:val="ListParagraph"/>
        <w:rPr>
          <w:rFonts w:ascii="Times New Roman" w:hAnsi="Times New Roman" w:cs="Times New Roman"/>
          <w:sz w:val="24"/>
          <w:szCs w:val="24"/>
        </w:rPr>
      </w:pPr>
    </w:p>
    <w:p w14:paraId="4492BBEB" w14:textId="77777777" w:rsidR="00B76178" w:rsidRPr="00EC6C19" w:rsidRDefault="00B76178" w:rsidP="00C52AFD">
      <w:pPr>
        <w:rPr>
          <w:rFonts w:ascii="Times New Roman" w:hAnsi="Times New Roman" w:cs="Times New Roman"/>
          <w:sz w:val="24"/>
          <w:szCs w:val="24"/>
        </w:rPr>
      </w:pPr>
    </w:p>
    <w:p w14:paraId="4C3FF126" w14:textId="77777777" w:rsidR="00B76178" w:rsidRPr="00EC6C19" w:rsidRDefault="00B76178" w:rsidP="00C52AFD">
      <w:pPr>
        <w:rPr>
          <w:rFonts w:ascii="Times New Roman" w:hAnsi="Times New Roman" w:cs="Times New Roman"/>
          <w:sz w:val="24"/>
          <w:szCs w:val="24"/>
          <w:lang w:val="en-US"/>
        </w:rPr>
      </w:pPr>
    </w:p>
    <w:p w14:paraId="4C132348" w14:textId="77777777" w:rsidR="00C52AFD" w:rsidRPr="00EC6C19" w:rsidRDefault="00C52AFD">
      <w:pPr>
        <w:rPr>
          <w:rFonts w:ascii="Times New Roman" w:hAnsi="Times New Roman" w:cs="Times New Roman"/>
          <w:b/>
          <w:sz w:val="24"/>
          <w:szCs w:val="24"/>
          <w:u w:val="single"/>
        </w:rPr>
      </w:pPr>
    </w:p>
    <w:p w14:paraId="153D7140" w14:textId="77777777" w:rsidR="0054043C" w:rsidRDefault="0054043C">
      <w:pPr>
        <w:rPr>
          <w:rFonts w:ascii="Times New Roman" w:hAnsi="Times New Roman" w:cs="Times New Roman"/>
          <w:b/>
          <w:sz w:val="24"/>
          <w:szCs w:val="24"/>
          <w:u w:val="single"/>
        </w:rPr>
      </w:pPr>
    </w:p>
    <w:p w14:paraId="712E73E5" w14:textId="77777777" w:rsidR="005C7F6D" w:rsidRDefault="005C7F6D">
      <w:pPr>
        <w:rPr>
          <w:rFonts w:ascii="Times New Roman" w:hAnsi="Times New Roman" w:cs="Times New Roman"/>
          <w:b/>
          <w:sz w:val="24"/>
          <w:szCs w:val="24"/>
          <w:u w:val="single"/>
        </w:rPr>
      </w:pPr>
    </w:p>
    <w:p w14:paraId="1E211B9E" w14:textId="77777777" w:rsidR="005C7F6D" w:rsidRDefault="005C7F6D">
      <w:pPr>
        <w:rPr>
          <w:rFonts w:ascii="Times New Roman" w:hAnsi="Times New Roman" w:cs="Times New Roman"/>
          <w:b/>
          <w:sz w:val="24"/>
          <w:szCs w:val="24"/>
        </w:rPr>
      </w:pPr>
    </w:p>
    <w:sdt>
      <w:sdtPr>
        <w:rPr>
          <w:rFonts w:ascii="Times New Roman" w:eastAsiaTheme="minorHAnsi" w:hAnsi="Times New Roman" w:cs="Times New Roman"/>
          <w:b w:val="0"/>
          <w:bCs w:val="0"/>
          <w:color w:val="auto"/>
          <w:sz w:val="22"/>
          <w:szCs w:val="24"/>
          <w:lang w:val="en-GB"/>
        </w:rPr>
        <w:id w:val="15414457"/>
        <w:docPartObj>
          <w:docPartGallery w:val="Table of Contents"/>
          <w:docPartUnique/>
        </w:docPartObj>
      </w:sdtPr>
      <w:sdtEndPr>
        <w:rPr>
          <w:sz w:val="24"/>
        </w:rPr>
      </w:sdtEndPr>
      <w:sdtContent>
        <w:p w14:paraId="772D46F3" w14:textId="77777777" w:rsidR="000B3BC7" w:rsidRPr="000D0A00" w:rsidRDefault="000B3BC7">
          <w:pPr>
            <w:pStyle w:val="TOCHeading"/>
            <w:rPr>
              <w:rFonts w:ascii="Times New Roman" w:hAnsi="Times New Roman" w:cs="Times New Roman"/>
              <w:sz w:val="24"/>
              <w:szCs w:val="24"/>
            </w:rPr>
          </w:pPr>
          <w:r w:rsidRPr="000D0A00">
            <w:rPr>
              <w:rFonts w:ascii="Times New Roman" w:hAnsi="Times New Roman" w:cs="Times New Roman"/>
              <w:color w:val="auto"/>
              <w:sz w:val="24"/>
              <w:szCs w:val="24"/>
            </w:rPr>
            <w:t>Contents</w:t>
          </w:r>
        </w:p>
        <w:p w14:paraId="1F07CE38" w14:textId="77777777" w:rsidR="006C02B5" w:rsidRPr="000D0A00" w:rsidRDefault="006C02B5" w:rsidP="006C02B5">
          <w:pPr>
            <w:rPr>
              <w:sz w:val="24"/>
              <w:szCs w:val="24"/>
              <w:lang w:val="en-US"/>
            </w:rPr>
          </w:pPr>
        </w:p>
        <w:p w14:paraId="47242FF0" w14:textId="5BCD80E6" w:rsidR="00292D8F" w:rsidRPr="00D35073" w:rsidRDefault="00106A32">
          <w:pPr>
            <w:pStyle w:val="TOC1"/>
            <w:rPr>
              <w:rFonts w:eastAsiaTheme="minorEastAsia"/>
              <w:lang w:eastAsia="en-GB"/>
            </w:rPr>
          </w:pPr>
          <w:r w:rsidRPr="00D35073">
            <w:rPr>
              <w:b/>
              <w:bCs/>
            </w:rPr>
            <w:fldChar w:fldCharType="begin"/>
          </w:r>
          <w:r w:rsidR="000B3BC7" w:rsidRPr="00D35073">
            <w:instrText xml:space="preserve"> TOC \o "1-3" \h \z \u </w:instrText>
          </w:r>
          <w:r w:rsidRPr="00D35073">
            <w:rPr>
              <w:b/>
              <w:bCs/>
            </w:rPr>
            <w:fldChar w:fldCharType="separate"/>
          </w:r>
          <w:hyperlink w:anchor="_Toc80302149" w:history="1">
            <w:r w:rsidR="00292D8F" w:rsidRPr="00D35073">
              <w:rPr>
                <w:rStyle w:val="Hyperlink"/>
              </w:rPr>
              <w:t>ABSTRACT</w:t>
            </w:r>
            <w:r w:rsidR="00292D8F" w:rsidRPr="00D35073">
              <w:rPr>
                <w:webHidden/>
              </w:rPr>
              <w:tab/>
            </w:r>
            <w:r w:rsidR="00292D8F" w:rsidRPr="00D35073">
              <w:rPr>
                <w:webHidden/>
              </w:rPr>
              <w:fldChar w:fldCharType="begin"/>
            </w:r>
            <w:r w:rsidR="00292D8F" w:rsidRPr="00D35073">
              <w:rPr>
                <w:webHidden/>
              </w:rPr>
              <w:instrText xml:space="preserve"> PAGEREF _Toc80302149 \h </w:instrText>
            </w:r>
            <w:r w:rsidR="00292D8F" w:rsidRPr="00D35073">
              <w:rPr>
                <w:webHidden/>
              </w:rPr>
            </w:r>
            <w:r w:rsidR="00292D8F" w:rsidRPr="00D35073">
              <w:rPr>
                <w:webHidden/>
              </w:rPr>
              <w:fldChar w:fldCharType="separate"/>
            </w:r>
            <w:r w:rsidR="00221ECB">
              <w:rPr>
                <w:webHidden/>
              </w:rPr>
              <w:t>ii</w:t>
            </w:r>
            <w:r w:rsidR="00292D8F" w:rsidRPr="00D35073">
              <w:rPr>
                <w:webHidden/>
              </w:rPr>
              <w:fldChar w:fldCharType="end"/>
            </w:r>
          </w:hyperlink>
        </w:p>
        <w:p w14:paraId="524FF7FE" w14:textId="1A51C630" w:rsidR="00292D8F" w:rsidRPr="00D35073" w:rsidRDefault="00F40E8E">
          <w:pPr>
            <w:pStyle w:val="TOC1"/>
            <w:rPr>
              <w:rFonts w:eastAsiaTheme="minorEastAsia"/>
              <w:lang w:eastAsia="en-GB"/>
            </w:rPr>
          </w:pPr>
          <w:hyperlink w:anchor="_Toc80302150" w:history="1">
            <w:r w:rsidR="00292D8F" w:rsidRPr="00D35073">
              <w:rPr>
                <w:rStyle w:val="Hyperlink"/>
                <w:bCs/>
              </w:rPr>
              <w:t>List of Figures</w:t>
            </w:r>
            <w:r w:rsidR="00292D8F" w:rsidRPr="00D35073">
              <w:rPr>
                <w:webHidden/>
              </w:rPr>
              <w:tab/>
            </w:r>
            <w:r w:rsidR="00292D8F" w:rsidRPr="00D35073">
              <w:rPr>
                <w:webHidden/>
              </w:rPr>
              <w:fldChar w:fldCharType="begin"/>
            </w:r>
            <w:r w:rsidR="00292D8F" w:rsidRPr="00D35073">
              <w:rPr>
                <w:webHidden/>
              </w:rPr>
              <w:instrText xml:space="preserve"> PAGEREF _Toc80302150 \h </w:instrText>
            </w:r>
            <w:r w:rsidR="00292D8F" w:rsidRPr="00D35073">
              <w:rPr>
                <w:webHidden/>
              </w:rPr>
            </w:r>
            <w:r w:rsidR="00292D8F" w:rsidRPr="00D35073">
              <w:rPr>
                <w:webHidden/>
              </w:rPr>
              <w:fldChar w:fldCharType="separate"/>
            </w:r>
            <w:r w:rsidR="00221ECB">
              <w:rPr>
                <w:webHidden/>
              </w:rPr>
              <w:t>ix</w:t>
            </w:r>
            <w:r w:rsidR="00292D8F" w:rsidRPr="00D35073">
              <w:rPr>
                <w:webHidden/>
              </w:rPr>
              <w:fldChar w:fldCharType="end"/>
            </w:r>
          </w:hyperlink>
        </w:p>
        <w:p w14:paraId="60E9BFB6" w14:textId="74AE9946" w:rsidR="00292D8F" w:rsidRPr="00D35073" w:rsidRDefault="00F40E8E">
          <w:pPr>
            <w:pStyle w:val="TOC1"/>
            <w:rPr>
              <w:rFonts w:eastAsiaTheme="minorEastAsia"/>
              <w:lang w:eastAsia="en-GB"/>
            </w:rPr>
          </w:pPr>
          <w:hyperlink w:anchor="_Toc80302151" w:history="1">
            <w:r w:rsidR="00292D8F" w:rsidRPr="00D35073">
              <w:rPr>
                <w:rStyle w:val="Hyperlink"/>
              </w:rPr>
              <w:t>List of Tables</w:t>
            </w:r>
            <w:r w:rsidR="00292D8F" w:rsidRPr="00D35073">
              <w:rPr>
                <w:webHidden/>
              </w:rPr>
              <w:tab/>
            </w:r>
            <w:r w:rsidR="00292D8F" w:rsidRPr="00D35073">
              <w:rPr>
                <w:webHidden/>
              </w:rPr>
              <w:fldChar w:fldCharType="begin"/>
            </w:r>
            <w:r w:rsidR="00292D8F" w:rsidRPr="00D35073">
              <w:rPr>
                <w:webHidden/>
              </w:rPr>
              <w:instrText xml:space="preserve"> PAGEREF _Toc80302151 \h </w:instrText>
            </w:r>
            <w:r w:rsidR="00292D8F" w:rsidRPr="00D35073">
              <w:rPr>
                <w:webHidden/>
              </w:rPr>
            </w:r>
            <w:r w:rsidR="00292D8F" w:rsidRPr="00D35073">
              <w:rPr>
                <w:webHidden/>
              </w:rPr>
              <w:fldChar w:fldCharType="separate"/>
            </w:r>
            <w:r w:rsidR="00221ECB">
              <w:rPr>
                <w:webHidden/>
              </w:rPr>
              <w:t>xii</w:t>
            </w:r>
            <w:r w:rsidR="00292D8F" w:rsidRPr="00D35073">
              <w:rPr>
                <w:webHidden/>
              </w:rPr>
              <w:fldChar w:fldCharType="end"/>
            </w:r>
          </w:hyperlink>
        </w:p>
        <w:p w14:paraId="026C8D4D" w14:textId="29D87456" w:rsidR="00292D8F" w:rsidRPr="00D35073" w:rsidRDefault="00F40E8E">
          <w:pPr>
            <w:pStyle w:val="TOC1"/>
            <w:rPr>
              <w:rFonts w:eastAsiaTheme="minorEastAsia"/>
              <w:lang w:eastAsia="en-GB"/>
            </w:rPr>
          </w:pPr>
          <w:hyperlink w:anchor="_Toc80302152" w:history="1">
            <w:r w:rsidR="00292D8F" w:rsidRPr="00D35073">
              <w:rPr>
                <w:rStyle w:val="Hyperlink"/>
              </w:rPr>
              <w:t>Abbreviations</w:t>
            </w:r>
            <w:r w:rsidR="00292D8F" w:rsidRPr="00D35073">
              <w:rPr>
                <w:webHidden/>
              </w:rPr>
              <w:tab/>
            </w:r>
            <w:r w:rsidR="00292D8F" w:rsidRPr="00D35073">
              <w:rPr>
                <w:webHidden/>
              </w:rPr>
              <w:fldChar w:fldCharType="begin"/>
            </w:r>
            <w:r w:rsidR="00292D8F" w:rsidRPr="00D35073">
              <w:rPr>
                <w:webHidden/>
              </w:rPr>
              <w:instrText xml:space="preserve"> PAGEREF _Toc80302152 \h </w:instrText>
            </w:r>
            <w:r w:rsidR="00292D8F" w:rsidRPr="00D35073">
              <w:rPr>
                <w:webHidden/>
              </w:rPr>
            </w:r>
            <w:r w:rsidR="00292D8F" w:rsidRPr="00D35073">
              <w:rPr>
                <w:webHidden/>
              </w:rPr>
              <w:fldChar w:fldCharType="separate"/>
            </w:r>
            <w:r w:rsidR="00221ECB">
              <w:rPr>
                <w:webHidden/>
              </w:rPr>
              <w:t>xiv</w:t>
            </w:r>
            <w:r w:rsidR="00292D8F" w:rsidRPr="00D35073">
              <w:rPr>
                <w:webHidden/>
              </w:rPr>
              <w:fldChar w:fldCharType="end"/>
            </w:r>
          </w:hyperlink>
        </w:p>
        <w:p w14:paraId="197570D5" w14:textId="6B71E4C0" w:rsidR="00292D8F" w:rsidRPr="00D35073" w:rsidRDefault="00F40E8E">
          <w:pPr>
            <w:pStyle w:val="TOC1"/>
            <w:rPr>
              <w:rFonts w:eastAsiaTheme="minorEastAsia"/>
              <w:lang w:eastAsia="en-GB"/>
            </w:rPr>
          </w:pPr>
          <w:hyperlink w:anchor="_Toc80302153" w:history="1">
            <w:r w:rsidR="00292D8F" w:rsidRPr="00D35073">
              <w:rPr>
                <w:rStyle w:val="Hyperlink"/>
              </w:rPr>
              <w:t>Thesis Structure</w:t>
            </w:r>
            <w:r w:rsidR="00292D8F" w:rsidRPr="00D35073">
              <w:rPr>
                <w:webHidden/>
              </w:rPr>
              <w:tab/>
            </w:r>
            <w:r w:rsidR="00292D8F" w:rsidRPr="00D35073">
              <w:rPr>
                <w:webHidden/>
              </w:rPr>
              <w:fldChar w:fldCharType="begin"/>
            </w:r>
            <w:r w:rsidR="00292D8F" w:rsidRPr="00D35073">
              <w:rPr>
                <w:webHidden/>
              </w:rPr>
              <w:instrText xml:space="preserve"> PAGEREF _Toc80302153 \h </w:instrText>
            </w:r>
            <w:r w:rsidR="00292D8F" w:rsidRPr="00D35073">
              <w:rPr>
                <w:webHidden/>
              </w:rPr>
            </w:r>
            <w:r w:rsidR="00292D8F" w:rsidRPr="00D35073">
              <w:rPr>
                <w:webHidden/>
              </w:rPr>
              <w:fldChar w:fldCharType="separate"/>
            </w:r>
            <w:r w:rsidR="00221ECB">
              <w:rPr>
                <w:webHidden/>
              </w:rPr>
              <w:t>1</w:t>
            </w:r>
            <w:r w:rsidR="00292D8F" w:rsidRPr="00D35073">
              <w:rPr>
                <w:webHidden/>
              </w:rPr>
              <w:fldChar w:fldCharType="end"/>
            </w:r>
          </w:hyperlink>
        </w:p>
        <w:p w14:paraId="49765527" w14:textId="382ACB61" w:rsidR="00292D8F" w:rsidRPr="00D35073" w:rsidRDefault="00F40E8E">
          <w:pPr>
            <w:pStyle w:val="TOC1"/>
            <w:rPr>
              <w:rFonts w:eastAsiaTheme="minorEastAsia"/>
              <w:lang w:eastAsia="en-GB"/>
            </w:rPr>
          </w:pPr>
          <w:hyperlink w:anchor="_Toc80302154" w:history="1">
            <w:r w:rsidR="00292D8F" w:rsidRPr="00D35073">
              <w:rPr>
                <w:rStyle w:val="Hyperlink"/>
              </w:rPr>
              <w:t>Chapter I - Introduction</w:t>
            </w:r>
            <w:r w:rsidR="00292D8F" w:rsidRPr="00D35073">
              <w:rPr>
                <w:webHidden/>
              </w:rPr>
              <w:tab/>
            </w:r>
            <w:r w:rsidR="00292D8F" w:rsidRPr="00D35073">
              <w:rPr>
                <w:webHidden/>
              </w:rPr>
              <w:fldChar w:fldCharType="begin"/>
            </w:r>
            <w:r w:rsidR="00292D8F" w:rsidRPr="00D35073">
              <w:rPr>
                <w:webHidden/>
              </w:rPr>
              <w:instrText xml:space="preserve"> PAGEREF _Toc80302154 \h </w:instrText>
            </w:r>
            <w:r w:rsidR="00292D8F" w:rsidRPr="00D35073">
              <w:rPr>
                <w:webHidden/>
              </w:rPr>
            </w:r>
            <w:r w:rsidR="00292D8F" w:rsidRPr="00D35073">
              <w:rPr>
                <w:webHidden/>
              </w:rPr>
              <w:fldChar w:fldCharType="separate"/>
            </w:r>
            <w:r w:rsidR="00221ECB">
              <w:rPr>
                <w:webHidden/>
              </w:rPr>
              <w:t>10</w:t>
            </w:r>
            <w:r w:rsidR="00292D8F" w:rsidRPr="00D35073">
              <w:rPr>
                <w:webHidden/>
              </w:rPr>
              <w:fldChar w:fldCharType="end"/>
            </w:r>
          </w:hyperlink>
        </w:p>
        <w:p w14:paraId="5BAD855E" w14:textId="1CF36603" w:rsidR="00292D8F" w:rsidRPr="00D35073" w:rsidRDefault="00F40E8E" w:rsidP="00292D8F">
          <w:pPr>
            <w:pStyle w:val="TOC2"/>
            <w:rPr>
              <w:rFonts w:eastAsiaTheme="minorEastAsia"/>
              <w:lang w:eastAsia="en-GB"/>
            </w:rPr>
          </w:pPr>
          <w:hyperlink w:anchor="_Toc80302155" w:history="1">
            <w:r w:rsidR="00292D8F" w:rsidRPr="00D35073">
              <w:rPr>
                <w:rStyle w:val="Hyperlink"/>
              </w:rPr>
              <w:t>1.1 - Acute Coronary Syndrome</w:t>
            </w:r>
            <w:r w:rsidR="00292D8F" w:rsidRPr="00D35073">
              <w:rPr>
                <w:webHidden/>
              </w:rPr>
              <w:tab/>
            </w:r>
            <w:r w:rsidR="00292D8F" w:rsidRPr="00D35073">
              <w:rPr>
                <w:webHidden/>
              </w:rPr>
              <w:fldChar w:fldCharType="begin"/>
            </w:r>
            <w:r w:rsidR="00292D8F" w:rsidRPr="00D35073">
              <w:rPr>
                <w:webHidden/>
              </w:rPr>
              <w:instrText xml:space="preserve"> PAGEREF _Toc80302155 \h </w:instrText>
            </w:r>
            <w:r w:rsidR="00292D8F" w:rsidRPr="00D35073">
              <w:rPr>
                <w:webHidden/>
              </w:rPr>
            </w:r>
            <w:r w:rsidR="00292D8F" w:rsidRPr="00D35073">
              <w:rPr>
                <w:webHidden/>
              </w:rPr>
              <w:fldChar w:fldCharType="separate"/>
            </w:r>
            <w:r w:rsidR="00221ECB">
              <w:rPr>
                <w:webHidden/>
              </w:rPr>
              <w:t>10</w:t>
            </w:r>
            <w:r w:rsidR="00292D8F" w:rsidRPr="00D35073">
              <w:rPr>
                <w:webHidden/>
              </w:rPr>
              <w:fldChar w:fldCharType="end"/>
            </w:r>
          </w:hyperlink>
        </w:p>
        <w:p w14:paraId="2AE25CF0" w14:textId="7D332F98"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56" w:history="1">
            <w:r w:rsidR="00292D8F" w:rsidRPr="00D35073">
              <w:rPr>
                <w:rStyle w:val="Hyperlink"/>
                <w:rFonts w:ascii="Times New Roman" w:hAnsi="Times New Roman" w:cs="Times New Roman"/>
                <w:i/>
                <w:noProof/>
              </w:rPr>
              <w:t>1.1.1 - ST Elevation Myocardial Infarction</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_Toc80302156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10</w:t>
            </w:r>
            <w:r w:rsidR="00292D8F" w:rsidRPr="00D35073">
              <w:rPr>
                <w:rFonts w:ascii="Times New Roman" w:hAnsi="Times New Roman" w:cs="Times New Roman"/>
                <w:noProof/>
                <w:webHidden/>
              </w:rPr>
              <w:fldChar w:fldCharType="end"/>
            </w:r>
          </w:hyperlink>
        </w:p>
        <w:p w14:paraId="49142B58" w14:textId="00E41919"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57" w:history="1">
            <w:r w:rsidR="00292D8F" w:rsidRPr="00D35073">
              <w:rPr>
                <w:rStyle w:val="Hyperlink"/>
                <w:rFonts w:ascii="Times New Roman" w:hAnsi="Times New Roman" w:cs="Times New Roman"/>
                <w:i/>
                <w:noProof/>
              </w:rPr>
              <w:t>1.1.2 - Non-ST Elevation Myocardial Infarction and Unstable Angina</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_Toc80302157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13</w:t>
            </w:r>
            <w:r w:rsidR="00292D8F" w:rsidRPr="00D35073">
              <w:rPr>
                <w:rFonts w:ascii="Times New Roman" w:hAnsi="Times New Roman" w:cs="Times New Roman"/>
                <w:noProof/>
                <w:webHidden/>
              </w:rPr>
              <w:fldChar w:fldCharType="end"/>
            </w:r>
          </w:hyperlink>
        </w:p>
        <w:p w14:paraId="25CFA5BD" w14:textId="78E1A3D6" w:rsidR="00292D8F" w:rsidRPr="00D35073" w:rsidRDefault="00F40E8E" w:rsidP="00292D8F">
          <w:pPr>
            <w:pStyle w:val="TOC2"/>
            <w:rPr>
              <w:rFonts w:eastAsiaTheme="minorEastAsia"/>
              <w:lang w:eastAsia="en-GB"/>
            </w:rPr>
          </w:pPr>
          <w:hyperlink w:anchor="_Toc80302158" w:history="1">
            <w:r w:rsidR="00292D8F" w:rsidRPr="00D35073">
              <w:rPr>
                <w:rStyle w:val="Hyperlink"/>
              </w:rPr>
              <w:t>1.2 - Chronic Coronary Syndrome</w:t>
            </w:r>
            <w:r w:rsidR="00292D8F" w:rsidRPr="00D35073">
              <w:rPr>
                <w:webHidden/>
              </w:rPr>
              <w:tab/>
            </w:r>
            <w:r w:rsidR="00292D8F" w:rsidRPr="00D35073">
              <w:rPr>
                <w:webHidden/>
              </w:rPr>
              <w:fldChar w:fldCharType="begin"/>
            </w:r>
            <w:r w:rsidR="00292D8F" w:rsidRPr="00D35073">
              <w:rPr>
                <w:webHidden/>
              </w:rPr>
              <w:instrText xml:space="preserve"> PAGEREF _Toc80302158 \h </w:instrText>
            </w:r>
            <w:r w:rsidR="00292D8F" w:rsidRPr="00D35073">
              <w:rPr>
                <w:webHidden/>
              </w:rPr>
            </w:r>
            <w:r w:rsidR="00292D8F" w:rsidRPr="00D35073">
              <w:rPr>
                <w:webHidden/>
              </w:rPr>
              <w:fldChar w:fldCharType="separate"/>
            </w:r>
            <w:r w:rsidR="00221ECB">
              <w:rPr>
                <w:webHidden/>
              </w:rPr>
              <w:t>15</w:t>
            </w:r>
            <w:r w:rsidR="00292D8F" w:rsidRPr="00D35073">
              <w:rPr>
                <w:webHidden/>
              </w:rPr>
              <w:fldChar w:fldCharType="end"/>
            </w:r>
          </w:hyperlink>
        </w:p>
        <w:p w14:paraId="2A16042D" w14:textId="41489176" w:rsidR="00292D8F" w:rsidRPr="00D35073" w:rsidRDefault="00F40E8E" w:rsidP="00292D8F">
          <w:pPr>
            <w:pStyle w:val="TOC2"/>
            <w:rPr>
              <w:rFonts w:eastAsiaTheme="minorEastAsia"/>
              <w:lang w:eastAsia="en-GB"/>
            </w:rPr>
          </w:pPr>
          <w:hyperlink w:anchor="_Toc80302159" w:history="1">
            <w:r w:rsidR="00292D8F" w:rsidRPr="00D35073">
              <w:rPr>
                <w:rStyle w:val="Hyperlink"/>
              </w:rPr>
              <w:t>1.3 - Assessing the Coronary Circulation</w:t>
            </w:r>
            <w:r w:rsidR="00292D8F" w:rsidRPr="00D35073">
              <w:rPr>
                <w:webHidden/>
              </w:rPr>
              <w:tab/>
            </w:r>
            <w:r w:rsidR="00292D8F" w:rsidRPr="00D35073">
              <w:rPr>
                <w:webHidden/>
              </w:rPr>
              <w:fldChar w:fldCharType="begin"/>
            </w:r>
            <w:r w:rsidR="00292D8F" w:rsidRPr="00D35073">
              <w:rPr>
                <w:webHidden/>
              </w:rPr>
              <w:instrText xml:space="preserve"> PAGEREF _Toc80302159 \h </w:instrText>
            </w:r>
            <w:r w:rsidR="00292D8F" w:rsidRPr="00D35073">
              <w:rPr>
                <w:webHidden/>
              </w:rPr>
            </w:r>
            <w:r w:rsidR="00292D8F" w:rsidRPr="00D35073">
              <w:rPr>
                <w:webHidden/>
              </w:rPr>
              <w:fldChar w:fldCharType="separate"/>
            </w:r>
            <w:r w:rsidR="00221ECB">
              <w:rPr>
                <w:webHidden/>
              </w:rPr>
              <w:t>17</w:t>
            </w:r>
            <w:r w:rsidR="00292D8F" w:rsidRPr="00D35073">
              <w:rPr>
                <w:webHidden/>
              </w:rPr>
              <w:fldChar w:fldCharType="end"/>
            </w:r>
          </w:hyperlink>
        </w:p>
        <w:p w14:paraId="29AAF4E3" w14:textId="5651FDC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60" w:history="1">
            <w:r w:rsidR="00292D8F" w:rsidRPr="00D35073">
              <w:rPr>
                <w:rStyle w:val="Hyperlink"/>
                <w:rFonts w:ascii="Times New Roman" w:hAnsi="Times New Roman" w:cs="Times New Roman"/>
                <w:i/>
                <w:noProof/>
              </w:rPr>
              <w:t>1.3.1 - Diagnostic Coronary Angiography</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_Toc80302160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17</w:t>
            </w:r>
            <w:r w:rsidR="00292D8F" w:rsidRPr="00D35073">
              <w:rPr>
                <w:rFonts w:ascii="Times New Roman" w:hAnsi="Times New Roman" w:cs="Times New Roman"/>
                <w:noProof/>
                <w:webHidden/>
              </w:rPr>
              <w:fldChar w:fldCharType="end"/>
            </w:r>
          </w:hyperlink>
        </w:p>
        <w:p w14:paraId="1E816755" w14:textId="766A7572"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61" w:history="1">
            <w:r w:rsidR="00292D8F" w:rsidRPr="00D35073">
              <w:rPr>
                <w:rStyle w:val="Hyperlink"/>
                <w:rFonts w:ascii="Times New Roman" w:hAnsi="Times New Roman" w:cs="Times New Roman"/>
                <w:i/>
                <w:noProof/>
              </w:rPr>
              <w:t>1.3.2 - Basic Concept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_Toc80302161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18</w:t>
            </w:r>
            <w:r w:rsidR="00292D8F" w:rsidRPr="00D35073">
              <w:rPr>
                <w:rFonts w:ascii="Times New Roman" w:hAnsi="Times New Roman" w:cs="Times New Roman"/>
                <w:noProof/>
                <w:webHidden/>
              </w:rPr>
              <w:fldChar w:fldCharType="end"/>
            </w:r>
          </w:hyperlink>
        </w:p>
        <w:p w14:paraId="6565EA90" w14:textId="7A8BECF7"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62" w:history="1">
            <w:r w:rsidR="00292D8F" w:rsidRPr="00D35073">
              <w:rPr>
                <w:rStyle w:val="Hyperlink"/>
                <w:rFonts w:ascii="Times New Roman" w:hAnsi="Times New Roman" w:cs="Times New Roman"/>
                <w:i/>
                <w:noProof/>
              </w:rPr>
              <w:t>1.3.3 - Contrast Injection</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_Toc80302162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20</w:t>
            </w:r>
            <w:r w:rsidR="00292D8F" w:rsidRPr="00D35073">
              <w:rPr>
                <w:rFonts w:ascii="Times New Roman" w:hAnsi="Times New Roman" w:cs="Times New Roman"/>
                <w:noProof/>
                <w:webHidden/>
              </w:rPr>
              <w:fldChar w:fldCharType="end"/>
            </w:r>
          </w:hyperlink>
        </w:p>
        <w:p w14:paraId="11E4897B" w14:textId="6529192E"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63" w:history="1">
            <w:r w:rsidR="00292D8F" w:rsidRPr="00D35073">
              <w:rPr>
                <w:rStyle w:val="Hyperlink"/>
                <w:rFonts w:ascii="Times New Roman" w:hAnsi="Times New Roman" w:cs="Times New Roman"/>
                <w:i/>
                <w:noProof/>
              </w:rPr>
              <w:t>1.3.4 - Fluoroscopy</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_Toc80302163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21</w:t>
            </w:r>
            <w:r w:rsidR="00292D8F" w:rsidRPr="00D35073">
              <w:rPr>
                <w:rFonts w:ascii="Times New Roman" w:hAnsi="Times New Roman" w:cs="Times New Roman"/>
                <w:noProof/>
                <w:webHidden/>
              </w:rPr>
              <w:fldChar w:fldCharType="end"/>
            </w:r>
          </w:hyperlink>
        </w:p>
        <w:p w14:paraId="077AEE22" w14:textId="4EEB88DC" w:rsidR="00292D8F" w:rsidRPr="00D35073" w:rsidRDefault="00F40E8E" w:rsidP="00292D8F">
          <w:pPr>
            <w:pStyle w:val="TOC2"/>
            <w:rPr>
              <w:rFonts w:eastAsiaTheme="minorEastAsia"/>
              <w:lang w:eastAsia="en-GB"/>
            </w:rPr>
          </w:pPr>
          <w:hyperlink w:anchor="_Toc80302164" w:history="1">
            <w:r w:rsidR="00292D8F" w:rsidRPr="00D35073">
              <w:rPr>
                <w:rStyle w:val="Hyperlink"/>
              </w:rPr>
              <w:t>1.4 - Percutaneous Coronary Intervention</w:t>
            </w:r>
            <w:r w:rsidR="00292D8F" w:rsidRPr="00D35073">
              <w:rPr>
                <w:webHidden/>
              </w:rPr>
              <w:tab/>
            </w:r>
            <w:r w:rsidR="00292D8F" w:rsidRPr="00D35073">
              <w:rPr>
                <w:webHidden/>
              </w:rPr>
              <w:fldChar w:fldCharType="begin"/>
            </w:r>
            <w:r w:rsidR="00292D8F" w:rsidRPr="00D35073">
              <w:rPr>
                <w:webHidden/>
              </w:rPr>
              <w:instrText xml:space="preserve"> PAGEREF _Toc80302164 \h </w:instrText>
            </w:r>
            <w:r w:rsidR="00292D8F" w:rsidRPr="00D35073">
              <w:rPr>
                <w:webHidden/>
              </w:rPr>
            </w:r>
            <w:r w:rsidR="00292D8F" w:rsidRPr="00D35073">
              <w:rPr>
                <w:webHidden/>
              </w:rPr>
              <w:fldChar w:fldCharType="separate"/>
            </w:r>
            <w:r w:rsidR="00221ECB">
              <w:rPr>
                <w:webHidden/>
              </w:rPr>
              <w:t>22</w:t>
            </w:r>
            <w:r w:rsidR="00292D8F" w:rsidRPr="00D35073">
              <w:rPr>
                <w:webHidden/>
              </w:rPr>
              <w:fldChar w:fldCharType="end"/>
            </w:r>
          </w:hyperlink>
        </w:p>
        <w:p w14:paraId="120E358B" w14:textId="2F70AA98"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65" w:history="1">
            <w:r w:rsidR="00292D8F" w:rsidRPr="00D35073">
              <w:rPr>
                <w:rStyle w:val="Hyperlink"/>
                <w:rFonts w:ascii="Times New Roman" w:hAnsi="Times New Roman" w:cs="Times New Roman"/>
                <w:i/>
                <w:noProof/>
              </w:rPr>
              <w:t>1.4.4 - Balloon Angioplasty and Bare Metal Stents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_Toc80302165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22</w:t>
            </w:r>
            <w:r w:rsidR="00292D8F" w:rsidRPr="00D35073">
              <w:rPr>
                <w:rFonts w:ascii="Times New Roman" w:hAnsi="Times New Roman" w:cs="Times New Roman"/>
                <w:noProof/>
                <w:webHidden/>
              </w:rPr>
              <w:fldChar w:fldCharType="end"/>
            </w:r>
          </w:hyperlink>
        </w:p>
        <w:p w14:paraId="4628C8E6" w14:textId="42751B77"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66" w:history="1">
            <w:r w:rsidR="00292D8F" w:rsidRPr="00D35073">
              <w:rPr>
                <w:rStyle w:val="Hyperlink"/>
                <w:rFonts w:ascii="Times New Roman" w:hAnsi="Times New Roman" w:cs="Times New Roman"/>
                <w:i/>
                <w:noProof/>
              </w:rPr>
              <w:t>1.4.2 - Drug Eluting Stents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_Toc80302166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23</w:t>
            </w:r>
            <w:r w:rsidR="00292D8F" w:rsidRPr="00D35073">
              <w:rPr>
                <w:rFonts w:ascii="Times New Roman" w:hAnsi="Times New Roman" w:cs="Times New Roman"/>
                <w:noProof/>
                <w:webHidden/>
              </w:rPr>
              <w:fldChar w:fldCharType="end"/>
            </w:r>
          </w:hyperlink>
        </w:p>
        <w:p w14:paraId="25AFEA43" w14:textId="5257D320"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67" w:history="1">
            <w:r w:rsidR="00292D8F" w:rsidRPr="00D35073">
              <w:rPr>
                <w:rStyle w:val="Hyperlink"/>
                <w:rFonts w:ascii="Times New Roman" w:hAnsi="Times New Roman" w:cs="Times New Roman"/>
                <w:i/>
                <w:noProof/>
              </w:rPr>
              <w:t>1.4.3 - Drug Eluting Stents vs. Bare Metal Stents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_Toc80302167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24</w:t>
            </w:r>
            <w:r w:rsidR="00292D8F" w:rsidRPr="00D35073">
              <w:rPr>
                <w:rFonts w:ascii="Times New Roman" w:hAnsi="Times New Roman" w:cs="Times New Roman"/>
                <w:noProof/>
                <w:webHidden/>
              </w:rPr>
              <w:fldChar w:fldCharType="end"/>
            </w:r>
          </w:hyperlink>
        </w:p>
        <w:p w14:paraId="68BAC37C" w14:textId="77D80417" w:rsidR="00292D8F" w:rsidRPr="00D35073" w:rsidRDefault="00F40E8E" w:rsidP="00292D8F">
          <w:pPr>
            <w:pStyle w:val="TOC2"/>
            <w:rPr>
              <w:rFonts w:eastAsiaTheme="minorEastAsia"/>
              <w:lang w:eastAsia="en-GB"/>
            </w:rPr>
          </w:pPr>
          <w:hyperlink w:anchor="_Toc80302168" w:history="1">
            <w:r w:rsidR="00292D8F" w:rsidRPr="00D35073">
              <w:rPr>
                <w:rStyle w:val="Hyperlink"/>
              </w:rPr>
              <w:t>1.5 - Risks of Percutaneous Coronary Intervention</w:t>
            </w:r>
            <w:r w:rsidR="00292D8F" w:rsidRPr="00D35073">
              <w:rPr>
                <w:webHidden/>
              </w:rPr>
              <w:tab/>
            </w:r>
            <w:r w:rsidR="00292D8F" w:rsidRPr="00D35073">
              <w:rPr>
                <w:webHidden/>
              </w:rPr>
              <w:fldChar w:fldCharType="begin"/>
            </w:r>
            <w:r w:rsidR="00292D8F" w:rsidRPr="00D35073">
              <w:rPr>
                <w:webHidden/>
              </w:rPr>
              <w:instrText xml:space="preserve"> PAGEREF _Toc80302168 \h </w:instrText>
            </w:r>
            <w:r w:rsidR="00292D8F" w:rsidRPr="00D35073">
              <w:rPr>
                <w:webHidden/>
              </w:rPr>
            </w:r>
            <w:r w:rsidR="00292D8F" w:rsidRPr="00D35073">
              <w:rPr>
                <w:webHidden/>
              </w:rPr>
              <w:fldChar w:fldCharType="separate"/>
            </w:r>
            <w:r w:rsidR="00221ECB">
              <w:rPr>
                <w:webHidden/>
              </w:rPr>
              <w:t>25</w:t>
            </w:r>
            <w:r w:rsidR="00292D8F" w:rsidRPr="00D35073">
              <w:rPr>
                <w:webHidden/>
              </w:rPr>
              <w:fldChar w:fldCharType="end"/>
            </w:r>
          </w:hyperlink>
        </w:p>
        <w:p w14:paraId="5FEA6042" w14:textId="1A017AA5" w:rsidR="00292D8F" w:rsidRPr="00D35073" w:rsidRDefault="00F40E8E" w:rsidP="00292D8F">
          <w:pPr>
            <w:pStyle w:val="TOC2"/>
            <w:rPr>
              <w:rFonts w:eastAsiaTheme="minorEastAsia"/>
              <w:lang w:eastAsia="en-GB"/>
            </w:rPr>
          </w:pPr>
          <w:hyperlink w:anchor="_Toc80302169" w:history="1">
            <w:r w:rsidR="00292D8F" w:rsidRPr="00D35073">
              <w:rPr>
                <w:rStyle w:val="Hyperlink"/>
              </w:rPr>
              <w:t>1.6 - Identifying Significant Lesions in Stable Coronary Artery Disease</w:t>
            </w:r>
            <w:r w:rsidR="00292D8F" w:rsidRPr="00D35073">
              <w:rPr>
                <w:webHidden/>
              </w:rPr>
              <w:tab/>
            </w:r>
            <w:r w:rsidR="00292D8F" w:rsidRPr="00D35073">
              <w:rPr>
                <w:webHidden/>
              </w:rPr>
              <w:fldChar w:fldCharType="begin"/>
            </w:r>
            <w:r w:rsidR="00292D8F" w:rsidRPr="00D35073">
              <w:rPr>
                <w:webHidden/>
              </w:rPr>
              <w:instrText xml:space="preserve"> PAGEREF _Toc80302169 \h </w:instrText>
            </w:r>
            <w:r w:rsidR="00292D8F" w:rsidRPr="00D35073">
              <w:rPr>
                <w:webHidden/>
              </w:rPr>
            </w:r>
            <w:r w:rsidR="00292D8F" w:rsidRPr="00D35073">
              <w:rPr>
                <w:webHidden/>
              </w:rPr>
              <w:fldChar w:fldCharType="separate"/>
            </w:r>
            <w:r w:rsidR="00221ECB">
              <w:rPr>
                <w:webHidden/>
              </w:rPr>
              <w:t>25</w:t>
            </w:r>
            <w:r w:rsidR="00292D8F" w:rsidRPr="00D35073">
              <w:rPr>
                <w:webHidden/>
              </w:rPr>
              <w:fldChar w:fldCharType="end"/>
            </w:r>
          </w:hyperlink>
        </w:p>
        <w:p w14:paraId="3D7BB99D" w14:textId="12C6FBCA" w:rsidR="00292D8F" w:rsidRPr="00D35073" w:rsidRDefault="00F40E8E" w:rsidP="00292D8F">
          <w:pPr>
            <w:pStyle w:val="TOC2"/>
            <w:rPr>
              <w:rFonts w:eastAsiaTheme="minorEastAsia"/>
              <w:lang w:eastAsia="en-GB"/>
            </w:rPr>
          </w:pPr>
          <w:hyperlink w:anchor="_Toc80302170" w:history="1">
            <w:r w:rsidR="00292D8F" w:rsidRPr="00D35073">
              <w:rPr>
                <w:rStyle w:val="Hyperlink"/>
              </w:rPr>
              <w:t>1.7 - Non-Invasive Ischaemia Assessment</w:t>
            </w:r>
            <w:r w:rsidR="00292D8F" w:rsidRPr="00D35073">
              <w:rPr>
                <w:webHidden/>
              </w:rPr>
              <w:tab/>
            </w:r>
            <w:r w:rsidR="00292D8F" w:rsidRPr="00D35073">
              <w:rPr>
                <w:webHidden/>
              </w:rPr>
              <w:fldChar w:fldCharType="begin"/>
            </w:r>
            <w:r w:rsidR="00292D8F" w:rsidRPr="00D35073">
              <w:rPr>
                <w:webHidden/>
              </w:rPr>
              <w:instrText xml:space="preserve"> PAGEREF _Toc80302170 \h </w:instrText>
            </w:r>
            <w:r w:rsidR="00292D8F" w:rsidRPr="00D35073">
              <w:rPr>
                <w:webHidden/>
              </w:rPr>
            </w:r>
            <w:r w:rsidR="00292D8F" w:rsidRPr="00D35073">
              <w:rPr>
                <w:webHidden/>
              </w:rPr>
              <w:fldChar w:fldCharType="separate"/>
            </w:r>
            <w:r w:rsidR="00221ECB">
              <w:rPr>
                <w:webHidden/>
              </w:rPr>
              <w:t>26</w:t>
            </w:r>
            <w:r w:rsidR="00292D8F" w:rsidRPr="00D35073">
              <w:rPr>
                <w:webHidden/>
              </w:rPr>
              <w:fldChar w:fldCharType="end"/>
            </w:r>
          </w:hyperlink>
        </w:p>
        <w:p w14:paraId="4E8C9C9E" w14:textId="5315DC2D"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71" w:history="1">
            <w:r w:rsidR="00292D8F" w:rsidRPr="00D35073">
              <w:rPr>
                <w:rStyle w:val="Hyperlink"/>
                <w:rFonts w:ascii="Times New Roman" w:hAnsi="Times New Roman" w:cs="Times New Roman"/>
                <w:i/>
                <w:noProof/>
              </w:rPr>
              <w:t>1.7.1 - CT FFR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_Toc80302171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27</w:t>
            </w:r>
            <w:r w:rsidR="00292D8F" w:rsidRPr="00D35073">
              <w:rPr>
                <w:rFonts w:ascii="Times New Roman" w:hAnsi="Times New Roman" w:cs="Times New Roman"/>
                <w:noProof/>
                <w:webHidden/>
              </w:rPr>
              <w:fldChar w:fldCharType="end"/>
            </w:r>
          </w:hyperlink>
        </w:p>
        <w:p w14:paraId="03613869" w14:textId="1BA82072" w:rsidR="00292D8F" w:rsidRPr="00D35073" w:rsidRDefault="00F40E8E" w:rsidP="00292D8F">
          <w:pPr>
            <w:pStyle w:val="TOC2"/>
            <w:rPr>
              <w:rFonts w:eastAsiaTheme="minorEastAsia"/>
              <w:lang w:eastAsia="en-GB"/>
            </w:rPr>
          </w:pPr>
          <w:hyperlink w:anchor="_Toc80302172" w:history="1">
            <w:r w:rsidR="00292D8F" w:rsidRPr="00D35073">
              <w:rPr>
                <w:rStyle w:val="Hyperlink"/>
              </w:rPr>
              <w:t>1.8 - Invasive Ischaemia Assessment</w:t>
            </w:r>
            <w:r w:rsidR="00292D8F" w:rsidRPr="00D35073">
              <w:rPr>
                <w:webHidden/>
              </w:rPr>
              <w:tab/>
            </w:r>
            <w:r w:rsidR="00292D8F" w:rsidRPr="00D35073">
              <w:rPr>
                <w:webHidden/>
              </w:rPr>
              <w:fldChar w:fldCharType="begin"/>
            </w:r>
            <w:r w:rsidR="00292D8F" w:rsidRPr="00D35073">
              <w:rPr>
                <w:webHidden/>
              </w:rPr>
              <w:instrText xml:space="preserve"> PAGEREF _Toc80302172 \h </w:instrText>
            </w:r>
            <w:r w:rsidR="00292D8F" w:rsidRPr="00D35073">
              <w:rPr>
                <w:webHidden/>
              </w:rPr>
            </w:r>
            <w:r w:rsidR="00292D8F" w:rsidRPr="00D35073">
              <w:rPr>
                <w:webHidden/>
              </w:rPr>
              <w:fldChar w:fldCharType="separate"/>
            </w:r>
            <w:r w:rsidR="00221ECB">
              <w:rPr>
                <w:webHidden/>
              </w:rPr>
              <w:t>27</w:t>
            </w:r>
            <w:r w:rsidR="00292D8F" w:rsidRPr="00D35073">
              <w:rPr>
                <w:webHidden/>
              </w:rPr>
              <w:fldChar w:fldCharType="end"/>
            </w:r>
          </w:hyperlink>
        </w:p>
        <w:p w14:paraId="43BDD3E9" w14:textId="4768B54F"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73" w:history="1">
            <w:r w:rsidR="00292D8F" w:rsidRPr="00D35073">
              <w:rPr>
                <w:rStyle w:val="Hyperlink"/>
                <w:rFonts w:ascii="Times New Roman" w:hAnsi="Times New Roman" w:cs="Times New Roman"/>
                <w:i/>
                <w:noProof/>
              </w:rPr>
              <w:t>1.8.1 - History of Invasive Coronary Physiology</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_Toc80302173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28</w:t>
            </w:r>
            <w:r w:rsidR="00292D8F" w:rsidRPr="00D35073">
              <w:rPr>
                <w:rFonts w:ascii="Times New Roman" w:hAnsi="Times New Roman" w:cs="Times New Roman"/>
                <w:noProof/>
                <w:webHidden/>
              </w:rPr>
              <w:fldChar w:fldCharType="end"/>
            </w:r>
          </w:hyperlink>
        </w:p>
        <w:p w14:paraId="64775B39" w14:textId="6DA035D6"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74" w:history="1">
            <w:r w:rsidR="00292D8F" w:rsidRPr="00D35073">
              <w:rPr>
                <w:rStyle w:val="Hyperlink"/>
                <w:rFonts w:ascii="Times New Roman" w:hAnsi="Times New Roman" w:cs="Times New Roman"/>
                <w:i/>
                <w:noProof/>
              </w:rPr>
              <w:t>1.8.2 - The Theory of Fractional Flow Reserve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_Toc80302174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30</w:t>
            </w:r>
            <w:r w:rsidR="00292D8F" w:rsidRPr="00D35073">
              <w:rPr>
                <w:rFonts w:ascii="Times New Roman" w:hAnsi="Times New Roman" w:cs="Times New Roman"/>
                <w:noProof/>
                <w:webHidden/>
              </w:rPr>
              <w:fldChar w:fldCharType="end"/>
            </w:r>
          </w:hyperlink>
        </w:p>
        <w:p w14:paraId="51F381C8" w14:textId="33779411"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75" w:history="1">
            <w:r w:rsidR="00292D8F" w:rsidRPr="00D35073">
              <w:rPr>
                <w:rStyle w:val="Hyperlink"/>
                <w:rFonts w:ascii="Times New Roman" w:hAnsi="Times New Roman" w:cs="Times New Roman"/>
                <w:i/>
                <w:noProof/>
              </w:rPr>
              <w:t>1.8.3 - Pressure and Flow</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_Toc80302175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30</w:t>
            </w:r>
            <w:r w:rsidR="00292D8F" w:rsidRPr="00D35073">
              <w:rPr>
                <w:rFonts w:ascii="Times New Roman" w:hAnsi="Times New Roman" w:cs="Times New Roman"/>
                <w:noProof/>
                <w:webHidden/>
              </w:rPr>
              <w:fldChar w:fldCharType="end"/>
            </w:r>
          </w:hyperlink>
        </w:p>
        <w:p w14:paraId="05C6BAF7" w14:textId="10622F00" w:rsidR="00292D8F" w:rsidRPr="00D35073" w:rsidRDefault="00F40E8E" w:rsidP="00292D8F">
          <w:pPr>
            <w:pStyle w:val="TOC2"/>
            <w:rPr>
              <w:rFonts w:eastAsiaTheme="minorEastAsia"/>
              <w:lang w:eastAsia="en-GB"/>
            </w:rPr>
          </w:pPr>
          <w:hyperlink w:anchor="_Toc80302176" w:history="1">
            <w:r w:rsidR="00292D8F" w:rsidRPr="00D35073">
              <w:rPr>
                <w:rStyle w:val="Hyperlink"/>
              </w:rPr>
              <w:t>1.9 - Clinical Evidence Supporting FFR</w:t>
            </w:r>
            <w:r w:rsidR="00292D8F" w:rsidRPr="00D35073">
              <w:rPr>
                <w:webHidden/>
              </w:rPr>
              <w:tab/>
            </w:r>
            <w:r w:rsidR="00292D8F" w:rsidRPr="00D35073">
              <w:rPr>
                <w:webHidden/>
              </w:rPr>
              <w:fldChar w:fldCharType="begin"/>
            </w:r>
            <w:r w:rsidR="00292D8F" w:rsidRPr="00D35073">
              <w:rPr>
                <w:webHidden/>
              </w:rPr>
              <w:instrText xml:space="preserve"> PAGEREF _Toc80302176 \h </w:instrText>
            </w:r>
            <w:r w:rsidR="00292D8F" w:rsidRPr="00D35073">
              <w:rPr>
                <w:webHidden/>
              </w:rPr>
            </w:r>
            <w:r w:rsidR="00292D8F" w:rsidRPr="00D35073">
              <w:rPr>
                <w:webHidden/>
              </w:rPr>
              <w:fldChar w:fldCharType="separate"/>
            </w:r>
            <w:r w:rsidR="00221ECB">
              <w:rPr>
                <w:webHidden/>
              </w:rPr>
              <w:t>35</w:t>
            </w:r>
            <w:r w:rsidR="00292D8F" w:rsidRPr="00D35073">
              <w:rPr>
                <w:webHidden/>
              </w:rPr>
              <w:fldChar w:fldCharType="end"/>
            </w:r>
          </w:hyperlink>
        </w:p>
        <w:p w14:paraId="33FF3906" w14:textId="562C4AF7"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77" w:history="1">
            <w:r w:rsidR="00292D8F" w:rsidRPr="00D35073">
              <w:rPr>
                <w:rStyle w:val="Hyperlink"/>
                <w:rFonts w:ascii="Times New Roman" w:hAnsi="Times New Roman" w:cs="Times New Roman"/>
                <w:i/>
                <w:noProof/>
              </w:rPr>
              <w:t>1.9.1 - DEFER Study</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_Toc80302177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35</w:t>
            </w:r>
            <w:r w:rsidR="00292D8F" w:rsidRPr="00D35073">
              <w:rPr>
                <w:rFonts w:ascii="Times New Roman" w:hAnsi="Times New Roman" w:cs="Times New Roman"/>
                <w:noProof/>
                <w:webHidden/>
              </w:rPr>
              <w:fldChar w:fldCharType="end"/>
            </w:r>
          </w:hyperlink>
        </w:p>
        <w:p w14:paraId="613B63DC" w14:textId="0D32741D"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78" w:history="1">
            <w:r w:rsidR="00292D8F" w:rsidRPr="00D35073">
              <w:rPr>
                <w:rStyle w:val="Hyperlink"/>
                <w:rFonts w:ascii="Times New Roman" w:hAnsi="Times New Roman" w:cs="Times New Roman"/>
                <w:i/>
                <w:noProof/>
              </w:rPr>
              <w:t>1.9.2 - FAME Study</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_Toc80302178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36</w:t>
            </w:r>
            <w:r w:rsidR="00292D8F" w:rsidRPr="00D35073">
              <w:rPr>
                <w:rFonts w:ascii="Times New Roman" w:hAnsi="Times New Roman" w:cs="Times New Roman"/>
                <w:noProof/>
                <w:webHidden/>
              </w:rPr>
              <w:fldChar w:fldCharType="end"/>
            </w:r>
          </w:hyperlink>
        </w:p>
        <w:p w14:paraId="3E72D01B" w14:textId="4CB630C8"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79" w:history="1">
            <w:r w:rsidR="00292D8F" w:rsidRPr="00D35073">
              <w:rPr>
                <w:rStyle w:val="Hyperlink"/>
                <w:rFonts w:ascii="Times New Roman" w:hAnsi="Times New Roman" w:cs="Times New Roman"/>
                <w:i/>
                <w:noProof/>
              </w:rPr>
              <w:t>1.9.3 - FAME II Study</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_Toc80302179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36</w:t>
            </w:r>
            <w:r w:rsidR="00292D8F" w:rsidRPr="00D35073">
              <w:rPr>
                <w:rFonts w:ascii="Times New Roman" w:hAnsi="Times New Roman" w:cs="Times New Roman"/>
                <w:noProof/>
                <w:webHidden/>
              </w:rPr>
              <w:fldChar w:fldCharType="end"/>
            </w:r>
          </w:hyperlink>
        </w:p>
        <w:p w14:paraId="55A665D6" w14:textId="71741E90"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80" w:history="1">
            <w:r w:rsidR="00292D8F" w:rsidRPr="00D35073">
              <w:rPr>
                <w:rStyle w:val="Hyperlink"/>
                <w:rFonts w:ascii="Times New Roman" w:hAnsi="Times New Roman" w:cs="Times New Roman"/>
                <w:i/>
                <w:noProof/>
              </w:rPr>
              <w:t>1.9.4 - Registry Data</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_Toc80302180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38</w:t>
            </w:r>
            <w:r w:rsidR="00292D8F" w:rsidRPr="00D35073">
              <w:rPr>
                <w:rFonts w:ascii="Times New Roman" w:hAnsi="Times New Roman" w:cs="Times New Roman"/>
                <w:noProof/>
                <w:webHidden/>
              </w:rPr>
              <w:fldChar w:fldCharType="end"/>
            </w:r>
          </w:hyperlink>
        </w:p>
        <w:p w14:paraId="6B9DAE43" w14:textId="1164B0CA"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81" w:history="1">
            <w:r w:rsidR="00292D8F" w:rsidRPr="00D35073">
              <w:rPr>
                <w:rStyle w:val="Hyperlink"/>
                <w:rFonts w:ascii="Times New Roman" w:hAnsi="Times New Roman" w:cs="Times New Roman"/>
                <w:i/>
                <w:noProof/>
              </w:rPr>
              <w:t>1.9.5 - FFR in Current Clinical Guidelines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_Toc80302181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39</w:t>
            </w:r>
            <w:r w:rsidR="00292D8F" w:rsidRPr="00D35073">
              <w:rPr>
                <w:rFonts w:ascii="Times New Roman" w:hAnsi="Times New Roman" w:cs="Times New Roman"/>
                <w:noProof/>
                <w:webHidden/>
              </w:rPr>
              <w:fldChar w:fldCharType="end"/>
            </w:r>
          </w:hyperlink>
        </w:p>
        <w:p w14:paraId="1B333348" w14:textId="3C9A3B5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82" w:history="1">
            <w:r w:rsidR="00292D8F" w:rsidRPr="00D35073">
              <w:rPr>
                <w:rStyle w:val="Hyperlink"/>
                <w:rFonts w:ascii="Times New Roman" w:hAnsi="Times New Roman" w:cs="Times New Roman"/>
                <w:i/>
                <w:noProof/>
              </w:rPr>
              <w:t>1.9.6 - FFR Use in Acute Coronary Syndrome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_Toc80302182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40</w:t>
            </w:r>
            <w:r w:rsidR="00292D8F" w:rsidRPr="00D35073">
              <w:rPr>
                <w:rFonts w:ascii="Times New Roman" w:hAnsi="Times New Roman" w:cs="Times New Roman"/>
                <w:noProof/>
                <w:webHidden/>
              </w:rPr>
              <w:fldChar w:fldCharType="end"/>
            </w:r>
          </w:hyperlink>
        </w:p>
        <w:p w14:paraId="16431D36" w14:textId="12CEC19A" w:rsidR="00292D8F" w:rsidRPr="00D35073" w:rsidRDefault="00F40E8E" w:rsidP="00292D8F">
          <w:pPr>
            <w:pStyle w:val="TOC2"/>
            <w:rPr>
              <w:rFonts w:eastAsiaTheme="minorEastAsia"/>
              <w:lang w:eastAsia="en-GB"/>
            </w:rPr>
          </w:pPr>
          <w:hyperlink w:anchor="_Toc80302183" w:history="1">
            <w:r w:rsidR="00292D8F" w:rsidRPr="00D35073">
              <w:rPr>
                <w:rStyle w:val="Hyperlink"/>
              </w:rPr>
              <w:t>1.10 - Resting Indices</w:t>
            </w:r>
            <w:r w:rsidR="00292D8F" w:rsidRPr="00D35073">
              <w:rPr>
                <w:webHidden/>
              </w:rPr>
              <w:tab/>
            </w:r>
            <w:r w:rsidR="00292D8F" w:rsidRPr="00D35073">
              <w:rPr>
                <w:webHidden/>
              </w:rPr>
              <w:fldChar w:fldCharType="begin"/>
            </w:r>
            <w:r w:rsidR="00292D8F" w:rsidRPr="00D35073">
              <w:rPr>
                <w:webHidden/>
              </w:rPr>
              <w:instrText xml:space="preserve"> PAGEREF _Toc80302183 \h </w:instrText>
            </w:r>
            <w:r w:rsidR="00292D8F" w:rsidRPr="00D35073">
              <w:rPr>
                <w:webHidden/>
              </w:rPr>
            </w:r>
            <w:r w:rsidR="00292D8F" w:rsidRPr="00D35073">
              <w:rPr>
                <w:webHidden/>
              </w:rPr>
              <w:fldChar w:fldCharType="separate"/>
            </w:r>
            <w:r w:rsidR="00221ECB">
              <w:rPr>
                <w:webHidden/>
              </w:rPr>
              <w:t>40</w:t>
            </w:r>
            <w:r w:rsidR="00292D8F" w:rsidRPr="00D35073">
              <w:rPr>
                <w:webHidden/>
              </w:rPr>
              <w:fldChar w:fldCharType="end"/>
            </w:r>
          </w:hyperlink>
        </w:p>
        <w:p w14:paraId="27C4621B" w14:textId="4F198C24" w:rsidR="00292D8F" w:rsidRPr="00D35073" w:rsidRDefault="00F40E8E" w:rsidP="00292D8F">
          <w:pPr>
            <w:pStyle w:val="TOC2"/>
            <w:rPr>
              <w:rFonts w:eastAsiaTheme="minorEastAsia"/>
              <w:lang w:eastAsia="en-GB"/>
            </w:rPr>
          </w:pPr>
          <w:hyperlink w:anchor="_Toc80302184" w:history="1">
            <w:r w:rsidR="00292D8F" w:rsidRPr="00D35073">
              <w:rPr>
                <w:rStyle w:val="Hyperlink"/>
              </w:rPr>
              <w:t>1.11 - Pitfalls of Pressure Derived Indices</w:t>
            </w:r>
            <w:r w:rsidR="00292D8F" w:rsidRPr="00D35073">
              <w:rPr>
                <w:webHidden/>
              </w:rPr>
              <w:tab/>
            </w:r>
            <w:r w:rsidR="00292D8F" w:rsidRPr="00D35073">
              <w:rPr>
                <w:webHidden/>
              </w:rPr>
              <w:fldChar w:fldCharType="begin"/>
            </w:r>
            <w:r w:rsidR="00292D8F" w:rsidRPr="00D35073">
              <w:rPr>
                <w:webHidden/>
              </w:rPr>
              <w:instrText xml:space="preserve"> PAGEREF _Toc80302184 \h </w:instrText>
            </w:r>
            <w:r w:rsidR="00292D8F" w:rsidRPr="00D35073">
              <w:rPr>
                <w:webHidden/>
              </w:rPr>
            </w:r>
            <w:r w:rsidR="00292D8F" w:rsidRPr="00D35073">
              <w:rPr>
                <w:webHidden/>
              </w:rPr>
              <w:fldChar w:fldCharType="separate"/>
            </w:r>
            <w:r w:rsidR="00221ECB">
              <w:rPr>
                <w:webHidden/>
              </w:rPr>
              <w:t>42</w:t>
            </w:r>
            <w:r w:rsidR="00292D8F" w:rsidRPr="00D35073">
              <w:rPr>
                <w:webHidden/>
              </w:rPr>
              <w:fldChar w:fldCharType="end"/>
            </w:r>
          </w:hyperlink>
        </w:p>
        <w:p w14:paraId="33F47635" w14:textId="4D3B917E" w:rsidR="00292D8F" w:rsidRPr="00D35073" w:rsidRDefault="00F40E8E" w:rsidP="00292D8F">
          <w:pPr>
            <w:pStyle w:val="TOC2"/>
            <w:rPr>
              <w:rFonts w:eastAsiaTheme="minorEastAsia"/>
              <w:lang w:eastAsia="en-GB"/>
            </w:rPr>
          </w:pPr>
          <w:hyperlink w:anchor="_Toc80302185" w:history="1">
            <w:r w:rsidR="00292D8F" w:rsidRPr="00D35073">
              <w:rPr>
                <w:rStyle w:val="Hyperlink"/>
              </w:rPr>
              <w:t>1.12 - Hydrostatic Pressure</w:t>
            </w:r>
            <w:r w:rsidR="00292D8F" w:rsidRPr="00D35073">
              <w:rPr>
                <w:webHidden/>
              </w:rPr>
              <w:tab/>
            </w:r>
            <w:r w:rsidR="00292D8F" w:rsidRPr="00D35073">
              <w:rPr>
                <w:webHidden/>
              </w:rPr>
              <w:fldChar w:fldCharType="begin"/>
            </w:r>
            <w:r w:rsidR="00292D8F" w:rsidRPr="00D35073">
              <w:rPr>
                <w:webHidden/>
              </w:rPr>
              <w:instrText xml:space="preserve"> PAGEREF _Toc80302185 \h </w:instrText>
            </w:r>
            <w:r w:rsidR="00292D8F" w:rsidRPr="00D35073">
              <w:rPr>
                <w:webHidden/>
              </w:rPr>
            </w:r>
            <w:r w:rsidR="00292D8F" w:rsidRPr="00D35073">
              <w:rPr>
                <w:webHidden/>
              </w:rPr>
              <w:fldChar w:fldCharType="separate"/>
            </w:r>
            <w:r w:rsidR="00221ECB">
              <w:rPr>
                <w:webHidden/>
              </w:rPr>
              <w:t>44</w:t>
            </w:r>
            <w:r w:rsidR="00292D8F" w:rsidRPr="00D35073">
              <w:rPr>
                <w:webHidden/>
              </w:rPr>
              <w:fldChar w:fldCharType="end"/>
            </w:r>
          </w:hyperlink>
        </w:p>
        <w:p w14:paraId="4467A546" w14:textId="3110591D"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86" w:history="1">
            <w:r w:rsidR="00292D8F" w:rsidRPr="00D35073">
              <w:rPr>
                <w:rStyle w:val="Hyperlink"/>
                <w:rFonts w:ascii="Times New Roman" w:hAnsi="Times New Roman" w:cs="Times New Roman"/>
                <w:i/>
                <w:noProof/>
              </w:rPr>
              <w:t>1.12.1 - Magnitude of Effect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_Toc80302186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46</w:t>
            </w:r>
            <w:r w:rsidR="00292D8F" w:rsidRPr="00D35073">
              <w:rPr>
                <w:rFonts w:ascii="Times New Roman" w:hAnsi="Times New Roman" w:cs="Times New Roman"/>
                <w:noProof/>
                <w:webHidden/>
              </w:rPr>
              <w:fldChar w:fldCharType="end"/>
            </w:r>
          </w:hyperlink>
        </w:p>
        <w:p w14:paraId="573C35FC" w14:textId="1BE9B20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87" w:history="1">
            <w:r w:rsidR="00292D8F" w:rsidRPr="00D35073">
              <w:rPr>
                <w:rStyle w:val="Hyperlink"/>
                <w:rFonts w:ascii="Times New Roman" w:hAnsi="Times New Roman" w:cs="Times New Roman"/>
                <w:i/>
                <w:noProof/>
              </w:rPr>
              <w:t>1.12.2 - Hydrostatic Effect in Clinical Literature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_Toc80302187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47</w:t>
            </w:r>
            <w:r w:rsidR="00292D8F" w:rsidRPr="00D35073">
              <w:rPr>
                <w:rFonts w:ascii="Times New Roman" w:hAnsi="Times New Roman" w:cs="Times New Roman"/>
                <w:noProof/>
                <w:webHidden/>
              </w:rPr>
              <w:fldChar w:fldCharType="end"/>
            </w:r>
          </w:hyperlink>
        </w:p>
        <w:p w14:paraId="3BEFF04B" w14:textId="54C65B26" w:rsidR="00292D8F" w:rsidRPr="00D35073" w:rsidRDefault="00F40E8E" w:rsidP="00292D8F">
          <w:pPr>
            <w:pStyle w:val="TOC2"/>
            <w:rPr>
              <w:rFonts w:eastAsiaTheme="minorEastAsia"/>
              <w:lang w:eastAsia="en-GB"/>
            </w:rPr>
          </w:pPr>
          <w:hyperlink w:anchor="_Toc80302188" w:history="1">
            <w:r w:rsidR="00292D8F" w:rsidRPr="00D35073">
              <w:rPr>
                <w:rStyle w:val="Hyperlink"/>
              </w:rPr>
              <w:t>1.13 - Research Hypotheses and Pre-Work</w:t>
            </w:r>
            <w:r w:rsidR="00292D8F" w:rsidRPr="00D35073">
              <w:rPr>
                <w:webHidden/>
              </w:rPr>
              <w:tab/>
            </w:r>
            <w:r w:rsidR="00292D8F" w:rsidRPr="00D35073">
              <w:rPr>
                <w:webHidden/>
              </w:rPr>
              <w:fldChar w:fldCharType="begin"/>
            </w:r>
            <w:r w:rsidR="00292D8F" w:rsidRPr="00D35073">
              <w:rPr>
                <w:webHidden/>
              </w:rPr>
              <w:instrText xml:space="preserve"> PAGEREF _Toc80302188 \h </w:instrText>
            </w:r>
            <w:r w:rsidR="00292D8F" w:rsidRPr="00D35073">
              <w:rPr>
                <w:webHidden/>
              </w:rPr>
            </w:r>
            <w:r w:rsidR="00292D8F" w:rsidRPr="00D35073">
              <w:rPr>
                <w:webHidden/>
              </w:rPr>
              <w:fldChar w:fldCharType="separate"/>
            </w:r>
            <w:r w:rsidR="00221ECB">
              <w:rPr>
                <w:webHidden/>
              </w:rPr>
              <w:t>48</w:t>
            </w:r>
            <w:r w:rsidR="00292D8F" w:rsidRPr="00D35073">
              <w:rPr>
                <w:webHidden/>
              </w:rPr>
              <w:fldChar w:fldCharType="end"/>
            </w:r>
          </w:hyperlink>
        </w:p>
        <w:p w14:paraId="7EE24EB9" w14:textId="2334A972"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89" w:history="1">
            <w:r w:rsidR="00292D8F" w:rsidRPr="00D35073">
              <w:rPr>
                <w:rStyle w:val="Hyperlink"/>
                <w:rFonts w:ascii="Times New Roman" w:hAnsi="Times New Roman" w:cs="Times New Roman"/>
                <w:i/>
                <w:noProof/>
              </w:rPr>
              <w:t>1.13.1 - CT Coronary Angiogram Pre-work</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_Toc80302189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50</w:t>
            </w:r>
            <w:r w:rsidR="00292D8F" w:rsidRPr="00D35073">
              <w:rPr>
                <w:rFonts w:ascii="Times New Roman" w:hAnsi="Times New Roman" w:cs="Times New Roman"/>
                <w:noProof/>
                <w:webHidden/>
              </w:rPr>
              <w:fldChar w:fldCharType="end"/>
            </w:r>
          </w:hyperlink>
        </w:p>
        <w:p w14:paraId="4AF31B79" w14:textId="0EE25A3A" w:rsidR="00292D8F" w:rsidRPr="00D35073" w:rsidRDefault="00F40E8E" w:rsidP="00292D8F">
          <w:pPr>
            <w:pStyle w:val="TOC2"/>
            <w:rPr>
              <w:rFonts w:eastAsiaTheme="minorEastAsia"/>
              <w:lang w:eastAsia="en-GB"/>
            </w:rPr>
          </w:pPr>
          <w:hyperlink w:anchor="_Toc80302190" w:history="1">
            <w:r w:rsidR="00292D8F" w:rsidRPr="00D35073">
              <w:rPr>
                <w:rStyle w:val="Hyperlink"/>
              </w:rPr>
              <w:t>1.14 - CT Coronary Angiography (CTCA)</w:t>
            </w:r>
            <w:r w:rsidR="00292D8F" w:rsidRPr="00D35073">
              <w:rPr>
                <w:webHidden/>
              </w:rPr>
              <w:tab/>
            </w:r>
            <w:r w:rsidR="00292D8F" w:rsidRPr="00D35073">
              <w:rPr>
                <w:webHidden/>
              </w:rPr>
              <w:fldChar w:fldCharType="begin"/>
            </w:r>
            <w:r w:rsidR="00292D8F" w:rsidRPr="00D35073">
              <w:rPr>
                <w:webHidden/>
              </w:rPr>
              <w:instrText xml:space="preserve"> PAGEREF _Toc80302190 \h </w:instrText>
            </w:r>
            <w:r w:rsidR="00292D8F" w:rsidRPr="00D35073">
              <w:rPr>
                <w:webHidden/>
              </w:rPr>
            </w:r>
            <w:r w:rsidR="00292D8F" w:rsidRPr="00D35073">
              <w:rPr>
                <w:webHidden/>
              </w:rPr>
              <w:fldChar w:fldCharType="separate"/>
            </w:r>
            <w:r w:rsidR="00221ECB">
              <w:rPr>
                <w:webHidden/>
              </w:rPr>
              <w:t>51</w:t>
            </w:r>
            <w:r w:rsidR="00292D8F" w:rsidRPr="00D35073">
              <w:rPr>
                <w:webHidden/>
              </w:rPr>
              <w:fldChar w:fldCharType="end"/>
            </w:r>
          </w:hyperlink>
        </w:p>
        <w:p w14:paraId="6B71CBFE" w14:textId="64A4DB20"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91" w:history="1">
            <w:r w:rsidR="00292D8F" w:rsidRPr="00D35073">
              <w:rPr>
                <w:rStyle w:val="Hyperlink"/>
                <w:rFonts w:ascii="Times New Roman" w:hAnsi="Times New Roman" w:cs="Times New Roman"/>
                <w:i/>
                <w:noProof/>
              </w:rPr>
              <w:t>1.14.1 - Limitations of CT Coronary Angiography</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_Toc80302191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52</w:t>
            </w:r>
            <w:r w:rsidR="00292D8F" w:rsidRPr="00D35073">
              <w:rPr>
                <w:rFonts w:ascii="Times New Roman" w:hAnsi="Times New Roman" w:cs="Times New Roman"/>
                <w:noProof/>
                <w:webHidden/>
              </w:rPr>
              <w:fldChar w:fldCharType="end"/>
            </w:r>
          </w:hyperlink>
        </w:p>
        <w:p w14:paraId="07ABC3B7" w14:textId="5EEF6ACC" w:rsidR="00292D8F" w:rsidRPr="00D35073" w:rsidRDefault="00F40E8E" w:rsidP="00292D8F">
          <w:pPr>
            <w:pStyle w:val="TOC2"/>
            <w:rPr>
              <w:rFonts w:eastAsiaTheme="minorEastAsia"/>
              <w:lang w:eastAsia="en-GB"/>
            </w:rPr>
          </w:pPr>
          <w:hyperlink w:anchor="_Toc80302192" w:history="1">
            <w:r w:rsidR="00292D8F" w:rsidRPr="00D35073">
              <w:rPr>
                <w:rStyle w:val="Hyperlink"/>
              </w:rPr>
              <w:t>1.15 - Feasibility of in Vivo Research</w:t>
            </w:r>
            <w:r w:rsidR="00292D8F" w:rsidRPr="00D35073">
              <w:rPr>
                <w:webHidden/>
              </w:rPr>
              <w:tab/>
            </w:r>
            <w:r w:rsidR="00292D8F" w:rsidRPr="00D35073">
              <w:rPr>
                <w:webHidden/>
              </w:rPr>
              <w:fldChar w:fldCharType="begin"/>
            </w:r>
            <w:r w:rsidR="00292D8F" w:rsidRPr="00D35073">
              <w:rPr>
                <w:webHidden/>
              </w:rPr>
              <w:instrText xml:space="preserve"> PAGEREF _Toc80302192 \h </w:instrText>
            </w:r>
            <w:r w:rsidR="00292D8F" w:rsidRPr="00D35073">
              <w:rPr>
                <w:webHidden/>
              </w:rPr>
            </w:r>
            <w:r w:rsidR="00292D8F" w:rsidRPr="00D35073">
              <w:rPr>
                <w:webHidden/>
              </w:rPr>
              <w:fldChar w:fldCharType="separate"/>
            </w:r>
            <w:r w:rsidR="00221ECB">
              <w:rPr>
                <w:webHidden/>
              </w:rPr>
              <w:t>53</w:t>
            </w:r>
            <w:r w:rsidR="00292D8F" w:rsidRPr="00D35073">
              <w:rPr>
                <w:webHidden/>
              </w:rPr>
              <w:fldChar w:fldCharType="end"/>
            </w:r>
          </w:hyperlink>
        </w:p>
        <w:p w14:paraId="63800172" w14:textId="42D4168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93" w:history="1">
            <w:r w:rsidR="00292D8F" w:rsidRPr="00D35073">
              <w:rPr>
                <w:rStyle w:val="Hyperlink"/>
                <w:rFonts w:ascii="Times New Roman" w:hAnsi="Times New Roman" w:cs="Times New Roman"/>
                <w:i/>
                <w:noProof/>
              </w:rPr>
              <w:t>1.15.1 - Current Relevant Literature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_Toc80302193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53</w:t>
            </w:r>
            <w:r w:rsidR="00292D8F" w:rsidRPr="00D35073">
              <w:rPr>
                <w:rFonts w:ascii="Times New Roman" w:hAnsi="Times New Roman" w:cs="Times New Roman"/>
                <w:noProof/>
                <w:webHidden/>
              </w:rPr>
              <w:fldChar w:fldCharType="end"/>
            </w:r>
          </w:hyperlink>
        </w:p>
        <w:p w14:paraId="40C45492" w14:textId="2CA8A700"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94" w:history="1">
            <w:r w:rsidR="00292D8F" w:rsidRPr="00D35073">
              <w:rPr>
                <w:rStyle w:val="Hyperlink"/>
                <w:rFonts w:ascii="Times New Roman" w:hAnsi="Times New Roman" w:cs="Times New Roman"/>
                <w:i/>
                <w:noProof/>
              </w:rPr>
              <w:t>1.15.2 - Calculating Hydrostatic Effect from Vertical Measurements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_Toc80302194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54</w:t>
            </w:r>
            <w:r w:rsidR="00292D8F" w:rsidRPr="00D35073">
              <w:rPr>
                <w:rFonts w:ascii="Times New Roman" w:hAnsi="Times New Roman" w:cs="Times New Roman"/>
                <w:noProof/>
                <w:webHidden/>
              </w:rPr>
              <w:fldChar w:fldCharType="end"/>
            </w:r>
          </w:hyperlink>
        </w:p>
        <w:p w14:paraId="46ED3CEE" w14:textId="0EE41EE9"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95" w:history="1">
            <w:r w:rsidR="00292D8F" w:rsidRPr="00D35073">
              <w:rPr>
                <w:rStyle w:val="Hyperlink"/>
                <w:rFonts w:ascii="Times New Roman" w:hAnsi="Times New Roman" w:cs="Times New Roman"/>
                <w:i/>
                <w:noProof/>
              </w:rPr>
              <w:t>1.15.3 - The Clinical Effect on FFR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_Toc80302195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55</w:t>
            </w:r>
            <w:r w:rsidR="00292D8F" w:rsidRPr="00D35073">
              <w:rPr>
                <w:rFonts w:ascii="Times New Roman" w:hAnsi="Times New Roman" w:cs="Times New Roman"/>
                <w:noProof/>
                <w:webHidden/>
              </w:rPr>
              <w:fldChar w:fldCharType="end"/>
            </w:r>
          </w:hyperlink>
        </w:p>
        <w:p w14:paraId="164752C7" w14:textId="46F40DF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96" w:history="1">
            <w:r w:rsidR="00292D8F" w:rsidRPr="00D35073">
              <w:rPr>
                <w:rStyle w:val="Hyperlink"/>
                <w:rFonts w:ascii="Times New Roman" w:hAnsi="Times New Roman" w:cs="Times New Roman"/>
                <w:i/>
                <w:noProof/>
              </w:rPr>
              <w:t>1.15.4 - The Effect on Resting Indices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_Toc80302196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56</w:t>
            </w:r>
            <w:r w:rsidR="00292D8F" w:rsidRPr="00D35073">
              <w:rPr>
                <w:rFonts w:ascii="Times New Roman" w:hAnsi="Times New Roman" w:cs="Times New Roman"/>
                <w:noProof/>
                <w:webHidden/>
              </w:rPr>
              <w:fldChar w:fldCharType="end"/>
            </w:r>
          </w:hyperlink>
        </w:p>
        <w:p w14:paraId="493F4760" w14:textId="6533269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97" w:history="1">
            <w:r w:rsidR="00292D8F" w:rsidRPr="00D35073">
              <w:rPr>
                <w:rStyle w:val="Hyperlink"/>
                <w:rFonts w:ascii="Times New Roman" w:hAnsi="Times New Roman" w:cs="Times New Roman"/>
                <w:i/>
                <w:noProof/>
              </w:rPr>
              <w:t>1.15.5 - Clinical Relevance and Mathematical Model</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_Toc80302197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57</w:t>
            </w:r>
            <w:r w:rsidR="00292D8F" w:rsidRPr="00D35073">
              <w:rPr>
                <w:rFonts w:ascii="Times New Roman" w:hAnsi="Times New Roman" w:cs="Times New Roman"/>
                <w:noProof/>
                <w:webHidden/>
              </w:rPr>
              <w:fldChar w:fldCharType="end"/>
            </w:r>
          </w:hyperlink>
        </w:p>
        <w:p w14:paraId="1BA218BA" w14:textId="7882C1D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198" w:history="1">
            <w:r w:rsidR="00292D8F" w:rsidRPr="00D35073">
              <w:rPr>
                <w:rStyle w:val="Hyperlink"/>
                <w:rFonts w:ascii="Times New Roman" w:hAnsi="Times New Roman" w:cs="Times New Roman"/>
                <w:i/>
                <w:iCs/>
                <w:noProof/>
              </w:rPr>
              <w:t>1.15.6 – Research Questions, Aims and Objectives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_Toc80302198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57</w:t>
            </w:r>
            <w:r w:rsidR="00292D8F" w:rsidRPr="00D35073">
              <w:rPr>
                <w:rFonts w:ascii="Times New Roman" w:hAnsi="Times New Roman" w:cs="Times New Roman"/>
                <w:noProof/>
                <w:webHidden/>
              </w:rPr>
              <w:fldChar w:fldCharType="end"/>
            </w:r>
          </w:hyperlink>
        </w:p>
        <w:p w14:paraId="349B4BCC" w14:textId="00A41E0A" w:rsidR="00292D8F" w:rsidRPr="00D35073" w:rsidRDefault="00F40E8E">
          <w:pPr>
            <w:pStyle w:val="TOC1"/>
            <w:rPr>
              <w:rFonts w:eastAsiaTheme="minorEastAsia"/>
              <w:lang w:eastAsia="en-GB"/>
            </w:rPr>
          </w:pPr>
          <w:hyperlink w:anchor="_Toc80302199" w:history="1">
            <w:r w:rsidR="00292D8F" w:rsidRPr="00D35073">
              <w:rPr>
                <w:rStyle w:val="Hyperlink"/>
              </w:rPr>
              <w:t>Chapter II - Methods, Results and Interpretation from CT Coronary Angiography</w:t>
            </w:r>
            <w:r w:rsidR="00292D8F" w:rsidRPr="00D35073">
              <w:rPr>
                <w:webHidden/>
              </w:rPr>
              <w:tab/>
            </w:r>
            <w:r w:rsidR="00292D8F" w:rsidRPr="00D35073">
              <w:rPr>
                <w:webHidden/>
              </w:rPr>
              <w:fldChar w:fldCharType="begin"/>
            </w:r>
            <w:r w:rsidR="00292D8F" w:rsidRPr="00D35073">
              <w:rPr>
                <w:webHidden/>
              </w:rPr>
              <w:instrText xml:space="preserve"> PAGEREF _Toc80302199 \h </w:instrText>
            </w:r>
            <w:r w:rsidR="00292D8F" w:rsidRPr="00D35073">
              <w:rPr>
                <w:webHidden/>
              </w:rPr>
            </w:r>
            <w:r w:rsidR="00292D8F" w:rsidRPr="00D35073">
              <w:rPr>
                <w:webHidden/>
              </w:rPr>
              <w:fldChar w:fldCharType="separate"/>
            </w:r>
            <w:r w:rsidR="00221ECB">
              <w:rPr>
                <w:webHidden/>
              </w:rPr>
              <w:t>58</w:t>
            </w:r>
            <w:r w:rsidR="00292D8F" w:rsidRPr="00D35073">
              <w:rPr>
                <w:webHidden/>
              </w:rPr>
              <w:fldChar w:fldCharType="end"/>
            </w:r>
          </w:hyperlink>
        </w:p>
        <w:p w14:paraId="44B79BBD" w14:textId="26CD6825" w:rsidR="00292D8F" w:rsidRPr="00D35073" w:rsidRDefault="00F40E8E" w:rsidP="00292D8F">
          <w:pPr>
            <w:pStyle w:val="TOC2"/>
            <w:rPr>
              <w:rFonts w:eastAsiaTheme="minorEastAsia"/>
              <w:lang w:eastAsia="en-GB"/>
            </w:rPr>
          </w:pPr>
          <w:hyperlink w:anchor="_Toc80302200" w:history="1">
            <w:r w:rsidR="00292D8F" w:rsidRPr="00D35073">
              <w:rPr>
                <w:rStyle w:val="Hyperlink"/>
              </w:rPr>
              <w:t>2.1 - Inclusion and Exclusion Criteria</w:t>
            </w:r>
            <w:r w:rsidR="00292D8F" w:rsidRPr="00D35073">
              <w:rPr>
                <w:webHidden/>
              </w:rPr>
              <w:tab/>
            </w:r>
            <w:r w:rsidR="00292D8F" w:rsidRPr="00D35073">
              <w:rPr>
                <w:webHidden/>
              </w:rPr>
              <w:fldChar w:fldCharType="begin"/>
            </w:r>
            <w:r w:rsidR="00292D8F" w:rsidRPr="00D35073">
              <w:rPr>
                <w:webHidden/>
              </w:rPr>
              <w:instrText xml:space="preserve"> PAGEREF _Toc80302200 \h </w:instrText>
            </w:r>
            <w:r w:rsidR="00292D8F" w:rsidRPr="00D35073">
              <w:rPr>
                <w:webHidden/>
              </w:rPr>
            </w:r>
            <w:r w:rsidR="00292D8F" w:rsidRPr="00D35073">
              <w:rPr>
                <w:webHidden/>
              </w:rPr>
              <w:fldChar w:fldCharType="separate"/>
            </w:r>
            <w:r w:rsidR="00221ECB">
              <w:rPr>
                <w:webHidden/>
              </w:rPr>
              <w:t>58</w:t>
            </w:r>
            <w:r w:rsidR="00292D8F" w:rsidRPr="00D35073">
              <w:rPr>
                <w:webHidden/>
              </w:rPr>
              <w:fldChar w:fldCharType="end"/>
            </w:r>
          </w:hyperlink>
        </w:p>
        <w:p w14:paraId="52DE7834" w14:textId="53D5C7D6" w:rsidR="00292D8F" w:rsidRPr="00D35073" w:rsidRDefault="00F40E8E" w:rsidP="00292D8F">
          <w:pPr>
            <w:pStyle w:val="TOC2"/>
            <w:rPr>
              <w:rFonts w:eastAsiaTheme="minorEastAsia"/>
              <w:lang w:eastAsia="en-GB"/>
            </w:rPr>
          </w:pPr>
          <w:hyperlink w:anchor="_Toc80302201" w:history="1">
            <w:r w:rsidR="00292D8F" w:rsidRPr="00D35073">
              <w:rPr>
                <w:rStyle w:val="Hyperlink"/>
              </w:rPr>
              <w:t>2.2 - CT Coronary Angiogram</w:t>
            </w:r>
            <w:r w:rsidR="00292D8F" w:rsidRPr="00D35073">
              <w:rPr>
                <w:webHidden/>
              </w:rPr>
              <w:tab/>
            </w:r>
            <w:r w:rsidR="00292D8F" w:rsidRPr="00D35073">
              <w:rPr>
                <w:webHidden/>
              </w:rPr>
              <w:fldChar w:fldCharType="begin"/>
            </w:r>
            <w:r w:rsidR="00292D8F" w:rsidRPr="00D35073">
              <w:rPr>
                <w:webHidden/>
              </w:rPr>
              <w:instrText xml:space="preserve"> PAGEREF _Toc80302201 \h </w:instrText>
            </w:r>
            <w:r w:rsidR="00292D8F" w:rsidRPr="00D35073">
              <w:rPr>
                <w:webHidden/>
              </w:rPr>
            </w:r>
            <w:r w:rsidR="00292D8F" w:rsidRPr="00D35073">
              <w:rPr>
                <w:webHidden/>
              </w:rPr>
              <w:fldChar w:fldCharType="separate"/>
            </w:r>
            <w:r w:rsidR="00221ECB">
              <w:rPr>
                <w:webHidden/>
              </w:rPr>
              <w:t>59</w:t>
            </w:r>
            <w:r w:rsidR="00292D8F" w:rsidRPr="00D35073">
              <w:rPr>
                <w:webHidden/>
              </w:rPr>
              <w:fldChar w:fldCharType="end"/>
            </w:r>
          </w:hyperlink>
        </w:p>
        <w:p w14:paraId="3BB634DD" w14:textId="17497360" w:rsidR="00292D8F" w:rsidRPr="00D35073" w:rsidRDefault="00F40E8E" w:rsidP="00292D8F">
          <w:pPr>
            <w:pStyle w:val="TOC2"/>
            <w:rPr>
              <w:rFonts w:eastAsiaTheme="minorEastAsia"/>
              <w:lang w:eastAsia="en-GB"/>
            </w:rPr>
          </w:pPr>
          <w:hyperlink w:anchor="_Toc80302202" w:history="1">
            <w:r w:rsidR="00292D8F" w:rsidRPr="00D35073">
              <w:rPr>
                <w:rStyle w:val="Hyperlink"/>
              </w:rPr>
              <w:t>2.3 - FFR Mathematical Model</w:t>
            </w:r>
            <w:r w:rsidR="00292D8F" w:rsidRPr="00D35073">
              <w:rPr>
                <w:webHidden/>
              </w:rPr>
              <w:tab/>
            </w:r>
            <w:r w:rsidR="00292D8F" w:rsidRPr="00D35073">
              <w:rPr>
                <w:webHidden/>
              </w:rPr>
              <w:fldChar w:fldCharType="begin"/>
            </w:r>
            <w:r w:rsidR="00292D8F" w:rsidRPr="00D35073">
              <w:rPr>
                <w:webHidden/>
              </w:rPr>
              <w:instrText xml:space="preserve"> PAGEREF _Toc80302202 \h </w:instrText>
            </w:r>
            <w:r w:rsidR="00292D8F" w:rsidRPr="00D35073">
              <w:rPr>
                <w:webHidden/>
              </w:rPr>
            </w:r>
            <w:r w:rsidR="00292D8F" w:rsidRPr="00D35073">
              <w:rPr>
                <w:webHidden/>
              </w:rPr>
              <w:fldChar w:fldCharType="separate"/>
            </w:r>
            <w:r w:rsidR="00221ECB">
              <w:rPr>
                <w:webHidden/>
              </w:rPr>
              <w:t>61</w:t>
            </w:r>
            <w:r w:rsidR="00292D8F" w:rsidRPr="00D35073">
              <w:rPr>
                <w:webHidden/>
              </w:rPr>
              <w:fldChar w:fldCharType="end"/>
            </w:r>
          </w:hyperlink>
        </w:p>
        <w:p w14:paraId="5816D12F" w14:textId="4A510784" w:rsidR="00292D8F" w:rsidRPr="00D35073" w:rsidRDefault="00F40E8E" w:rsidP="00292D8F">
          <w:pPr>
            <w:pStyle w:val="TOC2"/>
            <w:rPr>
              <w:rFonts w:eastAsiaTheme="minorEastAsia"/>
              <w:lang w:eastAsia="en-GB"/>
            </w:rPr>
          </w:pPr>
          <w:hyperlink w:anchor="_Toc80302203" w:history="1">
            <w:r w:rsidR="00292D8F" w:rsidRPr="00D35073">
              <w:rPr>
                <w:rStyle w:val="Hyperlink"/>
              </w:rPr>
              <w:t>2.4 - Statistical Analysis</w:t>
            </w:r>
            <w:r w:rsidR="00292D8F" w:rsidRPr="00D35073">
              <w:rPr>
                <w:webHidden/>
              </w:rPr>
              <w:tab/>
            </w:r>
            <w:r w:rsidR="00292D8F" w:rsidRPr="00D35073">
              <w:rPr>
                <w:webHidden/>
              </w:rPr>
              <w:fldChar w:fldCharType="begin"/>
            </w:r>
            <w:r w:rsidR="00292D8F" w:rsidRPr="00D35073">
              <w:rPr>
                <w:webHidden/>
              </w:rPr>
              <w:instrText xml:space="preserve"> PAGEREF _Toc80302203 \h </w:instrText>
            </w:r>
            <w:r w:rsidR="00292D8F" w:rsidRPr="00D35073">
              <w:rPr>
                <w:webHidden/>
              </w:rPr>
            </w:r>
            <w:r w:rsidR="00292D8F" w:rsidRPr="00D35073">
              <w:rPr>
                <w:webHidden/>
              </w:rPr>
              <w:fldChar w:fldCharType="separate"/>
            </w:r>
            <w:r w:rsidR="00221ECB">
              <w:rPr>
                <w:webHidden/>
              </w:rPr>
              <w:t>61</w:t>
            </w:r>
            <w:r w:rsidR="00292D8F" w:rsidRPr="00D35073">
              <w:rPr>
                <w:webHidden/>
              </w:rPr>
              <w:fldChar w:fldCharType="end"/>
            </w:r>
          </w:hyperlink>
        </w:p>
        <w:p w14:paraId="7E63DC2D" w14:textId="4DD0D337" w:rsidR="00292D8F" w:rsidRPr="00D35073" w:rsidRDefault="00F40E8E" w:rsidP="00292D8F">
          <w:pPr>
            <w:pStyle w:val="TOC2"/>
            <w:rPr>
              <w:rFonts w:eastAsiaTheme="minorEastAsia"/>
              <w:lang w:eastAsia="en-GB"/>
            </w:rPr>
          </w:pPr>
          <w:hyperlink w:anchor="_Toc80302204" w:history="1">
            <w:r w:rsidR="00292D8F" w:rsidRPr="00D35073">
              <w:rPr>
                <w:rStyle w:val="Hyperlink"/>
              </w:rPr>
              <w:t>2.5 - Results</w:t>
            </w:r>
            <w:r w:rsidR="00292D8F" w:rsidRPr="00D35073">
              <w:rPr>
                <w:webHidden/>
              </w:rPr>
              <w:tab/>
            </w:r>
            <w:r w:rsidR="00292D8F" w:rsidRPr="00D35073">
              <w:rPr>
                <w:webHidden/>
              </w:rPr>
              <w:fldChar w:fldCharType="begin"/>
            </w:r>
            <w:r w:rsidR="00292D8F" w:rsidRPr="00D35073">
              <w:rPr>
                <w:webHidden/>
              </w:rPr>
              <w:instrText xml:space="preserve"> PAGEREF _Toc80302204 \h </w:instrText>
            </w:r>
            <w:r w:rsidR="00292D8F" w:rsidRPr="00D35073">
              <w:rPr>
                <w:webHidden/>
              </w:rPr>
            </w:r>
            <w:r w:rsidR="00292D8F" w:rsidRPr="00D35073">
              <w:rPr>
                <w:webHidden/>
              </w:rPr>
              <w:fldChar w:fldCharType="separate"/>
            </w:r>
            <w:r w:rsidR="00221ECB">
              <w:rPr>
                <w:webHidden/>
              </w:rPr>
              <w:t>61</w:t>
            </w:r>
            <w:r w:rsidR="00292D8F" w:rsidRPr="00D35073">
              <w:rPr>
                <w:webHidden/>
              </w:rPr>
              <w:fldChar w:fldCharType="end"/>
            </w:r>
          </w:hyperlink>
        </w:p>
        <w:p w14:paraId="58029DF6" w14:textId="335F4DD9"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05" w:history="1">
            <w:r w:rsidR="00292D8F" w:rsidRPr="00D35073">
              <w:rPr>
                <w:rStyle w:val="Hyperlink"/>
                <w:rFonts w:ascii="Times New Roman" w:hAnsi="Times New Roman" w:cs="Times New Roman"/>
                <w:i/>
                <w:noProof/>
              </w:rPr>
              <w:t>2.5.1 - Patient Demographics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_Toc80302205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61</w:t>
            </w:r>
            <w:r w:rsidR="00292D8F" w:rsidRPr="00D35073">
              <w:rPr>
                <w:rFonts w:ascii="Times New Roman" w:hAnsi="Times New Roman" w:cs="Times New Roman"/>
                <w:noProof/>
                <w:webHidden/>
              </w:rPr>
              <w:fldChar w:fldCharType="end"/>
            </w:r>
          </w:hyperlink>
        </w:p>
        <w:p w14:paraId="7772CAB1" w14:textId="3F79B7FB"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06" w:history="1">
            <w:r w:rsidR="00292D8F" w:rsidRPr="00D35073">
              <w:rPr>
                <w:rStyle w:val="Hyperlink"/>
                <w:rFonts w:ascii="Times New Roman" w:hAnsi="Times New Roman" w:cs="Times New Roman"/>
                <w:i/>
                <w:noProof/>
              </w:rPr>
              <w:t>2.5.2 - Vertical Height Measurements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_Toc80302206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63</w:t>
            </w:r>
            <w:r w:rsidR="00292D8F" w:rsidRPr="00D35073">
              <w:rPr>
                <w:rFonts w:ascii="Times New Roman" w:hAnsi="Times New Roman" w:cs="Times New Roman"/>
                <w:noProof/>
                <w:webHidden/>
              </w:rPr>
              <w:fldChar w:fldCharType="end"/>
            </w:r>
          </w:hyperlink>
        </w:p>
        <w:p w14:paraId="09D6F0D3" w14:textId="41BE5ED0"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07" w:history="1">
            <w:r w:rsidR="00292D8F" w:rsidRPr="00D35073">
              <w:rPr>
                <w:rStyle w:val="Hyperlink"/>
                <w:rFonts w:ascii="Times New Roman" w:hAnsi="Times New Roman" w:cs="Times New Roman"/>
                <w:i/>
                <w:noProof/>
              </w:rPr>
              <w:t>2.5.3 - Effect on FFR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_Toc80302207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65</w:t>
            </w:r>
            <w:r w:rsidR="00292D8F" w:rsidRPr="00D35073">
              <w:rPr>
                <w:rFonts w:ascii="Times New Roman" w:hAnsi="Times New Roman" w:cs="Times New Roman"/>
                <w:noProof/>
                <w:webHidden/>
              </w:rPr>
              <w:fldChar w:fldCharType="end"/>
            </w:r>
          </w:hyperlink>
        </w:p>
        <w:p w14:paraId="15E18055" w14:textId="4C8C165C"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08" w:history="1">
            <w:r w:rsidR="00292D8F" w:rsidRPr="00D35073">
              <w:rPr>
                <w:rStyle w:val="Hyperlink"/>
                <w:rFonts w:ascii="Times New Roman" w:hAnsi="Times New Roman" w:cs="Times New Roman"/>
                <w:i/>
                <w:noProof/>
              </w:rPr>
              <w:t>2.5.4 - FFR and cFFR Discordance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_Toc80302208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67</w:t>
            </w:r>
            <w:r w:rsidR="00292D8F" w:rsidRPr="00D35073">
              <w:rPr>
                <w:rFonts w:ascii="Times New Roman" w:hAnsi="Times New Roman" w:cs="Times New Roman"/>
                <w:noProof/>
                <w:webHidden/>
              </w:rPr>
              <w:fldChar w:fldCharType="end"/>
            </w:r>
          </w:hyperlink>
        </w:p>
        <w:p w14:paraId="070500C5" w14:textId="19801857" w:rsidR="00292D8F" w:rsidRPr="00D35073" w:rsidRDefault="00F40E8E" w:rsidP="00292D8F">
          <w:pPr>
            <w:pStyle w:val="TOC2"/>
            <w:rPr>
              <w:rFonts w:eastAsiaTheme="minorEastAsia"/>
              <w:lang w:eastAsia="en-GB"/>
            </w:rPr>
          </w:pPr>
          <w:hyperlink w:anchor="_Toc80302209" w:history="1">
            <w:r w:rsidR="00292D8F" w:rsidRPr="00D35073">
              <w:rPr>
                <w:rStyle w:val="Hyperlink"/>
              </w:rPr>
              <w:t>2.6 - Discussion and Interpretation</w:t>
            </w:r>
            <w:r w:rsidR="00292D8F" w:rsidRPr="00D35073">
              <w:rPr>
                <w:webHidden/>
              </w:rPr>
              <w:tab/>
            </w:r>
            <w:r w:rsidR="00292D8F" w:rsidRPr="00D35073">
              <w:rPr>
                <w:webHidden/>
              </w:rPr>
              <w:fldChar w:fldCharType="begin"/>
            </w:r>
            <w:r w:rsidR="00292D8F" w:rsidRPr="00D35073">
              <w:rPr>
                <w:webHidden/>
              </w:rPr>
              <w:instrText xml:space="preserve"> PAGEREF _Toc80302209 \h </w:instrText>
            </w:r>
            <w:r w:rsidR="00292D8F" w:rsidRPr="00D35073">
              <w:rPr>
                <w:webHidden/>
              </w:rPr>
            </w:r>
            <w:r w:rsidR="00292D8F" w:rsidRPr="00D35073">
              <w:rPr>
                <w:webHidden/>
              </w:rPr>
              <w:fldChar w:fldCharType="separate"/>
            </w:r>
            <w:r w:rsidR="00221ECB">
              <w:rPr>
                <w:webHidden/>
              </w:rPr>
              <w:t>68</w:t>
            </w:r>
            <w:r w:rsidR="00292D8F" w:rsidRPr="00D35073">
              <w:rPr>
                <w:webHidden/>
              </w:rPr>
              <w:fldChar w:fldCharType="end"/>
            </w:r>
          </w:hyperlink>
        </w:p>
        <w:p w14:paraId="65FB2868" w14:textId="58D975BD"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10" w:history="1">
            <w:r w:rsidR="00292D8F" w:rsidRPr="00D35073">
              <w:rPr>
                <w:rStyle w:val="Hyperlink"/>
                <w:rFonts w:ascii="Times New Roman" w:hAnsi="Times New Roman" w:cs="Times New Roman"/>
                <w:i/>
                <w:noProof/>
              </w:rPr>
              <w:t>2.6.1 - Height Variations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_Toc80302210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68</w:t>
            </w:r>
            <w:r w:rsidR="00292D8F" w:rsidRPr="00D35073">
              <w:rPr>
                <w:rFonts w:ascii="Times New Roman" w:hAnsi="Times New Roman" w:cs="Times New Roman"/>
                <w:noProof/>
                <w:webHidden/>
              </w:rPr>
              <w:fldChar w:fldCharType="end"/>
            </w:r>
          </w:hyperlink>
        </w:p>
        <w:p w14:paraId="6F4A0960" w14:textId="1FB7FB0C"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11" w:history="1">
            <w:r w:rsidR="00292D8F" w:rsidRPr="00D35073">
              <w:rPr>
                <w:rStyle w:val="Hyperlink"/>
                <w:rFonts w:ascii="Times New Roman" w:hAnsi="Times New Roman" w:cs="Times New Roman"/>
                <w:i/>
                <w:noProof/>
              </w:rPr>
              <w:t>2.6.2 - Al-Janabi  vs.Härle Data</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_Toc80302211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70</w:t>
            </w:r>
            <w:r w:rsidR="00292D8F" w:rsidRPr="00D35073">
              <w:rPr>
                <w:rFonts w:ascii="Times New Roman" w:hAnsi="Times New Roman" w:cs="Times New Roman"/>
                <w:noProof/>
                <w:webHidden/>
              </w:rPr>
              <w:fldChar w:fldCharType="end"/>
            </w:r>
          </w:hyperlink>
        </w:p>
        <w:p w14:paraId="0656A1CA" w14:textId="5384D158"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12" w:history="1">
            <w:r w:rsidR="00292D8F" w:rsidRPr="00D35073">
              <w:rPr>
                <w:rStyle w:val="Hyperlink"/>
                <w:rFonts w:ascii="Times New Roman" w:hAnsi="Times New Roman" w:cs="Times New Roman"/>
                <w:i/>
                <w:noProof/>
              </w:rPr>
              <w:t>2.6.3 - FFR Magnitude of Effect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_Toc80302212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73</w:t>
            </w:r>
            <w:r w:rsidR="00292D8F" w:rsidRPr="00D35073">
              <w:rPr>
                <w:rFonts w:ascii="Times New Roman" w:hAnsi="Times New Roman" w:cs="Times New Roman"/>
                <w:noProof/>
                <w:webHidden/>
              </w:rPr>
              <w:fldChar w:fldCharType="end"/>
            </w:r>
          </w:hyperlink>
        </w:p>
        <w:p w14:paraId="448963E0" w14:textId="54618120"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13" w:history="1">
            <w:r w:rsidR="00292D8F" w:rsidRPr="00D35073">
              <w:rPr>
                <w:rStyle w:val="Hyperlink"/>
                <w:rFonts w:ascii="Times New Roman" w:hAnsi="Times New Roman" w:cs="Times New Roman"/>
                <w:i/>
                <w:noProof/>
              </w:rPr>
              <w:t>2.6.4 - Potential Impact on Clinical Practice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_Toc80302213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73</w:t>
            </w:r>
            <w:r w:rsidR="00292D8F" w:rsidRPr="00D35073">
              <w:rPr>
                <w:rFonts w:ascii="Times New Roman" w:hAnsi="Times New Roman" w:cs="Times New Roman"/>
                <w:noProof/>
                <w:webHidden/>
              </w:rPr>
              <w:fldChar w:fldCharType="end"/>
            </w:r>
          </w:hyperlink>
        </w:p>
        <w:p w14:paraId="65C969A1" w14:textId="0985B25C"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14" w:history="1">
            <w:r w:rsidR="00292D8F" w:rsidRPr="00D35073">
              <w:rPr>
                <w:rStyle w:val="Hyperlink"/>
                <w:rFonts w:ascii="Times New Roman" w:hAnsi="Times New Roman" w:cs="Times New Roman"/>
                <w:i/>
                <w:noProof/>
              </w:rPr>
              <w:t>2.6.5 - PDA vs. PLV Wire Placement - A Clinical Case Example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_Toc80302214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74</w:t>
            </w:r>
            <w:r w:rsidR="00292D8F" w:rsidRPr="00D35073">
              <w:rPr>
                <w:rFonts w:ascii="Times New Roman" w:hAnsi="Times New Roman" w:cs="Times New Roman"/>
                <w:noProof/>
                <w:webHidden/>
              </w:rPr>
              <w:fldChar w:fldCharType="end"/>
            </w:r>
          </w:hyperlink>
        </w:p>
        <w:p w14:paraId="7AE63CD9" w14:textId="2F9A0CE2" w:rsidR="00292D8F" w:rsidRPr="00D35073" w:rsidRDefault="00F40E8E" w:rsidP="00292D8F">
          <w:pPr>
            <w:pStyle w:val="TOC2"/>
            <w:rPr>
              <w:rFonts w:eastAsiaTheme="minorEastAsia"/>
              <w:lang w:eastAsia="en-GB"/>
            </w:rPr>
          </w:pPr>
          <w:hyperlink w:anchor="_Toc80302215" w:history="1">
            <w:r w:rsidR="00292D8F" w:rsidRPr="00D35073">
              <w:rPr>
                <w:rStyle w:val="Hyperlink"/>
              </w:rPr>
              <w:t>2.7 - Limitations</w:t>
            </w:r>
            <w:r w:rsidR="00292D8F" w:rsidRPr="00D35073">
              <w:rPr>
                <w:webHidden/>
              </w:rPr>
              <w:tab/>
            </w:r>
            <w:r w:rsidR="00292D8F" w:rsidRPr="00D35073">
              <w:rPr>
                <w:webHidden/>
              </w:rPr>
              <w:fldChar w:fldCharType="begin"/>
            </w:r>
            <w:r w:rsidR="00292D8F" w:rsidRPr="00D35073">
              <w:rPr>
                <w:webHidden/>
              </w:rPr>
              <w:instrText xml:space="preserve"> PAGEREF _Toc80302215 \h </w:instrText>
            </w:r>
            <w:r w:rsidR="00292D8F" w:rsidRPr="00D35073">
              <w:rPr>
                <w:webHidden/>
              </w:rPr>
            </w:r>
            <w:r w:rsidR="00292D8F" w:rsidRPr="00D35073">
              <w:rPr>
                <w:webHidden/>
              </w:rPr>
              <w:fldChar w:fldCharType="separate"/>
            </w:r>
            <w:r w:rsidR="00221ECB">
              <w:rPr>
                <w:webHidden/>
              </w:rPr>
              <w:t>76</w:t>
            </w:r>
            <w:r w:rsidR="00292D8F" w:rsidRPr="00D35073">
              <w:rPr>
                <w:webHidden/>
              </w:rPr>
              <w:fldChar w:fldCharType="end"/>
            </w:r>
          </w:hyperlink>
        </w:p>
        <w:p w14:paraId="6DB9383B" w14:textId="71A25B77"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16" w:history="1">
            <w:r w:rsidR="00292D8F" w:rsidRPr="00D35073">
              <w:rPr>
                <w:rStyle w:val="Hyperlink"/>
                <w:rFonts w:ascii="Times New Roman" w:hAnsi="Times New Roman" w:cs="Times New Roman"/>
                <w:i/>
                <w:noProof/>
              </w:rPr>
              <w:t>2.7.1 - Patient Demographic</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_Toc80302216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76</w:t>
            </w:r>
            <w:r w:rsidR="00292D8F" w:rsidRPr="00D35073">
              <w:rPr>
                <w:rFonts w:ascii="Times New Roman" w:hAnsi="Times New Roman" w:cs="Times New Roman"/>
                <w:noProof/>
                <w:webHidden/>
              </w:rPr>
              <w:fldChar w:fldCharType="end"/>
            </w:r>
          </w:hyperlink>
        </w:p>
        <w:p w14:paraId="75AF22BF" w14:textId="541AC654"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17" w:history="1">
            <w:r w:rsidR="00292D8F" w:rsidRPr="00D35073">
              <w:rPr>
                <w:rStyle w:val="Hyperlink"/>
                <w:rFonts w:ascii="Times New Roman" w:hAnsi="Times New Roman" w:cs="Times New Roman"/>
                <w:i/>
                <w:noProof/>
              </w:rPr>
              <w:t>2.7.2 - Coronary Visualisation</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_Toc80302217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78</w:t>
            </w:r>
            <w:r w:rsidR="00292D8F" w:rsidRPr="00D35073">
              <w:rPr>
                <w:rFonts w:ascii="Times New Roman" w:hAnsi="Times New Roman" w:cs="Times New Roman"/>
                <w:noProof/>
                <w:webHidden/>
              </w:rPr>
              <w:fldChar w:fldCharType="end"/>
            </w:r>
          </w:hyperlink>
        </w:p>
        <w:p w14:paraId="5AD4E834" w14:textId="29DAA737"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18" w:history="1">
            <w:r w:rsidR="00292D8F" w:rsidRPr="00D35073">
              <w:rPr>
                <w:rStyle w:val="Hyperlink"/>
                <w:rFonts w:ascii="Times New Roman" w:hAnsi="Times New Roman" w:cs="Times New Roman"/>
                <w:i/>
                <w:noProof/>
              </w:rPr>
              <w:t>2.7.3 - Measurement Point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_Toc80302218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78</w:t>
            </w:r>
            <w:r w:rsidR="00292D8F" w:rsidRPr="00D35073">
              <w:rPr>
                <w:rFonts w:ascii="Times New Roman" w:hAnsi="Times New Roman" w:cs="Times New Roman"/>
                <w:noProof/>
                <w:webHidden/>
              </w:rPr>
              <w:fldChar w:fldCharType="end"/>
            </w:r>
          </w:hyperlink>
        </w:p>
        <w:p w14:paraId="34DD059B" w14:textId="1CEF5EE1"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19" w:history="1">
            <w:r w:rsidR="00292D8F" w:rsidRPr="00D35073">
              <w:rPr>
                <w:rStyle w:val="Hyperlink"/>
                <w:rFonts w:ascii="Times New Roman" w:hAnsi="Times New Roman" w:cs="Times New Roman"/>
                <w:i/>
                <w:noProof/>
              </w:rPr>
              <w:t>2.7.4 - Mathematical Model</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_Toc80302219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79</w:t>
            </w:r>
            <w:r w:rsidR="00292D8F" w:rsidRPr="00D35073">
              <w:rPr>
                <w:rFonts w:ascii="Times New Roman" w:hAnsi="Times New Roman" w:cs="Times New Roman"/>
                <w:noProof/>
                <w:webHidden/>
              </w:rPr>
              <w:fldChar w:fldCharType="end"/>
            </w:r>
          </w:hyperlink>
        </w:p>
        <w:p w14:paraId="1E2CE8AC" w14:textId="37674B81" w:rsidR="00292D8F" w:rsidRPr="00D35073" w:rsidRDefault="00F40E8E" w:rsidP="00292D8F">
          <w:pPr>
            <w:pStyle w:val="TOC2"/>
            <w:rPr>
              <w:rFonts w:eastAsiaTheme="minorEastAsia"/>
              <w:lang w:eastAsia="en-GB"/>
            </w:rPr>
          </w:pPr>
          <w:hyperlink w:anchor="_Toc80302220" w:history="1">
            <w:r w:rsidR="00292D8F" w:rsidRPr="00D35073">
              <w:rPr>
                <w:rStyle w:val="Hyperlink"/>
              </w:rPr>
              <w:t>2.8 - Conclusions</w:t>
            </w:r>
            <w:r w:rsidR="00292D8F" w:rsidRPr="00D35073">
              <w:rPr>
                <w:webHidden/>
              </w:rPr>
              <w:tab/>
            </w:r>
            <w:r w:rsidR="00292D8F" w:rsidRPr="00D35073">
              <w:rPr>
                <w:webHidden/>
              </w:rPr>
              <w:fldChar w:fldCharType="begin"/>
            </w:r>
            <w:r w:rsidR="00292D8F" w:rsidRPr="00D35073">
              <w:rPr>
                <w:webHidden/>
              </w:rPr>
              <w:instrText xml:space="preserve"> PAGEREF _Toc80302220 \h </w:instrText>
            </w:r>
            <w:r w:rsidR="00292D8F" w:rsidRPr="00D35073">
              <w:rPr>
                <w:webHidden/>
              </w:rPr>
            </w:r>
            <w:r w:rsidR="00292D8F" w:rsidRPr="00D35073">
              <w:rPr>
                <w:webHidden/>
              </w:rPr>
              <w:fldChar w:fldCharType="separate"/>
            </w:r>
            <w:r w:rsidR="00221ECB">
              <w:rPr>
                <w:webHidden/>
              </w:rPr>
              <w:t>79</w:t>
            </w:r>
            <w:r w:rsidR="00292D8F" w:rsidRPr="00D35073">
              <w:rPr>
                <w:webHidden/>
              </w:rPr>
              <w:fldChar w:fldCharType="end"/>
            </w:r>
          </w:hyperlink>
        </w:p>
        <w:p w14:paraId="3BE6CE66" w14:textId="02F8B330" w:rsidR="00292D8F" w:rsidRPr="00D35073" w:rsidRDefault="00F40E8E">
          <w:pPr>
            <w:pStyle w:val="TOC1"/>
            <w:rPr>
              <w:rFonts w:eastAsiaTheme="minorEastAsia"/>
              <w:lang w:eastAsia="en-GB"/>
            </w:rPr>
          </w:pPr>
          <w:hyperlink w:anchor="_Toc80302221" w:history="1">
            <w:r w:rsidR="00292D8F" w:rsidRPr="00D35073">
              <w:rPr>
                <w:rStyle w:val="Hyperlink"/>
              </w:rPr>
              <w:t>Chapter III - Methods and Results from Invasive Physiology</w:t>
            </w:r>
            <w:r w:rsidR="00292D8F" w:rsidRPr="00D35073">
              <w:rPr>
                <w:webHidden/>
              </w:rPr>
              <w:tab/>
            </w:r>
            <w:r w:rsidR="00292D8F" w:rsidRPr="00D35073">
              <w:rPr>
                <w:webHidden/>
              </w:rPr>
              <w:fldChar w:fldCharType="begin"/>
            </w:r>
            <w:r w:rsidR="00292D8F" w:rsidRPr="00D35073">
              <w:rPr>
                <w:webHidden/>
              </w:rPr>
              <w:instrText xml:space="preserve"> PAGEREF _Toc80302221 \h </w:instrText>
            </w:r>
            <w:r w:rsidR="00292D8F" w:rsidRPr="00D35073">
              <w:rPr>
                <w:webHidden/>
              </w:rPr>
            </w:r>
            <w:r w:rsidR="00292D8F" w:rsidRPr="00D35073">
              <w:rPr>
                <w:webHidden/>
              </w:rPr>
              <w:fldChar w:fldCharType="separate"/>
            </w:r>
            <w:r w:rsidR="00221ECB">
              <w:rPr>
                <w:webHidden/>
              </w:rPr>
              <w:t>80</w:t>
            </w:r>
            <w:r w:rsidR="00292D8F" w:rsidRPr="00D35073">
              <w:rPr>
                <w:webHidden/>
              </w:rPr>
              <w:fldChar w:fldCharType="end"/>
            </w:r>
          </w:hyperlink>
        </w:p>
        <w:p w14:paraId="2088F693" w14:textId="40D367E8" w:rsidR="00292D8F" w:rsidRPr="00D35073" w:rsidRDefault="00F40E8E" w:rsidP="00292D8F">
          <w:pPr>
            <w:pStyle w:val="TOC2"/>
            <w:rPr>
              <w:rFonts w:eastAsiaTheme="minorEastAsia"/>
              <w:lang w:eastAsia="en-GB"/>
            </w:rPr>
          </w:pPr>
          <w:hyperlink w:anchor="_Toc80302222" w:history="1">
            <w:r w:rsidR="00292D8F" w:rsidRPr="00D35073">
              <w:rPr>
                <w:rStyle w:val="Hyperlink"/>
              </w:rPr>
              <w:t>3.1 - Method Overview</w:t>
            </w:r>
            <w:r w:rsidR="00292D8F" w:rsidRPr="00D35073">
              <w:rPr>
                <w:webHidden/>
              </w:rPr>
              <w:tab/>
            </w:r>
            <w:r w:rsidR="00292D8F" w:rsidRPr="00D35073">
              <w:rPr>
                <w:webHidden/>
              </w:rPr>
              <w:fldChar w:fldCharType="begin"/>
            </w:r>
            <w:r w:rsidR="00292D8F" w:rsidRPr="00D35073">
              <w:rPr>
                <w:webHidden/>
              </w:rPr>
              <w:instrText xml:space="preserve"> PAGEREF _Toc80302222 \h </w:instrText>
            </w:r>
            <w:r w:rsidR="00292D8F" w:rsidRPr="00D35073">
              <w:rPr>
                <w:webHidden/>
              </w:rPr>
            </w:r>
            <w:r w:rsidR="00292D8F" w:rsidRPr="00D35073">
              <w:rPr>
                <w:webHidden/>
              </w:rPr>
              <w:fldChar w:fldCharType="separate"/>
            </w:r>
            <w:r w:rsidR="00221ECB">
              <w:rPr>
                <w:webHidden/>
              </w:rPr>
              <w:t>80</w:t>
            </w:r>
            <w:r w:rsidR="00292D8F" w:rsidRPr="00D35073">
              <w:rPr>
                <w:webHidden/>
              </w:rPr>
              <w:fldChar w:fldCharType="end"/>
            </w:r>
          </w:hyperlink>
        </w:p>
        <w:p w14:paraId="41681EDF" w14:textId="022E1161" w:rsidR="00292D8F" w:rsidRPr="00D35073" w:rsidRDefault="00F40E8E" w:rsidP="00292D8F">
          <w:pPr>
            <w:pStyle w:val="TOC2"/>
            <w:rPr>
              <w:rFonts w:eastAsiaTheme="minorEastAsia"/>
              <w:lang w:eastAsia="en-GB"/>
            </w:rPr>
          </w:pPr>
          <w:hyperlink w:anchor="_Toc80302223" w:history="1">
            <w:r w:rsidR="00292D8F" w:rsidRPr="00D35073">
              <w:rPr>
                <w:rStyle w:val="Hyperlink"/>
              </w:rPr>
              <w:t>3.2 - Primary and Secondary Endpoints</w:t>
            </w:r>
            <w:r w:rsidR="00292D8F" w:rsidRPr="00D35073">
              <w:rPr>
                <w:webHidden/>
              </w:rPr>
              <w:tab/>
            </w:r>
            <w:r w:rsidR="00292D8F" w:rsidRPr="00D35073">
              <w:rPr>
                <w:webHidden/>
              </w:rPr>
              <w:fldChar w:fldCharType="begin"/>
            </w:r>
            <w:r w:rsidR="00292D8F" w:rsidRPr="00D35073">
              <w:rPr>
                <w:webHidden/>
              </w:rPr>
              <w:instrText xml:space="preserve"> PAGEREF _Toc80302223 \h </w:instrText>
            </w:r>
            <w:r w:rsidR="00292D8F" w:rsidRPr="00D35073">
              <w:rPr>
                <w:webHidden/>
              </w:rPr>
            </w:r>
            <w:r w:rsidR="00292D8F" w:rsidRPr="00D35073">
              <w:rPr>
                <w:webHidden/>
              </w:rPr>
              <w:fldChar w:fldCharType="separate"/>
            </w:r>
            <w:r w:rsidR="00221ECB">
              <w:rPr>
                <w:webHidden/>
              </w:rPr>
              <w:t>80</w:t>
            </w:r>
            <w:r w:rsidR="00292D8F" w:rsidRPr="00D35073">
              <w:rPr>
                <w:webHidden/>
              </w:rPr>
              <w:fldChar w:fldCharType="end"/>
            </w:r>
          </w:hyperlink>
        </w:p>
        <w:p w14:paraId="52753710" w14:textId="4F9CF9B9" w:rsidR="00292D8F" w:rsidRPr="00D35073" w:rsidRDefault="00F40E8E" w:rsidP="00292D8F">
          <w:pPr>
            <w:pStyle w:val="TOC2"/>
            <w:rPr>
              <w:rFonts w:eastAsiaTheme="minorEastAsia"/>
              <w:lang w:eastAsia="en-GB"/>
            </w:rPr>
          </w:pPr>
          <w:hyperlink w:anchor="_Toc80302224" w:history="1">
            <w:r w:rsidR="00292D8F" w:rsidRPr="00D35073">
              <w:rPr>
                <w:rStyle w:val="Hyperlink"/>
              </w:rPr>
              <w:t>3.3 - Ethical Approval and Study Population</w:t>
            </w:r>
            <w:r w:rsidR="00292D8F" w:rsidRPr="00D35073">
              <w:rPr>
                <w:webHidden/>
              </w:rPr>
              <w:tab/>
            </w:r>
            <w:r w:rsidR="00292D8F" w:rsidRPr="00D35073">
              <w:rPr>
                <w:webHidden/>
              </w:rPr>
              <w:fldChar w:fldCharType="begin"/>
            </w:r>
            <w:r w:rsidR="00292D8F" w:rsidRPr="00D35073">
              <w:rPr>
                <w:webHidden/>
              </w:rPr>
              <w:instrText xml:space="preserve"> PAGEREF _Toc80302224 \h </w:instrText>
            </w:r>
            <w:r w:rsidR="00292D8F" w:rsidRPr="00D35073">
              <w:rPr>
                <w:webHidden/>
              </w:rPr>
            </w:r>
            <w:r w:rsidR="00292D8F" w:rsidRPr="00D35073">
              <w:rPr>
                <w:webHidden/>
              </w:rPr>
              <w:fldChar w:fldCharType="separate"/>
            </w:r>
            <w:r w:rsidR="00221ECB">
              <w:rPr>
                <w:webHidden/>
              </w:rPr>
              <w:t>81</w:t>
            </w:r>
            <w:r w:rsidR="00292D8F" w:rsidRPr="00D35073">
              <w:rPr>
                <w:webHidden/>
              </w:rPr>
              <w:fldChar w:fldCharType="end"/>
            </w:r>
          </w:hyperlink>
        </w:p>
        <w:p w14:paraId="75CE49C9" w14:textId="7E0E8324"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25" w:history="1">
            <w:r w:rsidR="00292D8F" w:rsidRPr="00D35073">
              <w:rPr>
                <w:rStyle w:val="Hyperlink"/>
                <w:rFonts w:ascii="Times New Roman" w:hAnsi="Times New Roman" w:cs="Times New Roman"/>
                <w:i/>
                <w:noProof/>
              </w:rPr>
              <w:t>3.3.1 - Ethical Approval</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_Toc80302225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81</w:t>
            </w:r>
            <w:r w:rsidR="00292D8F" w:rsidRPr="00D35073">
              <w:rPr>
                <w:rFonts w:ascii="Times New Roman" w:hAnsi="Times New Roman" w:cs="Times New Roman"/>
                <w:noProof/>
                <w:webHidden/>
              </w:rPr>
              <w:fldChar w:fldCharType="end"/>
            </w:r>
          </w:hyperlink>
        </w:p>
        <w:p w14:paraId="05F19038" w14:textId="4BB49339"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26" w:history="1">
            <w:r w:rsidR="00292D8F" w:rsidRPr="00D35073">
              <w:rPr>
                <w:rStyle w:val="Hyperlink"/>
                <w:rFonts w:ascii="Times New Roman" w:hAnsi="Times New Roman" w:cs="Times New Roman"/>
                <w:i/>
                <w:noProof/>
              </w:rPr>
              <w:t>3.3.2 - Clinical Study Registration</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_Toc80302226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81</w:t>
            </w:r>
            <w:r w:rsidR="00292D8F" w:rsidRPr="00D35073">
              <w:rPr>
                <w:rFonts w:ascii="Times New Roman" w:hAnsi="Times New Roman" w:cs="Times New Roman"/>
                <w:noProof/>
                <w:webHidden/>
              </w:rPr>
              <w:fldChar w:fldCharType="end"/>
            </w:r>
          </w:hyperlink>
        </w:p>
        <w:p w14:paraId="1F3672E9" w14:textId="21C821C1"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27" w:history="1">
            <w:r w:rsidR="00292D8F" w:rsidRPr="00D35073">
              <w:rPr>
                <w:rStyle w:val="Hyperlink"/>
                <w:rFonts w:ascii="Times New Roman" w:hAnsi="Times New Roman" w:cs="Times New Roman"/>
                <w:i/>
                <w:noProof/>
              </w:rPr>
              <w:t>3.3.3 - Study Population</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_Toc80302227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82</w:t>
            </w:r>
            <w:r w:rsidR="00292D8F" w:rsidRPr="00D35073">
              <w:rPr>
                <w:rFonts w:ascii="Times New Roman" w:hAnsi="Times New Roman" w:cs="Times New Roman"/>
                <w:noProof/>
                <w:webHidden/>
              </w:rPr>
              <w:fldChar w:fldCharType="end"/>
            </w:r>
          </w:hyperlink>
        </w:p>
        <w:p w14:paraId="06E321D3" w14:textId="23F8BA5B" w:rsidR="00292D8F" w:rsidRPr="00D35073" w:rsidRDefault="00F40E8E" w:rsidP="00292D8F">
          <w:pPr>
            <w:pStyle w:val="TOC2"/>
            <w:rPr>
              <w:rFonts w:eastAsiaTheme="minorEastAsia"/>
              <w:lang w:eastAsia="en-GB"/>
            </w:rPr>
          </w:pPr>
          <w:hyperlink w:anchor="_Toc80302228" w:history="1">
            <w:r w:rsidR="00292D8F" w:rsidRPr="00D35073">
              <w:rPr>
                <w:rStyle w:val="Hyperlink"/>
              </w:rPr>
              <w:t>3.4 - Sample Size Calculation and Statistical Analysis</w:t>
            </w:r>
            <w:r w:rsidR="00292D8F" w:rsidRPr="00D35073">
              <w:rPr>
                <w:webHidden/>
              </w:rPr>
              <w:tab/>
            </w:r>
            <w:r w:rsidR="00292D8F" w:rsidRPr="00D35073">
              <w:rPr>
                <w:webHidden/>
              </w:rPr>
              <w:fldChar w:fldCharType="begin"/>
            </w:r>
            <w:r w:rsidR="00292D8F" w:rsidRPr="00D35073">
              <w:rPr>
                <w:webHidden/>
              </w:rPr>
              <w:instrText xml:space="preserve"> PAGEREF _Toc80302228 \h </w:instrText>
            </w:r>
            <w:r w:rsidR="00292D8F" w:rsidRPr="00D35073">
              <w:rPr>
                <w:webHidden/>
              </w:rPr>
            </w:r>
            <w:r w:rsidR="00292D8F" w:rsidRPr="00D35073">
              <w:rPr>
                <w:webHidden/>
              </w:rPr>
              <w:fldChar w:fldCharType="separate"/>
            </w:r>
            <w:r w:rsidR="00221ECB">
              <w:rPr>
                <w:webHidden/>
              </w:rPr>
              <w:t>85</w:t>
            </w:r>
            <w:r w:rsidR="00292D8F" w:rsidRPr="00D35073">
              <w:rPr>
                <w:webHidden/>
              </w:rPr>
              <w:fldChar w:fldCharType="end"/>
            </w:r>
          </w:hyperlink>
        </w:p>
        <w:p w14:paraId="52955293" w14:textId="12254349" w:rsidR="00292D8F" w:rsidRPr="00D35073" w:rsidRDefault="00F40E8E" w:rsidP="00292D8F">
          <w:pPr>
            <w:pStyle w:val="TOC2"/>
            <w:rPr>
              <w:rFonts w:eastAsiaTheme="minorEastAsia"/>
              <w:lang w:eastAsia="en-GB"/>
            </w:rPr>
          </w:pPr>
          <w:hyperlink w:anchor="_Toc80302229" w:history="1">
            <w:r w:rsidR="00292D8F" w:rsidRPr="00D35073">
              <w:rPr>
                <w:rStyle w:val="Hyperlink"/>
              </w:rPr>
              <w:t>3.5 - Study Challenges</w:t>
            </w:r>
            <w:r w:rsidR="00292D8F" w:rsidRPr="00D35073">
              <w:rPr>
                <w:webHidden/>
              </w:rPr>
              <w:tab/>
            </w:r>
            <w:r w:rsidR="00292D8F" w:rsidRPr="00D35073">
              <w:rPr>
                <w:webHidden/>
              </w:rPr>
              <w:fldChar w:fldCharType="begin"/>
            </w:r>
            <w:r w:rsidR="00292D8F" w:rsidRPr="00D35073">
              <w:rPr>
                <w:webHidden/>
              </w:rPr>
              <w:instrText xml:space="preserve"> PAGEREF _Toc80302229 \h </w:instrText>
            </w:r>
            <w:r w:rsidR="00292D8F" w:rsidRPr="00D35073">
              <w:rPr>
                <w:webHidden/>
              </w:rPr>
            </w:r>
            <w:r w:rsidR="00292D8F" w:rsidRPr="00D35073">
              <w:rPr>
                <w:webHidden/>
              </w:rPr>
              <w:fldChar w:fldCharType="separate"/>
            </w:r>
            <w:r w:rsidR="00221ECB">
              <w:rPr>
                <w:webHidden/>
              </w:rPr>
              <w:t>86</w:t>
            </w:r>
            <w:r w:rsidR="00292D8F" w:rsidRPr="00D35073">
              <w:rPr>
                <w:webHidden/>
              </w:rPr>
              <w:fldChar w:fldCharType="end"/>
            </w:r>
          </w:hyperlink>
        </w:p>
        <w:p w14:paraId="458DB0B6" w14:textId="6584A255" w:rsidR="00292D8F" w:rsidRPr="00D35073" w:rsidRDefault="00F40E8E" w:rsidP="00292D8F">
          <w:pPr>
            <w:pStyle w:val="TOC2"/>
            <w:rPr>
              <w:rFonts w:eastAsiaTheme="minorEastAsia"/>
              <w:lang w:eastAsia="en-GB"/>
            </w:rPr>
          </w:pPr>
          <w:hyperlink w:anchor="_Toc80302230" w:history="1">
            <w:r w:rsidR="00292D8F" w:rsidRPr="00D35073">
              <w:rPr>
                <w:rStyle w:val="Hyperlink"/>
                <w:i/>
              </w:rPr>
              <w:t>3.5.1 - Vascular access</w:t>
            </w:r>
            <w:r w:rsidR="00292D8F" w:rsidRPr="00D35073">
              <w:rPr>
                <w:webHidden/>
              </w:rPr>
              <w:tab/>
            </w:r>
            <w:r w:rsidR="00292D8F" w:rsidRPr="00D35073">
              <w:rPr>
                <w:webHidden/>
              </w:rPr>
              <w:fldChar w:fldCharType="begin"/>
            </w:r>
            <w:r w:rsidR="00292D8F" w:rsidRPr="00D35073">
              <w:rPr>
                <w:webHidden/>
              </w:rPr>
              <w:instrText xml:space="preserve"> PAGEREF _Toc80302230 \h </w:instrText>
            </w:r>
            <w:r w:rsidR="00292D8F" w:rsidRPr="00D35073">
              <w:rPr>
                <w:webHidden/>
              </w:rPr>
            </w:r>
            <w:r w:rsidR="00292D8F" w:rsidRPr="00D35073">
              <w:rPr>
                <w:webHidden/>
              </w:rPr>
              <w:fldChar w:fldCharType="separate"/>
            </w:r>
            <w:r w:rsidR="00221ECB">
              <w:rPr>
                <w:webHidden/>
              </w:rPr>
              <w:t>86</w:t>
            </w:r>
            <w:r w:rsidR="00292D8F" w:rsidRPr="00D35073">
              <w:rPr>
                <w:webHidden/>
              </w:rPr>
              <w:fldChar w:fldCharType="end"/>
            </w:r>
          </w:hyperlink>
        </w:p>
        <w:p w14:paraId="67C111C1" w14:textId="675EFC70"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31" w:history="1">
            <w:r w:rsidR="00292D8F" w:rsidRPr="00D35073">
              <w:rPr>
                <w:rStyle w:val="Hyperlink"/>
                <w:rFonts w:ascii="Times New Roman" w:hAnsi="Times New Roman" w:cs="Times New Roman"/>
                <w:i/>
                <w:noProof/>
              </w:rPr>
              <w:t>3.5.2 - Turning Manoeuvre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_Toc80302231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88</w:t>
            </w:r>
            <w:r w:rsidR="00292D8F" w:rsidRPr="00D35073">
              <w:rPr>
                <w:rFonts w:ascii="Times New Roman" w:hAnsi="Times New Roman" w:cs="Times New Roman"/>
                <w:noProof/>
                <w:webHidden/>
              </w:rPr>
              <w:fldChar w:fldCharType="end"/>
            </w:r>
          </w:hyperlink>
        </w:p>
        <w:p w14:paraId="74D2F892" w14:textId="366CE174"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32" w:history="1">
            <w:r w:rsidR="00292D8F" w:rsidRPr="00D35073">
              <w:rPr>
                <w:rStyle w:val="Hyperlink"/>
                <w:rFonts w:ascii="Times New Roman" w:hAnsi="Times New Roman" w:cs="Times New Roman"/>
                <w:i/>
                <w:noProof/>
              </w:rPr>
              <w:t>3.5.3 - Procedural Considerations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_Toc80302232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89</w:t>
            </w:r>
            <w:r w:rsidR="00292D8F" w:rsidRPr="00D35073">
              <w:rPr>
                <w:rFonts w:ascii="Times New Roman" w:hAnsi="Times New Roman" w:cs="Times New Roman"/>
                <w:noProof/>
                <w:webHidden/>
              </w:rPr>
              <w:fldChar w:fldCharType="end"/>
            </w:r>
          </w:hyperlink>
        </w:p>
        <w:p w14:paraId="5C96E29D" w14:textId="31412BEF" w:rsidR="00292D8F" w:rsidRPr="00D35073" w:rsidRDefault="00F40E8E" w:rsidP="00292D8F">
          <w:pPr>
            <w:pStyle w:val="TOC2"/>
            <w:rPr>
              <w:rFonts w:eastAsiaTheme="minorEastAsia"/>
              <w:lang w:eastAsia="en-GB"/>
            </w:rPr>
          </w:pPr>
          <w:hyperlink w:anchor="_Toc80302233" w:history="1">
            <w:r w:rsidR="00292D8F" w:rsidRPr="00D35073">
              <w:rPr>
                <w:rStyle w:val="Hyperlink"/>
              </w:rPr>
              <w:t>3.6 - Study Protocol</w:t>
            </w:r>
            <w:r w:rsidR="00292D8F" w:rsidRPr="00D35073">
              <w:rPr>
                <w:webHidden/>
              </w:rPr>
              <w:tab/>
            </w:r>
            <w:r w:rsidR="00292D8F" w:rsidRPr="00D35073">
              <w:rPr>
                <w:webHidden/>
              </w:rPr>
              <w:fldChar w:fldCharType="begin"/>
            </w:r>
            <w:r w:rsidR="00292D8F" w:rsidRPr="00D35073">
              <w:rPr>
                <w:webHidden/>
              </w:rPr>
              <w:instrText xml:space="preserve"> PAGEREF _Toc80302233 \h </w:instrText>
            </w:r>
            <w:r w:rsidR="00292D8F" w:rsidRPr="00D35073">
              <w:rPr>
                <w:webHidden/>
              </w:rPr>
            </w:r>
            <w:r w:rsidR="00292D8F" w:rsidRPr="00D35073">
              <w:rPr>
                <w:webHidden/>
              </w:rPr>
              <w:fldChar w:fldCharType="separate"/>
            </w:r>
            <w:r w:rsidR="00221ECB">
              <w:rPr>
                <w:webHidden/>
              </w:rPr>
              <w:t>91</w:t>
            </w:r>
            <w:r w:rsidR="00292D8F" w:rsidRPr="00D35073">
              <w:rPr>
                <w:webHidden/>
              </w:rPr>
              <w:fldChar w:fldCharType="end"/>
            </w:r>
          </w:hyperlink>
        </w:p>
        <w:p w14:paraId="23807854" w14:textId="56E4B718" w:rsidR="00292D8F" w:rsidRPr="00D35073" w:rsidRDefault="00F40E8E" w:rsidP="00292D8F">
          <w:pPr>
            <w:pStyle w:val="TOC2"/>
            <w:rPr>
              <w:rFonts w:eastAsiaTheme="minorEastAsia"/>
              <w:lang w:eastAsia="en-GB"/>
            </w:rPr>
          </w:pPr>
          <w:hyperlink w:anchor="_Toc80302234" w:history="1">
            <w:r w:rsidR="00292D8F" w:rsidRPr="00D35073">
              <w:rPr>
                <w:rStyle w:val="Hyperlink"/>
                <w:i/>
              </w:rPr>
              <w:t>3.6.1 - Prone Component</w:t>
            </w:r>
            <w:r w:rsidR="00292D8F" w:rsidRPr="00D35073">
              <w:rPr>
                <w:webHidden/>
              </w:rPr>
              <w:tab/>
            </w:r>
            <w:r w:rsidR="00292D8F" w:rsidRPr="00D35073">
              <w:rPr>
                <w:webHidden/>
              </w:rPr>
              <w:fldChar w:fldCharType="begin"/>
            </w:r>
            <w:r w:rsidR="00292D8F" w:rsidRPr="00D35073">
              <w:rPr>
                <w:webHidden/>
              </w:rPr>
              <w:instrText xml:space="preserve"> PAGEREF _Toc80302234 \h </w:instrText>
            </w:r>
            <w:r w:rsidR="00292D8F" w:rsidRPr="00D35073">
              <w:rPr>
                <w:webHidden/>
              </w:rPr>
            </w:r>
            <w:r w:rsidR="00292D8F" w:rsidRPr="00D35073">
              <w:rPr>
                <w:webHidden/>
              </w:rPr>
              <w:fldChar w:fldCharType="separate"/>
            </w:r>
            <w:r w:rsidR="00221ECB">
              <w:rPr>
                <w:webHidden/>
              </w:rPr>
              <w:t>91</w:t>
            </w:r>
            <w:r w:rsidR="00292D8F" w:rsidRPr="00D35073">
              <w:rPr>
                <w:webHidden/>
              </w:rPr>
              <w:fldChar w:fldCharType="end"/>
            </w:r>
          </w:hyperlink>
        </w:p>
        <w:p w14:paraId="1294F972" w14:textId="788B78FB"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35" w:history="1">
            <w:r w:rsidR="00292D8F" w:rsidRPr="00D35073">
              <w:rPr>
                <w:rStyle w:val="Hyperlink"/>
                <w:rFonts w:ascii="Times New Roman" w:hAnsi="Times New Roman" w:cs="Times New Roman"/>
                <w:i/>
                <w:noProof/>
              </w:rPr>
              <w:t>3.6.2 - Physiology Wire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_Toc80302235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92</w:t>
            </w:r>
            <w:r w:rsidR="00292D8F" w:rsidRPr="00D35073">
              <w:rPr>
                <w:rFonts w:ascii="Times New Roman" w:hAnsi="Times New Roman" w:cs="Times New Roman"/>
                <w:noProof/>
                <w:webHidden/>
              </w:rPr>
              <w:fldChar w:fldCharType="end"/>
            </w:r>
          </w:hyperlink>
        </w:p>
        <w:p w14:paraId="78325677" w14:textId="08B36E4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36" w:history="1">
            <w:r w:rsidR="00292D8F" w:rsidRPr="00D35073">
              <w:rPr>
                <w:rStyle w:val="Hyperlink"/>
                <w:rFonts w:ascii="Times New Roman" w:hAnsi="Times New Roman" w:cs="Times New Roman"/>
                <w:i/>
                <w:noProof/>
              </w:rPr>
              <w:t>3.6.3 - Combomap System</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_Toc80302236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93</w:t>
            </w:r>
            <w:r w:rsidR="00292D8F" w:rsidRPr="00D35073">
              <w:rPr>
                <w:rFonts w:ascii="Times New Roman" w:hAnsi="Times New Roman" w:cs="Times New Roman"/>
                <w:noProof/>
                <w:webHidden/>
              </w:rPr>
              <w:fldChar w:fldCharType="end"/>
            </w:r>
          </w:hyperlink>
        </w:p>
        <w:p w14:paraId="3E2BFB15" w14:textId="4119E6C1"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37" w:history="1">
            <w:r w:rsidR="00292D8F" w:rsidRPr="00D35073">
              <w:rPr>
                <w:rStyle w:val="Hyperlink"/>
                <w:rFonts w:ascii="Times New Roman" w:hAnsi="Times New Roman" w:cs="Times New Roman"/>
                <w:i/>
                <w:noProof/>
              </w:rPr>
              <w:t>3.6.4 - Physiology Measurements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_Toc80302237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93</w:t>
            </w:r>
            <w:r w:rsidR="00292D8F" w:rsidRPr="00D35073">
              <w:rPr>
                <w:rFonts w:ascii="Times New Roman" w:hAnsi="Times New Roman" w:cs="Times New Roman"/>
                <w:noProof/>
                <w:webHidden/>
              </w:rPr>
              <w:fldChar w:fldCharType="end"/>
            </w:r>
          </w:hyperlink>
        </w:p>
        <w:p w14:paraId="384C252D" w14:textId="1C1CF33F"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38" w:history="1">
            <w:r w:rsidR="00292D8F" w:rsidRPr="00D35073">
              <w:rPr>
                <w:rStyle w:val="Hyperlink"/>
                <w:rFonts w:ascii="Times New Roman" w:hAnsi="Times New Roman" w:cs="Times New Roman"/>
                <w:i/>
                <w:noProof/>
              </w:rPr>
              <w:t>3.6.5 - Supine Component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_Toc80302238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95</w:t>
            </w:r>
            <w:r w:rsidR="00292D8F" w:rsidRPr="00D35073">
              <w:rPr>
                <w:rFonts w:ascii="Times New Roman" w:hAnsi="Times New Roman" w:cs="Times New Roman"/>
                <w:noProof/>
                <w:webHidden/>
              </w:rPr>
              <w:fldChar w:fldCharType="end"/>
            </w:r>
          </w:hyperlink>
        </w:p>
        <w:p w14:paraId="5C3B134D" w14:textId="4F89625D"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39" w:history="1">
            <w:r w:rsidR="00292D8F" w:rsidRPr="00D35073">
              <w:rPr>
                <w:rStyle w:val="Hyperlink"/>
                <w:rFonts w:ascii="Times New Roman" w:hAnsi="Times New Roman" w:cs="Times New Roman"/>
                <w:i/>
                <w:noProof/>
              </w:rPr>
              <w:t>3.6.6 - Post Procedure and Recovery</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_Toc80302239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96</w:t>
            </w:r>
            <w:r w:rsidR="00292D8F" w:rsidRPr="00D35073">
              <w:rPr>
                <w:rFonts w:ascii="Times New Roman" w:hAnsi="Times New Roman" w:cs="Times New Roman"/>
                <w:noProof/>
                <w:webHidden/>
              </w:rPr>
              <w:fldChar w:fldCharType="end"/>
            </w:r>
          </w:hyperlink>
        </w:p>
        <w:p w14:paraId="616056A6" w14:textId="6A486B88" w:rsidR="00292D8F" w:rsidRPr="00D35073" w:rsidRDefault="00F40E8E" w:rsidP="00292D8F">
          <w:pPr>
            <w:pStyle w:val="TOC2"/>
            <w:rPr>
              <w:rFonts w:eastAsiaTheme="minorEastAsia"/>
              <w:lang w:eastAsia="en-GB"/>
            </w:rPr>
          </w:pPr>
          <w:hyperlink w:anchor="_Toc80302240" w:history="1">
            <w:r w:rsidR="00292D8F" w:rsidRPr="00D35073">
              <w:rPr>
                <w:rStyle w:val="Hyperlink"/>
              </w:rPr>
              <w:t>3.7 - Midpoint Protocol Changes</w:t>
            </w:r>
            <w:r w:rsidR="00292D8F" w:rsidRPr="00D35073">
              <w:rPr>
                <w:webHidden/>
              </w:rPr>
              <w:tab/>
            </w:r>
            <w:r w:rsidR="00292D8F" w:rsidRPr="00D35073">
              <w:rPr>
                <w:webHidden/>
              </w:rPr>
              <w:fldChar w:fldCharType="begin"/>
            </w:r>
            <w:r w:rsidR="00292D8F" w:rsidRPr="00D35073">
              <w:rPr>
                <w:webHidden/>
              </w:rPr>
              <w:instrText xml:space="preserve"> PAGEREF _Toc80302240 \h </w:instrText>
            </w:r>
            <w:r w:rsidR="00292D8F" w:rsidRPr="00D35073">
              <w:rPr>
                <w:webHidden/>
              </w:rPr>
            </w:r>
            <w:r w:rsidR="00292D8F" w:rsidRPr="00D35073">
              <w:rPr>
                <w:webHidden/>
              </w:rPr>
              <w:fldChar w:fldCharType="separate"/>
            </w:r>
            <w:r w:rsidR="00221ECB">
              <w:rPr>
                <w:webHidden/>
              </w:rPr>
              <w:t>96</w:t>
            </w:r>
            <w:r w:rsidR="00292D8F" w:rsidRPr="00D35073">
              <w:rPr>
                <w:webHidden/>
              </w:rPr>
              <w:fldChar w:fldCharType="end"/>
            </w:r>
          </w:hyperlink>
        </w:p>
        <w:p w14:paraId="47E90ACD" w14:textId="1145B924"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41" w:history="1">
            <w:r w:rsidR="00292D8F" w:rsidRPr="00D35073">
              <w:rPr>
                <w:rStyle w:val="Hyperlink"/>
                <w:rFonts w:ascii="Times New Roman" w:hAnsi="Times New Roman" w:cs="Times New Roman"/>
                <w:i/>
                <w:noProof/>
              </w:rPr>
              <w:t>3.7.1 - Clinical Measurement Point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_Toc80302241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96</w:t>
            </w:r>
            <w:r w:rsidR="00292D8F" w:rsidRPr="00D35073">
              <w:rPr>
                <w:rFonts w:ascii="Times New Roman" w:hAnsi="Times New Roman" w:cs="Times New Roman"/>
                <w:noProof/>
                <w:webHidden/>
              </w:rPr>
              <w:fldChar w:fldCharType="end"/>
            </w:r>
          </w:hyperlink>
        </w:p>
        <w:p w14:paraId="525034E9" w14:textId="6ADC473D"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42" w:history="1">
            <w:r w:rsidR="00292D8F" w:rsidRPr="00D35073">
              <w:rPr>
                <w:rStyle w:val="Hyperlink"/>
                <w:rFonts w:ascii="Times New Roman" w:hAnsi="Times New Roman" w:cs="Times New Roman"/>
                <w:i/>
                <w:noProof/>
              </w:rPr>
              <w:t>3.7.2 - Left Lateral View and Vertical Height Measurement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_Toc80302242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97</w:t>
            </w:r>
            <w:r w:rsidR="00292D8F" w:rsidRPr="00D35073">
              <w:rPr>
                <w:rFonts w:ascii="Times New Roman" w:hAnsi="Times New Roman" w:cs="Times New Roman"/>
                <w:noProof/>
                <w:webHidden/>
              </w:rPr>
              <w:fldChar w:fldCharType="end"/>
            </w:r>
          </w:hyperlink>
        </w:p>
        <w:p w14:paraId="6A0AB1B3" w14:textId="200794BE" w:rsidR="00292D8F" w:rsidRPr="00D35073" w:rsidRDefault="00F40E8E" w:rsidP="00292D8F">
          <w:pPr>
            <w:pStyle w:val="TOC2"/>
            <w:rPr>
              <w:rFonts w:eastAsiaTheme="minorEastAsia"/>
              <w:lang w:eastAsia="en-GB"/>
            </w:rPr>
          </w:pPr>
          <w:hyperlink w:anchor="_Toc80302243" w:history="1">
            <w:r w:rsidR="00292D8F" w:rsidRPr="00D35073">
              <w:rPr>
                <w:rStyle w:val="Hyperlink"/>
              </w:rPr>
              <w:t>3.8 - Data Analysis</w:t>
            </w:r>
            <w:r w:rsidR="00292D8F" w:rsidRPr="00D35073">
              <w:rPr>
                <w:webHidden/>
              </w:rPr>
              <w:tab/>
            </w:r>
            <w:r w:rsidR="00292D8F" w:rsidRPr="00D35073">
              <w:rPr>
                <w:webHidden/>
              </w:rPr>
              <w:fldChar w:fldCharType="begin"/>
            </w:r>
            <w:r w:rsidR="00292D8F" w:rsidRPr="00D35073">
              <w:rPr>
                <w:webHidden/>
              </w:rPr>
              <w:instrText xml:space="preserve"> PAGEREF _Toc80302243 \h </w:instrText>
            </w:r>
            <w:r w:rsidR="00292D8F" w:rsidRPr="00D35073">
              <w:rPr>
                <w:webHidden/>
              </w:rPr>
            </w:r>
            <w:r w:rsidR="00292D8F" w:rsidRPr="00D35073">
              <w:rPr>
                <w:webHidden/>
              </w:rPr>
              <w:fldChar w:fldCharType="separate"/>
            </w:r>
            <w:r w:rsidR="00221ECB">
              <w:rPr>
                <w:webHidden/>
              </w:rPr>
              <w:t>98</w:t>
            </w:r>
            <w:r w:rsidR="00292D8F" w:rsidRPr="00D35073">
              <w:rPr>
                <w:webHidden/>
              </w:rPr>
              <w:fldChar w:fldCharType="end"/>
            </w:r>
          </w:hyperlink>
        </w:p>
        <w:p w14:paraId="374FFED0" w14:textId="79DDEA9E" w:rsidR="00292D8F" w:rsidRPr="00D35073" w:rsidRDefault="00F40E8E" w:rsidP="00292D8F">
          <w:pPr>
            <w:pStyle w:val="TOC2"/>
            <w:rPr>
              <w:rFonts w:eastAsiaTheme="minorEastAsia"/>
              <w:lang w:eastAsia="en-GB"/>
            </w:rPr>
          </w:pPr>
          <w:hyperlink w:anchor="_Toc80302244" w:history="1">
            <w:r w:rsidR="00292D8F" w:rsidRPr="00D35073">
              <w:rPr>
                <w:rStyle w:val="Hyperlink"/>
              </w:rPr>
              <w:t>3.9 - Statistical Analysis</w:t>
            </w:r>
            <w:r w:rsidR="00292D8F" w:rsidRPr="00D35073">
              <w:rPr>
                <w:webHidden/>
              </w:rPr>
              <w:tab/>
            </w:r>
            <w:r w:rsidR="00292D8F" w:rsidRPr="00D35073">
              <w:rPr>
                <w:webHidden/>
              </w:rPr>
              <w:fldChar w:fldCharType="begin"/>
            </w:r>
            <w:r w:rsidR="00292D8F" w:rsidRPr="00D35073">
              <w:rPr>
                <w:webHidden/>
              </w:rPr>
              <w:instrText xml:space="preserve"> PAGEREF _Toc80302244 \h </w:instrText>
            </w:r>
            <w:r w:rsidR="00292D8F" w:rsidRPr="00D35073">
              <w:rPr>
                <w:webHidden/>
              </w:rPr>
            </w:r>
            <w:r w:rsidR="00292D8F" w:rsidRPr="00D35073">
              <w:rPr>
                <w:webHidden/>
              </w:rPr>
              <w:fldChar w:fldCharType="separate"/>
            </w:r>
            <w:r w:rsidR="00221ECB">
              <w:rPr>
                <w:webHidden/>
              </w:rPr>
              <w:t>98</w:t>
            </w:r>
            <w:r w:rsidR="00292D8F" w:rsidRPr="00D35073">
              <w:rPr>
                <w:webHidden/>
              </w:rPr>
              <w:fldChar w:fldCharType="end"/>
            </w:r>
          </w:hyperlink>
        </w:p>
        <w:p w14:paraId="12EF42CA" w14:textId="5AC21138" w:rsidR="00292D8F" w:rsidRPr="00D35073" w:rsidRDefault="00F40E8E" w:rsidP="00292D8F">
          <w:pPr>
            <w:pStyle w:val="TOC2"/>
            <w:rPr>
              <w:rFonts w:eastAsiaTheme="minorEastAsia"/>
              <w:lang w:eastAsia="en-GB"/>
            </w:rPr>
          </w:pPr>
          <w:hyperlink w:anchor="_Toc80302245" w:history="1">
            <w:r w:rsidR="00292D8F" w:rsidRPr="00D35073">
              <w:rPr>
                <w:rStyle w:val="Hyperlink"/>
              </w:rPr>
              <w:t>3.10 - Outcome Measures</w:t>
            </w:r>
            <w:r w:rsidR="00292D8F" w:rsidRPr="00D35073">
              <w:rPr>
                <w:webHidden/>
              </w:rPr>
              <w:tab/>
            </w:r>
            <w:r w:rsidR="00292D8F" w:rsidRPr="00D35073">
              <w:rPr>
                <w:webHidden/>
              </w:rPr>
              <w:fldChar w:fldCharType="begin"/>
            </w:r>
            <w:r w:rsidR="00292D8F" w:rsidRPr="00D35073">
              <w:rPr>
                <w:webHidden/>
              </w:rPr>
              <w:instrText xml:space="preserve"> PAGEREF _Toc80302245 \h </w:instrText>
            </w:r>
            <w:r w:rsidR="00292D8F" w:rsidRPr="00D35073">
              <w:rPr>
                <w:webHidden/>
              </w:rPr>
            </w:r>
            <w:r w:rsidR="00292D8F" w:rsidRPr="00D35073">
              <w:rPr>
                <w:webHidden/>
              </w:rPr>
              <w:fldChar w:fldCharType="separate"/>
            </w:r>
            <w:r w:rsidR="00221ECB">
              <w:rPr>
                <w:webHidden/>
              </w:rPr>
              <w:t>99</w:t>
            </w:r>
            <w:r w:rsidR="00292D8F" w:rsidRPr="00D35073">
              <w:rPr>
                <w:webHidden/>
              </w:rPr>
              <w:fldChar w:fldCharType="end"/>
            </w:r>
          </w:hyperlink>
        </w:p>
        <w:p w14:paraId="7FE1EEF5" w14:textId="61917502" w:rsidR="00292D8F" w:rsidRPr="00D35073" w:rsidRDefault="00F40E8E" w:rsidP="00292D8F">
          <w:pPr>
            <w:pStyle w:val="TOC2"/>
            <w:rPr>
              <w:rFonts w:eastAsiaTheme="minorEastAsia"/>
              <w:lang w:eastAsia="en-GB"/>
            </w:rPr>
          </w:pPr>
          <w:hyperlink w:anchor="_Toc80302246" w:history="1">
            <w:r w:rsidR="00292D8F" w:rsidRPr="00D35073">
              <w:rPr>
                <w:rStyle w:val="Hyperlink"/>
              </w:rPr>
              <w:t>3.11 - Results Overview</w:t>
            </w:r>
            <w:r w:rsidR="00292D8F" w:rsidRPr="00D35073">
              <w:rPr>
                <w:webHidden/>
              </w:rPr>
              <w:tab/>
            </w:r>
            <w:r w:rsidR="00292D8F" w:rsidRPr="00D35073">
              <w:rPr>
                <w:webHidden/>
              </w:rPr>
              <w:fldChar w:fldCharType="begin"/>
            </w:r>
            <w:r w:rsidR="00292D8F" w:rsidRPr="00D35073">
              <w:rPr>
                <w:webHidden/>
              </w:rPr>
              <w:instrText xml:space="preserve"> PAGEREF _Toc80302246 \h </w:instrText>
            </w:r>
            <w:r w:rsidR="00292D8F" w:rsidRPr="00D35073">
              <w:rPr>
                <w:webHidden/>
              </w:rPr>
            </w:r>
            <w:r w:rsidR="00292D8F" w:rsidRPr="00D35073">
              <w:rPr>
                <w:webHidden/>
              </w:rPr>
              <w:fldChar w:fldCharType="separate"/>
            </w:r>
            <w:r w:rsidR="00221ECB">
              <w:rPr>
                <w:webHidden/>
              </w:rPr>
              <w:t>100</w:t>
            </w:r>
            <w:r w:rsidR="00292D8F" w:rsidRPr="00D35073">
              <w:rPr>
                <w:webHidden/>
              </w:rPr>
              <w:fldChar w:fldCharType="end"/>
            </w:r>
          </w:hyperlink>
        </w:p>
        <w:p w14:paraId="19993A52" w14:textId="3DA63E3B" w:rsidR="00292D8F" w:rsidRPr="00D35073" w:rsidRDefault="00F40E8E" w:rsidP="00292D8F">
          <w:pPr>
            <w:pStyle w:val="TOC2"/>
            <w:rPr>
              <w:rFonts w:eastAsiaTheme="minorEastAsia"/>
              <w:lang w:eastAsia="en-GB"/>
            </w:rPr>
          </w:pPr>
          <w:hyperlink w:anchor="_Toc80302247" w:history="1">
            <w:r w:rsidR="00292D8F" w:rsidRPr="00D35073">
              <w:rPr>
                <w:rStyle w:val="Hyperlink"/>
              </w:rPr>
              <w:t>3.12 - The First Patient</w:t>
            </w:r>
            <w:r w:rsidR="00292D8F" w:rsidRPr="00D35073">
              <w:rPr>
                <w:webHidden/>
              </w:rPr>
              <w:tab/>
            </w:r>
            <w:r w:rsidR="00292D8F" w:rsidRPr="00D35073">
              <w:rPr>
                <w:webHidden/>
              </w:rPr>
              <w:fldChar w:fldCharType="begin"/>
            </w:r>
            <w:r w:rsidR="00292D8F" w:rsidRPr="00D35073">
              <w:rPr>
                <w:webHidden/>
              </w:rPr>
              <w:instrText xml:space="preserve"> PAGEREF _Toc80302247 \h </w:instrText>
            </w:r>
            <w:r w:rsidR="00292D8F" w:rsidRPr="00D35073">
              <w:rPr>
                <w:webHidden/>
              </w:rPr>
            </w:r>
            <w:r w:rsidR="00292D8F" w:rsidRPr="00D35073">
              <w:rPr>
                <w:webHidden/>
              </w:rPr>
              <w:fldChar w:fldCharType="separate"/>
            </w:r>
            <w:r w:rsidR="00221ECB">
              <w:rPr>
                <w:webHidden/>
              </w:rPr>
              <w:t>100</w:t>
            </w:r>
            <w:r w:rsidR="00292D8F" w:rsidRPr="00D35073">
              <w:rPr>
                <w:webHidden/>
              </w:rPr>
              <w:fldChar w:fldCharType="end"/>
            </w:r>
          </w:hyperlink>
        </w:p>
        <w:p w14:paraId="265F2572" w14:textId="7919EED6" w:rsidR="00292D8F" w:rsidRPr="00D35073" w:rsidRDefault="00F40E8E" w:rsidP="00292D8F">
          <w:pPr>
            <w:pStyle w:val="TOC2"/>
            <w:rPr>
              <w:rFonts w:eastAsiaTheme="minorEastAsia"/>
              <w:lang w:eastAsia="en-GB"/>
            </w:rPr>
          </w:pPr>
          <w:hyperlink w:anchor="_Toc80302248" w:history="1">
            <w:r w:rsidR="00292D8F" w:rsidRPr="00D35073">
              <w:rPr>
                <w:rStyle w:val="Hyperlink"/>
              </w:rPr>
              <w:t>3.13 - Patient Demographics</w:t>
            </w:r>
            <w:r w:rsidR="00292D8F" w:rsidRPr="00D35073">
              <w:rPr>
                <w:webHidden/>
              </w:rPr>
              <w:tab/>
            </w:r>
            <w:r w:rsidR="00292D8F" w:rsidRPr="00D35073">
              <w:rPr>
                <w:webHidden/>
              </w:rPr>
              <w:fldChar w:fldCharType="begin"/>
            </w:r>
            <w:r w:rsidR="00292D8F" w:rsidRPr="00D35073">
              <w:rPr>
                <w:webHidden/>
              </w:rPr>
              <w:instrText xml:space="preserve"> PAGEREF _Toc80302248 \h </w:instrText>
            </w:r>
            <w:r w:rsidR="00292D8F" w:rsidRPr="00D35073">
              <w:rPr>
                <w:webHidden/>
              </w:rPr>
            </w:r>
            <w:r w:rsidR="00292D8F" w:rsidRPr="00D35073">
              <w:rPr>
                <w:webHidden/>
              </w:rPr>
              <w:fldChar w:fldCharType="separate"/>
            </w:r>
            <w:r w:rsidR="00221ECB">
              <w:rPr>
                <w:webHidden/>
              </w:rPr>
              <w:t>100</w:t>
            </w:r>
            <w:r w:rsidR="00292D8F" w:rsidRPr="00D35073">
              <w:rPr>
                <w:webHidden/>
              </w:rPr>
              <w:fldChar w:fldCharType="end"/>
            </w:r>
          </w:hyperlink>
        </w:p>
        <w:p w14:paraId="2B2C4F19" w14:textId="54A2FBF7" w:rsidR="00292D8F" w:rsidRPr="00D35073" w:rsidRDefault="00F40E8E" w:rsidP="00292D8F">
          <w:pPr>
            <w:pStyle w:val="TOC2"/>
            <w:rPr>
              <w:rFonts w:eastAsiaTheme="minorEastAsia"/>
              <w:lang w:eastAsia="en-GB"/>
            </w:rPr>
          </w:pPr>
          <w:hyperlink w:anchor="_Toc80302249" w:history="1">
            <w:r w:rsidR="00292D8F" w:rsidRPr="00D35073">
              <w:rPr>
                <w:rStyle w:val="Hyperlink"/>
              </w:rPr>
              <w:t>3.14 - Lesion Characteristics</w:t>
            </w:r>
            <w:r w:rsidR="00292D8F" w:rsidRPr="00D35073">
              <w:rPr>
                <w:webHidden/>
              </w:rPr>
              <w:tab/>
            </w:r>
            <w:r w:rsidR="00292D8F" w:rsidRPr="00D35073">
              <w:rPr>
                <w:webHidden/>
              </w:rPr>
              <w:fldChar w:fldCharType="begin"/>
            </w:r>
            <w:r w:rsidR="00292D8F" w:rsidRPr="00D35073">
              <w:rPr>
                <w:webHidden/>
              </w:rPr>
              <w:instrText xml:space="preserve"> PAGEREF _Toc80302249 \h </w:instrText>
            </w:r>
            <w:r w:rsidR="00292D8F" w:rsidRPr="00D35073">
              <w:rPr>
                <w:webHidden/>
              </w:rPr>
            </w:r>
            <w:r w:rsidR="00292D8F" w:rsidRPr="00D35073">
              <w:rPr>
                <w:webHidden/>
              </w:rPr>
              <w:fldChar w:fldCharType="separate"/>
            </w:r>
            <w:r w:rsidR="00221ECB">
              <w:rPr>
                <w:webHidden/>
              </w:rPr>
              <w:t>103</w:t>
            </w:r>
            <w:r w:rsidR="00292D8F" w:rsidRPr="00D35073">
              <w:rPr>
                <w:webHidden/>
              </w:rPr>
              <w:fldChar w:fldCharType="end"/>
            </w:r>
          </w:hyperlink>
        </w:p>
        <w:p w14:paraId="5DE32CE6" w14:textId="71A0446B" w:rsidR="00292D8F" w:rsidRPr="00D35073" w:rsidRDefault="00F40E8E" w:rsidP="00292D8F">
          <w:pPr>
            <w:pStyle w:val="TOC2"/>
            <w:rPr>
              <w:rFonts w:eastAsiaTheme="minorEastAsia"/>
              <w:lang w:eastAsia="en-GB"/>
            </w:rPr>
          </w:pPr>
          <w:hyperlink w:anchor="_Toc80302250" w:history="1">
            <w:r w:rsidR="00292D8F" w:rsidRPr="00D35073">
              <w:rPr>
                <w:rStyle w:val="Hyperlink"/>
              </w:rPr>
              <w:t>3.15 - Guide to Wire Measurement</w:t>
            </w:r>
            <w:r w:rsidR="00292D8F" w:rsidRPr="00D35073">
              <w:rPr>
                <w:webHidden/>
              </w:rPr>
              <w:tab/>
            </w:r>
            <w:r w:rsidR="00292D8F" w:rsidRPr="00D35073">
              <w:rPr>
                <w:webHidden/>
              </w:rPr>
              <w:fldChar w:fldCharType="begin"/>
            </w:r>
            <w:r w:rsidR="00292D8F" w:rsidRPr="00D35073">
              <w:rPr>
                <w:webHidden/>
              </w:rPr>
              <w:instrText xml:space="preserve"> PAGEREF _Toc80302250 \h </w:instrText>
            </w:r>
            <w:r w:rsidR="00292D8F" w:rsidRPr="00D35073">
              <w:rPr>
                <w:webHidden/>
              </w:rPr>
            </w:r>
            <w:r w:rsidR="00292D8F" w:rsidRPr="00D35073">
              <w:rPr>
                <w:webHidden/>
              </w:rPr>
              <w:fldChar w:fldCharType="separate"/>
            </w:r>
            <w:r w:rsidR="00221ECB">
              <w:rPr>
                <w:webHidden/>
              </w:rPr>
              <w:t>106</w:t>
            </w:r>
            <w:r w:rsidR="00292D8F" w:rsidRPr="00D35073">
              <w:rPr>
                <w:webHidden/>
              </w:rPr>
              <w:fldChar w:fldCharType="end"/>
            </w:r>
          </w:hyperlink>
        </w:p>
        <w:p w14:paraId="6F3E63F2" w14:textId="5E51A32B" w:rsidR="00292D8F" w:rsidRPr="00D35073" w:rsidRDefault="00F40E8E" w:rsidP="00292D8F">
          <w:pPr>
            <w:pStyle w:val="TOC2"/>
            <w:rPr>
              <w:rFonts w:eastAsiaTheme="minorEastAsia"/>
              <w:lang w:eastAsia="en-GB"/>
            </w:rPr>
          </w:pPr>
          <w:hyperlink w:anchor="_Toc80302251" w:history="1">
            <w:r w:rsidR="00292D8F" w:rsidRPr="00D35073">
              <w:rPr>
                <w:rStyle w:val="Hyperlink"/>
              </w:rPr>
              <w:t>3.16 - Pressure Based Indices</w:t>
            </w:r>
            <w:r w:rsidR="00292D8F" w:rsidRPr="00D35073">
              <w:rPr>
                <w:webHidden/>
              </w:rPr>
              <w:tab/>
            </w:r>
            <w:r w:rsidR="00292D8F" w:rsidRPr="00D35073">
              <w:rPr>
                <w:webHidden/>
              </w:rPr>
              <w:fldChar w:fldCharType="begin"/>
            </w:r>
            <w:r w:rsidR="00292D8F" w:rsidRPr="00D35073">
              <w:rPr>
                <w:webHidden/>
              </w:rPr>
              <w:instrText xml:space="preserve"> PAGEREF _Toc80302251 \h </w:instrText>
            </w:r>
            <w:r w:rsidR="00292D8F" w:rsidRPr="00D35073">
              <w:rPr>
                <w:webHidden/>
              </w:rPr>
            </w:r>
            <w:r w:rsidR="00292D8F" w:rsidRPr="00D35073">
              <w:rPr>
                <w:webHidden/>
              </w:rPr>
              <w:fldChar w:fldCharType="separate"/>
            </w:r>
            <w:r w:rsidR="00221ECB">
              <w:rPr>
                <w:webHidden/>
              </w:rPr>
              <w:t>108</w:t>
            </w:r>
            <w:r w:rsidR="00292D8F" w:rsidRPr="00D35073">
              <w:rPr>
                <w:webHidden/>
              </w:rPr>
              <w:fldChar w:fldCharType="end"/>
            </w:r>
          </w:hyperlink>
        </w:p>
        <w:p w14:paraId="478D2670" w14:textId="00A00E1E"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52" w:history="1">
            <w:r w:rsidR="00292D8F" w:rsidRPr="00D35073">
              <w:rPr>
                <w:rStyle w:val="Hyperlink"/>
                <w:rFonts w:ascii="Times New Roman" w:hAnsi="Times New Roman" w:cs="Times New Roman"/>
                <w:i/>
                <w:noProof/>
              </w:rPr>
              <w:t>3.16.1 - Delta Change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_Toc80302252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108</w:t>
            </w:r>
            <w:r w:rsidR="00292D8F" w:rsidRPr="00D35073">
              <w:rPr>
                <w:rFonts w:ascii="Times New Roman" w:hAnsi="Times New Roman" w:cs="Times New Roman"/>
                <w:noProof/>
                <w:webHidden/>
              </w:rPr>
              <w:fldChar w:fldCharType="end"/>
            </w:r>
          </w:hyperlink>
        </w:p>
        <w:p w14:paraId="0D086358" w14:textId="45FAC27F"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53" w:history="1">
            <w:r w:rsidR="00292D8F" w:rsidRPr="00D35073">
              <w:rPr>
                <w:rStyle w:val="Hyperlink"/>
                <w:rFonts w:ascii="Times New Roman" w:hAnsi="Times New Roman" w:cs="Times New Roman"/>
                <w:i/>
                <w:noProof/>
              </w:rPr>
              <w:t>3.16.2 - Pd/Pa</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_Toc80302253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110</w:t>
            </w:r>
            <w:r w:rsidR="00292D8F" w:rsidRPr="00D35073">
              <w:rPr>
                <w:rFonts w:ascii="Times New Roman" w:hAnsi="Times New Roman" w:cs="Times New Roman"/>
                <w:noProof/>
                <w:webHidden/>
              </w:rPr>
              <w:fldChar w:fldCharType="end"/>
            </w:r>
          </w:hyperlink>
        </w:p>
        <w:p w14:paraId="15D7D37B" w14:textId="23D914B9"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54" w:history="1">
            <w:r w:rsidR="00292D8F" w:rsidRPr="00D35073">
              <w:rPr>
                <w:rStyle w:val="Hyperlink"/>
                <w:rFonts w:ascii="Times New Roman" w:hAnsi="Times New Roman" w:cs="Times New Roman"/>
                <w:i/>
                <w:noProof/>
              </w:rPr>
              <w:t>3.16.3 - Instantaneous Wave Free Ratio (iFR)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_Toc80302254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118</w:t>
            </w:r>
            <w:r w:rsidR="00292D8F" w:rsidRPr="00D35073">
              <w:rPr>
                <w:rFonts w:ascii="Times New Roman" w:hAnsi="Times New Roman" w:cs="Times New Roman"/>
                <w:noProof/>
                <w:webHidden/>
              </w:rPr>
              <w:fldChar w:fldCharType="end"/>
            </w:r>
          </w:hyperlink>
        </w:p>
        <w:p w14:paraId="13D8C51E" w14:textId="7495E76D"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55" w:history="1">
            <w:r w:rsidR="00292D8F" w:rsidRPr="00D35073">
              <w:rPr>
                <w:rStyle w:val="Hyperlink"/>
                <w:rFonts w:ascii="Times New Roman" w:hAnsi="Times New Roman" w:cs="Times New Roman"/>
                <w:i/>
                <w:noProof/>
              </w:rPr>
              <w:t>3.16.4 - Fractional Flow Reserve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_Toc80302255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127</w:t>
            </w:r>
            <w:r w:rsidR="00292D8F" w:rsidRPr="00D35073">
              <w:rPr>
                <w:rFonts w:ascii="Times New Roman" w:hAnsi="Times New Roman" w:cs="Times New Roman"/>
                <w:noProof/>
                <w:webHidden/>
              </w:rPr>
              <w:fldChar w:fldCharType="end"/>
            </w:r>
          </w:hyperlink>
        </w:p>
        <w:p w14:paraId="7E0EC28C" w14:textId="201A6F04"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56" w:history="1">
            <w:r w:rsidR="00292D8F" w:rsidRPr="00D35073">
              <w:rPr>
                <w:rStyle w:val="Hyperlink"/>
                <w:rFonts w:ascii="Times New Roman" w:hAnsi="Times New Roman" w:cs="Times New Roman"/>
                <w:i/>
                <w:noProof/>
              </w:rPr>
              <w:t>3.16.5 - FFR Clinical Measurement Point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_Toc80302256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136</w:t>
            </w:r>
            <w:r w:rsidR="00292D8F" w:rsidRPr="00D35073">
              <w:rPr>
                <w:rFonts w:ascii="Times New Roman" w:hAnsi="Times New Roman" w:cs="Times New Roman"/>
                <w:noProof/>
                <w:webHidden/>
              </w:rPr>
              <w:fldChar w:fldCharType="end"/>
            </w:r>
          </w:hyperlink>
        </w:p>
        <w:p w14:paraId="174A6CF9" w14:textId="71E67F9C" w:rsidR="00292D8F" w:rsidRPr="00D35073" w:rsidRDefault="00F40E8E" w:rsidP="00292D8F">
          <w:pPr>
            <w:pStyle w:val="TOC2"/>
            <w:rPr>
              <w:rFonts w:eastAsiaTheme="minorEastAsia"/>
              <w:lang w:eastAsia="en-GB"/>
            </w:rPr>
          </w:pPr>
          <w:hyperlink w:anchor="_Toc80302257" w:history="1">
            <w:r w:rsidR="00292D8F" w:rsidRPr="00D35073">
              <w:rPr>
                <w:rStyle w:val="Hyperlink"/>
              </w:rPr>
              <w:t>3.17 - Summary of Pressure Based Measurements</w:t>
            </w:r>
            <w:r w:rsidR="00292D8F" w:rsidRPr="00D35073">
              <w:rPr>
                <w:webHidden/>
              </w:rPr>
              <w:tab/>
            </w:r>
            <w:r w:rsidR="00292D8F" w:rsidRPr="00D35073">
              <w:rPr>
                <w:webHidden/>
              </w:rPr>
              <w:fldChar w:fldCharType="begin"/>
            </w:r>
            <w:r w:rsidR="00292D8F" w:rsidRPr="00D35073">
              <w:rPr>
                <w:webHidden/>
              </w:rPr>
              <w:instrText xml:space="preserve"> PAGEREF _Toc80302257 \h </w:instrText>
            </w:r>
            <w:r w:rsidR="00292D8F" w:rsidRPr="00D35073">
              <w:rPr>
                <w:webHidden/>
              </w:rPr>
            </w:r>
            <w:r w:rsidR="00292D8F" w:rsidRPr="00D35073">
              <w:rPr>
                <w:webHidden/>
              </w:rPr>
              <w:fldChar w:fldCharType="separate"/>
            </w:r>
            <w:r w:rsidR="00221ECB">
              <w:rPr>
                <w:webHidden/>
              </w:rPr>
              <w:t>140</w:t>
            </w:r>
            <w:r w:rsidR="00292D8F" w:rsidRPr="00D35073">
              <w:rPr>
                <w:webHidden/>
              </w:rPr>
              <w:fldChar w:fldCharType="end"/>
            </w:r>
          </w:hyperlink>
        </w:p>
        <w:p w14:paraId="1D434687" w14:textId="5F8D36EE" w:rsidR="00292D8F" w:rsidRPr="00D35073" w:rsidRDefault="00F40E8E" w:rsidP="00292D8F">
          <w:pPr>
            <w:pStyle w:val="TOC2"/>
            <w:rPr>
              <w:rFonts w:eastAsiaTheme="minorEastAsia"/>
              <w:lang w:eastAsia="en-GB"/>
            </w:rPr>
          </w:pPr>
          <w:hyperlink w:anchor="_Toc80302258" w:history="1">
            <w:r w:rsidR="00292D8F" w:rsidRPr="00D35073">
              <w:rPr>
                <w:rStyle w:val="Hyperlink"/>
              </w:rPr>
              <w:t>3.18 - Stenosis Re-classification</w:t>
            </w:r>
            <w:r w:rsidR="00292D8F" w:rsidRPr="00D35073">
              <w:rPr>
                <w:webHidden/>
              </w:rPr>
              <w:tab/>
            </w:r>
            <w:r w:rsidR="00292D8F" w:rsidRPr="00D35073">
              <w:rPr>
                <w:webHidden/>
              </w:rPr>
              <w:fldChar w:fldCharType="begin"/>
            </w:r>
            <w:r w:rsidR="00292D8F" w:rsidRPr="00D35073">
              <w:rPr>
                <w:webHidden/>
              </w:rPr>
              <w:instrText xml:space="preserve"> PAGEREF _Toc80302258 \h </w:instrText>
            </w:r>
            <w:r w:rsidR="00292D8F" w:rsidRPr="00D35073">
              <w:rPr>
                <w:webHidden/>
              </w:rPr>
            </w:r>
            <w:r w:rsidR="00292D8F" w:rsidRPr="00D35073">
              <w:rPr>
                <w:webHidden/>
              </w:rPr>
              <w:fldChar w:fldCharType="separate"/>
            </w:r>
            <w:r w:rsidR="00221ECB">
              <w:rPr>
                <w:webHidden/>
              </w:rPr>
              <w:t>141</w:t>
            </w:r>
            <w:r w:rsidR="00292D8F" w:rsidRPr="00D35073">
              <w:rPr>
                <w:webHidden/>
              </w:rPr>
              <w:fldChar w:fldCharType="end"/>
            </w:r>
          </w:hyperlink>
        </w:p>
        <w:p w14:paraId="38F57A1E" w14:textId="13822BA3" w:rsidR="00292D8F" w:rsidRPr="00D35073" w:rsidRDefault="00F40E8E" w:rsidP="00292D8F">
          <w:pPr>
            <w:pStyle w:val="TOC2"/>
            <w:rPr>
              <w:rFonts w:eastAsiaTheme="minorEastAsia"/>
              <w:lang w:eastAsia="en-GB"/>
            </w:rPr>
          </w:pPr>
          <w:hyperlink w:anchor="_Toc80302259" w:history="1">
            <w:r w:rsidR="00292D8F" w:rsidRPr="00D35073">
              <w:rPr>
                <w:rStyle w:val="Hyperlink"/>
              </w:rPr>
              <w:t>3.19 - Doppler Measurements</w:t>
            </w:r>
            <w:r w:rsidR="00292D8F" w:rsidRPr="00D35073">
              <w:rPr>
                <w:webHidden/>
              </w:rPr>
              <w:tab/>
            </w:r>
            <w:r w:rsidR="00292D8F" w:rsidRPr="00D35073">
              <w:rPr>
                <w:webHidden/>
              </w:rPr>
              <w:fldChar w:fldCharType="begin"/>
            </w:r>
            <w:r w:rsidR="00292D8F" w:rsidRPr="00D35073">
              <w:rPr>
                <w:webHidden/>
              </w:rPr>
              <w:instrText xml:space="preserve"> PAGEREF _Toc80302259 \h </w:instrText>
            </w:r>
            <w:r w:rsidR="00292D8F" w:rsidRPr="00D35073">
              <w:rPr>
                <w:webHidden/>
              </w:rPr>
            </w:r>
            <w:r w:rsidR="00292D8F" w:rsidRPr="00D35073">
              <w:rPr>
                <w:webHidden/>
              </w:rPr>
              <w:fldChar w:fldCharType="separate"/>
            </w:r>
            <w:r w:rsidR="00221ECB">
              <w:rPr>
                <w:webHidden/>
              </w:rPr>
              <w:t>142</w:t>
            </w:r>
            <w:r w:rsidR="00292D8F" w:rsidRPr="00D35073">
              <w:rPr>
                <w:webHidden/>
              </w:rPr>
              <w:fldChar w:fldCharType="end"/>
            </w:r>
          </w:hyperlink>
        </w:p>
        <w:p w14:paraId="3C5A98E8" w14:textId="33777C57" w:rsidR="00292D8F" w:rsidRPr="00D35073" w:rsidRDefault="00F40E8E" w:rsidP="00292D8F">
          <w:pPr>
            <w:pStyle w:val="TOC2"/>
            <w:rPr>
              <w:rFonts w:eastAsiaTheme="minorEastAsia"/>
              <w:lang w:eastAsia="en-GB"/>
            </w:rPr>
          </w:pPr>
          <w:hyperlink w:anchor="_Toc80302260" w:history="1">
            <w:r w:rsidR="00292D8F" w:rsidRPr="00D35073">
              <w:rPr>
                <w:rStyle w:val="Hyperlink"/>
              </w:rPr>
              <w:t>3.20 - Summary of Doppler Based Measurements</w:t>
            </w:r>
            <w:r w:rsidR="00292D8F" w:rsidRPr="00D35073">
              <w:rPr>
                <w:webHidden/>
              </w:rPr>
              <w:tab/>
            </w:r>
            <w:r w:rsidR="00292D8F" w:rsidRPr="00D35073">
              <w:rPr>
                <w:webHidden/>
              </w:rPr>
              <w:fldChar w:fldCharType="begin"/>
            </w:r>
            <w:r w:rsidR="00292D8F" w:rsidRPr="00D35073">
              <w:rPr>
                <w:webHidden/>
              </w:rPr>
              <w:instrText xml:space="preserve"> PAGEREF _Toc80302260 \h </w:instrText>
            </w:r>
            <w:r w:rsidR="00292D8F" w:rsidRPr="00D35073">
              <w:rPr>
                <w:webHidden/>
              </w:rPr>
            </w:r>
            <w:r w:rsidR="00292D8F" w:rsidRPr="00D35073">
              <w:rPr>
                <w:webHidden/>
              </w:rPr>
              <w:fldChar w:fldCharType="separate"/>
            </w:r>
            <w:r w:rsidR="00221ECB">
              <w:rPr>
                <w:webHidden/>
              </w:rPr>
              <w:t>150</w:t>
            </w:r>
            <w:r w:rsidR="00292D8F" w:rsidRPr="00D35073">
              <w:rPr>
                <w:webHidden/>
              </w:rPr>
              <w:fldChar w:fldCharType="end"/>
            </w:r>
          </w:hyperlink>
        </w:p>
        <w:p w14:paraId="7AA8C51C" w14:textId="3DDEDA7C" w:rsidR="00292D8F" w:rsidRPr="00D35073" w:rsidRDefault="00F40E8E" w:rsidP="00292D8F">
          <w:pPr>
            <w:pStyle w:val="TOC2"/>
            <w:rPr>
              <w:rFonts w:eastAsiaTheme="minorEastAsia"/>
              <w:lang w:eastAsia="en-GB"/>
            </w:rPr>
          </w:pPr>
          <w:hyperlink w:anchor="_Toc80302261" w:history="1">
            <w:r w:rsidR="00292D8F" w:rsidRPr="00D35073">
              <w:rPr>
                <w:rStyle w:val="Hyperlink"/>
              </w:rPr>
              <w:t>3.21 - Guide to Wire Correlation Data</w:t>
            </w:r>
            <w:r w:rsidR="00292D8F" w:rsidRPr="00D35073">
              <w:rPr>
                <w:webHidden/>
              </w:rPr>
              <w:tab/>
            </w:r>
            <w:r w:rsidR="00292D8F" w:rsidRPr="00D35073">
              <w:rPr>
                <w:webHidden/>
              </w:rPr>
              <w:fldChar w:fldCharType="begin"/>
            </w:r>
            <w:r w:rsidR="00292D8F" w:rsidRPr="00D35073">
              <w:rPr>
                <w:webHidden/>
              </w:rPr>
              <w:instrText xml:space="preserve"> PAGEREF _Toc80302261 \h </w:instrText>
            </w:r>
            <w:r w:rsidR="00292D8F" w:rsidRPr="00D35073">
              <w:rPr>
                <w:webHidden/>
              </w:rPr>
            </w:r>
            <w:r w:rsidR="00292D8F" w:rsidRPr="00D35073">
              <w:rPr>
                <w:webHidden/>
              </w:rPr>
              <w:fldChar w:fldCharType="separate"/>
            </w:r>
            <w:r w:rsidR="00221ECB">
              <w:rPr>
                <w:webHidden/>
              </w:rPr>
              <w:t>150</w:t>
            </w:r>
            <w:r w:rsidR="00292D8F" w:rsidRPr="00D35073">
              <w:rPr>
                <w:webHidden/>
              </w:rPr>
              <w:fldChar w:fldCharType="end"/>
            </w:r>
          </w:hyperlink>
        </w:p>
        <w:p w14:paraId="379EB24B" w14:textId="10B1525A" w:rsidR="00292D8F" w:rsidRPr="00D35073" w:rsidRDefault="00F40E8E" w:rsidP="00292D8F">
          <w:pPr>
            <w:pStyle w:val="TOC2"/>
            <w:rPr>
              <w:rFonts w:eastAsiaTheme="minorEastAsia"/>
              <w:lang w:eastAsia="en-GB"/>
            </w:rPr>
          </w:pPr>
          <w:hyperlink w:anchor="_Toc80302262" w:history="1">
            <w:r w:rsidR="00292D8F" w:rsidRPr="00D35073">
              <w:rPr>
                <w:rStyle w:val="Hyperlink"/>
                <w:i/>
              </w:rPr>
              <w:t>3.21.1 - Pd/Pa</w:t>
            </w:r>
            <w:r w:rsidR="00292D8F" w:rsidRPr="00D35073">
              <w:rPr>
                <w:webHidden/>
              </w:rPr>
              <w:tab/>
            </w:r>
            <w:r w:rsidR="00292D8F" w:rsidRPr="00D35073">
              <w:rPr>
                <w:webHidden/>
              </w:rPr>
              <w:fldChar w:fldCharType="begin"/>
            </w:r>
            <w:r w:rsidR="00292D8F" w:rsidRPr="00D35073">
              <w:rPr>
                <w:webHidden/>
              </w:rPr>
              <w:instrText xml:space="preserve"> PAGEREF _Toc80302262 \h </w:instrText>
            </w:r>
            <w:r w:rsidR="00292D8F" w:rsidRPr="00D35073">
              <w:rPr>
                <w:webHidden/>
              </w:rPr>
            </w:r>
            <w:r w:rsidR="00292D8F" w:rsidRPr="00D35073">
              <w:rPr>
                <w:webHidden/>
              </w:rPr>
              <w:fldChar w:fldCharType="separate"/>
            </w:r>
            <w:r w:rsidR="00221ECB">
              <w:rPr>
                <w:webHidden/>
              </w:rPr>
              <w:t>150</w:t>
            </w:r>
            <w:r w:rsidR="00292D8F" w:rsidRPr="00D35073">
              <w:rPr>
                <w:webHidden/>
              </w:rPr>
              <w:fldChar w:fldCharType="end"/>
            </w:r>
          </w:hyperlink>
        </w:p>
        <w:p w14:paraId="5E2AA91B" w14:textId="2E49925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63" w:history="1">
            <w:r w:rsidR="00292D8F" w:rsidRPr="00D35073">
              <w:rPr>
                <w:rStyle w:val="Hyperlink"/>
                <w:rFonts w:ascii="Times New Roman" w:hAnsi="Times New Roman" w:cs="Times New Roman"/>
                <w:i/>
                <w:noProof/>
              </w:rPr>
              <w:t>3.21.2 - iFR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_Toc80302263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151</w:t>
            </w:r>
            <w:r w:rsidR="00292D8F" w:rsidRPr="00D35073">
              <w:rPr>
                <w:rFonts w:ascii="Times New Roman" w:hAnsi="Times New Roman" w:cs="Times New Roman"/>
                <w:noProof/>
                <w:webHidden/>
              </w:rPr>
              <w:fldChar w:fldCharType="end"/>
            </w:r>
          </w:hyperlink>
        </w:p>
        <w:p w14:paraId="25A6640D" w14:textId="4570DCB3"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64" w:history="1">
            <w:r w:rsidR="00292D8F" w:rsidRPr="00D35073">
              <w:rPr>
                <w:rStyle w:val="Hyperlink"/>
                <w:rFonts w:ascii="Times New Roman" w:hAnsi="Times New Roman" w:cs="Times New Roman"/>
                <w:i/>
                <w:noProof/>
              </w:rPr>
              <w:t>3.21.3 - FFR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_Toc80302264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152</w:t>
            </w:r>
            <w:r w:rsidR="00292D8F" w:rsidRPr="00D35073">
              <w:rPr>
                <w:rFonts w:ascii="Times New Roman" w:hAnsi="Times New Roman" w:cs="Times New Roman"/>
                <w:noProof/>
                <w:webHidden/>
              </w:rPr>
              <w:fldChar w:fldCharType="end"/>
            </w:r>
          </w:hyperlink>
        </w:p>
        <w:p w14:paraId="7B590822" w14:textId="6522613B" w:rsidR="00292D8F" w:rsidRPr="00D35073" w:rsidRDefault="00F40E8E" w:rsidP="00292D8F">
          <w:pPr>
            <w:pStyle w:val="TOC2"/>
            <w:rPr>
              <w:rFonts w:eastAsiaTheme="minorEastAsia"/>
              <w:lang w:eastAsia="en-GB"/>
            </w:rPr>
          </w:pPr>
          <w:hyperlink w:anchor="_Toc80302265" w:history="1">
            <w:r w:rsidR="00292D8F" w:rsidRPr="00D35073">
              <w:rPr>
                <w:rStyle w:val="Hyperlink"/>
              </w:rPr>
              <w:t>3.22 - Estimated Hydrostatic Effect versus in Vivo Effect</w:t>
            </w:r>
            <w:r w:rsidR="00292D8F" w:rsidRPr="00D35073">
              <w:rPr>
                <w:webHidden/>
              </w:rPr>
              <w:tab/>
            </w:r>
            <w:r w:rsidR="00292D8F" w:rsidRPr="00D35073">
              <w:rPr>
                <w:webHidden/>
              </w:rPr>
              <w:fldChar w:fldCharType="begin"/>
            </w:r>
            <w:r w:rsidR="00292D8F" w:rsidRPr="00D35073">
              <w:rPr>
                <w:webHidden/>
              </w:rPr>
              <w:instrText xml:space="preserve"> PAGEREF _Toc80302265 \h </w:instrText>
            </w:r>
            <w:r w:rsidR="00292D8F" w:rsidRPr="00D35073">
              <w:rPr>
                <w:webHidden/>
              </w:rPr>
            </w:r>
            <w:r w:rsidR="00292D8F" w:rsidRPr="00D35073">
              <w:rPr>
                <w:webHidden/>
              </w:rPr>
              <w:fldChar w:fldCharType="separate"/>
            </w:r>
            <w:r w:rsidR="00221ECB">
              <w:rPr>
                <w:webHidden/>
              </w:rPr>
              <w:t>153</w:t>
            </w:r>
            <w:r w:rsidR="00292D8F" w:rsidRPr="00D35073">
              <w:rPr>
                <w:webHidden/>
              </w:rPr>
              <w:fldChar w:fldCharType="end"/>
            </w:r>
          </w:hyperlink>
        </w:p>
        <w:p w14:paraId="2199F026" w14:textId="2E3AC436" w:rsidR="00292D8F" w:rsidRPr="00D35073" w:rsidRDefault="00F40E8E" w:rsidP="00292D8F">
          <w:pPr>
            <w:pStyle w:val="TOC2"/>
            <w:rPr>
              <w:rFonts w:eastAsiaTheme="minorEastAsia"/>
              <w:lang w:eastAsia="en-GB"/>
            </w:rPr>
          </w:pPr>
          <w:hyperlink w:anchor="_Toc80302266" w:history="1">
            <w:r w:rsidR="00292D8F" w:rsidRPr="00D35073">
              <w:rPr>
                <w:rStyle w:val="Hyperlink"/>
              </w:rPr>
              <w:t>3.33 - Summary of All Results</w:t>
            </w:r>
            <w:r w:rsidR="00292D8F" w:rsidRPr="00D35073">
              <w:rPr>
                <w:webHidden/>
              </w:rPr>
              <w:tab/>
            </w:r>
            <w:r w:rsidR="00292D8F" w:rsidRPr="00D35073">
              <w:rPr>
                <w:webHidden/>
              </w:rPr>
              <w:fldChar w:fldCharType="begin"/>
            </w:r>
            <w:r w:rsidR="00292D8F" w:rsidRPr="00D35073">
              <w:rPr>
                <w:webHidden/>
              </w:rPr>
              <w:instrText xml:space="preserve"> PAGEREF _Toc80302266 \h </w:instrText>
            </w:r>
            <w:r w:rsidR="00292D8F" w:rsidRPr="00D35073">
              <w:rPr>
                <w:webHidden/>
              </w:rPr>
            </w:r>
            <w:r w:rsidR="00292D8F" w:rsidRPr="00D35073">
              <w:rPr>
                <w:webHidden/>
              </w:rPr>
              <w:fldChar w:fldCharType="separate"/>
            </w:r>
            <w:r w:rsidR="00221ECB">
              <w:rPr>
                <w:webHidden/>
              </w:rPr>
              <w:t>154</w:t>
            </w:r>
            <w:r w:rsidR="00292D8F" w:rsidRPr="00D35073">
              <w:rPr>
                <w:webHidden/>
              </w:rPr>
              <w:fldChar w:fldCharType="end"/>
            </w:r>
          </w:hyperlink>
        </w:p>
        <w:p w14:paraId="299E9595" w14:textId="76D29083" w:rsidR="00292D8F" w:rsidRPr="00D35073" w:rsidRDefault="00F40E8E">
          <w:pPr>
            <w:pStyle w:val="TOC1"/>
            <w:rPr>
              <w:rFonts w:eastAsiaTheme="minorEastAsia"/>
              <w:lang w:eastAsia="en-GB"/>
            </w:rPr>
          </w:pPr>
          <w:hyperlink w:anchor="_Toc80302267" w:history="1">
            <w:r w:rsidR="00292D8F" w:rsidRPr="00D35073">
              <w:rPr>
                <w:rStyle w:val="Hyperlink"/>
              </w:rPr>
              <w:t>Chapter IV - Discussion and Interpretation</w:t>
            </w:r>
            <w:r w:rsidR="00292D8F" w:rsidRPr="00D35073">
              <w:rPr>
                <w:webHidden/>
              </w:rPr>
              <w:tab/>
            </w:r>
            <w:r w:rsidR="00292D8F" w:rsidRPr="00D35073">
              <w:rPr>
                <w:webHidden/>
              </w:rPr>
              <w:fldChar w:fldCharType="begin"/>
            </w:r>
            <w:r w:rsidR="00292D8F" w:rsidRPr="00D35073">
              <w:rPr>
                <w:webHidden/>
              </w:rPr>
              <w:instrText xml:space="preserve"> PAGEREF _Toc80302267 \h </w:instrText>
            </w:r>
            <w:r w:rsidR="00292D8F" w:rsidRPr="00D35073">
              <w:rPr>
                <w:webHidden/>
              </w:rPr>
            </w:r>
            <w:r w:rsidR="00292D8F" w:rsidRPr="00D35073">
              <w:rPr>
                <w:webHidden/>
              </w:rPr>
              <w:fldChar w:fldCharType="separate"/>
            </w:r>
            <w:r w:rsidR="00221ECB">
              <w:rPr>
                <w:webHidden/>
              </w:rPr>
              <w:t>156</w:t>
            </w:r>
            <w:r w:rsidR="00292D8F" w:rsidRPr="00D35073">
              <w:rPr>
                <w:webHidden/>
              </w:rPr>
              <w:fldChar w:fldCharType="end"/>
            </w:r>
          </w:hyperlink>
        </w:p>
        <w:p w14:paraId="43DD3C50" w14:textId="6D093D38" w:rsidR="00292D8F" w:rsidRPr="00D35073" w:rsidRDefault="00F40E8E" w:rsidP="00292D8F">
          <w:pPr>
            <w:pStyle w:val="TOC2"/>
            <w:rPr>
              <w:rFonts w:eastAsiaTheme="minorEastAsia"/>
              <w:lang w:eastAsia="en-GB"/>
            </w:rPr>
          </w:pPr>
          <w:hyperlink w:anchor="_Toc80302268" w:history="1">
            <w:r w:rsidR="00292D8F" w:rsidRPr="00D35073">
              <w:rPr>
                <w:rStyle w:val="Hyperlink"/>
              </w:rPr>
              <w:t>4.1 - Overview</w:t>
            </w:r>
            <w:r w:rsidR="00292D8F" w:rsidRPr="00D35073">
              <w:rPr>
                <w:webHidden/>
              </w:rPr>
              <w:tab/>
            </w:r>
            <w:r w:rsidR="00292D8F" w:rsidRPr="00D35073">
              <w:rPr>
                <w:webHidden/>
              </w:rPr>
              <w:fldChar w:fldCharType="begin"/>
            </w:r>
            <w:r w:rsidR="00292D8F" w:rsidRPr="00D35073">
              <w:rPr>
                <w:webHidden/>
              </w:rPr>
              <w:instrText xml:space="preserve"> PAGEREF _Toc80302268 \h </w:instrText>
            </w:r>
            <w:r w:rsidR="00292D8F" w:rsidRPr="00D35073">
              <w:rPr>
                <w:webHidden/>
              </w:rPr>
            </w:r>
            <w:r w:rsidR="00292D8F" w:rsidRPr="00D35073">
              <w:rPr>
                <w:webHidden/>
              </w:rPr>
              <w:fldChar w:fldCharType="separate"/>
            </w:r>
            <w:r w:rsidR="00221ECB">
              <w:rPr>
                <w:webHidden/>
              </w:rPr>
              <w:t>156</w:t>
            </w:r>
            <w:r w:rsidR="00292D8F" w:rsidRPr="00D35073">
              <w:rPr>
                <w:webHidden/>
              </w:rPr>
              <w:fldChar w:fldCharType="end"/>
            </w:r>
          </w:hyperlink>
        </w:p>
        <w:p w14:paraId="195F91F8" w14:textId="6B3EFF17" w:rsidR="00292D8F" w:rsidRPr="00D35073" w:rsidRDefault="00F40E8E" w:rsidP="00292D8F">
          <w:pPr>
            <w:pStyle w:val="TOC2"/>
            <w:rPr>
              <w:rFonts w:eastAsiaTheme="minorEastAsia"/>
              <w:lang w:eastAsia="en-GB"/>
            </w:rPr>
          </w:pPr>
          <w:hyperlink w:anchor="_Toc80302269" w:history="1">
            <w:r w:rsidR="00292D8F" w:rsidRPr="00D35073">
              <w:rPr>
                <w:rStyle w:val="Hyperlink"/>
              </w:rPr>
              <w:t>4.2 - Patient Population / Demographic</w:t>
            </w:r>
            <w:r w:rsidR="00292D8F" w:rsidRPr="00D35073">
              <w:rPr>
                <w:webHidden/>
              </w:rPr>
              <w:tab/>
            </w:r>
            <w:r w:rsidR="00292D8F" w:rsidRPr="00D35073">
              <w:rPr>
                <w:webHidden/>
              </w:rPr>
              <w:fldChar w:fldCharType="begin"/>
            </w:r>
            <w:r w:rsidR="00292D8F" w:rsidRPr="00D35073">
              <w:rPr>
                <w:webHidden/>
              </w:rPr>
              <w:instrText xml:space="preserve"> PAGEREF _Toc80302269 \h </w:instrText>
            </w:r>
            <w:r w:rsidR="00292D8F" w:rsidRPr="00D35073">
              <w:rPr>
                <w:webHidden/>
              </w:rPr>
            </w:r>
            <w:r w:rsidR="00292D8F" w:rsidRPr="00D35073">
              <w:rPr>
                <w:webHidden/>
              </w:rPr>
              <w:fldChar w:fldCharType="separate"/>
            </w:r>
            <w:r w:rsidR="00221ECB">
              <w:rPr>
                <w:webHidden/>
              </w:rPr>
              <w:t>157</w:t>
            </w:r>
            <w:r w:rsidR="00292D8F" w:rsidRPr="00D35073">
              <w:rPr>
                <w:webHidden/>
              </w:rPr>
              <w:fldChar w:fldCharType="end"/>
            </w:r>
          </w:hyperlink>
        </w:p>
        <w:p w14:paraId="026FA6D2" w14:textId="60A757AA" w:rsidR="00292D8F" w:rsidRPr="00D35073" w:rsidRDefault="00F40E8E" w:rsidP="00292D8F">
          <w:pPr>
            <w:pStyle w:val="TOC2"/>
            <w:rPr>
              <w:rFonts w:eastAsiaTheme="minorEastAsia"/>
              <w:lang w:eastAsia="en-GB"/>
            </w:rPr>
          </w:pPr>
          <w:hyperlink w:anchor="_Toc80302270" w:history="1">
            <w:r w:rsidR="00292D8F" w:rsidRPr="00D35073">
              <w:rPr>
                <w:rStyle w:val="Hyperlink"/>
              </w:rPr>
              <w:t>4.3 - Angiographic Data</w:t>
            </w:r>
            <w:r w:rsidR="00292D8F" w:rsidRPr="00D35073">
              <w:rPr>
                <w:webHidden/>
              </w:rPr>
              <w:tab/>
            </w:r>
            <w:r w:rsidR="00292D8F" w:rsidRPr="00D35073">
              <w:rPr>
                <w:webHidden/>
              </w:rPr>
              <w:fldChar w:fldCharType="begin"/>
            </w:r>
            <w:r w:rsidR="00292D8F" w:rsidRPr="00D35073">
              <w:rPr>
                <w:webHidden/>
              </w:rPr>
              <w:instrText xml:space="preserve"> PAGEREF _Toc80302270 \h </w:instrText>
            </w:r>
            <w:r w:rsidR="00292D8F" w:rsidRPr="00D35073">
              <w:rPr>
                <w:webHidden/>
              </w:rPr>
            </w:r>
            <w:r w:rsidR="00292D8F" w:rsidRPr="00D35073">
              <w:rPr>
                <w:webHidden/>
              </w:rPr>
              <w:fldChar w:fldCharType="separate"/>
            </w:r>
            <w:r w:rsidR="00221ECB">
              <w:rPr>
                <w:webHidden/>
              </w:rPr>
              <w:t>158</w:t>
            </w:r>
            <w:r w:rsidR="00292D8F" w:rsidRPr="00D35073">
              <w:rPr>
                <w:webHidden/>
              </w:rPr>
              <w:fldChar w:fldCharType="end"/>
            </w:r>
          </w:hyperlink>
        </w:p>
        <w:p w14:paraId="105F83F5" w14:textId="7885B8CF"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71" w:history="1">
            <w:r w:rsidR="00292D8F" w:rsidRPr="00D35073">
              <w:rPr>
                <w:rStyle w:val="Hyperlink"/>
                <w:rFonts w:ascii="Times New Roman" w:hAnsi="Times New Roman" w:cs="Times New Roman"/>
                <w:i/>
                <w:noProof/>
              </w:rPr>
              <w:t>4.3.1 - Stenosis Percentage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_Toc80302271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158</w:t>
            </w:r>
            <w:r w:rsidR="00292D8F" w:rsidRPr="00D35073">
              <w:rPr>
                <w:rFonts w:ascii="Times New Roman" w:hAnsi="Times New Roman" w:cs="Times New Roman"/>
                <w:noProof/>
                <w:webHidden/>
              </w:rPr>
              <w:fldChar w:fldCharType="end"/>
            </w:r>
          </w:hyperlink>
        </w:p>
        <w:p w14:paraId="3B56144A" w14:textId="62259B67"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72" w:history="1">
            <w:r w:rsidR="00292D8F" w:rsidRPr="00D35073">
              <w:rPr>
                <w:rStyle w:val="Hyperlink"/>
                <w:rFonts w:ascii="Times New Roman" w:hAnsi="Times New Roman" w:cs="Times New Roman"/>
                <w:i/>
                <w:noProof/>
              </w:rPr>
              <w:t>4.3.2 - Position of Stenosis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_Toc80302272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159</w:t>
            </w:r>
            <w:r w:rsidR="00292D8F" w:rsidRPr="00D35073">
              <w:rPr>
                <w:rFonts w:ascii="Times New Roman" w:hAnsi="Times New Roman" w:cs="Times New Roman"/>
                <w:noProof/>
                <w:webHidden/>
              </w:rPr>
              <w:fldChar w:fldCharType="end"/>
            </w:r>
          </w:hyperlink>
        </w:p>
        <w:p w14:paraId="705533E5" w14:textId="55CB8989"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73" w:history="1">
            <w:r w:rsidR="00292D8F" w:rsidRPr="00D35073">
              <w:rPr>
                <w:rStyle w:val="Hyperlink"/>
                <w:rFonts w:ascii="Times New Roman" w:hAnsi="Times New Roman" w:cs="Times New Roman"/>
                <w:i/>
                <w:noProof/>
              </w:rPr>
              <w:t>4.3.3 - Guide to Wire Measurement Correlation</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_Toc80302273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159</w:t>
            </w:r>
            <w:r w:rsidR="00292D8F" w:rsidRPr="00D35073">
              <w:rPr>
                <w:rFonts w:ascii="Times New Roman" w:hAnsi="Times New Roman" w:cs="Times New Roman"/>
                <w:noProof/>
                <w:webHidden/>
              </w:rPr>
              <w:fldChar w:fldCharType="end"/>
            </w:r>
          </w:hyperlink>
        </w:p>
        <w:p w14:paraId="0FB4D04E" w14:textId="03ECD1E2" w:rsidR="00292D8F" w:rsidRPr="00D35073" w:rsidRDefault="00F40E8E" w:rsidP="00292D8F">
          <w:pPr>
            <w:pStyle w:val="TOC2"/>
            <w:rPr>
              <w:rFonts w:eastAsiaTheme="minorEastAsia"/>
              <w:lang w:eastAsia="en-GB"/>
            </w:rPr>
          </w:pPr>
          <w:hyperlink w:anchor="_Toc80302274" w:history="1">
            <w:r w:rsidR="00292D8F" w:rsidRPr="00D35073">
              <w:rPr>
                <w:rStyle w:val="Hyperlink"/>
              </w:rPr>
              <w:t>4.4 - Pressure Results</w:t>
            </w:r>
            <w:r w:rsidR="00292D8F" w:rsidRPr="00D35073">
              <w:rPr>
                <w:webHidden/>
              </w:rPr>
              <w:tab/>
            </w:r>
            <w:r w:rsidR="00292D8F" w:rsidRPr="00D35073">
              <w:rPr>
                <w:webHidden/>
              </w:rPr>
              <w:fldChar w:fldCharType="begin"/>
            </w:r>
            <w:r w:rsidR="00292D8F" w:rsidRPr="00D35073">
              <w:rPr>
                <w:webHidden/>
              </w:rPr>
              <w:instrText xml:space="preserve"> PAGEREF _Toc80302274 \h </w:instrText>
            </w:r>
            <w:r w:rsidR="00292D8F" w:rsidRPr="00D35073">
              <w:rPr>
                <w:webHidden/>
              </w:rPr>
            </w:r>
            <w:r w:rsidR="00292D8F" w:rsidRPr="00D35073">
              <w:rPr>
                <w:webHidden/>
              </w:rPr>
              <w:fldChar w:fldCharType="separate"/>
            </w:r>
            <w:r w:rsidR="00221ECB">
              <w:rPr>
                <w:webHidden/>
              </w:rPr>
              <w:t>161</w:t>
            </w:r>
            <w:r w:rsidR="00292D8F" w:rsidRPr="00D35073">
              <w:rPr>
                <w:webHidden/>
              </w:rPr>
              <w:fldChar w:fldCharType="end"/>
            </w:r>
          </w:hyperlink>
        </w:p>
        <w:p w14:paraId="26A7FA68" w14:textId="73F1E7FE"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75" w:history="1">
            <w:r w:rsidR="00292D8F" w:rsidRPr="00D35073">
              <w:rPr>
                <w:rStyle w:val="Hyperlink"/>
                <w:rFonts w:ascii="Times New Roman" w:hAnsi="Times New Roman" w:cs="Times New Roman"/>
                <w:i/>
                <w:noProof/>
              </w:rPr>
              <w:t>4.4.1 - Pressure Based Values &gt; 1.0</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_Toc80302275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161</w:t>
            </w:r>
            <w:r w:rsidR="00292D8F" w:rsidRPr="00D35073">
              <w:rPr>
                <w:rFonts w:ascii="Times New Roman" w:hAnsi="Times New Roman" w:cs="Times New Roman"/>
                <w:noProof/>
                <w:webHidden/>
              </w:rPr>
              <w:fldChar w:fldCharType="end"/>
            </w:r>
          </w:hyperlink>
        </w:p>
        <w:p w14:paraId="153E38DB" w14:textId="13B01E21"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76" w:history="1">
            <w:r w:rsidR="00292D8F" w:rsidRPr="00D35073">
              <w:rPr>
                <w:rStyle w:val="Hyperlink"/>
                <w:rFonts w:ascii="Times New Roman" w:hAnsi="Times New Roman" w:cs="Times New Roman"/>
                <w:i/>
                <w:noProof/>
              </w:rPr>
              <w:t>4.4.2 - Pd/Pa</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_Toc80302276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162</w:t>
            </w:r>
            <w:r w:rsidR="00292D8F" w:rsidRPr="00D35073">
              <w:rPr>
                <w:rFonts w:ascii="Times New Roman" w:hAnsi="Times New Roman" w:cs="Times New Roman"/>
                <w:noProof/>
                <w:webHidden/>
              </w:rPr>
              <w:fldChar w:fldCharType="end"/>
            </w:r>
          </w:hyperlink>
        </w:p>
        <w:p w14:paraId="0F17F191" w14:textId="29500427"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77" w:history="1">
            <w:r w:rsidR="00292D8F" w:rsidRPr="00D35073">
              <w:rPr>
                <w:rStyle w:val="Hyperlink"/>
                <w:rFonts w:ascii="Times New Roman" w:hAnsi="Times New Roman" w:cs="Times New Roman"/>
                <w:i/>
                <w:noProof/>
              </w:rPr>
              <w:t>4.4.3 - iFR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_Toc80302277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162</w:t>
            </w:r>
            <w:r w:rsidR="00292D8F" w:rsidRPr="00D35073">
              <w:rPr>
                <w:rFonts w:ascii="Times New Roman" w:hAnsi="Times New Roman" w:cs="Times New Roman"/>
                <w:noProof/>
                <w:webHidden/>
              </w:rPr>
              <w:fldChar w:fldCharType="end"/>
            </w:r>
          </w:hyperlink>
        </w:p>
        <w:p w14:paraId="249B1082" w14:textId="29FD3F6C"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78" w:history="1">
            <w:r w:rsidR="00292D8F" w:rsidRPr="00D35073">
              <w:rPr>
                <w:rStyle w:val="Hyperlink"/>
                <w:rFonts w:ascii="Times New Roman" w:hAnsi="Times New Roman" w:cs="Times New Roman"/>
                <w:i/>
                <w:noProof/>
              </w:rPr>
              <w:t>4.4.4 - FFR and Hyperaemia</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_Toc80302278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163</w:t>
            </w:r>
            <w:r w:rsidR="00292D8F" w:rsidRPr="00D35073">
              <w:rPr>
                <w:rFonts w:ascii="Times New Roman" w:hAnsi="Times New Roman" w:cs="Times New Roman"/>
                <w:noProof/>
                <w:webHidden/>
              </w:rPr>
              <w:fldChar w:fldCharType="end"/>
            </w:r>
          </w:hyperlink>
        </w:p>
        <w:p w14:paraId="6BD513FB" w14:textId="55B808E5" w:rsidR="00292D8F" w:rsidRPr="00D35073" w:rsidRDefault="00F40E8E" w:rsidP="00292D8F">
          <w:pPr>
            <w:pStyle w:val="TOC2"/>
            <w:rPr>
              <w:rFonts w:eastAsiaTheme="minorEastAsia"/>
              <w:lang w:eastAsia="en-GB"/>
            </w:rPr>
          </w:pPr>
          <w:hyperlink w:anchor="_Toc80302279" w:history="1">
            <w:r w:rsidR="00292D8F" w:rsidRPr="00D35073">
              <w:rPr>
                <w:rStyle w:val="Hyperlink"/>
              </w:rPr>
              <w:t>4.5 - Supporting Evidence in the Clinical Literature</w:t>
            </w:r>
            <w:r w:rsidR="00292D8F" w:rsidRPr="00D35073">
              <w:rPr>
                <w:webHidden/>
              </w:rPr>
              <w:tab/>
            </w:r>
            <w:r w:rsidR="00292D8F" w:rsidRPr="00D35073">
              <w:rPr>
                <w:webHidden/>
              </w:rPr>
              <w:fldChar w:fldCharType="begin"/>
            </w:r>
            <w:r w:rsidR="00292D8F" w:rsidRPr="00D35073">
              <w:rPr>
                <w:webHidden/>
              </w:rPr>
              <w:instrText xml:space="preserve"> PAGEREF _Toc80302279 \h </w:instrText>
            </w:r>
            <w:r w:rsidR="00292D8F" w:rsidRPr="00D35073">
              <w:rPr>
                <w:webHidden/>
              </w:rPr>
            </w:r>
            <w:r w:rsidR="00292D8F" w:rsidRPr="00D35073">
              <w:rPr>
                <w:webHidden/>
              </w:rPr>
              <w:fldChar w:fldCharType="separate"/>
            </w:r>
            <w:r w:rsidR="00221ECB">
              <w:rPr>
                <w:webHidden/>
              </w:rPr>
              <w:t>164</w:t>
            </w:r>
            <w:r w:rsidR="00292D8F" w:rsidRPr="00D35073">
              <w:rPr>
                <w:webHidden/>
              </w:rPr>
              <w:fldChar w:fldCharType="end"/>
            </w:r>
          </w:hyperlink>
        </w:p>
        <w:p w14:paraId="686C6C55" w14:textId="36A4F10F" w:rsidR="00292D8F" w:rsidRPr="00D35073" w:rsidRDefault="00F40E8E" w:rsidP="00292D8F">
          <w:pPr>
            <w:pStyle w:val="TOC2"/>
            <w:rPr>
              <w:rFonts w:eastAsiaTheme="minorEastAsia"/>
              <w:lang w:eastAsia="en-GB"/>
            </w:rPr>
          </w:pPr>
          <w:hyperlink w:anchor="_Toc80302280" w:history="1">
            <w:r w:rsidR="00292D8F" w:rsidRPr="00D35073">
              <w:rPr>
                <w:rStyle w:val="Hyperlink"/>
              </w:rPr>
              <w:t>4.6 - Doppler Measurements</w:t>
            </w:r>
            <w:r w:rsidR="00292D8F" w:rsidRPr="00D35073">
              <w:rPr>
                <w:webHidden/>
              </w:rPr>
              <w:tab/>
            </w:r>
            <w:r w:rsidR="00292D8F" w:rsidRPr="00D35073">
              <w:rPr>
                <w:webHidden/>
              </w:rPr>
              <w:fldChar w:fldCharType="begin"/>
            </w:r>
            <w:r w:rsidR="00292D8F" w:rsidRPr="00D35073">
              <w:rPr>
                <w:webHidden/>
              </w:rPr>
              <w:instrText xml:space="preserve"> PAGEREF _Toc80302280 \h </w:instrText>
            </w:r>
            <w:r w:rsidR="00292D8F" w:rsidRPr="00D35073">
              <w:rPr>
                <w:webHidden/>
              </w:rPr>
            </w:r>
            <w:r w:rsidR="00292D8F" w:rsidRPr="00D35073">
              <w:rPr>
                <w:webHidden/>
              </w:rPr>
              <w:fldChar w:fldCharType="separate"/>
            </w:r>
            <w:r w:rsidR="00221ECB">
              <w:rPr>
                <w:webHidden/>
              </w:rPr>
              <w:t>167</w:t>
            </w:r>
            <w:r w:rsidR="00292D8F" w:rsidRPr="00D35073">
              <w:rPr>
                <w:webHidden/>
              </w:rPr>
              <w:fldChar w:fldCharType="end"/>
            </w:r>
          </w:hyperlink>
        </w:p>
        <w:p w14:paraId="2284E54D" w14:textId="1572917B"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81" w:history="1">
            <w:r w:rsidR="00292D8F" w:rsidRPr="00D35073">
              <w:rPr>
                <w:rStyle w:val="Hyperlink"/>
                <w:rFonts w:ascii="Times New Roman" w:hAnsi="Times New Roman" w:cs="Times New Roman"/>
                <w:i/>
                <w:noProof/>
              </w:rPr>
              <w:t>4.6.1 - Dysfunctional Microcirculation</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_Toc80302281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170</w:t>
            </w:r>
            <w:r w:rsidR="00292D8F" w:rsidRPr="00D35073">
              <w:rPr>
                <w:rFonts w:ascii="Times New Roman" w:hAnsi="Times New Roman" w:cs="Times New Roman"/>
                <w:noProof/>
                <w:webHidden/>
              </w:rPr>
              <w:fldChar w:fldCharType="end"/>
            </w:r>
          </w:hyperlink>
        </w:p>
        <w:p w14:paraId="5F5D8E71" w14:textId="110DF326" w:rsidR="00292D8F" w:rsidRPr="00D35073" w:rsidRDefault="00F40E8E" w:rsidP="00292D8F">
          <w:pPr>
            <w:pStyle w:val="TOC2"/>
            <w:rPr>
              <w:rFonts w:eastAsiaTheme="minorEastAsia"/>
              <w:lang w:eastAsia="en-GB"/>
            </w:rPr>
          </w:pPr>
          <w:hyperlink w:anchor="_Toc80302282" w:history="1">
            <w:r w:rsidR="00292D8F" w:rsidRPr="00D35073">
              <w:rPr>
                <w:rStyle w:val="Hyperlink"/>
              </w:rPr>
              <w:t>4.7 - Potential Clinical Implications</w:t>
            </w:r>
            <w:r w:rsidR="00292D8F" w:rsidRPr="00D35073">
              <w:rPr>
                <w:webHidden/>
              </w:rPr>
              <w:tab/>
            </w:r>
            <w:r w:rsidR="00292D8F" w:rsidRPr="00D35073">
              <w:rPr>
                <w:webHidden/>
              </w:rPr>
              <w:fldChar w:fldCharType="begin"/>
            </w:r>
            <w:r w:rsidR="00292D8F" w:rsidRPr="00D35073">
              <w:rPr>
                <w:webHidden/>
              </w:rPr>
              <w:instrText xml:space="preserve"> PAGEREF _Toc80302282 \h </w:instrText>
            </w:r>
            <w:r w:rsidR="00292D8F" w:rsidRPr="00D35073">
              <w:rPr>
                <w:webHidden/>
              </w:rPr>
            </w:r>
            <w:r w:rsidR="00292D8F" w:rsidRPr="00D35073">
              <w:rPr>
                <w:webHidden/>
              </w:rPr>
              <w:fldChar w:fldCharType="separate"/>
            </w:r>
            <w:r w:rsidR="00221ECB">
              <w:rPr>
                <w:webHidden/>
              </w:rPr>
              <w:t>171</w:t>
            </w:r>
            <w:r w:rsidR="00292D8F" w:rsidRPr="00D35073">
              <w:rPr>
                <w:webHidden/>
              </w:rPr>
              <w:fldChar w:fldCharType="end"/>
            </w:r>
          </w:hyperlink>
        </w:p>
        <w:p w14:paraId="232E6C3B" w14:textId="66CAEE77"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83" w:history="1">
            <w:r w:rsidR="00292D8F" w:rsidRPr="00D35073">
              <w:rPr>
                <w:rStyle w:val="Hyperlink"/>
                <w:rFonts w:ascii="Times New Roman" w:hAnsi="Times New Roman" w:cs="Times New Roman"/>
                <w:i/>
                <w:noProof/>
              </w:rPr>
              <w:t>4.7.1 - Pressure Based Measurements : A 'Level' Playing Field</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_Toc80302283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171</w:t>
            </w:r>
            <w:r w:rsidR="00292D8F" w:rsidRPr="00D35073">
              <w:rPr>
                <w:rFonts w:ascii="Times New Roman" w:hAnsi="Times New Roman" w:cs="Times New Roman"/>
                <w:noProof/>
                <w:webHidden/>
              </w:rPr>
              <w:fldChar w:fldCharType="end"/>
            </w:r>
          </w:hyperlink>
        </w:p>
        <w:p w14:paraId="46FACB7B" w14:textId="7B137BA2"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84" w:history="1">
            <w:r w:rsidR="00292D8F" w:rsidRPr="00D35073">
              <w:rPr>
                <w:rStyle w:val="Hyperlink"/>
                <w:rFonts w:ascii="Times New Roman" w:hAnsi="Times New Roman" w:cs="Times New Roman"/>
                <w:i/>
                <w:noProof/>
              </w:rPr>
              <w:t>4.7.2 - Clinical Measurement Point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_Toc80302284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174</w:t>
            </w:r>
            <w:r w:rsidR="00292D8F" w:rsidRPr="00D35073">
              <w:rPr>
                <w:rFonts w:ascii="Times New Roman" w:hAnsi="Times New Roman" w:cs="Times New Roman"/>
                <w:noProof/>
                <w:webHidden/>
              </w:rPr>
              <w:fldChar w:fldCharType="end"/>
            </w:r>
          </w:hyperlink>
        </w:p>
        <w:p w14:paraId="1E5D026E" w14:textId="2CFAD88E"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85" w:history="1">
            <w:r w:rsidR="00292D8F" w:rsidRPr="00D35073">
              <w:rPr>
                <w:rStyle w:val="Hyperlink"/>
                <w:rFonts w:ascii="Times New Roman" w:hAnsi="Times New Roman" w:cs="Times New Roman"/>
                <w:i/>
                <w:noProof/>
              </w:rPr>
              <w:t>4.7.3 - Statistical Significance versus Clinical Significance</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_Toc80302285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174</w:t>
            </w:r>
            <w:r w:rsidR="00292D8F" w:rsidRPr="00D35073">
              <w:rPr>
                <w:rFonts w:ascii="Times New Roman" w:hAnsi="Times New Roman" w:cs="Times New Roman"/>
                <w:noProof/>
                <w:webHidden/>
              </w:rPr>
              <w:fldChar w:fldCharType="end"/>
            </w:r>
          </w:hyperlink>
        </w:p>
        <w:p w14:paraId="7132FA25" w14:textId="6FA04A71"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86" w:history="1">
            <w:r w:rsidR="00292D8F" w:rsidRPr="00D35073">
              <w:rPr>
                <w:rStyle w:val="Hyperlink"/>
                <w:rFonts w:ascii="Times New Roman" w:hAnsi="Times New Roman" w:cs="Times New Roman"/>
                <w:i/>
                <w:noProof/>
              </w:rPr>
              <w:t>4.7.4 - Wire Placement - PLV versus PDA</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_Toc80302286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175</w:t>
            </w:r>
            <w:r w:rsidR="00292D8F" w:rsidRPr="00D35073">
              <w:rPr>
                <w:rFonts w:ascii="Times New Roman" w:hAnsi="Times New Roman" w:cs="Times New Roman"/>
                <w:noProof/>
                <w:webHidden/>
              </w:rPr>
              <w:fldChar w:fldCharType="end"/>
            </w:r>
          </w:hyperlink>
        </w:p>
        <w:p w14:paraId="4BB34285" w14:textId="26F08ABC"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87" w:history="1">
            <w:r w:rsidR="00292D8F" w:rsidRPr="00D35073">
              <w:rPr>
                <w:rStyle w:val="Hyperlink"/>
                <w:rFonts w:ascii="Times New Roman" w:hAnsi="Times New Roman" w:cs="Times New Roman"/>
                <w:i/>
                <w:noProof/>
              </w:rPr>
              <w:t>4.7.5 - Diffuse Disease and Serial Stenosis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_Toc80302287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176</w:t>
            </w:r>
            <w:r w:rsidR="00292D8F" w:rsidRPr="00D35073">
              <w:rPr>
                <w:rFonts w:ascii="Times New Roman" w:hAnsi="Times New Roman" w:cs="Times New Roman"/>
                <w:noProof/>
                <w:webHidden/>
              </w:rPr>
              <w:fldChar w:fldCharType="end"/>
            </w:r>
          </w:hyperlink>
        </w:p>
        <w:p w14:paraId="370BC381" w14:textId="67FE2F43"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88" w:history="1">
            <w:r w:rsidR="00292D8F" w:rsidRPr="00D35073">
              <w:rPr>
                <w:rStyle w:val="Hyperlink"/>
                <w:rFonts w:ascii="Times New Roman" w:hAnsi="Times New Roman" w:cs="Times New Roman"/>
                <w:i/>
                <w:noProof/>
              </w:rPr>
              <w:t>4.7.6 - Other Physiological Indices</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_Toc80302288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176</w:t>
            </w:r>
            <w:r w:rsidR="00292D8F" w:rsidRPr="00D35073">
              <w:rPr>
                <w:rFonts w:ascii="Times New Roman" w:hAnsi="Times New Roman" w:cs="Times New Roman"/>
                <w:noProof/>
                <w:webHidden/>
              </w:rPr>
              <w:fldChar w:fldCharType="end"/>
            </w:r>
          </w:hyperlink>
        </w:p>
        <w:p w14:paraId="595807E0" w14:textId="123513E6"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89" w:history="1">
            <w:r w:rsidR="00292D8F" w:rsidRPr="00D35073">
              <w:rPr>
                <w:rStyle w:val="Hyperlink"/>
                <w:rFonts w:ascii="Times New Roman" w:hAnsi="Times New Roman" w:cs="Times New Roman"/>
                <w:i/>
                <w:noProof/>
              </w:rPr>
              <w:t>4.7.8 - Accounting for Hydrostatic Pressure Effect</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_Toc80302289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176</w:t>
            </w:r>
            <w:r w:rsidR="00292D8F" w:rsidRPr="00D35073">
              <w:rPr>
                <w:rFonts w:ascii="Times New Roman" w:hAnsi="Times New Roman" w:cs="Times New Roman"/>
                <w:noProof/>
                <w:webHidden/>
              </w:rPr>
              <w:fldChar w:fldCharType="end"/>
            </w:r>
          </w:hyperlink>
        </w:p>
        <w:p w14:paraId="2132F850" w14:textId="3B221399" w:rsidR="00292D8F" w:rsidRPr="00D35073" w:rsidRDefault="00F40E8E" w:rsidP="00292D8F">
          <w:pPr>
            <w:pStyle w:val="TOC2"/>
            <w:rPr>
              <w:rFonts w:eastAsiaTheme="minorEastAsia"/>
              <w:lang w:eastAsia="en-GB"/>
            </w:rPr>
          </w:pPr>
          <w:hyperlink w:anchor="_Toc80302290" w:history="1">
            <w:r w:rsidR="00292D8F" w:rsidRPr="00D35073">
              <w:rPr>
                <w:rStyle w:val="Hyperlink"/>
              </w:rPr>
              <w:t>4.8 - Anatomical FFR and Hydrostatic Pressure</w:t>
            </w:r>
            <w:r w:rsidR="00292D8F" w:rsidRPr="00D35073">
              <w:rPr>
                <w:webHidden/>
              </w:rPr>
              <w:tab/>
            </w:r>
            <w:r w:rsidR="00292D8F" w:rsidRPr="00D35073">
              <w:rPr>
                <w:webHidden/>
              </w:rPr>
              <w:fldChar w:fldCharType="begin"/>
            </w:r>
            <w:r w:rsidR="00292D8F" w:rsidRPr="00D35073">
              <w:rPr>
                <w:webHidden/>
              </w:rPr>
              <w:instrText xml:space="preserve"> PAGEREF _Toc80302290 \h </w:instrText>
            </w:r>
            <w:r w:rsidR="00292D8F" w:rsidRPr="00D35073">
              <w:rPr>
                <w:webHidden/>
              </w:rPr>
            </w:r>
            <w:r w:rsidR="00292D8F" w:rsidRPr="00D35073">
              <w:rPr>
                <w:webHidden/>
              </w:rPr>
              <w:fldChar w:fldCharType="separate"/>
            </w:r>
            <w:r w:rsidR="00221ECB">
              <w:rPr>
                <w:webHidden/>
              </w:rPr>
              <w:t>179</w:t>
            </w:r>
            <w:r w:rsidR="00292D8F" w:rsidRPr="00D35073">
              <w:rPr>
                <w:webHidden/>
              </w:rPr>
              <w:fldChar w:fldCharType="end"/>
            </w:r>
          </w:hyperlink>
        </w:p>
        <w:p w14:paraId="3B6CEA08" w14:textId="176223E6"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91" w:history="1">
            <w:r w:rsidR="00292D8F" w:rsidRPr="00D35073">
              <w:rPr>
                <w:rStyle w:val="Hyperlink"/>
                <w:rFonts w:ascii="Times New Roman" w:hAnsi="Times New Roman" w:cs="Times New Roman"/>
                <w:i/>
                <w:noProof/>
              </w:rPr>
              <w:t>4.8.1 - CT FFR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_Toc80302291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180</w:t>
            </w:r>
            <w:r w:rsidR="00292D8F" w:rsidRPr="00D35073">
              <w:rPr>
                <w:rFonts w:ascii="Times New Roman" w:hAnsi="Times New Roman" w:cs="Times New Roman"/>
                <w:noProof/>
                <w:webHidden/>
              </w:rPr>
              <w:fldChar w:fldCharType="end"/>
            </w:r>
          </w:hyperlink>
        </w:p>
        <w:p w14:paraId="5C5B0DFF" w14:textId="199884A4"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92" w:history="1">
            <w:r w:rsidR="00292D8F" w:rsidRPr="00D35073">
              <w:rPr>
                <w:rStyle w:val="Hyperlink"/>
                <w:rFonts w:ascii="Times New Roman" w:hAnsi="Times New Roman" w:cs="Times New Roman"/>
                <w:i/>
                <w:noProof/>
              </w:rPr>
              <w:t>4.8.2 - Angio-FFR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_Toc80302292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180</w:t>
            </w:r>
            <w:r w:rsidR="00292D8F" w:rsidRPr="00D35073">
              <w:rPr>
                <w:rFonts w:ascii="Times New Roman" w:hAnsi="Times New Roman" w:cs="Times New Roman"/>
                <w:noProof/>
                <w:webHidden/>
              </w:rPr>
              <w:fldChar w:fldCharType="end"/>
            </w:r>
          </w:hyperlink>
        </w:p>
        <w:p w14:paraId="2C34C85A" w14:textId="7B129649"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93" w:history="1">
            <w:r w:rsidR="00292D8F" w:rsidRPr="00D35073">
              <w:rPr>
                <w:rStyle w:val="Hyperlink"/>
                <w:rFonts w:ascii="Times New Roman" w:hAnsi="Times New Roman" w:cs="Times New Roman"/>
                <w:i/>
                <w:noProof/>
              </w:rPr>
              <w:t>4.8.3 - Hydrostatic Effect in Non-invasive FFR</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_Toc80302293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181</w:t>
            </w:r>
            <w:r w:rsidR="00292D8F" w:rsidRPr="00D35073">
              <w:rPr>
                <w:rFonts w:ascii="Times New Roman" w:hAnsi="Times New Roman" w:cs="Times New Roman"/>
                <w:noProof/>
                <w:webHidden/>
              </w:rPr>
              <w:fldChar w:fldCharType="end"/>
            </w:r>
          </w:hyperlink>
        </w:p>
        <w:p w14:paraId="7FF700EE" w14:textId="5F948624" w:rsidR="00292D8F" w:rsidRPr="00D35073" w:rsidRDefault="00F40E8E" w:rsidP="00292D8F">
          <w:pPr>
            <w:pStyle w:val="TOC2"/>
            <w:rPr>
              <w:rFonts w:eastAsiaTheme="minorEastAsia"/>
              <w:lang w:eastAsia="en-GB"/>
            </w:rPr>
          </w:pPr>
          <w:hyperlink w:anchor="_Toc80302294" w:history="1">
            <w:r w:rsidR="00292D8F" w:rsidRPr="00D35073">
              <w:rPr>
                <w:rStyle w:val="Hyperlink"/>
              </w:rPr>
              <w:t>4.9 - Arguments Against Hydrostatic Effect</w:t>
            </w:r>
            <w:r w:rsidR="00292D8F" w:rsidRPr="00D35073">
              <w:rPr>
                <w:webHidden/>
              </w:rPr>
              <w:tab/>
            </w:r>
            <w:r w:rsidR="00292D8F" w:rsidRPr="00D35073">
              <w:rPr>
                <w:webHidden/>
              </w:rPr>
              <w:fldChar w:fldCharType="begin"/>
            </w:r>
            <w:r w:rsidR="00292D8F" w:rsidRPr="00D35073">
              <w:rPr>
                <w:webHidden/>
              </w:rPr>
              <w:instrText xml:space="preserve"> PAGEREF _Toc80302294 \h </w:instrText>
            </w:r>
            <w:r w:rsidR="00292D8F" w:rsidRPr="00D35073">
              <w:rPr>
                <w:webHidden/>
              </w:rPr>
            </w:r>
            <w:r w:rsidR="00292D8F" w:rsidRPr="00D35073">
              <w:rPr>
                <w:webHidden/>
              </w:rPr>
              <w:fldChar w:fldCharType="separate"/>
            </w:r>
            <w:r w:rsidR="00221ECB">
              <w:rPr>
                <w:webHidden/>
              </w:rPr>
              <w:t>182</w:t>
            </w:r>
            <w:r w:rsidR="00292D8F" w:rsidRPr="00D35073">
              <w:rPr>
                <w:webHidden/>
              </w:rPr>
              <w:fldChar w:fldCharType="end"/>
            </w:r>
          </w:hyperlink>
        </w:p>
        <w:p w14:paraId="41EB9B4E" w14:textId="32F74BCA" w:rsidR="00292D8F" w:rsidRPr="00D35073" w:rsidRDefault="00F40E8E" w:rsidP="00292D8F">
          <w:pPr>
            <w:pStyle w:val="TOC2"/>
            <w:rPr>
              <w:rFonts w:eastAsiaTheme="minorEastAsia"/>
              <w:lang w:eastAsia="en-GB"/>
            </w:rPr>
          </w:pPr>
          <w:hyperlink w:anchor="_Toc80302295" w:history="1">
            <w:r w:rsidR="00292D8F" w:rsidRPr="00D35073">
              <w:rPr>
                <w:rStyle w:val="Hyperlink"/>
              </w:rPr>
              <w:t>4.10 - Study Limitations</w:t>
            </w:r>
            <w:r w:rsidR="00292D8F" w:rsidRPr="00D35073">
              <w:rPr>
                <w:webHidden/>
              </w:rPr>
              <w:tab/>
            </w:r>
            <w:r w:rsidR="00292D8F" w:rsidRPr="00D35073">
              <w:rPr>
                <w:webHidden/>
              </w:rPr>
              <w:fldChar w:fldCharType="begin"/>
            </w:r>
            <w:r w:rsidR="00292D8F" w:rsidRPr="00D35073">
              <w:rPr>
                <w:webHidden/>
              </w:rPr>
              <w:instrText xml:space="preserve"> PAGEREF _Toc80302295 \h </w:instrText>
            </w:r>
            <w:r w:rsidR="00292D8F" w:rsidRPr="00D35073">
              <w:rPr>
                <w:webHidden/>
              </w:rPr>
            </w:r>
            <w:r w:rsidR="00292D8F" w:rsidRPr="00D35073">
              <w:rPr>
                <w:webHidden/>
              </w:rPr>
              <w:fldChar w:fldCharType="separate"/>
            </w:r>
            <w:r w:rsidR="00221ECB">
              <w:rPr>
                <w:webHidden/>
              </w:rPr>
              <w:t>183</w:t>
            </w:r>
            <w:r w:rsidR="00292D8F" w:rsidRPr="00D35073">
              <w:rPr>
                <w:webHidden/>
              </w:rPr>
              <w:fldChar w:fldCharType="end"/>
            </w:r>
          </w:hyperlink>
        </w:p>
        <w:p w14:paraId="06B1C818" w14:textId="5B9FB057" w:rsidR="00292D8F" w:rsidRPr="00D35073" w:rsidRDefault="00F40E8E" w:rsidP="00292D8F">
          <w:pPr>
            <w:pStyle w:val="TOC2"/>
            <w:rPr>
              <w:rFonts w:eastAsiaTheme="minorEastAsia"/>
              <w:lang w:eastAsia="en-GB"/>
            </w:rPr>
          </w:pPr>
          <w:hyperlink w:anchor="_Toc80302296" w:history="1">
            <w:r w:rsidR="00292D8F" w:rsidRPr="00D35073">
              <w:rPr>
                <w:rStyle w:val="Hyperlink"/>
              </w:rPr>
              <w:t>4.11 - Future Research</w:t>
            </w:r>
            <w:r w:rsidR="00292D8F" w:rsidRPr="00D35073">
              <w:rPr>
                <w:webHidden/>
              </w:rPr>
              <w:tab/>
            </w:r>
            <w:r w:rsidR="00292D8F" w:rsidRPr="00D35073">
              <w:rPr>
                <w:webHidden/>
              </w:rPr>
              <w:fldChar w:fldCharType="begin"/>
            </w:r>
            <w:r w:rsidR="00292D8F" w:rsidRPr="00D35073">
              <w:rPr>
                <w:webHidden/>
              </w:rPr>
              <w:instrText xml:space="preserve"> PAGEREF _Toc80302296 \h </w:instrText>
            </w:r>
            <w:r w:rsidR="00292D8F" w:rsidRPr="00D35073">
              <w:rPr>
                <w:webHidden/>
              </w:rPr>
            </w:r>
            <w:r w:rsidR="00292D8F" w:rsidRPr="00D35073">
              <w:rPr>
                <w:webHidden/>
              </w:rPr>
              <w:fldChar w:fldCharType="separate"/>
            </w:r>
            <w:r w:rsidR="00221ECB">
              <w:rPr>
                <w:webHidden/>
              </w:rPr>
              <w:t>184</w:t>
            </w:r>
            <w:r w:rsidR="00292D8F" w:rsidRPr="00D35073">
              <w:rPr>
                <w:webHidden/>
              </w:rPr>
              <w:fldChar w:fldCharType="end"/>
            </w:r>
          </w:hyperlink>
        </w:p>
        <w:p w14:paraId="6D560281" w14:textId="2460228B"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97" w:history="1">
            <w:r w:rsidR="00292D8F" w:rsidRPr="00D35073">
              <w:rPr>
                <w:rStyle w:val="Hyperlink"/>
                <w:rFonts w:ascii="Times New Roman" w:hAnsi="Times New Roman" w:cs="Times New Roman"/>
                <w:i/>
                <w:noProof/>
              </w:rPr>
              <w:t>4.11.1 - Ideal Study Protocol</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_Toc80302297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184</w:t>
            </w:r>
            <w:r w:rsidR="00292D8F" w:rsidRPr="00D35073">
              <w:rPr>
                <w:rFonts w:ascii="Times New Roman" w:hAnsi="Times New Roman" w:cs="Times New Roman"/>
                <w:noProof/>
                <w:webHidden/>
              </w:rPr>
              <w:fldChar w:fldCharType="end"/>
            </w:r>
          </w:hyperlink>
        </w:p>
        <w:p w14:paraId="17AAFB23" w14:textId="6794CB19"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98" w:history="1">
            <w:r w:rsidR="00292D8F" w:rsidRPr="00D35073">
              <w:rPr>
                <w:rStyle w:val="Hyperlink"/>
                <w:rFonts w:ascii="Times New Roman" w:hAnsi="Times New Roman" w:cs="Times New Roman"/>
                <w:i/>
                <w:noProof/>
              </w:rPr>
              <w:t>4.11.2 - STEMI</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_Toc80302298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185</w:t>
            </w:r>
            <w:r w:rsidR="00292D8F" w:rsidRPr="00D35073">
              <w:rPr>
                <w:rFonts w:ascii="Times New Roman" w:hAnsi="Times New Roman" w:cs="Times New Roman"/>
                <w:noProof/>
                <w:webHidden/>
              </w:rPr>
              <w:fldChar w:fldCharType="end"/>
            </w:r>
          </w:hyperlink>
        </w:p>
        <w:p w14:paraId="15713353" w14:textId="317FE775"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299" w:history="1">
            <w:r w:rsidR="00292D8F" w:rsidRPr="00D35073">
              <w:rPr>
                <w:rStyle w:val="Hyperlink"/>
                <w:rFonts w:ascii="Times New Roman" w:hAnsi="Times New Roman" w:cs="Times New Roman"/>
                <w:i/>
                <w:noProof/>
              </w:rPr>
              <w:t>4.11.3 - Chronic Total Occlusion</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_Toc80302299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188</w:t>
            </w:r>
            <w:r w:rsidR="00292D8F" w:rsidRPr="00D35073">
              <w:rPr>
                <w:rFonts w:ascii="Times New Roman" w:hAnsi="Times New Roman" w:cs="Times New Roman"/>
                <w:noProof/>
                <w:webHidden/>
              </w:rPr>
              <w:fldChar w:fldCharType="end"/>
            </w:r>
          </w:hyperlink>
        </w:p>
        <w:p w14:paraId="32CAC72D" w14:textId="10104003" w:rsidR="00292D8F" w:rsidRPr="00D35073" w:rsidRDefault="00F40E8E">
          <w:pPr>
            <w:pStyle w:val="TOC3"/>
            <w:tabs>
              <w:tab w:val="right" w:leader="dot" w:pos="9350"/>
            </w:tabs>
            <w:rPr>
              <w:rFonts w:ascii="Times New Roman" w:eastAsiaTheme="minorEastAsia" w:hAnsi="Times New Roman" w:cs="Times New Roman"/>
              <w:noProof/>
              <w:lang w:eastAsia="en-GB"/>
            </w:rPr>
          </w:pPr>
          <w:hyperlink w:anchor="_Toc80302300" w:history="1">
            <w:r w:rsidR="00292D8F" w:rsidRPr="00D35073">
              <w:rPr>
                <w:rStyle w:val="Hyperlink"/>
                <w:rFonts w:ascii="Times New Roman" w:hAnsi="Times New Roman" w:cs="Times New Roman"/>
                <w:i/>
                <w:noProof/>
              </w:rPr>
              <w:t>4.11.4 - Vessel Mapping</w:t>
            </w:r>
            <w:r w:rsidR="00292D8F" w:rsidRPr="00D35073">
              <w:rPr>
                <w:rFonts w:ascii="Times New Roman" w:hAnsi="Times New Roman" w:cs="Times New Roman"/>
                <w:noProof/>
                <w:webHidden/>
              </w:rPr>
              <w:tab/>
            </w:r>
            <w:r w:rsidR="00292D8F" w:rsidRPr="00D35073">
              <w:rPr>
                <w:rFonts w:ascii="Times New Roman" w:hAnsi="Times New Roman" w:cs="Times New Roman"/>
                <w:noProof/>
                <w:webHidden/>
              </w:rPr>
              <w:fldChar w:fldCharType="begin"/>
            </w:r>
            <w:r w:rsidR="00292D8F" w:rsidRPr="00D35073">
              <w:rPr>
                <w:rFonts w:ascii="Times New Roman" w:hAnsi="Times New Roman" w:cs="Times New Roman"/>
                <w:noProof/>
                <w:webHidden/>
              </w:rPr>
              <w:instrText xml:space="preserve"> PAGEREF _Toc80302300 \h </w:instrText>
            </w:r>
            <w:r w:rsidR="00292D8F" w:rsidRPr="00D35073">
              <w:rPr>
                <w:rFonts w:ascii="Times New Roman" w:hAnsi="Times New Roman" w:cs="Times New Roman"/>
                <w:noProof/>
                <w:webHidden/>
              </w:rPr>
            </w:r>
            <w:r w:rsidR="00292D8F" w:rsidRPr="00D35073">
              <w:rPr>
                <w:rFonts w:ascii="Times New Roman" w:hAnsi="Times New Roman" w:cs="Times New Roman"/>
                <w:noProof/>
                <w:webHidden/>
              </w:rPr>
              <w:fldChar w:fldCharType="separate"/>
            </w:r>
            <w:r w:rsidR="00221ECB">
              <w:rPr>
                <w:rFonts w:ascii="Times New Roman" w:hAnsi="Times New Roman" w:cs="Times New Roman"/>
                <w:noProof/>
                <w:webHidden/>
              </w:rPr>
              <w:t>188</w:t>
            </w:r>
            <w:r w:rsidR="00292D8F" w:rsidRPr="00D35073">
              <w:rPr>
                <w:rFonts w:ascii="Times New Roman" w:hAnsi="Times New Roman" w:cs="Times New Roman"/>
                <w:noProof/>
                <w:webHidden/>
              </w:rPr>
              <w:fldChar w:fldCharType="end"/>
            </w:r>
          </w:hyperlink>
        </w:p>
        <w:p w14:paraId="2847E2E4" w14:textId="584CE8AD" w:rsidR="00292D8F" w:rsidRPr="00D35073" w:rsidRDefault="00F40E8E" w:rsidP="00292D8F">
          <w:pPr>
            <w:pStyle w:val="TOC2"/>
            <w:rPr>
              <w:rFonts w:eastAsiaTheme="minorEastAsia"/>
              <w:lang w:eastAsia="en-GB"/>
            </w:rPr>
          </w:pPr>
          <w:hyperlink w:anchor="_Toc80302301" w:history="1">
            <w:r w:rsidR="00292D8F" w:rsidRPr="00D35073">
              <w:rPr>
                <w:rStyle w:val="Hyperlink"/>
              </w:rPr>
              <w:t>4.12 - Novel Pressure Wires Immune to Hydrostatic Effect</w:t>
            </w:r>
            <w:r w:rsidR="00292D8F" w:rsidRPr="00D35073">
              <w:rPr>
                <w:webHidden/>
              </w:rPr>
              <w:tab/>
            </w:r>
            <w:r w:rsidR="00292D8F" w:rsidRPr="00D35073">
              <w:rPr>
                <w:webHidden/>
              </w:rPr>
              <w:fldChar w:fldCharType="begin"/>
            </w:r>
            <w:r w:rsidR="00292D8F" w:rsidRPr="00D35073">
              <w:rPr>
                <w:webHidden/>
              </w:rPr>
              <w:instrText xml:space="preserve"> PAGEREF _Toc80302301 \h </w:instrText>
            </w:r>
            <w:r w:rsidR="00292D8F" w:rsidRPr="00D35073">
              <w:rPr>
                <w:webHidden/>
              </w:rPr>
            </w:r>
            <w:r w:rsidR="00292D8F" w:rsidRPr="00D35073">
              <w:rPr>
                <w:webHidden/>
              </w:rPr>
              <w:fldChar w:fldCharType="separate"/>
            </w:r>
            <w:r w:rsidR="00221ECB">
              <w:rPr>
                <w:webHidden/>
              </w:rPr>
              <w:t>190</w:t>
            </w:r>
            <w:r w:rsidR="00292D8F" w:rsidRPr="00D35073">
              <w:rPr>
                <w:webHidden/>
              </w:rPr>
              <w:fldChar w:fldCharType="end"/>
            </w:r>
          </w:hyperlink>
        </w:p>
        <w:p w14:paraId="68D7FAA0" w14:textId="259A6AAD" w:rsidR="00292D8F" w:rsidRPr="00D35073" w:rsidRDefault="00F40E8E" w:rsidP="00292D8F">
          <w:pPr>
            <w:pStyle w:val="TOC2"/>
            <w:rPr>
              <w:rFonts w:eastAsiaTheme="minorEastAsia"/>
              <w:lang w:eastAsia="en-GB"/>
            </w:rPr>
          </w:pPr>
          <w:hyperlink w:anchor="_Toc80302302" w:history="1">
            <w:r w:rsidR="00292D8F" w:rsidRPr="00D35073">
              <w:rPr>
                <w:rStyle w:val="Hyperlink"/>
              </w:rPr>
              <w:t>4.13 - Final Thoughts</w:t>
            </w:r>
            <w:r w:rsidR="00292D8F" w:rsidRPr="00D35073">
              <w:rPr>
                <w:webHidden/>
              </w:rPr>
              <w:tab/>
            </w:r>
            <w:r w:rsidR="00292D8F" w:rsidRPr="00D35073">
              <w:rPr>
                <w:webHidden/>
              </w:rPr>
              <w:fldChar w:fldCharType="begin"/>
            </w:r>
            <w:r w:rsidR="00292D8F" w:rsidRPr="00D35073">
              <w:rPr>
                <w:webHidden/>
              </w:rPr>
              <w:instrText xml:space="preserve"> PAGEREF _Toc80302302 \h </w:instrText>
            </w:r>
            <w:r w:rsidR="00292D8F" w:rsidRPr="00D35073">
              <w:rPr>
                <w:webHidden/>
              </w:rPr>
            </w:r>
            <w:r w:rsidR="00292D8F" w:rsidRPr="00D35073">
              <w:rPr>
                <w:webHidden/>
              </w:rPr>
              <w:fldChar w:fldCharType="separate"/>
            </w:r>
            <w:r w:rsidR="00221ECB">
              <w:rPr>
                <w:webHidden/>
              </w:rPr>
              <w:t>191</w:t>
            </w:r>
            <w:r w:rsidR="00292D8F" w:rsidRPr="00D35073">
              <w:rPr>
                <w:webHidden/>
              </w:rPr>
              <w:fldChar w:fldCharType="end"/>
            </w:r>
          </w:hyperlink>
        </w:p>
        <w:p w14:paraId="40B6B600" w14:textId="5CF98657" w:rsidR="00292D8F" w:rsidRPr="00D35073" w:rsidRDefault="00F40E8E">
          <w:pPr>
            <w:pStyle w:val="TOC1"/>
            <w:rPr>
              <w:rFonts w:eastAsiaTheme="minorEastAsia"/>
              <w:lang w:eastAsia="en-GB"/>
            </w:rPr>
          </w:pPr>
          <w:hyperlink w:anchor="_Toc80302303" w:history="1">
            <w:r w:rsidR="00292D8F" w:rsidRPr="00D35073">
              <w:rPr>
                <w:rStyle w:val="Hyperlink"/>
              </w:rPr>
              <w:t>References</w:t>
            </w:r>
            <w:r w:rsidR="00292D8F" w:rsidRPr="00D35073">
              <w:rPr>
                <w:webHidden/>
              </w:rPr>
              <w:tab/>
            </w:r>
            <w:r w:rsidR="00292D8F" w:rsidRPr="00D35073">
              <w:rPr>
                <w:webHidden/>
              </w:rPr>
              <w:fldChar w:fldCharType="begin"/>
            </w:r>
            <w:r w:rsidR="00292D8F" w:rsidRPr="00D35073">
              <w:rPr>
                <w:webHidden/>
              </w:rPr>
              <w:instrText xml:space="preserve"> PAGEREF _Toc80302303 \h </w:instrText>
            </w:r>
            <w:r w:rsidR="00292D8F" w:rsidRPr="00D35073">
              <w:rPr>
                <w:webHidden/>
              </w:rPr>
            </w:r>
            <w:r w:rsidR="00292D8F" w:rsidRPr="00D35073">
              <w:rPr>
                <w:webHidden/>
              </w:rPr>
              <w:fldChar w:fldCharType="separate"/>
            </w:r>
            <w:r w:rsidR="00221ECB">
              <w:rPr>
                <w:webHidden/>
              </w:rPr>
              <w:t>193</w:t>
            </w:r>
            <w:r w:rsidR="00292D8F" w:rsidRPr="00D35073">
              <w:rPr>
                <w:webHidden/>
              </w:rPr>
              <w:fldChar w:fldCharType="end"/>
            </w:r>
          </w:hyperlink>
        </w:p>
        <w:p w14:paraId="3C70EABA" w14:textId="6B91E83E" w:rsidR="00292D8F" w:rsidRPr="00D35073" w:rsidRDefault="00F40E8E">
          <w:pPr>
            <w:pStyle w:val="TOC1"/>
            <w:rPr>
              <w:rFonts w:eastAsiaTheme="minorEastAsia"/>
              <w:lang w:eastAsia="en-GB"/>
            </w:rPr>
          </w:pPr>
          <w:hyperlink w:anchor="_Toc80302304" w:history="1">
            <w:r w:rsidR="00292D8F" w:rsidRPr="00D35073">
              <w:rPr>
                <w:rStyle w:val="Hyperlink"/>
              </w:rPr>
              <w:t>Appendix A - General Introduction to Coronary Artery Disease</w:t>
            </w:r>
            <w:r w:rsidR="00292D8F" w:rsidRPr="00D35073">
              <w:rPr>
                <w:webHidden/>
              </w:rPr>
              <w:tab/>
            </w:r>
            <w:r w:rsidR="00292D8F" w:rsidRPr="00D35073">
              <w:rPr>
                <w:webHidden/>
              </w:rPr>
              <w:fldChar w:fldCharType="begin"/>
            </w:r>
            <w:r w:rsidR="00292D8F" w:rsidRPr="00D35073">
              <w:rPr>
                <w:webHidden/>
              </w:rPr>
              <w:instrText xml:space="preserve"> PAGEREF _Toc80302304 \h </w:instrText>
            </w:r>
            <w:r w:rsidR="00292D8F" w:rsidRPr="00D35073">
              <w:rPr>
                <w:webHidden/>
              </w:rPr>
            </w:r>
            <w:r w:rsidR="00292D8F" w:rsidRPr="00D35073">
              <w:rPr>
                <w:webHidden/>
              </w:rPr>
              <w:fldChar w:fldCharType="separate"/>
            </w:r>
            <w:r w:rsidR="00221ECB">
              <w:rPr>
                <w:webHidden/>
              </w:rPr>
              <w:t>218</w:t>
            </w:r>
            <w:r w:rsidR="00292D8F" w:rsidRPr="00D35073">
              <w:rPr>
                <w:webHidden/>
              </w:rPr>
              <w:fldChar w:fldCharType="end"/>
            </w:r>
          </w:hyperlink>
        </w:p>
        <w:p w14:paraId="52E9BB69" w14:textId="46F39158" w:rsidR="00292D8F" w:rsidRPr="00D35073" w:rsidRDefault="00F40E8E">
          <w:pPr>
            <w:pStyle w:val="TOC1"/>
            <w:rPr>
              <w:rFonts w:eastAsiaTheme="minorEastAsia"/>
              <w:lang w:eastAsia="en-GB"/>
            </w:rPr>
          </w:pPr>
          <w:hyperlink w:anchor="_Toc80302305" w:history="1">
            <w:r w:rsidR="00292D8F" w:rsidRPr="00D35073">
              <w:rPr>
                <w:rStyle w:val="Hyperlink"/>
              </w:rPr>
              <w:t>Appendix B - Risks of Percutaneous Coronary Intervention</w:t>
            </w:r>
            <w:r w:rsidR="00292D8F" w:rsidRPr="00D35073">
              <w:rPr>
                <w:webHidden/>
              </w:rPr>
              <w:tab/>
            </w:r>
            <w:r w:rsidR="00292D8F" w:rsidRPr="00D35073">
              <w:rPr>
                <w:webHidden/>
              </w:rPr>
              <w:fldChar w:fldCharType="begin"/>
            </w:r>
            <w:r w:rsidR="00292D8F" w:rsidRPr="00D35073">
              <w:rPr>
                <w:webHidden/>
              </w:rPr>
              <w:instrText xml:space="preserve"> PAGEREF _Toc80302305 \h </w:instrText>
            </w:r>
            <w:r w:rsidR="00292D8F" w:rsidRPr="00D35073">
              <w:rPr>
                <w:webHidden/>
              </w:rPr>
            </w:r>
            <w:r w:rsidR="00292D8F" w:rsidRPr="00D35073">
              <w:rPr>
                <w:webHidden/>
              </w:rPr>
              <w:fldChar w:fldCharType="separate"/>
            </w:r>
            <w:r w:rsidR="00221ECB">
              <w:rPr>
                <w:webHidden/>
              </w:rPr>
              <w:t>224</w:t>
            </w:r>
            <w:r w:rsidR="00292D8F" w:rsidRPr="00D35073">
              <w:rPr>
                <w:webHidden/>
              </w:rPr>
              <w:fldChar w:fldCharType="end"/>
            </w:r>
          </w:hyperlink>
        </w:p>
        <w:p w14:paraId="6BC77CD0" w14:textId="5A229634" w:rsidR="00292D8F" w:rsidRPr="00D35073" w:rsidRDefault="00F40E8E">
          <w:pPr>
            <w:pStyle w:val="TOC1"/>
            <w:rPr>
              <w:rFonts w:eastAsiaTheme="minorEastAsia"/>
              <w:lang w:eastAsia="en-GB"/>
            </w:rPr>
          </w:pPr>
          <w:hyperlink w:anchor="_Toc80302306" w:history="1">
            <w:r w:rsidR="00292D8F" w:rsidRPr="00D35073">
              <w:rPr>
                <w:rStyle w:val="Hyperlink"/>
              </w:rPr>
              <w:t>Appendix C - Standard Angiography and Laboratory Set-up</w:t>
            </w:r>
            <w:r w:rsidR="00292D8F" w:rsidRPr="00D35073">
              <w:rPr>
                <w:webHidden/>
              </w:rPr>
              <w:tab/>
            </w:r>
            <w:r w:rsidR="00292D8F" w:rsidRPr="00D35073">
              <w:rPr>
                <w:webHidden/>
              </w:rPr>
              <w:fldChar w:fldCharType="begin"/>
            </w:r>
            <w:r w:rsidR="00292D8F" w:rsidRPr="00D35073">
              <w:rPr>
                <w:webHidden/>
              </w:rPr>
              <w:instrText xml:space="preserve"> PAGEREF _Toc80302306 \h </w:instrText>
            </w:r>
            <w:r w:rsidR="00292D8F" w:rsidRPr="00D35073">
              <w:rPr>
                <w:webHidden/>
              </w:rPr>
            </w:r>
            <w:r w:rsidR="00292D8F" w:rsidRPr="00D35073">
              <w:rPr>
                <w:webHidden/>
              </w:rPr>
              <w:fldChar w:fldCharType="separate"/>
            </w:r>
            <w:r w:rsidR="00221ECB">
              <w:rPr>
                <w:webHidden/>
              </w:rPr>
              <w:t>228</w:t>
            </w:r>
            <w:r w:rsidR="00292D8F" w:rsidRPr="00D35073">
              <w:rPr>
                <w:webHidden/>
              </w:rPr>
              <w:fldChar w:fldCharType="end"/>
            </w:r>
          </w:hyperlink>
        </w:p>
        <w:p w14:paraId="5F0C3750" w14:textId="74C00737" w:rsidR="00292D8F" w:rsidRPr="00D35073" w:rsidRDefault="00F40E8E">
          <w:pPr>
            <w:pStyle w:val="TOC1"/>
            <w:rPr>
              <w:rFonts w:eastAsiaTheme="minorEastAsia"/>
              <w:lang w:eastAsia="en-GB"/>
            </w:rPr>
          </w:pPr>
          <w:hyperlink w:anchor="_Toc80302307" w:history="1">
            <w:r w:rsidR="00292D8F" w:rsidRPr="00D35073">
              <w:rPr>
                <w:rStyle w:val="Hyperlink"/>
              </w:rPr>
              <w:t>Appendix D - Turning Checklist and Description</w:t>
            </w:r>
            <w:r w:rsidR="00292D8F" w:rsidRPr="00D35073">
              <w:rPr>
                <w:webHidden/>
              </w:rPr>
              <w:tab/>
            </w:r>
            <w:r w:rsidR="00292D8F" w:rsidRPr="00D35073">
              <w:rPr>
                <w:webHidden/>
              </w:rPr>
              <w:fldChar w:fldCharType="begin"/>
            </w:r>
            <w:r w:rsidR="00292D8F" w:rsidRPr="00D35073">
              <w:rPr>
                <w:webHidden/>
              </w:rPr>
              <w:instrText xml:space="preserve"> PAGEREF _Toc80302307 \h </w:instrText>
            </w:r>
            <w:r w:rsidR="00292D8F" w:rsidRPr="00D35073">
              <w:rPr>
                <w:webHidden/>
              </w:rPr>
            </w:r>
            <w:r w:rsidR="00292D8F" w:rsidRPr="00D35073">
              <w:rPr>
                <w:webHidden/>
              </w:rPr>
              <w:fldChar w:fldCharType="separate"/>
            </w:r>
            <w:r w:rsidR="00221ECB">
              <w:rPr>
                <w:webHidden/>
              </w:rPr>
              <w:t>231</w:t>
            </w:r>
            <w:r w:rsidR="00292D8F" w:rsidRPr="00D35073">
              <w:rPr>
                <w:webHidden/>
              </w:rPr>
              <w:fldChar w:fldCharType="end"/>
            </w:r>
          </w:hyperlink>
        </w:p>
        <w:p w14:paraId="72B2ECB9" w14:textId="62B33039" w:rsidR="00292D8F" w:rsidRPr="00D35073" w:rsidRDefault="00F40E8E">
          <w:pPr>
            <w:pStyle w:val="TOC1"/>
            <w:rPr>
              <w:rFonts w:eastAsiaTheme="minorEastAsia"/>
              <w:lang w:eastAsia="en-GB"/>
            </w:rPr>
          </w:pPr>
          <w:hyperlink w:anchor="_Toc80302308" w:history="1">
            <w:r w:rsidR="00292D8F" w:rsidRPr="00D35073">
              <w:rPr>
                <w:rStyle w:val="Hyperlink"/>
              </w:rPr>
              <w:t>Appendix E - Image Acquisition During Angiography</w:t>
            </w:r>
            <w:r w:rsidR="00292D8F" w:rsidRPr="00D35073">
              <w:rPr>
                <w:webHidden/>
              </w:rPr>
              <w:tab/>
            </w:r>
            <w:r w:rsidR="00292D8F" w:rsidRPr="00D35073">
              <w:rPr>
                <w:webHidden/>
              </w:rPr>
              <w:fldChar w:fldCharType="begin"/>
            </w:r>
            <w:r w:rsidR="00292D8F" w:rsidRPr="00D35073">
              <w:rPr>
                <w:webHidden/>
              </w:rPr>
              <w:instrText xml:space="preserve"> PAGEREF _Toc80302308 \h </w:instrText>
            </w:r>
            <w:r w:rsidR="00292D8F" w:rsidRPr="00D35073">
              <w:rPr>
                <w:webHidden/>
              </w:rPr>
            </w:r>
            <w:r w:rsidR="00292D8F" w:rsidRPr="00D35073">
              <w:rPr>
                <w:webHidden/>
              </w:rPr>
              <w:fldChar w:fldCharType="separate"/>
            </w:r>
            <w:r w:rsidR="00221ECB">
              <w:rPr>
                <w:webHidden/>
              </w:rPr>
              <w:t>234</w:t>
            </w:r>
            <w:r w:rsidR="00292D8F" w:rsidRPr="00D35073">
              <w:rPr>
                <w:webHidden/>
              </w:rPr>
              <w:fldChar w:fldCharType="end"/>
            </w:r>
          </w:hyperlink>
        </w:p>
        <w:p w14:paraId="55306E4A" w14:textId="169B6EC9" w:rsidR="00292D8F" w:rsidRPr="00D35073" w:rsidRDefault="00F40E8E">
          <w:pPr>
            <w:pStyle w:val="TOC1"/>
            <w:rPr>
              <w:rFonts w:eastAsiaTheme="minorEastAsia"/>
              <w:lang w:eastAsia="en-GB"/>
            </w:rPr>
          </w:pPr>
          <w:hyperlink w:anchor="_Toc80302309" w:history="1">
            <w:r w:rsidR="00292D8F" w:rsidRPr="00D35073">
              <w:rPr>
                <w:rStyle w:val="Hyperlink"/>
              </w:rPr>
              <w:t>Appendix F - Published CT Coronary Paper (Original Manuscript)</w:t>
            </w:r>
            <w:r w:rsidR="00292D8F" w:rsidRPr="00D35073">
              <w:rPr>
                <w:webHidden/>
              </w:rPr>
              <w:tab/>
            </w:r>
            <w:r w:rsidR="00292D8F" w:rsidRPr="00D35073">
              <w:rPr>
                <w:webHidden/>
              </w:rPr>
              <w:fldChar w:fldCharType="begin"/>
            </w:r>
            <w:r w:rsidR="00292D8F" w:rsidRPr="00D35073">
              <w:rPr>
                <w:webHidden/>
              </w:rPr>
              <w:instrText xml:space="preserve"> PAGEREF _Toc80302309 \h </w:instrText>
            </w:r>
            <w:r w:rsidR="00292D8F" w:rsidRPr="00D35073">
              <w:rPr>
                <w:webHidden/>
              </w:rPr>
            </w:r>
            <w:r w:rsidR="00292D8F" w:rsidRPr="00D35073">
              <w:rPr>
                <w:webHidden/>
              </w:rPr>
              <w:fldChar w:fldCharType="separate"/>
            </w:r>
            <w:r w:rsidR="00221ECB">
              <w:rPr>
                <w:webHidden/>
              </w:rPr>
              <w:t>235</w:t>
            </w:r>
            <w:r w:rsidR="00292D8F" w:rsidRPr="00D35073">
              <w:rPr>
                <w:webHidden/>
              </w:rPr>
              <w:fldChar w:fldCharType="end"/>
            </w:r>
          </w:hyperlink>
        </w:p>
        <w:p w14:paraId="24095D32" w14:textId="29B547BE" w:rsidR="00E850A8" w:rsidRPr="00D35073" w:rsidRDefault="00106A32" w:rsidP="00D35073">
          <w:pPr>
            <w:rPr>
              <w:rFonts w:ascii="Times New Roman" w:hAnsi="Times New Roman" w:cs="Times New Roman"/>
              <w:sz w:val="24"/>
              <w:szCs w:val="24"/>
            </w:rPr>
          </w:pPr>
          <w:r w:rsidRPr="00D35073">
            <w:rPr>
              <w:rFonts w:ascii="Times New Roman" w:hAnsi="Times New Roman" w:cs="Times New Roman"/>
            </w:rPr>
            <w:fldChar w:fldCharType="end"/>
          </w:r>
          <w:r w:rsidR="00B01EFD">
            <w:rPr>
              <w:rFonts w:ascii="Times New Roman" w:hAnsi="Times New Roman" w:cs="Times New Roman"/>
              <w:sz w:val="24"/>
              <w:szCs w:val="24"/>
            </w:rPr>
            <w:t xml:space="preserve"> </w:t>
          </w:r>
        </w:p>
      </w:sdtContent>
    </w:sdt>
    <w:p w14:paraId="1435F99B" w14:textId="77777777" w:rsidR="002B1641" w:rsidRDefault="002B1641">
      <w:pPr>
        <w:rPr>
          <w:rFonts w:ascii="Times New Roman" w:hAnsi="Times New Roman" w:cs="Times New Roman"/>
          <w:bCs/>
          <w:sz w:val="24"/>
          <w:szCs w:val="24"/>
        </w:rPr>
      </w:pPr>
      <w:bookmarkStart w:id="2" w:name="_Toc80302150"/>
      <w:r>
        <w:rPr>
          <w:rFonts w:ascii="Times New Roman" w:hAnsi="Times New Roman" w:cs="Times New Roman"/>
          <w:bCs/>
          <w:sz w:val="24"/>
          <w:szCs w:val="24"/>
        </w:rPr>
        <w:br w:type="page"/>
      </w:r>
    </w:p>
    <w:p w14:paraId="145DEF89" w14:textId="721B165E" w:rsidR="00E43066" w:rsidRPr="002B1641" w:rsidRDefault="00E43066" w:rsidP="00E43066">
      <w:pPr>
        <w:pStyle w:val="TableofFigures"/>
        <w:tabs>
          <w:tab w:val="right" w:leader="dot" w:pos="9350"/>
        </w:tabs>
        <w:outlineLvl w:val="0"/>
        <w:rPr>
          <w:rFonts w:ascii="Times New Roman" w:hAnsi="Times New Roman" w:cs="Times New Roman"/>
          <w:b/>
          <w:sz w:val="24"/>
          <w:szCs w:val="24"/>
        </w:rPr>
      </w:pPr>
      <w:r w:rsidRPr="002B1641">
        <w:rPr>
          <w:rFonts w:ascii="Times New Roman" w:hAnsi="Times New Roman" w:cs="Times New Roman"/>
          <w:b/>
          <w:sz w:val="24"/>
          <w:szCs w:val="24"/>
        </w:rPr>
        <w:lastRenderedPageBreak/>
        <w:t>List of Figures</w:t>
      </w:r>
      <w:bookmarkEnd w:id="2"/>
    </w:p>
    <w:p w14:paraId="72BB21E0" w14:textId="77777777" w:rsidR="002E1054" w:rsidRPr="00E23897" w:rsidRDefault="002E1054" w:rsidP="00E43066">
      <w:pPr>
        <w:rPr>
          <w:rFonts w:ascii="Times New Roman" w:hAnsi="Times New Roman" w:cs="Times New Roman"/>
          <w:sz w:val="24"/>
          <w:szCs w:val="24"/>
        </w:rPr>
      </w:pPr>
    </w:p>
    <w:p w14:paraId="100F76AE" w14:textId="6AE3B239" w:rsidR="001728A2" w:rsidRPr="00E23897" w:rsidRDefault="00106A32" w:rsidP="001728A2">
      <w:pPr>
        <w:pStyle w:val="TableofFigures"/>
        <w:tabs>
          <w:tab w:val="right" w:leader="dot" w:pos="9350"/>
        </w:tabs>
        <w:rPr>
          <w:rFonts w:ascii="Times New Roman" w:hAnsi="Times New Roman" w:cs="Times New Roman"/>
          <w:noProof/>
          <w:color w:val="0000FF"/>
          <w:sz w:val="24"/>
          <w:szCs w:val="24"/>
          <w:u w:val="single"/>
        </w:rPr>
      </w:pPr>
      <w:r w:rsidRPr="00E23897">
        <w:rPr>
          <w:rFonts w:ascii="Times New Roman" w:hAnsi="Times New Roman" w:cs="Times New Roman"/>
          <w:sz w:val="24"/>
          <w:szCs w:val="24"/>
        </w:rPr>
        <w:fldChar w:fldCharType="begin"/>
      </w:r>
      <w:r w:rsidR="000B3BC7" w:rsidRPr="00E23897">
        <w:rPr>
          <w:rFonts w:ascii="Times New Roman" w:hAnsi="Times New Roman" w:cs="Times New Roman"/>
          <w:sz w:val="24"/>
          <w:szCs w:val="24"/>
        </w:rPr>
        <w:instrText xml:space="preserve"> TOC \h \z \c "Figure" </w:instrText>
      </w:r>
      <w:r w:rsidRPr="00E23897">
        <w:rPr>
          <w:rFonts w:ascii="Times New Roman" w:hAnsi="Times New Roman" w:cs="Times New Roman"/>
          <w:sz w:val="24"/>
          <w:szCs w:val="24"/>
        </w:rPr>
        <w:fldChar w:fldCharType="separate"/>
      </w:r>
      <w:hyperlink w:anchor="_Toc44684890" w:history="1">
        <w:r w:rsidR="00F876DD" w:rsidRPr="00E23897">
          <w:rPr>
            <w:rStyle w:val="Hyperlink"/>
            <w:rFonts w:ascii="Times New Roman" w:hAnsi="Times New Roman" w:cs="Times New Roman"/>
            <w:i/>
            <w:noProof/>
            <w:sz w:val="24"/>
            <w:szCs w:val="24"/>
          </w:rPr>
          <w:t>Figure 1 - STEMI ECG</w:t>
        </w:r>
        <w:r w:rsidR="00F876DD" w:rsidRPr="00E23897">
          <w:rPr>
            <w:rFonts w:ascii="Times New Roman" w:hAnsi="Times New Roman" w:cs="Times New Roman"/>
            <w:noProof/>
            <w:webHidden/>
            <w:sz w:val="24"/>
            <w:szCs w:val="24"/>
          </w:rPr>
          <w:tab/>
        </w:r>
        <w:r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_Toc44684890 \h </w:instrText>
        </w:r>
        <w:r w:rsidRPr="00E23897">
          <w:rPr>
            <w:rFonts w:ascii="Times New Roman" w:hAnsi="Times New Roman" w:cs="Times New Roman"/>
            <w:noProof/>
            <w:webHidden/>
            <w:sz w:val="24"/>
            <w:szCs w:val="24"/>
          </w:rPr>
        </w:r>
        <w:r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w:t>
        </w:r>
        <w:r w:rsidRPr="00E23897">
          <w:rPr>
            <w:rFonts w:ascii="Times New Roman" w:hAnsi="Times New Roman" w:cs="Times New Roman"/>
            <w:noProof/>
            <w:webHidden/>
            <w:sz w:val="24"/>
            <w:szCs w:val="24"/>
          </w:rPr>
          <w:fldChar w:fldCharType="end"/>
        </w:r>
      </w:hyperlink>
      <w:r w:rsidR="002E1054">
        <w:rPr>
          <w:noProof/>
        </w:rPr>
        <w:br/>
      </w:r>
    </w:p>
    <w:p w14:paraId="3C489EB1" w14:textId="11622CE9" w:rsidR="001728A2" w:rsidRPr="00E23897" w:rsidRDefault="00F40E8E" w:rsidP="001728A2">
      <w:pPr>
        <w:pStyle w:val="TableofFigures"/>
        <w:tabs>
          <w:tab w:val="right" w:leader="dot" w:pos="9350"/>
        </w:tabs>
        <w:rPr>
          <w:rFonts w:ascii="Times New Roman" w:hAnsi="Times New Roman" w:cs="Times New Roman"/>
          <w:noProof/>
          <w:color w:val="0000FF"/>
          <w:sz w:val="24"/>
          <w:szCs w:val="24"/>
          <w:u w:val="single"/>
        </w:rPr>
      </w:pPr>
      <w:hyperlink w:anchor="_Toc44684891" w:history="1">
        <w:r w:rsidR="00F876DD" w:rsidRPr="00E23897">
          <w:rPr>
            <w:rStyle w:val="Hyperlink"/>
            <w:rFonts w:ascii="Times New Roman" w:hAnsi="Times New Roman" w:cs="Times New Roman"/>
            <w:i/>
            <w:noProof/>
            <w:sz w:val="24"/>
            <w:szCs w:val="24"/>
          </w:rPr>
          <w:t>Figure 2 - Cardiac Biomarkers</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14</w:t>
        </w:r>
        <w:r w:rsidR="00106A32" w:rsidRPr="00E23897">
          <w:rPr>
            <w:rFonts w:ascii="Times New Roman" w:hAnsi="Times New Roman" w:cs="Times New Roman"/>
            <w:noProof/>
            <w:webHidden/>
            <w:sz w:val="24"/>
            <w:szCs w:val="24"/>
          </w:rPr>
          <w:fldChar w:fldCharType="end"/>
        </w:r>
      </w:hyperlink>
      <w:r w:rsidR="002E1054">
        <w:rPr>
          <w:noProof/>
        </w:rPr>
        <w:br/>
      </w:r>
    </w:p>
    <w:p w14:paraId="48FCCFF5" w14:textId="021492EF" w:rsidR="001728A2" w:rsidRPr="00E23897" w:rsidRDefault="00F40E8E" w:rsidP="001728A2">
      <w:pPr>
        <w:pStyle w:val="TableofFigures"/>
        <w:tabs>
          <w:tab w:val="right" w:leader="dot" w:pos="9350"/>
        </w:tabs>
        <w:rPr>
          <w:rFonts w:ascii="Times New Roman" w:hAnsi="Times New Roman" w:cs="Times New Roman"/>
          <w:noProof/>
          <w:color w:val="0000FF"/>
          <w:sz w:val="24"/>
          <w:szCs w:val="24"/>
          <w:u w:val="single"/>
        </w:rPr>
      </w:pPr>
      <w:hyperlink w:anchor="_Toc44684892" w:history="1">
        <w:r w:rsidR="00F876DD" w:rsidRPr="00E23897">
          <w:rPr>
            <w:rStyle w:val="Hyperlink"/>
            <w:rFonts w:ascii="Times New Roman" w:hAnsi="Times New Roman" w:cs="Times New Roman"/>
            <w:i/>
            <w:noProof/>
            <w:sz w:val="24"/>
            <w:szCs w:val="24"/>
          </w:rPr>
          <w:t>Figure 3 -</w:t>
        </w:r>
        <w:r w:rsidR="001728A2" w:rsidRPr="00E23897">
          <w:rPr>
            <w:rStyle w:val="Hyperlink"/>
            <w:rFonts w:ascii="Times New Roman" w:hAnsi="Times New Roman" w:cs="Times New Roman"/>
            <w:i/>
            <w:noProof/>
            <w:sz w:val="24"/>
            <w:szCs w:val="24"/>
          </w:rPr>
          <w:t xml:space="preserve"> First Invasive Coronary Catheter</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18</w:t>
        </w:r>
        <w:r w:rsidR="00106A32" w:rsidRPr="00E23897">
          <w:rPr>
            <w:rFonts w:ascii="Times New Roman" w:hAnsi="Times New Roman" w:cs="Times New Roman"/>
            <w:noProof/>
            <w:webHidden/>
            <w:sz w:val="24"/>
            <w:szCs w:val="24"/>
          </w:rPr>
          <w:fldChar w:fldCharType="end"/>
        </w:r>
      </w:hyperlink>
      <w:r w:rsidR="002E1054">
        <w:rPr>
          <w:noProof/>
        </w:rPr>
        <w:br/>
      </w:r>
    </w:p>
    <w:p w14:paraId="25C2B3CF" w14:textId="702D1809" w:rsidR="001728A2" w:rsidRPr="00E23897" w:rsidRDefault="00F40E8E" w:rsidP="001728A2">
      <w:pPr>
        <w:pStyle w:val="TableofFigures"/>
        <w:tabs>
          <w:tab w:val="right" w:leader="dot" w:pos="9350"/>
        </w:tabs>
        <w:rPr>
          <w:rFonts w:ascii="Times New Roman" w:hAnsi="Times New Roman" w:cs="Times New Roman"/>
          <w:noProof/>
          <w:color w:val="0000FF"/>
          <w:sz w:val="24"/>
          <w:szCs w:val="24"/>
          <w:u w:val="single"/>
        </w:rPr>
      </w:pPr>
      <w:hyperlink w:anchor="_Toc44684893" w:history="1">
        <w:r w:rsidR="00F876DD" w:rsidRPr="00E23897">
          <w:rPr>
            <w:rStyle w:val="Hyperlink"/>
            <w:rFonts w:ascii="Times New Roman" w:hAnsi="Times New Roman" w:cs="Times New Roman"/>
            <w:i/>
            <w:noProof/>
            <w:sz w:val="24"/>
            <w:szCs w:val="24"/>
          </w:rPr>
          <w:t xml:space="preserve">Figure 4 - </w:t>
        </w:r>
        <w:r w:rsidR="001728A2" w:rsidRPr="00E23897">
          <w:rPr>
            <w:rStyle w:val="Hyperlink"/>
            <w:rFonts w:ascii="Times New Roman" w:hAnsi="Times New Roman" w:cs="Times New Roman"/>
            <w:i/>
            <w:noProof/>
            <w:sz w:val="24"/>
            <w:szCs w:val="24"/>
          </w:rPr>
          <w:t>Coronary Anatomy</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19</w:t>
        </w:r>
        <w:r w:rsidR="00106A32" w:rsidRPr="00E23897">
          <w:rPr>
            <w:rFonts w:ascii="Times New Roman" w:hAnsi="Times New Roman" w:cs="Times New Roman"/>
            <w:noProof/>
            <w:webHidden/>
            <w:sz w:val="24"/>
            <w:szCs w:val="24"/>
          </w:rPr>
          <w:fldChar w:fldCharType="end"/>
        </w:r>
      </w:hyperlink>
      <w:r w:rsidR="002E1054">
        <w:rPr>
          <w:noProof/>
        </w:rPr>
        <w:br/>
      </w:r>
    </w:p>
    <w:p w14:paraId="3978E2D1" w14:textId="00379808" w:rsidR="001728A2" w:rsidRPr="00E23897" w:rsidRDefault="00F40E8E" w:rsidP="001728A2">
      <w:pPr>
        <w:pStyle w:val="TableofFigures"/>
        <w:tabs>
          <w:tab w:val="right" w:leader="dot" w:pos="9350"/>
        </w:tabs>
        <w:rPr>
          <w:rFonts w:ascii="Times New Roman" w:hAnsi="Times New Roman" w:cs="Times New Roman"/>
          <w:noProof/>
          <w:color w:val="0000FF"/>
          <w:sz w:val="24"/>
          <w:szCs w:val="24"/>
          <w:u w:val="single"/>
        </w:rPr>
      </w:pPr>
      <w:hyperlink w:anchor="_Toc44684894" w:history="1">
        <w:r w:rsidR="001728A2" w:rsidRPr="00E23897">
          <w:rPr>
            <w:rStyle w:val="Hyperlink"/>
            <w:rFonts w:ascii="Times New Roman" w:hAnsi="Times New Roman" w:cs="Times New Roman"/>
            <w:i/>
            <w:noProof/>
            <w:sz w:val="24"/>
            <w:szCs w:val="24"/>
          </w:rPr>
          <w:t>Figure 5 - Right Coronary Angiogram</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21</w:t>
        </w:r>
        <w:r w:rsidR="00106A32" w:rsidRPr="00E23897">
          <w:rPr>
            <w:rFonts w:ascii="Times New Roman" w:hAnsi="Times New Roman" w:cs="Times New Roman"/>
            <w:noProof/>
            <w:webHidden/>
            <w:sz w:val="24"/>
            <w:szCs w:val="24"/>
          </w:rPr>
          <w:fldChar w:fldCharType="end"/>
        </w:r>
      </w:hyperlink>
      <w:r w:rsidR="002E1054">
        <w:rPr>
          <w:noProof/>
        </w:rPr>
        <w:br/>
      </w:r>
    </w:p>
    <w:p w14:paraId="6DA244DD" w14:textId="7D935292" w:rsidR="001728A2" w:rsidRPr="00E23897" w:rsidRDefault="00F40E8E" w:rsidP="001728A2">
      <w:pPr>
        <w:pStyle w:val="TableofFigures"/>
        <w:tabs>
          <w:tab w:val="right" w:leader="dot" w:pos="9350"/>
        </w:tabs>
        <w:rPr>
          <w:rFonts w:ascii="Times New Roman" w:hAnsi="Times New Roman" w:cs="Times New Roman"/>
          <w:noProof/>
          <w:color w:val="0000FF"/>
          <w:sz w:val="24"/>
          <w:szCs w:val="24"/>
          <w:u w:val="single"/>
        </w:rPr>
      </w:pPr>
      <w:hyperlink w:anchor="_Toc44684895" w:history="1">
        <w:r w:rsidR="00F876DD" w:rsidRPr="00E23897">
          <w:rPr>
            <w:rStyle w:val="Hyperlink"/>
            <w:rFonts w:ascii="Times New Roman" w:hAnsi="Times New Roman" w:cs="Times New Roman"/>
            <w:i/>
            <w:noProof/>
            <w:sz w:val="24"/>
            <w:szCs w:val="24"/>
          </w:rPr>
          <w:t xml:space="preserve">Figure 6 - </w:t>
        </w:r>
        <w:r w:rsidR="001728A2" w:rsidRPr="00E23897">
          <w:rPr>
            <w:rStyle w:val="Hyperlink"/>
            <w:rFonts w:ascii="Times New Roman" w:hAnsi="Times New Roman" w:cs="Times New Roman"/>
            <w:i/>
            <w:noProof/>
            <w:sz w:val="24"/>
            <w:szCs w:val="24"/>
          </w:rPr>
          <w:t>Pd/Pa</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_Toc44684895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29</w:t>
        </w:r>
        <w:r w:rsidR="00106A32" w:rsidRPr="00E23897">
          <w:rPr>
            <w:rFonts w:ascii="Times New Roman" w:hAnsi="Times New Roman" w:cs="Times New Roman"/>
            <w:noProof/>
            <w:webHidden/>
            <w:sz w:val="24"/>
            <w:szCs w:val="24"/>
          </w:rPr>
          <w:fldChar w:fldCharType="end"/>
        </w:r>
      </w:hyperlink>
      <w:r w:rsidR="002E1054">
        <w:rPr>
          <w:noProof/>
        </w:rPr>
        <w:br/>
      </w:r>
    </w:p>
    <w:p w14:paraId="0538C36E" w14:textId="36144C62"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896" w:history="1">
        <w:r w:rsidR="00F876DD" w:rsidRPr="00E23897">
          <w:rPr>
            <w:rStyle w:val="Hyperlink"/>
            <w:rFonts w:ascii="Times New Roman" w:hAnsi="Times New Roman" w:cs="Times New Roman"/>
            <w:i/>
            <w:noProof/>
            <w:sz w:val="24"/>
            <w:szCs w:val="24"/>
          </w:rPr>
          <w:t>Figure 7 - Ohm's law..</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_Toc44684896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31</w:t>
        </w:r>
        <w:r w:rsidR="00106A32" w:rsidRPr="00E23897">
          <w:rPr>
            <w:rFonts w:ascii="Times New Roman" w:hAnsi="Times New Roman" w:cs="Times New Roman"/>
            <w:noProof/>
            <w:webHidden/>
            <w:sz w:val="24"/>
            <w:szCs w:val="24"/>
          </w:rPr>
          <w:fldChar w:fldCharType="end"/>
        </w:r>
      </w:hyperlink>
      <w:r w:rsidR="002E1054">
        <w:rPr>
          <w:noProof/>
        </w:rPr>
        <w:br/>
      </w:r>
    </w:p>
    <w:p w14:paraId="6DAE1139" w14:textId="1A3BDFAE"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897" w:history="1">
        <w:r w:rsidR="00F876DD" w:rsidRPr="00E23897">
          <w:rPr>
            <w:rStyle w:val="Hyperlink"/>
            <w:rFonts w:ascii="Times New Roman" w:hAnsi="Times New Roman" w:cs="Times New Roman"/>
            <w:i/>
            <w:noProof/>
            <w:sz w:val="24"/>
            <w:szCs w:val="24"/>
          </w:rPr>
          <w:t>Figure 8 - Ohm's law, applied to the cardiovascular system</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_Toc44684897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31</w:t>
        </w:r>
        <w:r w:rsidR="00106A32" w:rsidRPr="00E23897">
          <w:rPr>
            <w:rFonts w:ascii="Times New Roman" w:hAnsi="Times New Roman" w:cs="Times New Roman"/>
            <w:noProof/>
            <w:webHidden/>
            <w:sz w:val="24"/>
            <w:szCs w:val="24"/>
          </w:rPr>
          <w:fldChar w:fldCharType="end"/>
        </w:r>
      </w:hyperlink>
      <w:r w:rsidR="002E1054">
        <w:rPr>
          <w:noProof/>
        </w:rPr>
        <w:br/>
      </w:r>
    </w:p>
    <w:p w14:paraId="49D7B5BC" w14:textId="38805B7E"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898" w:history="1">
        <w:r w:rsidR="00F876DD" w:rsidRPr="00E23897">
          <w:rPr>
            <w:rStyle w:val="Hyperlink"/>
            <w:rFonts w:ascii="Times New Roman" w:hAnsi="Times New Roman" w:cs="Times New Roman"/>
            <w:i/>
            <w:noProof/>
            <w:sz w:val="24"/>
            <w:szCs w:val="24"/>
          </w:rPr>
          <w:t>Figure 9 -</w:t>
        </w:r>
        <w:r w:rsidR="001728A2" w:rsidRPr="00E23897">
          <w:rPr>
            <w:rStyle w:val="Hyperlink"/>
            <w:rFonts w:ascii="Times New Roman" w:hAnsi="Times New Roman" w:cs="Times New Roman"/>
            <w:i/>
            <w:noProof/>
            <w:sz w:val="24"/>
            <w:szCs w:val="24"/>
          </w:rPr>
          <w:t xml:space="preserve"> Pressure and Flow</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_Toc44684898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32</w:t>
        </w:r>
        <w:r w:rsidR="00106A32" w:rsidRPr="00E23897">
          <w:rPr>
            <w:rFonts w:ascii="Times New Roman" w:hAnsi="Times New Roman" w:cs="Times New Roman"/>
            <w:noProof/>
            <w:webHidden/>
            <w:sz w:val="24"/>
            <w:szCs w:val="24"/>
          </w:rPr>
          <w:fldChar w:fldCharType="end"/>
        </w:r>
      </w:hyperlink>
      <w:r w:rsidR="002E1054">
        <w:rPr>
          <w:noProof/>
        </w:rPr>
        <w:br/>
      </w:r>
    </w:p>
    <w:p w14:paraId="7363DB37" w14:textId="7EE56F34"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899" w:history="1">
        <w:r w:rsidR="00F876DD" w:rsidRPr="00E23897">
          <w:rPr>
            <w:rStyle w:val="Hyperlink"/>
            <w:rFonts w:ascii="Times New Roman" w:hAnsi="Times New Roman" w:cs="Times New Roman"/>
            <w:i/>
            <w:noProof/>
            <w:sz w:val="24"/>
            <w:szCs w:val="24"/>
          </w:rPr>
          <w:t xml:space="preserve">Figure 10 - </w:t>
        </w:r>
        <w:r w:rsidR="001728A2" w:rsidRPr="00E23897">
          <w:rPr>
            <w:rStyle w:val="Hyperlink"/>
            <w:rFonts w:ascii="Times New Roman" w:hAnsi="Times New Roman" w:cs="Times New Roman"/>
            <w:i/>
            <w:noProof/>
            <w:sz w:val="24"/>
            <w:szCs w:val="24"/>
          </w:rPr>
          <w:t>FFR Myo</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_Toc44684899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33</w:t>
        </w:r>
        <w:r w:rsidR="00106A32" w:rsidRPr="00E23897">
          <w:rPr>
            <w:rFonts w:ascii="Times New Roman" w:hAnsi="Times New Roman" w:cs="Times New Roman"/>
            <w:noProof/>
            <w:webHidden/>
            <w:sz w:val="24"/>
            <w:szCs w:val="24"/>
          </w:rPr>
          <w:fldChar w:fldCharType="end"/>
        </w:r>
      </w:hyperlink>
      <w:r w:rsidR="002E1054">
        <w:rPr>
          <w:noProof/>
        </w:rPr>
        <w:br/>
      </w:r>
    </w:p>
    <w:p w14:paraId="58DDB8BA" w14:textId="6D143CFB"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0" w:history="1">
        <w:r w:rsidR="00F876DD" w:rsidRPr="00E23897">
          <w:rPr>
            <w:rStyle w:val="Hyperlink"/>
            <w:rFonts w:ascii="Times New Roman" w:hAnsi="Times New Roman" w:cs="Times New Roman"/>
            <w:i/>
            <w:noProof/>
            <w:sz w:val="24"/>
            <w:szCs w:val="24"/>
          </w:rPr>
          <w:t>Figure 11 -</w:t>
        </w:r>
        <w:r w:rsidR="001728A2" w:rsidRPr="00E23897">
          <w:rPr>
            <w:rStyle w:val="Hyperlink"/>
            <w:rFonts w:ascii="Times New Roman" w:hAnsi="Times New Roman" w:cs="Times New Roman"/>
            <w:i/>
            <w:noProof/>
            <w:sz w:val="24"/>
            <w:szCs w:val="24"/>
          </w:rPr>
          <w:t>FFR Cor</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_Toc44684900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34</w:t>
        </w:r>
        <w:r w:rsidR="00106A32" w:rsidRPr="00E23897">
          <w:rPr>
            <w:rFonts w:ascii="Times New Roman" w:hAnsi="Times New Roman" w:cs="Times New Roman"/>
            <w:noProof/>
            <w:webHidden/>
            <w:sz w:val="24"/>
            <w:szCs w:val="24"/>
          </w:rPr>
          <w:fldChar w:fldCharType="end"/>
        </w:r>
      </w:hyperlink>
      <w:r w:rsidR="002E1054">
        <w:rPr>
          <w:noProof/>
        </w:rPr>
        <w:br/>
      </w:r>
    </w:p>
    <w:p w14:paraId="4D049934" w14:textId="62A8D9C1"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1" w:history="1">
        <w:r w:rsidR="00F876DD" w:rsidRPr="00E23897">
          <w:rPr>
            <w:rStyle w:val="Hyperlink"/>
            <w:rFonts w:ascii="Times New Roman" w:hAnsi="Times New Roman" w:cs="Times New Roman"/>
            <w:i/>
            <w:noProof/>
            <w:sz w:val="24"/>
            <w:szCs w:val="24"/>
          </w:rPr>
          <w:t>Figure 12 - The Wave Free Period</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41</w:t>
        </w:r>
        <w:r w:rsidR="00106A32" w:rsidRPr="00E23897">
          <w:rPr>
            <w:rFonts w:ascii="Times New Roman" w:hAnsi="Times New Roman" w:cs="Times New Roman"/>
            <w:noProof/>
            <w:webHidden/>
            <w:sz w:val="24"/>
            <w:szCs w:val="24"/>
          </w:rPr>
          <w:fldChar w:fldCharType="end"/>
        </w:r>
      </w:hyperlink>
      <w:r w:rsidR="002E1054">
        <w:rPr>
          <w:noProof/>
        </w:rPr>
        <w:br/>
      </w:r>
    </w:p>
    <w:p w14:paraId="44762D5E" w14:textId="217539D6"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2" w:history="1">
        <w:r w:rsidR="00F876DD" w:rsidRPr="00E23897">
          <w:rPr>
            <w:rStyle w:val="Hyperlink"/>
            <w:rFonts w:ascii="Times New Roman" w:hAnsi="Times New Roman" w:cs="Times New Roman"/>
            <w:i/>
            <w:noProof/>
            <w:sz w:val="24"/>
            <w:szCs w:val="24"/>
          </w:rPr>
          <w:t>Figure 13 - Close Fluid Model of the Coronary Circulation</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45</w:t>
        </w:r>
        <w:r w:rsidR="00106A32" w:rsidRPr="00E23897">
          <w:rPr>
            <w:rFonts w:ascii="Times New Roman" w:hAnsi="Times New Roman" w:cs="Times New Roman"/>
            <w:noProof/>
            <w:webHidden/>
            <w:sz w:val="24"/>
            <w:szCs w:val="24"/>
          </w:rPr>
          <w:fldChar w:fldCharType="end"/>
        </w:r>
      </w:hyperlink>
      <w:r w:rsidR="002E1054">
        <w:rPr>
          <w:noProof/>
        </w:rPr>
        <w:br/>
      </w:r>
    </w:p>
    <w:p w14:paraId="04B741F3" w14:textId="7B354F1B"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3" w:history="1">
        <w:r w:rsidR="00F876DD" w:rsidRPr="00E23897">
          <w:rPr>
            <w:rStyle w:val="Hyperlink"/>
            <w:rFonts w:ascii="Times New Roman" w:hAnsi="Times New Roman" w:cs="Times New Roman"/>
            <w:i/>
            <w:noProof/>
            <w:sz w:val="24"/>
            <w:szCs w:val="24"/>
          </w:rPr>
          <w:t>Figure 14 - Superior vs. Inferior Coronary Arteries</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49</w:t>
        </w:r>
        <w:r w:rsidR="00106A32" w:rsidRPr="00E23897">
          <w:rPr>
            <w:rFonts w:ascii="Times New Roman" w:hAnsi="Times New Roman" w:cs="Times New Roman"/>
            <w:noProof/>
            <w:webHidden/>
            <w:sz w:val="24"/>
            <w:szCs w:val="24"/>
          </w:rPr>
          <w:fldChar w:fldCharType="end"/>
        </w:r>
      </w:hyperlink>
      <w:r w:rsidR="002E1054">
        <w:rPr>
          <w:noProof/>
        </w:rPr>
        <w:br/>
      </w:r>
    </w:p>
    <w:p w14:paraId="0569AFBE" w14:textId="58880F2F"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4" w:history="1">
        <w:r w:rsidR="00F876DD" w:rsidRPr="00E23897">
          <w:rPr>
            <w:rStyle w:val="Hyperlink"/>
            <w:rFonts w:ascii="Times New Roman" w:hAnsi="Times New Roman" w:cs="Times New Roman"/>
            <w:i/>
            <w:noProof/>
            <w:sz w:val="24"/>
            <w:szCs w:val="24"/>
          </w:rPr>
          <w:t>Figure 15 - Cardiac CT Showing Coronary Anatomy.</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51</w:t>
        </w:r>
        <w:r w:rsidR="00106A32" w:rsidRPr="00E23897">
          <w:rPr>
            <w:rFonts w:ascii="Times New Roman" w:hAnsi="Times New Roman" w:cs="Times New Roman"/>
            <w:noProof/>
            <w:webHidden/>
            <w:sz w:val="24"/>
            <w:szCs w:val="24"/>
          </w:rPr>
          <w:fldChar w:fldCharType="end"/>
        </w:r>
      </w:hyperlink>
      <w:r w:rsidR="002E1054">
        <w:rPr>
          <w:noProof/>
        </w:rPr>
        <w:br/>
      </w:r>
    </w:p>
    <w:p w14:paraId="4287C2CC" w14:textId="27550B34"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5" w:history="1">
        <w:r w:rsidR="00F876DD" w:rsidRPr="00E23897">
          <w:rPr>
            <w:rStyle w:val="Hyperlink"/>
            <w:rFonts w:ascii="Times New Roman" w:hAnsi="Times New Roman" w:cs="Times New Roman"/>
            <w:i/>
            <w:noProof/>
            <w:sz w:val="24"/>
            <w:szCs w:val="24"/>
          </w:rPr>
          <w:t>Figure 16 - Estimated Hydrostatic Effect</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_Toc44684905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54</w:t>
        </w:r>
        <w:r w:rsidR="00106A32" w:rsidRPr="00E23897">
          <w:rPr>
            <w:rFonts w:ascii="Times New Roman" w:hAnsi="Times New Roman" w:cs="Times New Roman"/>
            <w:noProof/>
            <w:webHidden/>
            <w:sz w:val="24"/>
            <w:szCs w:val="24"/>
          </w:rPr>
          <w:fldChar w:fldCharType="end"/>
        </w:r>
      </w:hyperlink>
      <w:r w:rsidR="002E1054">
        <w:rPr>
          <w:noProof/>
        </w:rPr>
        <w:br/>
      </w:r>
    </w:p>
    <w:p w14:paraId="6D48DD7B" w14:textId="6D3B677A"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6" w:history="1">
        <w:r w:rsidR="00F876DD" w:rsidRPr="00E23897">
          <w:rPr>
            <w:rStyle w:val="Hyperlink"/>
            <w:rFonts w:ascii="Times New Roman" w:hAnsi="Times New Roman" w:cs="Times New Roman"/>
            <w:i/>
            <w:noProof/>
            <w:sz w:val="24"/>
            <w:szCs w:val="24"/>
          </w:rPr>
          <w:t>Figure 17 - Height Measurement Using Coronary CT</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_Toc44684906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60</w:t>
        </w:r>
        <w:r w:rsidR="00106A32" w:rsidRPr="00E23897">
          <w:rPr>
            <w:rFonts w:ascii="Times New Roman" w:hAnsi="Times New Roman" w:cs="Times New Roman"/>
            <w:noProof/>
            <w:webHidden/>
            <w:sz w:val="24"/>
            <w:szCs w:val="24"/>
          </w:rPr>
          <w:fldChar w:fldCharType="end"/>
        </w:r>
      </w:hyperlink>
      <w:r w:rsidR="002E1054">
        <w:rPr>
          <w:noProof/>
        </w:rPr>
        <w:br/>
      </w:r>
    </w:p>
    <w:p w14:paraId="1F659B91" w14:textId="1B3C86E2"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7" w:history="1">
        <w:r w:rsidR="00F876DD" w:rsidRPr="00E23897">
          <w:rPr>
            <w:rStyle w:val="Hyperlink"/>
            <w:rFonts w:ascii="Times New Roman" w:hAnsi="Times New Roman" w:cs="Times New Roman"/>
            <w:i/>
            <w:noProof/>
            <w:sz w:val="24"/>
            <w:szCs w:val="24"/>
          </w:rPr>
          <w:t xml:space="preserve">Figure 18 - </w:t>
        </w:r>
        <w:r w:rsidR="00351B7D" w:rsidRPr="00E23897">
          <w:rPr>
            <w:rStyle w:val="Hyperlink"/>
            <w:rFonts w:ascii="Times New Roman" w:hAnsi="Times New Roman" w:cs="Times New Roman"/>
            <w:i/>
            <w:noProof/>
            <w:sz w:val="24"/>
            <w:szCs w:val="24"/>
          </w:rPr>
          <w:t>Coro</w:t>
        </w:r>
        <w:r w:rsidR="00351B7D">
          <w:rPr>
            <w:rStyle w:val="Hyperlink"/>
            <w:rFonts w:ascii="Times New Roman" w:hAnsi="Times New Roman" w:cs="Times New Roman"/>
            <w:i/>
            <w:noProof/>
            <w:sz w:val="24"/>
            <w:szCs w:val="24"/>
          </w:rPr>
          <w:t>nary</w:t>
        </w:r>
        <w:r w:rsidR="00351B7D" w:rsidRPr="00E23897">
          <w:rPr>
            <w:rStyle w:val="Hyperlink"/>
            <w:rFonts w:ascii="Times New Roman" w:hAnsi="Times New Roman" w:cs="Times New Roman"/>
            <w:i/>
            <w:noProof/>
            <w:sz w:val="24"/>
            <w:szCs w:val="24"/>
          </w:rPr>
          <w:t xml:space="preserve"> </w:t>
        </w:r>
        <w:r w:rsidR="00F876DD" w:rsidRPr="00E23897">
          <w:rPr>
            <w:rStyle w:val="Hyperlink"/>
            <w:rFonts w:ascii="Times New Roman" w:hAnsi="Times New Roman" w:cs="Times New Roman"/>
            <w:i/>
            <w:noProof/>
            <w:sz w:val="24"/>
            <w:szCs w:val="24"/>
          </w:rPr>
          <w:t>Height Data</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_Toc44684907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64</w:t>
        </w:r>
        <w:r w:rsidR="00106A32" w:rsidRPr="00E23897">
          <w:rPr>
            <w:rFonts w:ascii="Times New Roman" w:hAnsi="Times New Roman" w:cs="Times New Roman"/>
            <w:noProof/>
            <w:webHidden/>
            <w:sz w:val="24"/>
            <w:szCs w:val="24"/>
          </w:rPr>
          <w:fldChar w:fldCharType="end"/>
        </w:r>
      </w:hyperlink>
      <w:r w:rsidR="002E1054">
        <w:rPr>
          <w:noProof/>
        </w:rPr>
        <w:br/>
      </w:r>
    </w:p>
    <w:p w14:paraId="180DC219" w14:textId="272216C0"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8" w:history="1">
        <w:r w:rsidR="00F876DD" w:rsidRPr="00E23897">
          <w:rPr>
            <w:rStyle w:val="Hyperlink"/>
            <w:rFonts w:ascii="Times New Roman" w:hAnsi="Times New Roman" w:cs="Times New Roman"/>
            <w:i/>
            <w:noProof/>
            <w:sz w:val="24"/>
            <w:szCs w:val="24"/>
          </w:rPr>
          <w:t>Figure 19 - Coronary Branch Points</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_Toc44684908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70</w:t>
        </w:r>
        <w:r w:rsidR="00106A32" w:rsidRPr="00E23897">
          <w:rPr>
            <w:rFonts w:ascii="Times New Roman" w:hAnsi="Times New Roman" w:cs="Times New Roman"/>
            <w:noProof/>
            <w:webHidden/>
            <w:sz w:val="24"/>
            <w:szCs w:val="24"/>
          </w:rPr>
          <w:fldChar w:fldCharType="end"/>
        </w:r>
      </w:hyperlink>
      <w:r w:rsidR="002E1054">
        <w:rPr>
          <w:noProof/>
        </w:rPr>
        <w:br/>
      </w:r>
    </w:p>
    <w:p w14:paraId="62DC0A4D" w14:textId="0A07B58D"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09" w:history="1">
        <w:r w:rsidR="00F876DD" w:rsidRPr="00E23897">
          <w:rPr>
            <w:rStyle w:val="Hyperlink"/>
            <w:rFonts w:ascii="Times New Roman" w:hAnsi="Times New Roman" w:cs="Times New Roman"/>
            <w:i/>
            <w:noProof/>
            <w:sz w:val="24"/>
            <w:szCs w:val="24"/>
          </w:rPr>
          <w:t>Figure 20 - Case Study</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_Toc44684909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75</w:t>
        </w:r>
        <w:r w:rsidR="00106A32" w:rsidRPr="00E23897">
          <w:rPr>
            <w:rFonts w:ascii="Times New Roman" w:hAnsi="Times New Roman" w:cs="Times New Roman"/>
            <w:noProof/>
            <w:webHidden/>
            <w:sz w:val="24"/>
            <w:szCs w:val="24"/>
          </w:rPr>
          <w:fldChar w:fldCharType="end"/>
        </w:r>
      </w:hyperlink>
      <w:r w:rsidR="002E1054">
        <w:rPr>
          <w:noProof/>
        </w:rPr>
        <w:br/>
      </w:r>
    </w:p>
    <w:p w14:paraId="2E842848" w14:textId="07929CE2"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0" w:history="1">
        <w:r w:rsidR="00F876DD" w:rsidRPr="00E23897">
          <w:rPr>
            <w:rStyle w:val="Hyperlink"/>
            <w:rFonts w:ascii="Times New Roman" w:hAnsi="Times New Roman" w:cs="Times New Roman"/>
            <w:i/>
            <w:noProof/>
            <w:sz w:val="24"/>
            <w:szCs w:val="24"/>
          </w:rPr>
          <w:t>Figure 21- 2018 NICE Guidelines for Stable Angina</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_Toc44684910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77</w:t>
        </w:r>
        <w:r w:rsidR="00106A32" w:rsidRPr="00E23897">
          <w:rPr>
            <w:rFonts w:ascii="Times New Roman" w:hAnsi="Times New Roman" w:cs="Times New Roman"/>
            <w:noProof/>
            <w:webHidden/>
            <w:sz w:val="24"/>
            <w:szCs w:val="24"/>
          </w:rPr>
          <w:fldChar w:fldCharType="end"/>
        </w:r>
      </w:hyperlink>
      <w:r w:rsidR="002E1054">
        <w:rPr>
          <w:noProof/>
        </w:rPr>
        <w:br/>
      </w:r>
    </w:p>
    <w:p w14:paraId="1F0A12BF" w14:textId="48417A5F"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1" w:history="1">
        <w:r w:rsidR="00F876DD" w:rsidRPr="00E23897">
          <w:rPr>
            <w:rStyle w:val="Hyperlink"/>
            <w:rFonts w:ascii="Times New Roman" w:hAnsi="Times New Roman" w:cs="Times New Roman"/>
            <w:i/>
            <w:noProof/>
            <w:sz w:val="24"/>
            <w:szCs w:val="24"/>
          </w:rPr>
          <w:t>Figure 22 - Patient Flowchart</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84</w:t>
        </w:r>
        <w:r w:rsidR="00106A32" w:rsidRPr="00E23897">
          <w:rPr>
            <w:rFonts w:ascii="Times New Roman" w:hAnsi="Times New Roman" w:cs="Times New Roman"/>
            <w:noProof/>
            <w:webHidden/>
            <w:sz w:val="24"/>
            <w:szCs w:val="24"/>
          </w:rPr>
          <w:fldChar w:fldCharType="end"/>
        </w:r>
      </w:hyperlink>
      <w:r w:rsidR="002E1054">
        <w:rPr>
          <w:noProof/>
        </w:rPr>
        <w:br/>
      </w:r>
    </w:p>
    <w:p w14:paraId="607DF2E4" w14:textId="38A729FC"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2" w:history="1">
        <w:r w:rsidR="00F876DD" w:rsidRPr="00E23897">
          <w:rPr>
            <w:rStyle w:val="Hyperlink"/>
            <w:rFonts w:ascii="Times New Roman" w:hAnsi="Times New Roman" w:cs="Times New Roman"/>
            <w:i/>
            <w:noProof/>
            <w:sz w:val="24"/>
            <w:szCs w:val="24"/>
          </w:rPr>
          <w:t>Figure 23 - Power Calculation -</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85</w:t>
        </w:r>
        <w:r w:rsidR="00106A32" w:rsidRPr="00E23897">
          <w:rPr>
            <w:rFonts w:ascii="Times New Roman" w:hAnsi="Times New Roman" w:cs="Times New Roman"/>
            <w:noProof/>
            <w:webHidden/>
            <w:sz w:val="24"/>
            <w:szCs w:val="24"/>
          </w:rPr>
          <w:fldChar w:fldCharType="end"/>
        </w:r>
      </w:hyperlink>
      <w:r w:rsidR="002E1054">
        <w:rPr>
          <w:noProof/>
        </w:rPr>
        <w:br/>
      </w:r>
    </w:p>
    <w:p w14:paraId="5ADBF5EF" w14:textId="4D3484C0"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3" w:history="1">
        <w:r w:rsidR="00F876DD" w:rsidRPr="00E23897">
          <w:rPr>
            <w:rStyle w:val="Hyperlink"/>
            <w:rFonts w:ascii="Times New Roman" w:hAnsi="Times New Roman" w:cs="Times New Roman"/>
            <w:i/>
            <w:noProof/>
            <w:sz w:val="24"/>
            <w:szCs w:val="24"/>
          </w:rPr>
          <w:t>Figure 24 - Prone Positioning</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87</w:t>
        </w:r>
        <w:r w:rsidR="00106A32" w:rsidRPr="00E23897">
          <w:rPr>
            <w:rFonts w:ascii="Times New Roman" w:hAnsi="Times New Roman" w:cs="Times New Roman"/>
            <w:noProof/>
            <w:webHidden/>
            <w:sz w:val="24"/>
            <w:szCs w:val="24"/>
          </w:rPr>
          <w:fldChar w:fldCharType="end"/>
        </w:r>
      </w:hyperlink>
      <w:r w:rsidR="002E1054">
        <w:rPr>
          <w:noProof/>
        </w:rPr>
        <w:br/>
      </w:r>
    </w:p>
    <w:p w14:paraId="4376BB40" w14:textId="013D79E5"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4" w:history="1">
        <w:r w:rsidR="00F876DD" w:rsidRPr="00E23897">
          <w:rPr>
            <w:rStyle w:val="Hyperlink"/>
            <w:rFonts w:ascii="Times New Roman" w:hAnsi="Times New Roman" w:cs="Times New Roman"/>
            <w:i/>
            <w:noProof/>
            <w:sz w:val="24"/>
            <w:szCs w:val="24"/>
          </w:rPr>
          <w:t>Figure 25 - Prone Positioning 2</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88</w:t>
        </w:r>
        <w:r w:rsidR="00106A32" w:rsidRPr="00E23897">
          <w:rPr>
            <w:rFonts w:ascii="Times New Roman" w:hAnsi="Times New Roman" w:cs="Times New Roman"/>
            <w:noProof/>
            <w:webHidden/>
            <w:sz w:val="24"/>
            <w:szCs w:val="24"/>
          </w:rPr>
          <w:fldChar w:fldCharType="end"/>
        </w:r>
      </w:hyperlink>
      <w:r w:rsidR="002E1054">
        <w:rPr>
          <w:noProof/>
        </w:rPr>
        <w:br/>
      </w:r>
    </w:p>
    <w:p w14:paraId="3CFA4F88" w14:textId="35574AD1"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5" w:history="1">
        <w:r w:rsidR="00F876DD" w:rsidRPr="00E23897">
          <w:rPr>
            <w:rStyle w:val="Hyperlink"/>
            <w:rFonts w:ascii="Times New Roman" w:hAnsi="Times New Roman" w:cs="Times New Roman"/>
            <w:i/>
            <w:noProof/>
            <w:sz w:val="24"/>
            <w:szCs w:val="24"/>
          </w:rPr>
          <w:t>Figure 26 - Prone Angiographic Projection</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_Toc44684915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90</w:t>
        </w:r>
        <w:r w:rsidR="00106A32" w:rsidRPr="00E23897">
          <w:rPr>
            <w:rFonts w:ascii="Times New Roman" w:hAnsi="Times New Roman" w:cs="Times New Roman"/>
            <w:noProof/>
            <w:webHidden/>
            <w:sz w:val="24"/>
            <w:szCs w:val="24"/>
          </w:rPr>
          <w:fldChar w:fldCharType="end"/>
        </w:r>
      </w:hyperlink>
      <w:r w:rsidR="002E1054">
        <w:rPr>
          <w:noProof/>
        </w:rPr>
        <w:br/>
      </w:r>
    </w:p>
    <w:p w14:paraId="69C9E09B" w14:textId="683A5D39"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6" w:history="1">
        <w:r w:rsidR="00F876DD" w:rsidRPr="00E23897">
          <w:rPr>
            <w:rStyle w:val="Hyperlink"/>
            <w:rFonts w:ascii="Times New Roman" w:hAnsi="Times New Roman" w:cs="Times New Roman"/>
            <w:i/>
            <w:noProof/>
            <w:sz w:val="24"/>
            <w:szCs w:val="24"/>
          </w:rPr>
          <w:t>Figure 27- ComboWire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_Toc44684916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92</w:t>
        </w:r>
        <w:r w:rsidR="00106A32" w:rsidRPr="00E23897">
          <w:rPr>
            <w:rFonts w:ascii="Times New Roman" w:hAnsi="Times New Roman" w:cs="Times New Roman"/>
            <w:noProof/>
            <w:webHidden/>
            <w:sz w:val="24"/>
            <w:szCs w:val="24"/>
          </w:rPr>
          <w:fldChar w:fldCharType="end"/>
        </w:r>
      </w:hyperlink>
      <w:r w:rsidR="002E1054">
        <w:rPr>
          <w:noProof/>
        </w:rPr>
        <w:br/>
      </w:r>
    </w:p>
    <w:p w14:paraId="00BA901A" w14:textId="2699C1D3"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7" w:history="1">
        <w:r w:rsidR="00F876DD" w:rsidRPr="00E23897">
          <w:rPr>
            <w:rStyle w:val="Hyperlink"/>
            <w:rFonts w:ascii="Times New Roman" w:hAnsi="Times New Roman" w:cs="Times New Roman"/>
            <w:i/>
            <w:noProof/>
            <w:sz w:val="24"/>
            <w:szCs w:val="24"/>
          </w:rPr>
          <w:t>Figure 28 - Combomap System</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_Toc44684917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93</w:t>
        </w:r>
        <w:r w:rsidR="00106A32" w:rsidRPr="00E23897">
          <w:rPr>
            <w:rFonts w:ascii="Times New Roman" w:hAnsi="Times New Roman" w:cs="Times New Roman"/>
            <w:noProof/>
            <w:webHidden/>
            <w:sz w:val="24"/>
            <w:szCs w:val="24"/>
          </w:rPr>
          <w:fldChar w:fldCharType="end"/>
        </w:r>
      </w:hyperlink>
      <w:r w:rsidR="002E1054">
        <w:rPr>
          <w:noProof/>
        </w:rPr>
        <w:br/>
      </w:r>
    </w:p>
    <w:p w14:paraId="1036D73E" w14:textId="5B64BFC3"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8" w:history="1">
        <w:r w:rsidR="00F876DD" w:rsidRPr="00E23897">
          <w:rPr>
            <w:rStyle w:val="Hyperlink"/>
            <w:rFonts w:ascii="Times New Roman" w:hAnsi="Times New Roman" w:cs="Times New Roman"/>
            <w:i/>
            <w:noProof/>
            <w:sz w:val="24"/>
            <w:szCs w:val="24"/>
          </w:rPr>
          <w:t>Figure 29 - Invasive Pressure Normalisation</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_Toc44684918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94</w:t>
        </w:r>
        <w:r w:rsidR="00106A32" w:rsidRPr="00E23897">
          <w:rPr>
            <w:rFonts w:ascii="Times New Roman" w:hAnsi="Times New Roman" w:cs="Times New Roman"/>
            <w:noProof/>
            <w:webHidden/>
            <w:sz w:val="24"/>
            <w:szCs w:val="24"/>
          </w:rPr>
          <w:fldChar w:fldCharType="end"/>
        </w:r>
      </w:hyperlink>
      <w:r w:rsidR="002E1054">
        <w:rPr>
          <w:noProof/>
        </w:rPr>
        <w:br/>
      </w:r>
    </w:p>
    <w:p w14:paraId="22EC15EE" w14:textId="1D81032D"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19" w:history="1">
        <w:r w:rsidR="00F876DD" w:rsidRPr="00E23897">
          <w:rPr>
            <w:rStyle w:val="Hyperlink"/>
            <w:rFonts w:ascii="Times New Roman" w:hAnsi="Times New Roman" w:cs="Times New Roman"/>
            <w:i/>
            <w:noProof/>
            <w:sz w:val="24"/>
            <w:szCs w:val="24"/>
          </w:rPr>
          <w:t>Figure 30 - Hyperaemic Pressure and Flow Measurements</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_Toc44684919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95</w:t>
        </w:r>
        <w:r w:rsidR="00106A32" w:rsidRPr="00E23897">
          <w:rPr>
            <w:rFonts w:ascii="Times New Roman" w:hAnsi="Times New Roman" w:cs="Times New Roman"/>
            <w:noProof/>
            <w:webHidden/>
            <w:sz w:val="24"/>
            <w:szCs w:val="24"/>
          </w:rPr>
          <w:fldChar w:fldCharType="end"/>
        </w:r>
      </w:hyperlink>
      <w:r w:rsidR="002E1054">
        <w:rPr>
          <w:noProof/>
        </w:rPr>
        <w:br/>
      </w:r>
    </w:p>
    <w:p w14:paraId="5612177A" w14:textId="25581A06"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0" w:history="1">
        <w:r w:rsidR="00F876DD" w:rsidRPr="00E23897">
          <w:rPr>
            <w:rStyle w:val="Hyperlink"/>
            <w:rFonts w:ascii="Times New Roman" w:hAnsi="Times New Roman" w:cs="Times New Roman"/>
            <w:i/>
            <w:noProof/>
            <w:sz w:val="24"/>
            <w:szCs w:val="24"/>
          </w:rPr>
          <w:t>Figure 31 - Guide to Wire Measurement</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_Toc44684920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97</w:t>
        </w:r>
        <w:r w:rsidR="00106A32" w:rsidRPr="00E23897">
          <w:rPr>
            <w:rFonts w:ascii="Times New Roman" w:hAnsi="Times New Roman" w:cs="Times New Roman"/>
            <w:noProof/>
            <w:webHidden/>
            <w:sz w:val="24"/>
            <w:szCs w:val="24"/>
          </w:rPr>
          <w:fldChar w:fldCharType="end"/>
        </w:r>
      </w:hyperlink>
      <w:r w:rsidR="002E1054">
        <w:rPr>
          <w:noProof/>
        </w:rPr>
        <w:br/>
      </w:r>
    </w:p>
    <w:p w14:paraId="0F1B7482" w14:textId="2C6F91DA"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1" w:history="1">
        <w:r w:rsidR="00F876DD" w:rsidRPr="00E23897">
          <w:rPr>
            <w:rStyle w:val="Hyperlink"/>
            <w:rFonts w:ascii="Times New Roman" w:hAnsi="Times New Roman" w:cs="Times New Roman"/>
            <w:i/>
            <w:noProof/>
            <w:sz w:val="24"/>
            <w:szCs w:val="24"/>
          </w:rPr>
          <w:t>Figure 32 - Estimated Hydrostatic Effect</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108</w:t>
        </w:r>
        <w:r w:rsidR="00106A32" w:rsidRPr="00E23897">
          <w:rPr>
            <w:rFonts w:ascii="Times New Roman" w:hAnsi="Times New Roman" w:cs="Times New Roman"/>
            <w:noProof/>
            <w:webHidden/>
            <w:sz w:val="24"/>
            <w:szCs w:val="24"/>
          </w:rPr>
          <w:fldChar w:fldCharType="end"/>
        </w:r>
      </w:hyperlink>
      <w:r w:rsidR="002E1054">
        <w:rPr>
          <w:noProof/>
        </w:rPr>
        <w:br/>
      </w:r>
    </w:p>
    <w:p w14:paraId="2B515E78" w14:textId="1C37FC32"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2" w:history="1">
        <w:r w:rsidR="00F876DD" w:rsidRPr="00E23897">
          <w:rPr>
            <w:rStyle w:val="Hyperlink"/>
            <w:rFonts w:ascii="Times New Roman" w:hAnsi="Times New Roman" w:cs="Times New Roman"/>
            <w:i/>
            <w:noProof/>
            <w:sz w:val="24"/>
            <w:szCs w:val="24"/>
          </w:rPr>
          <w:t>Figure 33 - Pd/Pa of Superior vs. Inferior artery position</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111</w:t>
        </w:r>
        <w:r w:rsidR="00106A32" w:rsidRPr="00E23897">
          <w:rPr>
            <w:rFonts w:ascii="Times New Roman" w:hAnsi="Times New Roman" w:cs="Times New Roman"/>
            <w:noProof/>
            <w:webHidden/>
            <w:sz w:val="24"/>
            <w:szCs w:val="24"/>
          </w:rPr>
          <w:fldChar w:fldCharType="end"/>
        </w:r>
      </w:hyperlink>
      <w:r w:rsidR="002E1054">
        <w:rPr>
          <w:noProof/>
        </w:rPr>
        <w:br/>
      </w:r>
    </w:p>
    <w:p w14:paraId="6BA1E0C2" w14:textId="739E0FEC"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3" w:history="1">
        <w:r w:rsidR="00F876DD" w:rsidRPr="00E23897">
          <w:rPr>
            <w:rStyle w:val="Hyperlink"/>
            <w:rFonts w:ascii="Times New Roman" w:hAnsi="Times New Roman" w:cs="Times New Roman"/>
            <w:i/>
            <w:noProof/>
            <w:sz w:val="24"/>
            <w:szCs w:val="24"/>
          </w:rPr>
          <w:t xml:space="preserve">Figure 34 - LAD Pd/Pa </w:t>
        </w:r>
        <w:r w:rsidR="001728A2" w:rsidRPr="00E23897">
          <w:rPr>
            <w:rStyle w:val="Hyperlink"/>
            <w:rFonts w:ascii="Times New Roman" w:hAnsi="Times New Roman" w:cs="Times New Roman"/>
            <w:i/>
            <w:noProof/>
            <w:sz w:val="24"/>
            <w:szCs w:val="24"/>
          </w:rPr>
          <w:t>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114</w:t>
        </w:r>
        <w:r w:rsidR="00106A32" w:rsidRPr="00E23897">
          <w:rPr>
            <w:rFonts w:ascii="Times New Roman" w:hAnsi="Times New Roman" w:cs="Times New Roman"/>
            <w:noProof/>
            <w:webHidden/>
            <w:sz w:val="24"/>
            <w:szCs w:val="24"/>
          </w:rPr>
          <w:fldChar w:fldCharType="end"/>
        </w:r>
      </w:hyperlink>
      <w:r w:rsidR="002E1054">
        <w:rPr>
          <w:noProof/>
        </w:rPr>
        <w:br/>
      </w:r>
    </w:p>
    <w:p w14:paraId="3C385109" w14:textId="74A0DC6C"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4" w:history="1">
        <w:r w:rsidR="00F876DD" w:rsidRPr="00E23897">
          <w:rPr>
            <w:rStyle w:val="Hyperlink"/>
            <w:rFonts w:ascii="Times New Roman" w:hAnsi="Times New Roman" w:cs="Times New Roman"/>
            <w:i/>
            <w:noProof/>
            <w:sz w:val="24"/>
            <w:szCs w:val="24"/>
          </w:rPr>
          <w:t>Figure 35 - Cx Pd/Pa 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116</w:t>
        </w:r>
        <w:r w:rsidR="00106A32" w:rsidRPr="00E23897">
          <w:rPr>
            <w:rFonts w:ascii="Times New Roman" w:hAnsi="Times New Roman" w:cs="Times New Roman"/>
            <w:noProof/>
            <w:webHidden/>
            <w:sz w:val="24"/>
            <w:szCs w:val="24"/>
          </w:rPr>
          <w:fldChar w:fldCharType="end"/>
        </w:r>
      </w:hyperlink>
      <w:r w:rsidR="002E1054">
        <w:rPr>
          <w:noProof/>
        </w:rPr>
        <w:br/>
      </w:r>
    </w:p>
    <w:p w14:paraId="5789A919" w14:textId="19345AE7"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5" w:history="1">
        <w:r w:rsidR="00F876DD" w:rsidRPr="00E23897">
          <w:rPr>
            <w:rStyle w:val="Hyperlink"/>
            <w:rFonts w:ascii="Times New Roman" w:hAnsi="Times New Roman" w:cs="Times New Roman"/>
            <w:i/>
            <w:noProof/>
            <w:sz w:val="24"/>
            <w:szCs w:val="24"/>
          </w:rPr>
          <w:t>Figure 36 - RCA Pd/Pa 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_Toc44684925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118</w:t>
        </w:r>
        <w:r w:rsidR="00106A32" w:rsidRPr="00E23897">
          <w:rPr>
            <w:rFonts w:ascii="Times New Roman" w:hAnsi="Times New Roman" w:cs="Times New Roman"/>
            <w:noProof/>
            <w:webHidden/>
            <w:sz w:val="24"/>
            <w:szCs w:val="24"/>
          </w:rPr>
          <w:fldChar w:fldCharType="end"/>
        </w:r>
      </w:hyperlink>
      <w:r w:rsidR="002E1054">
        <w:rPr>
          <w:noProof/>
        </w:rPr>
        <w:br/>
      </w:r>
    </w:p>
    <w:p w14:paraId="57291453" w14:textId="5310333C"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6" w:history="1">
        <w:r w:rsidR="00F876DD" w:rsidRPr="00E23897">
          <w:rPr>
            <w:rStyle w:val="Hyperlink"/>
            <w:rFonts w:ascii="Times New Roman" w:hAnsi="Times New Roman" w:cs="Times New Roman"/>
            <w:i/>
            <w:noProof/>
            <w:sz w:val="24"/>
            <w:szCs w:val="24"/>
          </w:rPr>
          <w:t>Figure</w:t>
        </w:r>
        <w:r w:rsidR="001728A2" w:rsidRPr="00E23897">
          <w:rPr>
            <w:rStyle w:val="Hyperlink"/>
            <w:rFonts w:ascii="Times New Roman" w:hAnsi="Times New Roman" w:cs="Times New Roman"/>
            <w:i/>
            <w:noProof/>
            <w:sz w:val="24"/>
            <w:szCs w:val="24"/>
          </w:rPr>
          <w:t xml:space="preserve"> 37 - Superior vs. Inferior iFR</w:t>
        </w:r>
        <w:r w:rsidR="00F876DD" w:rsidRPr="00E23897">
          <w:rPr>
            <w:rStyle w:val="Hyperlink"/>
            <w:rFonts w:ascii="Times New Roman" w:hAnsi="Times New Roman" w:cs="Times New Roman"/>
            <w:i/>
            <w:noProof/>
            <w:sz w:val="24"/>
            <w:szCs w:val="24"/>
          </w:rPr>
          <w:t>.</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_Toc44684926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120</w:t>
        </w:r>
        <w:r w:rsidR="00106A32" w:rsidRPr="00E23897">
          <w:rPr>
            <w:rFonts w:ascii="Times New Roman" w:hAnsi="Times New Roman" w:cs="Times New Roman"/>
            <w:noProof/>
            <w:webHidden/>
            <w:sz w:val="24"/>
            <w:szCs w:val="24"/>
          </w:rPr>
          <w:fldChar w:fldCharType="end"/>
        </w:r>
      </w:hyperlink>
      <w:r w:rsidR="002E1054">
        <w:rPr>
          <w:noProof/>
        </w:rPr>
        <w:br/>
      </w:r>
    </w:p>
    <w:p w14:paraId="5DFD91BC" w14:textId="15A3F422"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7" w:history="1">
        <w:r w:rsidR="00F876DD" w:rsidRPr="00E23897">
          <w:rPr>
            <w:rStyle w:val="Hyperlink"/>
            <w:rFonts w:ascii="Times New Roman" w:hAnsi="Times New Roman" w:cs="Times New Roman"/>
            <w:i/>
            <w:noProof/>
            <w:sz w:val="24"/>
            <w:szCs w:val="24"/>
          </w:rPr>
          <w:t>Figure 38 - LAD iFR 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_Toc44684927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123</w:t>
        </w:r>
        <w:r w:rsidR="00106A32" w:rsidRPr="00E23897">
          <w:rPr>
            <w:rFonts w:ascii="Times New Roman" w:hAnsi="Times New Roman" w:cs="Times New Roman"/>
            <w:noProof/>
            <w:webHidden/>
            <w:sz w:val="24"/>
            <w:szCs w:val="24"/>
          </w:rPr>
          <w:fldChar w:fldCharType="end"/>
        </w:r>
      </w:hyperlink>
      <w:r w:rsidR="002E1054">
        <w:rPr>
          <w:noProof/>
        </w:rPr>
        <w:br/>
      </w:r>
    </w:p>
    <w:p w14:paraId="63CCD47A" w14:textId="6EFAD062"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8" w:history="1">
        <w:r w:rsidR="00F876DD" w:rsidRPr="00E23897">
          <w:rPr>
            <w:rStyle w:val="Hyperlink"/>
            <w:rFonts w:ascii="Times New Roman" w:hAnsi="Times New Roman" w:cs="Times New Roman"/>
            <w:i/>
            <w:noProof/>
            <w:sz w:val="24"/>
            <w:szCs w:val="24"/>
          </w:rPr>
          <w:t>Figure 39 - Cx iFR 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_Toc44684928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125</w:t>
        </w:r>
        <w:r w:rsidR="00106A32" w:rsidRPr="00E23897">
          <w:rPr>
            <w:rFonts w:ascii="Times New Roman" w:hAnsi="Times New Roman" w:cs="Times New Roman"/>
            <w:noProof/>
            <w:webHidden/>
            <w:sz w:val="24"/>
            <w:szCs w:val="24"/>
          </w:rPr>
          <w:fldChar w:fldCharType="end"/>
        </w:r>
      </w:hyperlink>
      <w:r w:rsidR="002E1054">
        <w:rPr>
          <w:noProof/>
        </w:rPr>
        <w:br/>
      </w:r>
    </w:p>
    <w:p w14:paraId="44003DD6" w14:textId="6F2020E0"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29" w:history="1">
        <w:r w:rsidR="00F876DD" w:rsidRPr="00E23897">
          <w:rPr>
            <w:rStyle w:val="Hyperlink"/>
            <w:rFonts w:ascii="Times New Roman" w:hAnsi="Times New Roman" w:cs="Times New Roman"/>
            <w:i/>
            <w:noProof/>
            <w:sz w:val="24"/>
            <w:szCs w:val="24"/>
          </w:rPr>
          <w:t>Figure 40 - RCA iFR 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_Toc44684929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127</w:t>
        </w:r>
        <w:r w:rsidR="00106A32" w:rsidRPr="00E23897">
          <w:rPr>
            <w:rFonts w:ascii="Times New Roman" w:hAnsi="Times New Roman" w:cs="Times New Roman"/>
            <w:noProof/>
            <w:webHidden/>
            <w:sz w:val="24"/>
            <w:szCs w:val="24"/>
          </w:rPr>
          <w:fldChar w:fldCharType="end"/>
        </w:r>
      </w:hyperlink>
      <w:r w:rsidR="002E1054">
        <w:rPr>
          <w:noProof/>
        </w:rPr>
        <w:br/>
      </w:r>
    </w:p>
    <w:p w14:paraId="58511BB3" w14:textId="2579433A"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0" w:history="1">
        <w:r w:rsidR="00F876DD" w:rsidRPr="00E23897">
          <w:rPr>
            <w:rStyle w:val="Hyperlink"/>
            <w:rFonts w:ascii="Times New Roman" w:hAnsi="Times New Roman" w:cs="Times New Roman"/>
            <w:i/>
            <w:noProof/>
            <w:sz w:val="24"/>
            <w:szCs w:val="24"/>
          </w:rPr>
          <w:t>Figure 41 -FFR 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_Toc44684930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129</w:t>
        </w:r>
        <w:r w:rsidR="00106A32" w:rsidRPr="00E23897">
          <w:rPr>
            <w:rFonts w:ascii="Times New Roman" w:hAnsi="Times New Roman" w:cs="Times New Roman"/>
            <w:noProof/>
            <w:webHidden/>
            <w:sz w:val="24"/>
            <w:szCs w:val="24"/>
          </w:rPr>
          <w:fldChar w:fldCharType="end"/>
        </w:r>
      </w:hyperlink>
      <w:r w:rsidR="002E1054">
        <w:rPr>
          <w:noProof/>
        </w:rPr>
        <w:br/>
      </w:r>
    </w:p>
    <w:p w14:paraId="3AA07D84" w14:textId="2CA0172C"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1" w:history="1">
        <w:r w:rsidR="00F876DD" w:rsidRPr="00E23897">
          <w:rPr>
            <w:rStyle w:val="Hyperlink"/>
            <w:rFonts w:ascii="Times New Roman" w:hAnsi="Times New Roman" w:cs="Times New Roman"/>
            <w:i/>
            <w:noProof/>
            <w:sz w:val="24"/>
            <w:szCs w:val="24"/>
          </w:rPr>
          <w:t>Figure 42- LAD FFR 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131</w:t>
        </w:r>
        <w:r w:rsidR="00106A32" w:rsidRPr="00E23897">
          <w:rPr>
            <w:rFonts w:ascii="Times New Roman" w:hAnsi="Times New Roman" w:cs="Times New Roman"/>
            <w:noProof/>
            <w:webHidden/>
            <w:sz w:val="24"/>
            <w:szCs w:val="24"/>
          </w:rPr>
          <w:fldChar w:fldCharType="end"/>
        </w:r>
      </w:hyperlink>
      <w:r w:rsidR="002E1054">
        <w:rPr>
          <w:noProof/>
        </w:rPr>
        <w:br/>
      </w:r>
    </w:p>
    <w:p w14:paraId="39FC027A" w14:textId="5106AB5E"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2" w:history="1">
        <w:r w:rsidR="00F876DD" w:rsidRPr="00E23897">
          <w:rPr>
            <w:rStyle w:val="Hyperlink"/>
            <w:rFonts w:ascii="Times New Roman" w:hAnsi="Times New Roman" w:cs="Times New Roman"/>
            <w:i/>
            <w:noProof/>
            <w:sz w:val="24"/>
            <w:szCs w:val="24"/>
          </w:rPr>
          <w:t>Figure 43- Cx FFR 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133</w:t>
        </w:r>
        <w:r w:rsidR="00106A32" w:rsidRPr="00E23897">
          <w:rPr>
            <w:rFonts w:ascii="Times New Roman" w:hAnsi="Times New Roman" w:cs="Times New Roman"/>
            <w:noProof/>
            <w:webHidden/>
            <w:sz w:val="24"/>
            <w:szCs w:val="24"/>
          </w:rPr>
          <w:fldChar w:fldCharType="end"/>
        </w:r>
      </w:hyperlink>
      <w:r w:rsidR="002E1054">
        <w:rPr>
          <w:noProof/>
        </w:rPr>
        <w:br/>
      </w:r>
    </w:p>
    <w:p w14:paraId="13F7CDC7" w14:textId="21B4629F"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3" w:history="1">
        <w:r w:rsidR="00F876DD" w:rsidRPr="00E23897">
          <w:rPr>
            <w:rStyle w:val="Hyperlink"/>
            <w:rFonts w:ascii="Times New Roman" w:hAnsi="Times New Roman" w:cs="Times New Roman"/>
            <w:i/>
            <w:noProof/>
            <w:sz w:val="24"/>
            <w:szCs w:val="24"/>
          </w:rPr>
          <w:t>Figure 44 - RCA FFR Delta Change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135</w:t>
        </w:r>
        <w:r w:rsidR="00106A32" w:rsidRPr="00E23897">
          <w:rPr>
            <w:rFonts w:ascii="Times New Roman" w:hAnsi="Times New Roman" w:cs="Times New Roman"/>
            <w:noProof/>
            <w:webHidden/>
            <w:sz w:val="24"/>
            <w:szCs w:val="24"/>
          </w:rPr>
          <w:fldChar w:fldCharType="end"/>
        </w:r>
      </w:hyperlink>
      <w:r w:rsidR="002E1054">
        <w:rPr>
          <w:noProof/>
        </w:rPr>
        <w:br/>
      </w:r>
    </w:p>
    <w:p w14:paraId="249DFB66" w14:textId="3CCA3233"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4" w:history="1">
        <w:r w:rsidR="00F876DD" w:rsidRPr="00E23897">
          <w:rPr>
            <w:rStyle w:val="Hyperlink"/>
            <w:rFonts w:ascii="Times New Roman" w:hAnsi="Times New Roman" w:cs="Times New Roman"/>
            <w:i/>
            <w:noProof/>
            <w:sz w:val="24"/>
            <w:szCs w:val="24"/>
          </w:rPr>
          <w:t>Figure 45 - LAD Clinical Measurement Point</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138</w:t>
        </w:r>
        <w:r w:rsidR="00106A32" w:rsidRPr="00E23897">
          <w:rPr>
            <w:rFonts w:ascii="Times New Roman" w:hAnsi="Times New Roman" w:cs="Times New Roman"/>
            <w:noProof/>
            <w:webHidden/>
            <w:sz w:val="24"/>
            <w:szCs w:val="24"/>
          </w:rPr>
          <w:fldChar w:fldCharType="end"/>
        </w:r>
      </w:hyperlink>
      <w:r w:rsidR="002E1054">
        <w:rPr>
          <w:noProof/>
        </w:rPr>
        <w:br/>
      </w:r>
    </w:p>
    <w:p w14:paraId="5BC2430E" w14:textId="374308BE"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5" w:history="1">
        <w:r w:rsidR="00F876DD" w:rsidRPr="00E23897">
          <w:rPr>
            <w:rStyle w:val="Hyperlink"/>
            <w:rFonts w:ascii="Times New Roman" w:hAnsi="Times New Roman" w:cs="Times New Roman"/>
            <w:i/>
            <w:noProof/>
            <w:sz w:val="24"/>
            <w:szCs w:val="24"/>
          </w:rPr>
          <w:t>Figure 46 -Doppler Flow Data</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_Toc44684935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145</w:t>
        </w:r>
        <w:r w:rsidR="00106A32" w:rsidRPr="00E23897">
          <w:rPr>
            <w:rFonts w:ascii="Times New Roman" w:hAnsi="Times New Roman" w:cs="Times New Roman"/>
            <w:noProof/>
            <w:webHidden/>
            <w:sz w:val="24"/>
            <w:szCs w:val="24"/>
          </w:rPr>
          <w:fldChar w:fldCharType="end"/>
        </w:r>
      </w:hyperlink>
      <w:r w:rsidR="002E1054">
        <w:rPr>
          <w:noProof/>
        </w:rPr>
        <w:br/>
      </w:r>
    </w:p>
    <w:p w14:paraId="46936978" w14:textId="1EC644AA"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6" w:history="1">
        <w:r w:rsidR="00F876DD" w:rsidRPr="00E23897">
          <w:rPr>
            <w:rStyle w:val="Hyperlink"/>
            <w:rFonts w:ascii="Times New Roman" w:hAnsi="Times New Roman" w:cs="Times New Roman"/>
            <w:i/>
            <w:noProof/>
            <w:sz w:val="24"/>
            <w:szCs w:val="24"/>
          </w:rPr>
          <w:t>Figure 47 -Resting and Hyperaemic Doppler flow per artery</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_Toc44684936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149</w:t>
        </w:r>
        <w:r w:rsidR="00106A32" w:rsidRPr="00E23897">
          <w:rPr>
            <w:rFonts w:ascii="Times New Roman" w:hAnsi="Times New Roman" w:cs="Times New Roman"/>
            <w:noProof/>
            <w:webHidden/>
            <w:sz w:val="24"/>
            <w:szCs w:val="24"/>
          </w:rPr>
          <w:fldChar w:fldCharType="end"/>
        </w:r>
      </w:hyperlink>
      <w:r w:rsidR="002E1054">
        <w:rPr>
          <w:noProof/>
        </w:rPr>
        <w:br/>
      </w:r>
    </w:p>
    <w:p w14:paraId="20420453" w14:textId="3D431C0C"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7" w:history="1">
        <w:r w:rsidR="00F876DD" w:rsidRPr="00E23897">
          <w:rPr>
            <w:rStyle w:val="Hyperlink"/>
            <w:rFonts w:ascii="Times New Roman" w:hAnsi="Times New Roman" w:cs="Times New Roman"/>
            <w:i/>
            <w:noProof/>
            <w:sz w:val="24"/>
            <w:szCs w:val="24"/>
          </w:rPr>
          <w:t>Figure 48 - Height Versus Delta Change in Pd/Pa</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_Toc44684937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151</w:t>
        </w:r>
        <w:r w:rsidR="00106A32" w:rsidRPr="00E23897">
          <w:rPr>
            <w:rFonts w:ascii="Times New Roman" w:hAnsi="Times New Roman" w:cs="Times New Roman"/>
            <w:noProof/>
            <w:webHidden/>
            <w:sz w:val="24"/>
            <w:szCs w:val="24"/>
          </w:rPr>
          <w:fldChar w:fldCharType="end"/>
        </w:r>
      </w:hyperlink>
      <w:r w:rsidR="002E1054">
        <w:rPr>
          <w:noProof/>
        </w:rPr>
        <w:br/>
      </w:r>
    </w:p>
    <w:p w14:paraId="1FACB4ED" w14:textId="0521382D"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8" w:history="1">
        <w:r w:rsidR="00F876DD" w:rsidRPr="00E23897">
          <w:rPr>
            <w:rStyle w:val="Hyperlink"/>
            <w:rFonts w:ascii="Times New Roman" w:hAnsi="Times New Roman" w:cs="Times New Roman"/>
            <w:i/>
            <w:noProof/>
            <w:sz w:val="24"/>
            <w:szCs w:val="24"/>
          </w:rPr>
          <w:t>Figure 49 - Height Versus Delta Chaneg in iFR</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_Toc44684938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152</w:t>
        </w:r>
        <w:r w:rsidR="00106A32" w:rsidRPr="00E23897">
          <w:rPr>
            <w:rFonts w:ascii="Times New Roman" w:hAnsi="Times New Roman" w:cs="Times New Roman"/>
            <w:noProof/>
            <w:webHidden/>
            <w:sz w:val="24"/>
            <w:szCs w:val="24"/>
          </w:rPr>
          <w:fldChar w:fldCharType="end"/>
        </w:r>
      </w:hyperlink>
      <w:r w:rsidR="002E1054">
        <w:rPr>
          <w:noProof/>
        </w:rPr>
        <w:br/>
      </w:r>
    </w:p>
    <w:p w14:paraId="3FA5BA98" w14:textId="3619E8D2"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39" w:history="1">
        <w:r w:rsidR="00F876DD" w:rsidRPr="00E23897">
          <w:rPr>
            <w:rStyle w:val="Hyperlink"/>
            <w:rFonts w:ascii="Times New Roman" w:hAnsi="Times New Roman" w:cs="Times New Roman"/>
            <w:i/>
            <w:noProof/>
            <w:sz w:val="24"/>
            <w:szCs w:val="24"/>
          </w:rPr>
          <w:t>Figure 50 -Height Versus Delta Change in FFR</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_Toc44684939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153</w:t>
        </w:r>
        <w:r w:rsidR="00106A32" w:rsidRPr="00E23897">
          <w:rPr>
            <w:rFonts w:ascii="Times New Roman" w:hAnsi="Times New Roman" w:cs="Times New Roman"/>
            <w:noProof/>
            <w:webHidden/>
            <w:sz w:val="24"/>
            <w:szCs w:val="24"/>
          </w:rPr>
          <w:fldChar w:fldCharType="end"/>
        </w:r>
      </w:hyperlink>
      <w:r w:rsidR="002E1054">
        <w:rPr>
          <w:noProof/>
        </w:rPr>
        <w:br/>
      </w:r>
    </w:p>
    <w:p w14:paraId="53F43288" w14:textId="268F3024"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40" w:history="1">
        <w:r w:rsidR="00F876DD" w:rsidRPr="00E23897">
          <w:rPr>
            <w:rStyle w:val="Hyperlink"/>
            <w:rFonts w:ascii="Times New Roman" w:hAnsi="Times New Roman" w:cs="Times New Roman"/>
            <w:i/>
            <w:noProof/>
            <w:sz w:val="24"/>
            <w:szCs w:val="24"/>
          </w:rPr>
          <w:t>Figure 51 - Coronary Flow Versus Stenotic Gradient and Resistance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_Toc44684940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169</w:t>
        </w:r>
        <w:r w:rsidR="00106A32" w:rsidRPr="00E23897">
          <w:rPr>
            <w:rFonts w:ascii="Times New Roman" w:hAnsi="Times New Roman" w:cs="Times New Roman"/>
            <w:noProof/>
            <w:webHidden/>
            <w:sz w:val="24"/>
            <w:szCs w:val="24"/>
          </w:rPr>
          <w:fldChar w:fldCharType="end"/>
        </w:r>
      </w:hyperlink>
      <w:r w:rsidR="002E1054">
        <w:rPr>
          <w:noProof/>
        </w:rPr>
        <w:br/>
      </w:r>
    </w:p>
    <w:p w14:paraId="5A437906" w14:textId="2D065921"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41" w:history="1">
        <w:r w:rsidR="00F876DD" w:rsidRPr="00E23897">
          <w:rPr>
            <w:rStyle w:val="Hyperlink"/>
            <w:rFonts w:ascii="Times New Roman" w:hAnsi="Times New Roman" w:cs="Times New Roman"/>
            <w:i/>
            <w:noProof/>
            <w:sz w:val="24"/>
            <w:szCs w:val="24"/>
          </w:rPr>
          <w:t>Figure 52- Hydrostatic Pressure Effect Per Artery.</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_Toc44684941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172</w:t>
        </w:r>
        <w:r w:rsidR="00106A32" w:rsidRPr="00E23897">
          <w:rPr>
            <w:rFonts w:ascii="Times New Roman" w:hAnsi="Times New Roman" w:cs="Times New Roman"/>
            <w:noProof/>
            <w:webHidden/>
            <w:sz w:val="24"/>
            <w:szCs w:val="24"/>
          </w:rPr>
          <w:fldChar w:fldCharType="end"/>
        </w:r>
      </w:hyperlink>
      <w:r w:rsidR="002E1054">
        <w:rPr>
          <w:noProof/>
        </w:rPr>
        <w:br/>
      </w:r>
    </w:p>
    <w:p w14:paraId="6986D16A" w14:textId="685A85E9"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42" w:history="1">
        <w:r w:rsidR="00F876DD" w:rsidRPr="00E23897">
          <w:rPr>
            <w:rStyle w:val="Hyperlink"/>
            <w:rFonts w:ascii="Times New Roman" w:hAnsi="Times New Roman" w:cs="Times New Roman"/>
            <w:i/>
            <w:noProof/>
            <w:sz w:val="24"/>
            <w:szCs w:val="24"/>
          </w:rPr>
          <w:t>Figure 53 - Suggested STEMI Pathway</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_Toc44684942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187</w:t>
        </w:r>
        <w:r w:rsidR="00106A32" w:rsidRPr="00E23897">
          <w:rPr>
            <w:rFonts w:ascii="Times New Roman" w:hAnsi="Times New Roman" w:cs="Times New Roman"/>
            <w:noProof/>
            <w:webHidden/>
            <w:sz w:val="24"/>
            <w:szCs w:val="24"/>
          </w:rPr>
          <w:fldChar w:fldCharType="end"/>
        </w:r>
      </w:hyperlink>
      <w:r w:rsidR="002E1054">
        <w:rPr>
          <w:noProof/>
        </w:rPr>
        <w:br/>
      </w:r>
    </w:p>
    <w:p w14:paraId="741CC179" w14:textId="13A39B41"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43" w:history="1">
        <w:r w:rsidR="00F876DD" w:rsidRPr="00E23897">
          <w:rPr>
            <w:rStyle w:val="Hyperlink"/>
            <w:rFonts w:ascii="Times New Roman" w:hAnsi="Times New Roman" w:cs="Times New Roman"/>
            <w:i/>
            <w:noProof/>
            <w:sz w:val="24"/>
            <w:szCs w:val="24"/>
          </w:rPr>
          <w:t>Figure 54 - Graduated Hydrostatic Correction</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_Toc44684943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190</w:t>
        </w:r>
        <w:r w:rsidR="00106A32" w:rsidRPr="00E23897">
          <w:rPr>
            <w:rFonts w:ascii="Times New Roman" w:hAnsi="Times New Roman" w:cs="Times New Roman"/>
            <w:noProof/>
            <w:webHidden/>
            <w:sz w:val="24"/>
            <w:szCs w:val="24"/>
          </w:rPr>
          <w:fldChar w:fldCharType="end"/>
        </w:r>
      </w:hyperlink>
      <w:r w:rsidR="002E1054">
        <w:rPr>
          <w:noProof/>
        </w:rPr>
        <w:br/>
      </w:r>
    </w:p>
    <w:p w14:paraId="0E37235D" w14:textId="2A780053" w:rsidR="00F876DD"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684944" w:history="1">
        <w:r w:rsidR="00F876DD" w:rsidRPr="00E23897">
          <w:rPr>
            <w:rStyle w:val="Hyperlink"/>
            <w:rFonts w:ascii="Times New Roman" w:hAnsi="Times New Roman" w:cs="Times New Roman"/>
            <w:i/>
            <w:noProof/>
            <w:sz w:val="24"/>
            <w:szCs w:val="24"/>
          </w:rPr>
          <w:t>Figure 55 - Hydrostatic Effect Immune Wire</w:t>
        </w:r>
        <w:r w:rsidR="00F876DD"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F876DD" w:rsidRPr="00E23897">
          <w:rPr>
            <w:rFonts w:ascii="Times New Roman" w:hAnsi="Times New Roman" w:cs="Times New Roman"/>
            <w:noProof/>
            <w:webHidden/>
            <w:sz w:val="24"/>
            <w:szCs w:val="24"/>
          </w:rPr>
          <w:instrText xml:space="preserve"> PAGEREF _Toc44684944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191</w:t>
        </w:r>
        <w:r w:rsidR="00106A32" w:rsidRPr="00E23897">
          <w:rPr>
            <w:rFonts w:ascii="Times New Roman" w:hAnsi="Times New Roman" w:cs="Times New Roman"/>
            <w:noProof/>
            <w:webHidden/>
            <w:sz w:val="24"/>
            <w:szCs w:val="24"/>
          </w:rPr>
          <w:fldChar w:fldCharType="end"/>
        </w:r>
      </w:hyperlink>
    </w:p>
    <w:p w14:paraId="6561F3A1" w14:textId="6BE2EADC" w:rsidR="00751D9E" w:rsidRPr="002B1641" w:rsidRDefault="00106A32" w:rsidP="002B1641">
      <w:r w:rsidRPr="00E23897">
        <w:fldChar w:fldCharType="end"/>
      </w:r>
      <w:r w:rsidR="00751D9E">
        <w:br/>
      </w:r>
    </w:p>
    <w:p w14:paraId="78BEBE70" w14:textId="77777777" w:rsidR="002B1641" w:rsidRDefault="002B1641">
      <w:pPr>
        <w:rPr>
          <w:rFonts w:ascii="Times New Roman" w:eastAsiaTheme="majorEastAsia" w:hAnsi="Times New Roman" w:cs="Times New Roman"/>
          <w:b/>
          <w:bCs/>
          <w:sz w:val="24"/>
          <w:szCs w:val="24"/>
        </w:rPr>
      </w:pPr>
      <w:bookmarkStart w:id="3" w:name="_Toc80302151"/>
      <w:r>
        <w:rPr>
          <w:rFonts w:ascii="Times New Roman" w:hAnsi="Times New Roman" w:cs="Times New Roman"/>
          <w:sz w:val="24"/>
          <w:szCs w:val="24"/>
        </w:rPr>
        <w:br w:type="page"/>
      </w:r>
    </w:p>
    <w:p w14:paraId="79CC4452" w14:textId="41411490" w:rsidR="002E1054" w:rsidRPr="002E1054" w:rsidRDefault="003E6610" w:rsidP="002E1054">
      <w:pPr>
        <w:pStyle w:val="Heading1"/>
        <w:rPr>
          <w:rFonts w:ascii="Times New Roman" w:hAnsi="Times New Roman" w:cs="Times New Roman"/>
          <w:color w:val="auto"/>
          <w:sz w:val="24"/>
          <w:szCs w:val="24"/>
        </w:rPr>
      </w:pPr>
      <w:r w:rsidRPr="00E23897">
        <w:rPr>
          <w:rFonts w:ascii="Times New Roman" w:hAnsi="Times New Roman" w:cs="Times New Roman"/>
          <w:color w:val="auto"/>
          <w:sz w:val="24"/>
          <w:szCs w:val="24"/>
        </w:rPr>
        <w:lastRenderedPageBreak/>
        <w:t>List of Tables</w:t>
      </w:r>
      <w:bookmarkEnd w:id="3"/>
    </w:p>
    <w:p w14:paraId="2C660004" w14:textId="77777777" w:rsidR="003E6610" w:rsidRPr="00E23897" w:rsidRDefault="003E6610" w:rsidP="003E6610">
      <w:pPr>
        <w:rPr>
          <w:rFonts w:ascii="Times New Roman" w:hAnsi="Times New Roman" w:cs="Times New Roman"/>
          <w:i/>
          <w:sz w:val="24"/>
          <w:szCs w:val="24"/>
        </w:rPr>
      </w:pPr>
    </w:p>
    <w:p w14:paraId="601B679A" w14:textId="2EDF52C2" w:rsidR="00E23897" w:rsidRPr="00E23897" w:rsidRDefault="00106A32">
      <w:pPr>
        <w:pStyle w:val="TableofFigures"/>
        <w:tabs>
          <w:tab w:val="right" w:leader="dot" w:pos="9350"/>
        </w:tabs>
        <w:rPr>
          <w:rFonts w:ascii="Times New Roman" w:eastAsiaTheme="minorEastAsia" w:hAnsi="Times New Roman" w:cs="Times New Roman"/>
          <w:noProof/>
          <w:sz w:val="24"/>
          <w:szCs w:val="24"/>
          <w:lang w:val="en-US"/>
        </w:rPr>
      </w:pPr>
      <w:r w:rsidRPr="00E23897">
        <w:rPr>
          <w:rFonts w:ascii="Times New Roman" w:hAnsi="Times New Roman" w:cs="Times New Roman"/>
          <w:sz w:val="24"/>
          <w:szCs w:val="24"/>
        </w:rPr>
        <w:fldChar w:fldCharType="begin"/>
      </w:r>
      <w:r w:rsidR="003E6610" w:rsidRPr="00E23897">
        <w:rPr>
          <w:rFonts w:ascii="Times New Roman" w:hAnsi="Times New Roman" w:cs="Times New Roman"/>
          <w:sz w:val="24"/>
          <w:szCs w:val="24"/>
        </w:rPr>
        <w:instrText xml:space="preserve"> TOC \h \z \c "Table" </w:instrText>
      </w:r>
      <w:r w:rsidRPr="00E23897">
        <w:rPr>
          <w:rFonts w:ascii="Times New Roman" w:hAnsi="Times New Roman" w:cs="Times New Roman"/>
          <w:sz w:val="24"/>
          <w:szCs w:val="24"/>
        </w:rPr>
        <w:fldChar w:fldCharType="separate"/>
      </w:r>
      <w:hyperlink w:anchor="_Toc44962577" w:history="1">
        <w:r w:rsidR="00E23897" w:rsidRPr="00E23897">
          <w:rPr>
            <w:rStyle w:val="Hyperlink"/>
            <w:rFonts w:ascii="Times New Roman" w:hAnsi="Times New Roman" w:cs="Times New Roman"/>
            <w:i/>
            <w:noProof/>
            <w:sz w:val="24"/>
            <w:szCs w:val="24"/>
          </w:rPr>
          <w:t>Table 1 - summary of DEFER, FAME and FAME II</w:t>
        </w:r>
        <w:r w:rsidR="00E23897" w:rsidRPr="00E23897">
          <w:rPr>
            <w:rFonts w:ascii="Times New Roman" w:hAnsi="Times New Roman" w:cs="Times New Roman"/>
            <w:noProof/>
            <w:webHidden/>
            <w:sz w:val="24"/>
            <w:szCs w:val="24"/>
          </w:rPr>
          <w:tab/>
        </w:r>
        <w:r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_Toc44962577 \h </w:instrText>
        </w:r>
        <w:r w:rsidRPr="00E23897">
          <w:rPr>
            <w:rFonts w:ascii="Times New Roman" w:hAnsi="Times New Roman" w:cs="Times New Roman"/>
            <w:noProof/>
            <w:webHidden/>
            <w:sz w:val="24"/>
            <w:szCs w:val="24"/>
          </w:rPr>
        </w:r>
        <w:r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38</w:t>
        </w:r>
        <w:r w:rsidRPr="00E23897">
          <w:rPr>
            <w:rFonts w:ascii="Times New Roman" w:hAnsi="Times New Roman" w:cs="Times New Roman"/>
            <w:noProof/>
            <w:webHidden/>
            <w:sz w:val="24"/>
            <w:szCs w:val="24"/>
          </w:rPr>
          <w:fldChar w:fldCharType="end"/>
        </w:r>
      </w:hyperlink>
      <w:r w:rsidR="00433EC0">
        <w:rPr>
          <w:noProof/>
        </w:rPr>
        <w:br/>
      </w:r>
    </w:p>
    <w:p w14:paraId="16626A18" w14:textId="71ED6278"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78" w:history="1">
        <w:r w:rsidR="00E23897" w:rsidRPr="00E23897">
          <w:rPr>
            <w:rStyle w:val="Hyperlink"/>
            <w:rFonts w:ascii="Times New Roman" w:hAnsi="Times New Roman" w:cs="Times New Roman"/>
            <w:i/>
            <w:noProof/>
            <w:sz w:val="24"/>
            <w:szCs w:val="24"/>
          </w:rPr>
          <w:t>Table 2 - the effect of a change in Pd of -0.05 on Pd/Pa with various systemic/Pa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_Toc44962578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56</w:t>
        </w:r>
        <w:r w:rsidR="00106A32" w:rsidRPr="00E23897">
          <w:rPr>
            <w:rFonts w:ascii="Times New Roman" w:hAnsi="Times New Roman" w:cs="Times New Roman"/>
            <w:noProof/>
            <w:webHidden/>
            <w:sz w:val="24"/>
            <w:szCs w:val="24"/>
          </w:rPr>
          <w:fldChar w:fldCharType="end"/>
        </w:r>
      </w:hyperlink>
      <w:r w:rsidR="00433EC0">
        <w:rPr>
          <w:noProof/>
        </w:rPr>
        <w:br/>
      </w:r>
    </w:p>
    <w:p w14:paraId="588CEAD1" w14:textId="0F6B17F4"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79" w:history="1">
        <w:r w:rsidR="00E23897" w:rsidRPr="00E23897">
          <w:rPr>
            <w:rStyle w:val="Hyperlink"/>
            <w:rFonts w:ascii="Times New Roman" w:hAnsi="Times New Roman" w:cs="Times New Roman"/>
            <w:i/>
            <w:noProof/>
            <w:sz w:val="24"/>
            <w:szCs w:val="24"/>
          </w:rPr>
          <w:t>Table 3 - CT Data Patient Demographics.</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_Toc44962579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62</w:t>
        </w:r>
        <w:r w:rsidR="00106A32" w:rsidRPr="00E23897">
          <w:rPr>
            <w:rFonts w:ascii="Times New Roman" w:hAnsi="Times New Roman" w:cs="Times New Roman"/>
            <w:noProof/>
            <w:webHidden/>
            <w:sz w:val="24"/>
            <w:szCs w:val="24"/>
          </w:rPr>
          <w:fldChar w:fldCharType="end"/>
        </w:r>
      </w:hyperlink>
      <w:r w:rsidR="00433EC0">
        <w:rPr>
          <w:noProof/>
        </w:rPr>
        <w:br/>
      </w:r>
    </w:p>
    <w:p w14:paraId="3119346F" w14:textId="323CFE8D"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0" w:history="1">
        <w:r w:rsidR="00E23897" w:rsidRPr="00E23897">
          <w:rPr>
            <w:rStyle w:val="Hyperlink"/>
            <w:rFonts w:ascii="Times New Roman" w:hAnsi="Times New Roman" w:cs="Times New Roman"/>
            <w:i/>
            <w:noProof/>
            <w:sz w:val="24"/>
            <w:szCs w:val="24"/>
          </w:rPr>
          <w:t>Table 4 - CT Height Data.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_Toc44962580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63</w:t>
        </w:r>
        <w:r w:rsidR="00106A32" w:rsidRPr="00E23897">
          <w:rPr>
            <w:rFonts w:ascii="Times New Roman" w:hAnsi="Times New Roman" w:cs="Times New Roman"/>
            <w:noProof/>
            <w:webHidden/>
            <w:sz w:val="24"/>
            <w:szCs w:val="24"/>
          </w:rPr>
          <w:fldChar w:fldCharType="end"/>
        </w:r>
      </w:hyperlink>
      <w:r w:rsidR="00433EC0">
        <w:rPr>
          <w:noProof/>
        </w:rPr>
        <w:br/>
      </w:r>
    </w:p>
    <w:p w14:paraId="2EFD5E5E" w14:textId="2997EF02"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1" w:history="1">
        <w:r w:rsidR="00E23897" w:rsidRPr="00E23897">
          <w:rPr>
            <w:rStyle w:val="Hyperlink"/>
            <w:rFonts w:ascii="Times New Roman" w:hAnsi="Times New Roman" w:cs="Times New Roman"/>
            <w:i/>
            <w:noProof/>
            <w:sz w:val="24"/>
            <w:szCs w:val="24"/>
          </w:rPr>
          <w:t>Table 5 - CT Heights to Ostium and Effect On Pressure</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66</w:t>
        </w:r>
        <w:r w:rsidR="00106A32" w:rsidRPr="00E23897">
          <w:rPr>
            <w:rFonts w:ascii="Times New Roman" w:hAnsi="Times New Roman" w:cs="Times New Roman"/>
            <w:noProof/>
            <w:webHidden/>
            <w:sz w:val="24"/>
            <w:szCs w:val="24"/>
          </w:rPr>
          <w:fldChar w:fldCharType="end"/>
        </w:r>
      </w:hyperlink>
      <w:r w:rsidR="00433EC0">
        <w:rPr>
          <w:noProof/>
        </w:rPr>
        <w:br/>
      </w:r>
    </w:p>
    <w:p w14:paraId="491A0009" w14:textId="34E14256"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2" w:history="1">
        <w:r w:rsidR="00E23897" w:rsidRPr="00E23897">
          <w:rPr>
            <w:rStyle w:val="Hyperlink"/>
            <w:rFonts w:ascii="Times New Roman" w:hAnsi="Times New Roman" w:cs="Times New Roman"/>
            <w:i/>
            <w:noProof/>
            <w:sz w:val="24"/>
            <w:szCs w:val="24"/>
          </w:rPr>
          <w:t>Table 6 - cFFR Values Crossing Ischaemic Threshold.</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67</w:t>
        </w:r>
        <w:r w:rsidR="00106A32" w:rsidRPr="00E23897">
          <w:rPr>
            <w:rFonts w:ascii="Times New Roman" w:hAnsi="Times New Roman" w:cs="Times New Roman"/>
            <w:noProof/>
            <w:webHidden/>
            <w:sz w:val="24"/>
            <w:szCs w:val="24"/>
          </w:rPr>
          <w:fldChar w:fldCharType="end"/>
        </w:r>
      </w:hyperlink>
      <w:r w:rsidR="00433EC0">
        <w:rPr>
          <w:noProof/>
        </w:rPr>
        <w:br/>
      </w:r>
    </w:p>
    <w:p w14:paraId="0580227A" w14:textId="7C05946D"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3" w:history="1">
        <w:r w:rsidR="00E23897" w:rsidRPr="00E23897">
          <w:rPr>
            <w:rStyle w:val="Hyperlink"/>
            <w:rFonts w:ascii="Times New Roman" w:hAnsi="Times New Roman" w:cs="Times New Roman"/>
            <w:i/>
            <w:noProof/>
            <w:sz w:val="24"/>
            <w:szCs w:val="24"/>
          </w:rPr>
          <w:t>Table 7 - Al-Janabi vs. Härle CT data.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71</w:t>
        </w:r>
        <w:r w:rsidR="00106A32" w:rsidRPr="00E23897">
          <w:rPr>
            <w:rFonts w:ascii="Times New Roman" w:hAnsi="Times New Roman" w:cs="Times New Roman"/>
            <w:noProof/>
            <w:webHidden/>
            <w:sz w:val="24"/>
            <w:szCs w:val="24"/>
          </w:rPr>
          <w:fldChar w:fldCharType="end"/>
        </w:r>
      </w:hyperlink>
      <w:r w:rsidR="00433EC0">
        <w:rPr>
          <w:noProof/>
        </w:rPr>
        <w:br/>
      </w:r>
    </w:p>
    <w:p w14:paraId="1FB7678E" w14:textId="4E89261C"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4" w:history="1">
        <w:r w:rsidR="00E23897" w:rsidRPr="00E23897">
          <w:rPr>
            <w:rStyle w:val="Hyperlink"/>
            <w:rFonts w:ascii="Times New Roman" w:hAnsi="Times New Roman" w:cs="Times New Roman"/>
            <w:i/>
            <w:noProof/>
            <w:sz w:val="24"/>
            <w:szCs w:val="24"/>
          </w:rPr>
          <w:t>Table 8 - Superior vs. Inferior Stenosis Position</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74</w:t>
        </w:r>
        <w:r w:rsidR="00106A32" w:rsidRPr="00E23897">
          <w:rPr>
            <w:rFonts w:ascii="Times New Roman" w:hAnsi="Times New Roman" w:cs="Times New Roman"/>
            <w:noProof/>
            <w:webHidden/>
            <w:sz w:val="24"/>
            <w:szCs w:val="24"/>
          </w:rPr>
          <w:fldChar w:fldCharType="end"/>
        </w:r>
      </w:hyperlink>
      <w:r w:rsidR="00433EC0">
        <w:rPr>
          <w:noProof/>
        </w:rPr>
        <w:br/>
      </w:r>
    </w:p>
    <w:p w14:paraId="5A0C8621" w14:textId="26277AD1"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5" w:history="1">
        <w:r w:rsidR="00E23897" w:rsidRPr="00E23897">
          <w:rPr>
            <w:rStyle w:val="Hyperlink"/>
            <w:rFonts w:ascii="Times New Roman" w:hAnsi="Times New Roman" w:cs="Times New Roman"/>
            <w:i/>
            <w:noProof/>
            <w:sz w:val="24"/>
            <w:szCs w:val="24"/>
          </w:rPr>
          <w:t>Table 9 - Pressure and Flow Case Study Data.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_Toc44962585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76</w:t>
        </w:r>
        <w:r w:rsidR="00106A32" w:rsidRPr="00E23897">
          <w:rPr>
            <w:rFonts w:ascii="Times New Roman" w:hAnsi="Times New Roman" w:cs="Times New Roman"/>
            <w:noProof/>
            <w:webHidden/>
            <w:sz w:val="24"/>
            <w:szCs w:val="24"/>
          </w:rPr>
          <w:fldChar w:fldCharType="end"/>
        </w:r>
      </w:hyperlink>
      <w:r w:rsidR="00433EC0">
        <w:rPr>
          <w:noProof/>
        </w:rPr>
        <w:br/>
      </w:r>
    </w:p>
    <w:p w14:paraId="2D828E22" w14:textId="053FD71E"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6" w:history="1">
        <w:r w:rsidR="00E23897" w:rsidRPr="00E23897">
          <w:rPr>
            <w:rStyle w:val="Hyperlink"/>
            <w:rFonts w:ascii="Times New Roman" w:hAnsi="Times New Roman" w:cs="Times New Roman"/>
            <w:i/>
            <w:noProof/>
            <w:sz w:val="24"/>
            <w:szCs w:val="24"/>
          </w:rPr>
          <w:t>Table 10 - Inclusion and exclusion criteria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_Toc44962586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83</w:t>
        </w:r>
        <w:r w:rsidR="00106A32" w:rsidRPr="00E23897">
          <w:rPr>
            <w:rFonts w:ascii="Times New Roman" w:hAnsi="Times New Roman" w:cs="Times New Roman"/>
            <w:noProof/>
            <w:webHidden/>
            <w:sz w:val="24"/>
            <w:szCs w:val="24"/>
          </w:rPr>
          <w:fldChar w:fldCharType="end"/>
        </w:r>
      </w:hyperlink>
      <w:r w:rsidR="00433EC0">
        <w:rPr>
          <w:noProof/>
        </w:rPr>
        <w:br/>
      </w:r>
    </w:p>
    <w:p w14:paraId="049388A5" w14:textId="65C19D24"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7" w:history="1">
        <w:r w:rsidR="00E23897" w:rsidRPr="00E23897">
          <w:rPr>
            <w:rStyle w:val="Hyperlink"/>
            <w:rFonts w:ascii="Times New Roman" w:hAnsi="Times New Roman" w:cs="Times New Roman"/>
            <w:i/>
            <w:noProof/>
            <w:sz w:val="24"/>
            <w:szCs w:val="24"/>
          </w:rPr>
          <w:t>Table 11 - Patient Demographics - In Vivo Data.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_Toc44962587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102</w:t>
        </w:r>
        <w:r w:rsidR="00106A32" w:rsidRPr="00E23897">
          <w:rPr>
            <w:rFonts w:ascii="Times New Roman" w:hAnsi="Times New Roman" w:cs="Times New Roman"/>
            <w:noProof/>
            <w:webHidden/>
            <w:sz w:val="24"/>
            <w:szCs w:val="24"/>
          </w:rPr>
          <w:fldChar w:fldCharType="end"/>
        </w:r>
      </w:hyperlink>
      <w:r w:rsidR="00433EC0">
        <w:rPr>
          <w:noProof/>
        </w:rPr>
        <w:br/>
      </w:r>
    </w:p>
    <w:p w14:paraId="2AEDD0B3" w14:textId="0C8514C3"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8" w:history="1">
        <w:r w:rsidR="00E23897" w:rsidRPr="00E23897">
          <w:rPr>
            <w:rStyle w:val="Hyperlink"/>
            <w:rFonts w:ascii="Times New Roman" w:hAnsi="Times New Roman" w:cs="Times New Roman"/>
            <w:i/>
            <w:noProof/>
            <w:sz w:val="24"/>
            <w:szCs w:val="24"/>
          </w:rPr>
          <w:t>Table 12 - Stenosis Data for All Cases</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_Toc44962588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104</w:t>
        </w:r>
        <w:r w:rsidR="00106A32" w:rsidRPr="00E23897">
          <w:rPr>
            <w:rFonts w:ascii="Times New Roman" w:hAnsi="Times New Roman" w:cs="Times New Roman"/>
            <w:noProof/>
            <w:webHidden/>
            <w:sz w:val="24"/>
            <w:szCs w:val="24"/>
          </w:rPr>
          <w:fldChar w:fldCharType="end"/>
        </w:r>
      </w:hyperlink>
      <w:r w:rsidR="00433EC0">
        <w:rPr>
          <w:noProof/>
        </w:rPr>
        <w:br/>
      </w:r>
    </w:p>
    <w:p w14:paraId="006C23B2" w14:textId="5078AB38"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89" w:history="1">
        <w:r w:rsidR="00E23897" w:rsidRPr="00E23897">
          <w:rPr>
            <w:rStyle w:val="Hyperlink"/>
            <w:rFonts w:ascii="Times New Roman" w:hAnsi="Times New Roman" w:cs="Times New Roman"/>
            <w:i/>
            <w:noProof/>
            <w:sz w:val="24"/>
            <w:szCs w:val="24"/>
          </w:rPr>
          <w:t>Table 13 - Treated Lesions. Stent lengths are in mm.</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_Toc44962589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105</w:t>
        </w:r>
        <w:r w:rsidR="00106A32" w:rsidRPr="00E23897">
          <w:rPr>
            <w:rFonts w:ascii="Times New Roman" w:hAnsi="Times New Roman" w:cs="Times New Roman"/>
            <w:noProof/>
            <w:webHidden/>
            <w:sz w:val="24"/>
            <w:szCs w:val="24"/>
          </w:rPr>
          <w:fldChar w:fldCharType="end"/>
        </w:r>
      </w:hyperlink>
      <w:r w:rsidR="00433EC0">
        <w:rPr>
          <w:noProof/>
        </w:rPr>
        <w:br/>
      </w:r>
    </w:p>
    <w:p w14:paraId="4FA20DC6" w14:textId="339FFD7E"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0" w:history="1">
        <w:r w:rsidR="00E23897" w:rsidRPr="00E23897">
          <w:rPr>
            <w:rStyle w:val="Hyperlink"/>
            <w:rFonts w:ascii="Times New Roman" w:hAnsi="Times New Roman" w:cs="Times New Roman"/>
            <w:i/>
            <w:noProof/>
            <w:sz w:val="24"/>
            <w:szCs w:val="24"/>
          </w:rPr>
          <w:t>Table 14 - Guide to Wire Data.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_Toc44962590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107</w:t>
        </w:r>
        <w:r w:rsidR="00106A32" w:rsidRPr="00E23897">
          <w:rPr>
            <w:rFonts w:ascii="Times New Roman" w:hAnsi="Times New Roman" w:cs="Times New Roman"/>
            <w:noProof/>
            <w:webHidden/>
            <w:sz w:val="24"/>
            <w:szCs w:val="24"/>
          </w:rPr>
          <w:fldChar w:fldCharType="end"/>
        </w:r>
      </w:hyperlink>
      <w:r w:rsidR="00433EC0">
        <w:rPr>
          <w:noProof/>
        </w:rPr>
        <w:br/>
      </w:r>
    </w:p>
    <w:p w14:paraId="16F741EB" w14:textId="2D8EF662"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1" w:history="1">
        <w:r w:rsidR="00E23897" w:rsidRPr="00E23897">
          <w:rPr>
            <w:rStyle w:val="Hyperlink"/>
            <w:rFonts w:ascii="Times New Roman" w:hAnsi="Times New Roman" w:cs="Times New Roman"/>
            <w:i/>
            <w:noProof/>
            <w:sz w:val="24"/>
            <w:szCs w:val="24"/>
          </w:rPr>
          <w:t>Table 15 - Anticipated Direction of Change.</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109</w:t>
        </w:r>
        <w:r w:rsidR="00106A32" w:rsidRPr="00E23897">
          <w:rPr>
            <w:rFonts w:ascii="Times New Roman" w:hAnsi="Times New Roman" w:cs="Times New Roman"/>
            <w:noProof/>
            <w:webHidden/>
            <w:sz w:val="24"/>
            <w:szCs w:val="24"/>
          </w:rPr>
          <w:fldChar w:fldCharType="end"/>
        </w:r>
      </w:hyperlink>
      <w:r w:rsidR="00433EC0">
        <w:rPr>
          <w:noProof/>
        </w:rPr>
        <w:br/>
      </w:r>
    </w:p>
    <w:p w14:paraId="26A8A346" w14:textId="28FA32CC"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2" w:history="1">
        <w:r w:rsidR="00E23897" w:rsidRPr="00E23897">
          <w:rPr>
            <w:rStyle w:val="Hyperlink"/>
            <w:rFonts w:ascii="Times New Roman" w:hAnsi="Times New Roman" w:cs="Times New Roman"/>
            <w:i/>
            <w:noProof/>
            <w:sz w:val="24"/>
            <w:szCs w:val="24"/>
          </w:rPr>
          <w:t>Table 16 - Prone vs. Supine Pd/Pa.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111</w:t>
        </w:r>
        <w:r w:rsidR="00106A32" w:rsidRPr="00E23897">
          <w:rPr>
            <w:rFonts w:ascii="Times New Roman" w:hAnsi="Times New Roman" w:cs="Times New Roman"/>
            <w:noProof/>
            <w:webHidden/>
            <w:sz w:val="24"/>
            <w:szCs w:val="24"/>
          </w:rPr>
          <w:fldChar w:fldCharType="end"/>
        </w:r>
      </w:hyperlink>
      <w:r w:rsidR="00433EC0">
        <w:rPr>
          <w:noProof/>
        </w:rPr>
        <w:br/>
      </w:r>
    </w:p>
    <w:p w14:paraId="2E8C722C" w14:textId="63E6E09F"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3" w:history="1">
        <w:r w:rsidR="00E23897" w:rsidRPr="00E23897">
          <w:rPr>
            <w:rStyle w:val="Hyperlink"/>
            <w:rFonts w:ascii="Times New Roman" w:hAnsi="Times New Roman" w:cs="Times New Roman"/>
            <w:i/>
            <w:noProof/>
            <w:sz w:val="24"/>
            <w:szCs w:val="24"/>
          </w:rPr>
          <w:t>Table 17 - LAD Pd/Pa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113</w:t>
        </w:r>
        <w:r w:rsidR="00106A32" w:rsidRPr="00E23897">
          <w:rPr>
            <w:rFonts w:ascii="Times New Roman" w:hAnsi="Times New Roman" w:cs="Times New Roman"/>
            <w:noProof/>
            <w:webHidden/>
            <w:sz w:val="24"/>
            <w:szCs w:val="24"/>
          </w:rPr>
          <w:fldChar w:fldCharType="end"/>
        </w:r>
      </w:hyperlink>
      <w:r w:rsidR="00433EC0">
        <w:rPr>
          <w:noProof/>
        </w:rPr>
        <w:br/>
      </w:r>
    </w:p>
    <w:p w14:paraId="5D04CF3C" w14:textId="2609E498"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4" w:history="1">
        <w:r w:rsidR="00E23897" w:rsidRPr="00E23897">
          <w:rPr>
            <w:rStyle w:val="Hyperlink"/>
            <w:rFonts w:ascii="Times New Roman" w:hAnsi="Times New Roman" w:cs="Times New Roman"/>
            <w:i/>
            <w:noProof/>
            <w:sz w:val="24"/>
            <w:szCs w:val="24"/>
          </w:rPr>
          <w:t>Table 18 - Cx Pd/Pa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115</w:t>
        </w:r>
        <w:r w:rsidR="00106A32" w:rsidRPr="00E23897">
          <w:rPr>
            <w:rFonts w:ascii="Times New Roman" w:hAnsi="Times New Roman" w:cs="Times New Roman"/>
            <w:noProof/>
            <w:webHidden/>
            <w:sz w:val="24"/>
            <w:szCs w:val="24"/>
          </w:rPr>
          <w:fldChar w:fldCharType="end"/>
        </w:r>
      </w:hyperlink>
      <w:r w:rsidR="00433EC0">
        <w:rPr>
          <w:noProof/>
        </w:rPr>
        <w:br/>
      </w:r>
    </w:p>
    <w:p w14:paraId="1C8F150E" w14:textId="271CB296"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5" w:history="1">
        <w:r w:rsidR="00E23897" w:rsidRPr="00E23897">
          <w:rPr>
            <w:rStyle w:val="Hyperlink"/>
            <w:rFonts w:ascii="Times New Roman" w:hAnsi="Times New Roman" w:cs="Times New Roman"/>
            <w:i/>
            <w:noProof/>
            <w:sz w:val="24"/>
            <w:szCs w:val="24"/>
          </w:rPr>
          <w:t>Table 19 - RCA Pd/Pa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_Toc44962595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117</w:t>
        </w:r>
        <w:r w:rsidR="00106A32" w:rsidRPr="00E23897">
          <w:rPr>
            <w:rFonts w:ascii="Times New Roman" w:hAnsi="Times New Roman" w:cs="Times New Roman"/>
            <w:noProof/>
            <w:webHidden/>
            <w:sz w:val="24"/>
            <w:szCs w:val="24"/>
          </w:rPr>
          <w:fldChar w:fldCharType="end"/>
        </w:r>
      </w:hyperlink>
      <w:r w:rsidR="00433EC0">
        <w:rPr>
          <w:noProof/>
        </w:rPr>
        <w:br/>
      </w:r>
    </w:p>
    <w:p w14:paraId="38276EE9" w14:textId="41857B3C"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6" w:history="1">
        <w:r w:rsidR="00E23897" w:rsidRPr="00E23897">
          <w:rPr>
            <w:rStyle w:val="Hyperlink"/>
            <w:rFonts w:ascii="Times New Roman" w:hAnsi="Times New Roman" w:cs="Times New Roman"/>
            <w:i/>
            <w:noProof/>
            <w:sz w:val="24"/>
            <w:szCs w:val="24"/>
          </w:rPr>
          <w:t>Table 20 - Prone vs. Supine iFR.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_Toc44962596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119</w:t>
        </w:r>
        <w:r w:rsidR="00106A32" w:rsidRPr="00E23897">
          <w:rPr>
            <w:rFonts w:ascii="Times New Roman" w:hAnsi="Times New Roman" w:cs="Times New Roman"/>
            <w:noProof/>
            <w:webHidden/>
            <w:sz w:val="24"/>
            <w:szCs w:val="24"/>
          </w:rPr>
          <w:fldChar w:fldCharType="end"/>
        </w:r>
      </w:hyperlink>
      <w:r w:rsidR="00433EC0">
        <w:rPr>
          <w:noProof/>
        </w:rPr>
        <w:br/>
      </w:r>
    </w:p>
    <w:p w14:paraId="5BD6BCA8" w14:textId="013FD405"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7" w:history="1">
        <w:r w:rsidR="00E23897" w:rsidRPr="00E23897">
          <w:rPr>
            <w:rStyle w:val="Hyperlink"/>
            <w:rFonts w:ascii="Times New Roman" w:hAnsi="Times New Roman" w:cs="Times New Roman"/>
            <w:i/>
            <w:noProof/>
            <w:sz w:val="24"/>
            <w:szCs w:val="24"/>
          </w:rPr>
          <w:t>Table 21 - LAD iFR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_Toc44962597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122</w:t>
        </w:r>
        <w:r w:rsidR="00106A32" w:rsidRPr="00E23897">
          <w:rPr>
            <w:rFonts w:ascii="Times New Roman" w:hAnsi="Times New Roman" w:cs="Times New Roman"/>
            <w:noProof/>
            <w:webHidden/>
            <w:sz w:val="24"/>
            <w:szCs w:val="24"/>
          </w:rPr>
          <w:fldChar w:fldCharType="end"/>
        </w:r>
      </w:hyperlink>
      <w:r w:rsidR="00433EC0">
        <w:rPr>
          <w:noProof/>
        </w:rPr>
        <w:br/>
      </w:r>
    </w:p>
    <w:p w14:paraId="581054F8" w14:textId="11ED48E2"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8" w:history="1">
        <w:r w:rsidR="00E23897" w:rsidRPr="00E23897">
          <w:rPr>
            <w:rStyle w:val="Hyperlink"/>
            <w:rFonts w:ascii="Times New Roman" w:hAnsi="Times New Roman" w:cs="Times New Roman"/>
            <w:i/>
            <w:noProof/>
            <w:sz w:val="24"/>
            <w:szCs w:val="24"/>
          </w:rPr>
          <w:t>Table 22 - Cx iFR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_Toc44962598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124</w:t>
        </w:r>
        <w:r w:rsidR="00106A32" w:rsidRPr="00E23897">
          <w:rPr>
            <w:rFonts w:ascii="Times New Roman" w:hAnsi="Times New Roman" w:cs="Times New Roman"/>
            <w:noProof/>
            <w:webHidden/>
            <w:sz w:val="24"/>
            <w:szCs w:val="24"/>
          </w:rPr>
          <w:fldChar w:fldCharType="end"/>
        </w:r>
      </w:hyperlink>
      <w:r w:rsidR="00433EC0">
        <w:rPr>
          <w:noProof/>
        </w:rPr>
        <w:br/>
      </w:r>
    </w:p>
    <w:p w14:paraId="05988311" w14:textId="74EA1CCE"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599" w:history="1">
        <w:r w:rsidR="00E23897" w:rsidRPr="00E23897">
          <w:rPr>
            <w:rStyle w:val="Hyperlink"/>
            <w:rFonts w:ascii="Times New Roman" w:hAnsi="Times New Roman" w:cs="Times New Roman"/>
            <w:i/>
            <w:noProof/>
            <w:sz w:val="24"/>
            <w:szCs w:val="24"/>
          </w:rPr>
          <w:t>Table 23 - RCA iFR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_Toc44962599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127</w:t>
        </w:r>
        <w:r w:rsidR="00106A32" w:rsidRPr="00E23897">
          <w:rPr>
            <w:rFonts w:ascii="Times New Roman" w:hAnsi="Times New Roman" w:cs="Times New Roman"/>
            <w:noProof/>
            <w:webHidden/>
            <w:sz w:val="24"/>
            <w:szCs w:val="24"/>
          </w:rPr>
          <w:fldChar w:fldCharType="end"/>
        </w:r>
      </w:hyperlink>
      <w:r w:rsidR="00433EC0">
        <w:rPr>
          <w:noProof/>
        </w:rPr>
        <w:br/>
      </w:r>
    </w:p>
    <w:p w14:paraId="46E8D5E7" w14:textId="131D6DF2"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0" w:history="1">
        <w:r w:rsidR="00E23897" w:rsidRPr="00E23897">
          <w:rPr>
            <w:rStyle w:val="Hyperlink"/>
            <w:rFonts w:ascii="Times New Roman" w:hAnsi="Times New Roman" w:cs="Times New Roman"/>
            <w:i/>
            <w:noProof/>
            <w:sz w:val="24"/>
            <w:szCs w:val="24"/>
          </w:rPr>
          <w:t>Table 24 - Prone vs. Supine FFR.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_Toc44962600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128</w:t>
        </w:r>
        <w:r w:rsidR="00106A32" w:rsidRPr="00E23897">
          <w:rPr>
            <w:rFonts w:ascii="Times New Roman" w:hAnsi="Times New Roman" w:cs="Times New Roman"/>
            <w:noProof/>
            <w:webHidden/>
            <w:sz w:val="24"/>
            <w:szCs w:val="24"/>
          </w:rPr>
          <w:fldChar w:fldCharType="end"/>
        </w:r>
      </w:hyperlink>
      <w:r w:rsidR="00433EC0">
        <w:rPr>
          <w:noProof/>
        </w:rPr>
        <w:br/>
      </w:r>
    </w:p>
    <w:p w14:paraId="6D62D7A1" w14:textId="5FC4A83B"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1" w:history="1">
        <w:r w:rsidR="00E23897" w:rsidRPr="00E23897">
          <w:rPr>
            <w:rStyle w:val="Hyperlink"/>
            <w:rFonts w:ascii="Times New Roman" w:hAnsi="Times New Roman" w:cs="Times New Roman"/>
            <w:i/>
            <w:noProof/>
            <w:sz w:val="24"/>
            <w:szCs w:val="24"/>
          </w:rPr>
          <w:t>Table 25 - LAD FFR.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131</w:t>
        </w:r>
        <w:r w:rsidR="00106A32" w:rsidRPr="00E23897">
          <w:rPr>
            <w:rFonts w:ascii="Times New Roman" w:hAnsi="Times New Roman" w:cs="Times New Roman"/>
            <w:noProof/>
            <w:webHidden/>
            <w:sz w:val="24"/>
            <w:szCs w:val="24"/>
          </w:rPr>
          <w:fldChar w:fldCharType="end"/>
        </w:r>
      </w:hyperlink>
      <w:r w:rsidR="00433EC0">
        <w:rPr>
          <w:noProof/>
        </w:rPr>
        <w:br/>
      </w:r>
    </w:p>
    <w:p w14:paraId="03F73E18" w14:textId="0F4B48E5"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2" w:history="1">
        <w:r w:rsidR="00E23897" w:rsidRPr="00E23897">
          <w:rPr>
            <w:rStyle w:val="Hyperlink"/>
            <w:rFonts w:ascii="Times New Roman" w:hAnsi="Times New Roman" w:cs="Times New Roman"/>
            <w:i/>
            <w:noProof/>
            <w:sz w:val="24"/>
            <w:szCs w:val="24"/>
          </w:rPr>
          <w:t>Table 26 - Cx FFR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133</w:t>
        </w:r>
        <w:r w:rsidR="00106A32" w:rsidRPr="00E23897">
          <w:rPr>
            <w:rFonts w:ascii="Times New Roman" w:hAnsi="Times New Roman" w:cs="Times New Roman"/>
            <w:noProof/>
            <w:webHidden/>
            <w:sz w:val="24"/>
            <w:szCs w:val="24"/>
          </w:rPr>
          <w:fldChar w:fldCharType="end"/>
        </w:r>
      </w:hyperlink>
      <w:r w:rsidR="00433EC0">
        <w:rPr>
          <w:noProof/>
        </w:rPr>
        <w:br/>
      </w:r>
    </w:p>
    <w:p w14:paraId="3F15C2E9" w14:textId="7C641F51"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3" w:history="1">
        <w:r w:rsidR="00E23897" w:rsidRPr="00E23897">
          <w:rPr>
            <w:rStyle w:val="Hyperlink"/>
            <w:rFonts w:ascii="Times New Roman" w:hAnsi="Times New Roman" w:cs="Times New Roman"/>
            <w:i/>
            <w:noProof/>
            <w:sz w:val="24"/>
            <w:szCs w:val="24"/>
          </w:rPr>
          <w:t>Table 27 - RCA FFR.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135</w:t>
        </w:r>
        <w:r w:rsidR="00106A32" w:rsidRPr="00E23897">
          <w:rPr>
            <w:rFonts w:ascii="Times New Roman" w:hAnsi="Times New Roman" w:cs="Times New Roman"/>
            <w:noProof/>
            <w:webHidden/>
            <w:sz w:val="24"/>
            <w:szCs w:val="24"/>
          </w:rPr>
          <w:fldChar w:fldCharType="end"/>
        </w:r>
      </w:hyperlink>
      <w:r w:rsidR="00433EC0">
        <w:rPr>
          <w:noProof/>
        </w:rPr>
        <w:br/>
      </w:r>
    </w:p>
    <w:p w14:paraId="40E33438" w14:textId="75D6EF2B"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4" w:history="1">
        <w:r w:rsidR="00E23897" w:rsidRPr="00E23897">
          <w:rPr>
            <w:rStyle w:val="Hyperlink"/>
            <w:rFonts w:ascii="Times New Roman" w:hAnsi="Times New Roman" w:cs="Times New Roman"/>
            <w:i/>
            <w:noProof/>
            <w:sz w:val="24"/>
            <w:szCs w:val="24"/>
          </w:rPr>
          <w:t>Table 28 - LAD Clinical Measurement Point.</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137</w:t>
        </w:r>
        <w:r w:rsidR="00106A32" w:rsidRPr="00E23897">
          <w:rPr>
            <w:rFonts w:ascii="Times New Roman" w:hAnsi="Times New Roman" w:cs="Times New Roman"/>
            <w:noProof/>
            <w:webHidden/>
            <w:sz w:val="24"/>
            <w:szCs w:val="24"/>
          </w:rPr>
          <w:fldChar w:fldCharType="end"/>
        </w:r>
      </w:hyperlink>
      <w:r w:rsidR="00433EC0">
        <w:rPr>
          <w:noProof/>
        </w:rPr>
        <w:br/>
      </w:r>
    </w:p>
    <w:p w14:paraId="67571E6F" w14:textId="4B099CD2"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5" w:history="1">
        <w:r w:rsidR="00E23897" w:rsidRPr="00E23897">
          <w:rPr>
            <w:rStyle w:val="Hyperlink"/>
            <w:rFonts w:ascii="Times New Roman" w:hAnsi="Times New Roman" w:cs="Times New Roman"/>
            <w:i/>
            <w:noProof/>
            <w:sz w:val="24"/>
            <w:szCs w:val="24"/>
          </w:rPr>
          <w:t>Table 29 - Cx Clinical Measurement Point</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_Toc44962605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139</w:t>
        </w:r>
        <w:r w:rsidR="00106A32" w:rsidRPr="00E23897">
          <w:rPr>
            <w:rFonts w:ascii="Times New Roman" w:hAnsi="Times New Roman" w:cs="Times New Roman"/>
            <w:noProof/>
            <w:webHidden/>
            <w:sz w:val="24"/>
            <w:szCs w:val="24"/>
          </w:rPr>
          <w:fldChar w:fldCharType="end"/>
        </w:r>
      </w:hyperlink>
      <w:r w:rsidR="00433EC0">
        <w:rPr>
          <w:noProof/>
        </w:rPr>
        <w:br/>
      </w:r>
    </w:p>
    <w:p w14:paraId="14377D37" w14:textId="5CF271C8"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6" w:history="1">
        <w:r w:rsidR="00E23897" w:rsidRPr="00E23897">
          <w:rPr>
            <w:rStyle w:val="Hyperlink"/>
            <w:rFonts w:ascii="Times New Roman" w:hAnsi="Times New Roman" w:cs="Times New Roman"/>
            <w:i/>
            <w:noProof/>
            <w:sz w:val="24"/>
            <w:szCs w:val="24"/>
          </w:rPr>
          <w:t>Table 30 - RCA Clinical Measurement Point</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_Toc44962606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140</w:t>
        </w:r>
        <w:r w:rsidR="00106A32" w:rsidRPr="00E23897">
          <w:rPr>
            <w:rFonts w:ascii="Times New Roman" w:hAnsi="Times New Roman" w:cs="Times New Roman"/>
            <w:noProof/>
            <w:webHidden/>
            <w:sz w:val="24"/>
            <w:szCs w:val="24"/>
          </w:rPr>
          <w:fldChar w:fldCharType="end"/>
        </w:r>
      </w:hyperlink>
      <w:r w:rsidR="00433EC0">
        <w:rPr>
          <w:noProof/>
        </w:rPr>
        <w:br/>
      </w:r>
    </w:p>
    <w:p w14:paraId="2FCB683F" w14:textId="6218DF72"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7" w:history="1">
        <w:r w:rsidR="00E23897" w:rsidRPr="00E23897">
          <w:rPr>
            <w:rStyle w:val="Hyperlink"/>
            <w:rFonts w:ascii="Times New Roman" w:hAnsi="Times New Roman" w:cs="Times New Roman"/>
            <w:i/>
            <w:noProof/>
            <w:sz w:val="24"/>
            <w:szCs w:val="24"/>
          </w:rPr>
          <w:t>Table</w:t>
        </w:r>
        <w:r w:rsidR="00433EC0">
          <w:rPr>
            <w:rStyle w:val="Hyperlink"/>
            <w:rFonts w:ascii="Times New Roman" w:hAnsi="Times New Roman" w:cs="Times New Roman"/>
            <w:i/>
            <w:noProof/>
            <w:sz w:val="24"/>
            <w:szCs w:val="24"/>
          </w:rPr>
          <w:t xml:space="preserve"> 31 - Stenosis Re-classification</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_Toc44962607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142</w:t>
        </w:r>
        <w:r w:rsidR="00106A32" w:rsidRPr="00E23897">
          <w:rPr>
            <w:rFonts w:ascii="Times New Roman" w:hAnsi="Times New Roman" w:cs="Times New Roman"/>
            <w:noProof/>
            <w:webHidden/>
            <w:sz w:val="24"/>
            <w:szCs w:val="24"/>
          </w:rPr>
          <w:fldChar w:fldCharType="end"/>
        </w:r>
      </w:hyperlink>
      <w:r w:rsidR="00433EC0">
        <w:rPr>
          <w:noProof/>
        </w:rPr>
        <w:br/>
      </w:r>
    </w:p>
    <w:p w14:paraId="296AF462" w14:textId="4B66B229"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8" w:history="1">
        <w:r w:rsidR="00E23897" w:rsidRPr="00E23897">
          <w:rPr>
            <w:rStyle w:val="Hyperlink"/>
            <w:rFonts w:ascii="Times New Roman" w:hAnsi="Times New Roman" w:cs="Times New Roman"/>
            <w:i/>
            <w:noProof/>
            <w:sz w:val="24"/>
            <w:szCs w:val="24"/>
          </w:rPr>
          <w:t>Table 32- Prone vs. Supine Resting Doppler Flow.</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_Toc44962608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143</w:t>
        </w:r>
        <w:r w:rsidR="00106A32" w:rsidRPr="00E23897">
          <w:rPr>
            <w:rFonts w:ascii="Times New Roman" w:hAnsi="Times New Roman" w:cs="Times New Roman"/>
            <w:noProof/>
            <w:webHidden/>
            <w:sz w:val="24"/>
            <w:szCs w:val="24"/>
          </w:rPr>
          <w:fldChar w:fldCharType="end"/>
        </w:r>
      </w:hyperlink>
      <w:r w:rsidR="00433EC0">
        <w:rPr>
          <w:noProof/>
        </w:rPr>
        <w:br/>
      </w:r>
    </w:p>
    <w:p w14:paraId="072E0F9F" w14:textId="3A6A271F"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09" w:history="1">
        <w:r w:rsidR="00E23897" w:rsidRPr="00E23897">
          <w:rPr>
            <w:rStyle w:val="Hyperlink"/>
            <w:rFonts w:ascii="Times New Roman" w:hAnsi="Times New Roman" w:cs="Times New Roman"/>
            <w:i/>
            <w:noProof/>
            <w:sz w:val="24"/>
            <w:szCs w:val="24"/>
          </w:rPr>
          <w:t>Table 33 - Prone vs. Supine Hyperaemic Doppler Flow.</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_Toc44962609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144</w:t>
        </w:r>
        <w:r w:rsidR="00106A32" w:rsidRPr="00E23897">
          <w:rPr>
            <w:rFonts w:ascii="Times New Roman" w:hAnsi="Times New Roman" w:cs="Times New Roman"/>
            <w:noProof/>
            <w:webHidden/>
            <w:sz w:val="24"/>
            <w:szCs w:val="24"/>
          </w:rPr>
          <w:fldChar w:fldCharType="end"/>
        </w:r>
      </w:hyperlink>
      <w:r w:rsidR="00433EC0">
        <w:rPr>
          <w:noProof/>
        </w:rPr>
        <w:br/>
      </w:r>
    </w:p>
    <w:p w14:paraId="0D1A0D33" w14:textId="30E49572"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10" w:history="1">
        <w:r w:rsidR="00E23897" w:rsidRPr="00E23897">
          <w:rPr>
            <w:rStyle w:val="Hyperlink"/>
            <w:rFonts w:ascii="Times New Roman" w:hAnsi="Times New Roman" w:cs="Times New Roman"/>
            <w:i/>
            <w:noProof/>
            <w:sz w:val="24"/>
            <w:szCs w:val="24"/>
          </w:rPr>
          <w:t>Table 34 - Per Artery Resting and Hyperaemic Doppler Flow.</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_Toc44962610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148</w:t>
        </w:r>
        <w:r w:rsidR="00106A32" w:rsidRPr="00E23897">
          <w:rPr>
            <w:rFonts w:ascii="Times New Roman" w:hAnsi="Times New Roman" w:cs="Times New Roman"/>
            <w:noProof/>
            <w:webHidden/>
            <w:sz w:val="24"/>
            <w:szCs w:val="24"/>
          </w:rPr>
          <w:fldChar w:fldCharType="end"/>
        </w:r>
      </w:hyperlink>
      <w:r w:rsidR="00433EC0">
        <w:rPr>
          <w:noProof/>
        </w:rPr>
        <w:br/>
      </w:r>
    </w:p>
    <w:p w14:paraId="3B79071D" w14:textId="3B7198A1"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11" w:history="1">
        <w:r w:rsidR="00E23897" w:rsidRPr="00E23897">
          <w:rPr>
            <w:rStyle w:val="Hyperlink"/>
            <w:rFonts w:ascii="Times New Roman" w:hAnsi="Times New Roman" w:cs="Times New Roman"/>
            <w:i/>
            <w:noProof/>
            <w:sz w:val="24"/>
            <w:szCs w:val="24"/>
          </w:rPr>
          <w:t>Table 35 - Predicted vs. Actual Hydrostatic Effect in Vivo</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_Toc44962611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154</w:t>
        </w:r>
        <w:r w:rsidR="00106A32" w:rsidRPr="00E23897">
          <w:rPr>
            <w:rFonts w:ascii="Times New Roman" w:hAnsi="Times New Roman" w:cs="Times New Roman"/>
            <w:noProof/>
            <w:webHidden/>
            <w:sz w:val="24"/>
            <w:szCs w:val="24"/>
          </w:rPr>
          <w:fldChar w:fldCharType="end"/>
        </w:r>
      </w:hyperlink>
      <w:r w:rsidR="00433EC0">
        <w:rPr>
          <w:noProof/>
        </w:rPr>
        <w:br/>
      </w:r>
    </w:p>
    <w:p w14:paraId="2D12B61C" w14:textId="69869275"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12" w:history="1">
        <w:r w:rsidR="00E23897" w:rsidRPr="00E23897">
          <w:rPr>
            <w:rStyle w:val="Hyperlink"/>
            <w:rFonts w:ascii="Times New Roman" w:hAnsi="Times New Roman" w:cs="Times New Roman"/>
            <w:i/>
            <w:noProof/>
            <w:sz w:val="24"/>
            <w:szCs w:val="24"/>
          </w:rPr>
          <w:t>Table 36 - Pa Pressure During Prone and Supine Pd/Pa, iFR and FFR.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_Toc44962612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163</w:t>
        </w:r>
        <w:r w:rsidR="00106A32" w:rsidRPr="00E23897">
          <w:rPr>
            <w:rFonts w:ascii="Times New Roman" w:hAnsi="Times New Roman" w:cs="Times New Roman"/>
            <w:noProof/>
            <w:webHidden/>
            <w:sz w:val="24"/>
            <w:szCs w:val="24"/>
          </w:rPr>
          <w:fldChar w:fldCharType="end"/>
        </w:r>
      </w:hyperlink>
      <w:r w:rsidR="00433EC0">
        <w:rPr>
          <w:noProof/>
        </w:rPr>
        <w:br/>
      </w:r>
    </w:p>
    <w:p w14:paraId="41E10A17" w14:textId="3439250E"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13" w:history="1">
        <w:r w:rsidR="00E23897" w:rsidRPr="00E23897">
          <w:rPr>
            <w:rStyle w:val="Hyperlink"/>
            <w:rFonts w:ascii="Times New Roman" w:hAnsi="Times New Roman" w:cs="Times New Roman"/>
            <w:i/>
            <w:noProof/>
            <w:sz w:val="24"/>
            <w:szCs w:val="24"/>
          </w:rPr>
          <w:t>Table 37 - Delta Change Between Patient Position - Al-Janabi vs. Härle Data.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_Toc44962613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165</w:t>
        </w:r>
        <w:r w:rsidR="00106A32" w:rsidRPr="00E23897">
          <w:rPr>
            <w:rFonts w:ascii="Times New Roman" w:hAnsi="Times New Roman" w:cs="Times New Roman"/>
            <w:noProof/>
            <w:webHidden/>
            <w:sz w:val="24"/>
            <w:szCs w:val="24"/>
          </w:rPr>
          <w:fldChar w:fldCharType="end"/>
        </w:r>
      </w:hyperlink>
      <w:r w:rsidR="00433EC0">
        <w:rPr>
          <w:noProof/>
        </w:rPr>
        <w:br/>
      </w:r>
    </w:p>
    <w:p w14:paraId="714CFDDA" w14:textId="64651949"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14" w:history="1">
        <w:r w:rsidR="00E23897" w:rsidRPr="00E23897">
          <w:rPr>
            <w:rStyle w:val="Hyperlink"/>
            <w:rFonts w:ascii="Times New Roman" w:hAnsi="Times New Roman" w:cs="Times New Roman"/>
            <w:i/>
            <w:noProof/>
            <w:sz w:val="24"/>
            <w:szCs w:val="24"/>
          </w:rPr>
          <w:t>Table 38 - Al-Janabi vs. Kawaguchi Data.</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_Toc44962614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166</w:t>
        </w:r>
        <w:r w:rsidR="00106A32" w:rsidRPr="00E23897">
          <w:rPr>
            <w:rFonts w:ascii="Times New Roman" w:hAnsi="Times New Roman" w:cs="Times New Roman"/>
            <w:noProof/>
            <w:webHidden/>
            <w:sz w:val="24"/>
            <w:szCs w:val="24"/>
          </w:rPr>
          <w:fldChar w:fldCharType="end"/>
        </w:r>
      </w:hyperlink>
      <w:r w:rsidR="00433EC0">
        <w:rPr>
          <w:noProof/>
        </w:rPr>
        <w:br/>
      </w:r>
    </w:p>
    <w:p w14:paraId="31B38ACF" w14:textId="102BDCB0" w:rsidR="00E23897" w:rsidRPr="00E23897" w:rsidRDefault="00F40E8E">
      <w:pPr>
        <w:pStyle w:val="TableofFigures"/>
        <w:tabs>
          <w:tab w:val="right" w:leader="dot" w:pos="9350"/>
        </w:tabs>
        <w:rPr>
          <w:rFonts w:ascii="Times New Roman" w:eastAsiaTheme="minorEastAsia" w:hAnsi="Times New Roman" w:cs="Times New Roman"/>
          <w:noProof/>
          <w:sz w:val="24"/>
          <w:szCs w:val="24"/>
          <w:lang w:val="en-US"/>
        </w:rPr>
      </w:pPr>
      <w:hyperlink w:anchor="_Toc44962615" w:history="1">
        <w:r w:rsidR="00E23897" w:rsidRPr="00E23897">
          <w:rPr>
            <w:rStyle w:val="Hyperlink"/>
            <w:rFonts w:ascii="Times New Roman" w:hAnsi="Times New Roman" w:cs="Times New Roman"/>
            <w:i/>
            <w:noProof/>
            <w:sz w:val="24"/>
            <w:szCs w:val="24"/>
          </w:rPr>
          <w:t>Table 39 - Vessel Specific FFR</w:t>
        </w:r>
        <w:r w:rsidR="00E23897" w:rsidRPr="00E23897">
          <w:rPr>
            <w:rFonts w:ascii="Times New Roman" w:hAnsi="Times New Roman" w:cs="Times New Roman"/>
            <w:noProof/>
            <w:webHidden/>
            <w:sz w:val="24"/>
            <w:szCs w:val="24"/>
          </w:rPr>
          <w:tab/>
        </w:r>
        <w:r w:rsidR="00106A32" w:rsidRPr="00E23897">
          <w:rPr>
            <w:rFonts w:ascii="Times New Roman" w:hAnsi="Times New Roman" w:cs="Times New Roman"/>
            <w:noProof/>
            <w:webHidden/>
            <w:sz w:val="24"/>
            <w:szCs w:val="24"/>
          </w:rPr>
          <w:fldChar w:fldCharType="begin"/>
        </w:r>
        <w:r w:rsidR="00E23897" w:rsidRPr="00E23897">
          <w:rPr>
            <w:rFonts w:ascii="Times New Roman" w:hAnsi="Times New Roman" w:cs="Times New Roman"/>
            <w:noProof/>
            <w:webHidden/>
            <w:sz w:val="24"/>
            <w:szCs w:val="24"/>
          </w:rPr>
          <w:instrText xml:space="preserve"> PAGEREF _Toc44962615 \h </w:instrText>
        </w:r>
        <w:r w:rsidR="00106A32" w:rsidRPr="00E23897">
          <w:rPr>
            <w:rFonts w:ascii="Times New Roman" w:hAnsi="Times New Roman" w:cs="Times New Roman"/>
            <w:noProof/>
            <w:webHidden/>
            <w:sz w:val="24"/>
            <w:szCs w:val="24"/>
          </w:rPr>
        </w:r>
        <w:r w:rsidR="00106A32" w:rsidRPr="00E23897">
          <w:rPr>
            <w:rFonts w:ascii="Times New Roman" w:hAnsi="Times New Roman" w:cs="Times New Roman"/>
            <w:noProof/>
            <w:webHidden/>
            <w:sz w:val="24"/>
            <w:szCs w:val="24"/>
          </w:rPr>
          <w:fldChar w:fldCharType="separate"/>
        </w:r>
        <w:r w:rsidR="00221ECB">
          <w:rPr>
            <w:rFonts w:ascii="Times New Roman" w:hAnsi="Times New Roman" w:cs="Times New Roman"/>
            <w:noProof/>
            <w:webHidden/>
            <w:sz w:val="24"/>
            <w:szCs w:val="24"/>
          </w:rPr>
          <w:t>178</w:t>
        </w:r>
        <w:r w:rsidR="00106A32" w:rsidRPr="00E23897">
          <w:rPr>
            <w:rFonts w:ascii="Times New Roman" w:hAnsi="Times New Roman" w:cs="Times New Roman"/>
            <w:noProof/>
            <w:webHidden/>
            <w:sz w:val="24"/>
            <w:szCs w:val="24"/>
          </w:rPr>
          <w:fldChar w:fldCharType="end"/>
        </w:r>
      </w:hyperlink>
    </w:p>
    <w:p w14:paraId="4FE0EF5B" w14:textId="77777777" w:rsidR="003E6610" w:rsidRPr="00E23897" w:rsidRDefault="00106A32" w:rsidP="003E6610">
      <w:pPr>
        <w:rPr>
          <w:rFonts w:ascii="Times New Roman" w:hAnsi="Times New Roman" w:cs="Times New Roman"/>
          <w:sz w:val="24"/>
          <w:szCs w:val="24"/>
        </w:rPr>
      </w:pPr>
      <w:r w:rsidRPr="00E23897">
        <w:rPr>
          <w:rFonts w:ascii="Times New Roman" w:hAnsi="Times New Roman" w:cs="Times New Roman"/>
          <w:sz w:val="24"/>
          <w:szCs w:val="24"/>
        </w:rPr>
        <w:fldChar w:fldCharType="end"/>
      </w:r>
    </w:p>
    <w:p w14:paraId="034B4CD4" w14:textId="77777777" w:rsidR="00E57680" w:rsidRPr="003E6610" w:rsidRDefault="00E57680" w:rsidP="00DB2C7E">
      <w:pPr>
        <w:pStyle w:val="Heading1"/>
        <w:rPr>
          <w:rFonts w:ascii="Times New Roman" w:hAnsi="Times New Roman" w:cs="Times New Roman"/>
          <w:b w:val="0"/>
          <w:color w:val="auto"/>
          <w:sz w:val="24"/>
          <w:szCs w:val="24"/>
        </w:rPr>
      </w:pPr>
      <w:bookmarkStart w:id="4" w:name="_Toc80302152"/>
      <w:r w:rsidRPr="003E6610">
        <w:rPr>
          <w:rFonts w:ascii="Times New Roman" w:hAnsi="Times New Roman" w:cs="Times New Roman"/>
          <w:color w:val="auto"/>
          <w:sz w:val="24"/>
          <w:szCs w:val="24"/>
        </w:rPr>
        <w:lastRenderedPageBreak/>
        <w:t>Abbreviations</w:t>
      </w:r>
      <w:bookmarkEnd w:id="4"/>
    </w:p>
    <w:p w14:paraId="7ACF2187" w14:textId="77777777" w:rsidR="00E57680" w:rsidRPr="00EC6C19" w:rsidRDefault="00E57680">
      <w:pPr>
        <w:rPr>
          <w:rFonts w:ascii="Times New Roman" w:hAnsi="Times New Roman" w:cs="Times New Roman"/>
          <w:b/>
          <w:sz w:val="24"/>
          <w:szCs w:val="24"/>
          <w:u w:val="single"/>
        </w:rPr>
      </w:pPr>
    </w:p>
    <w:p w14:paraId="3CDF8BC4"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ACS - Acute Coronary Syndrome(s)</w:t>
      </w:r>
    </w:p>
    <w:p w14:paraId="6701AC34" w14:textId="77777777" w:rsidR="009C2BD2" w:rsidRDefault="009C2BD2">
      <w:pPr>
        <w:rPr>
          <w:rFonts w:ascii="Times New Roman" w:hAnsi="Times New Roman" w:cs="Times New Roman"/>
          <w:sz w:val="24"/>
          <w:szCs w:val="24"/>
        </w:rPr>
      </w:pPr>
      <w:r w:rsidRPr="00EC6C19">
        <w:rPr>
          <w:rFonts w:ascii="Times New Roman" w:hAnsi="Times New Roman" w:cs="Times New Roman"/>
          <w:sz w:val="24"/>
          <w:szCs w:val="24"/>
        </w:rPr>
        <w:t>ARDS - Acute Respiratory Distress Syndrome</w:t>
      </w:r>
    </w:p>
    <w:p w14:paraId="4638241A"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AV - Atrioventricular</w:t>
      </w:r>
    </w:p>
    <w:p w14:paraId="72CDD1C8"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BMS - Bare Metal Stent</w:t>
      </w:r>
    </w:p>
    <w:p w14:paraId="5CF5EBC7"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cFFR - Corrected Fractional Flow Reserve</w:t>
      </w:r>
    </w:p>
    <w:p w14:paraId="61631086"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CT - Computed Tomography</w:t>
      </w:r>
    </w:p>
    <w:p w14:paraId="307DDFB7"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CTCA - CT Coronary Angiography</w:t>
      </w:r>
    </w:p>
    <w:p w14:paraId="67FC2CB2"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Cx - Circumflex Artery</w:t>
      </w:r>
    </w:p>
    <w:p w14:paraId="504B91DD"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DES - Drug Eluting Stent</w:t>
      </w:r>
    </w:p>
    <w:p w14:paraId="7E27A605"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EF - Ejection Fraction</w:t>
      </w:r>
    </w:p>
    <w:p w14:paraId="52190CBF"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FFR - Fractional Flow Reserve</w:t>
      </w:r>
    </w:p>
    <w:p w14:paraId="260AC9D7"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iFR - Instantaneous Wave Free Ratio</w:t>
      </w:r>
    </w:p>
    <w:p w14:paraId="06EDF767"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IMR - Index of Microvascular Resistance</w:t>
      </w:r>
    </w:p>
    <w:p w14:paraId="7238EA08"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IRA - Infarct Related Artery</w:t>
      </w:r>
    </w:p>
    <w:p w14:paraId="0C7716EA"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LAD - Left Anterior Descending Artery</w:t>
      </w:r>
    </w:p>
    <w:p w14:paraId="4FB6D8F6"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LDL - Low Density Lipoprotein</w:t>
      </w:r>
    </w:p>
    <w:p w14:paraId="34AE39EC"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LV - Left Ventricle / Left Ventricular</w:t>
      </w:r>
    </w:p>
    <w:p w14:paraId="1AF0E36F" w14:textId="77777777" w:rsidR="009C2BD2" w:rsidRPr="00EC6C19" w:rsidRDefault="009C2BD2">
      <w:pPr>
        <w:rPr>
          <w:rFonts w:ascii="Times New Roman" w:hAnsi="Times New Roman" w:cs="Times New Roman"/>
          <w:sz w:val="24"/>
          <w:szCs w:val="24"/>
        </w:rPr>
        <w:sectPr w:rsidR="009C2BD2" w:rsidRPr="00EC6C19" w:rsidSect="00AB0CC9">
          <w:footerReference w:type="first" r:id="rId14"/>
          <w:type w:val="continuous"/>
          <w:pgSz w:w="12240" w:h="15840" w:code="1"/>
          <w:pgMar w:top="1440" w:right="1440" w:bottom="1440" w:left="1440" w:header="709" w:footer="709" w:gutter="0"/>
          <w:pgNumType w:fmt="lowerRoman" w:start="1"/>
          <w:cols w:space="708"/>
          <w:titlePg/>
          <w:docGrid w:linePitch="360"/>
        </w:sectPr>
      </w:pPr>
      <w:r>
        <w:rPr>
          <w:rFonts w:ascii="Times New Roman" w:hAnsi="Times New Roman" w:cs="Times New Roman"/>
          <w:sz w:val="24"/>
          <w:szCs w:val="24"/>
        </w:rPr>
        <w:t>LVEDP - Left Ventricular End Diastolic Volume</w:t>
      </w:r>
    </w:p>
    <w:p w14:paraId="2651E4DB"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lastRenderedPageBreak/>
        <w:t>MACE - Major Adverse Cardiac Events</w:t>
      </w:r>
    </w:p>
    <w:p w14:paraId="2EC55CA2"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MRI - Magnetic Resonance Imaging</w:t>
      </w:r>
    </w:p>
    <w:p w14:paraId="647F79BB"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NHS - National Health Service</w:t>
      </w:r>
    </w:p>
    <w:p w14:paraId="096DF4B2"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NICE - National Institute for Health and Care Excellence</w:t>
      </w:r>
    </w:p>
    <w:p w14:paraId="5A510A82"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NSTEMI - Non-ST Elevation Myocardial Infarction</w:t>
      </w:r>
    </w:p>
    <w:p w14:paraId="720CFFC1"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OM - Obtuse Marginal (Branch of the Circumflex)</w:t>
      </w:r>
    </w:p>
    <w:p w14:paraId="77BC89D8"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OMT - Optimal Medical Therapy</w:t>
      </w:r>
    </w:p>
    <w:p w14:paraId="170111B1"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OMT - Optimal Medical Therapy</w:t>
      </w:r>
    </w:p>
    <w:p w14:paraId="1F106E46"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PCI - Percutaneous Coronary Intervention</w:t>
      </w:r>
    </w:p>
    <w:p w14:paraId="54632508"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PCI - Percutaneous Coronary Intervention</w:t>
      </w:r>
    </w:p>
    <w:p w14:paraId="7A90872F"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POBA - Plain Old Balloon Angioplasty</w:t>
      </w:r>
    </w:p>
    <w:p w14:paraId="159F09C4"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PPCI - Primary Percutaneous Coronary Intervention</w:t>
      </w:r>
    </w:p>
    <w:p w14:paraId="11466911"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QCA -Quantitative Coronary Analysis</w:t>
      </w:r>
    </w:p>
    <w:p w14:paraId="553961E1"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RCA - Right Coronary Artery</w:t>
      </w:r>
    </w:p>
    <w:p w14:paraId="156CD121"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STEMI - ST Elevation Myocardial Infarction</w:t>
      </w:r>
    </w:p>
    <w:p w14:paraId="0A9F910B"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TAVI - Transcatheter Aortic Valve Implantation</w:t>
      </w:r>
    </w:p>
    <w:p w14:paraId="268C135D" w14:textId="77777777" w:rsidR="009C2BD2" w:rsidRPr="00EC6C19" w:rsidRDefault="009C2BD2">
      <w:pPr>
        <w:rPr>
          <w:rFonts w:ascii="Times New Roman" w:hAnsi="Times New Roman" w:cs="Times New Roman"/>
          <w:sz w:val="24"/>
          <w:szCs w:val="24"/>
        </w:rPr>
      </w:pPr>
      <w:r w:rsidRPr="00EC6C19">
        <w:rPr>
          <w:rFonts w:ascii="Times New Roman" w:hAnsi="Times New Roman" w:cs="Times New Roman"/>
          <w:sz w:val="24"/>
          <w:szCs w:val="24"/>
        </w:rPr>
        <w:t>UA - Unstable Angina</w:t>
      </w:r>
    </w:p>
    <w:p w14:paraId="3874EE69" w14:textId="184C57E2" w:rsidR="00AB0CC9" w:rsidRDefault="00AB0CC9">
      <w:pPr>
        <w:rPr>
          <w:rFonts w:ascii="Times New Roman" w:hAnsi="Times New Roman" w:cs="Times New Roman"/>
          <w:sz w:val="24"/>
          <w:szCs w:val="24"/>
        </w:rPr>
        <w:sectPr w:rsidR="00AB0CC9" w:rsidSect="00A85703">
          <w:footerReference w:type="default" r:id="rId15"/>
          <w:pgSz w:w="12240" w:h="15840"/>
          <w:pgMar w:top="1440" w:right="1440" w:bottom="1440" w:left="1440" w:header="708" w:footer="708" w:gutter="0"/>
          <w:pgNumType w:fmt="lowerRoman"/>
          <w:cols w:space="708"/>
          <w:docGrid w:linePitch="360"/>
        </w:sectPr>
      </w:pPr>
      <w:r>
        <w:rPr>
          <w:rFonts w:ascii="Times New Roman" w:hAnsi="Times New Roman" w:cs="Times New Roman"/>
          <w:sz w:val="24"/>
          <w:szCs w:val="24"/>
        </w:rPr>
        <w:t>UK - United Kingdo</w:t>
      </w:r>
      <w:r w:rsidR="00A85703">
        <w:rPr>
          <w:rFonts w:ascii="Times New Roman" w:hAnsi="Times New Roman" w:cs="Times New Roman"/>
          <w:sz w:val="24"/>
          <w:szCs w:val="24"/>
        </w:rPr>
        <w:t>m</w:t>
      </w:r>
    </w:p>
    <w:p w14:paraId="59A832CD" w14:textId="61D9AE78" w:rsidR="007C603B" w:rsidRPr="00DB2C7E" w:rsidRDefault="00B76178" w:rsidP="00DB2C7E">
      <w:pPr>
        <w:pStyle w:val="Heading1"/>
        <w:rPr>
          <w:rFonts w:ascii="Times New Roman" w:hAnsi="Times New Roman" w:cs="Times New Roman"/>
          <w:b w:val="0"/>
          <w:color w:val="auto"/>
          <w:sz w:val="24"/>
          <w:szCs w:val="24"/>
        </w:rPr>
      </w:pPr>
      <w:bookmarkStart w:id="5" w:name="_Toc80302153"/>
      <w:r w:rsidRPr="00DB2C7E">
        <w:rPr>
          <w:rFonts w:ascii="Times New Roman" w:hAnsi="Times New Roman" w:cs="Times New Roman"/>
          <w:color w:val="auto"/>
          <w:sz w:val="24"/>
          <w:szCs w:val="24"/>
        </w:rPr>
        <w:lastRenderedPageBreak/>
        <w:t>Thesis Structure</w:t>
      </w:r>
      <w:bookmarkEnd w:id="5"/>
    </w:p>
    <w:p w14:paraId="24B1C72E" w14:textId="77777777" w:rsidR="00B76178" w:rsidRPr="00765B51" w:rsidRDefault="00B76178" w:rsidP="00826DC1">
      <w:pPr>
        <w:rPr>
          <w:rFonts w:ascii="Times New Roman" w:hAnsi="Times New Roman" w:cs="Times New Roman"/>
          <w:b/>
          <w:sz w:val="24"/>
          <w:szCs w:val="24"/>
          <w:u w:val="single"/>
        </w:rPr>
      </w:pPr>
    </w:p>
    <w:p w14:paraId="5332E7FB" w14:textId="54D3415A" w:rsidR="00B200E6" w:rsidRDefault="00B200E6" w:rsidP="00826DC1">
      <w:pPr>
        <w:rPr>
          <w:rFonts w:ascii="Times New Roman" w:hAnsi="Times New Roman" w:cs="Times New Roman"/>
          <w:i/>
          <w:sz w:val="24"/>
          <w:szCs w:val="24"/>
        </w:rPr>
      </w:pPr>
      <w:r w:rsidRPr="00543B67">
        <w:rPr>
          <w:rFonts w:ascii="Times New Roman" w:hAnsi="Times New Roman" w:cs="Times New Roman"/>
          <w:i/>
          <w:sz w:val="24"/>
          <w:szCs w:val="24"/>
        </w:rPr>
        <w:t xml:space="preserve">Chapter I </w:t>
      </w:r>
      <w:r w:rsidR="009C2BD2">
        <w:rPr>
          <w:rFonts w:ascii="Times New Roman" w:hAnsi="Times New Roman" w:cs="Times New Roman"/>
          <w:i/>
          <w:sz w:val="24"/>
          <w:szCs w:val="24"/>
        </w:rPr>
        <w:t>–</w:t>
      </w:r>
      <w:r w:rsidRPr="00543B67">
        <w:rPr>
          <w:rFonts w:ascii="Times New Roman" w:hAnsi="Times New Roman" w:cs="Times New Roman"/>
          <w:i/>
          <w:sz w:val="24"/>
          <w:szCs w:val="24"/>
        </w:rPr>
        <w:t xml:space="preserve"> Introduction</w:t>
      </w:r>
    </w:p>
    <w:p w14:paraId="326DF113" w14:textId="477EFFAC" w:rsidR="009C2BD2" w:rsidRDefault="009C2BD2" w:rsidP="00826DC1">
      <w:pPr>
        <w:rPr>
          <w:rFonts w:ascii="Times New Roman" w:hAnsi="Times New Roman" w:cs="Times New Roman"/>
          <w:i/>
          <w:sz w:val="24"/>
          <w:szCs w:val="24"/>
        </w:rPr>
      </w:pPr>
    </w:p>
    <w:p w14:paraId="5B13EABA" w14:textId="77777777" w:rsidR="009C2BD2" w:rsidRPr="00EC6C19" w:rsidRDefault="009C2BD2" w:rsidP="009C2BD2">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Having only two years to contribute new scientific </w:t>
      </w:r>
      <w:r w:rsidRPr="00EC6C19">
        <w:rPr>
          <w:rFonts w:ascii="Times New Roman" w:hAnsi="Times New Roman" w:cs="Times New Roman"/>
          <w:sz w:val="24"/>
          <w:szCs w:val="24"/>
        </w:rPr>
        <w:t xml:space="preserve">knowledge </w:t>
      </w:r>
      <w:r>
        <w:rPr>
          <w:rFonts w:ascii="Times New Roman" w:hAnsi="Times New Roman" w:cs="Times New Roman"/>
          <w:sz w:val="24"/>
          <w:szCs w:val="24"/>
        </w:rPr>
        <w:t>in</w:t>
      </w:r>
      <w:r w:rsidRPr="00EC6C19">
        <w:rPr>
          <w:rFonts w:ascii="Times New Roman" w:hAnsi="Times New Roman" w:cs="Times New Roman"/>
          <w:sz w:val="24"/>
          <w:szCs w:val="24"/>
        </w:rPr>
        <w:t xml:space="preserve"> a subject area studied for decades, by incredibly gifted scientists and clinicians, appears initially a rather daunting task. As often occurs similarly in the entrepreneurial world, when </w:t>
      </w:r>
      <w:r>
        <w:rPr>
          <w:rFonts w:ascii="Times New Roman" w:hAnsi="Times New Roman" w:cs="Times New Roman"/>
          <w:sz w:val="24"/>
          <w:szCs w:val="24"/>
        </w:rPr>
        <w:t>faced with</w:t>
      </w:r>
      <w:r w:rsidRPr="00EC6C19">
        <w:rPr>
          <w:rFonts w:ascii="Times New Roman" w:hAnsi="Times New Roman" w:cs="Times New Roman"/>
          <w:sz w:val="24"/>
          <w:szCs w:val="24"/>
        </w:rPr>
        <w:t xml:space="preserve"> a potentially new or novel idea, someone has almost certainly thought of it first. Which leaves a scientific researcher with two choices. Firstly, delve into exceedingly niche areas which are yet to be explored, risking the possibility that they hold little potential </w:t>
      </w:r>
      <w:r>
        <w:rPr>
          <w:rFonts w:ascii="Times New Roman" w:hAnsi="Times New Roman" w:cs="Times New Roman"/>
          <w:sz w:val="24"/>
          <w:szCs w:val="24"/>
        </w:rPr>
        <w:t>for</w:t>
      </w:r>
      <w:r w:rsidRPr="00EC6C19">
        <w:rPr>
          <w:rFonts w:ascii="Times New Roman" w:hAnsi="Times New Roman" w:cs="Times New Roman"/>
          <w:sz w:val="24"/>
          <w:szCs w:val="24"/>
        </w:rPr>
        <w:t xml:space="preserve"> new discovery. Or go back to basic principles and aim to find something relevant, simple and unexplored. The latter options </w:t>
      </w:r>
      <w:r>
        <w:rPr>
          <w:rFonts w:ascii="Times New Roman" w:hAnsi="Times New Roman" w:cs="Times New Roman"/>
          <w:sz w:val="24"/>
          <w:szCs w:val="24"/>
        </w:rPr>
        <w:t>seem</w:t>
      </w:r>
      <w:r w:rsidRPr="00EC6C19">
        <w:rPr>
          <w:rFonts w:ascii="Times New Roman" w:hAnsi="Times New Roman" w:cs="Times New Roman"/>
          <w:sz w:val="24"/>
          <w:szCs w:val="24"/>
        </w:rPr>
        <w:t xml:space="preserve"> rather more appealing, however, the possibility of finding </w:t>
      </w:r>
      <w:r>
        <w:rPr>
          <w:rFonts w:ascii="Times New Roman" w:hAnsi="Times New Roman" w:cs="Times New Roman"/>
          <w:sz w:val="24"/>
          <w:szCs w:val="24"/>
        </w:rPr>
        <w:t>such a</w:t>
      </w:r>
      <w:r w:rsidRPr="00EC6C19">
        <w:rPr>
          <w:rFonts w:ascii="Times New Roman" w:hAnsi="Times New Roman" w:cs="Times New Roman"/>
          <w:sz w:val="24"/>
          <w:szCs w:val="24"/>
        </w:rPr>
        <w:t xml:space="preserve"> research topic within the basic concepts of a scientific method studied for decades, seems rather small. By chance, and rather by accident, I feel the second scenario applies to my research work and I will briefly try to explain why in this preface.</w:t>
      </w:r>
    </w:p>
    <w:p w14:paraId="2620C633" w14:textId="19865C38" w:rsidR="009C2BD2" w:rsidRPr="00EC6C19" w:rsidRDefault="009C2BD2"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Coronary artery disease is the most common cause of death in the UK after cancer </w:t>
      </w:r>
      <w:r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{"citationID":"5vmZkHYS","properties":{"formattedCitation":"(Avoidable mortality in England and Wales - Office for National Statistics, 2018)","plainCitation":"(Avoidable mortality in England and Wales - Office for National Statistics, 2018)","noteIndex":0},"citationItems":[{"id":162,"uris":["http://zotero.org/users/local/k67tNDdX/items/G723YARL"],"uri":["http://zotero.org/users/local/k67tNDdX/items/G723YARL"],"itemData":{"id":162,"type":"webpage","title":"Avoidable mortality in England and Wales - Office for National Statistics","URL":"https://www.ons.gov.uk/peoplepopulationandcommunity/healthandsocialcare/causesofdeath/bulletins/avoidablemortalityinenglandandwales/2015","accessed":{"date-parts":[["2018",4,16]]}}}],"schema":"https://github.com/citation-style-language/schema/raw/master/csl-citation.json"} </w:instrText>
      </w:r>
      <w:r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(Avoidable mortality in England and Wales - Office for National Statistics, 2018)</w:t>
      </w:r>
      <w:r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Working in a heart attack centre, and observing the positive outcomes for some patients, and the negative for others, one finds themselves asking; why did Mrs X do better than Mr Y? The initial idea for my research came from Dr John Davies, an interventional cardiologist at the Essex Cardiothoracic Centre, who has spent his consultant and training years treating emergency heart attacks. It is clear that the most important step in managing acute coronary syndrome (ACS), is reducing the size of the heart attack (or infarct size) </w:t>
      </w:r>
      <w:r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{"citationID":"a6qRX6tF","properties":{"formattedCitation":"(Stone et al., 2016a)","plainCitation":"(Stone et al., 2016a)","dontUpdate":true,"noteIndex":0},"citationItems":[{"id":164,"uris":["http://zotero.org/users/local/k67tNDdX/items/GGMS5WSS"],"uri":["http://zotero.org/users/local/k67tNDdX/items/GGMS5WSS"],"itemData":{"id":164,"type":"article-journal","abstract":"BACKGROUND: Prompt reperfusion in patients with ST-segment elevation myocardial infarction (STEMI) reduces infarct size and improves survival. However, the intuitive link between infarct size and prognosis has not been convincingly demonstrated in the contemporary era.\nOBJECTIVES: This study sought to determine the strength of the relationship between infarct size assessed early after primary percutaneous coronary intervention (PCI) in STEMI and subsequent all-cause mortality, reinfarction, and hospitalization for heart failure.\nMETHODS: We performed a pooled patient-level analysis from 10 randomized primary PCI trials (total 2,632 patients) in which infarct size was assessed within 1 month after randomization by either cardiac magnetic resonance (CMR) imaging or technetium-99m sestamibi single-photon emission computed tomography (SPECT), with clinical follow-up for ≥ 6 months.\nRESULTS: Infarct size was assessed by CMR in 1,889 patients (71.8%) and by SPECT in 743 patients (28.2%). Median (25th, 75th percentile) time to infarct size measurement was 4 days (3, 10 days) after STEMI. Median infarct size (% left ventricular myocardial mass) was 17.9% (8.0%, 29.8%), and median duration of clinical follow-up was 352 days (185, 371 days). The Kaplan-Meier estimated 1-year rates of all-cause mortality, reinfarction, and HF hospitalization were 2.2%, 2.5%, and 2.6%, respectively. A strong graded response was present between infarct size (per 5% increase) and subsequent mortality (Cox-adjusted hazard ratio: 1.19 [95% confidence interval: 1.18 to 1.20]; p &lt; 0.0001) and hospitalization for heart failure (adjusted hazard ratio: 1.20 [95% confidence interval: 1.19 to 1.21]; p &lt; 0.0001), independent of age, sex, diabetes, hypertension, hyperlipidemia, current smoking, left anterior descending versus non-left anterior descending infarct vessel, symptom-to-first device time, and baseline TIMI (Thrombolysis In Myocardial Infarction) flow 0/1 versus 2/3. Infarct size was not significantly related to subsequent reinfarction.\nCONCLUSIONS: Infarct size, measured by CMR or technetium-99m sestamibi SPECT within 1 month after primary PCI, is strongly associated with all-cause mortality and hospitalization for HF within 1 year. Infarct size may, therefore, be useful as an endpoint in clinical trials and as an important prognostic measure when caring for patients with STEMI.","container-title":"Journal of the American College of Cardiology","DOI":"10.1016/j.jacc.2016.01.069","ISSN":"1558-3597","issue":"14","journalAbbreviation":"J. Am. Coll. Cardiol.","language":"eng","note":"PMID: 27056772","page":"1674-1683","source":"PubMed","title":"Relationship Between Infarct Size and Outcomes Following Primary PCI: Patient-Level Analysis From 10 Randomized Trials","title-short":"Relationship Between Infarct Size and Outcomes Following Primary PCI","volume":"67","author":[{"family":"Stone","given":"Gregg W."},{"family":"Selker","given":"Harry P."},{"family":"Thiele","given":"Holger"},{"family":"Patel","given":"Manesh R."},{"family":"Udelson","given":"James E."},{"family":"Ohman","given":"E. Magnus"},{"family":"Maehara","given":"Akiko"},{"family":"Eitel","given":"Ingo"},{"family":"Granger","given":"Christopher B."},{"family":"Jenkins","given":"Paul L."},{"family":"Nichols","given":"Melissa"},{"family":"Ben-Yehuda","given":"Ori"}],"issued":{"date-parts":[["2016",4,12]]}}}],"schema":"https://github.com/citation-style-language/schema/raw/master/csl-citation.json"} </w:instrText>
      </w:r>
      <w:r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(Stone et al., 2016)</w:t>
      </w:r>
      <w:r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His initial idea was simple; could we increase blood flow to areas of heart muscle, simply by changing the position of the patient (e.g. lying them on their front during a heart attack)? This in turn would reduce the infarct size, and potentially improve the prognosis of the patient. The initial idea was met with scepticism by colleagues, and also initially by myself for a simple reason. </w:t>
      </w:r>
      <w:r>
        <w:rPr>
          <w:rFonts w:ascii="Times New Roman" w:hAnsi="Times New Roman" w:cs="Times New Roman"/>
          <w:sz w:val="24"/>
          <w:szCs w:val="24"/>
        </w:rPr>
        <w:t>There was a potential</w:t>
      </w:r>
      <w:r w:rsidRPr="00EC6C19">
        <w:rPr>
          <w:rFonts w:ascii="Times New Roman" w:hAnsi="Times New Roman" w:cs="Times New Roman"/>
          <w:sz w:val="24"/>
          <w:szCs w:val="24"/>
        </w:rPr>
        <w:t xml:space="preserve"> physiological</w:t>
      </w:r>
      <w:r>
        <w:rPr>
          <w:rFonts w:ascii="Times New Roman" w:hAnsi="Times New Roman" w:cs="Times New Roman"/>
          <w:sz w:val="24"/>
          <w:szCs w:val="24"/>
        </w:rPr>
        <w:t xml:space="preserve"> explanation for the theory</w:t>
      </w:r>
      <w:r w:rsidRPr="00EC6C19">
        <w:rPr>
          <w:rFonts w:ascii="Times New Roman" w:hAnsi="Times New Roman" w:cs="Times New Roman"/>
          <w:sz w:val="24"/>
          <w:szCs w:val="24"/>
        </w:rPr>
        <w:t xml:space="preserve">, but there was no relevant scientific literature in the area, no previous studies, and not even a mention of such a </w:t>
      </w:r>
      <w:r>
        <w:rPr>
          <w:rFonts w:ascii="Times New Roman" w:hAnsi="Times New Roman" w:cs="Times New Roman"/>
          <w:sz w:val="24"/>
          <w:szCs w:val="24"/>
        </w:rPr>
        <w:t>concept</w:t>
      </w:r>
      <w:r w:rsidRPr="00EC6C19">
        <w:rPr>
          <w:rFonts w:ascii="Times New Roman" w:hAnsi="Times New Roman" w:cs="Times New Roman"/>
          <w:sz w:val="24"/>
          <w:szCs w:val="24"/>
        </w:rPr>
        <w:t xml:space="preserve"> in academic literature. It may have been </w:t>
      </w:r>
      <w:r w:rsidRPr="00EC6C19">
        <w:rPr>
          <w:rFonts w:ascii="Times New Roman" w:hAnsi="Times New Roman" w:cs="Times New Roman"/>
          <w:sz w:val="24"/>
          <w:szCs w:val="24"/>
        </w:rPr>
        <w:lastRenderedPageBreak/>
        <w:t>pos</w:t>
      </w:r>
      <w:r>
        <w:rPr>
          <w:rFonts w:ascii="Times New Roman" w:hAnsi="Times New Roman" w:cs="Times New Roman"/>
          <w:sz w:val="24"/>
          <w:szCs w:val="24"/>
        </w:rPr>
        <w:t>sible that a relatively simple idea</w:t>
      </w:r>
      <w:r w:rsidRPr="00EC6C19">
        <w:rPr>
          <w:rFonts w:ascii="Times New Roman" w:hAnsi="Times New Roman" w:cs="Times New Roman"/>
          <w:sz w:val="24"/>
          <w:szCs w:val="24"/>
        </w:rPr>
        <w:t xml:space="preserve">, had just not been explored. As I started my research journey, this was the question I initially set out to answer; does physiology and blood flow within a coronary artery change when comparing supine (standard) measurements, with prone (experimental) measurements. </w:t>
      </w:r>
    </w:p>
    <w:p w14:paraId="52606A31" w14:textId="77777777" w:rsidR="009C2BD2" w:rsidRPr="00EC6C19" w:rsidRDefault="009C2BD2"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It became clear early into my research that this was an evidence free zone. Another realisation from a medical and ethical standpoint was that to understand what when a patient changes position during a heart attack, we needed to understand the science in stable (and relatively normal) coronary arteries first. In stabl</w:t>
      </w:r>
      <w:r>
        <w:rPr>
          <w:rFonts w:ascii="Times New Roman" w:hAnsi="Times New Roman" w:cs="Times New Roman"/>
          <w:sz w:val="24"/>
          <w:szCs w:val="24"/>
        </w:rPr>
        <w:t>e patients, we expect physiological mechanisms</w:t>
      </w:r>
      <w:r w:rsidRPr="00EC6C19">
        <w:rPr>
          <w:rFonts w:ascii="Times New Roman" w:hAnsi="Times New Roman" w:cs="Times New Roman"/>
          <w:sz w:val="24"/>
          <w:szCs w:val="24"/>
        </w:rPr>
        <w:t xml:space="preserve"> to be preserved (autoregulation intact), whereas during an acute heart attack</w:t>
      </w:r>
      <w:r>
        <w:rPr>
          <w:rFonts w:ascii="Times New Roman" w:hAnsi="Times New Roman" w:cs="Times New Roman"/>
          <w:sz w:val="24"/>
          <w:szCs w:val="24"/>
        </w:rPr>
        <w:t>, these</w:t>
      </w:r>
      <w:r w:rsidRPr="00EC6C19">
        <w:rPr>
          <w:rFonts w:ascii="Times New Roman" w:hAnsi="Times New Roman" w:cs="Times New Roman"/>
          <w:sz w:val="24"/>
          <w:szCs w:val="24"/>
        </w:rPr>
        <w:t xml:space="preserve"> mechanisms may be disrupted (autoregulation not intact). We set out to understand what 'normal' was before attempting to do the same for 'abnormal'. Elective patients who were referred for pressure wire assessment of a coronary artery lesion became the obvious starting point for a study cohort. Standard measurements occur when the patient is supine, but repeating the measurements when prone, in the same artery, for the same lesion, would provide a direct comparison, with position change being the only variable. Comparing measurements in coronary arteries with a focus on the difference in patient position change, had never been done and hence became the true starting point for my thesis, and research. One case report of a prone diagnostic coronary angiogram existed at the time of study conception </w:t>
      </w:r>
      <w:r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{"citationID":"AiDhfpkt","properties":{"formattedCitation":"(Kwon, Cha and Rhee, 2012)","plainCitation":"(Kwon, Cha and Rhee, 2012)","noteIndex":0},"citationItems":[{"id":166,"uris":["http://zotero.org/users/local/k67tNDdX/items/3R52EY3E"],"uri":["http://zotero.org/users/local/k67tNDdX/items/3R52EY3E"],"itemData":{"id":166,"type":"article-journal","abstract":"We report a case of prone position coronary angiography due to intractable back pain via left transradial approach. When a patient cannot lie down in a supine position, prone position coronary angiography can be performed alternatively. This may be another merit of transradial approach compared to transfemoral approach on the evaluation of patients with suspected coronary artery disease.","container-title":"The Journal of Invasive Cardiology","ISSN":"1557-2501","issue":"11","journalAbbreviation":"J Invasive Cardiol","language":"eng","note":"PMID: 23117317","page":"605-607","source":"PubMed","title":"Prone position coronary angiography due to intractable back pain: another merit of transradial approach compared to transfemoral approach","title-short":"Prone position coronary angiography due to intractable back pain","volume":"24","author":[{"family":"Kwon","given":"Sung Woo"},{"family":"Cha","given":"Jung-Joon"},{"family":"Rhee","given":"Ji-Hyuck"}],"issued":{"date-parts":[["2012",11]]}}}],"schema":"https://github.com/citation-style-language/schema/raw/master/csl-citation.json"} </w:instrText>
      </w:r>
      <w:r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(Kwon, Cha and Rhee, 2012)</w:t>
      </w:r>
      <w:r w:rsidRPr="00EC6C19">
        <w:rPr>
          <w:rFonts w:ascii="Times New Roman" w:hAnsi="Times New Roman" w:cs="Times New Roman"/>
          <w:sz w:val="24"/>
          <w:szCs w:val="24"/>
        </w:rPr>
        <w:fldChar w:fldCharType="end"/>
      </w:r>
      <w:r w:rsidRPr="00EC6C19">
        <w:rPr>
          <w:rFonts w:ascii="Times New Roman" w:hAnsi="Times New Roman" w:cs="Times New Roman"/>
          <w:sz w:val="24"/>
          <w:szCs w:val="24"/>
        </w:rPr>
        <w:t>, but no reported cases of prone invasive coronary physiological measurements did, and certainly no literature was available comparing prone measurements to supine.</w:t>
      </w:r>
    </w:p>
    <w:p w14:paraId="57D6C792" w14:textId="77777777" w:rsidR="009C2BD2" w:rsidRPr="00EC6C19" w:rsidRDefault="009C2BD2"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The next milestone was to understand which measurements I needed to obtain within the coronary artery. Blood flow was the key endpoint which we hypothesised may reduce infarct size during a heart attack. Several methods existed to measure this. The most widely used and validated, are pressure</w:t>
      </w:r>
      <w:r>
        <w:rPr>
          <w:rFonts w:ascii="Times New Roman" w:hAnsi="Times New Roman" w:cs="Times New Roman"/>
          <w:sz w:val="24"/>
          <w:szCs w:val="24"/>
        </w:rPr>
        <w:t>-</w:t>
      </w:r>
      <w:r w:rsidRPr="00EC6C19">
        <w:rPr>
          <w:rFonts w:ascii="Times New Roman" w:hAnsi="Times New Roman" w:cs="Times New Roman"/>
          <w:sz w:val="24"/>
          <w:szCs w:val="24"/>
        </w:rPr>
        <w:t>based systems (FFR - fractional flow reserve), which use coronary artery pressure across a stenosis, as a surrogate measurement for flow, and contribute to decisions made regarding treatment. The principle revolves around a ratio of distal vessel pressure versus proximal pressure (aortic / origin of artery). Another less commonly used method (but arguably more accurate), due to the difficulty in acquiring measurements and time constraints, are velocity or flow</w:t>
      </w:r>
      <w:r>
        <w:rPr>
          <w:rFonts w:ascii="Times New Roman" w:hAnsi="Times New Roman" w:cs="Times New Roman"/>
          <w:sz w:val="24"/>
          <w:szCs w:val="24"/>
        </w:rPr>
        <w:t>-</w:t>
      </w:r>
      <w:r w:rsidRPr="00EC6C19">
        <w:rPr>
          <w:rFonts w:ascii="Times New Roman" w:hAnsi="Times New Roman" w:cs="Times New Roman"/>
          <w:sz w:val="24"/>
          <w:szCs w:val="24"/>
        </w:rPr>
        <w:t xml:space="preserve">based measurements. </w:t>
      </w:r>
    </w:p>
    <w:p w14:paraId="65B309D9" w14:textId="77777777" w:rsidR="009C2BD2" w:rsidRPr="00EC6C19" w:rsidRDefault="009C2BD2"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lastRenderedPageBreak/>
        <w:t>The use of pressure</w:t>
      </w:r>
      <w:r>
        <w:rPr>
          <w:rFonts w:ascii="Times New Roman" w:hAnsi="Times New Roman" w:cs="Times New Roman"/>
          <w:sz w:val="24"/>
          <w:szCs w:val="24"/>
        </w:rPr>
        <w:t>-</w:t>
      </w:r>
      <w:r w:rsidRPr="00EC6C19">
        <w:rPr>
          <w:rFonts w:ascii="Times New Roman" w:hAnsi="Times New Roman" w:cs="Times New Roman"/>
          <w:sz w:val="24"/>
          <w:szCs w:val="24"/>
        </w:rPr>
        <w:t xml:space="preserve">based measurements is widespread and forms a cornerstone of interventional cardiology. However, from basic physical principles, it is known that blood pressure at varying vertical heights from a fixed point (usually the heart, or aorta) will change. </w:t>
      </w:r>
      <w:r>
        <w:rPr>
          <w:rFonts w:ascii="Times New Roman" w:hAnsi="Times New Roman" w:cs="Times New Roman"/>
          <w:sz w:val="24"/>
          <w:szCs w:val="24"/>
        </w:rPr>
        <w:t>Coronary</w:t>
      </w:r>
      <w:r w:rsidRPr="00EC6C19">
        <w:rPr>
          <w:rFonts w:ascii="Times New Roman" w:hAnsi="Times New Roman" w:cs="Times New Roman"/>
          <w:sz w:val="24"/>
          <w:szCs w:val="24"/>
        </w:rPr>
        <w:t xml:space="preserve"> arteries in their natural state lie in different vertical planes, yet we assume they are vertically level and use a standardised cut-off point across all arteries to indicate a significant stenosis</w:t>
      </w:r>
      <w:r>
        <w:rPr>
          <w:rFonts w:ascii="Times New Roman" w:hAnsi="Times New Roman" w:cs="Times New Roman"/>
          <w:sz w:val="24"/>
          <w:szCs w:val="24"/>
        </w:rPr>
        <w:t>, rather than vessel specific ones</w:t>
      </w:r>
      <w:r w:rsidRPr="00EC6C19">
        <w:rPr>
          <w:rFonts w:ascii="Times New Roman" w:hAnsi="Times New Roman" w:cs="Times New Roman"/>
          <w:sz w:val="24"/>
          <w:szCs w:val="24"/>
        </w:rPr>
        <w:t>. Some coronary arteries take a superior path, and others an inferior one. Their path</w:t>
      </w:r>
      <w:r>
        <w:rPr>
          <w:rFonts w:ascii="Times New Roman" w:hAnsi="Times New Roman" w:cs="Times New Roman"/>
          <w:sz w:val="24"/>
          <w:szCs w:val="24"/>
        </w:rPr>
        <w:t xml:space="preserve"> inherently</w:t>
      </w:r>
      <w:r w:rsidRPr="00EC6C19">
        <w:rPr>
          <w:rFonts w:ascii="Times New Roman" w:hAnsi="Times New Roman" w:cs="Times New Roman"/>
          <w:sz w:val="24"/>
          <w:szCs w:val="24"/>
        </w:rPr>
        <w:t xml:space="preserve"> alters the pressure within them</w:t>
      </w:r>
      <w:r>
        <w:rPr>
          <w:rFonts w:ascii="Times New Roman" w:hAnsi="Times New Roman" w:cs="Times New Roman"/>
          <w:sz w:val="24"/>
          <w:szCs w:val="24"/>
        </w:rPr>
        <w:t xml:space="preserve"> compared to the aorta</w:t>
      </w:r>
      <w:r w:rsidRPr="00EC6C19">
        <w:rPr>
          <w:rFonts w:ascii="Times New Roman" w:hAnsi="Times New Roman" w:cs="Times New Roman"/>
          <w:sz w:val="24"/>
          <w:szCs w:val="24"/>
        </w:rPr>
        <w:t>.</w:t>
      </w:r>
      <w:r>
        <w:rPr>
          <w:rFonts w:ascii="Times New Roman" w:hAnsi="Times New Roman" w:cs="Times New Roman"/>
          <w:sz w:val="24"/>
          <w:szCs w:val="24"/>
        </w:rPr>
        <w:t xml:space="preserve"> This realisation was a major milestone, in that</w:t>
      </w:r>
      <w:r w:rsidRPr="00EC6C19">
        <w:rPr>
          <w:rFonts w:ascii="Times New Roman" w:hAnsi="Times New Roman" w:cs="Times New Roman"/>
          <w:sz w:val="24"/>
          <w:szCs w:val="24"/>
        </w:rPr>
        <w:t xml:space="preserve"> rather by chance, </w:t>
      </w:r>
      <w:r>
        <w:rPr>
          <w:rFonts w:ascii="Times New Roman" w:hAnsi="Times New Roman" w:cs="Times New Roman"/>
          <w:sz w:val="24"/>
          <w:szCs w:val="24"/>
        </w:rPr>
        <w:t xml:space="preserve">it appeared </w:t>
      </w:r>
      <w:r w:rsidRPr="00EC6C19">
        <w:rPr>
          <w:rFonts w:ascii="Times New Roman" w:hAnsi="Times New Roman" w:cs="Times New Roman"/>
          <w:sz w:val="24"/>
          <w:szCs w:val="24"/>
        </w:rPr>
        <w:t>such a widely used and trusted coronary measurement system, based on pressure, would be altered by changing the patient's position even when all other variables remain constant. Changing position (supine to prone) may give a different measurement result for the same artery, due to a change in vertical height between a fixed proximal</w:t>
      </w:r>
      <w:r>
        <w:rPr>
          <w:rFonts w:ascii="Times New Roman" w:hAnsi="Times New Roman" w:cs="Times New Roman"/>
          <w:sz w:val="24"/>
          <w:szCs w:val="24"/>
        </w:rPr>
        <w:t xml:space="preserve"> (aorta)</w:t>
      </w:r>
      <w:r w:rsidRPr="00EC6C19">
        <w:rPr>
          <w:rFonts w:ascii="Times New Roman" w:hAnsi="Times New Roman" w:cs="Times New Roman"/>
          <w:sz w:val="24"/>
          <w:szCs w:val="24"/>
        </w:rPr>
        <w:t xml:space="preserve"> and a changing distal pressure</w:t>
      </w:r>
      <w:r>
        <w:rPr>
          <w:rFonts w:ascii="Times New Roman" w:hAnsi="Times New Roman" w:cs="Times New Roman"/>
          <w:sz w:val="24"/>
          <w:szCs w:val="24"/>
        </w:rPr>
        <w:t xml:space="preserve"> sensor (physiology wire)</w:t>
      </w:r>
    </w:p>
    <w:p w14:paraId="208DB38F" w14:textId="77777777" w:rsidR="009C2BD2" w:rsidRPr="00EC6C19" w:rsidRDefault="009C2BD2"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There may be potential clinical implications of this, as measurements in some arteries may be over or underestimated due to their position in a vertical plane and hydrostatic pressure effect. The change in pressure due to vertical height variations in a closed fluid loop is explained by Pascal's Law and is well documented in principles of fluid dynamics. The effect of hydrostatic pressure on physiological measurements is documented in medical textbooks, but disregarded clinically as a minor variable.</w:t>
      </w:r>
    </w:p>
    <w:p w14:paraId="772E33BC" w14:textId="77777777" w:rsidR="009C2BD2" w:rsidRPr="00EC6C19" w:rsidRDefault="009C2BD2"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Realising that the change in position alone may alter pressure</w:t>
      </w:r>
      <w:r>
        <w:rPr>
          <w:rFonts w:ascii="Times New Roman" w:hAnsi="Times New Roman" w:cs="Times New Roman"/>
          <w:sz w:val="24"/>
          <w:szCs w:val="24"/>
        </w:rPr>
        <w:t>-</w:t>
      </w:r>
      <w:r w:rsidRPr="00EC6C19">
        <w:rPr>
          <w:rFonts w:ascii="Times New Roman" w:hAnsi="Times New Roman" w:cs="Times New Roman"/>
          <w:sz w:val="24"/>
          <w:szCs w:val="24"/>
        </w:rPr>
        <w:t xml:space="preserve">based measurements, independent of the stenosis itself, it was clear I also had to measure flow (doppler velocity, and not pressure based) which should not be affected by position. Coronary arteries regulate flow to the heart muscle over a wide blood pressure range. This phenomenon is known as autoregulation </w:t>
      </w:r>
      <w:r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{"citationID":"MgnQ0j4Z","properties":{"formattedCitation":"(Ramanathan and Skinner, 2005)","plainCitation":"(Ramanathan and Skinner, 2005)","noteIndex":0},"citationItems":[{"id":34,"uris":["http://zotero.org/users/local/k67tNDdX/items/745AJQN6"],"uri":["http://zotero.org/users/local/k67tNDdX/items/745AJQN6"],"itemData":{"id":34,"type":"article-journal","abstract":"The heart has the highest oxygen consumption per tissue mass of all human organs. The resting coronary blood flow is </w:instrText>
      </w:r>
      <w:r w:rsidRPr="00EC6C19">
        <w:rPr>
          <w:rFonts w:ascii="Cambria Math" w:hAnsi="Cambria Math" w:cs="Times New Roman"/>
          <w:sz w:val="24"/>
          <w:szCs w:val="24"/>
        </w:rPr>
        <w:instrText>∼</w:instrText>
      </w:r>
      <w:r w:rsidRPr="00EC6C19">
        <w:rPr>
          <w:rFonts w:ascii="Times New Roman" w:hAnsi="Times New Roman" w:cs="Times New Roman"/>
          <w:sz w:val="24"/>
          <w:szCs w:val="24"/>
        </w:rPr>
        <w:instrText xml:space="preserve">250 ml min−1 (0.8 ml min−1 g−1 of heart muscle); this represents 5% of cardiac output.1 Ischaemia results when oxygen demand outstrips supply.","container-title":"Continuing Education in Anaesthesia Critical Care &amp; Pain","DOI":"10.1093/bjaceaccp/mki012","ISSN":"1743-1816","issue":"2","journalAbbreviation":"Contin Educ Anaesth Crit Care Pain","language":"en","page":"61-64","source":"academic.oup.com","title":"Coronary blood flow","volume":"5","author":[{"family":"Ramanathan","given":"Tamilselvi"},{"family":"Skinner","given":"Henry"}],"issued":{"date-parts":[["2005",4,1]]}}}],"schema":"https://github.com/citation-style-language/schema/raw/master/csl-citation.json"} </w:instrText>
      </w:r>
      <w:r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(Ramanathan and Skinner, 2005)</w:t>
      </w:r>
      <w:r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Therefore, despite pressure </w:t>
      </w:r>
      <w:r>
        <w:rPr>
          <w:rFonts w:ascii="Times New Roman" w:hAnsi="Times New Roman" w:cs="Times New Roman"/>
          <w:sz w:val="24"/>
          <w:szCs w:val="24"/>
        </w:rPr>
        <w:t>alterations</w:t>
      </w:r>
      <w:r w:rsidRPr="00EC6C19">
        <w:rPr>
          <w:rFonts w:ascii="Times New Roman" w:hAnsi="Times New Roman" w:cs="Times New Roman"/>
          <w:sz w:val="24"/>
          <w:szCs w:val="24"/>
        </w:rPr>
        <w:t xml:space="preserve"> when changing position, coronary arteries react to keep flow to the muscle constant. My hypothesis is therefore in two parts. Firstly, I expect pressure derived indices to change between prone and supine measurements in the same artery, across the same stenosis, as </w:t>
      </w:r>
      <w:r>
        <w:rPr>
          <w:rFonts w:ascii="Times New Roman" w:hAnsi="Times New Roman" w:cs="Times New Roman"/>
          <w:sz w:val="24"/>
          <w:szCs w:val="24"/>
        </w:rPr>
        <w:t xml:space="preserve">they </w:t>
      </w:r>
      <w:r w:rsidRPr="00EC6C19">
        <w:rPr>
          <w:rFonts w:ascii="Times New Roman" w:hAnsi="Times New Roman" w:cs="Times New Roman"/>
          <w:sz w:val="24"/>
          <w:szCs w:val="24"/>
        </w:rPr>
        <w:t>are reliant on pressure readings. The pressure change is due to the vertical shift in an artery, when a patient moves from supine to prone. Secondly, in stable and preserved coronary physiology, with functional autoregulation, I expect flow (velocity readings) not to be altered by position change and hydrostatic</w:t>
      </w:r>
      <w:r>
        <w:rPr>
          <w:rFonts w:ascii="Times New Roman" w:hAnsi="Times New Roman" w:cs="Times New Roman"/>
          <w:sz w:val="24"/>
          <w:szCs w:val="24"/>
        </w:rPr>
        <w:t xml:space="preserve"> effect</w:t>
      </w:r>
      <w:r w:rsidRPr="00EC6C19">
        <w:rPr>
          <w:rFonts w:ascii="Times New Roman" w:hAnsi="Times New Roman" w:cs="Times New Roman"/>
          <w:sz w:val="24"/>
          <w:szCs w:val="24"/>
        </w:rPr>
        <w:t xml:space="preserve">. The study aimed at answering these questions was called GRAVITY, and was </w:t>
      </w:r>
      <w:r w:rsidRPr="00EC6C19">
        <w:rPr>
          <w:rFonts w:ascii="Times New Roman" w:hAnsi="Times New Roman" w:cs="Times New Roman"/>
          <w:sz w:val="24"/>
          <w:szCs w:val="24"/>
        </w:rPr>
        <w:lastRenderedPageBreak/>
        <w:t>designed</w:t>
      </w:r>
      <w:r>
        <w:rPr>
          <w:rFonts w:ascii="Times New Roman" w:hAnsi="Times New Roman" w:cs="Times New Roman"/>
          <w:sz w:val="24"/>
          <w:szCs w:val="24"/>
        </w:rPr>
        <w:t>, written</w:t>
      </w:r>
      <w:r w:rsidRPr="00EC6C19">
        <w:rPr>
          <w:rFonts w:ascii="Times New Roman" w:hAnsi="Times New Roman" w:cs="Times New Roman"/>
          <w:sz w:val="24"/>
          <w:szCs w:val="24"/>
        </w:rPr>
        <w:t xml:space="preserve"> and implemented by myself. The magnitude of effect between position change </w:t>
      </w:r>
      <w:r>
        <w:rPr>
          <w:rFonts w:ascii="Times New Roman" w:hAnsi="Times New Roman" w:cs="Times New Roman"/>
          <w:sz w:val="24"/>
          <w:szCs w:val="24"/>
        </w:rPr>
        <w:t>was not known at study conception, with limited clinical literature</w:t>
      </w:r>
      <w:r w:rsidRPr="00EC6C19">
        <w:rPr>
          <w:rFonts w:ascii="Times New Roman" w:hAnsi="Times New Roman" w:cs="Times New Roman"/>
          <w:sz w:val="24"/>
          <w:szCs w:val="24"/>
        </w:rPr>
        <w:t>. Height measurements from CT coronary angiography</w:t>
      </w:r>
      <w:r>
        <w:rPr>
          <w:rFonts w:ascii="Times New Roman" w:hAnsi="Times New Roman" w:cs="Times New Roman"/>
          <w:sz w:val="24"/>
          <w:szCs w:val="24"/>
        </w:rPr>
        <w:t>, obtained before invasive research,</w:t>
      </w:r>
      <w:r w:rsidRPr="00EC6C19">
        <w:rPr>
          <w:rFonts w:ascii="Times New Roman" w:hAnsi="Times New Roman" w:cs="Times New Roman"/>
          <w:sz w:val="24"/>
          <w:szCs w:val="24"/>
        </w:rPr>
        <w:t xml:space="preserve"> helped gauge the size of effect, and whether its clinical impact would be relevant, and measurable in an achievable sample size.</w:t>
      </w:r>
    </w:p>
    <w:p w14:paraId="6E234B7D" w14:textId="52C63905" w:rsidR="009C2BD2" w:rsidRPr="009C2BD2" w:rsidRDefault="009C2BD2" w:rsidP="009C2BD2">
      <w:pPr>
        <w:spacing w:line="360" w:lineRule="auto"/>
        <w:jc w:val="both"/>
        <w:rPr>
          <w:rFonts w:ascii="Times New Roman" w:hAnsi="Times New Roman" w:cs="Times New Roman"/>
          <w:sz w:val="24"/>
          <w:szCs w:val="24"/>
        </w:rPr>
      </w:pPr>
      <w:r>
        <w:rPr>
          <w:rFonts w:ascii="Times New Roman" w:hAnsi="Times New Roman" w:cs="Times New Roman"/>
          <w:sz w:val="24"/>
          <w:szCs w:val="24"/>
        </w:rPr>
        <w:t>If proven true, h</w:t>
      </w:r>
      <w:r w:rsidRPr="00EC6C19">
        <w:rPr>
          <w:rFonts w:ascii="Times New Roman" w:hAnsi="Times New Roman" w:cs="Times New Roman"/>
          <w:sz w:val="24"/>
          <w:szCs w:val="24"/>
        </w:rPr>
        <w:t>ydrostatic effect</w:t>
      </w:r>
      <w:r>
        <w:rPr>
          <w:rFonts w:ascii="Times New Roman" w:hAnsi="Times New Roman" w:cs="Times New Roman"/>
          <w:sz w:val="24"/>
          <w:szCs w:val="24"/>
        </w:rPr>
        <w:t xml:space="preserve"> would affect</w:t>
      </w:r>
      <w:r w:rsidRPr="00EC6C19">
        <w:rPr>
          <w:rFonts w:ascii="Times New Roman" w:hAnsi="Times New Roman" w:cs="Times New Roman"/>
          <w:sz w:val="24"/>
          <w:szCs w:val="24"/>
        </w:rPr>
        <w:t xml:space="preserve"> the diagnostic tool that we use in aiding our treatment decisions, and not necessarily reflect a true change in physiology when changing position. Due to vertical variations between the coronary arteries, pressure</w:t>
      </w:r>
      <w:r>
        <w:rPr>
          <w:rFonts w:ascii="Times New Roman" w:hAnsi="Times New Roman" w:cs="Times New Roman"/>
          <w:sz w:val="24"/>
          <w:szCs w:val="24"/>
        </w:rPr>
        <w:t>-</w:t>
      </w:r>
      <w:r w:rsidRPr="00EC6C19">
        <w:rPr>
          <w:rFonts w:ascii="Times New Roman" w:hAnsi="Times New Roman" w:cs="Times New Roman"/>
          <w:sz w:val="24"/>
          <w:szCs w:val="24"/>
        </w:rPr>
        <w:t>based indices could be confounded. This phenomenon exists in daily practice yet is widely ignored</w:t>
      </w:r>
      <w:r>
        <w:rPr>
          <w:rFonts w:ascii="Times New Roman" w:hAnsi="Times New Roman" w:cs="Times New Roman"/>
          <w:sz w:val="24"/>
          <w:szCs w:val="24"/>
        </w:rPr>
        <w:t>. This has the</w:t>
      </w:r>
      <w:r w:rsidRPr="00EC6C19">
        <w:rPr>
          <w:rFonts w:ascii="Times New Roman" w:hAnsi="Times New Roman" w:cs="Times New Roman"/>
          <w:sz w:val="24"/>
          <w:szCs w:val="24"/>
        </w:rPr>
        <w:t xml:space="preserve"> </w:t>
      </w:r>
      <w:r>
        <w:rPr>
          <w:rFonts w:ascii="Times New Roman" w:hAnsi="Times New Roman" w:cs="Times New Roman"/>
          <w:sz w:val="24"/>
          <w:szCs w:val="24"/>
        </w:rPr>
        <w:t>potential for misguiding</w:t>
      </w:r>
      <w:r w:rsidRPr="00EC6C19">
        <w:rPr>
          <w:rFonts w:ascii="Times New Roman" w:hAnsi="Times New Roman" w:cs="Times New Roman"/>
          <w:sz w:val="24"/>
          <w:szCs w:val="24"/>
        </w:rPr>
        <w:t xml:space="preserve"> </w:t>
      </w:r>
      <w:r>
        <w:rPr>
          <w:rFonts w:ascii="Times New Roman" w:hAnsi="Times New Roman" w:cs="Times New Roman"/>
          <w:sz w:val="24"/>
          <w:szCs w:val="24"/>
        </w:rPr>
        <w:t>t</w:t>
      </w:r>
      <w:r w:rsidRPr="00EC6C19">
        <w:rPr>
          <w:rFonts w:ascii="Times New Roman" w:hAnsi="Times New Roman" w:cs="Times New Roman"/>
          <w:sz w:val="24"/>
          <w:szCs w:val="24"/>
        </w:rPr>
        <w:t>reatment of coronary lesions in our patients.</w:t>
      </w:r>
    </w:p>
    <w:p w14:paraId="62FA71D5" w14:textId="77777777" w:rsidR="00B200E6" w:rsidRPr="00765B51" w:rsidRDefault="00B200E6" w:rsidP="00826DC1">
      <w:pPr>
        <w:rPr>
          <w:rFonts w:ascii="Times New Roman" w:hAnsi="Times New Roman" w:cs="Times New Roman"/>
          <w:b/>
          <w:sz w:val="24"/>
          <w:szCs w:val="24"/>
          <w:u w:val="single"/>
        </w:rPr>
      </w:pPr>
    </w:p>
    <w:p w14:paraId="3CEDD690" w14:textId="77777777" w:rsidR="004319A7" w:rsidRPr="00765B51" w:rsidRDefault="004319A7"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 xml:space="preserve">The treatment of coronary artery disease is separated into acute presentations (i.e acute coronary syndrome) and stable coronary artery disease. The treatment of stable coronary artery disease is a contentious issue, re-ignited by recent evidence </w:t>
      </w:r>
      <w:r w:rsidR="00C31412" w:rsidRPr="00765B51">
        <w:rPr>
          <w:rFonts w:ascii="Times New Roman" w:hAnsi="Times New Roman" w:cs="Times New Roman"/>
          <w:sz w:val="24"/>
          <w:szCs w:val="24"/>
        </w:rPr>
        <w:t>(</w:t>
      </w:r>
      <w:r w:rsidRPr="00765B51">
        <w:rPr>
          <w:rFonts w:ascii="Times New Roman" w:hAnsi="Times New Roman" w:cs="Times New Roman"/>
          <w:sz w:val="24"/>
          <w:szCs w:val="24"/>
        </w:rPr>
        <w:t xml:space="preserve">ORBITA </w:t>
      </w:r>
      <w:r w:rsidR="00C31412" w:rsidRPr="00765B51">
        <w:rPr>
          <w:rFonts w:ascii="Times New Roman" w:hAnsi="Times New Roman" w:cs="Times New Roman"/>
          <w:sz w:val="24"/>
          <w:szCs w:val="24"/>
        </w:rPr>
        <w:t xml:space="preserve">and </w:t>
      </w:r>
      <w:r w:rsidRPr="00765B51">
        <w:rPr>
          <w:rFonts w:ascii="Times New Roman" w:hAnsi="Times New Roman" w:cs="Times New Roman"/>
          <w:sz w:val="24"/>
          <w:szCs w:val="24"/>
        </w:rPr>
        <w:t>ISCHEMIA trial</w:t>
      </w:r>
      <w:r w:rsidR="00C31412" w:rsidRPr="00765B51">
        <w:rPr>
          <w:rFonts w:ascii="Times New Roman" w:hAnsi="Times New Roman" w:cs="Times New Roman"/>
          <w:sz w:val="24"/>
          <w:szCs w:val="24"/>
        </w:rPr>
        <w:t>s)</w:t>
      </w:r>
      <w:r w:rsidRPr="00765B51">
        <w:rPr>
          <w:rFonts w:ascii="Times New Roman" w:hAnsi="Times New Roman" w:cs="Times New Roman"/>
          <w:sz w:val="24"/>
          <w:szCs w:val="24"/>
        </w:rPr>
        <w:t>.</w:t>
      </w:r>
    </w:p>
    <w:p w14:paraId="0B4D3885" w14:textId="77777777" w:rsidR="00B86AC3" w:rsidRPr="00765B51" w:rsidRDefault="004319A7"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 xml:space="preserve">The identification of stable coronary lesions </w:t>
      </w:r>
      <w:r w:rsidR="0009171F" w:rsidRPr="00765B51">
        <w:rPr>
          <w:rFonts w:ascii="Times New Roman" w:hAnsi="Times New Roman" w:cs="Times New Roman"/>
          <w:sz w:val="24"/>
          <w:szCs w:val="24"/>
        </w:rPr>
        <w:t>which are ischaemic</w:t>
      </w:r>
      <w:r w:rsidRPr="00765B51">
        <w:rPr>
          <w:rFonts w:ascii="Times New Roman" w:hAnsi="Times New Roman" w:cs="Times New Roman"/>
          <w:sz w:val="24"/>
          <w:szCs w:val="24"/>
        </w:rPr>
        <w:t xml:space="preserve"> is a complex area. This has led to the development of invasive</w:t>
      </w:r>
      <w:r w:rsidR="00765B51" w:rsidRPr="00765B51">
        <w:rPr>
          <w:rFonts w:ascii="Times New Roman" w:hAnsi="Times New Roman" w:cs="Times New Roman"/>
          <w:sz w:val="24"/>
          <w:szCs w:val="24"/>
        </w:rPr>
        <w:t xml:space="preserve"> and non-invasive</w:t>
      </w:r>
      <w:r w:rsidRPr="00765B51">
        <w:rPr>
          <w:rFonts w:ascii="Times New Roman" w:hAnsi="Times New Roman" w:cs="Times New Roman"/>
          <w:sz w:val="24"/>
          <w:szCs w:val="24"/>
        </w:rPr>
        <w:t xml:space="preserve"> coronary physiology as a diagnostic aid in stenosis assessment.</w:t>
      </w:r>
      <w:r w:rsidR="00765B51" w:rsidRPr="00765B51">
        <w:rPr>
          <w:rFonts w:ascii="Times New Roman" w:hAnsi="Times New Roman" w:cs="Times New Roman"/>
          <w:sz w:val="24"/>
          <w:szCs w:val="24"/>
        </w:rPr>
        <w:t xml:space="preserve"> Both are covered in brief.</w:t>
      </w:r>
    </w:p>
    <w:p w14:paraId="2C7DF081" w14:textId="777B34FD" w:rsidR="00B86AC3" w:rsidRPr="00765B51" w:rsidRDefault="0034151B"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 xml:space="preserve">The </w:t>
      </w:r>
      <w:r w:rsidR="00AF2E71" w:rsidRPr="00765B51">
        <w:rPr>
          <w:rFonts w:ascii="Times New Roman" w:hAnsi="Times New Roman" w:cs="Times New Roman"/>
          <w:sz w:val="24"/>
          <w:szCs w:val="24"/>
        </w:rPr>
        <w:t>basic</w:t>
      </w:r>
      <w:r w:rsidRPr="00765B51">
        <w:rPr>
          <w:rFonts w:ascii="Times New Roman" w:hAnsi="Times New Roman" w:cs="Times New Roman"/>
          <w:sz w:val="24"/>
          <w:szCs w:val="24"/>
        </w:rPr>
        <w:t xml:space="preserve"> concepts of </w:t>
      </w:r>
      <w:r w:rsidR="00AF2E71" w:rsidRPr="00765B51">
        <w:rPr>
          <w:rFonts w:ascii="Times New Roman" w:hAnsi="Times New Roman" w:cs="Times New Roman"/>
          <w:sz w:val="24"/>
          <w:szCs w:val="24"/>
        </w:rPr>
        <w:t xml:space="preserve">pressure based </w:t>
      </w:r>
      <w:r w:rsidRPr="00765B51">
        <w:rPr>
          <w:rFonts w:ascii="Times New Roman" w:hAnsi="Times New Roman" w:cs="Times New Roman"/>
          <w:sz w:val="24"/>
          <w:szCs w:val="24"/>
        </w:rPr>
        <w:t>coronary physiology</w:t>
      </w:r>
      <w:r w:rsidR="00765B51" w:rsidRPr="00765B51">
        <w:rPr>
          <w:rFonts w:ascii="Times New Roman" w:hAnsi="Times New Roman" w:cs="Times New Roman"/>
          <w:sz w:val="24"/>
          <w:szCs w:val="24"/>
        </w:rPr>
        <w:t xml:space="preserve"> and angiography</w:t>
      </w:r>
      <w:r w:rsidRPr="00765B51">
        <w:rPr>
          <w:rFonts w:ascii="Times New Roman" w:hAnsi="Times New Roman" w:cs="Times New Roman"/>
          <w:sz w:val="24"/>
          <w:szCs w:val="24"/>
        </w:rPr>
        <w:t xml:space="preserve"> are introduced, highlighting the underlying physical principles. A wealth of data exists for the use of pressure</w:t>
      </w:r>
      <w:r w:rsidR="00543B67">
        <w:rPr>
          <w:rFonts w:ascii="Times New Roman" w:hAnsi="Times New Roman" w:cs="Times New Roman"/>
          <w:sz w:val="24"/>
          <w:szCs w:val="24"/>
        </w:rPr>
        <w:t>-</w:t>
      </w:r>
      <w:r w:rsidRPr="00765B51">
        <w:rPr>
          <w:rFonts w:ascii="Times New Roman" w:hAnsi="Times New Roman" w:cs="Times New Roman"/>
          <w:sz w:val="24"/>
          <w:szCs w:val="24"/>
        </w:rPr>
        <w:t xml:space="preserve">based indices, and the most </w:t>
      </w:r>
      <w:r w:rsidR="00543B67" w:rsidRPr="00765B51">
        <w:rPr>
          <w:rFonts w:ascii="Times New Roman" w:hAnsi="Times New Roman" w:cs="Times New Roman"/>
          <w:sz w:val="24"/>
          <w:szCs w:val="24"/>
        </w:rPr>
        <w:t>well</w:t>
      </w:r>
      <w:r w:rsidR="00543B67">
        <w:rPr>
          <w:rFonts w:ascii="Times New Roman" w:hAnsi="Times New Roman" w:cs="Times New Roman"/>
          <w:sz w:val="24"/>
          <w:szCs w:val="24"/>
        </w:rPr>
        <w:t>-</w:t>
      </w:r>
      <w:r w:rsidRPr="00765B51">
        <w:rPr>
          <w:rFonts w:ascii="Times New Roman" w:hAnsi="Times New Roman" w:cs="Times New Roman"/>
          <w:sz w:val="24"/>
          <w:szCs w:val="24"/>
        </w:rPr>
        <w:t>known landmark</w:t>
      </w:r>
      <w:r w:rsidR="0046411D" w:rsidRPr="00765B51">
        <w:rPr>
          <w:rFonts w:ascii="Times New Roman" w:hAnsi="Times New Roman" w:cs="Times New Roman"/>
          <w:sz w:val="24"/>
          <w:szCs w:val="24"/>
        </w:rPr>
        <w:t xml:space="preserve"> papers are described. </w:t>
      </w:r>
      <w:r w:rsidR="0009171F" w:rsidRPr="00765B51">
        <w:rPr>
          <w:rFonts w:ascii="Times New Roman" w:hAnsi="Times New Roman" w:cs="Times New Roman"/>
          <w:sz w:val="24"/>
          <w:szCs w:val="24"/>
        </w:rPr>
        <w:t>Newer resting indices</w:t>
      </w:r>
      <w:r w:rsidRPr="00765B51">
        <w:rPr>
          <w:rFonts w:ascii="Times New Roman" w:hAnsi="Times New Roman" w:cs="Times New Roman"/>
          <w:sz w:val="24"/>
          <w:szCs w:val="24"/>
        </w:rPr>
        <w:t xml:space="preserve"> have gained clinical popularity over the past few years and form a part of the clinical methodology in the GRAVITY study.</w:t>
      </w:r>
      <w:r w:rsidR="004319A7" w:rsidRPr="00765B51">
        <w:rPr>
          <w:rFonts w:ascii="Times New Roman" w:hAnsi="Times New Roman" w:cs="Times New Roman"/>
          <w:sz w:val="24"/>
          <w:szCs w:val="24"/>
        </w:rPr>
        <w:t xml:space="preserve"> Pressure based indices have limitations and pitfalls, which are addressed. The most significant one in relation to this thesis is hydrostatic pressure.</w:t>
      </w:r>
    </w:p>
    <w:p w14:paraId="76804274" w14:textId="77777777" w:rsidR="00B86AC3" w:rsidRPr="00765B51" w:rsidRDefault="0009171F"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Hydrostatic pressure theory is described,</w:t>
      </w:r>
      <w:r w:rsidR="004319A7" w:rsidRPr="00765B51">
        <w:rPr>
          <w:rFonts w:ascii="Times New Roman" w:hAnsi="Times New Roman" w:cs="Times New Roman"/>
          <w:sz w:val="24"/>
          <w:szCs w:val="24"/>
        </w:rPr>
        <w:t xml:space="preserve"> </w:t>
      </w:r>
      <w:r w:rsidR="0034151B" w:rsidRPr="00765B51">
        <w:rPr>
          <w:rFonts w:ascii="Times New Roman" w:hAnsi="Times New Roman" w:cs="Times New Roman"/>
          <w:sz w:val="24"/>
          <w:szCs w:val="24"/>
        </w:rPr>
        <w:t>comparing the coronary circulation to a closed fluid loop system. This is a theoretical model of fluid dynamics in physical science which mirrors the coronary circulation. There is a significant lack of published literature on the subject.</w:t>
      </w:r>
    </w:p>
    <w:p w14:paraId="318241D2" w14:textId="4CACB995" w:rsidR="00B86AC3" w:rsidRPr="00765B51" w:rsidRDefault="0034151B"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The last section introduces CT coronary angiography</w:t>
      </w:r>
      <w:r w:rsidR="0009171F" w:rsidRPr="00765B51">
        <w:rPr>
          <w:rFonts w:ascii="Times New Roman" w:hAnsi="Times New Roman" w:cs="Times New Roman"/>
          <w:sz w:val="24"/>
          <w:szCs w:val="24"/>
        </w:rPr>
        <w:t xml:space="preserve"> in daily clinical practice </w:t>
      </w:r>
      <w:r w:rsidR="001B07E1" w:rsidRPr="00765B51">
        <w:rPr>
          <w:rFonts w:ascii="Times New Roman" w:hAnsi="Times New Roman" w:cs="Times New Roman"/>
          <w:sz w:val="24"/>
          <w:szCs w:val="24"/>
        </w:rPr>
        <w:t xml:space="preserve">and the specific </w:t>
      </w:r>
      <w:r w:rsidR="0009171F" w:rsidRPr="00765B51">
        <w:rPr>
          <w:rFonts w:ascii="Times New Roman" w:hAnsi="Times New Roman" w:cs="Times New Roman"/>
          <w:sz w:val="24"/>
          <w:szCs w:val="24"/>
        </w:rPr>
        <w:t>relevance to this research</w:t>
      </w:r>
      <w:r w:rsidR="001B07E1" w:rsidRPr="00765B51">
        <w:rPr>
          <w:rFonts w:ascii="Times New Roman" w:hAnsi="Times New Roman" w:cs="Times New Roman"/>
          <w:sz w:val="24"/>
          <w:szCs w:val="24"/>
        </w:rPr>
        <w:t xml:space="preserve">. It will be preliminarily used to measure coronary </w:t>
      </w:r>
      <w:r w:rsidRPr="00765B51">
        <w:rPr>
          <w:rFonts w:ascii="Times New Roman" w:hAnsi="Times New Roman" w:cs="Times New Roman"/>
          <w:sz w:val="24"/>
          <w:szCs w:val="24"/>
        </w:rPr>
        <w:t>height difference</w:t>
      </w:r>
      <w:r w:rsidR="001B07E1" w:rsidRPr="00765B51">
        <w:rPr>
          <w:rFonts w:ascii="Times New Roman" w:hAnsi="Times New Roman" w:cs="Times New Roman"/>
          <w:sz w:val="24"/>
          <w:szCs w:val="24"/>
        </w:rPr>
        <w:t>s which produce</w:t>
      </w:r>
      <w:r w:rsidRPr="00765B51">
        <w:rPr>
          <w:rFonts w:ascii="Times New Roman" w:hAnsi="Times New Roman" w:cs="Times New Roman"/>
          <w:sz w:val="24"/>
          <w:szCs w:val="24"/>
        </w:rPr>
        <w:t xml:space="preserve"> h</w:t>
      </w:r>
      <w:r w:rsidR="0009171F" w:rsidRPr="00765B51">
        <w:rPr>
          <w:rFonts w:ascii="Times New Roman" w:hAnsi="Times New Roman" w:cs="Times New Roman"/>
          <w:sz w:val="24"/>
          <w:szCs w:val="24"/>
        </w:rPr>
        <w:t xml:space="preserve">ydrostatic effect </w:t>
      </w:r>
      <w:r w:rsidR="0009171F" w:rsidRPr="009C2BD2">
        <w:rPr>
          <w:rFonts w:ascii="Times New Roman" w:hAnsi="Times New Roman" w:cs="Times New Roman"/>
          <w:i/>
          <w:iCs/>
          <w:sz w:val="24"/>
          <w:szCs w:val="24"/>
        </w:rPr>
        <w:t>in vivo</w:t>
      </w:r>
      <w:r w:rsidR="0009171F" w:rsidRPr="00765B51">
        <w:rPr>
          <w:rFonts w:ascii="Times New Roman" w:hAnsi="Times New Roman" w:cs="Times New Roman"/>
          <w:sz w:val="24"/>
          <w:szCs w:val="24"/>
        </w:rPr>
        <w:t>. This was</w:t>
      </w:r>
      <w:r w:rsidR="001B07E1" w:rsidRPr="00765B51">
        <w:rPr>
          <w:rFonts w:ascii="Times New Roman" w:hAnsi="Times New Roman" w:cs="Times New Roman"/>
          <w:sz w:val="24"/>
          <w:szCs w:val="24"/>
        </w:rPr>
        <w:t xml:space="preserve"> critical</w:t>
      </w:r>
      <w:r w:rsidR="0009171F" w:rsidRPr="00765B51">
        <w:rPr>
          <w:rFonts w:ascii="Times New Roman" w:hAnsi="Times New Roman" w:cs="Times New Roman"/>
          <w:sz w:val="24"/>
          <w:szCs w:val="24"/>
        </w:rPr>
        <w:t xml:space="preserve"> </w:t>
      </w:r>
      <w:r w:rsidR="00FF6095" w:rsidRPr="00765B51">
        <w:rPr>
          <w:rFonts w:ascii="Times New Roman" w:hAnsi="Times New Roman" w:cs="Times New Roman"/>
          <w:sz w:val="24"/>
          <w:szCs w:val="24"/>
        </w:rPr>
        <w:t>in vitro data,</w:t>
      </w:r>
      <w:r w:rsidR="0009171F" w:rsidRPr="00765B51">
        <w:rPr>
          <w:rFonts w:ascii="Times New Roman" w:hAnsi="Times New Roman" w:cs="Times New Roman"/>
          <w:sz w:val="24"/>
          <w:szCs w:val="24"/>
        </w:rPr>
        <w:t xml:space="preserve"> as</w:t>
      </w:r>
      <w:r w:rsidR="005A79F1" w:rsidRPr="00765B51">
        <w:rPr>
          <w:rFonts w:ascii="Times New Roman" w:hAnsi="Times New Roman" w:cs="Times New Roman"/>
          <w:sz w:val="24"/>
          <w:szCs w:val="24"/>
        </w:rPr>
        <w:t xml:space="preserve"> the potential </w:t>
      </w:r>
      <w:r w:rsidR="005A79F1" w:rsidRPr="00765B51">
        <w:rPr>
          <w:rFonts w:ascii="Times New Roman" w:hAnsi="Times New Roman" w:cs="Times New Roman"/>
          <w:sz w:val="24"/>
          <w:szCs w:val="24"/>
        </w:rPr>
        <w:lastRenderedPageBreak/>
        <w:t>magni</w:t>
      </w:r>
      <w:r w:rsidR="00FF6095" w:rsidRPr="00765B51">
        <w:rPr>
          <w:rFonts w:ascii="Times New Roman" w:hAnsi="Times New Roman" w:cs="Times New Roman"/>
          <w:sz w:val="24"/>
          <w:szCs w:val="24"/>
        </w:rPr>
        <w:t xml:space="preserve">tude of effect in real patients was poorly understood. In turn, it </w:t>
      </w:r>
      <w:r w:rsidR="001B07E1" w:rsidRPr="00765B51">
        <w:rPr>
          <w:rFonts w:ascii="Times New Roman" w:hAnsi="Times New Roman" w:cs="Times New Roman"/>
          <w:sz w:val="24"/>
          <w:szCs w:val="24"/>
        </w:rPr>
        <w:t xml:space="preserve">was utilised to understand sample size calculation, and whether hydrostatic theory could be effectively measured and demonstrated </w:t>
      </w:r>
      <w:r w:rsidR="001B07E1" w:rsidRPr="009C2BD2">
        <w:rPr>
          <w:rFonts w:ascii="Times New Roman" w:hAnsi="Times New Roman" w:cs="Times New Roman"/>
          <w:i/>
          <w:iCs/>
          <w:sz w:val="24"/>
          <w:szCs w:val="24"/>
        </w:rPr>
        <w:t>in vivo</w:t>
      </w:r>
      <w:r w:rsidR="001B07E1" w:rsidRPr="00765B51">
        <w:rPr>
          <w:rFonts w:ascii="Times New Roman" w:hAnsi="Times New Roman" w:cs="Times New Roman"/>
          <w:sz w:val="24"/>
          <w:szCs w:val="24"/>
        </w:rPr>
        <w:t>.</w:t>
      </w:r>
    </w:p>
    <w:p w14:paraId="6D23DB7F" w14:textId="77777777" w:rsidR="0009171F" w:rsidRPr="00EC6C19" w:rsidRDefault="0009171F" w:rsidP="009C2BD2">
      <w:pPr>
        <w:spacing w:line="360" w:lineRule="auto"/>
        <w:jc w:val="both"/>
        <w:rPr>
          <w:rFonts w:ascii="Times New Roman" w:hAnsi="Times New Roman" w:cs="Times New Roman"/>
          <w:color w:val="FF0000"/>
          <w:sz w:val="24"/>
          <w:szCs w:val="24"/>
        </w:rPr>
      </w:pPr>
    </w:p>
    <w:p w14:paraId="41254B6E" w14:textId="77777777" w:rsidR="00B86AC3" w:rsidRPr="00765B51" w:rsidRDefault="0046411D">
      <w:pPr>
        <w:spacing w:line="360" w:lineRule="auto"/>
        <w:rPr>
          <w:rFonts w:ascii="Times New Roman" w:hAnsi="Times New Roman" w:cs="Times New Roman"/>
          <w:i/>
          <w:sz w:val="24"/>
          <w:szCs w:val="24"/>
        </w:rPr>
      </w:pPr>
      <w:r w:rsidRPr="00765B51">
        <w:rPr>
          <w:rFonts w:ascii="Times New Roman" w:hAnsi="Times New Roman" w:cs="Times New Roman"/>
          <w:i/>
          <w:sz w:val="24"/>
          <w:szCs w:val="24"/>
        </w:rPr>
        <w:t>Chapter II</w:t>
      </w:r>
      <w:r w:rsidR="005A79F1" w:rsidRPr="00765B51">
        <w:rPr>
          <w:rFonts w:ascii="Times New Roman" w:hAnsi="Times New Roman" w:cs="Times New Roman"/>
          <w:i/>
          <w:sz w:val="24"/>
          <w:szCs w:val="24"/>
        </w:rPr>
        <w:t xml:space="preserve"> - </w:t>
      </w:r>
      <w:r w:rsidR="00765B51">
        <w:rPr>
          <w:rFonts w:ascii="Times New Roman" w:hAnsi="Times New Roman" w:cs="Times New Roman"/>
          <w:i/>
          <w:sz w:val="24"/>
          <w:szCs w:val="24"/>
        </w:rPr>
        <w:t>Methods,</w:t>
      </w:r>
      <w:r w:rsidR="0009171F" w:rsidRPr="00765B51">
        <w:rPr>
          <w:rFonts w:ascii="Times New Roman" w:hAnsi="Times New Roman" w:cs="Times New Roman"/>
          <w:i/>
          <w:sz w:val="24"/>
          <w:szCs w:val="24"/>
        </w:rPr>
        <w:t xml:space="preserve"> Results</w:t>
      </w:r>
      <w:r w:rsidR="00765B51">
        <w:rPr>
          <w:rFonts w:ascii="Times New Roman" w:hAnsi="Times New Roman" w:cs="Times New Roman"/>
          <w:i/>
          <w:sz w:val="24"/>
          <w:szCs w:val="24"/>
        </w:rPr>
        <w:t xml:space="preserve"> and Interpretation</w:t>
      </w:r>
      <w:r w:rsidR="0009171F" w:rsidRPr="00765B51">
        <w:rPr>
          <w:rFonts w:ascii="Times New Roman" w:hAnsi="Times New Roman" w:cs="Times New Roman"/>
          <w:i/>
          <w:sz w:val="24"/>
          <w:szCs w:val="24"/>
        </w:rPr>
        <w:t xml:space="preserve"> from CT</w:t>
      </w:r>
      <w:r w:rsidR="00765B51">
        <w:rPr>
          <w:rFonts w:ascii="Times New Roman" w:hAnsi="Times New Roman" w:cs="Times New Roman"/>
          <w:i/>
          <w:sz w:val="24"/>
          <w:szCs w:val="24"/>
        </w:rPr>
        <w:t xml:space="preserve"> Coronary</w:t>
      </w:r>
      <w:r w:rsidR="0009171F" w:rsidRPr="00765B51">
        <w:rPr>
          <w:rFonts w:ascii="Times New Roman" w:hAnsi="Times New Roman" w:cs="Times New Roman"/>
          <w:i/>
          <w:sz w:val="24"/>
          <w:szCs w:val="24"/>
        </w:rPr>
        <w:t xml:space="preserve"> Angiography</w:t>
      </w:r>
    </w:p>
    <w:p w14:paraId="4ECB9A1F" w14:textId="77777777" w:rsidR="00B86AC3" w:rsidRPr="00765B51" w:rsidRDefault="00B86AC3">
      <w:pPr>
        <w:spacing w:line="360" w:lineRule="auto"/>
        <w:rPr>
          <w:rFonts w:ascii="Times New Roman" w:hAnsi="Times New Roman" w:cs="Times New Roman"/>
          <w:sz w:val="24"/>
          <w:szCs w:val="24"/>
        </w:rPr>
      </w:pPr>
    </w:p>
    <w:p w14:paraId="73E464F6" w14:textId="77777777" w:rsidR="00B86AC3" w:rsidRPr="00765B51" w:rsidRDefault="001B07E1"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D</w:t>
      </w:r>
      <w:r w:rsidR="00027E22" w:rsidRPr="00765B51">
        <w:rPr>
          <w:rFonts w:ascii="Times New Roman" w:hAnsi="Times New Roman" w:cs="Times New Roman"/>
          <w:sz w:val="24"/>
          <w:szCs w:val="24"/>
        </w:rPr>
        <w:t>ata</w:t>
      </w:r>
      <w:r w:rsidRPr="00765B51">
        <w:rPr>
          <w:rFonts w:ascii="Times New Roman" w:hAnsi="Times New Roman" w:cs="Times New Roman"/>
          <w:sz w:val="24"/>
          <w:szCs w:val="24"/>
        </w:rPr>
        <w:t xml:space="preserve"> from this chapter</w:t>
      </w:r>
      <w:r w:rsidR="00027E22" w:rsidRPr="00765B51">
        <w:rPr>
          <w:rFonts w:ascii="Times New Roman" w:hAnsi="Times New Roman" w:cs="Times New Roman"/>
          <w:sz w:val="24"/>
          <w:szCs w:val="24"/>
        </w:rPr>
        <w:t xml:space="preserve"> has since been published in a peer review</w:t>
      </w:r>
      <w:r w:rsidR="006410DB" w:rsidRPr="00765B51">
        <w:rPr>
          <w:rFonts w:ascii="Times New Roman" w:hAnsi="Times New Roman" w:cs="Times New Roman"/>
          <w:sz w:val="24"/>
          <w:szCs w:val="24"/>
        </w:rPr>
        <w:t>ed</w:t>
      </w:r>
      <w:r w:rsidR="00027E22" w:rsidRPr="00765B51">
        <w:rPr>
          <w:rFonts w:ascii="Times New Roman" w:hAnsi="Times New Roman" w:cs="Times New Roman"/>
          <w:sz w:val="24"/>
          <w:szCs w:val="24"/>
        </w:rPr>
        <w:t xml:space="preserve"> journal</w:t>
      </w:r>
      <w:r w:rsidR="004319A7" w:rsidRPr="00765B51">
        <w:rPr>
          <w:rFonts w:ascii="Times New Roman" w:hAnsi="Times New Roman" w:cs="Times New Roman"/>
          <w:sz w:val="24"/>
          <w:szCs w:val="24"/>
        </w:rPr>
        <w:t xml:space="preserve"> </w:t>
      </w:r>
      <w:r w:rsidR="00106A32" w:rsidRPr="00765B51">
        <w:rPr>
          <w:rFonts w:ascii="Times New Roman" w:hAnsi="Times New Roman" w:cs="Times New Roman"/>
          <w:sz w:val="24"/>
          <w:szCs w:val="24"/>
        </w:rPr>
        <w:fldChar w:fldCharType="begin"/>
      </w:r>
      <w:r w:rsidR="00DA1AD3" w:rsidRPr="00765B51">
        <w:rPr>
          <w:rFonts w:ascii="Times New Roman" w:hAnsi="Times New Roman" w:cs="Times New Roman"/>
          <w:sz w:val="24"/>
          <w:szCs w:val="24"/>
        </w:rPr>
        <w:instrText xml:space="preserve"> ADDIN ZOTERO_ITEM CSL_CITATION {"citationID":"6MY9EACb","properties":{"formattedCitation":"(Al-Janabi et al., 2019)","plainCitation":"(Al-Janabi et al., 2019)","noteIndex":0},"citationItems":[{"id":741,"uris":["http://zotero.org/users/local/k67tNDdX/items/R88YLU8F"],"uri":["http://zotero.org/users/local/k67tNDdX/items/R88YLU8F"],"itemData":{"id":741,"type":"article-journal","abstract":"BACKGROUND: Fractional flow reserve (FFR) uses pressure-based measurements to assess the severity of a coronary stenosis. Distal pressure (Pd) is often at a different vertical height to that of the proximal pressure (Pa). The difference in pressure between Pd and Pa due to hydrostatic pressure, may impact FFR calculation.\nMETHODS: One hundred computed tomography coronary angiographies were used to measure height differences between the coronary ostia and points in the coronary tree. Mean heights were used to calculate the hydrostatic pressure effect in each artery, using a correction factor of 0.8 mmHg/cm. This was tested in a simulation of intermediate coronary stenosis to give the \"corrected FFR\" (cFFR) and percentage of values, which crossed a threshold of 0.8.\nRESULTS: The mean height from coronary ostium to distal left anterior descending (LAD) was +5.26 cm, distal circumflex (Cx) -3.35 cm, distal right coronary artery-posterior left ventricular artery (RCA-PLV) -5.74 cm and distal RCA-posterior descending artery (PDA) +1.83 cm. For LAD, correction resulted in a mean change in FFR of +0.042, -0.027 in the Cx, -0.046 in the PLV and +0.015 in the PDA. Using 200 random FFR values between 0.75 and 0.85, the resulting cFFR crossed the clinical treatment threshold of 0.8 in 43% of LAD, 27% of Cx, 47% of PLV and 15% of PDA cases.\nCONCLUSIONS: There are significant vertical height differences between the distal artery (Pd) and its point of normalization (Pa). This is likely to have a modest effect on FFR calculation and the results in values crossing the treatment threshold. Operators should be mindful of this phenomenon when interpreting FFR values.","container-title":"Cardiology Journal","DOI":"10.5603/CJ.a2019.0031","ISSN":"1897-5593","journalAbbreviation":"Cardiol J","language":"eng","note":"PMID: 30912578","source":"PubMed","title":"Coronary artery height differences and their effect on fractional flow reserve","author":[{"family":"Al-Janabi","given":"Firas"},{"family":"Karamasis","given":"Grigoris"},{"family":"Cook","given":"Chritopher M."},{"family":"Kabir","given":"Alamgir M."},{"family":"Jagathesan","given":"Rohan O."},{"family":"Robinson","given":"Nicholas M."},{"family":"Sayer","given":"Jeremy W."},{"family":"Aggarwal","given":"Rajesh K."},{"family":"Clesham","given":"Gerald J."},{"family":"Kelly","given":"Paul R."},{"family":"Gamma","given":"Reto A."},{"family":"Tang","given":"Kare H."},{"family":"Keeble","given":"Thomas R."},{"family":"Davies","given":"John R."}],"issued":{"date-parts":[["2019",3,26]]}}}],"schema":"https://github.com/citation-style-language/schema/raw/master/csl-citation.json"} </w:instrText>
      </w:r>
      <w:r w:rsidR="00106A32" w:rsidRPr="00765B51">
        <w:rPr>
          <w:rFonts w:ascii="Times New Roman" w:hAnsi="Times New Roman" w:cs="Times New Roman"/>
          <w:sz w:val="24"/>
          <w:szCs w:val="24"/>
        </w:rPr>
        <w:fldChar w:fldCharType="separate"/>
      </w:r>
      <w:r w:rsidR="00D212BB" w:rsidRPr="00765B51">
        <w:rPr>
          <w:rFonts w:ascii="Times New Roman" w:hAnsi="Times New Roman" w:cs="Times New Roman"/>
          <w:sz w:val="24"/>
          <w:szCs w:val="24"/>
        </w:rPr>
        <w:t>(Al-Janabi et al</w:t>
      </w:r>
      <w:r w:rsidR="00B22321" w:rsidRPr="00765B51">
        <w:rPr>
          <w:rFonts w:ascii="Times New Roman" w:hAnsi="Times New Roman" w:cs="Times New Roman"/>
          <w:sz w:val="24"/>
          <w:szCs w:val="24"/>
        </w:rPr>
        <w:t>.</w:t>
      </w:r>
      <w:r w:rsidR="00D212BB" w:rsidRPr="00765B51">
        <w:rPr>
          <w:rFonts w:ascii="Times New Roman" w:hAnsi="Times New Roman" w:cs="Times New Roman"/>
          <w:sz w:val="24"/>
          <w:szCs w:val="24"/>
        </w:rPr>
        <w:t>, 2019)</w:t>
      </w:r>
      <w:r w:rsidR="00106A32" w:rsidRPr="00765B51">
        <w:rPr>
          <w:rFonts w:ascii="Times New Roman" w:hAnsi="Times New Roman" w:cs="Times New Roman"/>
          <w:sz w:val="24"/>
          <w:szCs w:val="24"/>
        </w:rPr>
        <w:fldChar w:fldCharType="end"/>
      </w:r>
      <w:r w:rsidR="00106A32" w:rsidRPr="00765B51">
        <w:rPr>
          <w:rFonts w:ascii="Times New Roman" w:hAnsi="Times New Roman" w:cs="Times New Roman"/>
          <w:sz w:val="24"/>
          <w:szCs w:val="24"/>
        </w:rPr>
        <w:fldChar w:fldCharType="begin"/>
      </w:r>
      <w:r w:rsidR="00DA1AD3" w:rsidRPr="00765B51">
        <w:rPr>
          <w:rFonts w:ascii="Times New Roman" w:hAnsi="Times New Roman" w:cs="Times New Roman"/>
          <w:sz w:val="24"/>
          <w:szCs w:val="24"/>
        </w:rPr>
        <w:instrText xml:space="preserve"> ADDIN ZOTERO_ITEM CSL_CITATION {"citationID":"vxvBCqHB","properties":{"formattedCitation":"[1]","plainCitation":"[1]","dontUpdate":true,"noteIndex":0},"citationItems":[{"id":741,"uris":["http://zotero.org/users/local/k67tNDdX/items/R88YLU8F"],"uri":["http://zotero.org/users/local/k67tNDdX/items/R88YLU8F"],"itemData":{"id":741,"type":"article-journal","abstract":"BACKGROUND: Fractional flow reserve (FFR) uses pressure-based measurements to assess the severity of a coronary stenosis. Distal pressure (Pd) is often at a different vertical height to that of the proximal pressure (Pa). The difference in pressure between Pd and Pa due to hydrostatic pressure, may impact FFR calculation.\nMETHODS: One hundred computed tomography coronary angiographies were used to measure height differences between the coronary ostia and points in the coronary tree. Mean heights were used to calculate the hydrostatic pressure effect in each artery, using a correction factor of 0.8 mmHg/cm. This was tested in a simulation of intermediate coronary stenosis to give the \"corrected FFR\" (cFFR) and percentage of values, which crossed a threshold of 0.8.\nRESULTS: The mean height from coronary ostium to distal left anterior descending (LAD) was +5.26 cm, distal circumflex (Cx) -3.35 cm, distal right coronary artery-posterior left ventricular artery (RCA-PLV) -5.74 cm and distal RCA-posterior descending artery (PDA) +1.83 cm. For LAD, correction resulted in a mean change in FFR of +0.042, -0.027 in the Cx, -0.046 in the PLV and +0.015 in the PDA. Using 200 random FFR values between 0.75 and 0.85, the resulting cFFR crossed the clinical treatment threshold of 0.8 in 43% of LAD, 27% of Cx, 47% of PLV and 15% of PDA cases.\nCONCLUSIONS: There are significant vertical height differences between the distal artery (Pd) and its point of normalization (Pa). This is likely to have a modest effect on FFR calculation and the results in values crossing the treatment threshold. Operators should be mindful of this phenomenon when interpreting FFR values.","container-title":"Cardiology Journal","DOI":"10.5603/CJ.a2019.0031","ISSN":"1897-5593","journalAbbreviation":"Cardiol J","language":"eng","note":"PMID: 30912578","source":"PubMed","title":"Coronary artery height differences and their effect on fractional flow reserve","author":[{"family":"Al-Janabi","given":"Firas"},{"family":"Karamasis","given":"Grigoris"},{"family":"Cook","given":"Chritopher M."},{"family":"Kabir","given":"Alamgir M."},{"family":"Jagathesan","given":"Rohan O."},{"family":"Robinson","given":"Nicholas M."},{"family":"Sayer","given":"Jeremy W."},{"family":"Aggarwal","given":"Rajesh K."},{"family":"Clesham","given":"Gerald J."},{"family":"Kelly","given":"Paul R."},{"family":"Gamma","given":"Reto A."},{"family":"Tang","given":"Kare H."},{"family":"Keeble","given":"Thomas R."},{"family":"Davies","given":"John R."}],"issued":{"date-parts":[["2019",3,26]]}}}],"schema":"https://github.com/citation-style-language/schema/raw/master/csl-citation.json"} </w:instrText>
      </w:r>
      <w:r w:rsidR="00106A32" w:rsidRPr="00765B51">
        <w:rPr>
          <w:rFonts w:ascii="Times New Roman" w:hAnsi="Times New Roman" w:cs="Times New Roman"/>
          <w:sz w:val="24"/>
          <w:szCs w:val="24"/>
        </w:rPr>
        <w:fldChar w:fldCharType="end"/>
      </w:r>
      <w:r w:rsidR="006410DB" w:rsidRPr="00765B51">
        <w:rPr>
          <w:rFonts w:ascii="Times New Roman" w:hAnsi="Times New Roman" w:cs="Times New Roman"/>
          <w:sz w:val="24"/>
          <w:szCs w:val="24"/>
        </w:rPr>
        <w:t xml:space="preserve"> - </w:t>
      </w:r>
      <w:r w:rsidR="003B4D5A" w:rsidRPr="003E6610">
        <w:rPr>
          <w:rFonts w:ascii="Times New Roman" w:hAnsi="Times New Roman" w:cs="Times New Roman"/>
          <w:sz w:val="24"/>
          <w:szCs w:val="24"/>
        </w:rPr>
        <w:t xml:space="preserve">see appendix </w:t>
      </w:r>
      <w:r w:rsidR="003E6610" w:rsidRPr="003E6610">
        <w:rPr>
          <w:rFonts w:ascii="Times New Roman" w:hAnsi="Times New Roman" w:cs="Times New Roman"/>
          <w:sz w:val="24"/>
          <w:szCs w:val="24"/>
        </w:rPr>
        <w:t>G</w:t>
      </w:r>
      <w:r w:rsidR="00C34F4A" w:rsidRPr="00765B51">
        <w:rPr>
          <w:rFonts w:ascii="Times New Roman" w:hAnsi="Times New Roman" w:cs="Times New Roman"/>
          <w:sz w:val="24"/>
          <w:szCs w:val="24"/>
        </w:rPr>
        <w:t xml:space="preserve"> for the full paper</w:t>
      </w:r>
      <w:r w:rsidR="006410DB" w:rsidRPr="00765B51">
        <w:rPr>
          <w:rFonts w:ascii="Times New Roman" w:hAnsi="Times New Roman" w:cs="Times New Roman"/>
          <w:sz w:val="24"/>
          <w:szCs w:val="24"/>
        </w:rPr>
        <w:t>. 100 selected CT coronary angiograms were analysed to assess the height differences between the ostium of the relative vessel, and the most distal point (where the physiology wire would be placed in a patient).</w:t>
      </w:r>
    </w:p>
    <w:p w14:paraId="1C021912" w14:textId="77777777" w:rsidR="00B86AC3" w:rsidRPr="00765B51" w:rsidRDefault="006410DB"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 xml:space="preserve">In summary, the results showed significant variation from the ostial vessel to the distal vessel in all main coronary arteries (LAD, Cx, RCA-PLV and RCA -PDA). The vertical distance data was then used to calculate an estimated hydrostatic pressure effect using a pre-defined equation. The effect of this was translated into a </w:t>
      </w:r>
      <w:r w:rsidR="0017259E" w:rsidRPr="00765B51">
        <w:rPr>
          <w:rFonts w:ascii="Times New Roman" w:hAnsi="Times New Roman" w:cs="Times New Roman"/>
          <w:sz w:val="24"/>
          <w:szCs w:val="24"/>
        </w:rPr>
        <w:t xml:space="preserve">computer model of 100 pressure wire recordings </w:t>
      </w:r>
      <w:r w:rsidRPr="00765B51">
        <w:rPr>
          <w:rFonts w:ascii="Times New Roman" w:hAnsi="Times New Roman" w:cs="Times New Roman"/>
          <w:sz w:val="24"/>
          <w:szCs w:val="24"/>
        </w:rPr>
        <w:t>ranging from 0.75 to 0.85.</w:t>
      </w:r>
      <w:r w:rsidR="00C34F4A" w:rsidRPr="00765B51">
        <w:rPr>
          <w:rFonts w:ascii="Times New Roman" w:hAnsi="Times New Roman" w:cs="Times New Roman"/>
          <w:sz w:val="24"/>
          <w:szCs w:val="24"/>
        </w:rPr>
        <w:t xml:space="preserve"> Up to 47% of these recordings were found to cross a physiological threshold of significance if </w:t>
      </w:r>
      <w:r w:rsidR="00765B51">
        <w:rPr>
          <w:rFonts w:ascii="Times New Roman" w:hAnsi="Times New Roman" w:cs="Times New Roman"/>
          <w:sz w:val="24"/>
          <w:szCs w:val="24"/>
        </w:rPr>
        <w:t>corrected for hydrostatic pressure</w:t>
      </w:r>
      <w:r w:rsidR="00C34F4A" w:rsidRPr="00765B51">
        <w:rPr>
          <w:rFonts w:ascii="Times New Roman" w:hAnsi="Times New Roman" w:cs="Times New Roman"/>
          <w:sz w:val="24"/>
          <w:szCs w:val="24"/>
        </w:rPr>
        <w:t>.</w:t>
      </w:r>
    </w:p>
    <w:p w14:paraId="17888A01" w14:textId="77777777" w:rsidR="00B86AC3" w:rsidRPr="00765B51" w:rsidRDefault="00C34F4A" w:rsidP="009C2BD2">
      <w:pPr>
        <w:widowControl w:val="0"/>
        <w:autoSpaceDE w:val="0"/>
        <w:autoSpaceDN w:val="0"/>
        <w:adjustRightInd w:val="0"/>
        <w:spacing w:after="0" w:line="360" w:lineRule="auto"/>
        <w:jc w:val="both"/>
        <w:rPr>
          <w:rFonts w:ascii="Times New Roman" w:hAnsi="Times New Roman" w:cs="Times New Roman"/>
          <w:sz w:val="24"/>
          <w:szCs w:val="24"/>
        </w:rPr>
      </w:pPr>
      <w:r w:rsidRPr="00765B51">
        <w:rPr>
          <w:rFonts w:ascii="Times New Roman" w:hAnsi="Times New Roman" w:cs="Times New Roman"/>
          <w:sz w:val="24"/>
          <w:szCs w:val="24"/>
        </w:rPr>
        <w:t xml:space="preserve">The data from these CT scans provided an estimation of the magnitude of effect, meaning sample size could be estimated from a power calculation. Interestingly, during the study period, similar data was published by a German group in substantially different cohort of patients </w:t>
      </w:r>
      <w:r w:rsidR="004034CE" w:rsidRPr="00765B51">
        <w:rPr>
          <w:rFonts w:ascii="Times New Roman" w:hAnsi="Times New Roman" w:cs="Times New Roman"/>
          <w:sz w:val="24"/>
          <w:szCs w:val="24"/>
        </w:rPr>
        <w:t>(</w:t>
      </w:r>
      <w:r w:rsidR="00106A32" w:rsidRPr="00765B51">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{"citationID":"rcm8u2jr","properties":{"formattedCitation":"(H\\uc0\\u228{}rle et al., 2017a)","plainCitation":"","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765B51">
        <w:rPr>
          <w:rFonts w:ascii="Times New Roman" w:hAnsi="Times New Roman" w:cs="Times New Roman"/>
          <w:sz w:val="24"/>
          <w:szCs w:val="24"/>
        </w:rPr>
        <w:fldChar w:fldCharType="end"/>
      </w:r>
      <w:r w:rsidR="00B62624" w:rsidRPr="00765B51">
        <w:rPr>
          <w:rFonts w:ascii="Times New Roman" w:hAnsi="Times New Roman" w:cs="Times New Roman"/>
          <w:sz w:val="24"/>
          <w:szCs w:val="24"/>
        </w:rPr>
        <w:t>Härle et al., 2017a)</w:t>
      </w:r>
      <w:r w:rsidRPr="00765B51">
        <w:rPr>
          <w:rFonts w:ascii="Times New Roman" w:hAnsi="Times New Roman" w:cs="Times New Roman"/>
          <w:sz w:val="24"/>
          <w:szCs w:val="24"/>
        </w:rPr>
        <w:t xml:space="preserve">. Their data is compared with ours. </w:t>
      </w:r>
    </w:p>
    <w:p w14:paraId="6C230042" w14:textId="77777777" w:rsidR="004034CE" w:rsidRPr="00765B51" w:rsidRDefault="004034CE" w:rsidP="009C2BD2">
      <w:pPr>
        <w:widowControl w:val="0"/>
        <w:autoSpaceDE w:val="0"/>
        <w:autoSpaceDN w:val="0"/>
        <w:adjustRightInd w:val="0"/>
        <w:spacing w:after="0" w:line="240" w:lineRule="auto"/>
        <w:jc w:val="both"/>
        <w:rPr>
          <w:rFonts w:ascii="Times New Roman" w:hAnsi="Times New Roman" w:cs="Times New Roman"/>
          <w:sz w:val="24"/>
          <w:szCs w:val="24"/>
        </w:rPr>
      </w:pPr>
    </w:p>
    <w:p w14:paraId="15CDD126" w14:textId="6EF65478" w:rsidR="00B86AC3" w:rsidRPr="00765B51" w:rsidRDefault="00C34F4A"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A</w:t>
      </w:r>
      <w:r w:rsidR="00D82578" w:rsidRPr="00765B51">
        <w:rPr>
          <w:rFonts w:ascii="Times New Roman" w:hAnsi="Times New Roman" w:cs="Times New Roman"/>
          <w:sz w:val="24"/>
          <w:szCs w:val="24"/>
        </w:rPr>
        <w:t xml:space="preserve"> pre-study</w:t>
      </w:r>
      <w:r w:rsidRPr="00765B51">
        <w:rPr>
          <w:rFonts w:ascii="Times New Roman" w:hAnsi="Times New Roman" w:cs="Times New Roman"/>
          <w:sz w:val="24"/>
          <w:szCs w:val="24"/>
        </w:rPr>
        <w:t xml:space="preserve"> case example illustrates the potential hydrostatic effect in a </w:t>
      </w:r>
      <w:r w:rsidR="00543B67" w:rsidRPr="00765B51">
        <w:rPr>
          <w:rFonts w:ascii="Times New Roman" w:hAnsi="Times New Roman" w:cs="Times New Roman"/>
          <w:sz w:val="24"/>
          <w:szCs w:val="24"/>
        </w:rPr>
        <w:t>real</w:t>
      </w:r>
      <w:r w:rsidR="00543B67">
        <w:rPr>
          <w:rFonts w:ascii="Times New Roman" w:hAnsi="Times New Roman" w:cs="Times New Roman"/>
          <w:sz w:val="24"/>
          <w:szCs w:val="24"/>
        </w:rPr>
        <w:t>-</w:t>
      </w:r>
      <w:r w:rsidRPr="00765B51">
        <w:rPr>
          <w:rFonts w:ascii="Times New Roman" w:hAnsi="Times New Roman" w:cs="Times New Roman"/>
          <w:sz w:val="24"/>
          <w:szCs w:val="24"/>
        </w:rPr>
        <w:t>life scenario, adding further indication that a difference would exist in vivo.</w:t>
      </w:r>
      <w:r w:rsidR="00780102" w:rsidRPr="00765B51">
        <w:rPr>
          <w:rFonts w:ascii="Times New Roman" w:hAnsi="Times New Roman" w:cs="Times New Roman"/>
          <w:sz w:val="24"/>
          <w:szCs w:val="24"/>
        </w:rPr>
        <w:t xml:space="preserve"> The stenosis shown is at a branch point, where one branch travels superiorly and another inferiorly. Each branch produces different </w:t>
      </w:r>
      <w:r w:rsidR="00543B67" w:rsidRPr="00765B51">
        <w:rPr>
          <w:rFonts w:ascii="Times New Roman" w:hAnsi="Times New Roman" w:cs="Times New Roman"/>
          <w:sz w:val="24"/>
          <w:szCs w:val="24"/>
        </w:rPr>
        <w:t>pressure</w:t>
      </w:r>
      <w:r w:rsidR="00543B67">
        <w:rPr>
          <w:rFonts w:ascii="Times New Roman" w:hAnsi="Times New Roman" w:cs="Times New Roman"/>
          <w:sz w:val="24"/>
          <w:szCs w:val="24"/>
        </w:rPr>
        <w:t>-</w:t>
      </w:r>
      <w:r w:rsidR="00780102" w:rsidRPr="00765B51">
        <w:rPr>
          <w:rFonts w:ascii="Times New Roman" w:hAnsi="Times New Roman" w:cs="Times New Roman"/>
          <w:sz w:val="24"/>
          <w:szCs w:val="24"/>
        </w:rPr>
        <w:t>based results, which was a re-assuring finding so early on in the study's conception.</w:t>
      </w:r>
    </w:p>
    <w:p w14:paraId="13DD6B4F" w14:textId="77777777" w:rsidR="00B86AC3" w:rsidRPr="00EC6C19" w:rsidRDefault="00B86AC3" w:rsidP="009C2BD2">
      <w:pPr>
        <w:spacing w:line="360" w:lineRule="auto"/>
        <w:jc w:val="both"/>
        <w:rPr>
          <w:rFonts w:ascii="Times New Roman" w:hAnsi="Times New Roman" w:cs="Times New Roman"/>
          <w:color w:val="FF0000"/>
          <w:sz w:val="24"/>
          <w:szCs w:val="24"/>
        </w:rPr>
      </w:pPr>
    </w:p>
    <w:p w14:paraId="740F0C27" w14:textId="77777777" w:rsidR="00DB2C7E" w:rsidRDefault="00DB2C7E">
      <w:pPr>
        <w:spacing w:line="360" w:lineRule="auto"/>
        <w:rPr>
          <w:rFonts w:ascii="Times New Roman" w:hAnsi="Times New Roman" w:cs="Times New Roman"/>
          <w:i/>
          <w:sz w:val="24"/>
          <w:szCs w:val="24"/>
        </w:rPr>
      </w:pPr>
    </w:p>
    <w:p w14:paraId="005218A7" w14:textId="77777777" w:rsidR="00B86AC3" w:rsidRPr="00765B51" w:rsidRDefault="0046411D">
      <w:pPr>
        <w:spacing w:line="360" w:lineRule="auto"/>
        <w:rPr>
          <w:rFonts w:ascii="Times New Roman" w:hAnsi="Times New Roman" w:cs="Times New Roman"/>
          <w:i/>
          <w:sz w:val="24"/>
          <w:szCs w:val="24"/>
        </w:rPr>
      </w:pPr>
      <w:r w:rsidRPr="00765B51">
        <w:rPr>
          <w:rFonts w:ascii="Times New Roman" w:hAnsi="Times New Roman" w:cs="Times New Roman"/>
          <w:i/>
          <w:sz w:val="24"/>
          <w:szCs w:val="24"/>
        </w:rPr>
        <w:lastRenderedPageBreak/>
        <w:t>Chapter III</w:t>
      </w:r>
      <w:r w:rsidR="00765B51" w:rsidRPr="00765B51">
        <w:rPr>
          <w:rFonts w:ascii="Times New Roman" w:hAnsi="Times New Roman" w:cs="Times New Roman"/>
          <w:i/>
          <w:sz w:val="24"/>
          <w:szCs w:val="24"/>
        </w:rPr>
        <w:t xml:space="preserve"> - Methods and Results from Invasive Physiology</w:t>
      </w:r>
    </w:p>
    <w:p w14:paraId="6888621B" w14:textId="77777777" w:rsidR="00B86AC3" w:rsidRPr="00765B51" w:rsidRDefault="00B86AC3">
      <w:pPr>
        <w:spacing w:line="360" w:lineRule="auto"/>
        <w:rPr>
          <w:rFonts w:ascii="Times New Roman" w:hAnsi="Times New Roman" w:cs="Times New Roman"/>
          <w:b/>
          <w:sz w:val="24"/>
          <w:szCs w:val="24"/>
          <w:u w:val="single"/>
        </w:rPr>
      </w:pPr>
    </w:p>
    <w:p w14:paraId="5328A2CA" w14:textId="77777777" w:rsidR="00B86AC3" w:rsidRPr="00765B51" w:rsidRDefault="0017259E"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The physical process of conducting this study was a significant obstacle in itself. Prone angiography is certainly not routine, and prone angiography with invasive coronary physiology had nev</w:t>
      </w:r>
      <w:r w:rsidR="00D82578" w:rsidRPr="00765B51">
        <w:rPr>
          <w:rFonts w:ascii="Times New Roman" w:hAnsi="Times New Roman" w:cs="Times New Roman"/>
          <w:sz w:val="24"/>
          <w:szCs w:val="24"/>
        </w:rPr>
        <w:t>er been done before. This was</w:t>
      </w:r>
      <w:r w:rsidRPr="00765B51">
        <w:rPr>
          <w:rFonts w:ascii="Times New Roman" w:hAnsi="Times New Roman" w:cs="Times New Roman"/>
          <w:sz w:val="24"/>
          <w:szCs w:val="24"/>
        </w:rPr>
        <w:t xml:space="preserve"> new territory for everybody involved in the catheter laboratory.</w:t>
      </w:r>
    </w:p>
    <w:p w14:paraId="58FA06B5" w14:textId="77777777" w:rsidR="00B86AC3" w:rsidRPr="00765B51" w:rsidRDefault="0017259E"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This chapter outlines some of the hurdles the team had to overcome to acquire the necessary data efficiently, safely and correctly.</w:t>
      </w:r>
      <w:r w:rsidR="00FD347F" w:rsidRPr="00765B51">
        <w:rPr>
          <w:rFonts w:ascii="Times New Roman" w:hAnsi="Times New Roman" w:cs="Times New Roman"/>
          <w:sz w:val="24"/>
          <w:szCs w:val="24"/>
        </w:rPr>
        <w:t xml:space="preserve"> Several trial runs were conducted in a simulated patient scenario between team members. The act of turning the patient itself is described, along with the other challenges of prone angiography (the reversal of imaging views, altered positional anatomy</w:t>
      </w:r>
      <w:r w:rsidR="002E2A97" w:rsidRPr="00765B51">
        <w:rPr>
          <w:rFonts w:ascii="Times New Roman" w:hAnsi="Times New Roman" w:cs="Times New Roman"/>
          <w:sz w:val="24"/>
          <w:szCs w:val="24"/>
        </w:rPr>
        <w:t xml:space="preserve"> of the coronary arteries</w:t>
      </w:r>
      <w:r w:rsidR="00FD347F" w:rsidRPr="00765B51">
        <w:rPr>
          <w:rFonts w:ascii="Times New Roman" w:hAnsi="Times New Roman" w:cs="Times New Roman"/>
          <w:sz w:val="24"/>
          <w:szCs w:val="24"/>
        </w:rPr>
        <w:t xml:space="preserve"> and comfort of the patient).</w:t>
      </w:r>
      <w:r w:rsidR="002E2A97" w:rsidRPr="00765B51">
        <w:rPr>
          <w:rFonts w:ascii="Times New Roman" w:hAnsi="Times New Roman" w:cs="Times New Roman"/>
          <w:sz w:val="24"/>
          <w:szCs w:val="24"/>
        </w:rPr>
        <w:t xml:space="preserve"> There was a substantial amount of forward planning required in the case of procedural complications or events (such as cardiac arrest)</w:t>
      </w:r>
    </w:p>
    <w:p w14:paraId="0AE03A1B" w14:textId="77777777" w:rsidR="00B86AC3" w:rsidRPr="00765B51" w:rsidRDefault="00FD347F"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 xml:space="preserve">The study protocol is </w:t>
      </w:r>
      <w:r w:rsidR="00D82578" w:rsidRPr="00765B51">
        <w:rPr>
          <w:rFonts w:ascii="Times New Roman" w:hAnsi="Times New Roman" w:cs="Times New Roman"/>
          <w:sz w:val="24"/>
          <w:szCs w:val="24"/>
        </w:rPr>
        <w:t>shown</w:t>
      </w:r>
      <w:r w:rsidRPr="00765B51">
        <w:rPr>
          <w:rFonts w:ascii="Times New Roman" w:hAnsi="Times New Roman" w:cs="Times New Roman"/>
          <w:sz w:val="24"/>
          <w:szCs w:val="24"/>
        </w:rPr>
        <w:t>, focusing on inclusion and exclusion criteria, sample size calculation, and the physical steps taken to acquire all data. Sample traces and a description of the required equipment is also shown.</w:t>
      </w:r>
    </w:p>
    <w:p w14:paraId="5721C3F2" w14:textId="7B137C7F" w:rsidR="00B86AC3" w:rsidRPr="00765B51" w:rsidRDefault="00795832"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 xml:space="preserve">When positioned supine (standard position), the circumflex and RCA-PLV are inferior, whereas the LAD and RCA-PDA are superior. This is </w:t>
      </w:r>
      <w:r w:rsidR="0042192C" w:rsidRPr="00765B51">
        <w:rPr>
          <w:rFonts w:ascii="Times New Roman" w:hAnsi="Times New Roman" w:cs="Times New Roman"/>
          <w:sz w:val="24"/>
          <w:szCs w:val="24"/>
        </w:rPr>
        <w:t>reversed</w:t>
      </w:r>
      <w:r w:rsidRPr="00765B51">
        <w:rPr>
          <w:rFonts w:ascii="Times New Roman" w:hAnsi="Times New Roman" w:cs="Times New Roman"/>
          <w:sz w:val="24"/>
          <w:szCs w:val="24"/>
        </w:rPr>
        <w:t xml:space="preserve"> when prone.</w:t>
      </w:r>
      <w:r w:rsidR="0042192C" w:rsidRPr="00765B51">
        <w:rPr>
          <w:rFonts w:ascii="Times New Roman" w:hAnsi="Times New Roman" w:cs="Times New Roman"/>
          <w:sz w:val="24"/>
          <w:szCs w:val="24"/>
        </w:rPr>
        <w:t xml:space="preserve"> Due to hydrostatic pressure, inferior artery position should produce higher </w:t>
      </w:r>
      <w:r w:rsidR="00543B67" w:rsidRPr="00765B51">
        <w:rPr>
          <w:rFonts w:ascii="Times New Roman" w:hAnsi="Times New Roman" w:cs="Times New Roman"/>
          <w:sz w:val="24"/>
          <w:szCs w:val="24"/>
        </w:rPr>
        <w:t>pressure</w:t>
      </w:r>
      <w:r w:rsidR="00543B67">
        <w:rPr>
          <w:rFonts w:ascii="Times New Roman" w:hAnsi="Times New Roman" w:cs="Times New Roman"/>
          <w:sz w:val="24"/>
          <w:szCs w:val="24"/>
        </w:rPr>
        <w:t>-</w:t>
      </w:r>
      <w:r w:rsidR="0042192C" w:rsidRPr="00765B51">
        <w:rPr>
          <w:rFonts w:ascii="Times New Roman" w:hAnsi="Times New Roman" w:cs="Times New Roman"/>
          <w:sz w:val="24"/>
          <w:szCs w:val="24"/>
        </w:rPr>
        <w:t>based indices across the same stenosis when compared to superior position. It was the logical choice to therefore compare superior and inferior artery position.</w:t>
      </w:r>
    </w:p>
    <w:p w14:paraId="45670636" w14:textId="77777777" w:rsidR="00B86AC3" w:rsidRPr="00765B51" w:rsidRDefault="0042192C"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 xml:space="preserve">The mean </w:t>
      </w:r>
      <w:r w:rsidR="00157709" w:rsidRPr="00765B51">
        <w:rPr>
          <w:rFonts w:ascii="Times New Roman" w:hAnsi="Times New Roman" w:cs="Times New Roman"/>
          <w:sz w:val="24"/>
          <w:szCs w:val="24"/>
        </w:rPr>
        <w:t xml:space="preserve">delta </w:t>
      </w:r>
      <w:r w:rsidRPr="00765B51">
        <w:rPr>
          <w:rFonts w:ascii="Times New Roman" w:hAnsi="Times New Roman" w:cs="Times New Roman"/>
          <w:sz w:val="24"/>
          <w:szCs w:val="24"/>
        </w:rPr>
        <w:t xml:space="preserve">change </w:t>
      </w:r>
      <w:r w:rsidR="00783DC5" w:rsidRPr="00765B51">
        <w:rPr>
          <w:rFonts w:ascii="Times New Roman" w:hAnsi="Times New Roman" w:cs="Times New Roman"/>
          <w:sz w:val="24"/>
          <w:szCs w:val="24"/>
        </w:rPr>
        <w:t>across all values for</w:t>
      </w:r>
      <w:r w:rsidR="00A92CF6" w:rsidRPr="00765B51">
        <w:rPr>
          <w:rFonts w:ascii="Times New Roman" w:hAnsi="Times New Roman" w:cs="Times New Roman"/>
          <w:sz w:val="24"/>
          <w:szCs w:val="24"/>
        </w:rPr>
        <w:t xml:space="preserve"> </w:t>
      </w:r>
      <w:r w:rsidRPr="00765B51">
        <w:rPr>
          <w:rFonts w:ascii="Times New Roman" w:hAnsi="Times New Roman" w:cs="Times New Roman"/>
          <w:sz w:val="24"/>
          <w:szCs w:val="24"/>
        </w:rPr>
        <w:t xml:space="preserve">Pd/Pa was </w:t>
      </w:r>
      <w:r w:rsidR="00157709" w:rsidRPr="00765B51">
        <w:rPr>
          <w:rFonts w:ascii="Times New Roman" w:hAnsi="Times New Roman" w:cs="Times New Roman"/>
          <w:sz w:val="24"/>
          <w:szCs w:val="24"/>
        </w:rPr>
        <w:t>0.05</w:t>
      </w:r>
      <w:r w:rsidR="00783DC5" w:rsidRPr="00765B51">
        <w:rPr>
          <w:rFonts w:ascii="Times New Roman" w:hAnsi="Times New Roman" w:cs="Times New Roman"/>
          <w:sz w:val="24"/>
          <w:szCs w:val="24"/>
        </w:rPr>
        <w:t>,</w:t>
      </w:r>
      <w:r w:rsidR="00765B51" w:rsidRPr="00765B51">
        <w:rPr>
          <w:rFonts w:ascii="Times New Roman" w:hAnsi="Times New Roman" w:cs="Times New Roman"/>
          <w:sz w:val="24"/>
          <w:szCs w:val="24"/>
        </w:rPr>
        <w:t xml:space="preserve"> for iFR 0.06 and FFR 0.06. These are all </w:t>
      </w:r>
      <w:r w:rsidR="00157709" w:rsidRPr="00765B51">
        <w:rPr>
          <w:rFonts w:ascii="Times New Roman" w:hAnsi="Times New Roman" w:cs="Times New Roman"/>
          <w:sz w:val="24"/>
          <w:szCs w:val="24"/>
        </w:rPr>
        <w:t xml:space="preserve">statistically significant (p &lt;0.05). </w:t>
      </w:r>
    </w:p>
    <w:p w14:paraId="1C6623A8" w14:textId="77777777" w:rsidR="00B86AC3" w:rsidRPr="00765B51" w:rsidRDefault="00DE2A59"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 xml:space="preserve">In a subset of patients, FFR measurement were taken in a more 'clinical' position, </w:t>
      </w:r>
      <w:r w:rsidR="00427095" w:rsidRPr="00765B51">
        <w:rPr>
          <w:rFonts w:ascii="Times New Roman" w:hAnsi="Times New Roman" w:cs="Times New Roman"/>
          <w:sz w:val="24"/>
          <w:szCs w:val="24"/>
        </w:rPr>
        <w:t>i.e.</w:t>
      </w:r>
      <w:r w:rsidRPr="00765B51">
        <w:rPr>
          <w:rFonts w:ascii="Times New Roman" w:hAnsi="Times New Roman" w:cs="Times New Roman"/>
          <w:sz w:val="24"/>
          <w:szCs w:val="24"/>
        </w:rPr>
        <w:t xml:space="preserve"> less distal than outlined in the study protocol. The clinician placed the wire where they would normally during a routine case. There was a mean delta change of 0.06 in a subset of LAD stenoses which was statistically significant (p&lt;0.05). The aim of this was to show that even when the wire was less distal and under lesser hydrostatic effect, the magnitude of effect was still significant.</w:t>
      </w:r>
    </w:p>
    <w:p w14:paraId="157295F0" w14:textId="3BB59B6D" w:rsidR="00B86AC3" w:rsidRPr="00765B51" w:rsidRDefault="00783DC5"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lastRenderedPageBreak/>
        <w:t>There was no change in doppler flow velocity at rest or during hyperaemia across all territories.</w:t>
      </w:r>
      <w:r w:rsidR="00DE2A59" w:rsidRPr="00765B51">
        <w:rPr>
          <w:rFonts w:ascii="Times New Roman" w:hAnsi="Times New Roman" w:cs="Times New Roman"/>
          <w:sz w:val="24"/>
          <w:szCs w:val="24"/>
        </w:rPr>
        <w:t xml:space="preserve"> The findings correlate with the initial hypothesis that the change in </w:t>
      </w:r>
      <w:r w:rsidR="00543B67" w:rsidRPr="00765B51">
        <w:rPr>
          <w:rFonts w:ascii="Times New Roman" w:hAnsi="Times New Roman" w:cs="Times New Roman"/>
          <w:sz w:val="24"/>
          <w:szCs w:val="24"/>
        </w:rPr>
        <w:t>pressure</w:t>
      </w:r>
      <w:r w:rsidR="00543B67">
        <w:rPr>
          <w:rFonts w:ascii="Times New Roman" w:hAnsi="Times New Roman" w:cs="Times New Roman"/>
          <w:sz w:val="24"/>
          <w:szCs w:val="24"/>
        </w:rPr>
        <w:t>-</w:t>
      </w:r>
      <w:r w:rsidR="00DE2A59" w:rsidRPr="00765B51">
        <w:rPr>
          <w:rFonts w:ascii="Times New Roman" w:hAnsi="Times New Roman" w:cs="Times New Roman"/>
          <w:sz w:val="24"/>
          <w:szCs w:val="24"/>
        </w:rPr>
        <w:t xml:space="preserve">based indices </w:t>
      </w:r>
      <w:r w:rsidR="00D77111" w:rsidRPr="00765B51">
        <w:rPr>
          <w:rFonts w:ascii="Times New Roman" w:hAnsi="Times New Roman" w:cs="Times New Roman"/>
          <w:sz w:val="24"/>
          <w:szCs w:val="24"/>
        </w:rPr>
        <w:t>do</w:t>
      </w:r>
      <w:r w:rsidR="00DE2A59" w:rsidRPr="00765B51">
        <w:rPr>
          <w:rFonts w:ascii="Times New Roman" w:hAnsi="Times New Roman" w:cs="Times New Roman"/>
          <w:sz w:val="24"/>
          <w:szCs w:val="24"/>
        </w:rPr>
        <w:t xml:space="preserve"> not necessarily reflect a true change in coronary physiology, but rather the tool that is used in the assessment of a coronary stenosis. There is an inherent flaw in current </w:t>
      </w:r>
      <w:r w:rsidR="00543B67" w:rsidRPr="00765B51">
        <w:rPr>
          <w:rFonts w:ascii="Times New Roman" w:hAnsi="Times New Roman" w:cs="Times New Roman"/>
          <w:sz w:val="24"/>
          <w:szCs w:val="24"/>
        </w:rPr>
        <w:t>pressure</w:t>
      </w:r>
      <w:r w:rsidR="00543B67">
        <w:rPr>
          <w:rFonts w:ascii="Times New Roman" w:hAnsi="Times New Roman" w:cs="Times New Roman"/>
          <w:sz w:val="24"/>
          <w:szCs w:val="24"/>
        </w:rPr>
        <w:t>-</w:t>
      </w:r>
      <w:r w:rsidR="00DE2A59" w:rsidRPr="00765B51">
        <w:rPr>
          <w:rFonts w:ascii="Times New Roman" w:hAnsi="Times New Roman" w:cs="Times New Roman"/>
          <w:sz w:val="24"/>
          <w:szCs w:val="24"/>
        </w:rPr>
        <w:t>based technology which makes it susceptible to hydrostatic pressure effect in the coronary circulation. This may over or underestimate stenosis severity. Doppler flow, which is a surrogate for coronary flow did not change, meaning this is not a true physiological change between prone and supine positioning.</w:t>
      </w:r>
    </w:p>
    <w:p w14:paraId="67EECA9D" w14:textId="77777777" w:rsidR="00550669" w:rsidRPr="00765B51" w:rsidRDefault="00BC69E6" w:rsidP="009C2BD2">
      <w:pPr>
        <w:spacing w:line="360" w:lineRule="auto"/>
        <w:jc w:val="both"/>
        <w:rPr>
          <w:rFonts w:ascii="Times New Roman" w:hAnsi="Times New Roman" w:cs="Times New Roman"/>
          <w:sz w:val="24"/>
          <w:szCs w:val="24"/>
        </w:rPr>
      </w:pPr>
      <w:r w:rsidRPr="00765B51">
        <w:rPr>
          <w:rFonts w:ascii="Times New Roman" w:hAnsi="Times New Roman" w:cs="Times New Roman"/>
          <w:sz w:val="24"/>
          <w:szCs w:val="24"/>
        </w:rPr>
        <w:t>Correlation graphs shown at the end of the chapter show a</w:t>
      </w:r>
      <w:r w:rsidR="00765B51" w:rsidRPr="00765B51">
        <w:rPr>
          <w:rFonts w:ascii="Times New Roman" w:hAnsi="Times New Roman" w:cs="Times New Roman"/>
          <w:sz w:val="24"/>
          <w:szCs w:val="24"/>
        </w:rPr>
        <w:t xml:space="preserve"> trend but</w:t>
      </w:r>
      <w:r w:rsidRPr="00765B51">
        <w:rPr>
          <w:rFonts w:ascii="Times New Roman" w:hAnsi="Times New Roman" w:cs="Times New Roman"/>
          <w:sz w:val="24"/>
          <w:szCs w:val="24"/>
        </w:rPr>
        <w:t xml:space="preserve"> </w:t>
      </w:r>
      <w:r w:rsidR="00550669" w:rsidRPr="00765B51">
        <w:rPr>
          <w:rFonts w:ascii="Times New Roman" w:hAnsi="Times New Roman" w:cs="Times New Roman"/>
          <w:sz w:val="24"/>
          <w:szCs w:val="24"/>
        </w:rPr>
        <w:t xml:space="preserve">no significant correlation </w:t>
      </w:r>
      <w:r w:rsidRPr="00765B51">
        <w:rPr>
          <w:rFonts w:ascii="Times New Roman" w:hAnsi="Times New Roman" w:cs="Times New Roman"/>
          <w:sz w:val="24"/>
          <w:szCs w:val="24"/>
        </w:rPr>
        <w:t>between guide to wire distance and delta change in</w:t>
      </w:r>
      <w:r w:rsidR="00DE3018" w:rsidRPr="00765B51">
        <w:rPr>
          <w:rFonts w:ascii="Times New Roman" w:hAnsi="Times New Roman" w:cs="Times New Roman"/>
          <w:sz w:val="24"/>
          <w:szCs w:val="24"/>
        </w:rPr>
        <w:t xml:space="preserve"> FFR, </w:t>
      </w:r>
      <w:r w:rsidR="00550669" w:rsidRPr="00765B51">
        <w:rPr>
          <w:rFonts w:ascii="Times New Roman" w:hAnsi="Times New Roman" w:cs="Times New Roman"/>
          <w:sz w:val="24"/>
          <w:szCs w:val="24"/>
        </w:rPr>
        <w:t xml:space="preserve">Pd/Pa </w:t>
      </w:r>
      <w:r w:rsidR="002146FC" w:rsidRPr="00765B51">
        <w:rPr>
          <w:rFonts w:ascii="Times New Roman" w:hAnsi="Times New Roman" w:cs="Times New Roman"/>
          <w:sz w:val="24"/>
          <w:szCs w:val="24"/>
        </w:rPr>
        <w:t>and iFR</w:t>
      </w:r>
      <w:r w:rsidR="00DE3018" w:rsidRPr="00765B51">
        <w:rPr>
          <w:rFonts w:ascii="Times New Roman" w:hAnsi="Times New Roman" w:cs="Times New Roman"/>
          <w:sz w:val="24"/>
          <w:szCs w:val="24"/>
        </w:rPr>
        <w:t>.</w:t>
      </w:r>
      <w:r w:rsidR="00550669" w:rsidRPr="00765B51">
        <w:rPr>
          <w:rFonts w:ascii="Times New Roman" w:hAnsi="Times New Roman" w:cs="Times New Roman"/>
          <w:sz w:val="24"/>
          <w:szCs w:val="24"/>
        </w:rPr>
        <w:t xml:space="preserve"> From combined data, it appears that predicted changes in hydrostatic pressure</w:t>
      </w:r>
      <w:r w:rsidR="00427095" w:rsidRPr="00765B51">
        <w:rPr>
          <w:rFonts w:ascii="Times New Roman" w:hAnsi="Times New Roman" w:cs="Times New Roman"/>
          <w:sz w:val="24"/>
          <w:szCs w:val="24"/>
        </w:rPr>
        <w:t xml:space="preserve"> from CT data,</w:t>
      </w:r>
      <w:r w:rsidR="00550669" w:rsidRPr="00765B51">
        <w:rPr>
          <w:rFonts w:ascii="Times New Roman" w:hAnsi="Times New Roman" w:cs="Times New Roman"/>
          <w:sz w:val="24"/>
          <w:szCs w:val="24"/>
        </w:rPr>
        <w:t xml:space="preserve"> correlate closely with actual changes seen in vivo overall.</w:t>
      </w:r>
    </w:p>
    <w:p w14:paraId="4EDFCC3D" w14:textId="77777777" w:rsidR="00B76178" w:rsidRPr="00EC6C19" w:rsidRDefault="00B76178" w:rsidP="00550669">
      <w:pPr>
        <w:spacing w:line="360" w:lineRule="auto"/>
        <w:rPr>
          <w:rFonts w:ascii="Times New Roman" w:hAnsi="Times New Roman" w:cs="Times New Roman"/>
          <w:b/>
          <w:color w:val="FF0000"/>
          <w:sz w:val="24"/>
          <w:szCs w:val="24"/>
        </w:rPr>
      </w:pPr>
    </w:p>
    <w:p w14:paraId="7AAB2CE1" w14:textId="77777777" w:rsidR="00765B51" w:rsidRDefault="00765B51" w:rsidP="00550669">
      <w:pPr>
        <w:spacing w:line="360" w:lineRule="auto"/>
        <w:rPr>
          <w:rFonts w:ascii="Times New Roman" w:hAnsi="Times New Roman" w:cs="Times New Roman"/>
          <w:i/>
          <w:color w:val="FF0000"/>
          <w:sz w:val="24"/>
          <w:szCs w:val="24"/>
        </w:rPr>
      </w:pPr>
    </w:p>
    <w:p w14:paraId="13E5A316" w14:textId="77777777" w:rsidR="00765B51" w:rsidRDefault="00765B51" w:rsidP="00550669">
      <w:pPr>
        <w:spacing w:line="360" w:lineRule="auto"/>
        <w:rPr>
          <w:rFonts w:ascii="Times New Roman" w:hAnsi="Times New Roman" w:cs="Times New Roman"/>
          <w:i/>
          <w:color w:val="FF0000"/>
          <w:sz w:val="24"/>
          <w:szCs w:val="24"/>
        </w:rPr>
      </w:pPr>
    </w:p>
    <w:p w14:paraId="6BAE3378" w14:textId="77777777" w:rsidR="00765B51" w:rsidRDefault="00765B51" w:rsidP="00550669">
      <w:pPr>
        <w:spacing w:line="360" w:lineRule="auto"/>
        <w:rPr>
          <w:rFonts w:ascii="Times New Roman" w:hAnsi="Times New Roman" w:cs="Times New Roman"/>
          <w:i/>
          <w:color w:val="FF0000"/>
          <w:sz w:val="24"/>
          <w:szCs w:val="24"/>
        </w:rPr>
      </w:pPr>
    </w:p>
    <w:p w14:paraId="14F97071" w14:textId="77777777" w:rsidR="00765B51" w:rsidRDefault="00765B51" w:rsidP="00550669">
      <w:pPr>
        <w:spacing w:line="360" w:lineRule="auto"/>
        <w:rPr>
          <w:rFonts w:ascii="Times New Roman" w:hAnsi="Times New Roman" w:cs="Times New Roman"/>
          <w:i/>
          <w:color w:val="FF0000"/>
          <w:sz w:val="24"/>
          <w:szCs w:val="24"/>
        </w:rPr>
      </w:pPr>
    </w:p>
    <w:p w14:paraId="405B5D9E" w14:textId="77777777" w:rsidR="00765B51" w:rsidRDefault="00765B51" w:rsidP="00550669">
      <w:pPr>
        <w:spacing w:line="360" w:lineRule="auto"/>
        <w:rPr>
          <w:rFonts w:ascii="Times New Roman" w:hAnsi="Times New Roman" w:cs="Times New Roman"/>
          <w:i/>
          <w:color w:val="FF0000"/>
          <w:sz w:val="24"/>
          <w:szCs w:val="24"/>
        </w:rPr>
      </w:pPr>
    </w:p>
    <w:p w14:paraId="0C234394" w14:textId="77777777" w:rsidR="00765B51" w:rsidRDefault="00765B51" w:rsidP="00550669">
      <w:pPr>
        <w:spacing w:line="360" w:lineRule="auto"/>
        <w:rPr>
          <w:rFonts w:ascii="Times New Roman" w:hAnsi="Times New Roman" w:cs="Times New Roman"/>
          <w:i/>
          <w:color w:val="FF0000"/>
          <w:sz w:val="24"/>
          <w:szCs w:val="24"/>
        </w:rPr>
      </w:pPr>
    </w:p>
    <w:p w14:paraId="3FE43BB0" w14:textId="77777777" w:rsidR="00765B51" w:rsidRDefault="00765B51" w:rsidP="00550669">
      <w:pPr>
        <w:spacing w:line="360" w:lineRule="auto"/>
        <w:rPr>
          <w:rFonts w:ascii="Times New Roman" w:hAnsi="Times New Roman" w:cs="Times New Roman"/>
          <w:i/>
          <w:color w:val="FF0000"/>
          <w:sz w:val="24"/>
          <w:szCs w:val="24"/>
        </w:rPr>
      </w:pPr>
    </w:p>
    <w:p w14:paraId="31D2AE3F" w14:textId="77777777" w:rsidR="00765B51" w:rsidRDefault="00765B51" w:rsidP="00550669">
      <w:pPr>
        <w:spacing w:line="360" w:lineRule="auto"/>
        <w:rPr>
          <w:rFonts w:ascii="Times New Roman" w:hAnsi="Times New Roman" w:cs="Times New Roman"/>
          <w:i/>
          <w:color w:val="FF0000"/>
          <w:sz w:val="24"/>
          <w:szCs w:val="24"/>
        </w:rPr>
      </w:pPr>
    </w:p>
    <w:p w14:paraId="7A738285" w14:textId="77777777" w:rsidR="00765B51" w:rsidRDefault="00765B51" w:rsidP="00550669">
      <w:pPr>
        <w:spacing w:line="360" w:lineRule="auto"/>
        <w:rPr>
          <w:rFonts w:ascii="Times New Roman" w:hAnsi="Times New Roman" w:cs="Times New Roman"/>
          <w:i/>
          <w:color w:val="FF0000"/>
          <w:sz w:val="24"/>
          <w:szCs w:val="24"/>
        </w:rPr>
      </w:pPr>
    </w:p>
    <w:p w14:paraId="3C632E24" w14:textId="5D1A6581" w:rsidR="00765B51" w:rsidRDefault="00765B51" w:rsidP="00550669">
      <w:pPr>
        <w:spacing w:line="360" w:lineRule="auto"/>
        <w:rPr>
          <w:rFonts w:ascii="Times New Roman" w:hAnsi="Times New Roman" w:cs="Times New Roman"/>
          <w:i/>
          <w:color w:val="FF0000"/>
          <w:sz w:val="24"/>
          <w:szCs w:val="24"/>
        </w:rPr>
      </w:pPr>
    </w:p>
    <w:p w14:paraId="0A4A4C27" w14:textId="77777777" w:rsidR="00E74532" w:rsidRDefault="00E74532" w:rsidP="00550669">
      <w:pPr>
        <w:spacing w:line="360" w:lineRule="auto"/>
        <w:rPr>
          <w:rFonts w:ascii="Times New Roman" w:hAnsi="Times New Roman" w:cs="Times New Roman"/>
          <w:i/>
          <w:color w:val="FF0000"/>
          <w:sz w:val="24"/>
          <w:szCs w:val="24"/>
        </w:rPr>
      </w:pPr>
    </w:p>
    <w:p w14:paraId="177B53D8" w14:textId="77777777" w:rsidR="00B86AC3" w:rsidRPr="007846B1" w:rsidRDefault="00E13999" w:rsidP="00550669">
      <w:pPr>
        <w:spacing w:line="360" w:lineRule="auto"/>
        <w:rPr>
          <w:rFonts w:ascii="Times New Roman" w:hAnsi="Times New Roman" w:cs="Times New Roman"/>
          <w:i/>
          <w:sz w:val="24"/>
          <w:szCs w:val="24"/>
        </w:rPr>
      </w:pPr>
      <w:r w:rsidRPr="007846B1">
        <w:rPr>
          <w:rFonts w:ascii="Times New Roman" w:hAnsi="Times New Roman" w:cs="Times New Roman"/>
          <w:i/>
          <w:sz w:val="24"/>
          <w:szCs w:val="24"/>
        </w:rPr>
        <w:lastRenderedPageBreak/>
        <w:t xml:space="preserve">Chapter </w:t>
      </w:r>
      <w:r w:rsidR="001B72F5">
        <w:rPr>
          <w:rFonts w:ascii="Times New Roman" w:hAnsi="Times New Roman" w:cs="Times New Roman"/>
          <w:i/>
          <w:sz w:val="24"/>
          <w:szCs w:val="24"/>
        </w:rPr>
        <w:t>I</w:t>
      </w:r>
      <w:r w:rsidR="0046411D" w:rsidRPr="007846B1">
        <w:rPr>
          <w:rFonts w:ascii="Times New Roman" w:hAnsi="Times New Roman" w:cs="Times New Roman"/>
          <w:i/>
          <w:sz w:val="24"/>
          <w:szCs w:val="24"/>
        </w:rPr>
        <w:t>V</w:t>
      </w:r>
      <w:r w:rsidRPr="007846B1">
        <w:rPr>
          <w:rFonts w:ascii="Times New Roman" w:hAnsi="Times New Roman" w:cs="Times New Roman"/>
          <w:i/>
          <w:sz w:val="24"/>
          <w:szCs w:val="24"/>
        </w:rPr>
        <w:t xml:space="preserve"> - Discussion</w:t>
      </w:r>
    </w:p>
    <w:p w14:paraId="714C412F" w14:textId="77777777" w:rsidR="00B86AC3" w:rsidRPr="007846B1" w:rsidRDefault="00B86AC3" w:rsidP="00550669">
      <w:pPr>
        <w:spacing w:line="360" w:lineRule="auto"/>
        <w:rPr>
          <w:rFonts w:ascii="Times New Roman" w:hAnsi="Times New Roman" w:cs="Times New Roman"/>
          <w:sz w:val="24"/>
          <w:szCs w:val="24"/>
        </w:rPr>
      </w:pPr>
    </w:p>
    <w:p w14:paraId="156D9F5D" w14:textId="6144BC8D" w:rsidR="0039209B" w:rsidRPr="007846B1" w:rsidRDefault="00550669" w:rsidP="009C2BD2">
      <w:pPr>
        <w:spacing w:line="360" w:lineRule="auto"/>
        <w:jc w:val="both"/>
        <w:rPr>
          <w:rFonts w:ascii="Times New Roman" w:hAnsi="Times New Roman" w:cs="Times New Roman"/>
          <w:sz w:val="24"/>
          <w:szCs w:val="24"/>
        </w:rPr>
      </w:pPr>
      <w:r w:rsidRPr="007846B1">
        <w:rPr>
          <w:rFonts w:ascii="Times New Roman" w:hAnsi="Times New Roman" w:cs="Times New Roman"/>
          <w:sz w:val="24"/>
          <w:szCs w:val="24"/>
        </w:rPr>
        <w:t xml:space="preserve">Chapter </w:t>
      </w:r>
      <w:r w:rsidR="001B72F5">
        <w:rPr>
          <w:rFonts w:ascii="Times New Roman" w:hAnsi="Times New Roman" w:cs="Times New Roman"/>
          <w:sz w:val="24"/>
          <w:szCs w:val="24"/>
        </w:rPr>
        <w:t>I</w:t>
      </w:r>
      <w:r w:rsidRPr="007846B1">
        <w:rPr>
          <w:rFonts w:ascii="Times New Roman" w:hAnsi="Times New Roman" w:cs="Times New Roman"/>
          <w:sz w:val="24"/>
          <w:szCs w:val="24"/>
        </w:rPr>
        <w:t xml:space="preserve">V highlights differences in demographic and </w:t>
      </w:r>
      <w:r w:rsidR="001B72F5">
        <w:rPr>
          <w:rFonts w:ascii="Times New Roman" w:hAnsi="Times New Roman" w:cs="Times New Roman"/>
          <w:sz w:val="24"/>
          <w:szCs w:val="24"/>
        </w:rPr>
        <w:t xml:space="preserve">angiographic </w:t>
      </w:r>
      <w:r w:rsidRPr="007846B1">
        <w:rPr>
          <w:rFonts w:ascii="Times New Roman" w:hAnsi="Times New Roman" w:cs="Times New Roman"/>
          <w:sz w:val="24"/>
          <w:szCs w:val="24"/>
        </w:rPr>
        <w:t xml:space="preserve">data. The rationale behind significant changes in </w:t>
      </w:r>
      <w:r w:rsidR="00543B67" w:rsidRPr="007846B1">
        <w:rPr>
          <w:rFonts w:ascii="Times New Roman" w:hAnsi="Times New Roman" w:cs="Times New Roman"/>
          <w:sz w:val="24"/>
          <w:szCs w:val="24"/>
        </w:rPr>
        <w:t>pressure</w:t>
      </w:r>
      <w:r w:rsidR="00543B67">
        <w:rPr>
          <w:rFonts w:ascii="Times New Roman" w:hAnsi="Times New Roman" w:cs="Times New Roman"/>
          <w:sz w:val="24"/>
          <w:szCs w:val="24"/>
        </w:rPr>
        <w:t>-</w:t>
      </w:r>
      <w:r w:rsidRPr="007846B1">
        <w:rPr>
          <w:rFonts w:ascii="Times New Roman" w:hAnsi="Times New Roman" w:cs="Times New Roman"/>
          <w:sz w:val="24"/>
          <w:szCs w:val="24"/>
        </w:rPr>
        <w:t xml:space="preserve">based indices and </w:t>
      </w:r>
      <w:r w:rsidR="00543B67" w:rsidRPr="007846B1">
        <w:rPr>
          <w:rFonts w:ascii="Times New Roman" w:hAnsi="Times New Roman" w:cs="Times New Roman"/>
          <w:sz w:val="24"/>
          <w:szCs w:val="24"/>
        </w:rPr>
        <w:t>non</w:t>
      </w:r>
      <w:r w:rsidR="00543B67">
        <w:rPr>
          <w:rFonts w:ascii="Times New Roman" w:hAnsi="Times New Roman" w:cs="Times New Roman"/>
          <w:sz w:val="24"/>
          <w:szCs w:val="24"/>
        </w:rPr>
        <w:t>-</w:t>
      </w:r>
      <w:r w:rsidRPr="007846B1">
        <w:rPr>
          <w:rFonts w:ascii="Times New Roman" w:hAnsi="Times New Roman" w:cs="Times New Roman"/>
          <w:sz w:val="24"/>
          <w:szCs w:val="24"/>
        </w:rPr>
        <w:t xml:space="preserve">significant doppler flow measurements are discussed. Potential explanations are offered for </w:t>
      </w:r>
      <w:r w:rsidR="00427095" w:rsidRPr="007846B1">
        <w:rPr>
          <w:rFonts w:ascii="Times New Roman" w:hAnsi="Times New Roman" w:cs="Times New Roman"/>
          <w:sz w:val="24"/>
          <w:szCs w:val="24"/>
        </w:rPr>
        <w:t>the lack of correlation between</w:t>
      </w:r>
      <w:r w:rsidRPr="007846B1">
        <w:rPr>
          <w:rFonts w:ascii="Times New Roman" w:hAnsi="Times New Roman" w:cs="Times New Roman"/>
          <w:sz w:val="24"/>
          <w:szCs w:val="24"/>
        </w:rPr>
        <w:t xml:space="preserve"> guide to wire distance </w:t>
      </w:r>
      <w:r w:rsidR="00427095" w:rsidRPr="007846B1">
        <w:rPr>
          <w:rFonts w:ascii="Times New Roman" w:hAnsi="Times New Roman" w:cs="Times New Roman"/>
          <w:sz w:val="24"/>
          <w:szCs w:val="24"/>
        </w:rPr>
        <w:t xml:space="preserve">and </w:t>
      </w:r>
      <w:r w:rsidRPr="007846B1">
        <w:rPr>
          <w:rFonts w:ascii="Times New Roman" w:hAnsi="Times New Roman" w:cs="Times New Roman"/>
          <w:sz w:val="24"/>
          <w:szCs w:val="24"/>
        </w:rPr>
        <w:t xml:space="preserve">delta change in Pd/Pa, iFR and FFR. </w:t>
      </w:r>
    </w:p>
    <w:p w14:paraId="29876CDB" w14:textId="250256A6" w:rsidR="00550669" w:rsidRPr="007846B1" w:rsidRDefault="00550669" w:rsidP="009C2BD2">
      <w:pPr>
        <w:spacing w:line="360" w:lineRule="auto"/>
        <w:jc w:val="both"/>
        <w:rPr>
          <w:rFonts w:ascii="Times New Roman" w:hAnsi="Times New Roman" w:cs="Times New Roman"/>
          <w:sz w:val="24"/>
          <w:szCs w:val="24"/>
        </w:rPr>
      </w:pPr>
      <w:r w:rsidRPr="007846B1">
        <w:rPr>
          <w:rFonts w:ascii="Times New Roman" w:hAnsi="Times New Roman" w:cs="Times New Roman"/>
          <w:sz w:val="24"/>
          <w:szCs w:val="24"/>
        </w:rPr>
        <w:t>The clinical implications of the data are discussed. This includes the</w:t>
      </w:r>
      <w:r w:rsidR="00427095" w:rsidRPr="007846B1">
        <w:rPr>
          <w:rFonts w:ascii="Times New Roman" w:hAnsi="Times New Roman" w:cs="Times New Roman"/>
          <w:sz w:val="24"/>
          <w:szCs w:val="24"/>
        </w:rPr>
        <w:t xml:space="preserve"> lack of a 'level playing field'</w:t>
      </w:r>
      <w:r w:rsidRPr="007846B1">
        <w:rPr>
          <w:rFonts w:ascii="Times New Roman" w:hAnsi="Times New Roman" w:cs="Times New Roman"/>
          <w:sz w:val="24"/>
          <w:szCs w:val="24"/>
        </w:rPr>
        <w:t xml:space="preserve">. There will be a resting gradient before the introduction of any stenosis, due to hydrostatic pressure alone. </w:t>
      </w:r>
      <w:r w:rsidR="00070F09" w:rsidRPr="007846B1">
        <w:rPr>
          <w:rFonts w:ascii="Times New Roman" w:hAnsi="Times New Roman" w:cs="Times New Roman"/>
          <w:sz w:val="24"/>
          <w:szCs w:val="24"/>
        </w:rPr>
        <w:t xml:space="preserve">This confounds measurements using </w:t>
      </w:r>
      <w:r w:rsidR="00543B67" w:rsidRPr="007846B1">
        <w:rPr>
          <w:rFonts w:ascii="Times New Roman" w:hAnsi="Times New Roman" w:cs="Times New Roman"/>
          <w:sz w:val="24"/>
          <w:szCs w:val="24"/>
        </w:rPr>
        <w:t>pressure</w:t>
      </w:r>
      <w:r w:rsidR="00543B67">
        <w:rPr>
          <w:rFonts w:ascii="Times New Roman" w:hAnsi="Times New Roman" w:cs="Times New Roman"/>
          <w:sz w:val="24"/>
          <w:szCs w:val="24"/>
        </w:rPr>
        <w:t>-</w:t>
      </w:r>
      <w:r w:rsidR="00070F09" w:rsidRPr="007846B1">
        <w:rPr>
          <w:rFonts w:ascii="Times New Roman" w:hAnsi="Times New Roman" w:cs="Times New Roman"/>
          <w:sz w:val="24"/>
          <w:szCs w:val="24"/>
        </w:rPr>
        <w:t xml:space="preserve">based indices. </w:t>
      </w:r>
    </w:p>
    <w:p w14:paraId="4B67DEA1" w14:textId="65C2E795" w:rsidR="00550669" w:rsidRPr="007846B1" w:rsidRDefault="00070F09" w:rsidP="009C2BD2">
      <w:pPr>
        <w:spacing w:line="360" w:lineRule="auto"/>
        <w:jc w:val="both"/>
        <w:rPr>
          <w:rFonts w:ascii="Times New Roman" w:hAnsi="Times New Roman" w:cs="Times New Roman"/>
          <w:sz w:val="24"/>
          <w:szCs w:val="24"/>
        </w:rPr>
      </w:pPr>
      <w:r w:rsidRPr="007846B1">
        <w:rPr>
          <w:rFonts w:ascii="Times New Roman" w:hAnsi="Times New Roman" w:cs="Times New Roman"/>
          <w:sz w:val="24"/>
          <w:szCs w:val="24"/>
        </w:rPr>
        <w:t xml:space="preserve">If </w:t>
      </w:r>
      <w:r w:rsidR="001B72F5">
        <w:rPr>
          <w:rFonts w:ascii="Times New Roman" w:hAnsi="Times New Roman" w:cs="Times New Roman"/>
          <w:sz w:val="24"/>
          <w:szCs w:val="24"/>
        </w:rPr>
        <w:t xml:space="preserve">the already existent pressure gradient </w:t>
      </w:r>
      <w:r w:rsidRPr="007846B1">
        <w:rPr>
          <w:rFonts w:ascii="Times New Roman" w:hAnsi="Times New Roman" w:cs="Times New Roman"/>
          <w:sz w:val="24"/>
          <w:szCs w:val="24"/>
        </w:rPr>
        <w:t xml:space="preserve">is corrected, up to 36% of </w:t>
      </w:r>
      <w:r w:rsidR="00543B67" w:rsidRPr="007846B1">
        <w:rPr>
          <w:rFonts w:ascii="Times New Roman" w:hAnsi="Times New Roman" w:cs="Times New Roman"/>
          <w:sz w:val="24"/>
          <w:szCs w:val="24"/>
        </w:rPr>
        <w:t>pressure</w:t>
      </w:r>
      <w:r w:rsidR="00543B67">
        <w:rPr>
          <w:rFonts w:ascii="Times New Roman" w:hAnsi="Times New Roman" w:cs="Times New Roman"/>
          <w:sz w:val="24"/>
          <w:szCs w:val="24"/>
        </w:rPr>
        <w:t>-</w:t>
      </w:r>
      <w:r w:rsidRPr="007846B1">
        <w:rPr>
          <w:rFonts w:ascii="Times New Roman" w:hAnsi="Times New Roman" w:cs="Times New Roman"/>
          <w:sz w:val="24"/>
          <w:szCs w:val="24"/>
        </w:rPr>
        <w:t>based indices will re-classify across a significance threshold. The changes may appear small (0.05-0.06), but clinically appear to be important. Hydrostatic pressure effect may also be important in other clinical situations, such as in diffuse coronary disease, and in the measurement of IMR.</w:t>
      </w:r>
    </w:p>
    <w:p w14:paraId="6AD4B4DB" w14:textId="0E76BF84" w:rsidR="00185F3E" w:rsidRPr="007846B1" w:rsidRDefault="00070F09" w:rsidP="009C2BD2">
      <w:pPr>
        <w:spacing w:line="360" w:lineRule="auto"/>
        <w:jc w:val="both"/>
        <w:rPr>
          <w:rFonts w:ascii="Times New Roman" w:hAnsi="Times New Roman" w:cs="Times New Roman"/>
          <w:sz w:val="24"/>
          <w:szCs w:val="24"/>
        </w:rPr>
      </w:pPr>
      <w:r w:rsidRPr="007846B1">
        <w:rPr>
          <w:rFonts w:ascii="Times New Roman" w:hAnsi="Times New Roman" w:cs="Times New Roman"/>
          <w:sz w:val="24"/>
          <w:szCs w:val="24"/>
        </w:rPr>
        <w:t>Suggestions are made in how clinical practice could be change</w:t>
      </w:r>
      <w:r w:rsidR="003B3DA7" w:rsidRPr="007846B1">
        <w:rPr>
          <w:rFonts w:ascii="Times New Roman" w:hAnsi="Times New Roman" w:cs="Times New Roman"/>
          <w:sz w:val="24"/>
          <w:szCs w:val="24"/>
        </w:rPr>
        <w:t>d</w:t>
      </w:r>
      <w:r w:rsidR="00427095" w:rsidRPr="007846B1">
        <w:rPr>
          <w:rFonts w:ascii="Times New Roman" w:hAnsi="Times New Roman" w:cs="Times New Roman"/>
          <w:sz w:val="24"/>
          <w:szCs w:val="24"/>
        </w:rPr>
        <w:t xml:space="preserve"> to correct for </w:t>
      </w:r>
      <w:r w:rsidRPr="007846B1">
        <w:rPr>
          <w:rFonts w:ascii="Times New Roman" w:hAnsi="Times New Roman" w:cs="Times New Roman"/>
          <w:sz w:val="24"/>
          <w:szCs w:val="24"/>
        </w:rPr>
        <w:t xml:space="preserve">hydrostatic effect. </w:t>
      </w:r>
      <w:r w:rsidR="00427095" w:rsidRPr="007846B1">
        <w:rPr>
          <w:rFonts w:ascii="Times New Roman" w:hAnsi="Times New Roman" w:cs="Times New Roman"/>
          <w:sz w:val="24"/>
          <w:szCs w:val="24"/>
        </w:rPr>
        <w:t>A</w:t>
      </w:r>
      <w:r w:rsidRPr="007846B1">
        <w:rPr>
          <w:rFonts w:ascii="Times New Roman" w:hAnsi="Times New Roman" w:cs="Times New Roman"/>
          <w:sz w:val="24"/>
          <w:szCs w:val="24"/>
        </w:rPr>
        <w:t xml:space="preserve">dding or subtracting from measured FFR results </w:t>
      </w:r>
      <w:r w:rsidR="00427095" w:rsidRPr="007846B1">
        <w:rPr>
          <w:rFonts w:ascii="Times New Roman" w:hAnsi="Times New Roman" w:cs="Times New Roman"/>
          <w:sz w:val="24"/>
          <w:szCs w:val="24"/>
        </w:rPr>
        <w:t>could produce a more accurate result</w:t>
      </w:r>
      <w:r w:rsidRPr="007846B1">
        <w:rPr>
          <w:rFonts w:ascii="Times New Roman" w:hAnsi="Times New Roman" w:cs="Times New Roman"/>
          <w:sz w:val="24"/>
          <w:szCs w:val="24"/>
        </w:rPr>
        <w:t xml:space="preserve">. The addition of a single correction factor per vessel is </w:t>
      </w:r>
      <w:r w:rsidR="00427095" w:rsidRPr="007846B1">
        <w:rPr>
          <w:rFonts w:ascii="Times New Roman" w:hAnsi="Times New Roman" w:cs="Times New Roman"/>
          <w:sz w:val="24"/>
          <w:szCs w:val="24"/>
        </w:rPr>
        <w:t>unlikely to be adequate</w:t>
      </w:r>
      <w:r w:rsidRPr="007846B1">
        <w:rPr>
          <w:rFonts w:ascii="Times New Roman" w:hAnsi="Times New Roman" w:cs="Times New Roman"/>
          <w:sz w:val="24"/>
          <w:szCs w:val="24"/>
        </w:rPr>
        <w:t xml:space="preserve"> on its own, and more data is required to 'map' hydrostatic effect at multiple points in each vessel. In vivo, this would require pressure wire measurements in normal coronary arteries, which is ethically unfavourable. Retrospective CT coronary angiograms may be useful in providing raw height data</w:t>
      </w:r>
      <w:r w:rsidR="003B3DA7" w:rsidRPr="007846B1">
        <w:rPr>
          <w:rFonts w:ascii="Times New Roman" w:hAnsi="Times New Roman" w:cs="Times New Roman"/>
          <w:sz w:val="24"/>
          <w:szCs w:val="24"/>
        </w:rPr>
        <w:t xml:space="preserve"> at multiple points in a single artery</w:t>
      </w:r>
      <w:r w:rsidRPr="007846B1">
        <w:rPr>
          <w:rFonts w:ascii="Times New Roman" w:hAnsi="Times New Roman" w:cs="Times New Roman"/>
          <w:sz w:val="24"/>
          <w:szCs w:val="24"/>
        </w:rPr>
        <w:t>, which could then be converted to pressure change</w:t>
      </w:r>
      <w:r w:rsidR="00427095" w:rsidRPr="007846B1">
        <w:rPr>
          <w:rFonts w:ascii="Times New Roman" w:hAnsi="Times New Roman" w:cs="Times New Roman"/>
          <w:sz w:val="24"/>
          <w:szCs w:val="24"/>
        </w:rPr>
        <w:t xml:space="preserve"> at proximal, mid and distal vessel. </w:t>
      </w:r>
      <w:r w:rsidR="00185F3E" w:rsidRPr="007846B1">
        <w:rPr>
          <w:rFonts w:ascii="Times New Roman" w:hAnsi="Times New Roman" w:cs="Times New Roman"/>
          <w:sz w:val="24"/>
          <w:szCs w:val="24"/>
        </w:rPr>
        <w:t>Limitations with the current study are discussed.</w:t>
      </w:r>
      <w:r w:rsidR="007846B1" w:rsidRPr="007846B1">
        <w:rPr>
          <w:rFonts w:ascii="Times New Roman" w:hAnsi="Times New Roman" w:cs="Times New Roman"/>
          <w:sz w:val="24"/>
          <w:szCs w:val="24"/>
        </w:rPr>
        <w:t xml:space="preserve"> Topics surrounding anatomical FFR (CT and Angio FFR) are discussed. These methods are not confounded by hydrostatic </w:t>
      </w:r>
      <w:r w:rsidR="00543B67" w:rsidRPr="007846B1">
        <w:rPr>
          <w:rFonts w:ascii="Times New Roman" w:hAnsi="Times New Roman" w:cs="Times New Roman"/>
          <w:sz w:val="24"/>
          <w:szCs w:val="24"/>
        </w:rPr>
        <w:t>effect but</w:t>
      </w:r>
      <w:r w:rsidR="007846B1" w:rsidRPr="007846B1">
        <w:rPr>
          <w:rFonts w:ascii="Times New Roman" w:hAnsi="Times New Roman" w:cs="Times New Roman"/>
          <w:sz w:val="24"/>
          <w:szCs w:val="24"/>
        </w:rPr>
        <w:t xml:space="preserve"> have their own flaws.</w:t>
      </w:r>
    </w:p>
    <w:p w14:paraId="7D2B24C0" w14:textId="77777777" w:rsidR="007846B1" w:rsidRPr="007846B1" w:rsidRDefault="007846B1" w:rsidP="009C2BD2">
      <w:pPr>
        <w:spacing w:line="360" w:lineRule="auto"/>
        <w:jc w:val="both"/>
        <w:rPr>
          <w:rFonts w:ascii="Times New Roman" w:hAnsi="Times New Roman" w:cs="Times New Roman"/>
          <w:sz w:val="24"/>
          <w:szCs w:val="24"/>
        </w:rPr>
      </w:pPr>
      <w:r w:rsidRPr="007846B1">
        <w:rPr>
          <w:rFonts w:ascii="Times New Roman" w:hAnsi="Times New Roman" w:cs="Times New Roman"/>
          <w:sz w:val="24"/>
          <w:szCs w:val="24"/>
        </w:rPr>
        <w:t>Study limitations and counter arguments are highlighted. Very recent evidence has emerged during the study period, with studies similar to the current research adding to the data pool. Data between studies are compared.</w:t>
      </w:r>
    </w:p>
    <w:p w14:paraId="7B2DC8DE" w14:textId="77777777" w:rsidR="00070F09" w:rsidRPr="007846B1" w:rsidRDefault="00070F09" w:rsidP="009C2BD2">
      <w:pPr>
        <w:spacing w:line="360" w:lineRule="auto"/>
        <w:jc w:val="both"/>
        <w:rPr>
          <w:rFonts w:ascii="Times New Roman" w:hAnsi="Times New Roman" w:cs="Times New Roman"/>
          <w:sz w:val="24"/>
          <w:szCs w:val="24"/>
        </w:rPr>
      </w:pPr>
      <w:r w:rsidRPr="007846B1">
        <w:rPr>
          <w:rFonts w:ascii="Times New Roman" w:hAnsi="Times New Roman" w:cs="Times New Roman"/>
          <w:sz w:val="24"/>
          <w:szCs w:val="24"/>
        </w:rPr>
        <w:t xml:space="preserve">Finally, future </w:t>
      </w:r>
      <w:r w:rsidR="007846B1" w:rsidRPr="007846B1">
        <w:rPr>
          <w:rFonts w:ascii="Times New Roman" w:hAnsi="Times New Roman" w:cs="Times New Roman"/>
          <w:sz w:val="24"/>
          <w:szCs w:val="24"/>
        </w:rPr>
        <w:t>plans are suggested</w:t>
      </w:r>
      <w:r w:rsidRPr="007846B1">
        <w:rPr>
          <w:rFonts w:ascii="Times New Roman" w:hAnsi="Times New Roman" w:cs="Times New Roman"/>
          <w:sz w:val="24"/>
          <w:szCs w:val="24"/>
        </w:rPr>
        <w:t>, leading back to the initial research question proposed three years ago. STEMI patient</w:t>
      </w:r>
      <w:r w:rsidR="00427095" w:rsidRPr="007846B1">
        <w:rPr>
          <w:rFonts w:ascii="Times New Roman" w:hAnsi="Times New Roman" w:cs="Times New Roman"/>
          <w:sz w:val="24"/>
          <w:szCs w:val="24"/>
        </w:rPr>
        <w:t>s</w:t>
      </w:r>
      <w:r w:rsidRPr="007846B1">
        <w:rPr>
          <w:rFonts w:ascii="Times New Roman" w:hAnsi="Times New Roman" w:cs="Times New Roman"/>
          <w:sz w:val="24"/>
          <w:szCs w:val="24"/>
        </w:rPr>
        <w:t xml:space="preserve"> and CTO patients are possible next steps.</w:t>
      </w:r>
      <w:r w:rsidR="007846B1" w:rsidRPr="007846B1">
        <w:rPr>
          <w:rFonts w:ascii="Times New Roman" w:hAnsi="Times New Roman" w:cs="Times New Roman"/>
          <w:sz w:val="24"/>
          <w:szCs w:val="24"/>
        </w:rPr>
        <w:t xml:space="preserve"> Vessel mapping with </w:t>
      </w:r>
      <w:r w:rsidR="007846B1" w:rsidRPr="007846B1">
        <w:rPr>
          <w:rFonts w:ascii="Times New Roman" w:hAnsi="Times New Roman" w:cs="Times New Roman"/>
          <w:sz w:val="24"/>
          <w:szCs w:val="24"/>
        </w:rPr>
        <w:lastRenderedPageBreak/>
        <w:t>further CT scanning could allow provide further information on hydrostatic correction per section of artery.</w:t>
      </w:r>
      <w:r w:rsidRPr="007846B1">
        <w:rPr>
          <w:rFonts w:ascii="Times New Roman" w:hAnsi="Times New Roman" w:cs="Times New Roman"/>
          <w:sz w:val="24"/>
          <w:szCs w:val="24"/>
        </w:rPr>
        <w:t xml:space="preserve"> The advent of newer pressure wire</w:t>
      </w:r>
      <w:r w:rsidR="00427095" w:rsidRPr="007846B1">
        <w:rPr>
          <w:rFonts w:ascii="Times New Roman" w:hAnsi="Times New Roman" w:cs="Times New Roman"/>
          <w:sz w:val="24"/>
          <w:szCs w:val="24"/>
        </w:rPr>
        <w:t>s</w:t>
      </w:r>
      <w:r w:rsidRPr="007846B1">
        <w:rPr>
          <w:rFonts w:ascii="Times New Roman" w:hAnsi="Times New Roman" w:cs="Times New Roman"/>
          <w:sz w:val="24"/>
          <w:szCs w:val="24"/>
        </w:rPr>
        <w:t xml:space="preserve"> which are immune to hydrostatic pressure is an exciting possibility</w:t>
      </w:r>
      <w:r w:rsidR="00427095" w:rsidRPr="007846B1">
        <w:rPr>
          <w:rFonts w:ascii="Times New Roman" w:hAnsi="Times New Roman" w:cs="Times New Roman"/>
          <w:sz w:val="24"/>
          <w:szCs w:val="24"/>
        </w:rPr>
        <w:t xml:space="preserve"> for the future</w:t>
      </w:r>
      <w:r w:rsidRPr="007846B1">
        <w:rPr>
          <w:rFonts w:ascii="Times New Roman" w:hAnsi="Times New Roman" w:cs="Times New Roman"/>
          <w:sz w:val="24"/>
          <w:szCs w:val="24"/>
        </w:rPr>
        <w:t>. The basic principle behind these wires is described.</w:t>
      </w:r>
    </w:p>
    <w:p w14:paraId="267FD4E0" w14:textId="77777777" w:rsidR="00B76178" w:rsidRPr="00EC6C19" w:rsidRDefault="00B76178" w:rsidP="009C2BD2">
      <w:pPr>
        <w:jc w:val="both"/>
        <w:rPr>
          <w:rFonts w:ascii="Times New Roman" w:hAnsi="Times New Roman" w:cs="Times New Roman"/>
          <w:color w:val="FF0000"/>
          <w:sz w:val="24"/>
          <w:szCs w:val="24"/>
        </w:rPr>
      </w:pPr>
      <w:bookmarkStart w:id="6" w:name="Introduction"/>
      <w:bookmarkEnd w:id="6"/>
    </w:p>
    <w:p w14:paraId="11166254" w14:textId="77777777" w:rsidR="00B76178" w:rsidRPr="00EC6C19" w:rsidRDefault="00B76178" w:rsidP="009C2BD2">
      <w:pPr>
        <w:jc w:val="both"/>
        <w:rPr>
          <w:rFonts w:ascii="Times New Roman" w:hAnsi="Times New Roman" w:cs="Times New Roman"/>
          <w:b/>
          <w:color w:val="FF0000"/>
          <w:sz w:val="24"/>
          <w:szCs w:val="24"/>
        </w:rPr>
      </w:pPr>
    </w:p>
    <w:p w14:paraId="22C6F8E6" w14:textId="77777777" w:rsidR="00B76178" w:rsidRPr="00EC6C19" w:rsidRDefault="00B76178" w:rsidP="009C2BD2">
      <w:pPr>
        <w:jc w:val="both"/>
        <w:rPr>
          <w:rFonts w:ascii="Times New Roman" w:hAnsi="Times New Roman" w:cs="Times New Roman"/>
          <w:b/>
          <w:color w:val="FF0000"/>
          <w:sz w:val="24"/>
          <w:szCs w:val="24"/>
        </w:rPr>
      </w:pPr>
    </w:p>
    <w:p w14:paraId="464754DD" w14:textId="77777777" w:rsidR="00EA7887" w:rsidRPr="00EC6C19" w:rsidRDefault="00EA7887" w:rsidP="009C2BD2">
      <w:pPr>
        <w:jc w:val="both"/>
        <w:rPr>
          <w:rFonts w:ascii="Times New Roman" w:hAnsi="Times New Roman" w:cs="Times New Roman"/>
          <w:b/>
          <w:color w:val="FF0000"/>
          <w:sz w:val="24"/>
          <w:szCs w:val="24"/>
        </w:rPr>
      </w:pPr>
    </w:p>
    <w:p w14:paraId="398F7CCD" w14:textId="77777777" w:rsidR="00EA7887" w:rsidRPr="00EC6C19" w:rsidRDefault="00EA7887">
      <w:pPr>
        <w:rPr>
          <w:rFonts w:ascii="Times New Roman" w:hAnsi="Times New Roman" w:cs="Times New Roman"/>
          <w:b/>
          <w:color w:val="FF0000"/>
          <w:sz w:val="24"/>
          <w:szCs w:val="24"/>
        </w:rPr>
      </w:pPr>
    </w:p>
    <w:p w14:paraId="50B38822" w14:textId="77777777" w:rsidR="00EA7887" w:rsidRPr="00EC6C19" w:rsidRDefault="00EA7887">
      <w:pPr>
        <w:rPr>
          <w:rFonts w:ascii="Times New Roman" w:hAnsi="Times New Roman" w:cs="Times New Roman"/>
          <w:b/>
          <w:color w:val="FF0000"/>
          <w:sz w:val="24"/>
          <w:szCs w:val="24"/>
        </w:rPr>
      </w:pPr>
    </w:p>
    <w:p w14:paraId="127A5B05" w14:textId="77777777" w:rsidR="00EA7887" w:rsidRPr="00EC6C19" w:rsidRDefault="00EA7887">
      <w:pPr>
        <w:rPr>
          <w:rFonts w:ascii="Times New Roman" w:hAnsi="Times New Roman" w:cs="Times New Roman"/>
          <w:b/>
          <w:color w:val="FF0000"/>
          <w:sz w:val="24"/>
          <w:szCs w:val="24"/>
        </w:rPr>
      </w:pPr>
    </w:p>
    <w:p w14:paraId="7B027A0C" w14:textId="77777777" w:rsidR="00EA7887" w:rsidRPr="00EC6C19" w:rsidRDefault="00EA7887">
      <w:pPr>
        <w:rPr>
          <w:rFonts w:ascii="Times New Roman" w:hAnsi="Times New Roman" w:cs="Times New Roman"/>
          <w:b/>
          <w:color w:val="FF0000"/>
          <w:sz w:val="24"/>
          <w:szCs w:val="24"/>
        </w:rPr>
      </w:pPr>
    </w:p>
    <w:p w14:paraId="29111725" w14:textId="77777777" w:rsidR="00EA7887" w:rsidRPr="00EC6C19" w:rsidRDefault="00EA7887">
      <w:pPr>
        <w:rPr>
          <w:rFonts w:ascii="Times New Roman" w:hAnsi="Times New Roman" w:cs="Times New Roman"/>
          <w:b/>
          <w:color w:val="FF0000"/>
          <w:sz w:val="24"/>
          <w:szCs w:val="24"/>
        </w:rPr>
      </w:pPr>
    </w:p>
    <w:p w14:paraId="0FB1B8CA" w14:textId="77777777" w:rsidR="00EA7887" w:rsidRPr="00EC6C19" w:rsidRDefault="00EA7887">
      <w:pPr>
        <w:rPr>
          <w:rFonts w:ascii="Times New Roman" w:hAnsi="Times New Roman" w:cs="Times New Roman"/>
          <w:b/>
          <w:color w:val="FF0000"/>
          <w:sz w:val="24"/>
          <w:szCs w:val="24"/>
        </w:rPr>
      </w:pPr>
    </w:p>
    <w:p w14:paraId="300AE8C3" w14:textId="77777777" w:rsidR="00EA7887" w:rsidRPr="00EC6C19" w:rsidRDefault="00EA7887">
      <w:pPr>
        <w:rPr>
          <w:rFonts w:ascii="Times New Roman" w:hAnsi="Times New Roman" w:cs="Times New Roman"/>
          <w:b/>
          <w:color w:val="FF0000"/>
          <w:sz w:val="24"/>
          <w:szCs w:val="24"/>
        </w:rPr>
      </w:pPr>
    </w:p>
    <w:p w14:paraId="2D905057" w14:textId="77777777" w:rsidR="00EA7887" w:rsidRPr="00EC6C19" w:rsidRDefault="00EA7887">
      <w:pPr>
        <w:rPr>
          <w:rFonts w:ascii="Times New Roman" w:hAnsi="Times New Roman" w:cs="Times New Roman"/>
          <w:b/>
          <w:color w:val="FF0000"/>
          <w:sz w:val="24"/>
          <w:szCs w:val="24"/>
        </w:rPr>
      </w:pPr>
    </w:p>
    <w:p w14:paraId="1466E8BC" w14:textId="77777777" w:rsidR="00EA7887" w:rsidRPr="00EC6C19" w:rsidRDefault="00EA7887">
      <w:pPr>
        <w:rPr>
          <w:rFonts w:ascii="Times New Roman" w:hAnsi="Times New Roman" w:cs="Times New Roman"/>
          <w:b/>
          <w:color w:val="FF0000"/>
          <w:sz w:val="24"/>
          <w:szCs w:val="24"/>
        </w:rPr>
      </w:pPr>
    </w:p>
    <w:p w14:paraId="4AFB2094" w14:textId="77777777" w:rsidR="00EA7887" w:rsidRPr="00EC6C19" w:rsidRDefault="00EA7887">
      <w:pPr>
        <w:rPr>
          <w:rFonts w:ascii="Times New Roman" w:hAnsi="Times New Roman" w:cs="Times New Roman"/>
          <w:b/>
          <w:color w:val="FF0000"/>
          <w:sz w:val="24"/>
          <w:szCs w:val="24"/>
        </w:rPr>
      </w:pPr>
    </w:p>
    <w:p w14:paraId="1F1DB505" w14:textId="77777777" w:rsidR="00EA7887" w:rsidRPr="00EC6C19" w:rsidRDefault="00EA7887">
      <w:pPr>
        <w:rPr>
          <w:rFonts w:ascii="Times New Roman" w:hAnsi="Times New Roman" w:cs="Times New Roman"/>
          <w:b/>
          <w:color w:val="FF0000"/>
          <w:sz w:val="24"/>
          <w:szCs w:val="24"/>
        </w:rPr>
      </w:pPr>
    </w:p>
    <w:p w14:paraId="51B63FD5" w14:textId="77777777" w:rsidR="00EA7887" w:rsidRPr="00EC6C19" w:rsidRDefault="00EA7887">
      <w:pPr>
        <w:rPr>
          <w:rFonts w:ascii="Times New Roman" w:hAnsi="Times New Roman" w:cs="Times New Roman"/>
          <w:b/>
          <w:color w:val="FF0000"/>
          <w:sz w:val="24"/>
          <w:szCs w:val="24"/>
        </w:rPr>
      </w:pPr>
    </w:p>
    <w:p w14:paraId="57BB9F00" w14:textId="77777777" w:rsidR="00EA7887" w:rsidRDefault="00EA7887">
      <w:pPr>
        <w:rPr>
          <w:rFonts w:ascii="Times New Roman" w:hAnsi="Times New Roman" w:cs="Times New Roman"/>
          <w:b/>
          <w:color w:val="FF0000"/>
          <w:sz w:val="24"/>
          <w:szCs w:val="24"/>
        </w:rPr>
      </w:pPr>
    </w:p>
    <w:p w14:paraId="5F582BEA" w14:textId="77777777" w:rsidR="00E74532" w:rsidRDefault="00E74532">
      <w:pPr>
        <w:rPr>
          <w:rFonts w:ascii="Times New Roman" w:hAnsi="Times New Roman" w:cs="Times New Roman"/>
          <w:b/>
          <w:color w:val="FF0000"/>
          <w:sz w:val="24"/>
          <w:szCs w:val="24"/>
        </w:rPr>
      </w:pPr>
    </w:p>
    <w:p w14:paraId="54998F3E" w14:textId="77777777" w:rsidR="00E74532" w:rsidRDefault="00E74532">
      <w:pPr>
        <w:rPr>
          <w:rFonts w:ascii="Times New Roman" w:hAnsi="Times New Roman" w:cs="Times New Roman"/>
          <w:b/>
          <w:color w:val="FF0000"/>
          <w:sz w:val="24"/>
          <w:szCs w:val="24"/>
        </w:rPr>
      </w:pPr>
    </w:p>
    <w:p w14:paraId="22191232" w14:textId="77777777" w:rsidR="00E74532" w:rsidRDefault="00E74532">
      <w:pPr>
        <w:rPr>
          <w:rFonts w:ascii="Times New Roman" w:hAnsi="Times New Roman" w:cs="Times New Roman"/>
          <w:b/>
          <w:color w:val="FF0000"/>
          <w:sz w:val="24"/>
          <w:szCs w:val="24"/>
        </w:rPr>
      </w:pPr>
    </w:p>
    <w:p w14:paraId="36DBC562" w14:textId="77777777" w:rsidR="00E74532" w:rsidRPr="00EC6C19" w:rsidRDefault="00E74532">
      <w:pPr>
        <w:rPr>
          <w:rFonts w:ascii="Times New Roman" w:hAnsi="Times New Roman" w:cs="Times New Roman"/>
          <w:b/>
          <w:color w:val="FF0000"/>
          <w:sz w:val="24"/>
          <w:szCs w:val="24"/>
        </w:rPr>
      </w:pPr>
    </w:p>
    <w:p w14:paraId="2A8DAB5C" w14:textId="3074F15A" w:rsidR="00B76178" w:rsidRPr="00DB2C7E" w:rsidRDefault="00C54823" w:rsidP="00DB2C7E">
      <w:pPr>
        <w:pStyle w:val="Heading1"/>
        <w:rPr>
          <w:rFonts w:ascii="Times New Roman" w:hAnsi="Times New Roman" w:cs="Times New Roman"/>
          <w:b w:val="0"/>
          <w:color w:val="auto"/>
          <w:sz w:val="24"/>
          <w:szCs w:val="24"/>
        </w:rPr>
      </w:pPr>
      <w:bookmarkStart w:id="7" w:name="_Toc80302154"/>
      <w:r>
        <w:rPr>
          <w:rFonts w:ascii="Times New Roman" w:hAnsi="Times New Roman" w:cs="Times New Roman"/>
          <w:color w:val="auto"/>
          <w:sz w:val="24"/>
          <w:szCs w:val="24"/>
        </w:rPr>
        <w:lastRenderedPageBreak/>
        <w:t>Chapter I -</w:t>
      </w:r>
      <w:r w:rsidR="00B76178" w:rsidRPr="00DB2C7E">
        <w:rPr>
          <w:rFonts w:ascii="Times New Roman" w:hAnsi="Times New Roman" w:cs="Times New Roman"/>
          <w:color w:val="auto"/>
          <w:sz w:val="24"/>
          <w:szCs w:val="24"/>
        </w:rPr>
        <w:t xml:space="preserve"> Introduction</w:t>
      </w:r>
      <w:bookmarkEnd w:id="7"/>
    </w:p>
    <w:p w14:paraId="78B90C53" w14:textId="77777777" w:rsidR="00DB2C7E" w:rsidRPr="00EC6C19" w:rsidRDefault="00DB2C7E" w:rsidP="005C63B1">
      <w:pPr>
        <w:spacing w:line="360" w:lineRule="auto"/>
        <w:jc w:val="both"/>
        <w:rPr>
          <w:rFonts w:ascii="Times New Roman" w:hAnsi="Times New Roman" w:cs="Times New Roman"/>
          <w:i/>
          <w:sz w:val="24"/>
          <w:szCs w:val="24"/>
          <w:u w:val="single"/>
        </w:rPr>
      </w:pPr>
    </w:p>
    <w:p w14:paraId="6E1AD066" w14:textId="7C9DE6D1" w:rsidR="00C5021F" w:rsidRPr="00EC6C19" w:rsidRDefault="00C5021F" w:rsidP="005C63B1">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Percutaneous coronary intervention (PCI) is the mainstay of treatment for acute coronary syndromes</w:t>
      </w:r>
      <w:r w:rsidR="003D1F61" w:rsidRPr="00EC6C19">
        <w:rPr>
          <w:rFonts w:ascii="Times New Roman" w:hAnsi="Times New Roman" w:cs="Times New Roman"/>
          <w:sz w:val="24"/>
          <w:szCs w:val="24"/>
        </w:rPr>
        <w:t xml:space="preserve"> (ACS)</w:t>
      </w:r>
      <w:r w:rsidRPr="00EC6C19">
        <w:rPr>
          <w:rFonts w:ascii="Times New Roman" w:hAnsi="Times New Roman" w:cs="Times New Roman"/>
          <w:sz w:val="24"/>
          <w:szCs w:val="24"/>
        </w:rPr>
        <w:t>, specifically ST elevation myocardial infarction (STEMI). The treatment of chronic coronary syndromes</w:t>
      </w:r>
      <w:r w:rsidR="003D1F61" w:rsidRPr="00EC6C19">
        <w:rPr>
          <w:rFonts w:ascii="Times New Roman" w:hAnsi="Times New Roman" w:cs="Times New Roman"/>
          <w:sz w:val="24"/>
          <w:szCs w:val="24"/>
        </w:rPr>
        <w:t xml:space="preserve"> (CCS</w:t>
      </w:r>
      <w:r w:rsidR="00106A32" w:rsidRPr="00EC6C19">
        <w:rPr>
          <w:rFonts w:ascii="Times New Roman" w:hAnsi="Times New Roman" w:cs="Times New Roman"/>
          <w:sz w:val="24"/>
          <w:szCs w:val="24"/>
        </w:rPr>
        <w:fldChar w:fldCharType="begin"/>
      </w:r>
      <w:r w:rsidR="00D7215A" w:rsidRPr="00EC6C19">
        <w:rPr>
          <w:rFonts w:ascii="Times New Roman" w:hAnsi="Times New Roman" w:cs="Times New Roman"/>
          <w:sz w:val="24"/>
          <w:szCs w:val="24"/>
        </w:rPr>
        <w:instrText xml:space="preserve"> ADDIN ZOTERO_ITEM CSL_CITATION {"citationID":"Lup5DikW","properties":{"formattedCitation":"(ESC Guidelines on Chronic Coronary Syndromes (Previously titled Stable Coronary Artery Disease), 2020)","plainCitation":"(ESC Guidelines on Chronic Coronary Syndromes (Previously titled Stable Coronary Artery Disease), 2020)","dontUpdate":true,"noteIndex":0},"citationItems":[{"id":827,"uris":["http://zotero.org/users/local/k67tNDdX/items/KDZ3VZ9R"],"uri":["http://zotero.org/users/local/k67tNDdX/items/KDZ3VZ9R"],"itemData":{"id":827,"type":"webpage","abstract":"ESC Clinical Practice Guidelines aim to present all the relevant evidence to help physicians weigh the benefits and risks of a particular diagnostic or therapeutic procedure on Chronic Coronary Syndromes / Stable Angina. They should be essential in everyday clinical decision making.","title":"ESC Guidelines on Chronic Coronary Syndromes (Previously titled Stable Coronary Artery Disease)","URL":"https://www.escardio.org/Guidelines/Clinical-Practice-Guidelines/Chronic-Coronary-Syndromes, https://www.escardio.org/Guidelines/Clinical-Practice-Guidelines/Chronic-Coronary-Syndromes","accessed":{"date-parts":[["2020",5,14]]}}}],"schema":"https://github.com/citation-style-language/schema/raw/master/csl-citation.json"} </w:instrText>
      </w:r>
      <w:r w:rsidR="00106A32" w:rsidRPr="00EC6C19">
        <w:rPr>
          <w:rFonts w:ascii="Times New Roman" w:hAnsi="Times New Roman" w:cs="Times New Roman"/>
          <w:sz w:val="24"/>
          <w:szCs w:val="24"/>
        </w:rPr>
        <w:fldChar w:fldCharType="separate"/>
      </w:r>
      <w:r w:rsidR="003D1F61" w:rsidRPr="00EC6C19">
        <w:rPr>
          <w:rFonts w:ascii="Times New Roman" w:hAnsi="Times New Roman" w:cs="Times New Roman"/>
          <w:sz w:val="24"/>
          <w:szCs w:val="24"/>
        </w:rPr>
        <w:t xml:space="preserve"> - </w:t>
      </w:r>
      <w:r w:rsidRPr="00EC6C19">
        <w:rPr>
          <w:rFonts w:ascii="Times New Roman" w:hAnsi="Times New Roman" w:cs="Times New Roman"/>
          <w:sz w:val="24"/>
          <w:szCs w:val="24"/>
        </w:rPr>
        <w:t>ESC Guidelines on Chronic Coronary Syndromes (Previously titled Stable Coronary Artery Disease), 2020)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is </w:t>
      </w:r>
      <w:r w:rsidR="00EE0859" w:rsidRPr="00EC6C19">
        <w:rPr>
          <w:rFonts w:ascii="Times New Roman" w:hAnsi="Times New Roman" w:cs="Times New Roman"/>
          <w:sz w:val="24"/>
          <w:szCs w:val="24"/>
        </w:rPr>
        <w:t>more complex</w:t>
      </w:r>
      <w:r w:rsidRPr="00EC6C19">
        <w:rPr>
          <w:rFonts w:ascii="Times New Roman" w:hAnsi="Times New Roman" w:cs="Times New Roman"/>
          <w:sz w:val="24"/>
          <w:szCs w:val="24"/>
        </w:rPr>
        <w:t xml:space="preserve"> and requires expert clinical decision making. Diagnostic aids such as fractional flow reserve (FFR) have been used for over two decades as diagnostic tools, to guide this </w:t>
      </w:r>
      <w:r w:rsidR="00543B67" w:rsidRPr="00EC6C19">
        <w:rPr>
          <w:rFonts w:ascii="Times New Roman" w:hAnsi="Times New Roman" w:cs="Times New Roman"/>
          <w:sz w:val="24"/>
          <w:szCs w:val="24"/>
        </w:rPr>
        <w:t>decision</w:t>
      </w:r>
      <w:r w:rsidR="00543B67">
        <w:rPr>
          <w:rFonts w:ascii="Times New Roman" w:hAnsi="Times New Roman" w:cs="Times New Roman"/>
          <w:sz w:val="24"/>
          <w:szCs w:val="24"/>
        </w:rPr>
        <w:t>-</w:t>
      </w:r>
      <w:r w:rsidRPr="00EC6C19">
        <w:rPr>
          <w:rFonts w:ascii="Times New Roman" w:hAnsi="Times New Roman" w:cs="Times New Roman"/>
          <w:sz w:val="24"/>
          <w:szCs w:val="24"/>
        </w:rPr>
        <w:t>making process.</w:t>
      </w:r>
      <w:r w:rsidR="003D1F61" w:rsidRPr="00EC6C19">
        <w:rPr>
          <w:rFonts w:ascii="Times New Roman" w:hAnsi="Times New Roman" w:cs="Times New Roman"/>
          <w:sz w:val="24"/>
          <w:szCs w:val="24"/>
        </w:rPr>
        <w:t xml:space="preserve"> The impact of hydrostatic effect on these measuring tools is unknown.</w:t>
      </w:r>
    </w:p>
    <w:p w14:paraId="15B9C9D3" w14:textId="50ACE526" w:rsidR="001E707A" w:rsidRPr="00EC6C19" w:rsidRDefault="00C5021F" w:rsidP="005C63B1">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A general overview of coronary artery disease pathology,</w:t>
      </w:r>
      <w:r w:rsidR="00EE0859" w:rsidRPr="00EC6C19">
        <w:rPr>
          <w:rFonts w:ascii="Times New Roman" w:hAnsi="Times New Roman" w:cs="Times New Roman"/>
          <w:sz w:val="24"/>
          <w:szCs w:val="24"/>
        </w:rPr>
        <w:t xml:space="preserve"> prevention, medical treatment and </w:t>
      </w:r>
      <w:r w:rsidR="003D1F61" w:rsidRPr="00EC6C19">
        <w:rPr>
          <w:rFonts w:ascii="Times New Roman" w:hAnsi="Times New Roman" w:cs="Times New Roman"/>
          <w:sz w:val="24"/>
          <w:szCs w:val="24"/>
        </w:rPr>
        <w:t>future</w:t>
      </w:r>
      <w:r w:rsidR="00EE0859" w:rsidRPr="00EC6C19">
        <w:rPr>
          <w:rFonts w:ascii="Times New Roman" w:hAnsi="Times New Roman" w:cs="Times New Roman"/>
          <w:sz w:val="24"/>
          <w:szCs w:val="24"/>
        </w:rPr>
        <w:t xml:space="preserve"> implications is described in </w:t>
      </w:r>
      <w:r w:rsidR="00EE0859" w:rsidRPr="005119FF">
        <w:rPr>
          <w:rFonts w:ascii="Times New Roman" w:hAnsi="Times New Roman" w:cs="Times New Roman"/>
          <w:sz w:val="24"/>
          <w:szCs w:val="24"/>
        </w:rPr>
        <w:t>Appendix A.</w:t>
      </w:r>
      <w:r w:rsidR="003D1F61" w:rsidRPr="00EC6C19">
        <w:rPr>
          <w:rFonts w:ascii="Times New Roman" w:hAnsi="Times New Roman" w:cs="Times New Roman"/>
          <w:sz w:val="24"/>
          <w:szCs w:val="24"/>
        </w:rPr>
        <w:t xml:space="preserve"> Below is a bri</w:t>
      </w:r>
      <w:r w:rsidR="00C31412">
        <w:rPr>
          <w:rFonts w:ascii="Times New Roman" w:hAnsi="Times New Roman" w:cs="Times New Roman"/>
          <w:sz w:val="24"/>
          <w:szCs w:val="24"/>
        </w:rPr>
        <w:t>ef introduction to ACS, CCS,</w:t>
      </w:r>
      <w:r w:rsidR="003D1F61" w:rsidRPr="00EC6C19">
        <w:rPr>
          <w:rFonts w:ascii="Times New Roman" w:hAnsi="Times New Roman" w:cs="Times New Roman"/>
          <w:sz w:val="24"/>
          <w:szCs w:val="24"/>
        </w:rPr>
        <w:t xml:space="preserve"> diagnosis and invasive treatment of coronary artery disease. Ischaemia testing</w:t>
      </w:r>
      <w:r w:rsidR="00C31412">
        <w:rPr>
          <w:rFonts w:ascii="Times New Roman" w:hAnsi="Times New Roman" w:cs="Times New Roman"/>
          <w:sz w:val="24"/>
          <w:szCs w:val="24"/>
        </w:rPr>
        <w:t>,</w:t>
      </w:r>
      <w:r w:rsidR="003D1F61" w:rsidRPr="00EC6C19">
        <w:rPr>
          <w:rFonts w:ascii="Times New Roman" w:hAnsi="Times New Roman" w:cs="Times New Roman"/>
          <w:sz w:val="24"/>
          <w:szCs w:val="24"/>
        </w:rPr>
        <w:t xml:space="preserve"> invasive and non</w:t>
      </w:r>
      <w:r w:rsidR="00543B67">
        <w:rPr>
          <w:rFonts w:ascii="Times New Roman" w:hAnsi="Times New Roman" w:cs="Times New Roman"/>
          <w:sz w:val="24"/>
          <w:szCs w:val="24"/>
        </w:rPr>
        <w:t>-</w:t>
      </w:r>
      <w:r w:rsidR="003D1F61" w:rsidRPr="00EC6C19">
        <w:rPr>
          <w:rFonts w:ascii="Times New Roman" w:hAnsi="Times New Roman" w:cs="Times New Roman"/>
          <w:sz w:val="24"/>
          <w:szCs w:val="24"/>
        </w:rPr>
        <w:t>invasive,</w:t>
      </w:r>
      <w:r w:rsidR="00C31412">
        <w:rPr>
          <w:rFonts w:ascii="Times New Roman" w:hAnsi="Times New Roman" w:cs="Times New Roman"/>
          <w:sz w:val="24"/>
          <w:szCs w:val="24"/>
        </w:rPr>
        <w:t xml:space="preserve"> are critical in lesion selection for treatment.</w:t>
      </w:r>
      <w:r w:rsidR="003D1F61" w:rsidRPr="00EC6C19">
        <w:rPr>
          <w:rFonts w:ascii="Times New Roman" w:hAnsi="Times New Roman" w:cs="Times New Roman"/>
          <w:sz w:val="24"/>
          <w:szCs w:val="24"/>
        </w:rPr>
        <w:t xml:space="preserve"> </w:t>
      </w:r>
      <w:r w:rsidR="00C31412">
        <w:rPr>
          <w:rFonts w:ascii="Times New Roman" w:hAnsi="Times New Roman" w:cs="Times New Roman"/>
          <w:sz w:val="24"/>
          <w:szCs w:val="24"/>
        </w:rPr>
        <w:t>I</w:t>
      </w:r>
      <w:r w:rsidR="003D1F61" w:rsidRPr="00EC6C19">
        <w:rPr>
          <w:rFonts w:ascii="Times New Roman" w:hAnsi="Times New Roman" w:cs="Times New Roman"/>
          <w:sz w:val="24"/>
          <w:szCs w:val="24"/>
        </w:rPr>
        <w:t>nvasive testing</w:t>
      </w:r>
      <w:r w:rsidR="00C31412">
        <w:rPr>
          <w:rFonts w:ascii="Times New Roman" w:hAnsi="Times New Roman" w:cs="Times New Roman"/>
          <w:sz w:val="24"/>
          <w:szCs w:val="24"/>
        </w:rPr>
        <w:t xml:space="preserve"> (Pd/Pa, iFR and FFR)</w:t>
      </w:r>
      <w:r w:rsidR="003D1F61" w:rsidRPr="00EC6C19">
        <w:rPr>
          <w:rFonts w:ascii="Times New Roman" w:hAnsi="Times New Roman" w:cs="Times New Roman"/>
          <w:sz w:val="24"/>
          <w:szCs w:val="24"/>
        </w:rPr>
        <w:t xml:space="preserve"> and the potential confounding fact</w:t>
      </w:r>
      <w:r w:rsidR="00C31412">
        <w:rPr>
          <w:rFonts w:ascii="Times New Roman" w:hAnsi="Times New Roman" w:cs="Times New Roman"/>
          <w:sz w:val="24"/>
          <w:szCs w:val="24"/>
        </w:rPr>
        <w:t>or of hydrostatic pressure are</w:t>
      </w:r>
      <w:r w:rsidR="003D1F61" w:rsidRPr="00EC6C19">
        <w:rPr>
          <w:rFonts w:ascii="Times New Roman" w:hAnsi="Times New Roman" w:cs="Times New Roman"/>
          <w:sz w:val="24"/>
          <w:szCs w:val="24"/>
        </w:rPr>
        <w:t xml:space="preserve"> the focus of this research.</w:t>
      </w:r>
    </w:p>
    <w:p w14:paraId="1380655E" w14:textId="77777777" w:rsidR="00E35EAB" w:rsidRPr="00EC6C19" w:rsidRDefault="00E35EAB" w:rsidP="00B22321">
      <w:pPr>
        <w:spacing w:line="360" w:lineRule="auto"/>
        <w:jc w:val="both"/>
        <w:rPr>
          <w:rFonts w:ascii="Times New Roman" w:hAnsi="Times New Roman" w:cs="Times New Roman"/>
          <w:sz w:val="24"/>
          <w:szCs w:val="24"/>
        </w:rPr>
      </w:pPr>
    </w:p>
    <w:p w14:paraId="3FBD8617" w14:textId="77777777" w:rsidR="00AF1B99" w:rsidRDefault="00C54823" w:rsidP="00DB2C7E">
      <w:pPr>
        <w:pStyle w:val="Heading2"/>
        <w:spacing w:line="360" w:lineRule="auto"/>
        <w:rPr>
          <w:rFonts w:ascii="Times New Roman" w:hAnsi="Times New Roman" w:cs="Times New Roman"/>
          <w:color w:val="auto"/>
          <w:sz w:val="24"/>
          <w:szCs w:val="24"/>
        </w:rPr>
      </w:pPr>
      <w:bookmarkStart w:id="8" w:name="_Toc80302155"/>
      <w:r>
        <w:rPr>
          <w:rFonts w:ascii="Times New Roman" w:hAnsi="Times New Roman" w:cs="Times New Roman"/>
          <w:color w:val="auto"/>
          <w:sz w:val="24"/>
          <w:szCs w:val="24"/>
        </w:rPr>
        <w:t xml:space="preserve">1.1 - </w:t>
      </w:r>
      <w:r w:rsidR="006C0ED3" w:rsidRPr="00DB2C7E">
        <w:rPr>
          <w:rFonts w:ascii="Times New Roman" w:hAnsi="Times New Roman" w:cs="Times New Roman"/>
          <w:color w:val="auto"/>
          <w:sz w:val="24"/>
          <w:szCs w:val="24"/>
        </w:rPr>
        <w:t>Acute Coronary Syndrome</w:t>
      </w:r>
      <w:bookmarkEnd w:id="8"/>
    </w:p>
    <w:p w14:paraId="4A973DC5" w14:textId="77777777" w:rsidR="006C0ED3" w:rsidRPr="00EC6C19" w:rsidRDefault="006C0ED3" w:rsidP="005C63B1">
      <w:pPr>
        <w:spacing w:line="360" w:lineRule="auto"/>
        <w:jc w:val="both"/>
        <w:rPr>
          <w:rFonts w:ascii="Times New Roman" w:hAnsi="Times New Roman" w:cs="Times New Roman"/>
          <w:i/>
          <w:sz w:val="24"/>
          <w:szCs w:val="24"/>
        </w:rPr>
      </w:pPr>
    </w:p>
    <w:p w14:paraId="27298FC0" w14:textId="77777777" w:rsidR="00A22670" w:rsidRDefault="00AF1B99" w:rsidP="005C63B1">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Th</w:t>
      </w:r>
      <w:r w:rsidR="00DA1AD3" w:rsidRPr="00EC6C19">
        <w:rPr>
          <w:rFonts w:ascii="Times New Roman" w:hAnsi="Times New Roman" w:cs="Times New Roman"/>
          <w:sz w:val="24"/>
          <w:szCs w:val="24"/>
        </w:rPr>
        <w:t>ree</w:t>
      </w:r>
      <w:r w:rsidRPr="00EC6C19">
        <w:rPr>
          <w:rFonts w:ascii="Times New Roman" w:hAnsi="Times New Roman" w:cs="Times New Roman"/>
          <w:sz w:val="24"/>
          <w:szCs w:val="24"/>
        </w:rPr>
        <w:t xml:space="preserve"> presentations are classed as acute coronary syndromes (ACS). </w:t>
      </w:r>
      <w:r w:rsidR="00DA1AD3" w:rsidRPr="00EC6C19">
        <w:rPr>
          <w:rFonts w:ascii="Times New Roman" w:hAnsi="Times New Roman" w:cs="Times New Roman"/>
          <w:sz w:val="24"/>
          <w:szCs w:val="24"/>
        </w:rPr>
        <w:t>They are</w:t>
      </w:r>
      <w:r w:rsidRPr="00EC6C19">
        <w:rPr>
          <w:rFonts w:ascii="Times New Roman" w:hAnsi="Times New Roman" w:cs="Times New Roman"/>
          <w:sz w:val="24"/>
          <w:szCs w:val="24"/>
        </w:rPr>
        <w:t>; ST elevation myocardial infarction (STEMI), Non-ST elevation myocardial infarction (NSTEMI) and unstable angina (UA).</w:t>
      </w:r>
    </w:p>
    <w:p w14:paraId="007C82C9" w14:textId="77777777" w:rsidR="003B36BA" w:rsidRPr="00EC6C19" w:rsidRDefault="003B36BA" w:rsidP="005C63B1">
      <w:pPr>
        <w:spacing w:line="360" w:lineRule="auto"/>
        <w:jc w:val="both"/>
        <w:rPr>
          <w:rFonts w:ascii="Times New Roman" w:hAnsi="Times New Roman" w:cs="Times New Roman"/>
          <w:sz w:val="24"/>
          <w:szCs w:val="24"/>
        </w:rPr>
      </w:pPr>
    </w:p>
    <w:p w14:paraId="43B1F7D1" w14:textId="77777777" w:rsidR="00586518" w:rsidRPr="00DB2C7E" w:rsidRDefault="00C54823" w:rsidP="00DB2C7E">
      <w:pPr>
        <w:pStyle w:val="Heading3"/>
        <w:rPr>
          <w:rFonts w:ascii="Times New Roman" w:hAnsi="Times New Roman" w:cs="Times New Roman"/>
          <w:b w:val="0"/>
          <w:i/>
          <w:color w:val="auto"/>
          <w:sz w:val="24"/>
          <w:szCs w:val="24"/>
        </w:rPr>
      </w:pPr>
      <w:bookmarkStart w:id="9" w:name="_Toc80302156"/>
      <w:r>
        <w:rPr>
          <w:rFonts w:ascii="Times New Roman" w:hAnsi="Times New Roman" w:cs="Times New Roman"/>
          <w:b w:val="0"/>
          <w:i/>
          <w:color w:val="auto"/>
          <w:sz w:val="24"/>
          <w:szCs w:val="24"/>
        </w:rPr>
        <w:t xml:space="preserve">1.1.1 - </w:t>
      </w:r>
      <w:r w:rsidR="00586518" w:rsidRPr="00DB2C7E">
        <w:rPr>
          <w:rFonts w:ascii="Times New Roman" w:hAnsi="Times New Roman" w:cs="Times New Roman"/>
          <w:b w:val="0"/>
          <w:i/>
          <w:color w:val="auto"/>
          <w:sz w:val="24"/>
          <w:szCs w:val="24"/>
        </w:rPr>
        <w:t>ST Elevation Myocardial Infarction</w:t>
      </w:r>
      <w:bookmarkEnd w:id="9"/>
    </w:p>
    <w:p w14:paraId="1D7CD982" w14:textId="77777777" w:rsidR="00586518" w:rsidRPr="00EC6C19" w:rsidRDefault="00586518" w:rsidP="005C63B1">
      <w:pPr>
        <w:spacing w:line="360" w:lineRule="auto"/>
        <w:jc w:val="both"/>
        <w:rPr>
          <w:rFonts w:ascii="Times New Roman" w:hAnsi="Times New Roman" w:cs="Times New Roman"/>
          <w:i/>
          <w:sz w:val="24"/>
          <w:szCs w:val="24"/>
        </w:rPr>
      </w:pPr>
    </w:p>
    <w:p w14:paraId="59B1013A" w14:textId="77777777" w:rsidR="009C7B28" w:rsidRPr="00EC6C19" w:rsidRDefault="009C7B28" w:rsidP="005C63B1">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In ST elevation myocardial infarction, occlusion of a coronary artery causes ST segment elevation and a classically recognisable ECG </w:t>
      </w:r>
      <w:r w:rsidRPr="005119FF">
        <w:rPr>
          <w:rFonts w:ascii="Times New Roman" w:hAnsi="Times New Roman" w:cs="Times New Roman"/>
          <w:sz w:val="24"/>
          <w:szCs w:val="24"/>
        </w:rPr>
        <w:t>pattern</w:t>
      </w:r>
      <w:r w:rsidR="00DF2680" w:rsidRPr="005119FF">
        <w:rPr>
          <w:rFonts w:ascii="Times New Roman" w:hAnsi="Times New Roman" w:cs="Times New Roman"/>
          <w:sz w:val="24"/>
          <w:szCs w:val="24"/>
        </w:rPr>
        <w:t xml:space="preserve"> </w:t>
      </w:r>
      <w:r w:rsidR="005119FF" w:rsidRPr="005119FF">
        <w:rPr>
          <w:rFonts w:ascii="Times New Roman" w:hAnsi="Times New Roman" w:cs="Times New Roman"/>
          <w:sz w:val="24"/>
          <w:szCs w:val="24"/>
        </w:rPr>
        <w:t>(Figure 1</w:t>
      </w:r>
      <w:r w:rsidR="00B25346" w:rsidRPr="005119FF">
        <w:rPr>
          <w:rFonts w:ascii="Times New Roman" w:hAnsi="Times New Roman" w:cs="Times New Roman"/>
          <w:sz w:val="24"/>
          <w:szCs w:val="24"/>
        </w:rPr>
        <w:t>).</w:t>
      </w:r>
      <w:r w:rsidR="00315AFB" w:rsidRPr="005119FF">
        <w:rPr>
          <w:rFonts w:ascii="Times New Roman" w:hAnsi="Times New Roman" w:cs="Times New Roman"/>
          <w:sz w:val="24"/>
          <w:szCs w:val="24"/>
        </w:rPr>
        <w:t xml:space="preserve"> </w:t>
      </w:r>
      <w:r w:rsidR="00DF0B63" w:rsidRPr="005119FF">
        <w:rPr>
          <w:rFonts w:ascii="Times New Roman" w:hAnsi="Times New Roman" w:cs="Times New Roman"/>
          <w:sz w:val="24"/>
          <w:szCs w:val="24"/>
        </w:rPr>
        <w:t>Biomarkers</w:t>
      </w:r>
      <w:r w:rsidR="00DF0B63" w:rsidRPr="00EC6C19">
        <w:rPr>
          <w:rFonts w:ascii="Times New Roman" w:hAnsi="Times New Roman" w:cs="Times New Roman"/>
          <w:sz w:val="24"/>
          <w:szCs w:val="24"/>
        </w:rPr>
        <w:t xml:space="preserve"> such as troponin are raised</w:t>
      </w:r>
      <w:r w:rsidR="00BF354A" w:rsidRPr="00EC6C19">
        <w:rPr>
          <w:rFonts w:ascii="Times New Roman" w:hAnsi="Times New Roman" w:cs="Times New Roman"/>
          <w:sz w:val="24"/>
          <w:szCs w:val="24"/>
        </w:rPr>
        <w:t>.</w:t>
      </w:r>
    </w:p>
    <w:p w14:paraId="76890654" w14:textId="77777777" w:rsidR="00A22670" w:rsidRPr="00EC6C19" w:rsidRDefault="00273942">
      <w:pPr>
        <w:rPr>
          <w:rFonts w:ascii="Times New Roman" w:hAnsi="Times New Roman" w:cs="Times New Roman"/>
          <w:sz w:val="24"/>
          <w:szCs w:val="24"/>
        </w:rPr>
      </w:pPr>
      <w:r w:rsidRPr="00EC6C19">
        <w:rPr>
          <w:rFonts w:ascii="Times New Roman" w:hAnsi="Times New Roman" w:cs="Times New Roman"/>
          <w:noProof/>
          <w:sz w:val="24"/>
          <w:szCs w:val="24"/>
          <w:lang w:eastAsia="en-GB"/>
        </w:rPr>
        <w:lastRenderedPageBreak/>
        <w:drawing>
          <wp:inline distT="0" distB="0" distL="0" distR="0" wp14:anchorId="11015F70" wp14:editId="7CB71078">
            <wp:extent cx="5943600" cy="3163570"/>
            <wp:effectExtent l="19050" t="0" r="0" b="0"/>
            <wp:docPr id="2" name="Picture 1"/>
            <wp:cNvGraphicFramePr/>
            <a:graphic xmlns:a="http://schemas.openxmlformats.org/drawingml/2006/main">
              <a:graphicData uri="http://schemas.openxmlformats.org/drawingml/2006/picture">
                <pic:pic xmlns:pic="http://schemas.openxmlformats.org/drawingml/2006/picture">
                  <pic:nvPicPr>
                    <pic:cNvPr id="5" name="Content Placeholder 3"/>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163570"/>
                    </a:xfrm>
                    <a:prstGeom prst="rect">
                      <a:avLst/>
                    </a:prstGeom>
                  </pic:spPr>
                </pic:pic>
              </a:graphicData>
            </a:graphic>
          </wp:inline>
        </w:drawing>
      </w:r>
    </w:p>
    <w:p w14:paraId="01C4B2D0" w14:textId="77777777" w:rsidR="00EE2E36" w:rsidRPr="000B3BC7" w:rsidRDefault="000B3BC7" w:rsidP="009C2BD2">
      <w:pPr>
        <w:pStyle w:val="Caption"/>
        <w:rPr>
          <w:rFonts w:ascii="Times New Roman" w:hAnsi="Times New Roman" w:cs="Times New Roman"/>
          <w:b w:val="0"/>
          <w:i/>
          <w:color w:val="auto"/>
          <w:sz w:val="24"/>
          <w:szCs w:val="24"/>
        </w:rPr>
      </w:pPr>
      <w:bookmarkStart w:id="10" w:name="_Toc44684890"/>
      <w:r w:rsidRPr="000B3BC7">
        <w:rPr>
          <w:rFonts w:ascii="Times New Roman" w:hAnsi="Times New Roman" w:cs="Times New Roman"/>
          <w:b w:val="0"/>
          <w:i/>
          <w:color w:val="auto"/>
          <w:sz w:val="24"/>
          <w:szCs w:val="24"/>
        </w:rPr>
        <w:t xml:space="preserve">Figure </w:t>
      </w:r>
      <w:r w:rsidR="00106A32" w:rsidRPr="000B3BC7">
        <w:rPr>
          <w:rFonts w:ascii="Times New Roman" w:hAnsi="Times New Roman" w:cs="Times New Roman"/>
          <w:b w:val="0"/>
          <w:i/>
          <w:color w:val="auto"/>
          <w:sz w:val="24"/>
          <w:szCs w:val="24"/>
        </w:rPr>
        <w:fldChar w:fldCharType="begin"/>
      </w:r>
      <w:r w:rsidRPr="000B3BC7">
        <w:rPr>
          <w:rFonts w:ascii="Times New Roman" w:hAnsi="Times New Roman" w:cs="Times New Roman"/>
          <w:b w:val="0"/>
          <w:i/>
          <w:color w:val="auto"/>
          <w:sz w:val="24"/>
          <w:szCs w:val="24"/>
        </w:rPr>
        <w:instrText xml:space="preserve"> SEQ Figure \* ARABIC </w:instrText>
      </w:r>
      <w:r w:rsidR="00106A32" w:rsidRPr="000B3BC7">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w:t>
      </w:r>
      <w:r w:rsidR="00106A32" w:rsidRPr="000B3BC7">
        <w:rPr>
          <w:rFonts w:ascii="Times New Roman" w:hAnsi="Times New Roman" w:cs="Times New Roman"/>
          <w:b w:val="0"/>
          <w:i/>
          <w:color w:val="auto"/>
          <w:sz w:val="24"/>
          <w:szCs w:val="24"/>
        </w:rPr>
        <w:fldChar w:fldCharType="end"/>
      </w:r>
      <w:r w:rsidRPr="000B3BC7">
        <w:rPr>
          <w:rFonts w:ascii="Times New Roman" w:hAnsi="Times New Roman" w:cs="Times New Roman"/>
          <w:b w:val="0"/>
          <w:i/>
          <w:color w:val="auto"/>
          <w:sz w:val="24"/>
          <w:szCs w:val="24"/>
        </w:rPr>
        <w:t xml:space="preserve"> - STEMI ECG </w:t>
      </w:r>
      <w:r w:rsidR="00273942" w:rsidRPr="000B3BC7">
        <w:rPr>
          <w:rFonts w:ascii="Times New Roman" w:hAnsi="Times New Roman" w:cs="Times New Roman"/>
          <w:b w:val="0"/>
          <w:i/>
          <w:color w:val="auto"/>
          <w:sz w:val="24"/>
          <w:szCs w:val="24"/>
        </w:rPr>
        <w:t>- an ECG of a patient attending the Essex Cardiothoracic Centre with an anterior STEMI (ST elevation myocardial infarction). Notice the raised ST segments in leads V1-V5</w:t>
      </w:r>
      <w:r w:rsidR="007F21AD" w:rsidRPr="000B3BC7">
        <w:rPr>
          <w:rFonts w:ascii="Times New Roman" w:hAnsi="Times New Roman" w:cs="Times New Roman"/>
          <w:b w:val="0"/>
          <w:i/>
          <w:color w:val="auto"/>
          <w:sz w:val="24"/>
          <w:szCs w:val="24"/>
        </w:rPr>
        <w:t xml:space="preserve"> (consent obtained for image use)</w:t>
      </w:r>
      <w:r w:rsidR="00273942" w:rsidRPr="000B3BC7">
        <w:rPr>
          <w:rFonts w:ascii="Times New Roman" w:hAnsi="Times New Roman" w:cs="Times New Roman"/>
          <w:b w:val="0"/>
          <w:i/>
          <w:color w:val="auto"/>
          <w:sz w:val="24"/>
          <w:szCs w:val="24"/>
        </w:rPr>
        <w:t>.</w:t>
      </w:r>
      <w:bookmarkEnd w:id="10"/>
    </w:p>
    <w:p w14:paraId="720C976C" w14:textId="77777777" w:rsidR="00273942" w:rsidRPr="00EC6C19" w:rsidRDefault="00273942">
      <w:pPr>
        <w:rPr>
          <w:rFonts w:ascii="Times New Roman" w:hAnsi="Times New Roman" w:cs="Times New Roman"/>
          <w:sz w:val="24"/>
          <w:szCs w:val="24"/>
        </w:rPr>
      </w:pPr>
    </w:p>
    <w:p w14:paraId="6819FD79" w14:textId="77777777" w:rsidR="00EE2E36" w:rsidRPr="00EC6C19" w:rsidRDefault="00273942" w:rsidP="005C63B1">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The treatment for </w:t>
      </w:r>
      <w:r w:rsidR="005C63B1" w:rsidRPr="00EC6C19">
        <w:rPr>
          <w:rFonts w:ascii="Times New Roman" w:hAnsi="Times New Roman" w:cs="Times New Roman"/>
          <w:sz w:val="24"/>
          <w:szCs w:val="24"/>
        </w:rPr>
        <w:t>this presentation</w:t>
      </w:r>
      <w:r w:rsidRPr="00EC6C19">
        <w:rPr>
          <w:rFonts w:ascii="Times New Roman" w:hAnsi="Times New Roman" w:cs="Times New Roman"/>
          <w:sz w:val="24"/>
          <w:szCs w:val="24"/>
        </w:rPr>
        <w:t xml:space="preserve"> is immediate restoration of blood flow in the infarct related artery</w:t>
      </w:r>
      <w:r w:rsidR="005C63B1" w:rsidRPr="00EC6C19">
        <w:rPr>
          <w:rFonts w:ascii="Times New Roman" w:hAnsi="Times New Roman" w:cs="Times New Roman"/>
          <w:sz w:val="24"/>
          <w:szCs w:val="24"/>
        </w:rPr>
        <w:t xml:space="preserve"> (IRA)</w:t>
      </w:r>
      <w:r w:rsidRPr="00EC6C19">
        <w:rPr>
          <w:rFonts w:ascii="Times New Roman" w:hAnsi="Times New Roman" w:cs="Times New Roman"/>
          <w:sz w:val="24"/>
          <w:szCs w:val="24"/>
        </w:rPr>
        <w:t>. The initial treatment for this was administration of a thrombolytic drug, but this has since been surpassed by primary percutaneous coronary intervention (PPCI)</w:t>
      </w:r>
      <w:r w:rsidR="005C63B1"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{"citationID":"ZPUndHLv","properties":{"formattedCitation":"(Le May et al., 2001)","plainCitation":"(Le May et al., 2001)","dontUpdate":true,"noteIndex":0},"citationItems":[{"id":54,"uris":["http://zotero.org/users/local/k67tNDdX/items/BYIDFDSZ"],"uri":["http://zotero.org/users/local/k67tNDdX/items/BYIDFDSZ"],"itemData":{"id":54,"type":"article-journal","abstract":"OBJECTIVES: We sought to directly compare primary stenting with accelerated tissue plasminogen activator (t-PA) in patients presenting with acute ST-elevation myocardial infarction (AMI).\nBACKGROUND: Thrombolysis remains the standard therapy for AMI. However, at some institutions primary angioplasty is favored. Randomized trials have shown that primary angioplasty is equal or superior to thrombolysis, while recent studies demonstrate that stent implantation improves the results of primary angioplasty.\nMETHODS: Patients presenting with AMI were randomly assigned to primary stenting (n = 62) or accelerated t-PA (n = 61). The primary end point was the composite of death, reinfarction, stroke or repeat target vessel revascularization (TVR) for ischemia at six months.\nRESULTS: The primary end point was significantly reduced in the stent group compared with the accelerated t-PA group, 24.2% versus 55.7% (p &lt; 0.001). The event rates for other outcomes in the stent group versus the t-PA group were as follows: mortality: 4.8% versus 3.3% (p = 1.00); reinfarction: 6.5% versus 16.4% (p = 0.096); stroke: 1.6% versus 4.9% (p = 0.36); recurrent unstable ischemia: 9.7% versus 26.2% (p = 0.03) and repeat TVR for ischemia: 14.5% versus 49.2% (p &lt; 0.001). The median length of the initial hospitalization was four days in the stent group and seven days in the t-PA group (p &lt; 0.001).\nCONCLUSIONS: Compared with accelerated t-PA, primary stenting reduces death, reinfarction, stroke or repeat TVR for ischemia. In centers where facilities and experienced interventionists are available, primary stenting offers an attractive alternative to thrombolysis.","container-title":"Journal of the American College of Cardiology","ISSN":"0735-1097","issue":"4","journalAbbreviation":"J. Am. Coll. Cardiol.","language":"eng","note":"PMID: 11263625","page":"985-991","source":"PubMed","title":"Stenting versus thrombolysis in acute myocardial infarction trial (STAT)","volume":"37","author":[{"family":"Le May","given":"M. R."},{"family":"Labinaz","given":"M."},{"family":"Davies","given":"R. F."},{"family":"Marquis","given":"J. F."},{"family":"Laramée","given":"L. A."},{"family":"O'Brien","given":"E. R."},{"family":"Williams","given":"W. L."},{"family":"Beanlands","given":"R. S."},{"family":"Nichol","given":"G."},{"family":"Higginson","given":"L. A."}],"issued":{"date-parts":[["2001",3,15]]}}}],"schema":"https://github.com/citation-style-language/schema/raw/master/csl-citation.json"} </w:instrText>
      </w:r>
      <w:r w:rsidR="00106A32" w:rsidRPr="00EC6C19">
        <w:rPr>
          <w:rFonts w:ascii="Times New Roman" w:hAnsi="Times New Roman" w:cs="Times New Roman"/>
          <w:sz w:val="24"/>
          <w:szCs w:val="24"/>
        </w:rPr>
        <w:fldChar w:fldCharType="separate"/>
      </w:r>
      <w:r w:rsidR="002053EF"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begin"/>
      </w:r>
      <w:r w:rsidR="00F61085" w:rsidRPr="00EC6C19">
        <w:rPr>
          <w:rFonts w:ascii="Times New Roman" w:hAnsi="Times New Roman" w:cs="Times New Roman"/>
          <w:sz w:val="24"/>
          <w:szCs w:val="24"/>
        </w:rPr>
        <w:instrText xml:space="preserve"> ADDIN ZOTERO_ITEM CSL_CITATION {"citationID":"SygSDhVf","properties":{"formattedCitation":"(Sch\\uc0\\u246{}mig et al., 2000)","plainCitation":"(Schömig et al., 2000)","dontUpdate":true,"noteIndex":0},"citationItems":[{"id":56,"uris":["http://zotero.org/users/local/k67tNDdX/items/QPPQ7EK5"],"uri":["http://zotero.org/users/local/k67tNDdX/items/QPPQ7EK5"],"itemData":{"id":56,"type":"article-journal","abstract":"BACKGROUND: Prevention of myocardial damage is the main goal of all reperfusion therapies in patients with acute myocardial infarction. The relative efficacy of various reperfusion strategies is under intensive investigation. We assessed whether coronary stenting combined with the blockade of platelet glycoprotein IIb/IIIa receptors produces a greater degree of myocardial salvage than fibrinolysis with an accelerated infusion of alteplase, a tissue plasminogen activator, in patients with acute myocardial infarction.\nMETHODS: A total of 140 patients were enrolled in the randomized trial; 71 were assigned to receive a stent plus abciximab, and 69 to receive intravenous alteplase. The primary end point was the degree of myocardial salvage, determined by means of serial scintigraphic studies with technetium Tc 99m sestamibi. The secondary end point was a composite of death, reinfarction, and stroke within six months after randomization.\nRESULTS: In the group that received a stent plus abciximab, the median size of the final infarct was 14.3 percent of the left ventricle (25th and 75th percentiles, 6.8 and 24.5 percent), as compared with a median of 19.4 percent (25th and 75th percentiles, 7.9 and 34.2 percent) in the alteplase group (P=0.02). This difference was due to the larger salvage index (the percentage of the left ventricle that was salvaged, divided by the percentage that was compromised by the initial perfusion defect) in the stent group: 0.57 (25th and 75th percentiles, 0.35 and 0.69), as compared with 0.26 (25th and 75th percentiles, 0.09 and 0.61; P&lt;0.001). The cumulative incidence of death, reinfarction, or stroke at six months was lower in the stent group than in the alteplase group (8.5 vs. 23.2 percent. P=0.02; relative risk, 0.34; 95 percent confidence interval, 0.13 to 0.88).\nCONCLUSIONS: In patients with acute myocardial infarction, coronary stenting plus abciximab leads to a greater degree of myocardial salvage and a better clinical outcome than does fibrinolysis with a tissue plasminogen activator.","container-title":"The New England Journal of Medicine","DOI":"10.1056/NEJM200008103430602","ISSN":"0028-4793","issue":"6","journalAbbreviation":"N. Engl. J. Med.","language":"eng","note":"PMID: 10933737","page":"385-391","source":"PubMed","title":"Coronary stenting plus platelet glycoprotein IIb/IIIa blockade compared with tissue plasminogen activator in acute myocardial infarction. Stent versus Thrombolysis for Occluded Coronary Arteries in Patients with Acute Myocardial Infarction Study Investigators","volume":"343","author":[{"family":"Schömig","given":"A."},{"family":"Kastrati","given":"A."},{"family":"Dirschinger","given":"J."},{"family":"Mehilli","given":"J."},{"family":"Schricke","given":"U."},{"family":"Pache","given":"J."},{"family":"Martinoff","given":"S."},{"family":"Neumann","given":"F. J."},{"family":"Schwaiger","given":"M."}],"issued":{"date-parts":[["2000",8,10]]}}}],"schema":"https://github.com/citation-style-language/schema/raw/master/csl-citation.json"} </w:instrText>
      </w:r>
      <w:r w:rsidR="00106A32" w:rsidRPr="00EC6C19">
        <w:rPr>
          <w:rFonts w:ascii="Times New Roman" w:hAnsi="Times New Roman" w:cs="Times New Roman"/>
          <w:sz w:val="24"/>
          <w:szCs w:val="24"/>
        </w:rPr>
        <w:fldChar w:fldCharType="separate"/>
      </w:r>
      <w:r w:rsidR="00F61085" w:rsidRPr="00EC6C19">
        <w:rPr>
          <w:rFonts w:ascii="Times New Roman" w:hAnsi="Times New Roman" w:cs="Times New Roman"/>
          <w:sz w:val="24"/>
          <w:szCs w:val="24"/>
        </w:rPr>
        <w:t>Schömig et al., 2000</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 xml:space="preserve">; </w:t>
      </w:r>
      <w:r w:rsidR="002053EF" w:rsidRPr="00EC6C19">
        <w:rPr>
          <w:rFonts w:ascii="Times New Roman" w:hAnsi="Times New Roman" w:cs="Times New Roman"/>
          <w:sz w:val="24"/>
          <w:szCs w:val="24"/>
        </w:rPr>
        <w:t>Le May et al</w:t>
      </w:r>
      <w:r w:rsidR="00B22321" w:rsidRPr="00EC6C19">
        <w:rPr>
          <w:rFonts w:ascii="Times New Roman" w:hAnsi="Times New Roman" w:cs="Times New Roman"/>
          <w:sz w:val="24"/>
          <w:szCs w:val="24"/>
        </w:rPr>
        <w:t>.</w:t>
      </w:r>
      <w:r w:rsidR="002053EF" w:rsidRPr="00EC6C19">
        <w:rPr>
          <w:rFonts w:ascii="Times New Roman" w:hAnsi="Times New Roman" w:cs="Times New Roman"/>
          <w:sz w:val="24"/>
          <w:szCs w:val="24"/>
        </w:rPr>
        <w:t>, 2001</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w:t>
      </w:r>
      <w:r w:rsidR="005C63B1"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{"citationID":"3GRI5yow","properties":{"formattedCitation":"(Busk et al., 2008)","plainCitation":"(Busk et al., 2008)","dontUpdate":true,"noteIndex":0},"citationItems":[{"id":58,"uris":["http://zotero.org/users/local/k67tNDdX/items/67DKSYB2"],"uri":["http://zotero.org/users/local/k67tNDdX/items/67DKSYB2"],"itemData":{"id":58,"type":"article-journal","abstract":"BACKGROUND: The DANAMI-2 trial showed that in patients with ST-elevation myocardial infarction (STEMI), a strategy of inter-hospital transfer for primary angioplasty was superior to on-site fibrinolysis at 30 days follow-up. This paper reports on the pre-specified long-term composite endpoint at 3 years follow-up in DANAMI-2.\nMETHODS AND RESULTS: We randomized 1572 patients with STEMI to primary angioplasty or intravenous alteplase; 1129 patients were enrolled at 24 referral hospitals and 443 patients at 5 angioplasty centres. Ninety-six percent of inter-hospital transfers for angioplasty were completed within 2 h. No patients were lost to follow-up. The composite endpoint (death, clinical re-infarction, or disabling stroke) was reduced by angioplasty when compared with fibrinolysis at 3 years (19.6 vs. 25.2%, P =0.006). For patients transferred to angioplasty compared with those receiving on-site fibrinolysis, the composite endpoint occurred in 20.1 vs. 26.7% (P = 0.007), death in 13.6 vs. 16.4% (P = 0.18), clinical re-infarction in 8.9 vs. 12.3% (P = 0.05), and disabling stroke in 3.2 vs. 4.7% (P = 0.23).\nCONCLUSION: The benefit of transfer for primary angioplasty based on the composite endpoint was sustained after 3 years. For patients with characteristics as those in DANAMI-2, primary angioplasty should be the preferred treatment strategy when inter-hospital transfer can be completed within 2 h.","container-title":"European Heart Journal","DOI":"10.1093/eurheartj/ehm392","ISSN":"1522-9645","issue":"10","journalAbbreviation":"Eur. Heart J.","language":"eng","note":"PMID: 17956874","page":"1259-1266","source":"PubMed","title":"The Danish multicentre randomized study of fibrinolytic therapy vs. primary angioplasty in acute myocardial infarction (the DANAMI-2 trial): outcome after 3 years follow-up","title-short":"The Danish multicentre randomized study of fibrinolytic therapy vs. primary angioplasty in acute myocardial infarction (the DANAMI-2 trial)","volume":"29","author":[{"family":"Busk","given":"Martin"},{"family":"Maeng","given":"Michael"},{"family":"Rasmussen","given":"Klaus"},{"family":"Kelbaek","given":"Henning"},{"family":"Thayssen","given":"Per"},{"family":"Abildgaard","given":"Ulrik"},{"family":"Vigholt","given":"Else"},{"family":"Mortensen","given":"Leif S."},{"family":"Thuesen","given":"Leif"},{"family":"Kristensen","given":"Steen D."},{"family":"Nielsen","given":"Torsten T."},{"family":"Andersen","given":"Henning R."},{"literal":"DANAMI-2 Investigators"}],"issued":{"date-parts":[["2008",5]]}}}],"schema":"https://github.com/citation-style-language/schema/raw/master/csl-citation.json"} </w:instrText>
      </w:r>
      <w:r w:rsidR="00106A32" w:rsidRPr="00EC6C19">
        <w:rPr>
          <w:rFonts w:ascii="Times New Roman" w:hAnsi="Times New Roman" w:cs="Times New Roman"/>
          <w:sz w:val="24"/>
          <w:szCs w:val="24"/>
        </w:rPr>
        <w:fldChar w:fldCharType="separate"/>
      </w:r>
      <w:r w:rsidR="002053EF" w:rsidRPr="00EC6C19">
        <w:rPr>
          <w:rFonts w:ascii="Times New Roman" w:hAnsi="Times New Roman" w:cs="Times New Roman"/>
          <w:sz w:val="24"/>
          <w:szCs w:val="24"/>
        </w:rPr>
        <w:t>Busk et al</w:t>
      </w:r>
      <w:r w:rsidR="00B22321" w:rsidRPr="00EC6C19">
        <w:rPr>
          <w:rFonts w:ascii="Times New Roman" w:hAnsi="Times New Roman" w:cs="Times New Roman"/>
          <w:sz w:val="24"/>
          <w:szCs w:val="24"/>
        </w:rPr>
        <w:t>.</w:t>
      </w:r>
      <w:r w:rsidR="002053EF" w:rsidRPr="00EC6C19">
        <w:rPr>
          <w:rFonts w:ascii="Times New Roman" w:hAnsi="Times New Roman" w:cs="Times New Roman"/>
          <w:sz w:val="24"/>
          <w:szCs w:val="24"/>
        </w:rPr>
        <w:t>, 2008)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7C281E" w:rsidRPr="00EC6C19">
        <w:rPr>
          <w:rFonts w:ascii="Times New Roman" w:hAnsi="Times New Roman" w:cs="Times New Roman"/>
          <w:sz w:val="24"/>
          <w:szCs w:val="24"/>
        </w:rPr>
        <w:t xml:space="preserve"> </w:t>
      </w:r>
      <w:r w:rsidR="005C63B1" w:rsidRPr="00EC6C19">
        <w:rPr>
          <w:rFonts w:ascii="Times New Roman" w:hAnsi="Times New Roman" w:cs="Times New Roman"/>
          <w:sz w:val="24"/>
          <w:szCs w:val="24"/>
        </w:rPr>
        <w:t>The main aim of treatment is reduction in infarct size, which has profound impacts on mortality and morbidity</w:t>
      </w:r>
      <w:r w:rsidR="002053EF"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{"citationID":"S02l1lJS","properties":{"formattedCitation":"(Stone et al., 2016b)","plainCitation":"(Stone et al., 2016b)","dontUpdate":true,"noteIndex":0},"citationItems":[{"id":206,"uris":["http://zotero.org/users/local/k67tNDdX/items/L8HANJS6"],"uri":["http://zotero.org/users/local/k67tNDdX/items/L8HANJS6"],"itemData":{"id":206,"type":"article-journal","abstract":"BACKGROUND: Prompt reperfusion in patients with ST-segment elevation myocardial infarction (STEMI) reduces infarct size and improves survival. However, the intuitive link between infarct size and prognosis has not been convincingly demonstrated in the contemporary era.\nOBJECTIVES: This study sought to determine the strength of the relationship between infarct size assessed early after primary percutaneous coronary intervention (PCI) in STEMI and subsequent all-cause mortality, reinfarction, and hospitalization for heart failure.\nMETHODS: We performed a pooled patient-level analysis from 10 randomized primary PCI trials (total 2,632 patients) in which infarct size was assessed within 1 month after randomization by either cardiac magnetic resonance (CMR) imaging or technetium-99m sestamibi single-photon emission computed tomography (SPECT), with clinical follow-up for ≥ 6 months.\nRESULTS: Infarct size was assessed by CMR in 1,889 patients (71.8%) and by SPECT in 743 patients (28.2%). Median (25th, 75th percentile) time to infarct size measurement was 4 days (3, 10 days) after STEMI. Median infarct size (% left ventricular myocardial mass) was 17.9% (8.0%, 29.8%), and median duration of clinical follow-up was 352 days (185, 371 days). The Kaplan-Meier estimated 1-year rates of all-cause mortality, reinfarction, and HF hospitalization were 2.2%, 2.5%, and 2.6%, respectively. A strong graded response was present between infarct size (per 5% increase) and subsequent mortality (Cox-adjusted hazard ratio: 1.19 [95% confidence interval: 1.18 to 1.20]; p &lt; 0.0001) and hospitalization for heart failure (adjusted hazard ratio: 1.20 [95% confidence interval: 1.19 to 1.21]; p &lt; 0.0001), independent of age, sex, diabetes, hypertension, hyperlipidemia, current smoking, left anterior descending versus non-left anterior descending infarct vessel, symptom-to-first device time, and baseline TIMI (Thrombolysis In Myocardial Infarction) flow 0/1 versus 2/3. Infarct size was not significantly related to subsequent reinfarction.\nCONCLUSIONS: Infarct size, measured by CMR or technetium-99m sestamibi SPECT within 1 month after primary PCI, is strongly associated with all-cause mortality and hospitalization for HF within 1 year. Infarct size may, therefore, be useful as an endpoint in clinical trials and as an important prognostic measure when caring for patients with STEMI.","container-title":"Journal of the American College of Cardiology","DOI":"10.1016/j.jacc.2016.01.069","ISSN":"1558-3597","issue":"14","journalAbbreviation":"J. Am. Coll. Cardiol.","language":"eng","note":"PMID: 27056772","page":"1674-1683","source":"PubMed","title":"Relationship Between Infarct Size and Outcomes Following Primary PCI: Patient-Level Analysis From 10 Randomized Trials","title-short":"Relationship Between Infarct Size and Outcomes Following Primary PCI","volume":"67","author":[{"family":"Stone","given":"Gregg W."},{"family":"Selker","given":"Harry P."},{"family":"Thiele","given":"Holger"},{"family":"Patel","given":"Manesh R."},{"family":"Udelson","given":"James E."},{"family":"Ohman","given":"E. Magnus"},{"family":"Maehara","given":"Akiko"},{"family":"Eitel","given":"Ingo"},{"family":"Granger","given":"Christopher B."},{"family":"Jenkins","given":"Paul L."},{"family":"Nichols","given":"Melissa"},{"family":"Ben-Yehuda","given":"Ori"}],"issued":{"date-parts":[["2016",4,12]]}}}],"schema":"https://github.com/citation-style-language/schema/raw/master/csl-citation.json"} </w:instrText>
      </w:r>
      <w:r w:rsidR="00106A32" w:rsidRPr="00EC6C19">
        <w:rPr>
          <w:rFonts w:ascii="Times New Roman" w:hAnsi="Times New Roman" w:cs="Times New Roman"/>
          <w:sz w:val="24"/>
          <w:szCs w:val="24"/>
        </w:rPr>
        <w:fldChar w:fldCharType="separate"/>
      </w:r>
      <w:r w:rsidR="002053EF"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begin"/>
      </w:r>
      <w:r w:rsidR="00F61085" w:rsidRPr="00EC6C19">
        <w:rPr>
          <w:rFonts w:ascii="Times New Roman" w:hAnsi="Times New Roman" w:cs="Times New Roman"/>
          <w:sz w:val="24"/>
          <w:szCs w:val="24"/>
        </w:rPr>
        <w:instrText xml:space="preserve"> ADDIN ZOTERO_ITEM CSL_CITATION {"citationID":"txOjD8ak","properties":{"formattedCitation":"(Sobel et al., 1972)","plainCitation":"(Sobel et al., 1972)","dontUpdate":true,"noteIndex":0},"citationItems":[{"id":208,"uris":["http://zotero.org/users/local/k67tNDdX/items/9BL6SP5C"],"uri":["http://zotero.org/users/local/k67tNDdX/items/9BL6SP5C"],"itemData":{"id":208,"type":"article-journal","container-title":"Circulation","ISSN":"0009-7322","issue":"4","journalAbbreviation":"Circulation","language":"eng","note":"PMID: 5072765","page":"640-648","source":"PubMed","title":"Estimation of infarct size in man and its relation to prognosis","volume":"46","author":[{"family":"Sobel","given":"B. E."},{"family":"Bresnahan","given":"G. F."},{"family":"Shell","given":"W. E."},{"family":"Yoder","given":"R. D."}],"issued":{"date-parts":[["1972",10]]}}}],"schema":"https://github.com/citation-style-language/schema/raw/master/csl-citation.json"} </w:instrText>
      </w:r>
      <w:r w:rsidR="00106A32" w:rsidRPr="00EC6C19">
        <w:rPr>
          <w:rFonts w:ascii="Times New Roman" w:hAnsi="Times New Roman" w:cs="Times New Roman"/>
          <w:sz w:val="24"/>
          <w:szCs w:val="24"/>
        </w:rPr>
        <w:fldChar w:fldCharType="separate"/>
      </w:r>
      <w:r w:rsidR="00F61085" w:rsidRPr="00EC6C19">
        <w:rPr>
          <w:rFonts w:ascii="Times New Roman" w:hAnsi="Times New Roman" w:cs="Times New Roman"/>
          <w:sz w:val="24"/>
          <w:szCs w:val="24"/>
        </w:rPr>
        <w:t>Sobel et al., 1972</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 xml:space="preserve">; </w:t>
      </w:r>
      <w:r w:rsidR="002053EF" w:rsidRPr="00EC6C19">
        <w:rPr>
          <w:rFonts w:ascii="Times New Roman" w:hAnsi="Times New Roman" w:cs="Times New Roman"/>
          <w:sz w:val="24"/>
          <w:szCs w:val="24"/>
        </w:rPr>
        <w:t>Stone et al</w:t>
      </w:r>
      <w:r w:rsidR="00B22321" w:rsidRPr="00EC6C19">
        <w:rPr>
          <w:rFonts w:ascii="Times New Roman" w:hAnsi="Times New Roman" w:cs="Times New Roman"/>
          <w:sz w:val="24"/>
          <w:szCs w:val="24"/>
        </w:rPr>
        <w:t>.</w:t>
      </w:r>
      <w:r w:rsidR="002053EF" w:rsidRPr="00EC6C19">
        <w:rPr>
          <w:rFonts w:ascii="Times New Roman" w:hAnsi="Times New Roman" w:cs="Times New Roman"/>
          <w:sz w:val="24"/>
          <w:szCs w:val="24"/>
        </w:rPr>
        <w:t>, 2016</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w:t>
      </w:r>
    </w:p>
    <w:p w14:paraId="481E09CF" w14:textId="0AC9AC36" w:rsidR="00586518" w:rsidRPr="00EC6C19" w:rsidRDefault="000074E2" w:rsidP="00586518">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The most serious presentation is with cardiac arrest, caused by ventricular arrhythmia as a consequence of myocardial ischaemia. These patients are at higher risk of mortality</w:t>
      </w:r>
      <w:r w:rsidR="002053EF"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{"citationID":"tQ9IOVJ9","properties":{"formattedCitation":"(Demirel et al., 2015)","plainCitation":"(Demirel et al., 2015)","dontUpdate":true,"noteIndex":0},"citationItems":[{"id":213,"uris":["http://zotero.org/users/local/k67tNDdX/items/B573L38M"],"uri":["http://zotero.org/users/local/k67tNDdX/items/B573L38M"],"itemData":{"id":213,"type":"article-journal","abstract":"OBJECTIVE: Pre-hospital life-threatening ventricular tachycardia/fibrillation (VT/VF) is relatively common in the acute phase of ST-elevation myocardial infarction (STEMI). We evaluated the prognostic impact of out-of-hospital cardiac arrest (OHCA) due to VT/VF in non-selected patients with STEMI admitted for primary percutaneous coronary intervention (PCI).\nMETHODS: Prospective hospital registry was used to collect data of consecutive STEMI patients admitted to our hospital between 2005 and 2010. Patients with OHCA were identified from this registry, and their medical records were reviewed.\nRESULTS: During the study period, 4653 patients were admitted with STEMI. Data regarding OHCA due to VT/VF was available in 4643 patients (99.8%). A total of 326 patients (7.0%) had OHCA due to VT/VF. Patients with OHCA were younger (60.3 ± 11.8 vs. 64.1 ± 12.9 year, p&lt;0.001), less often had diabetes (5.2% vs. 12.4%, p&lt;0.001) but more often presented with signs of heart failure (Killip class &gt;1:17.5% vs. 7.7%, p&lt;0.001) and cardiogenic shock (29.6% vs. 2.5%, p&lt;0.001). Coronary angiography was performed in 97.5% of the patients. Coronary angiography and primary PCI were performed equally in both groups. In patients with OHCA, the left main artery (2.3% vs. 1.0%, p=0.04) and LAD (49.2% vs. 41.2%, p=0.01) were more often the culprit artery. In-hospital mortality was significantly higher among patients with OHCA (13.80% vs. 3.4%, p&lt;0.001). However, in patients who were discharged alive from the hospital, the one-year mortality and the combined incidence of death and appropriate ICD therapy were similar in patients with and without OHCA.\nCONCLUSION: In a large non-selected STEMI patient population admitted for primary PCI, OHCA due to VT/VF was associated with higher in-hospital mortality but did not affect the long-term prognosis.","container-title":"European Heart Journal. Acute Cardiovascular Care","DOI":"10.1177/2048872614547448","ISSN":"2048-8734","issue":"1","journalAbbreviation":"Eur Heart J Acute Cardiovasc Care","language":"eng","note":"PMID: 25114328","page":"16-23","source":"PubMed","title":"Impact of out-of-hospital cardiac arrest due to ventricular fibrillation in patients with ST-elevation myocardial infarction admitted for primary percutaneous coronary intervention: Impact of ventricular fibrillation in STEMI patients","title-short":"Impact of out-of-hospital cardiac arrest due to ventricular fibrillation in patients with ST-elevation myocardial infarction admitted for primary percutaneous coronary intervention","volume":"4","author":[{"family":"Demirel","given":"Fatma"},{"family":"Rasoul","given":"Saman"},{"family":"Elvan","given":"Arif"},{"family":"Ottervanger","given":"Jan Paul"},{"family":"Dambrink","given":"Jan-Henk E."},{"family":"Gosselink","given":"A. T. Marcel"},{"family":"Hoorntje","given":"Jan C. A."},{"family":"Ramdat Misier","given":"Anand R."},{"family":"Hof","given":"Arnoud W. J.","non-dropping-particle":"van 't"}],"issued":{"date-parts":[["2015",2]]}}}],"schema":"https://github.com/citation-style-language/schema/raw/master/csl-citation.json"} </w:instrText>
      </w:r>
      <w:r w:rsidR="00106A32" w:rsidRPr="00EC6C19">
        <w:rPr>
          <w:rFonts w:ascii="Times New Roman" w:hAnsi="Times New Roman" w:cs="Times New Roman"/>
          <w:sz w:val="24"/>
          <w:szCs w:val="24"/>
        </w:rPr>
        <w:fldChar w:fldCharType="separate"/>
      </w:r>
      <w:r w:rsidR="00844DC4"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begin"/>
      </w:r>
      <w:r w:rsidR="00B22321" w:rsidRPr="00EC6C19">
        <w:rPr>
          <w:rFonts w:ascii="Times New Roman" w:hAnsi="Times New Roman" w:cs="Times New Roman"/>
          <w:sz w:val="24"/>
          <w:szCs w:val="24"/>
        </w:rPr>
        <w:instrText xml:space="preserve"> ADDIN ZOTERO_ITEM CSL_CITATION {"citationID":"nly6rgrg","properties":{"formattedCitation":"(Siudak et al., 2012)","plainCitation":"(Siudak et al., 2012)","dontUpdate":true,"noteIndex":0},"citationItems":[{"id":215,"uris":["http://zotero.org/users/local/k67tNDdX/items/4HE5W5LR"],"uri":["http://zotero.org/users/local/k67tNDdX/items/4HE5W5LR"],"itemData":{"id":215,"type":"article-journal","abstract":"OBJECTIVES: Our aim was to describe long-term outcome of OHCA patients in a cohort of STEMI patients treated by primary PCI based on the EUROTRANSFER Registry data.\nBACKGROUND: The occurrence of cardiac arrest is associated with impaired survival. There are limited number of studies reporting outcome of STEMI patients with out-of-hospital cardiac arrest (OHCA) treated by primary percutaneous coronary intervention (PCI). The recently published resuscitation guidelines of the European Resuscitation Council (ERC) support immediate angiography/PCI or fibrinolysis in these patients in order to improve survival.\nMETHODS: Consecutive data on 1650 STEMI patients, transferred for primary PCI in hospital STEMI networks between November 2005 and January 2007 from 7 countries in Europe were gathered. Patients were divided into two groups: OHCA group - 42 patients and no OHCA group - 1608 patients.\nRESULTS: Baseline demographics, clinical characteristic on admission to cathlab and past medical history were similar in both groups. Cardiogenic shock on admission or acute heart failure defined as Killip 3+4 was more frequently observed in OHCA group. The in-hospital mortality was similar, however, 1-year mortality was 19.1% in the OHCA group vs 8.1% in no OHCA group (p=0.011) and remained significant after exclusion of patients in cardiogenic shock on admission.\nCONCLUSIONS: STEMI patients treated with primary PCI with out-of-hospital cardiac arrest have higher long-term mortality than no OHCA patients. However, resuscitation prior to cathlab admission is not an independent predictor of long-term adverse outcome. No differences in in-hospital mortality were noticed.","container-title":"Resuscitation","DOI":"10.1016/j.resuscitation.2011.09.007","ISSN":"1873-1570","issue":"3","journalAbbreviation":"Resuscitation","language":"eng","note":"PMID: 21958931","page":"303-306","source":"PubMed","title":"Out-of-hospital cardiac arrest in patients treated with primary PCI for STEMI. Long-term follow up data from EUROTRANSFER registry","volume":"83","author":[{"family":"Siudak","given":"Zbigniew"},{"family":"Birkemeyer","given":"Ralf"},{"family":"Dziewierz","given":"Artur"},{"family":"Rakowski","given":"Tomasz"},{"family":"Zmudka","given":"Krzysztof"},{"family":"Dubiel","given":"Jacek S."},{"family":"Dudek","given":"Dariusz"}],"issued":{"date-parts":[["2012",3]]}}}],"schema":"https://github.com/citation-style-language/schema/raw/master/csl-citation.json"} </w:instrText>
      </w:r>
      <w:r w:rsidR="00106A32" w:rsidRPr="00EC6C19">
        <w:rPr>
          <w:rFonts w:ascii="Times New Roman" w:hAnsi="Times New Roman" w:cs="Times New Roman"/>
          <w:sz w:val="24"/>
          <w:szCs w:val="24"/>
        </w:rPr>
        <w:fldChar w:fldCharType="separate"/>
      </w:r>
      <w:r w:rsidR="00B22321" w:rsidRPr="00EC6C19">
        <w:rPr>
          <w:rFonts w:ascii="Times New Roman" w:hAnsi="Times New Roman" w:cs="Times New Roman"/>
          <w:sz w:val="24"/>
          <w:szCs w:val="24"/>
        </w:rPr>
        <w:t>Siudak et al., 2012</w:t>
      </w:r>
      <w:r w:rsidR="00106A32" w:rsidRPr="00EC6C19">
        <w:rPr>
          <w:rFonts w:ascii="Times New Roman" w:hAnsi="Times New Roman" w:cs="Times New Roman"/>
          <w:sz w:val="24"/>
          <w:szCs w:val="24"/>
        </w:rPr>
        <w:fldChar w:fldCharType="end"/>
      </w:r>
      <w:r w:rsidR="00B22321" w:rsidRPr="00EC6C19">
        <w:rPr>
          <w:rFonts w:ascii="Times New Roman" w:hAnsi="Times New Roman" w:cs="Times New Roman"/>
          <w:sz w:val="24"/>
          <w:szCs w:val="24"/>
        </w:rPr>
        <w:t xml:space="preserve">; </w:t>
      </w:r>
      <w:r w:rsidR="00844DC4" w:rsidRPr="00EC6C19">
        <w:rPr>
          <w:rFonts w:ascii="Times New Roman" w:hAnsi="Times New Roman" w:cs="Times New Roman"/>
          <w:sz w:val="24"/>
          <w:szCs w:val="24"/>
        </w:rPr>
        <w:t>Demirel et al</w:t>
      </w:r>
      <w:r w:rsidR="00B22321" w:rsidRPr="00EC6C19">
        <w:rPr>
          <w:rFonts w:ascii="Times New Roman" w:hAnsi="Times New Roman" w:cs="Times New Roman"/>
          <w:sz w:val="24"/>
          <w:szCs w:val="24"/>
        </w:rPr>
        <w:t>.</w:t>
      </w:r>
      <w:r w:rsidR="00844DC4" w:rsidRPr="00EC6C19">
        <w:rPr>
          <w:rFonts w:ascii="Times New Roman" w:hAnsi="Times New Roman" w:cs="Times New Roman"/>
          <w:sz w:val="24"/>
          <w:szCs w:val="24"/>
        </w:rPr>
        <w:t>, 2015</w:t>
      </w:r>
      <w:r w:rsidR="00106A32" w:rsidRPr="00EC6C19">
        <w:rPr>
          <w:rFonts w:ascii="Times New Roman" w:hAnsi="Times New Roman" w:cs="Times New Roman"/>
          <w:sz w:val="24"/>
          <w:szCs w:val="24"/>
        </w:rPr>
        <w:fldChar w:fldCharType="end"/>
      </w:r>
      <w:r w:rsidR="00B22321" w:rsidRPr="00EC6C19">
        <w:rPr>
          <w:rFonts w:ascii="Times New Roman" w:hAnsi="Times New Roman" w:cs="Times New Roman"/>
          <w:sz w:val="24"/>
          <w:szCs w:val="24"/>
        </w:rPr>
        <w:t>;</w:t>
      </w:r>
      <w:r w:rsidR="00425BED"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{"citationID":"77p3Wvji","properties":{"formattedCitation":"(Kvakkestad et al., 2018)","plainCitation":"(Kvakkestad et al., 2018)","dontUpdate":true,"noteIndex":0},"citationItems":[{"id":217,"uris":["http://zotero.org/users/local/k67tNDdX/items/58JZC38T"],"uri":["http://zotero.org/users/local/k67tNDdX/items/58JZC38T"],"itemData":{"id":217,"type":"article-journal","container-title":"Resuscitation","DOI":"10.1016/j.resuscitation.2017.11.047","ISSN":"0300-9572, 1873-1570","journalAbbreviation":"Resuscitation","language":"English","note":"PMID: 29155294","page":"41-47","source":"www.resuscitationjournal.com","title":"Long-term survival in patients with acute myocardial infarction and out-of-hospital cardiac arrest: A prospective cohort study","title-short":"Long-term survival in patients with acute myocardial infarction and out-of-hospital cardiac arrest","volume":"122","author":[{"family":"Kvakkestad","given":"Kristin M."},{"family":"Sandvik","given":"Leiv"},{"family":"Andersen","given":"Geir Øystein"},{"family":"Sunde","given":"Kjetil"},{"family":"Halvorsen","given":"Sigrun"}],"issued":{"date-parts":[["2018",1,1]]}}}],"schema":"https://github.com/citation-style-language/schema/raw/master/csl-citation.json"} </w:instrText>
      </w:r>
      <w:r w:rsidR="00106A32" w:rsidRPr="00EC6C19">
        <w:rPr>
          <w:rFonts w:ascii="Times New Roman" w:hAnsi="Times New Roman" w:cs="Times New Roman"/>
          <w:sz w:val="24"/>
          <w:szCs w:val="24"/>
        </w:rPr>
        <w:fldChar w:fldCharType="separate"/>
      </w:r>
      <w:r w:rsidR="00844DC4" w:rsidRPr="00EC6C19">
        <w:rPr>
          <w:rFonts w:ascii="Times New Roman" w:hAnsi="Times New Roman" w:cs="Times New Roman"/>
          <w:sz w:val="24"/>
          <w:szCs w:val="24"/>
        </w:rPr>
        <w:t>Kvakkestad et al</w:t>
      </w:r>
      <w:r w:rsidR="00B22321" w:rsidRPr="00EC6C19">
        <w:rPr>
          <w:rFonts w:ascii="Times New Roman" w:hAnsi="Times New Roman" w:cs="Times New Roman"/>
          <w:sz w:val="24"/>
          <w:szCs w:val="24"/>
        </w:rPr>
        <w:t>.</w:t>
      </w:r>
      <w:r w:rsidR="00844DC4" w:rsidRPr="00EC6C19">
        <w:rPr>
          <w:rFonts w:ascii="Times New Roman" w:hAnsi="Times New Roman" w:cs="Times New Roman"/>
          <w:sz w:val="24"/>
          <w:szCs w:val="24"/>
        </w:rPr>
        <w:t>,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should they reach hospital, of which a high proportion</w:t>
      </w:r>
      <w:r w:rsidR="00EF7AED" w:rsidRPr="00EC6C19">
        <w:rPr>
          <w:rFonts w:ascii="Times New Roman" w:hAnsi="Times New Roman" w:cs="Times New Roman"/>
          <w:sz w:val="24"/>
          <w:szCs w:val="24"/>
        </w:rPr>
        <w:t xml:space="preserve"> (approx</w:t>
      </w:r>
      <w:r w:rsidR="00543B67">
        <w:rPr>
          <w:rFonts w:ascii="Times New Roman" w:hAnsi="Times New Roman" w:cs="Times New Roman"/>
          <w:sz w:val="24"/>
          <w:szCs w:val="24"/>
        </w:rPr>
        <w:t>imately</w:t>
      </w:r>
      <w:r w:rsidR="00EF7AED" w:rsidRPr="00EC6C19">
        <w:rPr>
          <w:rFonts w:ascii="Times New Roman" w:hAnsi="Times New Roman" w:cs="Times New Roman"/>
          <w:sz w:val="24"/>
          <w:szCs w:val="24"/>
        </w:rPr>
        <w:t xml:space="preserve"> 75%)</w:t>
      </w:r>
      <w:r w:rsidRPr="00EC6C19">
        <w:rPr>
          <w:rFonts w:ascii="Times New Roman" w:hAnsi="Times New Roman" w:cs="Times New Roman"/>
          <w:sz w:val="24"/>
          <w:szCs w:val="24"/>
        </w:rPr>
        <w:t xml:space="preserve"> unfortunately do not</w:t>
      </w:r>
      <w:r w:rsidR="00844DC4"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{"citationID":"AHUw1MWK","properties":{"formattedCitation":"(Perkins and Cooke, 2012)","plainCitation":"(Perkins and Cooke, 2012)","noteIndex":0},"citationItems":[{"id":221,"uris":["http://zotero.org/users/local/k67tNDdX/items/SKUGWF3I"],"uri":["http://zotero.org/users/local/k67tNDdX/items/SKUGWF3I"],"itemData":{"id":221,"type":"article-journal","abstract":"It is estimated that approximately 60 000 out-of-hospital cardiac arrests (OHCA) occur in the UK each year.1 2 Resuscitation is attempted by emergency medical services (EMS) in &lt;50% of cases, with non-resuscitation decisions being undertaken according to national guidance.3 The Ambulance Service Association first noted variability in outcomes from cardiac arrest between 2004 and 2006 with return of spontaneous circulation rates ranging from 10% to 25%.1 Recent data from the Scottish and London Ambulance Service confirm similar variability in survival to discharge rates of 1%4 and 8% respectively.5\n\nAs part of the focus on improving quality of care, the Department of Health for England introduced survival from cardiac arrest as part of the Ambulance Service National Quality Indicator set in April 2011. Return of spontaneous circulation and survival to hospital discharge rates are reported for all patients who have resuscitation (advanced or basic life support) started/continued by an NHS ambulance service after an out-of-hospital cardiac arrest.6 The first results were published in September 2011 and are summarised in figure 1. Incidence data are not reported, however, as a surrogate measure comparing the number of cardiac arrests with total number of category A 999 calls shows more than threefold differences between services (range 5.2–17.6 per 1000 category A 999 calls). Survival rates similarly show 3–5 fold variability (13.3–26.7% for return of spontaneous circulation upon arrival at the emergency department and 2.2–12% for survival to discharge). This variability …","container-title":"Emerg Med J","DOI":"10.1136/emermed-2011-200758","ISSN":"1472-0205, 1472-0213","issue":"1","journalAbbreviation":"Emerg Med J","language":"en","note":"PMID: 22045608","page":"3-5","source":"emj.bmj.com","title":"Variability in cardiac arrest survival: the NHS Ambulance Service Quality Indicators","title-short":"Variability in cardiac arrest survival","volume":"29","author":[{"family":"Perkins","given":"Gavin D."},{"family":"Cooke","given":"Matthew W."}],"issued":{"date-parts":[["2012",1,1]]}}}],"schema":"https://github.com/citation-style-language/schema/raw/master/csl-citation.json"}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(Perkins and Cooke, 2012)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EF7AED" w:rsidRPr="00EC6C19">
        <w:rPr>
          <w:rFonts w:ascii="Times New Roman" w:hAnsi="Times New Roman" w:cs="Times New Roman"/>
          <w:sz w:val="24"/>
          <w:szCs w:val="24"/>
        </w:rPr>
        <w:t xml:space="preserve"> Survival to discharge is 5-8% from out of hospital cardiac arrests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{"citationID":"xPO0P7RN","properties":{"formattedCitation":"(Perkins and Cooke, 2012)","plainCitation":"(Perkins and Cooke, 2012)","dontUpdate":true,"noteIndex":0},"citationItems":[{"id":221,"uris":["http://zotero.org/users/local/k67tNDdX/items/SKUGWF3I"],"uri":["http://zotero.org/users/local/k67tNDdX/items/SKUGWF3I"],"itemData":{"id":221,"type":"article-journal","abstract":"It is estimated that approximately 60 000 out-of-hospital cardiac arrests (OHCA) occur in the UK each year.1 2 Resuscitation is attempted by emergency medical services (EMS) in &lt;50% of cases, with non-resuscitation decisions being undertaken according to national guidance.3 The Ambulance Service Association first noted variability in outcomes from cardiac arrest between 2004 and 2006 with return of spontaneous circulation rates ranging from 10% to 25%.1 Recent data from the Scottish and London Ambulance Service confirm similar variability in survival to discharge rates of 1%4 and 8% respectively.5\n\nAs part of the focus on improving quality of care, the Department of Health for England introduced survival from cardiac arrest as part of the Ambulance Service National Quality Indicator set in April 2011. Return of spontaneous circulation and survival to hospital discharge rates are reported for all patients who have resuscitation (advanced or basic life support) started/continued by an NHS ambulance service after an out-of-hospital cardiac arrest.6 The first results were published in September 2011 and are summarised in figure 1. Incidence data are not reported, however, as a surrogate measure comparing the number of cardiac arrests with total number of category A 999 calls shows more than threefold differences between services (range 5.2–17.6 per 1000 category A 999 calls). Survival rates similarly show 3–5 fold variability (13.3–26.7% for return of spontaneous circulation upon arrival at the emergency department and 2.2–12% for survival to discharge). This variability …","container-title":"Emerg Med J","DOI":"10.1136/emermed-2011-200758","ISSN":"1472-0205, 1472-0213","issue":"1","journalAbbreviation":"Emerg Med J","language":"en","note":"PMID: 22045608","page":"3-5","source":"emj.bmj.com","title":"Variability in cardiac arrest survival: the NHS Ambulance Service Quality Indicators","title-short":"Variability in cardiac arrest survival","volume":"29","author":[{"family":"Perkins","given":"Gavin D."},{"family":"Cooke","given":"Matthew W."}],"issued":{"date-parts":[["2012",1,1]]}}}],"schema":"https://github.com/citation-style-language/schema/raw/master/csl-citation.json"} </w:instrText>
      </w:r>
      <w:r w:rsidR="00106A32" w:rsidRPr="00EC6C19">
        <w:rPr>
          <w:rFonts w:ascii="Times New Roman" w:hAnsi="Times New Roman" w:cs="Times New Roman"/>
          <w:sz w:val="24"/>
          <w:szCs w:val="24"/>
        </w:rPr>
        <w:fldChar w:fldCharType="separate"/>
      </w:r>
      <w:r w:rsidR="00844DC4"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begin"/>
      </w:r>
      <w:r w:rsidR="00F61085" w:rsidRPr="00EC6C19">
        <w:rPr>
          <w:rFonts w:ascii="Times New Roman" w:hAnsi="Times New Roman" w:cs="Times New Roman"/>
          <w:sz w:val="24"/>
          <w:szCs w:val="24"/>
        </w:rPr>
        <w:instrText xml:space="preserve"> ADDIN ZOTERO_ITEM CSL_CITATION {"citationID":"9xNvZ0OD","properties":{"formattedCitation":"(Nichol et al., 2008)","plainCitation":"(Nichol et al., 2008)","dontUpdate":true,"noteIndex":0},"citationItems":[{"id":222,"uris":["http://zotero.org/users/local/k67tNDdX/items/KYDM7YZ2"],"uri":["http://zotero.org/users/local/k67tNDdX/items/KYDM7YZ2"],"itemData":{"id":222,"type":"article-journal","abstract":"CONTEXT: The health and policy implications of regional variation in incidence and outcome of out-of-hospital cardiac arrest remain to be determined.\nOBJECTIVE: To evaluate whether cardiac arrest incidence and outcome differ across geographic regions.\nDESIGN, SETTING, AND PATIENTS: Prospective observational study (the Resuscitation Outcomes Consortium) of all out-of-hospital cardiac arrests in 10 North American sites (8 US and 2 Canadian) from May 1, 2006, to April 30, 2007, followed up to hospital discharge, and including data available as of June 28, 2008. Cases (aged 0-108 years) were assessed by organized emergency medical services (EMS) personnel, did not have traumatic injury, and received attempts at external defibrillation or chest compressions or resuscitation was not attempted. Census data were used to determine rates adjusted for age and sex.\nMAIN OUTCOME MEASURES: Incidence rate, mortality rate, case-fatality rate, and survival to discharge for patients assessed or treated by EMS personnel or with an initial rhythm of ventricular fibrillation.\nRESULTS: Among the 10 sites, the total catchment population was 21.4 million, and there were 20,520 cardiac arrests. A total of 11,898 (58.0%) had resuscitation attempted; 2729 (22.9% of treated) had initial rhythm of ventricular fibrillation or ventricular tachycardia or rhythms that were shockable by an automated external defibrillator; and 954 (4.6% of total) were discharged alive. The median incidence of EMS-treated cardiac arrest across sites was 52.1 (interquartile range [IQR], 48.0-70.1) per 100,000 population; survival ranged from 3.0% to 16.3%, with a median of 8.4% (IQR, 5.4%-10.4%). Median ventricular fibrillation incidence was 12.6 (IQR, 10.6-5.2) per 100,000 population; survival ranged from 7.7% to 39.9%, with a median of 22.0% (IQR, 15.0%-24.4%), with significant differences across sites for incidence and survival (P&lt;.001).\nCONCLUSION: In this study involving 10 geographic regions in North America, there were significant and important regional differences in out-of-hospital cardiac arrest incidence and outcome.","container-title":"JAMA","DOI":"10.1001/jama.300.12.1423","ISSN":"1538-3598","issue":"12","journalAbbreviation":"JAMA","language":"eng","note":"PMID: 18812533\nPMCID: PMC3187919","page":"1423-1431","source":"PubMed","title":"Regional variation in out-of-hospital cardiac arrest incidence and outcome","volume":"300","author":[{"family":"Nichol","given":"Graham"},{"family":"Thomas","given":"Elizabeth"},{"family":"Callaway","given":"Clifton W."},{"family":"Hedges","given":"Jerris"},{"family":"Powell","given":"Judy L."},{"family":"Aufderheide","given":"Tom P."},{"family":"Rea","given":"Tom"},{"family":"Lowe","given":"Robert"},{"family":"Brown","given":"Todd"},{"family":"Dreyer","given":"John"},{"family":"Davis","given":"Dan"},{"family":"Idris","given":"Ahamed"},{"family":"Stiell","given":"Ian"},{"literal":"Resuscitation Outcomes Consortium Investigators"}],"issued":{"date-parts":[["2008",9,24]]}}}],"schema":"https://github.com/citation-style-language/schema/raw/master/csl-citation.json"} </w:instrText>
      </w:r>
      <w:r w:rsidR="00106A32" w:rsidRPr="00EC6C19">
        <w:rPr>
          <w:rFonts w:ascii="Times New Roman" w:hAnsi="Times New Roman" w:cs="Times New Roman"/>
          <w:sz w:val="24"/>
          <w:szCs w:val="24"/>
        </w:rPr>
        <w:fldChar w:fldCharType="separate"/>
      </w:r>
      <w:r w:rsidR="00F61085" w:rsidRPr="00EC6C19">
        <w:rPr>
          <w:rFonts w:ascii="Times New Roman" w:hAnsi="Times New Roman" w:cs="Times New Roman"/>
          <w:sz w:val="24"/>
          <w:szCs w:val="24"/>
        </w:rPr>
        <w:t>Nichol et al., 2008</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 xml:space="preserve">; </w:t>
      </w:r>
      <w:r w:rsidR="00844DC4" w:rsidRPr="00EC6C19">
        <w:rPr>
          <w:rFonts w:ascii="Times New Roman" w:hAnsi="Times New Roman" w:cs="Times New Roman"/>
          <w:sz w:val="24"/>
          <w:szCs w:val="24"/>
        </w:rPr>
        <w:t>Perkins and Cooke, 2012</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w:t>
      </w:r>
    </w:p>
    <w:p w14:paraId="436B37E5" w14:textId="7777777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The time to reperfusion holds prognostic value, with data showing reperfusion within two hours is important for left ventricular recovery and survival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{"citationID":"NdeKfwnc","properties":{"formattedCitation":"(Brodie et al., 1998)","plainCitation":"(Brodie et al., 1998)","noteIndex":0},"citationItems":[{"id":419,"uris":["http://zotero.org/users/local/k67tNDdX/items/BPM4QRWR"],"uri":["http://zotero.org/users/local/k67tNDdX/items/BPM4QRWR"],"itemData":{"id":419,"type":"article-journal","abstract":"OBJECTIVES: The purpose of this study was to evaluate the importance of time to reperfusion for outcomes after primary angioplasty for acute myocardial infarction.\nBACKGROUND: Survival benefit of thrombolytic therapy for acute myocardial infarction is strongly dependent on time to treatment. Recent observations suggest that time to treatment may be less important for survival with primary angioplasty.\nMETHODS: Consecutive patients (n=1,352) with acute myocardial infarction treated with primary angioplasty were followed for up to 13 years. Paired acute and follow-up ejection fraction data were obtained at cardiac catheterization in 606 patients.\nRESULTS: Reperfusion was achieved within 2 h in 164 patients (12%). Thirty-day mortality was lowest with early reperfusion (4.3% at &lt;2 h vs. 9.2% at &gt; or = 2 h, p=0.04) and was relatively independent of time to reperfusion after 2 h (9.0% at 2 to 4 h, 9.3% at 4 to 6 h, 9.5% at &gt;6 h). Thirty-day-plus late cardiac mortality was also lowest with early reperfusion (9.1% at &lt;2 h vs. 16.3% at &gt; or = 2 h, p=0.02) and relatively independent at time to reperfusion after 2 h (16.4% at 2 to 4 h, 16.9% at 4 to 6 h, 15.6% at &gt;6 h). Improvement in left ventricular ejection fraction was greatest in the early reperfusion group and relatively modest after 2 h (6.9% at &lt;2 h vs. 3.1% at &gt; or =2 h, p=0.007).\nCONCLUSIONS: Time to reperfusion, up to 2 h, is important for survival and recovery of left ventricular function. After 2 h, recovery of left ventricular function is modest and survival is relatively independent of time to reperfusion. These data suggest that factors other than myocardial salvage may be responsible for survival benefit in patients treated with primary angioplasty after 2 h.","container-title":"Journal of the American College of Cardiology","ISSN":"0735-1097","issue":"5","journalAbbreviation":"J. Am. Coll. Cardiol.","language":"eng","note":"PMID: 9809941","page":"1312-1319","source":"PubMed","title":"Importance of time to reperfusion for 30-day and late survival and recovery of left ventricular function after primary angioplasty for acute myocardial infarction","volume":"32","author":[{"family":"Brodie","given":"B. R."},{"family":"Stuckey","given":"T. D."},{"family":"Wall","given":"T. C."},{"family":"Kissling","given":"G."},{"family":"Hansen","given":"C. J."},{"family":"Muncy","given":"D. B."},{"family":"Weintraub","given":"R. A."},{"family":"Kelly","given":"T. A."}],"issued":{"date-parts":[["1998",11]]}}}],"schema":"https://github.com/citation-style-language/schema/raw/master/csl-citation.json"} </w:instrText>
      </w:r>
      <w:r w:rsidR="00106A32" w:rsidRPr="00EC6C19">
        <w:rPr>
          <w:rFonts w:ascii="Times New Roman" w:hAnsi="Times New Roman" w:cs="Times New Roman"/>
          <w:sz w:val="24"/>
          <w:szCs w:val="24"/>
        </w:rPr>
        <w:fldChar w:fldCharType="separate"/>
      </w:r>
      <w:r w:rsidR="00B22321" w:rsidRPr="00EC6C19">
        <w:rPr>
          <w:rFonts w:ascii="Times New Roman" w:hAnsi="Times New Roman" w:cs="Times New Roman"/>
          <w:sz w:val="24"/>
          <w:szCs w:val="24"/>
        </w:rPr>
        <w:t>(Brodie et al.</w:t>
      </w:r>
      <w:r w:rsidRPr="00EC6C19">
        <w:rPr>
          <w:rFonts w:ascii="Times New Roman" w:hAnsi="Times New Roman" w:cs="Times New Roman"/>
          <w:sz w:val="24"/>
          <w:szCs w:val="24"/>
        </w:rPr>
        <w:t>, 1998)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Before primary </w:t>
      </w:r>
      <w:r w:rsidRPr="00EC6C19">
        <w:rPr>
          <w:rFonts w:ascii="Times New Roman" w:hAnsi="Times New Roman" w:cs="Times New Roman"/>
          <w:sz w:val="24"/>
          <w:szCs w:val="24"/>
        </w:rPr>
        <w:lastRenderedPageBreak/>
        <w:t xml:space="preserve">angioplasty, thrombolysis was shown to provide a clear survival advantage for patient suffering with STEMI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{"citationID":"9QUpU28g","properties":{"formattedCitation":"(Indications for fibrinolytic therapy in suspected acute myocardial infarction: collaborative overview of early mortality and major morbidity results from all randomised trials of more than 1000 patients. Fibrinolytic Therapy Trialists\\uc0\\u8217{} (FTT) Collaborative Group, 1994)","plainCitation":"(Indications for fibrinolytic therapy in suspected acute myocardial infarction: collaborative overview of early mortality and major morbidity results from all randomised trials of more than 1000 patients. Fibrinolytic Therapy Trialists’ (FTT) Collaborative Group, 1994)","noteIndex":0},"citationItems":[{"id":421,"uris":["http://zotero.org/users/local/k67tNDdX/items/MRKS734G"],"uri":["http://zotero.org/users/local/k67tNDdX/items/MRKS734G"],"itemData":{"id":421,"type":"article-journal","abstract":"Large randomised trials have demonstrated that fibrinolytic therapy can reduce mortality in patients with suspected acute myocardial infarction (AMI). The indications for, and contraindications to, this treatment in some categories of patient are disputed, examples being late presentation, elderly patients, and those in cardiogenic shock. This overview aims to help resolve some of the remaining uncertainties. From all trials of fibrinolytic therapy versus control that randomised more than 1000 patients with suspected AMI, information was sought and checked on deaths during the first 5 weeks and on major adverse events occurring during hospitalisation. The nine trials included 58,600 patients, among whom 6177 (10.5%) deaths, 564 (1.0%) strokes, and 436 (0.7%) major non-cerebral bleeds were reported. Fibrinolytic therapy was associated with an excess of deaths during days 0-1 (especially among patients presenting more than 12 h after symptom onset, and in the elderly) but this was outweighed by a much larger benefit during days 2-35. This \"early hazard\" should not obscure the very clear overall survival advantage that is produced by fibrinolytic therapy. Benefit was observed among patients presenting with ST elevation or bundle-branch block (BBB)--irrespective of age, sex, blood pressure, heart rate, or previous history of myocardial infarction or diabetes--and was greater the earlier treatment began. Among the 45,000 patients presenting with ST elevation or BBB the relation between benefit and delay from symptom onset indicated highly significant absolute mortality reductions of about 30 per 1000 for those presenting within 0-6 h and of about 20 per 1000 for those presenting 7-12 h from onset, and a statistically uncertain benefit of about 10 per 1000 for those presenting at 13-18 h (with more randomised evidence needed in this latter group to assess reliably the net effects of treatment). Fibrinolytic therapy was associated with about 4 extra strokes per 1000 during days 0-1: of these, 2 were associated with early death and so were already accounted for in the overall mortality reduction, 1 was moderately or severely disabling, and 1 was not. This overview indicates that fibrinolytic therapy is beneficial in a much wider range of patients than is currently given such treatment routinely.","container-title":"Lancet (London, England)","ISSN":"0140-6736","issue":"8893","journalAbbreviation":"Lancet","language":"eng","note":"PMID: 7905143","page":"311-322","source":"PubMed","title":"Indications for fibrinolytic therapy in suspected acute myocardial infarction: collaborative overview of early mortality and major morbidity results from all randomised trials of more than 1000 patients. Fibrinolytic Therapy Trialists' (FTT) Collaborative Group","title-short":"Indications for fibrinolytic therapy in suspected acute myocardial infarction","volume":"343","issued":{"date-parts":[["1994",2,5]]}}}],"schema":"https://github.com/citation-style-language/schema/raw/master/csl-citation.json"}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(Indications for fibrinolytic therapy in suspected acute myocardial infarction: collaborative overview of early mortality and major morbidity results from all randomised trials of more than 1000 patients. Fibrinolytic Therapy Trialists’ (FTT) Collaborative Group, 1994)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There was an early hazard associated with thrombolysis use within the first 24 hours, which was vastly outweighed by the survival benefit thereafter.</w:t>
      </w:r>
    </w:p>
    <w:p w14:paraId="034C230A" w14:textId="7777777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Currently, the preferred method of reperfusion is Primary PCI (PPCI) and this has replaced thrombolysis in areas where tertiary cardiac centres are accessible within 30 minutes to an hour. Early trials showed improved outcomes when using PPCI compared to thrombolysis, leading to a reduction in mortality and re-infarction, as well as intracranial haemorrhage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{"citationID":"bp2ky8CG","properties":{"formattedCitation":"(Grines et al., 1993)","plainCitation":"(Grines et al., 1993)","dontUpdate":true,"noteIndex":0},"citationItems":[{"id":425,"uris":["http://zotero.org/users/local/k67tNDdX/items/C333KSRC"],"uri":["http://zotero.org/users/local/k67tNDdX/items/C333KSRC"],"itemData":{"id":425,"type":"article-journal","abstract":"BACKGROUND: The success of thrombolytic therapy for acute myocardial infarction is limited by bleeding complications, the impossibility of reperfusing all occluded coronary arteries, recurrent myocardial ischemia, and the relatively small number of patients who are appropriate candidates for this therapy. We hypothesized that these problems could be overcome by the use of immediate percutaneous transluminal coronary angioplasty (PTCA), without previous thrombolytic therapy.\nMETHODS: At 12 clinical centers, 395 patients who presented within 12 hours of the onset of myocardial infarction were treated with intravenous heparin and aspirin and then randomly assigned to undergo immediate PTCA (without previous thrombolytic therapy, 195 patients) or to receive intravenous tissue plasminogen activator (t-PA, 200 patients) followed by conservative care. Radionuclide ventriculography was performed to assess ventricular function within 24 hours and at six weeks.\nRESULTS: Among the patients randomly assigned to PTCA, 90 percent underwent the procedure; the success rate was 97 percent, and no patient required emergency coronary-artery bypass surgery. The in-hospital mortality rates in the t-PA and PTCA groups were 6.5 and 2.6 percent, respectively (P = 0.06). In a post hoc analysis, the mortality rates in the subgroups classified as \"not low risk\" were 10.4 and 2.0 percent, respectively (P = 0.01). Reinfarction or death in the hospital occurred in 12.0 percent of the patients treated with t-PA and 5.1 percent of those treated with PTCA (P = 0.02). Intracranial bleeding occurred more frequently among patients who received t-PA than among those who underwent PTCA (2.0 vs. 0 percent, P = 0.05). The mean (+/- SD) ejection fractions at rest (53 +/- 13 vs. 53 +/- 13 percent) and during exercise (56 +/- 13 vs. 56 +/- 14 percent) were similar in the t-PA and PTCA groups at six weeks. By six months, reinfarction or death had occurred in 32 patients who received t-PA (16.8 percent) and 16 treated with PTCA (8.5 percent, P = 0.02).\nCONCLUSIONS: As compared with t-PA therapy for acute myocardial infarction, immediate PTCA reduced the combined occurrence of nonfatal reinfarction or death, was associated with a lower rate of intracranial hemorrhage, and resulted in similar left ventricular systolic function.","container-title":"The New England Journal of Medicine","DOI":"10.1056/NEJM199303113281001","ISSN":"0028-4793","issue":"10","journalAbbreviation":"N. Engl. J. Med.","language":"eng","note":"PMID: 8433725","page":"673-679","source":"PubMed","title":"A comparison of immediate angioplasty with thrombolytic therapy for acute myocardial infarction. The Primary Angioplasty in Myocardial Infarction Study Group","volume":"328","author":[{"family":"Grines","given":"C. L."},{"family":"Browne","given":"K. F."},{"family":"Marco","given":"J."},{"family":"Rothbaum","given":"D."},{"family":"Stone","given":"G. W."},{"family":"O'Keefe","given":"J."},{"family":"Overlie","given":"P."},{"family":"Donohue","given":"B."},{"family":"Chelliah","given":"N."},{"family":"Timmis","given":"G. C."}],"issued":{"date-parts":[["1993",3,11]]}}}],"schema":"https://github.com/citation-style-language/schema/raw/master/csl-citation.json"}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(Grines et al</w:t>
      </w:r>
      <w:r w:rsidR="00B22321" w:rsidRPr="00EC6C19">
        <w:rPr>
          <w:rFonts w:ascii="Times New Roman" w:hAnsi="Times New Roman" w:cs="Times New Roman"/>
          <w:sz w:val="24"/>
          <w:szCs w:val="24"/>
        </w:rPr>
        <w:t>.</w:t>
      </w:r>
      <w:r w:rsidRPr="00EC6C19">
        <w:rPr>
          <w:rFonts w:ascii="Times New Roman" w:hAnsi="Times New Roman" w:cs="Times New Roman"/>
          <w:sz w:val="24"/>
          <w:szCs w:val="24"/>
        </w:rPr>
        <w:t>, 1993)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Similar trials at the time demonstrated improved vessel patency at follow-up and higher left ventricular (LV) ejection fractions (EF)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{"citationID":"hVLVkz3Y","properties":{"formattedCitation":"(Zijlstra et al., 1993)","plainCitation":"(Zijlstra et al., 1993)","dontUpdate":true,"noteIndex":0},"citationItems":[{"id":427,"uris":["http://zotero.org/users/local/k67tNDdX/items/29GLNHJD"],"uri":["http://zotero.org/users/local/k67tNDdX/items/29GLNHJD"],"itemData":{"id":427,"type":"article-journal","abstract":"BACKGROUND: Despite the widespread use of intravenous thrombolytic therapy and of immediate percutaneous transluminal coronary angioplasty for the treatment of acute myocardial infarction, randomized comparisons of the two approaches to reperfusion are lacking. We report the results of a prospective, randomized trial comparing immediate coronary angioplasty (without previous thrombolytic therapy) with intravenous streptokinase treatment.\nMETHODS: A total of 142 patients with acute myocardial infarction were randomly assigned to receive one of the two treatments. The left ventricular ejection fraction was measured by radionuclide scanning before hospital discharge. Quantitative coronary angiography was performed to assess the degree of residual stenosis in the infarct-related arteries.\nRESULTS: A total of 72 patients were assigned to receive streptokinase and 70 patients to undergo immediate angioplasty. Angioplasty was technically successful in 64 of the 65 patients who underwent the procedure. Infarction recurred in nine patients assigned to receive streptokinase, but in none of those assigned to receive angioplasty (P = 0.003). Fourteen patients in the streptokinase group had unstable angina after their infarction, but only four in the angioplasty group (P = 0.02). The mean (+/- SD) left ventricular ejection fraction as measured before discharge was 45 +/- 12 percent in the streptokinase group and 51 +/- 11 percent in the angioplasty group (P = 0.004). The infarct-related artery was patent in 68 percent of the patients in the streptokinase group and 91 percent of those in the angioplasty group (P = 0.001). Quantitative coronary angiography revealed stenosis of 36 +/- 20 percent of the luminal diameter in the angioplasty group, as compared with 76 +/- 19 percent in the streptokinase group (P &lt; 0.001).\nCONCLUSIONS: Immediate angioplasty after acute myocardial infarction was associated with a higher rate of patency of the infarct-related artery, a less severe residual stenotic lesion, better left ventricular function, and less recurrent myocardial ischemia and infarction than was intravenous streptokinase.","container-title":"The New England Journal of Medicine","DOI":"10.1056/NEJM199303113281002","ISSN":"0028-4793","issue":"10","journalAbbreviation":"N. Engl. J. Med.","language":"eng","note":"PMID: 8433726","page":"680-684","source":"PubMed","title":"A comparison of immediate coronary angioplasty with intravenous streptokinase in acute myocardial infarction","volume":"328","author":[{"family":"Zijlstra","given":"F."},{"family":"Boer","given":"M. J.","non-dropping-particle":"de"},{"family":"Hoorntje","given":"J. C."},{"family":"Reiffers","given":"S."},{"family":"Reiber","given":"J. H."},{"family":"Suryapranata","given":"H."}],"issued":{"date-parts":[["1993",3,11]]}}}],"schema":"https://github.com/citation-style-language/schema/raw/master/csl-citation.json"}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(Zijlstra et al</w:t>
      </w:r>
      <w:r w:rsidR="00B22321" w:rsidRPr="00EC6C19">
        <w:rPr>
          <w:rFonts w:ascii="Times New Roman" w:hAnsi="Times New Roman" w:cs="Times New Roman"/>
          <w:sz w:val="24"/>
          <w:szCs w:val="24"/>
        </w:rPr>
        <w:t>.</w:t>
      </w:r>
      <w:r w:rsidRPr="00EC6C19">
        <w:rPr>
          <w:rFonts w:ascii="Times New Roman" w:hAnsi="Times New Roman" w:cs="Times New Roman"/>
          <w:sz w:val="24"/>
          <w:szCs w:val="24"/>
        </w:rPr>
        <w:t>, 1993)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1AE8D7C1" w14:textId="13DFBB26"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Two randomised controlled trials comparing PCI and thrombolysis followed in 1997 with Gusto IIb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{"citationID":"Zw5ADvtt","properties":{"formattedCitation":"(Global Use of Strategies to Open Occluded Coronary Arteries in Acute Coronary Syndromes (GUSTO IIb) Angioplasty Substudy Investigators, 1997)","plainCitation":"(Global Use of Strategies to Open Occluded Coronary Arteries in Acute Coronary Syndromes (GUSTO IIb) Angioplasty Substudy Investigators, 1997)","noteIndex":0},"citationItems":[{"id":429,"uris":["http://zotero.org/users/local/k67tNDdX/items/N8HVSVDK"],"uri":["http://zotero.org/users/local/k67tNDdX/items/N8HVSVDK"],"itemData":{"id":429,"type":"article-journal","abstract":"BACKGROUND: Among physicians who treat patients with acute myocardial infarction, there is controversy about the magnitude of the clinical benefit of primary (i.e., immediate) coronary angioplasty as compared with thrombolytic therapy.\nMETHODS: As part of the Global Use of Strategies to Open Occluded Coronary Arteries in Acute Coronary Syndromes (GUSTO IIb) trial, we randomly assigned, 1138 patients from 57 hospitals who presented within 12 hours of acute myocardial infarction (with ST-segment elevation on the electrocardiogram) to primary angioplasty or accelerated thrombolytic therapy with recombinant tissue plasminogen activator (t-PA). We also randomly assigned 1012 patients to heparin or hirudin treatment in a factorial design. The primary study end point was a composite outcome of death, nonfatal reinfarction, and nonfatal disabling stroke at 30 days.\nRESULTS: The incidence of the primary end point in the angioplasty and t-PA groups was 9.6 percent and 13.7 percent, respectively (odds ratio, 0.67; 95 percent confidence interval, 0.47 to 0.97; P = 0.033). Death occurred in 5.7 percent of the patients assigned to angioplasty and 7.0 percent of those assigned to t-PA (P=0.37), reinfarction in 4.5 percent and 6.5 percent (P=0.13), and disabling stroke in 0.2 percent and 0.9 percent (P=0.11). At six months, there was no significant difference in the incidence of the composite outcome (13.3 percent vs. 15.7 percent, P not significant) [corrected]. The primary end point was observed in 10.6 percent of the patients in the angioplasty group assigned to heparin and 8.2 percent of those assigned to hirudin (P=0.37).\nCONCLUSIONS: This trial suggests that angioplasty provides a small-to-moderate, short-term clinical advantage over thrombolytic therapy with t-PA. Primary angioplasty, when it can be accomplished promptly at experienced centers, should be considered an excellent alternative method for myocardial reperfusion.","container-title":"The New England Journal of Medicine","DOI":"10.1056/NEJM199706053362301","ISSN":"0028-4793","issue":"23","journalAbbreviation":"N. Engl. J. Med.","language":"eng","note":"PMID: 9173270","page":"1621-1628","source":"PubMed","title":"A clinical trial comparing primary coronary angioplasty with tissue plasminogen activator for acute myocardial infarction","volume":"336","author":[{"literal":"Global Use of Strategies to Open Occluded Coronary Arteries in Acute Coronary Syndromes (GUSTO IIb) Angioplasty Substudy Investigators"}],"issued":{"date-parts":[["1997"]],"season":"05"}}}],"schema":"https://github.com/citation-style-language/schema/raw/master/csl-citation.json"}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(Global Use of Strategies to Open Occluded Coronary Arteries in Acute Coronary Syndromes (GUSTO IIb) Angioplasty Substudy Investigators, 1997)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and 2003 with DANAMI-2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{"citationID":"P9SoT75p","properties":{"formattedCitation":"(Andersen et al., 2003)","plainCitation":"(Andersen et al., 2003)","dontUpdate":true,"noteIndex":0},"citationItems":[{"id":431,"uris":["http://zotero.org/users/local/k67tNDdX/items/A3H6LDBI"],"uri":["http://zotero.org/users/local/k67tNDdX/items/A3H6LDBI"],"itemData":{"id":431,"type":"article-journal","abstract":"BACKGROUND: For the treatment of myocardial infarction with ST-segment elevation, primary angioplasty is considered superior to fibrinolysis for patients who are admitted to hospitals with angioplasty facilities. Whether this benefit is maintained for patients who require transportation from a community hospital to a center where invasive treatment is available is uncertain.\nMETHODS: We randomly assigned 1572 patients with acute myocardial infarction to treatment with angioplasty or accelerated treatment with intravenous alteplase; 1129 patients were enrolled at 24 referral hospitals and 443 patients at 5 invasive-treatment centers. The primary study end point was a composite of death, clinical evidence of reinfarction, or disabling stroke at 30 days.\nRESULTS: Among patients who underwent randomization at referral hospitals, the primary end point was reached in 8.5 percent of the patients in the angioplasty group, as compared with 14.2 percent of those in the fibrinolysis group (P=0.002). The results were similar among patients who were enrolled at invasive-treatment centers: 6.7 percent of the patients in the angioplasty group reached the primary end point, as compared with 12.3 percent in the fibrinolysis group (P=0.05). Among all patients, the better outcome after angioplasty was driven primarily by a reduction in the rate of reinfarction (1.6 percent in the angioplasty group vs. 6.3 percent in the fibrinolysis group, P&lt;0.001); no significant differences were observed in the rate of death (6.6 percent vs. 7.8 percent, P=0.35) or the rate of stroke (1.1 percent vs. 2.0 percent, P=0.15). Ninety-six percent of patients were transferred from referral hospitals to an invasive-treatment center within two hours.\nCONCLUSIONS: A strategy for reperfusion involving the transfer of patients to an invasive-treatment center for primary angioplasty is superior to on-site fibrinolysis, provided that the transfer takes two hours or less.","container-title":"The New England Journal of Medicine","DOI":"10.1056/NEJMoa025142","ISSN":"1533-4406","issue":"8","journalAbbreviation":"N. Engl. J. Med.","language":"eng","note":"PMID: 12930925","page":"733-742","source":"PubMed","title":"A comparison of coronary angioplasty with fibrinolytic therapy in acute myocardial infarction","volume":"349","author":[{"family":"Andersen","given":"Henning R."},{"family":"Nielsen","given":"Torsten T."},{"family":"Rasmussen","given":"Klaus"},{"family":"Thuesen","given":"Leif"},{"family":"Kelbaek","given":"Henning"},{"family":"Thayssen","given":"Per"},{"family":"Abildgaard","given":"Ulrik"},{"family":"Pedersen","given":"Flemming"},{"family":"Madsen","given":"Jan K."},{"family":"Grande","given":"Peer"},{"family":"Villadsen","given":"Anton B."},{"family":"Krusell","given":"Lars R."},{"family":"Haghfelt","given":"Torben"},{"family":"Lomholt","given":"Preben"},{"family":"Husted","given":"Steen E."},{"family":"Vigholt","given":"Else"},{"family":"Kjaergard","given":"Henrik K."},{"family":"Mortensen","given":"Leif Spange"},{"literal":"DANAMI-2 Investigators"}],"issued":{"date-parts":[["2003",8,21]]}}}],"schema":"https://github.com/citation-style-language/schema/raw/master/csl-citation.json"}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(Andersen et al</w:t>
      </w:r>
      <w:r w:rsidR="00B22321" w:rsidRPr="00EC6C19">
        <w:rPr>
          <w:rFonts w:ascii="Times New Roman" w:hAnsi="Times New Roman" w:cs="Times New Roman"/>
          <w:sz w:val="24"/>
          <w:szCs w:val="24"/>
        </w:rPr>
        <w:t>.</w:t>
      </w:r>
      <w:r w:rsidRPr="00EC6C19">
        <w:rPr>
          <w:rFonts w:ascii="Times New Roman" w:hAnsi="Times New Roman" w:cs="Times New Roman"/>
          <w:sz w:val="24"/>
          <w:szCs w:val="24"/>
        </w:rPr>
        <w:t>, 2003)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Gusto IIb demonstrated a significant difference favouring PCI in the composite endpoint of death, non-fatal myocardial infarction and non-fatal stroke in 1138 patients presenting within 12 hours for treatment. DANAMI-2 further supported the use of PCI in STEMI with a reduction in the composite endpoint of death, stroke and re-infarction. The composite endpoint was largely driven by much lower re-infarction rates in the PCI group, with no significant difference in mortality or stroke. The benefit was still seen after 8 years of with regards to the primary endpoint, however subsequent analysis showed mortality was also reduced in the PCI arm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{"citationID":"PLgBX2MJ","properties":{"formattedCitation":"(Andersen et al., 2003)","plainCitation":"(Andersen et al., 2003)","noteIndex":0},"citationItems":[{"id":431,"uris":["http://zotero.org/users/local/k67tNDdX/items/A3H6LDBI"],"uri":["http://zotero.org/users/local/k67tNDdX/items/A3H6LDBI"],"itemData":{"id":431,"type":"article-journal","abstract":"BACKGROUND: For the treatment of myocardial infarction with ST-segment elevation, primary angioplasty is considered superior to fibrinolysis for patients who are admitted to hospitals with angioplasty facilities. Whether this benefit is maintained for patients who require transportation from a community hospital to a center where invasive treatment is available is uncertain.\nMETHODS: We randomly assigned 1572 patients with acute myocardial infarction to treatment with angioplasty or accelerated treatment with intravenous alteplase; 1129 patients were enrolled at 24 referral hospitals and 443 patients at 5 invasive-treatment centers. The primary study end point was a composite of death, clinical evidence of reinfarction, or disabling stroke at 30 days.\nRESULTS: Among patients who underwent randomization at referral hospitals, the primary end point was reached in 8.5 percent of the patients in the angioplasty group, as compared with 14.2 percent of those in the fibrinolysis group (P=0.002). The results were similar among patients who were enrolled at invasive-treatment centers: 6.7 percent of the patients in the angioplasty group reached the primary end point, as compared with 12.3 percent in the fibrinolysis group (P=0.05). Among all patients, the better outcome after angioplasty was driven primarily by a reduction in the rate of reinfarction (1.6 percent in the angioplasty group vs. 6.3 percent in the fibrinolysis group, P&lt;0.001); no significant differences were observed in the rate of death (6.6 percent vs. 7.8 percent, P=0.35) or the rate of stroke (1.1 percent vs. 2.0 percent, P=0.15). Ninety-six percent of patients were transferred from referral hospitals to an invasive-treatment center within two hours.\nCONCLUSIONS: A strategy for reperfusion involving the transfer of patients to an invasive-treatment center for primary angioplasty is superior to on-site fibrinolysis, provided that the transfer takes two hours or less.","container-title":"The New England Journal of Medicine","DOI":"10.1056/NEJMoa025142","ISSN":"1533-4406","issue":"8","journalAbbreviation":"N. Engl. J. Med.","language":"eng","note":"PMID: 12930925","page":"733-742","source":"PubMed","title":"A comparison of coronary angioplasty with fibrinolytic therapy in acute myocardial infarction","volume":"349","author":[{"family":"Andersen","given":"Henning R."},{"family":"Nielsen","given":"Torsten T."},{"family":"Rasmussen","given":"Klaus"},{"family":"Thuesen","given":"Leif"},{"family":"Kelbaek","given":"Henning"},{"family":"Thayssen","given":"Per"},{"family":"Abildgaard","given":"Ulrik"},{"family":"Pedersen","given":"Flemming"},{"family":"Madsen","given":"Jan K."},{"family":"Grande","given":"Peer"},{"family":"Villadsen","given":"Anton B."},{"family":"Krusell","given":"Lars R."},{"family":"Haghfelt","given":"Torben"},{"family":"Lomholt","given":"Preben"},{"family":"Husted","given":"Steen E."},{"family":"Vigholt","given":"Else"},{"family":"Kjaergard","given":"Henrik K."},{"family":"Mortensen","given":"Leif Spange"},{"literal":"DANAMI-2 Investigators"}],"issued":{"date-parts":[["2003",8,21]]}}}],"schema":"https://github.com/citation-style-language/schema/raw/master/csl-citation.json"} </w:instrText>
      </w:r>
      <w:r w:rsidR="00106A32" w:rsidRPr="00EC6C19">
        <w:rPr>
          <w:rFonts w:ascii="Times New Roman" w:hAnsi="Times New Roman" w:cs="Times New Roman"/>
          <w:sz w:val="24"/>
          <w:szCs w:val="24"/>
        </w:rPr>
        <w:fldChar w:fldCharType="separate"/>
      </w:r>
      <w:r w:rsidR="00B22321" w:rsidRPr="00EC6C19">
        <w:rPr>
          <w:rFonts w:ascii="Times New Roman" w:hAnsi="Times New Roman" w:cs="Times New Roman"/>
          <w:sz w:val="24"/>
          <w:szCs w:val="24"/>
        </w:rPr>
        <w:t>(Andersen et al.</w:t>
      </w:r>
      <w:r w:rsidRPr="00EC6C19">
        <w:rPr>
          <w:rFonts w:ascii="Times New Roman" w:hAnsi="Times New Roman" w:cs="Times New Roman"/>
          <w:sz w:val="24"/>
          <w:szCs w:val="24"/>
        </w:rPr>
        <w:t>, 2003)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p>
    <w:p w14:paraId="71A9C587" w14:textId="37BB196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A review of 23 trials comparing thrombolysis to angioplasty, totalling 7739 patients showed again superiority favouring angioplasty with lower mortality, re-infarction and stroke, independent of the thrombolytic agent used, which was maintained over long term follow-up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{"citationID":"c10q7Uhl","properties":{"formattedCitation":"(Keeley, Boura and Grines, 2003)","plainCitation":"(Keeley, Boura and Grines, 2003)","noteIndex":0},"citationItems":[{"id":433,"uris":["http://zotero.org/users/local/k67tNDdX/items/IE553CYD"],"uri":["http://zotero.org/users/local/k67tNDdX/items/IE553CYD"],"itemData":{"id":433,"type":"article-journal","abstract":"&lt;h2&gt;Summary&lt;/h2&gt;&lt;h3&gt;Background&lt;/h3&gt;&lt;p&gt;Many trials have been done to compare primary percutaneous transluminal coronary angioplasty (PTCA) with thrombolytic therapy for acute ST-segment elevation myocardial infarction (AMI). Our aim was to look at the combined results of these trials and to ascertain which reperfusion therapy is most effective.&lt;/p&gt;&lt;h3&gt;Methods&lt;/h3&gt;&lt;p&gt;We did a search of published work and identified 23 trials, which together randomly assigned 7739 thrombolytic-eligible patients with ST-segment elevation AMI to primary PTCA (n=3872) or thrombolytic therapy (n=3867). Streptokinase was used in eight trials (n=1837), and fibrin-specific agents in 15 (n=5902). Most patients who received thrombolytic therapy (76%, n=2939) received a fibrin-specific agent. Stents were used in 12 trials, and platelet glycoprotein IIb/IIIa inhibitors were used in eight. We identified short-term and long-term clinical outcomes of death, non-fatal reinfarction, and stroke, and did subgroup analyses to assess the effect of type of thrombolytic agent used and the strategy of emergent hospital transfer for primary PTCA. All analyses were done with and without inclusion of the SHOCK trial data.&lt;/p&gt;&lt;h3&gt;Findings&lt;/h3&gt;&lt;p&gt;Primary PTCA was better than thrombolytic therapy at reducing overall short-term death (7% [n=270] &lt;i&gt;vs&lt;/i&gt; 9% [360]; p=0·0002), death excluding the SHOCK trial data (5% [199] &lt;i&gt;vs&lt;/i&gt; 7% [276]; p=0·0003), non-fatal reinfarction (3% [80] &lt;i&gt;vs&lt;/i&gt; 7% [222]; p&lt;0·0001), stroke (1% [30] &lt;i&gt;vs&lt;/i&gt; 2% [64]; p=0·0004), and the combined endpoint of death, non-fatal reinfarction, and stroke (8% [253] &lt;i&gt;vs&lt;/i&gt; 14% [442]; p&lt;0·0001). The results seen with primary PTCA remained better than those seen with thrombolytic therapy during long-term follow-up, and were independent of both the type of thrombolytic agent used, and whether or not the patient was transferred for primary PTCA.&lt;/p&gt;&lt;h3&gt;Interpretation&lt;/h3&gt;&lt;p&gt;Primary PTCA is more effective than thrombolytic therapy for the treatment of ST-segment elevation AMI.&lt;/p&gt;","container-title":"The Lancet","DOI":"10.1016/S0140-6736(03)12113-7","ISSN":"0140-6736, 1474-547X","issue":"9351","journalAbbreviation":"The Lancet","language":"English","note":"PMID: 12517460, 12517460","page":"13-20","source":"www.thelancet.com","title":"Primary angioplasty versus intravenous thrombolytic therapy for acute myocardial infarction: a quantitative review of 23 randomised trials","title-short":"Primary angioplasty versus intravenous thrombolytic therapy for acute myocardial infarction","volume":"361","author":[{"family":"Keeley","given":"Ellen C."},{"family":"Boura","given":"Judith A."},{"family":"Grines","given":"Cindy L."}],"issued":{"date-parts":[["2003",1,4]]}}}],"schema":"https://github.com/citation-style-language/schema/raw/master/csl-citation.json"}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(Keeley, Boura and Grines, 2003)</w:t>
      </w:r>
      <w:r w:rsidR="00106A32" w:rsidRPr="00EC6C19">
        <w:rPr>
          <w:rFonts w:ascii="Times New Roman" w:hAnsi="Times New Roman" w:cs="Times New Roman"/>
          <w:sz w:val="24"/>
          <w:szCs w:val="24"/>
        </w:rPr>
        <w:fldChar w:fldCharType="end"/>
      </w:r>
      <w:r w:rsidR="00543B67">
        <w:rPr>
          <w:rFonts w:ascii="Times New Roman" w:hAnsi="Times New Roman" w:cs="Times New Roman"/>
          <w:sz w:val="24"/>
          <w:szCs w:val="24"/>
        </w:rPr>
        <w:t>.</w:t>
      </w:r>
    </w:p>
    <w:p w14:paraId="190BC8A7" w14:textId="77777777" w:rsidR="00C5021F" w:rsidRPr="00EC6C19" w:rsidRDefault="00C5021F" w:rsidP="00586518">
      <w:pPr>
        <w:spacing w:line="360" w:lineRule="auto"/>
        <w:rPr>
          <w:rFonts w:ascii="Times New Roman" w:hAnsi="Times New Roman" w:cs="Times New Roman"/>
          <w:sz w:val="24"/>
          <w:szCs w:val="24"/>
        </w:rPr>
      </w:pPr>
    </w:p>
    <w:p w14:paraId="741D64D7" w14:textId="77777777" w:rsidR="00586518" w:rsidRDefault="00C54823" w:rsidP="00DB2C7E">
      <w:pPr>
        <w:pStyle w:val="Heading3"/>
        <w:spacing w:line="360" w:lineRule="auto"/>
        <w:rPr>
          <w:rFonts w:ascii="Times New Roman" w:hAnsi="Times New Roman" w:cs="Times New Roman"/>
          <w:b w:val="0"/>
          <w:i/>
          <w:color w:val="auto"/>
          <w:sz w:val="24"/>
          <w:szCs w:val="24"/>
        </w:rPr>
      </w:pPr>
      <w:bookmarkStart w:id="11" w:name="_Toc80302157"/>
      <w:r>
        <w:rPr>
          <w:rFonts w:ascii="Times New Roman" w:hAnsi="Times New Roman" w:cs="Times New Roman"/>
          <w:b w:val="0"/>
          <w:i/>
          <w:color w:val="auto"/>
          <w:sz w:val="24"/>
          <w:szCs w:val="24"/>
        </w:rPr>
        <w:lastRenderedPageBreak/>
        <w:t xml:space="preserve">1.1.2 - </w:t>
      </w:r>
      <w:r w:rsidR="00586518" w:rsidRPr="00DB2C7E">
        <w:rPr>
          <w:rFonts w:ascii="Times New Roman" w:hAnsi="Times New Roman" w:cs="Times New Roman"/>
          <w:b w:val="0"/>
          <w:i/>
          <w:color w:val="auto"/>
          <w:sz w:val="24"/>
          <w:szCs w:val="24"/>
        </w:rPr>
        <w:t>Non-ST Elevation Myocardial Infarction and Unstable Angina</w:t>
      </w:r>
      <w:bookmarkEnd w:id="11"/>
    </w:p>
    <w:p w14:paraId="26B27276" w14:textId="77777777" w:rsidR="00DB2C7E" w:rsidRPr="00DB2C7E" w:rsidRDefault="00DB2C7E" w:rsidP="00DB2C7E"/>
    <w:p w14:paraId="26AD155E" w14:textId="77777777" w:rsidR="007C281E" w:rsidRPr="00EC6C19" w:rsidRDefault="00ED02BA" w:rsidP="00543B67">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NSTEMI represent a</w:t>
      </w:r>
      <w:r w:rsidR="00BF354A" w:rsidRPr="00EC6C19">
        <w:rPr>
          <w:rFonts w:ascii="Times New Roman" w:hAnsi="Times New Roman" w:cs="Times New Roman"/>
          <w:sz w:val="24"/>
          <w:szCs w:val="24"/>
        </w:rPr>
        <w:t xml:space="preserve"> group with</w:t>
      </w:r>
      <w:r w:rsidRPr="00EC6C19">
        <w:rPr>
          <w:rFonts w:ascii="Times New Roman" w:hAnsi="Times New Roman" w:cs="Times New Roman"/>
          <w:sz w:val="24"/>
          <w:szCs w:val="24"/>
        </w:rPr>
        <w:t xml:space="preserve"> vuln</w:t>
      </w:r>
      <w:r w:rsidR="00BF354A" w:rsidRPr="00EC6C19">
        <w:rPr>
          <w:rFonts w:ascii="Times New Roman" w:hAnsi="Times New Roman" w:cs="Times New Roman"/>
          <w:sz w:val="24"/>
          <w:szCs w:val="24"/>
        </w:rPr>
        <w:t>erable coronary plaques which have caused partial or total vessel occlusion</w:t>
      </w:r>
      <w:r w:rsidRPr="00EC6C19">
        <w:rPr>
          <w:rFonts w:ascii="Times New Roman" w:hAnsi="Times New Roman" w:cs="Times New Roman"/>
          <w:sz w:val="24"/>
          <w:szCs w:val="24"/>
        </w:rPr>
        <w:t>. Blood has usually s</w:t>
      </w:r>
      <w:r w:rsidR="00BF354A" w:rsidRPr="00EC6C19">
        <w:rPr>
          <w:rFonts w:ascii="Times New Roman" w:hAnsi="Times New Roman" w:cs="Times New Roman"/>
          <w:sz w:val="24"/>
          <w:szCs w:val="24"/>
        </w:rPr>
        <w:t xml:space="preserve">pontaneously been restored by the time of presentation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{"citationID":"mv7mArpw","properties":{"formattedCitation":"(Kumar and Cannon, 2009)","plainCitation":"(Kumar and Cannon, 2009)","noteIndex":0},"citationItems":[{"id":227,"uris":["http://zotero.org/users/local/k67tNDdX/items/XB6KKES6"],"uri":["http://zotero.org/users/local/k67tNDdX/items/XB6KKES6"],"itemData":{"id":227,"type":"article-journal","abstract":"The term acute coronary syndrome (ACS) refers to any group of clinical symptoms compatible with acute myocardial ischemia and includes unstable angina (UA), non—ST-segment elevation myocardial infarction (NSTEMI), and ST-segment elevation myocardial infarction (STEMI). These high-risk manifestations of coronary atherosclerosis are important causes of the use of emergency medical care and hospitalization in the United States. A quick but thorough assessment of the patient's history and findings on physical examination, electrocardiography, radiologic studies, and cardiac biomarker tests permit accurate diagnosis and aid in early risk stratification, which is essential for guiding treatment. High-risk patients with UA/NSTEMI are often treated with an early invasive strategy involving cardiac catheterization and prompt revascularization of viable myocardium at risk. Clinical outcomes can be optimized by revascularization coupled with aggressive medical therapy that includes anti-ischemic, antiplatelet, anticoagulant, and lipid-lowering drugs. Evidence-based guidelines provide recommendations for the management of ACS; however, therapeutic approaches to the management of ACS continue to evolve at a rapid pace driven by a multitude of large-scale randomized controlled trials. Thus, clinicians are frequently faced with the problem of determining which drug or therapeutic strategy will achieve the best results. This article summarizes the evidence and provides the clinician with the latest information about the pathophysiology, clinical presentation, and risk stratification of ACS and the management of UA/NSTEMI.","container-title":"Mayo Clinic Proceedings","ISSN":"0025-6196","issue":"10","journalAbbreviation":"Mayo Clin Proc","note":"PMID: 19797781\nPMCID: PMC2755812","page":"917-938","source":"PubMed Central","title":"Acute Coronary Syndromes: Diagnosis and Management, Part I","title-short":"Acute Coronary Syndromes","volume":"84","author":[{"family":"Kumar","given":"Amit"},{"family":"Cannon","given":"Christopher P."}],"issued":{"date-parts":[["2009",10]]}}}],"schema":"https://github.com/citation-style-language/schema/raw/master/csl-citation.json"}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(Kumar and Cannon, 2009)</w:t>
      </w:r>
      <w:r w:rsidR="00106A32" w:rsidRPr="00EC6C19">
        <w:rPr>
          <w:rFonts w:ascii="Times New Roman" w:hAnsi="Times New Roman" w:cs="Times New Roman"/>
          <w:sz w:val="24"/>
          <w:szCs w:val="24"/>
        </w:rPr>
        <w:fldChar w:fldCharType="end"/>
      </w:r>
      <w:r w:rsidR="00BF354A" w:rsidRPr="00EC6C19">
        <w:rPr>
          <w:rFonts w:ascii="Times New Roman" w:hAnsi="Times New Roman" w:cs="Times New Roman"/>
          <w:sz w:val="24"/>
          <w:szCs w:val="24"/>
        </w:rPr>
        <w:t>.</w:t>
      </w:r>
      <w:r w:rsidR="00835908" w:rsidRPr="00EC6C19">
        <w:rPr>
          <w:rFonts w:ascii="Times New Roman" w:hAnsi="Times New Roman" w:cs="Times New Roman"/>
          <w:sz w:val="24"/>
          <w:szCs w:val="24"/>
        </w:rPr>
        <w:t xml:space="preserve"> </w:t>
      </w:r>
      <w:r w:rsidR="00BF354A" w:rsidRPr="00EC6C19">
        <w:rPr>
          <w:rFonts w:ascii="Times New Roman" w:hAnsi="Times New Roman" w:cs="Times New Roman"/>
          <w:sz w:val="24"/>
          <w:szCs w:val="24"/>
        </w:rPr>
        <w:t>Re-occlusion could occur</w:t>
      </w:r>
      <w:r w:rsidRPr="00EC6C19">
        <w:rPr>
          <w:rFonts w:ascii="Times New Roman" w:hAnsi="Times New Roman" w:cs="Times New Roman"/>
          <w:sz w:val="24"/>
          <w:szCs w:val="24"/>
        </w:rPr>
        <w:t xml:space="preserve"> at any time, meaning prompt treatment within 48 hours is usually recommended</w:t>
      </w:r>
      <w:r w:rsidR="007C281E" w:rsidRPr="00EC6C19">
        <w:rPr>
          <w:rFonts w:ascii="Times New Roman" w:hAnsi="Times New Roman" w:cs="Times New Roman"/>
          <w:sz w:val="24"/>
          <w:szCs w:val="24"/>
        </w:rPr>
        <w:t>.</w:t>
      </w:r>
      <w:r w:rsidR="00BF354A" w:rsidRPr="00EC6C19">
        <w:rPr>
          <w:rFonts w:ascii="Times New Roman" w:hAnsi="Times New Roman" w:cs="Times New Roman"/>
          <w:sz w:val="24"/>
          <w:szCs w:val="24"/>
        </w:rPr>
        <w:t xml:space="preserve"> Biomarkers </w:t>
      </w:r>
      <w:r w:rsidR="00586518" w:rsidRPr="00EC6C19">
        <w:rPr>
          <w:rFonts w:ascii="Times New Roman" w:hAnsi="Times New Roman" w:cs="Times New Roman"/>
          <w:sz w:val="24"/>
          <w:szCs w:val="24"/>
        </w:rPr>
        <w:t>are</w:t>
      </w:r>
      <w:r w:rsidR="00BF354A" w:rsidRPr="00EC6C19">
        <w:rPr>
          <w:rFonts w:ascii="Times New Roman" w:hAnsi="Times New Roman" w:cs="Times New Roman"/>
          <w:sz w:val="24"/>
          <w:szCs w:val="24"/>
        </w:rPr>
        <w:t xml:space="preserve"> raised, indicating myocyte damage or stress. An important differentiation which has clinical implications is the formation of clot in both STEMI and NSTEMI. In NSTEMI, clot is usually white, and formed </w:t>
      </w:r>
      <w:r w:rsidR="000002DB" w:rsidRPr="00EC6C19">
        <w:rPr>
          <w:rFonts w:ascii="Times New Roman" w:hAnsi="Times New Roman" w:cs="Times New Roman"/>
          <w:sz w:val="24"/>
          <w:szCs w:val="24"/>
        </w:rPr>
        <w:t xml:space="preserve">predominantly </w:t>
      </w:r>
      <w:r w:rsidR="00BF354A" w:rsidRPr="00EC6C19">
        <w:rPr>
          <w:rFonts w:ascii="Times New Roman" w:hAnsi="Times New Roman" w:cs="Times New Roman"/>
          <w:sz w:val="24"/>
          <w:szCs w:val="24"/>
        </w:rPr>
        <w:t>of platelet rich aggregates</w:t>
      </w:r>
      <w:r w:rsidR="000002DB" w:rsidRPr="00EC6C19">
        <w:rPr>
          <w:rFonts w:ascii="Times New Roman" w:hAnsi="Times New Roman" w:cs="Times New Roman"/>
          <w:sz w:val="24"/>
          <w:szCs w:val="24"/>
        </w:rPr>
        <w:t xml:space="preserve">. This is in contrast to STEMI, where clot is usually red, and formed predominantly of red blood cells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{"citationID":"kRjYXvoL","properties":{"formattedCitation":"(DeWood et al., 1980)","plainCitation":"(DeWood et al., 1980)","dontUpdate":true,"noteIndex":0},"citationItems":[{"id":232,"uris":["http://zotero.org/users/local/k67tNDdX/items/LGSQTJPS"],"uri":["http://zotero.org/users/local/k67tNDdX/items/LGSQTJPS"],"itemData":{"id":232,"type":"article-journal","abstract":"To define the prevalence of total coronary occlusion in the hours after transmural myocardial infarction, we used coronary arteriography to study the degree of coronary obstruction in 322 patients admitted within 24 hours of infarction. Total coronary occlusion was observed in 110 of 126 patients (87 per cent) who were evaluated within four hours of the onset of symptoms; this proportion decreased significantly, to 37 of 57 (65 per cent), when patients were studied 12 to 24 hours after the onset of symptoms. Among 59 patients with angiographic features of coronary thrombosis, the thrombus was retrieved by Fogarty catheter in 52 (88 per cent) but was absent in seven (12 per cent false positive). Among an additional 20 patients without angiographic features of thrombosis, a thrombus was discovered in five (25 per cent false negative). Thus, total coronary occlusion is frequent during the early hours of transmural infarction and decreases in frequency during the initial 24 hours, suggesting that coronary spasm or thrombus formation with subsequent recanalization or both may be important in the evolution of infarction.","container-title":"The New England Journal of Medicine","DOI":"10.1056/NEJM198010163031601","ISSN":"0028-4793","issue":"16","journalAbbreviation":"N. Engl. J. Med.","language":"eng","note":"PMID: 7412821","page":"897-902","source":"PubMed","title":"Prevalence of total coronary occlusion during the early hours of transmural myocardial infarction","volume":"303","author":[{"family":"DeWood","given":"M. A."},{"family":"Spores","given":"J."},{"family":"Notske","given":"R."},{"family":"Mouser","given":"L. T."},{"family":"Burroughs","given":"R."},{"family":"Golden","given":"M. S."},{"family":"Lang","given":"H. T."}],"issued":{"date-parts":[["1980",10,16]]}}}],"schema":"https://github.com/citation-style-language/schema/raw/master/csl-citation.json"} </w:instrText>
      </w:r>
      <w:r w:rsidR="00106A32" w:rsidRPr="00EC6C19">
        <w:rPr>
          <w:rFonts w:ascii="Times New Roman" w:hAnsi="Times New Roman" w:cs="Times New Roman"/>
          <w:sz w:val="24"/>
          <w:szCs w:val="24"/>
        </w:rPr>
        <w:fldChar w:fldCharType="separate"/>
      </w:r>
      <w:r w:rsidR="00835908" w:rsidRPr="00EC6C19">
        <w:rPr>
          <w:rFonts w:ascii="Times New Roman" w:hAnsi="Times New Roman" w:cs="Times New Roman"/>
          <w:sz w:val="24"/>
          <w:szCs w:val="24"/>
        </w:rPr>
        <w:t>(DeWood et al</w:t>
      </w:r>
      <w:r w:rsidR="00B22321" w:rsidRPr="00EC6C19">
        <w:rPr>
          <w:rFonts w:ascii="Times New Roman" w:hAnsi="Times New Roman" w:cs="Times New Roman"/>
          <w:sz w:val="24"/>
          <w:szCs w:val="24"/>
        </w:rPr>
        <w:t>.</w:t>
      </w:r>
      <w:r w:rsidR="00835908" w:rsidRPr="00EC6C19">
        <w:rPr>
          <w:rFonts w:ascii="Times New Roman" w:hAnsi="Times New Roman" w:cs="Times New Roman"/>
          <w:sz w:val="24"/>
          <w:szCs w:val="24"/>
        </w:rPr>
        <w:t>, 1980</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w:t>
      </w:r>
      <w:r w:rsidR="000002DB"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{"citationID":"B2w49KeF","properties":{"formattedCitation":"(Quadros et al., 2012)","plainCitation":"(Quadros et al., 2012)","dontUpdate":true,"noteIndex":0},"citationItems":[{"id":234,"uris":["http://zotero.org/users/local/k67tNDdX/items/X4UGF8Y4"],"uri":["http://zotero.org/users/local/k67tNDdX/items/X4UGF8Y4"],"itemData":{"id":234,"type":"article-journal","abstract":"BACKGROUND: Aspiration thrombectomy is used in primary percutaneous coronary interventions, but the importance of thrombus constituency has been scarcely investigated. The objective of this study was to evaluate thrombus constituency and its association with clinical, laboratory, and angiographic findings in patients with ST-segment elevation myocardial infarction.\nMETHODS: From April 2010 to May 2011, 562 patients with ST-segment elevation myocardial infarction undergoing primary percutaneous coronary interventions were considered for inclusion, and information on thrombi characteristics was available for 113 patients. Thrombus material were obtained and classified as white or red based on its constituency. Samples were analyzed by 3 independent pathologists blinded to clinical characteristics.\nRESULTS: The mean age of patients was 58.6 ± 12.7 years, and 69% were men. White thrombi were present in 31% of cases, and red thrombi, in 69%. Patients with white thrombi had smaller vessels and lower ischemic times. All other clinical, angiographic, and laboratory characteristics did not differ. White thrombi were smaller and associated with fibrin infiltration, whereas red thrombi were associated with red blood cell infiltration. Thirty-day death rates were lower in patients with white thrombi than red (0% vs 10.1%, respectively; P = .05), as were 30-day major adverse cardiac event rates (4.2% vs 13.9%; P = .10). Total ischemic time was well correlated with fibrin infiltration (R = -0.30; P &lt; .01), red blood cell infiltration (R = 0.27; P &lt; .01), and thrombus volume (R = 0.22; P = .02).\nCONCLUSIONS: White thrombi were present in one-third of cases and were associated with lower ischemic times, higher fibrin infiltration, smaller thrombus volume, and lower mortality. These findings suggest that thrombus constituency may be a useful prognostic tool in this setting.","container-title":"American Heart Journal","DOI":"10.1016/j.ahj.2012.07.022","ISSN":"1097-6744","issue":"4","journalAbbreviation":"Am. Heart J.","language":"eng","note":"PMID: 23067914","page":"553-560","source":"PubMed","title":"Red versus white thrombi in patients with ST-elevation myocardial infarction undergoing primary percutaneous coronary intervention: clinical and angiographic outcomes","title-short":"Red versus white thrombi in patients with ST-elevation myocardial infarction undergoing primary percutaneous coronary intervention","volume":"164","author":[{"family":"Quadros","given":"Alexandre S."},{"family":"Cambruzzi","given":"Eduardo"},{"family":"Sebben","given":"Juliana"},{"family":"David","given":"Renato B."},{"family":"Abelin","given":"Anibal"},{"family":"Welter","given":"Dulce"},{"family":"Sarmento-Leite","given":"Rogério"},{"family":"Mehta","given":"Rajendra H."},{"family":"Gottschall","given":"Carlos A."},{"family":"Lopes","given":"Renato D."}],"issued":{"date-parts":[["2012",10]]}}}],"schema":"https://github.com/citation-style-language/schema/raw/master/csl-citation.json"} </w:instrText>
      </w:r>
      <w:r w:rsidR="00106A32" w:rsidRPr="00EC6C19">
        <w:rPr>
          <w:rFonts w:ascii="Times New Roman" w:hAnsi="Times New Roman" w:cs="Times New Roman"/>
          <w:sz w:val="24"/>
          <w:szCs w:val="24"/>
        </w:rPr>
        <w:fldChar w:fldCharType="separate"/>
      </w:r>
      <w:r w:rsidR="00835908" w:rsidRPr="00EC6C19">
        <w:rPr>
          <w:rFonts w:ascii="Times New Roman" w:hAnsi="Times New Roman" w:cs="Times New Roman"/>
          <w:sz w:val="24"/>
          <w:szCs w:val="24"/>
        </w:rPr>
        <w:t>Quadros et al</w:t>
      </w:r>
      <w:r w:rsidR="00B22321" w:rsidRPr="00EC6C19">
        <w:rPr>
          <w:rFonts w:ascii="Times New Roman" w:hAnsi="Times New Roman" w:cs="Times New Roman"/>
          <w:sz w:val="24"/>
          <w:szCs w:val="24"/>
        </w:rPr>
        <w:t>.</w:t>
      </w:r>
      <w:r w:rsidR="00835908" w:rsidRPr="00EC6C19">
        <w:rPr>
          <w:rFonts w:ascii="Times New Roman" w:hAnsi="Times New Roman" w:cs="Times New Roman"/>
          <w:sz w:val="24"/>
          <w:szCs w:val="24"/>
        </w:rPr>
        <w:t>, 2012)</w:t>
      </w:r>
      <w:r w:rsidR="00106A32" w:rsidRPr="00EC6C19">
        <w:rPr>
          <w:rFonts w:ascii="Times New Roman" w:hAnsi="Times New Roman" w:cs="Times New Roman"/>
          <w:sz w:val="24"/>
          <w:szCs w:val="24"/>
        </w:rPr>
        <w:fldChar w:fldCharType="end"/>
      </w:r>
      <w:r w:rsidR="000002DB" w:rsidRPr="00EC6C19">
        <w:rPr>
          <w:rFonts w:ascii="Times New Roman" w:hAnsi="Times New Roman" w:cs="Times New Roman"/>
          <w:sz w:val="24"/>
          <w:szCs w:val="24"/>
        </w:rPr>
        <w:t>.</w:t>
      </w:r>
      <w:r w:rsidR="003E28A5" w:rsidRPr="00EC6C19">
        <w:rPr>
          <w:rFonts w:ascii="Times New Roman" w:hAnsi="Times New Roman" w:cs="Times New Roman"/>
          <w:sz w:val="24"/>
          <w:szCs w:val="24"/>
        </w:rPr>
        <w:t xml:space="preserve">This alters clinical management, as medical therapy in NSTEMI is centred around platelet inhibition, which allows endogenous fibrinolysis to break down the thrombus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{"citationID":"021Gi2xG","properties":{"formattedCitation":"(Platelet Receptor Inhibition in Ischemic Syndrome Management in Patients Limited by Unstable Signs and Symptoms (PRISM-PLUS) Study Investigators, 1998)","plainCitation":"(Platelet Receptor Inhibition in Ischemic Syndrome Management in Patients Limited by Unstable Signs and Symptoms (PRISM-PLUS) Study Investigators, 1998)","noteIndex":0},"citationItems":[{"id":236,"uris":["http://zotero.org/users/local/k67tNDdX/items/UI8F7SG8"],"uri":["http://zotero.org/users/local/k67tNDdX/items/UI8F7SG8"],"itemData":{"id":236,"type":"article-journal","abstract":"BACKGROUND: Antithrombotic therapy improves the prognosis of patients with acute coronary syndromes, yet the syndromes remain a therapeutic challenge. We evaluated tirofiban, a specific inhibitor of the platelet glycoprotein IIb/IIIa receptor, in the treatment of unstable angina and non-Q-wave myocardial infarction.\nMETHODS: A total of 1915 patients were randomly assigned in a double-blind manner to receive tirofiban, heparin, or tirofiban plus heparin. Patients received aspirin if its use was not contraindicated. The study drugs were infused for a mean (+/-SD) of 71.3+/-20 hours, during which time coronary angiography and angioplasty were performed when indicated after 48 hours. The composite primary end point consisted of death, myocardial infarction, or refractory ischemia within seven days after randomization.\nRESULTS: The study was stopped prematurely for the group receiving tirofiban alone because of excess mortality at seven days (4.6 percent, as compared with 1.1 percent for the patients treated with heparin alone. The frequency of the composite primary end point at seven days was lower among the patients who received tirofiban plus heparin than among those who received heparin alone (12.9 percent vs. 17.9 percent; risk ratio, 0.68; 95 percent confidence interval, 0.53 to 0.88; P=0.004). The rates of the composite end point in the tirofiban-plus-heparin group were also lower than those in the heparin-only group at 30 days (18.5 percent vs. 22.3 percent, P=0.03) and at 6 months (27.7 percent vs. 32.1 percent, P=0.02). At seven days, the frequency of death or myocardial infarction was 4.9 percent in the tirofiban-plus-heparin group, as compared with 8.3 percent in the heparin-only group (P=0.006). The comparable figures at 30 days were 8.7 percent and 11.9 percent (P=0.03), respectively, and those at 6 months were 12.3 percent and 15.3 percent (P=0.06). The benefit was consistent in the various subgroups of patients and in those treated medically as well as those treated with angioplasty. Major bleeding occurred in 3.0 percent of the patients receiving heparin alone and 4.0 percent of the patients receiving combination therapy (P=0.34).\nCONCLUSIONS: When administered with heparin and aspirin, the platelet glycoprotein IIb/IIIa receptor inhibitor tirofiban was associated with a lower incidence of ischemic events in patients with acute coronary syndromes than in patients who received only heparin and aspirin.","container-title":"The New England Journal of Medicine","DOI":"10.1056/NEJM199805213382102","ISSN":"0028-4793","issue":"21","journalAbbreviation":"N. Engl. J. Med.","language":"eng","note":"PMID: 9599103","page":"1488-1497","source":"PubMed","title":"Inhibition of the platelet glycoprotein IIb/IIIa receptor with tirofiban in unstable angina and non-Q-wave myocardial infarction","volume":"338","author":[{"literal":"Platelet Receptor Inhibition in Ischemic Syndrome Management in Patients Limited by Unstable Signs and Symptoms (PRISM-PLUS) Study Investigators"}],"issued":{"date-parts":[["1998"]],"season":"21"}}}],"schema":"https://github.com/citation-style-language/schema/raw/master/csl-citation.json"}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(Platelet Receptor Inhibition in Ischemic Syndrome Management in Patients Limited by Unstable Signs and Symptoms (PRISM-PLUS) Study Investigators, 1998)</w:t>
      </w:r>
      <w:r w:rsidR="00106A32" w:rsidRPr="00EC6C19">
        <w:rPr>
          <w:rFonts w:ascii="Times New Roman" w:hAnsi="Times New Roman" w:cs="Times New Roman"/>
          <w:sz w:val="24"/>
          <w:szCs w:val="24"/>
        </w:rPr>
        <w:fldChar w:fldCharType="end"/>
      </w:r>
      <w:r w:rsidR="003E28A5" w:rsidRPr="00EC6C19">
        <w:rPr>
          <w:rFonts w:ascii="Times New Roman" w:hAnsi="Times New Roman" w:cs="Times New Roman"/>
          <w:sz w:val="24"/>
          <w:szCs w:val="24"/>
        </w:rPr>
        <w:t xml:space="preserve">. </w:t>
      </w:r>
    </w:p>
    <w:p w14:paraId="59196EF8" w14:textId="77777777" w:rsidR="00EE2E36" w:rsidRPr="00EC6C19" w:rsidRDefault="003E28A5"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Lastly, unstable angina is only differentiated against NSTEMI by the lack of </w:t>
      </w:r>
      <w:r w:rsidR="000062AD" w:rsidRPr="00EC6C19">
        <w:rPr>
          <w:rFonts w:ascii="Times New Roman" w:hAnsi="Times New Roman" w:cs="Times New Roman"/>
          <w:sz w:val="24"/>
          <w:szCs w:val="24"/>
        </w:rPr>
        <w:t>raised</w:t>
      </w:r>
      <w:r w:rsidRPr="00EC6C19">
        <w:rPr>
          <w:rFonts w:ascii="Times New Roman" w:hAnsi="Times New Roman" w:cs="Times New Roman"/>
          <w:sz w:val="24"/>
          <w:szCs w:val="24"/>
        </w:rPr>
        <w:t xml:space="preserve"> biomarkers. </w:t>
      </w:r>
      <w:r w:rsidR="000062AD" w:rsidRPr="00EC6C19">
        <w:rPr>
          <w:rFonts w:ascii="Times New Roman" w:hAnsi="Times New Roman" w:cs="Times New Roman"/>
          <w:sz w:val="24"/>
          <w:szCs w:val="24"/>
        </w:rPr>
        <w:t xml:space="preserve">The most commonly used biomarker is troponin, although other biomarkers can be used with different properties, including time to peak concentration. </w:t>
      </w:r>
      <w:r w:rsidR="005119FF" w:rsidRPr="005119FF">
        <w:rPr>
          <w:rFonts w:ascii="Times New Roman" w:hAnsi="Times New Roman" w:cs="Times New Roman"/>
          <w:sz w:val="24"/>
          <w:szCs w:val="24"/>
        </w:rPr>
        <w:t>Figure 2</w:t>
      </w:r>
      <w:r w:rsidR="000062AD" w:rsidRPr="005119FF">
        <w:rPr>
          <w:rFonts w:ascii="Times New Roman" w:hAnsi="Times New Roman" w:cs="Times New Roman"/>
          <w:sz w:val="24"/>
          <w:szCs w:val="24"/>
        </w:rPr>
        <w:t xml:space="preserve"> </w:t>
      </w:r>
      <w:r w:rsidR="005119FF" w:rsidRPr="005119FF">
        <w:rPr>
          <w:rFonts w:ascii="Times New Roman" w:hAnsi="Times New Roman" w:cs="Times New Roman"/>
          <w:sz w:val="24"/>
          <w:szCs w:val="24"/>
        </w:rPr>
        <w:t>demonstrates</w:t>
      </w:r>
      <w:r w:rsidR="000062AD" w:rsidRPr="005119FF">
        <w:rPr>
          <w:rFonts w:ascii="Times New Roman" w:hAnsi="Times New Roman" w:cs="Times New Roman"/>
          <w:sz w:val="24"/>
          <w:szCs w:val="24"/>
        </w:rPr>
        <w:t xml:space="preserve"> this.</w:t>
      </w:r>
    </w:p>
    <w:p w14:paraId="3FC3064C" w14:textId="091B5A34"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Since the arrival or coronary stents, randomised control trials have compared optimal medical therapy, with coronary stenting (usually within 48 hours) and the effect on patient prognosis. A large trial of over two thousand patients published in 2001 demonstrated benefit in using early invasive coronary stenting for NSTEMI and UA over optimal medical therapy, with a reduction in mortality, myocardial infarction and re-hospitalisation for acute coronary syndrome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{"citationID":"kIYQWYt7","properties":{"formattedCitation":"(Cannon et al., 2001)","plainCitation":"(Cannon et al., 2001)","noteIndex":0},"citationItems":[{"id":406,"uris":["http://zotero.org/users/local/k67tNDdX/items/XVV7N364"],"uri":["http://zotero.org/users/local/k67tNDdX/items/XVV7N364"],"itemData":{"id":406,"type":"article-journal","abstract":"BACKGROUND: There is continued debate as to whether a routine, early invasive strategy is superior to a conservative strategy for the management of unstable angina and myocardial infarction without ST-segment elevation.\nMETHODS: We enrolled 2220 patients with unstable angina and myocardial infarction without ST-segment elevation who had electrocardiographic evidence of changes in the ST segment or T wave, elevated levels of cardiac markers, a history of coronary artery disease, or all three findings. All patients were treated with aspirin, heparin, and the glycoprotein IIb/IIIa inhibitor tirofiban. They were randomly assigned to an early invasive strategy, which included routine catheterization within 4 to 48 hours and revascularization as appropriate, or to a more conservative (selectively invasive) strategy, in which catheterization was performed only if the patient had objective evidence of recurrent ischemia or an abnormal stress test. The primary end point was a composite of death, nonfatal myocardial infarction, and rehospitalization for an acute coronary syndrome at six months.\nRESULTS: At six months, the rate of the primary end point was 15.9 percent with use of the early invasive strategy and 19.4 percent with use of the conservative strategy (odds ratio, 0.78; 95 percent confidence interval, 0.62 to 0.97; P=0.025). The rate of death or nonfatal myocardial infarction at six months was similarly reduced (7.3 percent vs. 9.5 percent; odds ratio, 0.74; 95 percent confidence interval, 0.54 to 1.00; P&lt;0.05).\nCONCLUSIONS: In patients with unstable angina and myocardial infarction without ST-segment elevation who were treated with the glycoprotein IIb/IIIa inhibitor tirofiban, the use of an early invasive strategy significantly reduced the incidence of major cardiac events. These data support a policy involving broader use of the early inhibition of glycoprotein IIb/IIIa in combination with an early invasive strategy in such patients.","container-title":"The New England Journal of Medicine","DOI":"10.1056/NEJM200106213442501","ISSN":"0028-4793","issue":"25","journalAbbreviation":"N. Engl. J. Med.","language":"eng","note":"PMID: 11419424","page":"1879-1887","source":"PubMed","title":"Comparison of early invasive and conservative strategies in patients with unstable coronary syndromes treated with the glycoprotein IIb/IIIa inhibitor tirofiban","volume":"344","author":[{"family":"Cannon","given":"C. P."},{"family":"Weintraub","given":"W. S."},{"family":"Demopoulos","given":"L. A."},{"family":"Vicari","given":"R."},{"family":"Frey","given":"M. J."},{"family":"Lakkis","given":"N."},{"family":"Neumann","given":"F. J."},{"family":"Robertson","given":"D. H."},{"family":"DeLucca","given":"P. T."},{"family":"DiBattiste","given":"P. M."},{"family":"Gibson","given":"C. M."},{"family":"Braunwald","given":"E."},{"literal":"TACTICS (Treat Angina with Aggrastat and Determine Cost of Therapy with an Invasive or Conservative Strategy)--Thrombolysis in Myocardial Infarction 18 Investigators"}],"issued":{"date-parts":[["2001",6,21]]}}}],"schema":"https://github.com/citation-style-language/schema/raw/master/csl-citation.json"} </w:instrText>
      </w:r>
      <w:r w:rsidR="00106A32" w:rsidRPr="00EC6C19">
        <w:rPr>
          <w:rFonts w:ascii="Times New Roman" w:hAnsi="Times New Roman" w:cs="Times New Roman"/>
          <w:sz w:val="24"/>
          <w:szCs w:val="24"/>
        </w:rPr>
        <w:fldChar w:fldCharType="separate"/>
      </w:r>
      <w:r w:rsidR="00B22321" w:rsidRPr="00EC6C19">
        <w:rPr>
          <w:rFonts w:ascii="Times New Roman" w:hAnsi="Times New Roman" w:cs="Times New Roman"/>
          <w:sz w:val="24"/>
          <w:szCs w:val="24"/>
        </w:rPr>
        <w:t>(Cannon et al.</w:t>
      </w:r>
      <w:r w:rsidRPr="00EC6C19">
        <w:rPr>
          <w:rFonts w:ascii="Times New Roman" w:hAnsi="Times New Roman" w:cs="Times New Roman"/>
          <w:sz w:val="24"/>
          <w:szCs w:val="24"/>
        </w:rPr>
        <w:t>, 2001)</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results were mirrored one year later, in a similarly sized trial, but the composite endpoint was significant mainly due to the reduction in on-going angina. Death and myocardial infarction rates were similar in both groups at 1 year follow-up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{"citationID":"yLPYUjgI","properties":{"formattedCitation":"(Fox et al., 2002)","plainCitation":"(Fox et al., 2002)","noteIndex":0},"citationItems":[{"id":408,"uris":["http://zotero.org/users/local/k67tNDdX/items/FEDCAEW5"],"uri":["http://zotero.org/users/local/k67tNDdX/items/FEDCAEW5"],"itemData":{"id":408,"type":"article-journal","abstract":"BACKGROUND: Current guidelines suggest that, for patients at moderate risk of death from unstable coronary-artery disease, either an interventional strategy (angiography followed by revascularisation) or a conservative strategy (ischaemia-driven or symptom-driven angiography) is appropriate. We aimed to test the hypothesis that an interventional strategy is better than a conservative strategy in such patients.\nMETHODS: We did a randomised multicentre trial of 1810 patients with non-ST-elevation acute coronary syndromes (mean age 62 years, 38% women). Patients were assigned an early intervention or conservative strategy. The antithrombin agent in both groups was enoxaparin. The co-primary endpoints were a combined rate of death, non-fatal myocardial infarction, or refractory angina at 4 months; and a combined rate of death or non-fatal myocardial infarction at 1 year. Analysis was by intention to treat.\nFINDINGS: At 4 months, 86 (9.6%) of 895 patients in the intervention group had died or had a myocardial infarction or refractory angina, compared with 133 (14.5%) of 915 patients in the conservative group (risk ratio 0.66, 95% CI 0.51-0.85, p=0.001). This difference was mainly due to a halving of refractory angina in the intervention group. Death or myocardial infarction was similar in both treatment groups at 1 year (68 [7.6%] vs 76 [8.3%], respectively; risk ratio 0.91, 95% CI 0.67-1.25, p=0.58). Symptoms of angina were improved and use of antianginal medications significantly reduced with the interventional strategy (p&lt;0.0001).\nINTERPRETATION: In patients presenting with unstable coronary-artery disease, an interventional strategy is preferable to a conservative strategy, mainly because of the halving of refractory or severe angina, and with no increased risk of death or myocardial infarction.","container-title":"Lancet (London, England)","ISSN":"0140-6736","issue":"9335","journalAbbreviation":"Lancet","language":"eng","note":"PMID: 12241831","page":"743-751","source":"PubMed","title":"Interventional versus conservative treatment for patients with unstable angina or non-ST-elevation myocardial infarction: the British Heart Foundation RITA 3 randomised trial. Randomized Intervention Trial of unstable Angina","title-short":"Interventional versus conservative treatment for patients with unstable angina or non-ST-elevation myocardial infarction","volume":"360","author":[{"family":"Fox","given":"K. a. A."},{"family":"Poole-Wilson","given":"P. A."},{"family":"Henderson","given":"R. A."},{"family":"Clayton","given":"T. C."},{"family":"Chamberlain","given":"D. A."},{"family":"Shaw","given":"T. R. D."},{"family":"Wheatley","given":"D. J."},{"family":"Pocock","given":"S. J."},{"literal":"Randomized Intervention Trial of unstable Angina Investigators"}],"issued":{"date-parts":[["2002",9,7]]}}}],"schema":"https://github.com/citation-style-language/schema/raw/master/csl-citation.json"} </w:instrText>
      </w:r>
      <w:r w:rsidR="00106A32" w:rsidRPr="00EC6C19">
        <w:rPr>
          <w:rFonts w:ascii="Times New Roman" w:hAnsi="Times New Roman" w:cs="Times New Roman"/>
          <w:sz w:val="24"/>
          <w:szCs w:val="24"/>
        </w:rPr>
        <w:fldChar w:fldCharType="separate"/>
      </w:r>
      <w:r w:rsidR="00B22321" w:rsidRPr="00EC6C19">
        <w:rPr>
          <w:rFonts w:ascii="Times New Roman" w:hAnsi="Times New Roman" w:cs="Times New Roman"/>
          <w:sz w:val="24"/>
          <w:szCs w:val="24"/>
        </w:rPr>
        <w:t>(Fox et al.</w:t>
      </w:r>
      <w:r w:rsidRPr="00EC6C19">
        <w:rPr>
          <w:rFonts w:ascii="Times New Roman" w:hAnsi="Times New Roman" w:cs="Times New Roman"/>
          <w:sz w:val="24"/>
          <w:szCs w:val="24"/>
        </w:rPr>
        <w:t>, 2002)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same group of patients underwent follow-up at 5 years, and revealed significant benefits for the stent treatment group in relation to death and myocardial infarction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{"citationID":"nOjkI08W","properties":{"formattedCitation":"(Fox et al., 2005)","plainCitation":"(Fox et al., 2005)","noteIndex":0},"citationItems":[{"id":410,"uris":["http://zotero.org/users/local/k67tNDdX/items/4Y9NUNMN"],"uri":["http://zotero.org/users/local/k67tNDdX/items/4Y9NUNMN"],"itemData":{"id":410,"type":"article-journal","abstract":"BACKGROUND: The long-term outcome of an interventional strategy in patients with non-ST-elevation acute coronary syndrome is unknown. We tested whether an interventional strategy (routine angiography followed by revascularisation) was better than a conservative strategy (ischaemia-driven or symptom-driven angiography) over 5 years' follow-up.\nMETHODS: In a multicentre randomised trial, 1810 patients (from 45 hospitals in England and Scotland, UK) with non-ST-elevation acute coronary syndrome were randomly assigned to receive an early intervention (n=895) or a conservative strategy (n=915) within 48 h of the index episode of cardiac pain. In each group, the aim was to provide the best medical treatment, and also to undertake coronary arteriography within 72 h in the interventional strategy with subsequent management guided by the angiographic findings. Analysis was by intention to treat and the primary outcome (composite of death or non-fatal myocardial infarction) had masked independent adjudication. RITA 3 has been assigned the International Standard Randomised Control Trial Number ISRCTN07752711.\nFINDINGS: At 1-year follow-up, rates of death or non-fatal myocardial infarction were similar. However, at a median of 5 years' follow-up (IQR 4.6-5.0), 142 (16.6%) patients with intervention treatment and 178 (20.0%) with conservative treatment died or had non-fatal myocardial infarction (odds ratio 0.78, 95% CI 0.61-0.99, p=0.044), with a similar benefit for cardiovascular death or myocardial infarction (0.74, 0.56-0.97, p=0.030). 234 (102 [12%] intervention, 132 [15%] conservative) patients died during follow-up (0.76, 0.58-1.00, p=0.054). The benefits of an intervention strategy were mainly seen in patients at high risk of death or myocardial infarction (p=0.004), and for the highest risk group, the odds ratio of death or non-fatal myocardial infarction was 0.44 (0.25-0.76).\nINTERPRETATION: In patients with non-ST-elevation acute coronary syndrome, a routine invasive strategy leads to long-term reduction in risk of death or non-fatal myocardial infarction, and this benefit is mainly in high-risk patients. The findings provide support for national and international guidelines in the need for more robust risk stratification in acute coronary syndrome.","container-title":"Lancet (London, England)","DOI":"10.1016/S0140-6736(05)67222-4","ISSN":"1474-547X","issue":"9489","journalAbbreviation":"Lancet","language":"eng","note":"PMID: 16154018","page":"914-920","source":"PubMed","title":"5-year outcome of an interventional strategy in non-ST-elevation acute coronary syndrome: the British Heart Foundation RITA 3 randomised trial","title-short":"5-year outcome of an interventional strategy in non-ST-elevation acute coronary syndrome","volume":"366","author":[{"family":"Fox","given":"K. a. A."},{"family":"Poole-Wilson","given":"P."},{"family":"Clayton","given":"T. C."},{"family":"Henderson","given":"R. A."},{"family":"Shaw","given":"T. R. D."},{"family":"Wheatley","given":"D. J."},{"family":"Knight","given":"R."},{"family":"Pocock","given":"S. J."}],"issued":{"date-parts":[["2005",9,10]]}}}],"schema":"https://github.com/citation-style-language/schema/raw/master/csl-citation.json"} </w:instrText>
      </w:r>
      <w:r w:rsidR="00106A32" w:rsidRPr="00EC6C19">
        <w:rPr>
          <w:rFonts w:ascii="Times New Roman" w:hAnsi="Times New Roman" w:cs="Times New Roman"/>
          <w:sz w:val="24"/>
          <w:szCs w:val="24"/>
        </w:rPr>
        <w:fldChar w:fldCharType="separate"/>
      </w:r>
      <w:r w:rsidR="00B22321" w:rsidRPr="00EC6C19">
        <w:rPr>
          <w:rFonts w:ascii="Times New Roman" w:hAnsi="Times New Roman" w:cs="Times New Roman"/>
          <w:sz w:val="24"/>
          <w:szCs w:val="24"/>
        </w:rPr>
        <w:t>(Fox et al.</w:t>
      </w:r>
      <w:r w:rsidRPr="00EC6C19">
        <w:rPr>
          <w:rFonts w:ascii="Times New Roman" w:hAnsi="Times New Roman" w:cs="Times New Roman"/>
          <w:sz w:val="24"/>
          <w:szCs w:val="24"/>
        </w:rPr>
        <w:t>, 2005)</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 benefit appears to be in the medium and long term, and maybe counter-acted in the first year by the increased risk of an invasive procedure.</w:t>
      </w:r>
    </w:p>
    <w:p w14:paraId="37D56228" w14:textId="7777777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lastRenderedPageBreak/>
        <w:t xml:space="preserve">The FRISC-II study followed patients for 15 years, who either underwent and invasive or non-invasive strategy for NSTEMI. At 15 years, patients who had invasive treatment postponed the occurrence of death or myocardial infarction by 17 months, and re-admission by 17 months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{"citationID":"A2J0DyWw","properties":{"formattedCitation":"(Wallentin et al., 2016)","plainCitation":"(Wallentin et al., 2016)","dontUpdate":true,"noteIndex":0},"citationItems":[{"id":412,"uris":["http://zotero.org/users/local/k67tNDdX/items/4J78F3AY"],"uri":["http://zotero.org/users/local/k67tNDdX/items/4J78F3AY"],"itemData":{"id":412,"type":"article-journal","abstract":"BACKGROUND: The FRISC-II trial was the first randomised trial to show a reduction in death or myocardial infarction with an early invasive versus a non-invasive treatment strategy in patients with non-ST-elevation acute coronary syndrome. Here we provide a remaining lifetime perspective on the effects on all cardiovascular events during 15 years' follow-up.\nMETHODS: The FRISC-II prospective, randomised, multicentre trial was done at 58 Scandinavian centres in Sweden, Denmark, and Norway. Between June 17, 1996, and Aug 28, 1998, we randomly assigned (1:1) 2457 patients with non-ST-elevation acute coronary syndrome to an early invasive treatment strategy, aiming for revascularisation within 7 days, or a non-invasive strategy, with invasive procedures at recurrent symptoms or severe exercise-induced ischaemia. Plasma for biomarker analyses was obtained at randomisation. For long-term outcomes, we linked data with national health-care registers. The primary endpoint was a composite of death or myocardial infarction. Outcomes were compared as the average postponement of the next event, including recurrent events, calculated as the area between mean cumulative count-of-events curves. Analyses were done by intention to treat.\nFINDINGS: At a minimum of 15 years' follow-up on Dec 31, 2014, data for survival status and death were available for 2421 (99%) of the initially recruited 2457 patients, and for other events after 2 years for 2182 (89%) patients. During follow-up, the invasive strategy postponed death or next myocardial infarction by a mean of 549 days (95% CI 204-888; p=0·0020) compared with the non-invasive strategy. This effect was larger in non-smokers (mean gain 809 days, 95% CI 402-1175; pinteraction=0·0182), patients with elevated troponin T (778 days, 357-1165; pinteraction=0·0241), and patients with high concentrations of growth differentiation factor-15 (1356 days, 507-1650; pinteraction=0·0210). The difference was mainly driven by postponement of new myocardial infarction, whereas the early difference in mortality alone was not sustained over time. The invasive strategy led to a mean of 1128 days (95% CI 830-1366) postponement of death or next readmission to hospital for ischaemic heart disease, which was consistent in all subgroups (p&lt;0·0001).\nINTERPRETATION: During 15 years of follow-up, an early invasive treatment strategy postponed the occurrence of death or next myocardial infarction by an average of 18 months, and the next readmission to hospital for ischaemic heart disease by 37 months, compared with a non-invasive strategy in patients with non-ST-elevation acute coronary syndrome. This remaining lifetime perspective supports that an early invasive treatment strategy should be the preferred option in most patients with non-ST-elevation acute coronary syndrome.\nFUNDING: Swedish Heart-Lung Foundation, Swedish Foundation for Strategic Research, and Uppsala Clinical Research Center.","container-title":"Lancet (London, England)","DOI":"10.1016/S0140-6736(16)31276-4","ISSN":"1474-547X","issue":"10054","journalAbbreviation":"Lancet","language":"eng","note":"PMID: 27585757","page":"1903-1911","source":"PubMed","title":"Early invasive versus non-invasive treatment in patients with non-ST-elevation acute coronary syndrome (FRISC-II): 15 year follow-up of a prospective, randomised, multicentre study","title-short":"Early invasive versus non-invasive treatment in patients with non-ST-elevation acute coronary syndrome (FRISC-II)","volume":"388","author":[{"family":"Wallentin","given":"Lars"},{"family":"Lindhagen","given":"Lars"},{"family":"Ärnström","given":"Elisabet"},{"family":"Husted","given":"Steen"},{"family":"Janzon","given":"Magnus"},{"family":"Johnsen","given":"Søren Paaske"},{"family":"Kontny","given":"Frederic"},{"family":"Kempf","given":"Tibor"},{"family":"Levin","given":"Lars-Åke"},{"family":"Lindahl","given":"Bertil"},{"family":"Stridsberg","given":"Mats"},{"family":"Ståhle","given":"Elisabeth"},{"family":"Venge","given":"Per"},{"family":"Wollert","given":"Kai C."},{"family":"Swahn","given":"Eva"},{"family":"Lagerqvist","given":"Bo"},{"literal":"FRISC-II study group"}],"issued":{"date-parts":[["2016",10,15]]}}}],"schema":"https://github.com/citation-style-language/schema/raw/master/csl-citation.json"} </w:instrText>
      </w:r>
      <w:r w:rsidR="00106A32" w:rsidRPr="00EC6C19">
        <w:rPr>
          <w:rFonts w:ascii="Times New Roman" w:hAnsi="Times New Roman" w:cs="Times New Roman"/>
          <w:sz w:val="24"/>
          <w:szCs w:val="24"/>
        </w:rPr>
        <w:fldChar w:fldCharType="separate"/>
      </w:r>
      <w:r w:rsidR="00F04FED" w:rsidRPr="00EC6C19">
        <w:rPr>
          <w:rFonts w:ascii="Times New Roman" w:hAnsi="Times New Roman" w:cs="Times New Roman"/>
          <w:sz w:val="24"/>
          <w:szCs w:val="24"/>
        </w:rPr>
        <w:t xml:space="preserve">(Wallentin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p>
    <w:p w14:paraId="10237C7D" w14:textId="7AF58EC4" w:rsidR="00F55F3E"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A meta-analysis of invasive versus non-invasive treatment in the stenting era was conducted by Hoenig et al. in 2006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{"citationID":"gQ2iR6Oi","properties":{"formattedCitation":"(Hoenig et al., 2006)","plainCitation":"(Hoenig et al., 2006)","dontUpdate":true,"noteIndex":0},"citationItems":[{"id":416,"uris":["http://zotero.org/users/local/k67tNDdX/items/K8SI5VQG"],"uri":["http://zotero.org/users/local/k67tNDdX/items/K8SI5VQG"],"itemData":{"id":416,"type":"article-journal","abstract":"BACKGROUND: In patients with unstable angina and non-ST-elevation myocardial infarction (UA/NSTEMI) two strategies are possible: a routine invasive strategy where all patients undergo coronary angiography shortly after admission and, if indicated, coronary revascularization; or a conservative strategy where medical therapy alone is used initially with selection of patients for angiography based on clinical symptoms or investigational evidence of persistent myocardial ischemia.\nOBJECTIVES: To determine the benefits of an invasive compared to a conservative strategy for treating UA/NSTEMI in the stent era.\nSEARCH STRATEGY: The Cochrane Central Register of Controlled Trials (Issue 3 2005), MEDLINE and EMBASE were searched from 1996 to September 2005 with no language restrictions.\nSELECTION CRITERIA: Included studies were prospective trials comparing invasive with conservative strategies in UA/NSTEMI.\nDATA COLLECTION AND ANALYSIS: We identified 5 studies (7818 participants). Using intention-to-treat analysis with random effects models, summary estimates of relative risk (95% confidence interval [CI]) were determined for primary end-points of all-cause death, fatal and non-fatal myocardial infarction; all-cause death or non-fatal myocardial infarction; and refractory angina. Further analysis of included studies was undertaken based on whether glycoprotein IIb/IIIa receptor antagonists were used routinely. Heterogeneity was assessed using chi-square and variance (I(2)) methods.\nMAIN RESULTS: In the all-study analysis, mortality during initial hospitalization showed a trend to hazard with an invasive strategy; relative risk 1.59 (95% CI 0.96 to 2.64). Mortality and myocardial infarction assessed at 2-5 years in two trials were significantly decreased by an invasive strategy with relative risk of 0.75 (95% CI 0.62 to 0.92) and 0.75 (95% CI 0.61 to 0.91) respectively. The composite end-point of death or non-fatal myocardial infarction was significantly decreased by an invasive strategy at several time points after initial hospitalization. The incidence of early (&lt;4 months) and intermediate (6-12 months) refractory angina were both significantly decreased by an invasive strategy; relative risk 0.47 (95% CI 0.32 to 0.68) and 0.67 (95% CI 0.55 to 0.83) respectively, as were early and intermediate rehospitalization rates with relative risk 0.60 (95% CI 0.41 to 0.88) and 0.67 (95% CI 0.61 to 0.74) respectively. The invasive strategy was associated with a two-fold increase in the relative risk of peri-procedural myocardial infarction (as variably defined) and a 1.7-fold increase in the relative risk of bleeding.\nAUTHORS' CONCLUSIONS: An early invasive strategy is preferable to a conservative strategy in the treatment of UA/NSTEMI.","container-title":"The Cochrane Database of Systematic Reviews","DOI":"10.1002/14651858.CD004815.pub2","ISSN":"1469-493X","issue":"3","journalAbbreviation":"Cochrane Database Syst Rev","language":"eng","note":"PMID: 16856061","page":"CD004815","source":"PubMed","title":"Early invasive versus conservative strategies for unstable angina &amp; non-ST-elevation myocardial infarction in the stent era","author":[{"family":"Hoenig","given":"M. R."},{"family":"Doust","given":"J. A."},{"family":"Aroney","given":"C. N."},{"family":"Scott","given":"I. A."}],"issued":{"date-parts":[["2006",7,19]]}}}],"schema":"https://github.com/citation-style-language/schema/raw/master/csl-citation.json"} </w:instrText>
      </w:r>
      <w:r w:rsidR="00106A32" w:rsidRPr="00EC6C19">
        <w:rPr>
          <w:rFonts w:ascii="Times New Roman" w:hAnsi="Times New Roman" w:cs="Times New Roman"/>
          <w:sz w:val="24"/>
          <w:szCs w:val="24"/>
        </w:rPr>
        <w:fldChar w:fldCharType="separate"/>
      </w:r>
      <w:r w:rsidR="00F04FED" w:rsidRPr="00EC6C19">
        <w:rPr>
          <w:rFonts w:ascii="Times New Roman" w:hAnsi="Times New Roman" w:cs="Times New Roman"/>
          <w:sz w:val="24"/>
          <w:szCs w:val="24"/>
        </w:rPr>
        <w:t xml:space="preserve">(Hoenig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consisting of nearly eight thousand pooled participants. The results showed that during hospital admission, there was a trend towards hazard with an invasive strategy, but it was not statistically significant. There was a peri-procedural two</w:t>
      </w:r>
      <w:r w:rsidR="00543B67">
        <w:rPr>
          <w:rFonts w:ascii="Times New Roman" w:hAnsi="Times New Roman" w:cs="Times New Roman"/>
          <w:sz w:val="24"/>
          <w:szCs w:val="24"/>
        </w:rPr>
        <w:t>-</w:t>
      </w:r>
      <w:r w:rsidRPr="00EC6C19">
        <w:rPr>
          <w:rFonts w:ascii="Times New Roman" w:hAnsi="Times New Roman" w:cs="Times New Roman"/>
          <w:sz w:val="24"/>
          <w:szCs w:val="24"/>
        </w:rPr>
        <w:t xml:space="preserve">fold increase in risk of myocardial infarction and </w:t>
      </w:r>
      <w:r w:rsidR="00543B67" w:rsidRPr="00EC6C19">
        <w:rPr>
          <w:rFonts w:ascii="Times New Roman" w:hAnsi="Times New Roman" w:cs="Times New Roman"/>
          <w:sz w:val="24"/>
          <w:szCs w:val="24"/>
        </w:rPr>
        <w:t>1.7-fold</w:t>
      </w:r>
      <w:r w:rsidRPr="00EC6C19">
        <w:rPr>
          <w:rFonts w:ascii="Times New Roman" w:hAnsi="Times New Roman" w:cs="Times New Roman"/>
          <w:sz w:val="24"/>
          <w:szCs w:val="24"/>
        </w:rPr>
        <w:t xml:space="preserve"> increase in bleeding. When comparing long term outcomes (&gt; 1 year) there was a significant reduction in death, non-fatal myocardial infarction and rehospitalisation in the invasive group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{"citationID":"5Rz6H6QD","properties":{"formattedCitation":"(Hoenig et al., 2006)","plainCitation":"(Hoenig et al., 2006)","dontUpdate":true,"noteIndex":0},"citationItems":[{"id":416,"uris":["http://zotero.org/users/local/k67tNDdX/items/K8SI5VQG"],"uri":["http://zotero.org/users/local/k67tNDdX/items/K8SI5VQG"],"itemData":{"id":416,"type":"article-journal","abstract":"BACKGROUND: In patients with unstable angina and non-ST-elevation myocardial infarction (UA/NSTEMI) two strategies are possible: a routine invasive strategy where all patients undergo coronary angiography shortly after admission and, if indicated, coronary revascularization; or a conservative strategy where medical therapy alone is used initially with selection of patients for angiography based on clinical symptoms or investigational evidence of persistent myocardial ischemia.\nOBJECTIVES: To determine the benefits of an invasive compared to a conservative strategy for treating UA/NSTEMI in the stent era.\nSEARCH STRATEGY: The Cochrane Central Register of Controlled Trials (Issue 3 2005), MEDLINE and EMBASE were searched from 1996 to September 2005 with no language restrictions.\nSELECTION CRITERIA: Included studies were prospective trials comparing invasive with conservative strategies in UA/NSTEMI.\nDATA COLLECTION AND ANALYSIS: We identified 5 studies (7818 participants). Using intention-to-treat analysis with random effects models, summary estimates of relative risk (95% confidence interval [CI]) were determined for primary end-points of all-cause death, fatal and non-fatal myocardial infarction; all-cause death or non-fatal myocardial infarction; and refractory angina. Further analysis of included studies was undertaken based on whether glycoprotein IIb/IIIa receptor antagonists were used routinely. Heterogeneity was assessed using chi-square and variance (I(2)) methods.\nMAIN RESULTS: In the all-study analysis, mortality during initial hospitalization showed a trend to hazard with an invasive strategy; relative risk 1.59 (95% CI 0.96 to 2.64). Mortality and myocardial infarction assessed at 2-5 years in two trials were significantly decreased by an invasive strategy with relative risk of 0.75 (95% CI 0.62 to 0.92) and 0.75 (95% CI 0.61 to 0.91) respectively. The composite end-point of death or non-fatal myocardial infarction was significantly decreased by an invasive strategy at several time points after initial hospitalization. The incidence of early (&lt;4 months) and intermediate (6-12 months) refractory angina were both significantly decreased by an invasive strategy; relative risk 0.47 (95% CI 0.32 to 0.68) and 0.67 (95% CI 0.55 to 0.83) respectively, as were early and intermediate rehospitalization rates with relative risk 0.60 (95% CI 0.41 to 0.88) and 0.67 (95% CI 0.61 to 0.74) respectively. The invasive strategy was associated with a two-fold increase in the relative risk of peri-procedural myocardial infarction (as variably defined) and a 1.7-fold increase in the relative risk of bleeding.\nAUTHORS' CONCLUSIONS: An early invasive strategy is preferable to a conservative strategy in the treatment of UA/NSTEMI.","container-title":"The Cochrane Database of Systematic Reviews","DOI":"10.1002/14651858.CD004815.pub2","ISSN":"1469-493X","issue":"3","journalAbbreviation":"Cochrane Database Syst Rev","language":"eng","note":"PMID: 16856061","page":"CD004815","source":"PubMed","title":"Early invasive versus conservative strategies for unstable angina &amp; non-ST-elevation myocardial infarction in the stent era","author":[{"family":"Hoenig","given":"M. R."},{"family":"Doust","given":"J. A."},{"family":"Aroney","given":"C. N."},{"family":"Scott","given":"I. A."}],"issued":{"date-parts":[["2006",7,19]]}}}],"schema":"https://github.com/citation-style-language/schema/raw/master/csl-citation.json"} </w:instrText>
      </w:r>
      <w:r w:rsidR="00106A32" w:rsidRPr="00EC6C19">
        <w:rPr>
          <w:rFonts w:ascii="Times New Roman" w:hAnsi="Times New Roman" w:cs="Times New Roman"/>
          <w:sz w:val="24"/>
          <w:szCs w:val="24"/>
        </w:rPr>
        <w:fldChar w:fldCharType="separate"/>
      </w:r>
      <w:r w:rsidR="00F04FED" w:rsidRPr="00EC6C19">
        <w:rPr>
          <w:rFonts w:ascii="Times New Roman" w:hAnsi="Times New Roman" w:cs="Times New Roman"/>
          <w:sz w:val="24"/>
          <w:szCs w:val="24"/>
        </w:rPr>
        <w:t xml:space="preserve">(Hoenig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3C6B86BA" w14:textId="77777777" w:rsidR="00BA34A2" w:rsidRPr="00EC6C19" w:rsidRDefault="00BA34A2" w:rsidP="00BD72A0">
      <w:pPr>
        <w:spacing w:line="360" w:lineRule="auto"/>
        <w:jc w:val="center"/>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15FFC20F" wp14:editId="0FC473AC">
            <wp:extent cx="5943600" cy="4182809"/>
            <wp:effectExtent l="19050" t="0" r="0" b="0"/>
            <wp:docPr id="3" name="Picture 1" descr="File:AMI bloodtests en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AMI bloodtests engl.png"/>
                    <pic:cNvPicPr>
                      <a:picLocks noChangeAspect="1" noChangeArrowheads="1"/>
                    </pic:cNvPicPr>
                  </pic:nvPicPr>
                  <pic:blipFill>
                    <a:blip r:embed="rId17"/>
                    <a:srcRect/>
                    <a:stretch>
                      <a:fillRect/>
                    </a:stretch>
                  </pic:blipFill>
                  <pic:spPr bwMode="auto">
                    <a:xfrm>
                      <a:off x="0" y="0"/>
                      <a:ext cx="5943600" cy="4182809"/>
                    </a:xfrm>
                    <a:prstGeom prst="rect">
                      <a:avLst/>
                    </a:prstGeom>
                    <a:noFill/>
                    <a:ln w="9525">
                      <a:noFill/>
                      <a:miter lim="800000"/>
                      <a:headEnd/>
                      <a:tailEnd/>
                    </a:ln>
                  </pic:spPr>
                </pic:pic>
              </a:graphicData>
            </a:graphic>
          </wp:inline>
        </w:drawing>
      </w:r>
    </w:p>
    <w:p w14:paraId="041C53B5" w14:textId="50C6BCAA" w:rsidR="00BA34A2" w:rsidRPr="000B3BC7" w:rsidRDefault="000B3BC7" w:rsidP="009C2BD2">
      <w:pPr>
        <w:pStyle w:val="Caption"/>
        <w:jc w:val="both"/>
        <w:rPr>
          <w:rFonts w:ascii="Times New Roman" w:hAnsi="Times New Roman" w:cs="Times New Roman"/>
          <w:b w:val="0"/>
          <w:i/>
          <w:color w:val="auto"/>
          <w:sz w:val="24"/>
          <w:szCs w:val="24"/>
          <w:shd w:val="clear" w:color="auto" w:fill="FFFFFF"/>
        </w:rPr>
      </w:pPr>
      <w:r>
        <w:rPr>
          <w:rFonts w:ascii="Times New Roman" w:hAnsi="Times New Roman" w:cs="Times New Roman"/>
          <w:b w:val="0"/>
          <w:i/>
          <w:color w:val="auto"/>
          <w:sz w:val="24"/>
          <w:szCs w:val="24"/>
        </w:rPr>
        <w:br/>
      </w:r>
      <w:bookmarkStart w:id="12" w:name="_Toc44684891"/>
      <w:r w:rsidRPr="000B3BC7">
        <w:rPr>
          <w:rFonts w:ascii="Times New Roman" w:hAnsi="Times New Roman" w:cs="Times New Roman"/>
          <w:b w:val="0"/>
          <w:i/>
          <w:color w:val="auto"/>
          <w:sz w:val="24"/>
          <w:szCs w:val="24"/>
        </w:rPr>
        <w:t xml:space="preserve">Figure </w:t>
      </w:r>
      <w:r w:rsidR="00106A32" w:rsidRPr="000B3BC7">
        <w:rPr>
          <w:rFonts w:ascii="Times New Roman" w:hAnsi="Times New Roman" w:cs="Times New Roman"/>
          <w:b w:val="0"/>
          <w:i/>
          <w:color w:val="auto"/>
          <w:sz w:val="24"/>
          <w:szCs w:val="24"/>
        </w:rPr>
        <w:fldChar w:fldCharType="begin"/>
      </w:r>
      <w:r w:rsidRPr="000B3BC7">
        <w:rPr>
          <w:rFonts w:ascii="Times New Roman" w:hAnsi="Times New Roman" w:cs="Times New Roman"/>
          <w:b w:val="0"/>
          <w:i/>
          <w:color w:val="auto"/>
          <w:sz w:val="24"/>
          <w:szCs w:val="24"/>
        </w:rPr>
        <w:instrText xml:space="preserve"> SEQ Figure \* ARABIC </w:instrText>
      </w:r>
      <w:r w:rsidR="00106A32" w:rsidRPr="000B3BC7">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w:t>
      </w:r>
      <w:r w:rsidR="00106A32" w:rsidRPr="000B3BC7">
        <w:rPr>
          <w:rFonts w:ascii="Times New Roman" w:hAnsi="Times New Roman" w:cs="Times New Roman"/>
          <w:b w:val="0"/>
          <w:i/>
          <w:color w:val="auto"/>
          <w:sz w:val="24"/>
          <w:szCs w:val="24"/>
        </w:rPr>
        <w:fldChar w:fldCharType="end"/>
      </w:r>
      <w:r w:rsidRPr="000B3BC7">
        <w:rPr>
          <w:rFonts w:ascii="Times New Roman" w:hAnsi="Times New Roman" w:cs="Times New Roman"/>
          <w:b w:val="0"/>
          <w:i/>
          <w:color w:val="auto"/>
          <w:sz w:val="24"/>
          <w:szCs w:val="24"/>
        </w:rPr>
        <w:t xml:space="preserve"> - Cardiac Biomarkers</w:t>
      </w:r>
      <w:r w:rsidR="00BA34A2" w:rsidRPr="000B3BC7">
        <w:rPr>
          <w:rFonts w:ascii="Times New Roman" w:hAnsi="Times New Roman" w:cs="Times New Roman"/>
          <w:b w:val="0"/>
          <w:i/>
          <w:color w:val="auto"/>
          <w:sz w:val="24"/>
          <w:szCs w:val="24"/>
        </w:rPr>
        <w:t xml:space="preserve"> - Biomarker peaks and troughs shown against time. CK-MB (</w:t>
      </w:r>
      <w:r w:rsidR="002146FC" w:rsidRPr="000B3BC7">
        <w:rPr>
          <w:rFonts w:ascii="Times New Roman" w:hAnsi="Times New Roman" w:cs="Times New Roman"/>
          <w:b w:val="0"/>
          <w:i/>
          <w:color w:val="auto"/>
          <w:sz w:val="24"/>
          <w:szCs w:val="24"/>
        </w:rPr>
        <w:t>Creatine</w:t>
      </w:r>
      <w:r w:rsidR="00BA34A2" w:rsidRPr="000B3BC7">
        <w:rPr>
          <w:rFonts w:ascii="Times New Roman" w:hAnsi="Times New Roman" w:cs="Times New Roman"/>
          <w:b w:val="0"/>
          <w:i/>
          <w:color w:val="auto"/>
          <w:sz w:val="24"/>
          <w:szCs w:val="24"/>
        </w:rPr>
        <w:t xml:space="preserve"> Kinase Muscle/Brain) peaks and falls earlier than troponin.</w:t>
      </w:r>
      <w:r w:rsidR="00543B67">
        <w:rPr>
          <w:rFonts w:ascii="Times New Roman" w:hAnsi="Times New Roman" w:cs="Times New Roman"/>
          <w:b w:val="0"/>
          <w:i/>
          <w:color w:val="auto"/>
          <w:sz w:val="24"/>
          <w:szCs w:val="24"/>
        </w:rPr>
        <w:t xml:space="preserve"> </w:t>
      </w:r>
      <w:r w:rsidR="00860B84" w:rsidRPr="000B3BC7">
        <w:rPr>
          <w:rFonts w:ascii="Times New Roman" w:hAnsi="Times New Roman" w:cs="Times New Roman"/>
          <w:b w:val="0"/>
          <w:i/>
          <w:color w:val="auto"/>
          <w:sz w:val="24"/>
          <w:szCs w:val="24"/>
        </w:rPr>
        <w:t xml:space="preserve">(J. Heuser JHeuser </w:t>
      </w:r>
      <w:r w:rsidR="00860B84" w:rsidRPr="000B3BC7">
        <w:rPr>
          <w:rFonts w:ascii="Times New Roman" w:hAnsi="Times New Roman" w:cs="Times New Roman"/>
          <w:b w:val="0"/>
          <w:i/>
          <w:color w:val="auto"/>
          <w:sz w:val="24"/>
          <w:szCs w:val="24"/>
        </w:rPr>
        <w:lastRenderedPageBreak/>
        <w:t xml:space="preserve">(https://commons.wikimedia.org/wiki/File:AMI_bloodtests_engl.png), AMI </w:t>
      </w:r>
      <w:r w:rsidR="007C7D90" w:rsidRPr="000B3BC7">
        <w:rPr>
          <w:rFonts w:ascii="Times New Roman" w:hAnsi="Times New Roman" w:cs="Times New Roman"/>
          <w:b w:val="0"/>
          <w:i/>
          <w:color w:val="auto"/>
          <w:sz w:val="24"/>
          <w:szCs w:val="24"/>
        </w:rPr>
        <w:t>blood tests</w:t>
      </w:r>
      <w:r w:rsidR="00860B84" w:rsidRPr="000B3BC7">
        <w:rPr>
          <w:rFonts w:ascii="Times New Roman" w:hAnsi="Times New Roman" w:cs="Times New Roman"/>
          <w:b w:val="0"/>
          <w:i/>
          <w:color w:val="auto"/>
          <w:sz w:val="24"/>
          <w:szCs w:val="24"/>
        </w:rPr>
        <w:t>engl, https://creativecommons.org/licenses/by-sa/3.0/legalcode)</w:t>
      </w:r>
      <w:bookmarkEnd w:id="12"/>
      <w:r w:rsidR="00543B67">
        <w:rPr>
          <w:rFonts w:ascii="Times New Roman" w:hAnsi="Times New Roman" w:cs="Times New Roman"/>
          <w:b w:val="0"/>
          <w:i/>
          <w:color w:val="auto"/>
          <w:sz w:val="24"/>
          <w:szCs w:val="24"/>
        </w:rPr>
        <w:t>.</w:t>
      </w:r>
    </w:p>
    <w:p w14:paraId="727A7A11" w14:textId="77777777" w:rsidR="00586518" w:rsidRPr="00EC6C19" w:rsidRDefault="00586518" w:rsidP="00835908">
      <w:pPr>
        <w:spacing w:line="360" w:lineRule="auto"/>
        <w:rPr>
          <w:rFonts w:ascii="Times New Roman" w:hAnsi="Times New Roman" w:cs="Times New Roman"/>
          <w:sz w:val="24"/>
          <w:szCs w:val="24"/>
        </w:rPr>
      </w:pPr>
    </w:p>
    <w:p w14:paraId="5FA9E352" w14:textId="77777777" w:rsidR="00835908" w:rsidRDefault="00C54823" w:rsidP="00DB2C7E">
      <w:pPr>
        <w:pStyle w:val="Heading2"/>
        <w:spacing w:line="360" w:lineRule="auto"/>
        <w:rPr>
          <w:rFonts w:ascii="Times New Roman" w:hAnsi="Times New Roman" w:cs="Times New Roman"/>
          <w:color w:val="auto"/>
          <w:sz w:val="24"/>
          <w:szCs w:val="24"/>
        </w:rPr>
      </w:pPr>
      <w:bookmarkStart w:id="13" w:name="_Toc80302158"/>
      <w:r>
        <w:rPr>
          <w:rFonts w:ascii="Times New Roman" w:hAnsi="Times New Roman" w:cs="Times New Roman"/>
          <w:color w:val="auto"/>
          <w:sz w:val="24"/>
          <w:szCs w:val="24"/>
        </w:rPr>
        <w:t xml:space="preserve">1.2 - </w:t>
      </w:r>
      <w:r w:rsidR="00442068" w:rsidRPr="00DB2C7E">
        <w:rPr>
          <w:rFonts w:ascii="Times New Roman" w:hAnsi="Times New Roman" w:cs="Times New Roman"/>
          <w:color w:val="auto"/>
          <w:sz w:val="24"/>
          <w:szCs w:val="24"/>
        </w:rPr>
        <w:t>Chronic Coronary Syndrome</w:t>
      </w:r>
      <w:bookmarkEnd w:id="13"/>
    </w:p>
    <w:p w14:paraId="1382B874" w14:textId="77777777" w:rsidR="00DB2C7E" w:rsidRPr="00DB2C7E" w:rsidRDefault="00DB2C7E" w:rsidP="00DB2C7E"/>
    <w:p w14:paraId="082072C6" w14:textId="77777777" w:rsidR="00835908" w:rsidRPr="00EC6C19" w:rsidRDefault="0083590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Stable angina by definition is the presence of cardiac chest pain on exertion or with emotional stress, which is relieved by rest or administration of nitroglycerin</w:t>
      </w:r>
      <w:r w:rsidR="00DC4A2F"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{"citationID":"FGXC4PkC","properties":{"formattedCitation":"(Ohman, 2016)","plainCitation":"(Ohman, 2016)","noteIndex":0},"citationItems":[{"id":238,"uris":["http://zotero.org/users/local/k67tNDdX/items/9Q7V27QJ"],"uri":["http://zotero.org/users/local/k67tNDdX/items/9Q7V27QJ"],"itemData":{"id":238,"type":"article-journal","abstract":"ForewordThis Journal feature begins with a case vignette highlighting a common clinical problem. Evidence supporting various strategies is then presented, followed by a review of formal guidelines, when they exist. The article ends with the author’s clinical recommendations. StageA 73-year-old farmer with a 15-month history of stable angina presents for consultation. He has curtailed his farming activity to avoid chest discomfort, for which he uses nitroglycerin (0.4 mg sublingually) approximately 3 times per month. His heart rate is 59 beats per minute, and his blood pressure is 132/72 mm Hg. He had unstable angina 12 years earlier, and a drug-eluting stent was implanted in his left anterior descending artery; no other obstructive coronary artery disease was noted at that time. His medications include aspirin, lisinopril (20 mg daily) for hypertension, and atorvastatin (40 mg daily). How should . . .","container-title":"New England Journal of Medicine","DOI":"10.1056/NEJMcp1502240","ISSN":"0028-4793","issue":"12","note":"PMID: 27007960","page":"1167-1176","source":"Taylor and Francis+NEJM","title":"Chronic Stable Angina","volume":"374","author":[{"family":"Ohman","given":"E. Magnus"}],"issued":{"date-parts":[["2016",3,24]]}}}],"schema":"https://github.com/citation-style-language/schema/raw/master/csl-citation.json"}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(Ohman, 2016)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5FDFB972" w14:textId="77777777" w:rsidR="00B012DC" w:rsidRPr="00EC6C19" w:rsidRDefault="00DC4A2F"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The assessment and treatment of stable coronary artery disease has been a fierce topic of debate for decades. Th</w:t>
      </w:r>
      <w:r w:rsidR="00AA67A5" w:rsidRPr="00EC6C19">
        <w:rPr>
          <w:rFonts w:ascii="Times New Roman" w:hAnsi="Times New Roman" w:cs="Times New Roman"/>
          <w:sz w:val="24"/>
          <w:szCs w:val="24"/>
        </w:rPr>
        <w:t>e role of coronary stenting</w:t>
      </w:r>
      <w:r w:rsidR="00DA1AD3" w:rsidRPr="00EC6C19">
        <w:rPr>
          <w:rFonts w:ascii="Times New Roman" w:hAnsi="Times New Roman" w:cs="Times New Roman"/>
          <w:sz w:val="24"/>
          <w:szCs w:val="24"/>
        </w:rPr>
        <w:t xml:space="preserve"> as opposed to medical therapy</w:t>
      </w:r>
      <w:r w:rsidR="00AA67A5" w:rsidRPr="00EC6C19">
        <w:rPr>
          <w:rFonts w:ascii="Times New Roman" w:hAnsi="Times New Roman" w:cs="Times New Roman"/>
          <w:sz w:val="24"/>
          <w:szCs w:val="24"/>
        </w:rPr>
        <w:t xml:space="preserve"> in </w:t>
      </w:r>
      <w:r w:rsidR="00DA1AD3" w:rsidRPr="00EC6C19">
        <w:rPr>
          <w:rFonts w:ascii="Times New Roman" w:hAnsi="Times New Roman" w:cs="Times New Roman"/>
          <w:sz w:val="24"/>
          <w:szCs w:val="24"/>
        </w:rPr>
        <w:t>stable coronary artery disease</w:t>
      </w:r>
      <w:r w:rsidR="00AA67A5" w:rsidRPr="00EC6C19">
        <w:rPr>
          <w:rFonts w:ascii="Times New Roman" w:hAnsi="Times New Roman" w:cs="Times New Roman"/>
          <w:sz w:val="24"/>
          <w:szCs w:val="24"/>
        </w:rPr>
        <w:t xml:space="preserve"> remains</w:t>
      </w:r>
      <w:r w:rsidRPr="00EC6C19">
        <w:rPr>
          <w:rFonts w:ascii="Times New Roman" w:hAnsi="Times New Roman" w:cs="Times New Roman"/>
          <w:sz w:val="24"/>
          <w:szCs w:val="24"/>
        </w:rPr>
        <w:t xml:space="preserve"> controversial.</w:t>
      </w:r>
      <w:r w:rsidR="00AA67A5" w:rsidRPr="00EC6C19">
        <w:rPr>
          <w:rFonts w:ascii="Times New Roman" w:hAnsi="Times New Roman" w:cs="Times New Roman"/>
          <w:sz w:val="24"/>
          <w:szCs w:val="24"/>
        </w:rPr>
        <w:t xml:space="preserve"> This controversy has driven technological expansion, leading to huge interest in the assessment of stenosis severity, which is the basis of this study and thesis. </w:t>
      </w:r>
    </w:p>
    <w:p w14:paraId="24DA2800" w14:textId="7777777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Coronary stenting has been compared with optimal medical therapy (OMT) in multiple randomised controlled trials. Results have been mixed, but no single trial has shown a reduction in mortality or rate of myocardial infarction, from the use of coronary stents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{"citationID":"sc4BdZtv","properties":{"formattedCitation":"(Al-Lamee, Davies and Malik, 2016)","plainCitation":"(Al-Lamee, Davies and Malik, 2016)","noteIndex":0},"citationItems":[{"id":375,"uris":["http://zotero.org/users/local/k67tNDdX/items/6IBZZJBZ"],"uri":["http://zotero.org/users/local/k67tNDdX/items/6IBZZJBZ"],"itemData":{"id":375,"type":"article-journal","abstract":"#### What you need to know\n\nStable angina refers to chest discomfort that is classically retrosternal, triggered by exertion, and relieved by rest or nitrates within minutes. Unstable symptoms, such as those occurring at rest or persisting when activity stops, suggest an acute coronary syndrome and will not be discussed here.1 More than one million people in the United Kingdom live with stable coronary artery disease (CAD), with an annual mortality rate of 1.5%.2 3 It is associated with long term morbidity and has serious effects on quality of life.4 Treatment options include medical therapy, coronary angioplasty with or without stenting (percutaneous coronary intervention; PCI), and coronary artery bypass surgery (CABG), for which guidelines from the UK’s National Institute for Health and Care Excellence (NICE) and European Society of cardiology (ESC) exist.5 6 However, patients’ and doctors’ expectations of potentials benefits of PCI in stable CAD are often overstated.7 This article focuses on the limited evidence base and indications for PCI in stable angina.\n\n#### Sources and selection criteria\n\nWe searched Medline and the Cochrane Library using terms from a previous systematic review of treatment of stable angina (“stable angina”, “percutaneous coronary intervention”, and “medical therapy”),8 updated to March 2015. We also drew on our experience of coronary angioplasty and medical treatment of patients with stable coronary artery disease and our knowledge of NICE and ESC guidance.\n\n### The two main goals are risk factor modification and symptomatic relief\n\n### Risk factor modification","container-title":"BMJ","DOI":"10.1136/bmj.i205","ISSN":"1756-1833","journalAbbreviation":"BMJ","language":"en","note":"PMID: 26850069","page":"i205","source":"www.bmj.com","title":"What is the role of coronary angioplasty and stenting in stable angina?","volume":"352","author":[{"family":"Al-Lamee","given":"Rasha"},{"family":"Davies","given":"Justin"},{"family":"Malik","given":"Iqbal S."}],"issued":{"date-parts":[["2016",2,5]]}}}],"schema":"https://github.com/citation-style-language/schema/raw/master/csl-citation.json"}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(Al-Lamee, Davies and Malik, 2016)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603D5CD1" w14:textId="3D418CF2"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The COURAGE trial, published in the New England Journal of Medicine in 2007, was one of the first landmark trials comparing OMT to PCI over a </w:t>
      </w:r>
      <w:r w:rsidR="00543B67" w:rsidRPr="00EC6C19">
        <w:rPr>
          <w:rFonts w:ascii="Times New Roman" w:hAnsi="Times New Roman" w:cs="Times New Roman"/>
          <w:sz w:val="24"/>
          <w:szCs w:val="24"/>
        </w:rPr>
        <w:t>five-year</w:t>
      </w:r>
      <w:r w:rsidRPr="00EC6C19">
        <w:rPr>
          <w:rFonts w:ascii="Times New Roman" w:hAnsi="Times New Roman" w:cs="Times New Roman"/>
          <w:sz w:val="24"/>
          <w:szCs w:val="24"/>
        </w:rPr>
        <w:t xml:space="preserve"> follow-up period. There was no reduction in death or </w:t>
      </w:r>
      <w:r w:rsidR="00543B67" w:rsidRPr="00EC6C19">
        <w:rPr>
          <w:rFonts w:ascii="Times New Roman" w:hAnsi="Times New Roman" w:cs="Times New Roman"/>
          <w:sz w:val="24"/>
          <w:szCs w:val="24"/>
        </w:rPr>
        <w:t>non-fatal</w:t>
      </w:r>
      <w:r w:rsidRPr="00EC6C19">
        <w:rPr>
          <w:rFonts w:ascii="Times New Roman" w:hAnsi="Times New Roman" w:cs="Times New Roman"/>
          <w:sz w:val="24"/>
          <w:szCs w:val="24"/>
        </w:rPr>
        <w:t xml:space="preserve"> myocardial infarction when comparing PCI to OMT. There was however a significant difference in the need for revascularisation, favouring the PCI group. There was also a numerical difference in the amount of patients who were angina free, again favouring PCI, although this did not reach statistical significance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{"citationID":"2Hl1UjK5","properties":{"formattedCitation":"(Boden et al., 2007)","plainCitation":"(Boden et al., 2007)","dontUpdate":true,"noteIndex":0},"citationItems":[{"id":381,"uris":["http://zotero.org/users/local/k67tNDdX/items/8EYA3Q7A"],"uri":["http://zotero.org/users/local/k67tNDdX/items/8EYA3Q7A"],"itemData":{"id":381,"type":"article-journal","abstract":"BACKGROUND: In patients with stable coronary artery disease, it remains unclear whether an initial management strategy of percutaneous coronary intervention (PCI) with intensive pharmacologic therapy and lifestyle intervention (optimal medical therapy) is superior to optimal medical therapy alone in reducing the risk of cardiovascular events.\nMETHODS: We conducted a randomized trial involving 2287 patients who had objective evidence of myocardial ischemia and significant coronary artery disease at 50 U.S. and Canadian centers. Between 1999 and 2004, we assigned 1149 patients to undergo PCI with optimal medical therapy (PCI group) and 1138 to receive optimal medical therapy alone (medical-therapy group). The primary outcome was death from any cause and nonfatal myocardial infarction during a follow-up period of 2.5 to 7.0 years (median, 4.6).\nRESULTS: There were 211 primary events in the PCI group and 202 events in the medical-therapy group. The 4.6-year cumulative primary-event rates were 19.0% in the PCI group and 18.5% in the medical-therapy group (hazard ratio for the PCI group, 1.05; 95% confidence interval [CI], 0.87 to 1.27; P=0.62). There were no significant differences between the PCI group and the medical-therapy group in the composite of death, myocardial infarction, and stroke (20.0% vs. 19.5%; hazard ratio, 1.05; 95% CI, 0.87 to 1.27; P=0.62); hospitalization for acute coronary syndrome (12.4% vs. 11.8%; hazard ratio, 1.07; 95% CI, 0.84 to 1.37; P=0.56); or myocardial infarction (13.2% vs. 12.3%; hazard ratio, 1.13; 95% CI, 0.89 to 1.43; P=0.33).\nCONCLUSIONS: As an initial management strategy in patients with stable coronary artery disease, PCI did not reduce the risk of death, myocardial infarction, or other major cardiovascular events when added to optimal medical therapy. (ClinicalTrials.gov number, NCT00007657 [ClinicalTrials.gov].).","container-title":"The New England Journal of Medicine","DOI":"10.1056/NEJMoa070829","ISSN":"1533-4406","issue":"15","journalAbbreviation":"N. Engl. J. Med.","language":"eng","note":"PMID: 17387127","page":"1503-1516","source":"PubMed","title":"Optimal medical therapy with or without PCI for stable coronary disease","volume":"356","author":[{"family":"Boden","given":"William E."},{"family":"O'Rourke","given":"Robert A."},{"family":"Teo","given":"Koon K."},{"family":"Hartigan","given":"Pamela M."},{"family":"Maron","given":"David J."},{"family":"Kostuk","given":"William J."},{"family":"Knudtson","given":"Merril"},{"family":"Dada","given":"Marcin"},{"family":"Casperson","given":"Paul"},{"family":"Harris","given":"Crystal L."},{"family":"Chaitman","given":"Bernard R."},{"family":"Shaw","given":"Leslee"},{"family":"Gosselin","given":"Gilbert"},{"family":"Nawaz","given":"Shah"},{"family":"Title","given":"Lawrence M."},{"family":"Gau","given":"Gerald"},{"family":"Blaustein","given":"Alvin S."},{"family":"Booth","given":"David C."},{"family":"Bates","given":"Eric R."},{"family":"Spertus","given":"John A."},{"family":"Berman","given":"Daniel S."},{"family":"Mancini","given":"G. B. John"},{"family":"Weintraub","given":"William S."},{"literal":"COURAGE Trial Research Group"}],"issued":{"date-parts":[["2007",4,12]]}}}],"schema":"https://github.com/citation-style-language/schema/raw/master/csl-citation.json"} </w:instrText>
      </w:r>
      <w:r w:rsidR="00106A32" w:rsidRPr="00EC6C19">
        <w:rPr>
          <w:rFonts w:ascii="Times New Roman" w:hAnsi="Times New Roman" w:cs="Times New Roman"/>
          <w:sz w:val="24"/>
          <w:szCs w:val="24"/>
        </w:rPr>
        <w:fldChar w:fldCharType="separate"/>
      </w:r>
      <w:r w:rsidR="00F04FED" w:rsidRPr="00EC6C19">
        <w:rPr>
          <w:rFonts w:ascii="Times New Roman" w:hAnsi="Times New Roman" w:cs="Times New Roman"/>
          <w:sz w:val="24"/>
          <w:szCs w:val="24"/>
        </w:rPr>
        <w:t xml:space="preserve">(Boden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2007)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2D1EAF72" w14:textId="16C8E54D"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MASS II was a</w:t>
      </w:r>
      <w:r w:rsidR="00EC5FDC" w:rsidRPr="00EC6C19">
        <w:rPr>
          <w:rFonts w:ascii="Times New Roman" w:hAnsi="Times New Roman" w:cs="Times New Roman"/>
          <w:sz w:val="24"/>
          <w:szCs w:val="24"/>
        </w:rPr>
        <w:t xml:space="preserve"> </w:t>
      </w:r>
      <w:r w:rsidRPr="00EC6C19">
        <w:rPr>
          <w:rFonts w:ascii="Times New Roman" w:hAnsi="Times New Roman" w:cs="Times New Roman"/>
          <w:sz w:val="24"/>
          <w:szCs w:val="24"/>
        </w:rPr>
        <w:t>t</w:t>
      </w:r>
      <w:r w:rsidR="00EC5FDC" w:rsidRPr="00EC6C19">
        <w:rPr>
          <w:rFonts w:ascii="Times New Roman" w:hAnsi="Times New Roman" w:cs="Times New Roman"/>
          <w:sz w:val="24"/>
          <w:szCs w:val="24"/>
        </w:rPr>
        <w:t>riple</w:t>
      </w:r>
      <w:r w:rsidRPr="00EC6C19">
        <w:rPr>
          <w:rFonts w:ascii="Times New Roman" w:hAnsi="Times New Roman" w:cs="Times New Roman"/>
          <w:sz w:val="24"/>
          <w:szCs w:val="24"/>
        </w:rPr>
        <w:t xml:space="preserve"> armed trial comparing OMT, coronary artery bypass grafting and PCI. PCI was found to be superior to medical therapy over a </w:t>
      </w:r>
      <w:r w:rsidR="00543B67" w:rsidRPr="00EC6C19">
        <w:rPr>
          <w:rFonts w:ascii="Times New Roman" w:hAnsi="Times New Roman" w:cs="Times New Roman"/>
          <w:sz w:val="24"/>
          <w:szCs w:val="24"/>
        </w:rPr>
        <w:t>10-year</w:t>
      </w:r>
      <w:r w:rsidRPr="00EC6C19">
        <w:rPr>
          <w:rFonts w:ascii="Times New Roman" w:hAnsi="Times New Roman" w:cs="Times New Roman"/>
          <w:sz w:val="24"/>
          <w:szCs w:val="24"/>
        </w:rPr>
        <w:t xml:space="preserve"> follow-up period, with regards to incidence of angina. Myocardial infarction rate favoured the use of PCI but was not statistically significant</w:t>
      </w:r>
      <w:r w:rsidR="00F04FED"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{"citationID":"o1ORYAK0","properties":{"formattedCitation":"(Hueb et al., 2010)","plainCitation":"(Hueb et al., 2010)","dontUpdate":true,"noteIndex":0},"citationItems":[{"id":383,"uris":["http://zotero.org/users/local/k67tNDdX/items/MFH88GZS"],"uri":["http://zotero.org/users/local/k67tNDdX/items/MFH88GZS"],"itemData":{"id":383,"type":"article-journal","abstract":"Background— This study compared the 10-year follow-up of percutaneous coronary intervention (PCI), coronary artery surgery (CABG), and medical treatment (MT) in patients with multivessel coronary artery disease, stable angina, and preserved ventricular function.\nMethods and Results— The primary end points were overall mortality, Q-wave myocardial infarction, or refractory angina that required revascularization. All data were analyzed according to the intention-to-treat principle. At a single institution, 611 patients were randomly assigned to CABG (n=203), PCI (n=205), or MT (n=203). The 10-year survival rates were 74.9% with CABG, 75.1% with PCI, and 69% with MT (P=0.089). The 10-year rates of myocardial infarction were 10.3% with CABG, 13.3% with PCI, and 20.7% with MT (P&lt;0.010). The 10-year rates of additional revascularizations were 7.4% with CABG, 41.9% with PCI, and 39.4% with MT (P&lt;0.001). Relative to the composite end point, Cox regression analysis showed a higher incidence of primary events in MT than in CABG (hazard ratio 2.35, 95% confidence interval 1.78 to 3.11) and in PCI than in CABG (hazard ratio 1.85, 95% confidence interval 1.39 to 2.47). Furthermore, 10-year rates of freedom from angina were 64% with CABG, 59% with PCI, and 43% with MT (P&lt;0.001).\nConclusions— Compared with CABG, MT was associated with a significantly higher incidence of subsequent myocardial infarction, a higher rate of additional revascularization, a higher incidence of cardiac death, and consequently a 2.29-fold increased risk of combined events. PCI was associated with an increased need for further revascularization, a higher incidence of myocardial infarction, and a 1.46-fold increased risk of combined events compared with CABG. Additionally, CABG was better than MT at eliminating anginal symptoms.\nClinical Trial Registration Information— URL: http://www.controlled-trials.com. Registration number: ISRCTN66068876.","container-title":"Circulation","DOI":"10.1161/CIRCULATIONAHA.109.911669","ISSN":"0009-7322, 1524-4539","issue":"10","language":"en","note":"PMID: 20733102","page":"949-957","source":"circ.ahajournals.org","title":"Ten-Year Follow-Up Survival of the Medicine, Angioplasty, or Surgery Study (MASS II): A Randomized Controlled Clinical Trial of 3 Therapeutic Strategies for Multivessel Coronary Artery Disease","title-short":"Ten-Year Follow-Up Survival of the Medicine, Angioplasty, or Surgery Study (MASS II)","volume":"122","author":[{"family":"Hueb","given":"Whady"},{"family":"Lopes","given":"Neuza"},{"family":"Gersh","given":"Bernard J."},{"family":"Soares","given":"Paulo R."},{"family":"Ribeiro","given":"Expedito E."},{"family":"Pereira","given":"Alexandre C."},{"family":"Favarato","given":"Desiderio"},{"family":"Rocha","given":"Antonio Sérgio C."},{"family":"Hueb","given":"Alexandre C."},{"family":"Ramires","given":"Jose A. F."}],"issued":{"date-parts":[["2010",9,7]]}}}],"schema":"https://github.com/citation-style-language/schema/raw/master/csl-citation.json"} </w:instrText>
      </w:r>
      <w:r w:rsidR="00106A32" w:rsidRPr="00EC6C19">
        <w:rPr>
          <w:rFonts w:ascii="Times New Roman" w:hAnsi="Times New Roman" w:cs="Times New Roman"/>
          <w:sz w:val="24"/>
          <w:szCs w:val="24"/>
        </w:rPr>
        <w:fldChar w:fldCharType="separate"/>
      </w:r>
      <w:r w:rsidR="00F04FED" w:rsidRPr="00EC6C19">
        <w:rPr>
          <w:rFonts w:ascii="Times New Roman" w:hAnsi="Times New Roman" w:cs="Times New Roman"/>
          <w:sz w:val="24"/>
          <w:szCs w:val="24"/>
        </w:rPr>
        <w:t xml:space="preserve">(Hueb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0D3D6303" w14:textId="000C19A2"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lastRenderedPageBreak/>
        <w:t xml:space="preserve">BARI-2D was a trial </w:t>
      </w:r>
      <w:r w:rsidR="00543B67">
        <w:rPr>
          <w:rFonts w:ascii="Times New Roman" w:hAnsi="Times New Roman" w:cs="Times New Roman"/>
          <w:sz w:val="24"/>
          <w:szCs w:val="24"/>
        </w:rPr>
        <w:t xml:space="preserve">in </w:t>
      </w:r>
      <w:r w:rsidRPr="00EC6C19">
        <w:rPr>
          <w:rFonts w:ascii="Times New Roman" w:hAnsi="Times New Roman" w:cs="Times New Roman"/>
          <w:sz w:val="24"/>
          <w:szCs w:val="24"/>
        </w:rPr>
        <w:t xml:space="preserve">diabetic patients, randomised to OMT or PCI. PCI showed demonstrable benefit with regards to reduction in angina, and rate of revascularisation. There was no difference in death or myocardial infarction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{"citationID":"bcklyX7k","properties":{"formattedCitation":"(BARI 2D Study Group et al., 2009)","plainCitation":"(BARI 2D Study Group et al., 2009)","dontUpdate":true,"noteIndex":0},"citationItems":[{"id":387,"uris":["http://zotero.org/users/local/k67tNDdX/items/XHF3NTKT"],"uri":["http://zotero.org/users/local/k67tNDdX/items/XHF3NTKT"],"itemData":{"id":387,"type":"article-journal","abstract":"BACKGROUND: Optimal treatment for patients with both type 2 diabetes mellitus and stable ischemic heart disease has not been established.\nMETHODS: We randomly assigned 2368 patients with both type 2 diabetes and heart disease to undergo either prompt revascularization with intensive medical therapy or intensive medical therapy alone and to undergo either insulin-sensitization or insulin-provision therapy. Primary end points were the rate of death and a composite of death, myocardial infarction, or stroke (major cardiovascular events). Randomization was stratified according to the choice of percutaneous coronary intervention (PCI) or coronary-artery bypass grafting (CABG) as the more appropriate intervention.\nRESULTS: At 5 years, rates of survival did not differ significantly between the revascularization group (88.3%) and the medical-therapy group (87.8%, P=0.97) or between the insulin-sensitization group (88.2%) and the insulin-provision group (87.9%, P=0.89). The rates of freedom from major cardiovascular events also did not differ significantly among the groups: 77.2% in the revascularization group and 75.9% in the medical-treatment group (P=0.70) and 77.7% in the insulin-sensitization group and 75.4% in the insulin-provision group (P=0.13). In the PCI stratum, there was no significant difference in primary end points between the revascularization group and the medical-therapy group. In the CABG stratum, the rate of major cardiovascular events was significantly lower in the revascularization group (22.4%) than in the medical-therapy group (30.5%, P=0.01; P=0.002 for interaction between stratum and study group). Adverse events and serious adverse events were generally similar among the groups, although severe hypoglycemia was more frequent in the insulin-provision group (9.2%) than in the insulin-sensitization group (5.9%, P=0.003).\nCONCLUSIONS: Overall, there was no significant difference in the rates of death and major cardiovascular events between patients undergoing prompt revascularization and those undergoing medical therapy or between strategies of insulin sensitization and insulin provision. (ClinicalTrials.gov number, NCT00006305.)","container-title":"The New England Journal of Medicine","DOI":"10.1056/NEJMoa0805796","ISSN":"1533-4406","issue":"24","journalAbbreviation":"N. Engl. J. Med.","language":"eng","note":"PMID: 19502645\nPMCID: PMC2863990","page":"2503-2515","source":"PubMed","title":"A randomized trial of therapies for type 2 diabetes and coronary artery disease","volume":"360","author":[{"literal":"BARI 2D Study Group"},{"family":"Frye","given":"Robert L."},{"family":"August","given":"Phyllis"},{"family":"Brooks","given":"Maria Mori"},{"family":"Hardison","given":"Regina M."},{"family":"Kelsey","given":"Sheryl F."},{"family":"MacGregor","given":"Joan M."},{"family":"Orchard","given":"Trevor J."},{"family":"Chaitman","given":"Bernard R."},{"family":"Genuth","given":"Saul M."},{"family":"Goldberg","given":"Suzanne H."},{"family":"Hlatky","given":"Mark A."},{"family":"Jones","given":"Teresa L. Z."},{"family":"Molitch","given":"Mark E."},{"family":"Nesto","given":"Richard W."},{"family":"Sako","given":"Edward Y."},{"family":"Sobel","given":"Burton E."}],"issued":{"date-parts":[["2009",6,11]]}}}],"schema":"https://github.com/citation-style-language/schema/raw/master/csl-citation.json"} </w:instrText>
      </w:r>
      <w:r w:rsidR="00106A32" w:rsidRPr="00EC6C19">
        <w:rPr>
          <w:rFonts w:ascii="Times New Roman" w:hAnsi="Times New Roman" w:cs="Times New Roman"/>
          <w:sz w:val="24"/>
          <w:szCs w:val="24"/>
        </w:rPr>
        <w:fldChar w:fldCharType="separate"/>
      </w:r>
      <w:r w:rsidR="00F04FED" w:rsidRPr="00EC6C19">
        <w:rPr>
          <w:rFonts w:ascii="Times New Roman" w:hAnsi="Times New Roman" w:cs="Times New Roman"/>
          <w:sz w:val="24"/>
          <w:szCs w:val="24"/>
        </w:rPr>
        <w:t xml:space="preserve">(BARI 2D Study Group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2009)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070C1F38" w14:textId="7777777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From the three trials above, two showed a significant reduction in rates of angina, and two the need for repeat revascularisation. None showed a mortality difference, with one showing a reduction in myocardial infarction rate in diabetic patients. It is worth considering the limitations of these randomised control trials, including the use of older PCI techniques, high rates of crossover from OMT to PCI groups, and the possibility of bias, due to the un-blinded nature of the trials. It has also been proposed that study power was not enough to meet the endpoint of mortality and softer endpoints such as symptom severity are subjective. More recent studies have attempted to use exercise time as a more reliable end-point for symptomatic relief after PCI, but showed no statistical improvement over OMT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{"citationID":"sY2toTXn","properties":{"formattedCitation":"(Al-Lamee et al., 2018)","plainCitation":"(Al-Lamee et al., 2018)","dontUpdate":true,"noteIndex":0},"citationItems":[{"id":400,"uris":["http://zotero.org/users/local/k67tNDdX/items/UPIYJIXA"],"uri":["http://zotero.org/users/local/k67tNDdX/items/UPIYJIXA"],"itemData":{"id":400,"type":"article-journal","abstract":"BACKGROUND: Symptomatic relief is the primary goal of percutaneous coronary intervention (PCI) in stable angina and is commonly observed clinically. However, there is no evidence from blinded, placebo-controlled randomised trials to show its efficacy.\nMETHODS: ORBITA is a blinded, multicentre randomised trial of PCI versus a placebo procedure for angina relief that was done at five study sites in the UK. We enrolled patients with severe (≥70%) single-vessel stenoses. After enrolment, patients received 6 weeks of medication optimisation. Patients then had pre-randomisation assessments with cardiopulmonary exercise testing, symptom questionnaires, and dobutamine stress echocardiography. Patients were randomised 1:1 to undergo PCI or a placebo procedure by use of an automated online randomisation tool. After 6 weeks of follow-up, the assessments done before randomisation were repeated at the final assessment. The primary endpoint was difference in exercise time increment between groups. All analyses were based on the intention-to-treat principle and the study population contained all participants who underwent randomisation. This study is registered with ClinicalTrials.gov, number NCT02062593.\nFINDINGS: ORBITA enrolled 230 patients with ischaemic symptoms. After the medication optimisation phase and between Jan 6, 2014, and Aug 11, 2017, 200 patients underwent randomisation, with 105 patients assigned PCI and 95 assigned the placebo procedure. Lesions had mean area stenosis of 84·4% (SD 10·2), fractional flow reserve of 0·69 (0·16), and instantaneous wave-free ratio of 0·76 (0·22). There was no significant difference in the primary endpoint of exercise time increment between groups (PCI minus placebo 16·6 s, 95% CI -8·9 to 42·0, p=0·200). There were no deaths. Serious adverse events included four pressure-wire related complications in the placebo group, which required PCI, and five major bleeding events, including two in the PCI group and three in the placebo group.\nINTERPRETATION: In patients with medically treated angina and severe coronary stenosis, PCI did not increase exercise time by more than the effect of a placebo procedure. The efficacy of invasive procedures can be assessed with a placebo control, as is standard for pharmacotherapy.\nFUNDING: NIHR Imperial Biomedical Research Centre, Foundation for Circulatory Health, Imperial College Healthcare Charity, Philips Volcano, NIHR Barts Biomedical Research Centre.","container-title":"Lancet (London, England)","DOI":"10.1016/S0140-6736(17)32714-9","ISSN":"1474-547X","issue":"10115","journalAbbreviation":"Lancet","language":"eng","note":"PMID: 29103656","page":"31-40","source":"PubMed","title":"Percutaneous coronary intervention in stable angina (ORBITA): a double-blind, randomised controlled trial","title-short":"Percutaneous coronary intervention in stable angina (ORBITA)","volume":"391","author":[{"family":"Al-Lamee","given":"Rasha"},{"family":"Thompson","given":"David"},{"family":"Dehbi","given":"Hakim-Moulay"},{"family":"Sen","given":"Sayan"},{"family":"Tang","given":"Kare"},{"family":"Davies","given":"John"},{"family":"Keeble","given":"Thomas"},{"family":"Mielewczik","given":"Michael"},{"family":"Kaprielian","given":"Raffi"},{"family":"Malik","given":"Iqbal S."},{"family":"Nijjer","given":"Sukhjinder S."},{"family":"Petraco","given":"Ricardo"},{"family":"Cook","given":"Christopher"},{"family":"Ahmad","given":"Yousif"},{"family":"Howard","given":"James"},{"family":"Baker","given":"Christopher"},{"family":"Sharp","given":"Andrew"},{"family":"Gerber","given":"Robert"},{"family":"Talwar","given":"Suneel"},{"family":"Assomull","given":"Ravi"},{"family":"Mayet","given":"Jamil"},{"family":"Wensel","given":"Roland"},{"family":"Collier","given":"David"},{"family":"Shun-Shin","given":"Matthew"},{"family":"Thom","given":"Simon A."},{"family":"Davies","given":"Justin E."},{"family":"Francis","given":"Darrel P."},{"literal":"ORBITA investigators"}],"issued":{"date-parts":[["2018"]],"season":"06"}}}],"schema":"https://github.com/citation-style-language/schema/raw/master/csl-citation.json"} </w:instrText>
      </w:r>
      <w:r w:rsidR="00106A32" w:rsidRPr="00EC6C19">
        <w:rPr>
          <w:rFonts w:ascii="Times New Roman" w:hAnsi="Times New Roman" w:cs="Times New Roman"/>
          <w:sz w:val="24"/>
          <w:szCs w:val="24"/>
        </w:rPr>
        <w:fldChar w:fldCharType="separate"/>
      </w:r>
      <w:r w:rsidR="00F04FED" w:rsidRPr="00EC6C19">
        <w:rPr>
          <w:rFonts w:ascii="Times New Roman" w:hAnsi="Times New Roman" w:cs="Times New Roman"/>
          <w:sz w:val="24"/>
          <w:szCs w:val="24"/>
        </w:rPr>
        <w:t xml:space="preserve">(Al-Lamee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77165280" w14:textId="7777777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Meta-analyses have supported the use of PCI in the relief of anginal symptoms, with a significant reduction in angina with the use of PCI. </w:t>
      </w:r>
      <w:r w:rsidR="002146FC" w:rsidRPr="00EC6C19">
        <w:rPr>
          <w:rFonts w:ascii="Times New Roman" w:hAnsi="Times New Roman" w:cs="Times New Roman"/>
          <w:sz w:val="24"/>
          <w:szCs w:val="24"/>
        </w:rPr>
        <w:t xml:space="preserve">Again, mortality and myocardial infarction rates did not differ between the two groups and the limitations outlined above were highlighted </w:t>
      </w:r>
      <w:r w:rsidR="00106A32" w:rsidRPr="00EC6C19">
        <w:rPr>
          <w:rFonts w:ascii="Times New Roman" w:hAnsi="Times New Roman" w:cs="Times New Roman"/>
          <w:sz w:val="24"/>
          <w:szCs w:val="24"/>
        </w:rPr>
        <w:fldChar w:fldCharType="begin"/>
      </w:r>
      <w:r w:rsidR="002146FC" w:rsidRPr="00EC6C19">
        <w:rPr>
          <w:rFonts w:ascii="Times New Roman" w:hAnsi="Times New Roman" w:cs="Times New Roman"/>
          <w:sz w:val="24"/>
          <w:szCs w:val="24"/>
        </w:rPr>
        <w:instrText xml:space="preserve"> ADDIN ZOTERO_ITEM CSL_CITATION {"citationID":"6iRGCcLn","properties":{"formattedCitation":"(Pursnani et al., 2012)","plainCitation":"(Pursnani et al., 2012)","noteIndex":0},"citationItems":[{"id":389,"uris":["http://zotero.org/users/local/k67tNDdX/items/2NR5JPNP"],"uri":["http://zotero.org/users/local/k67tNDdX/items/2NR5JPNP"],"itemData":{"id":389,"type":"article-journal","abstract":"Background—The role of percutaneous coronary intervention (PCI) in the management of stable coronary artery disease remains controversial. Given advancements in medical therapies and stent technology over the last decade, we sought to evaluate whether PCI, when added to medical therapy, improves outcomes when compared with medical therapy alone.\nMethods and Results—We performed a systematic review and meta-analysis, searching PubMed, EMBASE, and CENTRAL databases, until January 2012, for randomized clinical trials comparing revascularization with PCI to optimal medical therapy (OMT) in patients with stable coronary artery disease. The primary outcome was all-cause mortality, and secondary outcomes included cardiovascular death, nonfatal myocardial infarction, subsequent revascularization, and freedom from angina. Primary analyses were based on longest available follow-up with secondary analyses stratified by trial duration, with short-term (≤1 year), intermediate (1–5 years), and long-term (≥5 years) time points. We identified 12 randomized clinical trials enrolling 7182 participants who fulfilled our inclusion criteria. For the primary analyses, when compared with OMT, PCI was associated with no significant improvement in mortality (risk ratio [RR], 0.85; 95% CI, 0.71–1.01), cardiac death (RR, 0.71; 95% CI, 0.47–1.06), nonfatal myocardial infarction (RR, 0.93; 95% CI, 0.70–1.24), or repeat revascularization (RR, 0.93; 95% CI, 0.76–1.14), with consistent results over all follow-up time points. Sensitivity analysis restricted to studies in which there was &gt;50% stent use showed attenuation in the effect size for all-cause mortality (RR, 0.93; 95% CI, 0.78–1.11) with PCI. However, for freedom from angina, there was a significant improved outcome with PCI, as compared with OMT (RR, 1.20; 95% CI, 1.06–1.37), evident at all of the follow-up time points.\nConclusions—In this most rigorous and comprehensive analysis in patients with stable coronary artery disease, PCI, as compared with OMT, did not reduce the risk of mortality, cardiovascular death, nonfatal myocardial infarction, or revascularization. PCI, however, provided a greater angina relief compared with OMT alone, larger studies with sufficient power are required to prove this conclusively.","container-title":"Circulation: Cardiovascular Interventions","DOI":"10.1161/CIRCINTERVENTIONS.112.970954","ISSN":"1941-7640, 1941-7632","language":"en","note":"PMID: 22872053","page":"CIRCINTERVENTIONS.112.970954","source":"circinterventions.ahajournals.org","title":"Percutaneous Coronary Intervention Versus Optimal Medical Therapy in Stable Coronary Artery Disease: A Systematic Review and Meta-Analysis of Randomized Clinical Trials","title-short":"Percutaneous Coronary Intervention Versus Optimal Medical Therapy in Stable Coronary Artery Disease","author":[{"family":"Pursnani","given":"Seema"},{"family":"Korley","given":"Frederick"},{"family":"Gopaul","given":"Ravindra"},{"family":"Kanade","given":"Pushkar"},{"family":"Chandra","given":"Newry"},{"family":"Shaw","given":"Richard E."},{"family":"Bangalore","given":"Sripal"}],"issued":{"date-parts":[["2012",1,1]]}}}],"schema":"https://github.com/citation-style-language/schema/raw/master/csl-citation.json"} </w:instrText>
      </w:r>
      <w:r w:rsidR="00106A32" w:rsidRPr="00EC6C19">
        <w:rPr>
          <w:rFonts w:ascii="Times New Roman" w:hAnsi="Times New Roman" w:cs="Times New Roman"/>
          <w:sz w:val="24"/>
          <w:szCs w:val="24"/>
        </w:rPr>
        <w:fldChar w:fldCharType="separate"/>
      </w:r>
      <w:r w:rsidR="002146FC" w:rsidRPr="00EC6C19">
        <w:rPr>
          <w:rFonts w:ascii="Times New Roman" w:hAnsi="Times New Roman" w:cs="Times New Roman"/>
          <w:sz w:val="24"/>
          <w:szCs w:val="24"/>
        </w:rPr>
        <w:t xml:space="preserve">(Pursnani </w:t>
      </w:r>
      <w:r w:rsidR="00B22321" w:rsidRPr="00EC6C19">
        <w:rPr>
          <w:rFonts w:ascii="Times New Roman" w:hAnsi="Times New Roman" w:cs="Times New Roman"/>
          <w:sz w:val="24"/>
          <w:szCs w:val="24"/>
        </w:rPr>
        <w:t>et al.,</w:t>
      </w:r>
      <w:r w:rsidR="002146FC" w:rsidRPr="00EC6C19">
        <w:rPr>
          <w:rFonts w:ascii="Times New Roman" w:hAnsi="Times New Roman" w:cs="Times New Roman"/>
          <w:sz w:val="24"/>
          <w:szCs w:val="24"/>
        </w:rPr>
        <w:t xml:space="preserve"> 2012)</w:t>
      </w:r>
      <w:r w:rsidR="00106A32" w:rsidRPr="00EC6C19">
        <w:rPr>
          <w:rFonts w:ascii="Times New Roman" w:hAnsi="Times New Roman" w:cs="Times New Roman"/>
          <w:sz w:val="24"/>
          <w:szCs w:val="24"/>
        </w:rPr>
        <w:fldChar w:fldCharType="end"/>
      </w:r>
      <w:r w:rsidR="002146FC" w:rsidRPr="00EC6C19">
        <w:rPr>
          <w:rFonts w:ascii="Times New Roman" w:hAnsi="Times New Roman" w:cs="Times New Roman"/>
          <w:sz w:val="24"/>
          <w:szCs w:val="24"/>
        </w:rPr>
        <w:t xml:space="preserve">.It is also worth noting that other meta-analyses have shown no difference between PCI and OMT across all end-points, including mortality and rates of angina, myocardial infarction and need for revascularisation </w:t>
      </w:r>
      <w:r w:rsidR="00106A32" w:rsidRPr="00EC6C19">
        <w:rPr>
          <w:rFonts w:ascii="Times New Roman" w:hAnsi="Times New Roman" w:cs="Times New Roman"/>
          <w:sz w:val="24"/>
          <w:szCs w:val="24"/>
        </w:rPr>
        <w:fldChar w:fldCharType="begin"/>
      </w:r>
      <w:r w:rsidR="002146FC" w:rsidRPr="00EC6C19">
        <w:rPr>
          <w:rFonts w:ascii="Times New Roman" w:hAnsi="Times New Roman" w:cs="Times New Roman"/>
          <w:sz w:val="24"/>
          <w:szCs w:val="24"/>
        </w:rPr>
        <w:instrText xml:space="preserve"> ADDIN ZOTERO_ITEM CSL_CITATION {"citationID":"Hs5LqVuk","properties":{"formattedCitation":"(Stergiopoulos et al., 2014)","plainCitation":"(Stergiopoulos et al., 2014)","dontUpdate":true,"noteIndex":0},"citationItems":[{"id":393,"uris":["http://zotero.org/users/local/k67tNDdX/items/KMLH6C6Y"],"uri":["http://zotero.org/users/local/k67tNDdX/items/KMLH6C6Y"],"itemData":{"id":393,"type":"article-journal","abstract":"IMPORTANCE: Myocardial ischemia in patients with stable coronary artery disease (CAD) has been repeatedly associated with impaired survival. However, it is unclear if revascularization with percutaneous coronary intervention (PCI) to relieve ischemia improves outcomes compared with medical therapy (MT).\nOBJECTIVE: The objective of this study was to compare the effect of PCI and MT with MT alone exclusively in patients with stable CAD and objectively documented myocardial ischemia on clinical outcomes.\nDATA SOURCES: MEDLINE, Cochrane, and PubMed databases from 1970 to November 2012. Unpublished data were obtained from investigators.\nSTUDY SELECTION: Randomized clinical trials of PCI and MT vs MT alone for stable coronary artery disease in which stents and statins were used in more than 50% of patients.\nDATA EXTRACTION: For studies in which myocardial ischemia diagnosed by stress testing or fractional flow reserve was required for enrollment, descriptive and quantitative data were extracted from the published report. For studies in which myocardial ischemia was not a requirement for enrollment, authors provided data for only those patients with ischemia determined by stress testing prior to randomization. The outcomes analyzed included death from any cause, nonfatal myocardial infarction (MI), unplanned revascularization, and angina. Summary odds ratios (ORs) were obtained using a random-effects model. Heterogeneity was assessed using the Q statistic and I2.\nRESULTS: In 5 trials enrolling 5286 patients, myocardial ischemia was diagnosed in 4064 patients by exercise stress testing, nuclear or echocardiographic stress imaging, or fractional flow reserve. Follow-up ranged from 231 days to 5 years (median, 5 years). The respective event rates for PCI with MT vs MT alone for death were 6.5% and 7.3% (OR, 0.90 [95% CI, 0.71-1.16); for nonfatal MI, 9.2% and 7.6% (OR, 1.24 [95% CI, 0.99-1.56]); for unplanned revascularization, 18.3% and 28.4% (OR, 0.64 [95% CI, 0.35-1.17); and for angina, 20.3% and 23.3% (OR, 0.91 [95% CI, 0.57-1.44]).\nCONCLUSIONS AND RELEVANCE: In patients with stable CAD and objectively documented myocardial ischemia, PCI with MT was not associated with a reduction in death, nonfatal MI, unplanned revascularization, or angina compared with MT alone.","container-title":"JAMA internal medicine","DOI":"10.1001/jamainternmed.2013.12855","ISSN":"2168-6114","issue":"2","journalAbbreviation":"JAMA Intern Med","language":"eng","note":"PMID: 24296791","page":"232-240","source":"PubMed","title":"Percutaneous coronary intervention outcomes in patients with stable obstructive coronary artery disease and myocardial ischemia: a collaborative meta-analysis of contemporary randomized clinical trials","title-short":"Percutaneous coronary intervention outcomes in patients with stable obstructive coronary artery disease and myocardial ischemia","volume":"174","author":[{"family":"Stergiopoulos","given":"Kathleen"},{"family":"Boden","given":"William E."},{"family":"Hartigan","given":"Pamela"},{"family":"Möbius-Winkler","given":"Sven"},{"family":"Hambrecht","given":"Rainer"},{"family":"Hueb","given":"Whady"},{"family":"Hardison","given":"Regina M."},{"family":"Abbott","given":"J. Dawn"},{"family":"Brown","given":"David L."}],"issued":{"date-parts":[["2014",2,1]]}}}],"schema":"https://github.com/citation-style-language/schema/raw/master/csl-citation.json"} </w:instrText>
      </w:r>
      <w:r w:rsidR="00106A32" w:rsidRPr="00EC6C19">
        <w:rPr>
          <w:rFonts w:ascii="Times New Roman" w:hAnsi="Times New Roman" w:cs="Times New Roman"/>
          <w:sz w:val="24"/>
          <w:szCs w:val="24"/>
        </w:rPr>
        <w:fldChar w:fldCharType="separate"/>
      </w:r>
      <w:r w:rsidR="002146FC" w:rsidRPr="00EC6C19">
        <w:rPr>
          <w:rFonts w:ascii="Times New Roman" w:hAnsi="Times New Roman" w:cs="Times New Roman"/>
          <w:sz w:val="24"/>
          <w:szCs w:val="24"/>
        </w:rPr>
        <w:t xml:space="preserve">(Stergiopoulos </w:t>
      </w:r>
      <w:r w:rsidR="00B22321" w:rsidRPr="00EC6C19">
        <w:rPr>
          <w:rFonts w:ascii="Times New Roman" w:hAnsi="Times New Roman" w:cs="Times New Roman"/>
          <w:sz w:val="24"/>
          <w:szCs w:val="24"/>
        </w:rPr>
        <w:t>et al.,</w:t>
      </w:r>
      <w:r w:rsidR="002146FC" w:rsidRPr="00EC6C19">
        <w:rPr>
          <w:rFonts w:ascii="Times New Roman" w:hAnsi="Times New Roman" w:cs="Times New Roman"/>
          <w:sz w:val="24"/>
          <w:szCs w:val="24"/>
        </w:rPr>
        <w:t xml:space="preserve"> 2014)</w:t>
      </w:r>
      <w:r w:rsidR="00106A32" w:rsidRPr="00EC6C19">
        <w:rPr>
          <w:rFonts w:ascii="Times New Roman" w:hAnsi="Times New Roman" w:cs="Times New Roman"/>
          <w:sz w:val="24"/>
          <w:szCs w:val="24"/>
        </w:rPr>
        <w:fldChar w:fldCharType="end"/>
      </w:r>
      <w:r w:rsidR="002146FC" w:rsidRPr="00EC6C19">
        <w:rPr>
          <w:rFonts w:ascii="Times New Roman" w:hAnsi="Times New Roman" w:cs="Times New Roman"/>
          <w:sz w:val="24"/>
          <w:szCs w:val="24"/>
        </w:rPr>
        <w:t xml:space="preserve">. </w:t>
      </w:r>
    </w:p>
    <w:p w14:paraId="2E67EA51" w14:textId="34117618"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Symptomatic relief is the main clinical indication for PCI in the context of stable angina. </w:t>
      </w:r>
      <w:r w:rsidR="002146FC" w:rsidRPr="00EC6C19">
        <w:rPr>
          <w:rFonts w:ascii="Times New Roman" w:hAnsi="Times New Roman" w:cs="Times New Roman"/>
          <w:sz w:val="24"/>
          <w:szCs w:val="24"/>
        </w:rPr>
        <w:t xml:space="preserve">UK and European guidelines suggest PCI for anginal symptoms only after a trial of medical therapy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{"citationID":"hHAjTtjL","properties":{"formattedCitation":"(Stable angina: management | Guidance and guidelines | NICE, 2018)","plainCitation":"(Stable angina: management | Guidance and guidelines | NICE, 2018)","dontUpdate":true,"noteIndex":0},"citationItems":[{"id":395,"uris":["http://zotero.org/users/local/k67tNDdX/items/6ACXF5LU"],"uri":["http://zotero.org/users/local/k67tNDdX/items/6ACXF5LU"],"itemData":{"id":395,"type":"webpage","language":"eng","title":"Stable angina: management | Guidance and guidelines | NICE","title-short":"Stable angina","URL":"https://www.nice.org.uk/guidance/CG126","accessed":{"date-parts":[["2018",5,1]]}}}],"schema":"https://github.com/citation-style-language/schema/raw/master/csl-citation.json"}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(Stable angina: management | Guidance and guidelines | NICE, 2018</w:t>
      </w:r>
      <w:r w:rsidR="00106A32" w:rsidRPr="00EC6C19">
        <w:rPr>
          <w:rFonts w:ascii="Times New Roman" w:hAnsi="Times New Roman" w:cs="Times New Roman"/>
          <w:sz w:val="24"/>
          <w:szCs w:val="24"/>
        </w:rPr>
        <w:fldChar w:fldCharType="end"/>
      </w:r>
      <w:r w:rsidR="004034CE"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{"citationID":"xoNvy5Ps","properties":{"formattedCitation":"(Montalescot et al., 2013)","plainCitation":"(Montalescot et al., 2013)","dontUpdate":true,"noteIndex":0},"citationItems":[{"id":397,"uris":["http://zotero.org/users/local/k67tNDdX/items/867NWPPL"],"uri":["http://zotero.org/users/local/k67tNDdX/items/867NWPPL"],"itemData":{"id":397,"type":"article-journal","abstract":"© The European Society of Cardiology 2013. All rights reserved. For permissions please email: journals.permissions@oup.comGuidelines, Angina pectoris, Myocardial ischaemia, Stable coronary artery disease, Risk factors, anti-ischaemic drugs, Coronary revascularization...Guidelines summarize and evaluate all evidence available, at the time of the writing process, on a particular issue with the aim of assisting physicians in selecting the best management strategies for an individual patient with a given condition, taking into account the impact on outcome, as well as the risk–benefit ratio of particular diagnostic or therapeutic means. Guidelines are not substitutes but are complements for textbooks, and cover the ESC Core Curriculum topics. Guidelines and recommendations should help physicians to make decisions in their daily practice: however, the final decisions concerning an individual patient must be made by the responsible physician(s).A great number of Guidelines have been issued in recent years by the...","container-title":"European Heart Journal","DOI":"10.1093/eurheartj/eht296","ISSN":"0195-668X","issue":"38","journalAbbreviation":"Eur Heart J","language":"en","page":"2949-3003","source":"academic.oup.com","title":"2013 ESC guidelines on the management of stable coronary artery diseaseThe Task Force on the management of stable coronary artery disease of the European Society of Cardiology","volume":"34","author":[{"family":"Montalescot","given":"Gilles"},{"family":"Sechtem","given":"Udo"},{"family":"Achenbach","given":"Stephan"},{"family":"Andreotti","given":"Felicita"},{"family":"Arden","given":"Chris"},{"family":"Budaj","given":"Andrzej"},{"family":"Bugiardini","given":"Raffaele"},{"family":"Crea","given":"Filippo"},{"family":"Cuisset","given":"Thomas"},{"family":"Di Mario","given":"Carlo"},{"family":"Ferreira","given":"J. Rafael"},{"family":"Gersh","given":"Bernard J."},{"family":"Gitt","given":"Anselm K."},{"family":"Hulot","given":"Jean-Sebastien"},{"family":"Marx","given":"Nikolaus"},{"family":"Opie","given":"Lionel H."},{"family":"Pfisterer","given":"Matthias"},{"family":"Prescott","given":"Eva"},{"family":"Ruschitzka","given":"Frank"},{"family":"Sabaté","given":"Manel"},{"family":"Senior","given":"Roxy"},{"family":"Taggart","given":"David Paul"},{"family":"Wall","given":"Van Der"},{"family":"E","given":"Ernst"},{"family":"Vrints","given":"Christiaan J. M."},{"family":"Zamorano","given":"Jose Luis"},{"family":"Achenbach","given":"Stephan"},{"family":"Baumgartner","given":"Helmut"},{"family":"Bax","given":"Jeroen J."},{"family":"Bueno","given":"Héctor"},{"family":"Dean","given":"Veronica"},{"family":"Deaton","given":"Christi"},{"family":"Erol","given":"Cetin"},{"family":"Fagard","given":"Robert"},{"family":"Ferrari","given":"Roberto"},{"family":"Hasdai","given":"David"},{"family":"Hoes","given":"Arno W."},{"family":"Kirchhof","given":"Paulus"},{"family":"Knuuti","given":"Juhani"},{"family":"Kolh","given":"Philippe"},{"family":"Lancellotti","given":"Patrizio"},{"family":"Linhart","given":"Ales"},{"family":"Nihoyannopoulos","given":"Petros"},{"family":"Piepoli","given":"Massimo F."},{"family":"Ponikowski","given":"Piotr"},{"family":"Sirnes","given":"Per Anton"},{"family":"Tamargo","given":"Juan Luis"},{"family":"Tendera","given":"Michal"},{"family":"Torbicki","given":"Adam"},{"family":"Wijns","given":"William"},{"family":"Windecker","given":"Stephan"},{"family":"Knuuti","given":"Juhani"},{"family":"Valgimigli","given":"Marco"},{"family":"Bueno","given":"Héctor"},{"family":"Claeys","given":"Marc J."},{"family":"Donner-Banzhoff","given":"Norbert"},{"family":"Erol","given":"Cetin"},{"family":"Frank","given":"Herbert"},{"family":"Funck-Brentano","given":"Christian"},{"family":"Gaemperli","given":"Oliver"},{"family":"Gonzalez-Juanatey","given":"José R."},{"family":"Hamilos","given":"Michalis"},{"family":"Hasdai","given":"David"},{"family":"Husted","given":"Steen"},{"family":"James","given":"Stefan K."},{"family":"Kervinen","given":"Kari"},{"family":"Kolh","given":"Philippe"},{"family":"Kristensen","given":"Steen Dalby"},{"family":"Lancellotti","given":"Patrizio"},{"family":"Maggioni","given":"Aldo Pietro"},{"family":"Piepoli","given":"Massimo F."},{"family":"Pries","given":"Axel R."},{"family":"Romeo","given":"Francesco"},{"family":"Rydén","given":"Lars"},{"family":"Simoons","given":"Maarten L."},{"family":"Sirnes","given":"Per Anton"},{"family":"Steg","given":"Ph Gabriel"},{"family":"Timmis","given":"Adam"},{"family":"Wijns","given":"William"},{"family":"Windecker","given":"Stephan"},{"family":"Yildirir","given":"Aylin"},{"family":"Zamorano","given":"Jose Luis"}],"issued":{"date-parts":[["2013",10,7]]}}}],"schema":"https://github.com/citation-style-language/schema/raw/master/csl-citation.json"}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Montalescot et al., 2013)</w:t>
      </w:r>
      <w:r w:rsidR="00106A32" w:rsidRPr="00EC6C19">
        <w:rPr>
          <w:rFonts w:ascii="Times New Roman" w:hAnsi="Times New Roman" w:cs="Times New Roman"/>
          <w:sz w:val="24"/>
          <w:szCs w:val="24"/>
        </w:rPr>
        <w:fldChar w:fldCharType="end"/>
      </w:r>
      <w:r w:rsidR="002146FC" w:rsidRPr="00EC6C19">
        <w:rPr>
          <w:rFonts w:ascii="Times New Roman" w:hAnsi="Times New Roman" w:cs="Times New Roman"/>
          <w:sz w:val="24"/>
          <w:szCs w:val="24"/>
        </w:rPr>
        <w:t xml:space="preserve">. </w:t>
      </w:r>
      <w:r w:rsidRPr="00EC6C19">
        <w:rPr>
          <w:rFonts w:ascii="Times New Roman" w:hAnsi="Times New Roman" w:cs="Times New Roman"/>
          <w:sz w:val="24"/>
          <w:szCs w:val="24"/>
        </w:rPr>
        <w:t xml:space="preserve">Medical therapy is often under prescribed however, with some studies showing up to 50% of patients are only taking one anti-anginal medication, with a third taking none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{"citationID":"LRxmuhBM","properties":{"formattedCitation":"(Borden et al., 2013)","plainCitation":"(Borden et al., 2013)","noteIndex":0},"citationItems":[{"id":402,"uris":["http://zotero.org/users/local/k67tNDdX/items/JS4U5KIR"],"uri":["http://zotero.org/users/local/k67tNDdX/items/JS4U5KIR"],"itemData":{"id":402,"type":"article-journal","abstract":"Background—The regional variability of percutaneous coronary intervention (PCI) rates may be explained by variations in the medical treatment of stable coronary artery disease. We sought to determine whether greater regional use of antianginal medications in PCI patients is associated with lower regional rates of PCI.\nMethods and Results—Using CathPCI Registry and Dartmouth Atlas data, we examined patients undergoing elective PCI for stable coronary artery disease from January 1, 2009, through March 31, 2011, and calculated rates of providing ≥2 antianginal medicines before PCI. We regressed the hospital referral region rates of PCI per 1000 Medicare enrollees in 2007 on the regions’ rates of providing ≥2 antianginal medications before PCI. Among 300 772 PCI procedures, 32.8%, 48.3%, 16.1%, and 2.8% of patients were on 0, 1, 2, or ≥3 antianginal medications, respectively. The median rate of providing ≥2 antianginal medications before PCI was 18.9%. Although substantial variability existed across hospital referral regions in providing ≥2 antianginal medications and in rates of PCI from the Dartmouth Atlas, there was no association between the rates of PCI in each hospital referral region and the rates of ≥2 antianginal medications before PCI (Spearman ρ, 0.0277; P=0.64).\nConclusions—We found no association between the intensity of antianginal therapy and the use of PCI across hospital referral regions, despite the variability of both. Opportunities likely exist in many regions to increase the use of antianginal therapy before proceeding to elective PCI, and more research is needed to explain observed variations in care.","container-title":"Circulation: Cardiovascular Interventions","DOI":"10.1161/CIRCINTERVENTIONS.112.000215","ISSN":"1941-7640, 1941-7632","issue":"4","language":"en","note":"PMID: 23922143","page":"436-443","source":"circinterventions.ahajournals.org","title":"Antianginal Therapy Before Percutaneous Coronary Intervention","volume":"6","author":[{"family":"Borden","given":"William B."},{"family":"Spertus","given":"John A."},{"family":"Mushlin","given":"Alvin I."},{"family":"Roe","given":"Matthew T."},{"family":"McCoy","given":"Lisa A."},{"family":"Redberg","given":"Rita F."}],"issued":{"date-parts":[["2013",8,1]]}}}],"schema":"https://github.com/citation-style-language/schema/raw/master/csl-citation.json"}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(Borden et al.,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There is also the issue of medication compliance, which is difficult to accurately measure. </w:t>
      </w:r>
      <w:r w:rsidR="00DA1AD3" w:rsidRPr="00EC6C19">
        <w:rPr>
          <w:rFonts w:ascii="Times New Roman" w:hAnsi="Times New Roman" w:cs="Times New Roman"/>
          <w:sz w:val="24"/>
          <w:szCs w:val="24"/>
        </w:rPr>
        <w:t>ORBIT</w:t>
      </w:r>
      <w:r w:rsidRPr="00EC6C19">
        <w:rPr>
          <w:rFonts w:ascii="Times New Roman" w:hAnsi="Times New Roman" w:cs="Times New Roman"/>
          <w:sz w:val="24"/>
          <w:szCs w:val="24"/>
        </w:rPr>
        <w:t>A</w:t>
      </w:r>
      <w:r w:rsidR="00DA1AD3" w:rsidRPr="00EC6C19">
        <w:rPr>
          <w:rFonts w:ascii="Times New Roman" w:hAnsi="Times New Roman" w:cs="Times New Roman"/>
          <w:sz w:val="24"/>
          <w:szCs w:val="24"/>
        </w:rPr>
        <w:t>,</w:t>
      </w:r>
      <w:r w:rsidR="001E707A" w:rsidRPr="00EC6C19">
        <w:rPr>
          <w:rFonts w:ascii="Times New Roman" w:hAnsi="Times New Roman" w:cs="Times New Roman"/>
          <w:sz w:val="24"/>
          <w:szCs w:val="24"/>
        </w:rPr>
        <w:t xml:space="preserve"> a</w:t>
      </w:r>
      <w:r w:rsidRPr="00EC6C19">
        <w:rPr>
          <w:rFonts w:ascii="Times New Roman" w:hAnsi="Times New Roman" w:cs="Times New Roman"/>
          <w:sz w:val="24"/>
          <w:szCs w:val="24"/>
        </w:rPr>
        <w:t xml:space="preserve"> recent trial conducted in the UK with strict enforcement of medical therapy demonstrated no increase in exercise time with PCI compared to medical therapy</w:t>
      </w:r>
      <w:r w:rsidR="00DA1AD3"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{"citationID":"6PHmlvfQ","properties":{"formattedCitation":"(Al-Lamee et al., 2018)","plainCitation":"(Al-Lamee et al., 2018)","dontUpdate":true,"noteIndex":0},"citationItems":[{"id":400,"uris":["http://zotero.org/users/local/k67tNDdX/items/UPIYJIXA"],"uri":["http://zotero.org/users/local/k67tNDdX/items/UPIYJIXA"],"itemData":{"id":400,"type":"article-journal","abstract":"BACKGROUND: Symptomatic relief is the primary goal of percutaneous coronary intervention (PCI) in stable angina and is commonly observed clinically. However, there is no evidence from blinded, placebo-controlled randomised trials to show its efficacy.\nMETHODS: ORBITA is a blinded, multicentre randomised trial of PCI versus a placebo procedure for angina relief that was done at five study sites in the UK. We enrolled patients with severe (≥70%) single-vessel stenoses. After enrolment, patients received 6 weeks of medication optimisation. Patients then had pre-randomisation assessments with cardiopulmonary exercise testing, symptom questionnaires, and dobutamine stress echocardiography. Patients were randomised 1:1 to undergo PCI or a placebo procedure by use of an automated online randomisation tool. After 6 weeks of follow-up, the assessments done before randomisation were repeated at the final assessment. The primary endpoint was difference in exercise time increment between groups. All analyses were based on the intention-to-treat principle and the study population contained all participants who underwent randomisation. This study is registered with ClinicalTrials.gov, number NCT02062593.\nFINDINGS: ORBITA enrolled 230 patients with ischaemic symptoms. After the medication optimisation phase and between Jan 6, 2014, and Aug 11, 2017, 200 patients underwent randomisation, with 105 patients assigned PCI and 95 assigned the placebo procedure. Lesions had mean area stenosis of 84·4% (SD 10·2), fractional flow reserve of 0·69 (0·16), and instantaneous wave-free ratio of 0·76 (0·22). There was no significant difference in the primary endpoint of exercise time increment between groups (PCI minus placebo 16·6 s, 95% CI -8·9 to 42·0, p=0·200). There were no deaths. Serious adverse events included four pressure-wire related complications in the placebo group, which required PCI, and five major bleeding events, including two in the PCI group and three in the placebo group.\nINTERPRETATION: In patients with medically treated angina and severe coronary stenosis, PCI did not increase exercise time by more than the effect of a placebo procedure. The efficacy of invasive procedures can be assessed with a placebo control, as is standard for pharmacotherapy.\nFUNDING: NIHR Imperial Biomedical Research Centre, Foundation for Circulatory Health, Imperial College Healthcare Charity, Philips Volcano, NIHR Barts Biomedical Research Centre.","container-title":"Lancet (London, England)","DOI":"10.1016/S0140-6736(17)32714-9","ISSN":"1474-547X","issue":"10115","journalAbbreviation":"Lancet","language":"eng","note":"PMID: 29103656","page":"31-40","source":"PubMed","title":"Percutaneous coronary intervention in stable angina (ORBITA): a double-blind, randomised controlled trial","title-short":"Percutaneous coronary intervention in stable angina (ORBITA)","volume":"391","author":[{"family":"Al-Lamee","given":"Rasha"},{"family":"Thompson","given":"David"},{"family":"Dehbi","given":"Hakim-Moulay"},{"family":"Sen","given":"Sayan"},{"family":"Tang","given":"Kare"},{"family":"Davies","given":"John"},{"family":"Keeble","given":"Thomas"},{"family":"Mielewczik","given":"Michael"},{"family":"Kaprielian","given":"Raffi"},{"family":"Malik","given":"Iqbal S."},{"family":"Nijjer","given":"Sukhjinder S."},{"family":"Petraco","given":"Ricardo"},{"family":"Cook","given":"Christopher"},{"family":"Ahmad","given":"Yousif"},{"family":"Howard","given":"James"},{"family":"Baker","given":"Christopher"},{"family":"Sharp","given":"Andrew"},{"family":"Gerber","given":"Robert"},{"family":"Talwar","given":"Suneel"},{"family":"Assomull","given":"Ravi"},{"family":"Mayet","given":"Jamil"},{"family":"Wensel","given":"Roland"},{"family":"Collier","given":"David"},{"family":"Shun-Shin","given":"Matthew"},{"family":"Thom","given":"Simon A."},{"family":"Davies","given":"Justin E."},{"family":"Francis","given":"Darrel P."},{"literal":"ORBITA investigators"}],"issued":{"date-parts":[["2018"]],"season":"06"}}}],"schema":"https://github.com/citation-style-language/schema/raw/master/csl-citation.json"} </w:instrText>
      </w:r>
      <w:r w:rsidR="00106A32" w:rsidRPr="00EC6C19">
        <w:rPr>
          <w:rFonts w:ascii="Times New Roman" w:hAnsi="Times New Roman" w:cs="Times New Roman"/>
          <w:sz w:val="24"/>
          <w:szCs w:val="24"/>
        </w:rPr>
        <w:fldChar w:fldCharType="separate"/>
      </w:r>
      <w:r w:rsidR="00DA1AD3" w:rsidRPr="00EC6C19">
        <w:rPr>
          <w:rFonts w:ascii="Times New Roman" w:hAnsi="Times New Roman" w:cs="Times New Roman"/>
          <w:sz w:val="24"/>
          <w:szCs w:val="24"/>
        </w:rPr>
        <w:t xml:space="preserve">(Al-Lamee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There was strict medical optimisation over a </w:t>
      </w:r>
      <w:r w:rsidR="00543B67" w:rsidRPr="00EC6C19">
        <w:rPr>
          <w:rFonts w:ascii="Times New Roman" w:hAnsi="Times New Roman" w:cs="Times New Roman"/>
          <w:sz w:val="24"/>
          <w:szCs w:val="24"/>
        </w:rPr>
        <w:t>6-week</w:t>
      </w:r>
      <w:r w:rsidRPr="00EC6C19">
        <w:rPr>
          <w:rFonts w:ascii="Times New Roman" w:hAnsi="Times New Roman" w:cs="Times New Roman"/>
          <w:sz w:val="24"/>
          <w:szCs w:val="24"/>
        </w:rPr>
        <w:t xml:space="preserve"> period, which is difficult to replicate in NHS patients. There was however a reduction in ischaemia assessed by stress echocardiography after PCI.</w:t>
      </w:r>
    </w:p>
    <w:p w14:paraId="6394FBF7" w14:textId="77777777" w:rsidR="002321A8" w:rsidRPr="00EC6C19" w:rsidRDefault="002321A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lastRenderedPageBreak/>
        <w:t xml:space="preserve">Very recently, the </w:t>
      </w:r>
      <w:r w:rsidR="008908C8" w:rsidRPr="00EC6C19">
        <w:rPr>
          <w:rFonts w:ascii="Times New Roman" w:hAnsi="Times New Roman" w:cs="Times New Roman"/>
          <w:sz w:val="24"/>
          <w:szCs w:val="24"/>
        </w:rPr>
        <w:t>ISCHEMIA</w:t>
      </w:r>
      <w:r w:rsidRPr="00EC6C19">
        <w:rPr>
          <w:rFonts w:ascii="Times New Roman" w:hAnsi="Times New Roman" w:cs="Times New Roman"/>
          <w:sz w:val="24"/>
          <w:szCs w:val="24"/>
        </w:rPr>
        <w:t xml:space="preserve"> trial randomised patients to medical therapy </w:t>
      </w:r>
      <w:r w:rsidR="008908C8" w:rsidRPr="00EC6C19">
        <w:rPr>
          <w:rFonts w:ascii="Times New Roman" w:hAnsi="Times New Roman" w:cs="Times New Roman"/>
          <w:sz w:val="24"/>
          <w:szCs w:val="24"/>
        </w:rPr>
        <w:t>or invasive treatment (stenting or surgery), based on demonstrable</w:t>
      </w:r>
      <w:r w:rsidR="00F877D0" w:rsidRPr="00EC6C19">
        <w:rPr>
          <w:rFonts w:ascii="Times New Roman" w:hAnsi="Times New Roman" w:cs="Times New Roman"/>
          <w:sz w:val="24"/>
          <w:szCs w:val="24"/>
        </w:rPr>
        <w:t xml:space="preserve"> non-invasive ischaemia testing only</w:t>
      </w:r>
      <w:r w:rsidR="008908C8"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8908C8" w:rsidRPr="00EC6C19">
        <w:rPr>
          <w:rFonts w:ascii="Times New Roman" w:hAnsi="Times New Roman" w:cs="Times New Roman"/>
          <w:sz w:val="24"/>
          <w:szCs w:val="24"/>
        </w:rPr>
        <w:instrText xml:space="preserve"> ADDIN ZOTERO_ITEM CSL_CITATION {"citationID":"386a25yh","properties":{"formattedCitation":"(ISCHEMIA Trial Research Group et al., 2018)","plainCitation":"(ISCHEMIA Trial Research Group et al., 2018)","noteIndex":0},"citationItems":[{"id":811,"uris":["http://zotero.org/users/local/k67tNDdX/items/MBE95CWS"],"uri":["http://zotero.org/users/local/k67tNDdX/items/MBE95CWS"],"itemData":{"id":811,"type":"article-journal","abstract":"BACKGROUND: Prior trials comparing a strategy of optimal medical therapy with or without revascularization have not shown that revascularization reduces cardiovascular events in patients with stable ischemic heart disease (SIHD). However, those trials only included participants in whom coronary anatomy was known prior to randomization and did not include sufficient numbers of participants with significant ischemia. It remains unknown whether a routine invasive approach offers incremental value over a conservative approach with catheterization reserved for failure of medical therapy in patients with moderate or severe ischemia.\nMETHODS: The ISCHEMIA trial is a National Heart, Lung, and Blood Institute supported trial, designed to compare an initial invasive or conservative treatment strategy for managing SIHD patients with moderate or severe ischemia on stress testing. Five thousand one-hundred seventy-nine participants have been randomized. Key exclusion criteria included estimated glomerular filtration rate (eGFR) &lt;30 mL/min, recent myocardial infarction (MI), left ventricular ejection fraction &lt;35%, left main stenosis &gt;50%, or unacceptable angina at baseline. Most enrolled participants with normal renal function first underwent blinded coronary computed tomography angiography (CCTA) to exclude those with left main coronary artery disease (CAD) and without obstructive CAD. All randomized participants receive secondary prevention that includes lifestyle advice and pharmacologic interventions referred to as optimal medical therapy (OMT). Participants randomized to the invasive strategy underwent routine cardiac catheterization followed by revascularization with percutaneous coronary intervention (PCI) or coronary artery bypass graft (CABG) surgery, when feasible, as selected by the local Heart Team to achieve optimal revascularization. Participants randomized to the conservative strategy undergo cardiac catheterization only for failure of OMT. The primary endpoint is a composite of cardiovascular (CV) death, nonfatal myocardial infarction (MI), hospitalization for unstable angina, hospitalization for heart failure, or resuscitated cardiac arrest. Assuming the primary endpoint will occur in 16% of the conservative group within 4 years, estimated power exceeds 80% to detect an 18.5% reduction in the primary endpoint. Major secondary endpoints include the composite of CV death and nonfatal MI, net clinical benefit (primary and secondary endpoints combined with stroke), angina-related symptoms and disease-specific quality of life, as well as a cost-effectiveness assessment in North American participants. Ancillary studies of patients with advanced chronic kidney disease and those with documented ischemia and non-obstructive coronary artery disease are being conducted concurrently.\nCONCLUSIONS: ISCHEMIA will provide new scientific evidence regarding whether an invasive management strategy improves clinical outcomes when added to optimal medical therapy in patients with SIHD and moderate or severe ischemia.","container-title":"American Heart Journal","DOI":"10.1016/j.ahj.2018.04.011","ISSN":"1097-6744","journalAbbreviation":"Am. Heart J.","language":"eng","note":"PMID: 29778671\nPMCID: PMC6005768","page":"124-135","source":"PubMed","title":"International Study of Comparative Health Effectiveness with Medical and Invasive Approaches (ISCHEMIA) trial: Rationale and design","title-short":"International Study of Comparative Health Effectiveness with Medical and Invasive Approaches (ISCHEMIA) trial","volume":"201","author":[{"literal":"ISCHEMIA Trial Research Group"},{"family":"Maron","given":"David J."},{"family":"Hochman","given":"Judith S."},{"family":"O'Brien","given":"Sean M."},{"family":"Reynolds","given":"Harmony R."},{"family":"Boden","given":"William E."},{"family":"Stone","given":"Gregg W."},{"family":"Bangalore","given":"Sripal"},{"family":"Spertus","given":"John A."},{"family":"Mark","given":"Daniel B."},{"family":"Alexander","given":"Karen P."},{"family":"Shaw","given":"Leslee"},{"family":"Berger","given":"Jeffrey S."},{"family":"Ferguson","given":"T. Bruce"},{"family":"Williams","given":"David O."},{"family":"Harrington","given":"Robert A."},{"family":"Rosenberg","given":"Yves"}],"issued":{"date-parts":[["2018"]]}}}],"schema":"https://github.com/citation-style-language/schema/raw/master/csl-citation.json"} </w:instrText>
      </w:r>
      <w:r w:rsidR="00106A32" w:rsidRPr="00EC6C19">
        <w:rPr>
          <w:rFonts w:ascii="Times New Roman" w:hAnsi="Times New Roman" w:cs="Times New Roman"/>
          <w:sz w:val="24"/>
          <w:szCs w:val="24"/>
        </w:rPr>
        <w:fldChar w:fldCharType="separate"/>
      </w:r>
      <w:r w:rsidR="008908C8" w:rsidRPr="00EC6C19">
        <w:rPr>
          <w:rFonts w:ascii="Times New Roman" w:hAnsi="Times New Roman" w:cs="Times New Roman"/>
          <w:sz w:val="24"/>
          <w:szCs w:val="24"/>
        </w:rPr>
        <w:t xml:space="preserve">(ISCHEMIA Trial Research Group </w:t>
      </w:r>
      <w:r w:rsidR="00B22321" w:rsidRPr="00EC6C19">
        <w:rPr>
          <w:rFonts w:ascii="Times New Roman" w:hAnsi="Times New Roman" w:cs="Times New Roman"/>
          <w:sz w:val="24"/>
          <w:szCs w:val="24"/>
        </w:rPr>
        <w:t>et al.,</w:t>
      </w:r>
      <w:r w:rsidR="008908C8" w:rsidRPr="00EC6C19">
        <w:rPr>
          <w:rFonts w:ascii="Times New Roman" w:hAnsi="Times New Roman" w:cs="Times New Roman"/>
          <w:sz w:val="24"/>
          <w:szCs w:val="24"/>
        </w:rPr>
        <w:t xml:space="preserve"> 2018)</w:t>
      </w:r>
      <w:r w:rsidR="00106A32" w:rsidRPr="00EC6C19">
        <w:rPr>
          <w:rFonts w:ascii="Times New Roman" w:hAnsi="Times New Roman" w:cs="Times New Roman"/>
          <w:sz w:val="24"/>
          <w:szCs w:val="24"/>
        </w:rPr>
        <w:fldChar w:fldCharType="end"/>
      </w:r>
      <w:r w:rsidR="008908C8" w:rsidRPr="00EC6C19">
        <w:rPr>
          <w:rFonts w:ascii="Times New Roman" w:hAnsi="Times New Roman" w:cs="Times New Roman"/>
          <w:sz w:val="24"/>
          <w:szCs w:val="24"/>
        </w:rPr>
        <w:t>. Provisional results were presented at the American Heart Association (AHA) conference, in November 2019. Interestingly, the invasive arm did not provide benefit with regards to reducing mortality, reducing the rates of myocardial infarction, improving anginal symptoms or quality of life.</w:t>
      </w:r>
      <w:r w:rsidR="00F877D0" w:rsidRPr="00EC6C19">
        <w:rPr>
          <w:rFonts w:ascii="Times New Roman" w:hAnsi="Times New Roman" w:cs="Times New Roman"/>
          <w:sz w:val="24"/>
          <w:szCs w:val="24"/>
        </w:rPr>
        <w:t xml:space="preserve"> It has shown for the first time that medical therapy alone for ischaemia may be a suitable alternative, without knowing coronary anatomy. Patients were permitted to have revascularisation for refractory symptoms, of which 23% did at 4 years.</w:t>
      </w:r>
    </w:p>
    <w:p w14:paraId="65932B10" w14:textId="77777777" w:rsidR="008908C8" w:rsidRPr="00EC6C19" w:rsidRDefault="00DA2E41"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ISCHEMIA has divided</w:t>
      </w:r>
      <w:r w:rsidR="00F877D0" w:rsidRPr="00EC6C19">
        <w:rPr>
          <w:rFonts w:ascii="Times New Roman" w:hAnsi="Times New Roman" w:cs="Times New Roman"/>
          <w:sz w:val="24"/>
          <w:szCs w:val="24"/>
        </w:rPr>
        <w:t xml:space="preserve"> </w:t>
      </w:r>
      <w:r w:rsidRPr="00EC6C19">
        <w:rPr>
          <w:rFonts w:ascii="Times New Roman" w:hAnsi="Times New Roman" w:cs="Times New Roman"/>
          <w:sz w:val="24"/>
          <w:szCs w:val="24"/>
        </w:rPr>
        <w:t>opinions. Ischaemia on an appropriate testing modality plus refractory angina</w:t>
      </w:r>
      <w:r w:rsidR="00F877D0" w:rsidRPr="00EC6C19">
        <w:rPr>
          <w:rFonts w:ascii="Times New Roman" w:hAnsi="Times New Roman" w:cs="Times New Roman"/>
          <w:sz w:val="24"/>
          <w:szCs w:val="24"/>
        </w:rPr>
        <w:t xml:space="preserve"> probably</w:t>
      </w:r>
      <w:r w:rsidRPr="00EC6C19">
        <w:rPr>
          <w:rFonts w:ascii="Times New Roman" w:hAnsi="Times New Roman" w:cs="Times New Roman"/>
          <w:sz w:val="24"/>
          <w:szCs w:val="24"/>
        </w:rPr>
        <w:t xml:space="preserve"> favours invasive treatment, unless there is a significant contraindication.</w:t>
      </w:r>
      <w:r w:rsidR="00F877D0" w:rsidRPr="00EC6C19">
        <w:rPr>
          <w:rFonts w:ascii="Times New Roman" w:hAnsi="Times New Roman" w:cs="Times New Roman"/>
          <w:sz w:val="24"/>
          <w:szCs w:val="24"/>
        </w:rPr>
        <w:t xml:space="preserve"> However, treatment decisions in patients with ischaemia or symptoms on</w:t>
      </w:r>
      <w:r w:rsidR="00775F08" w:rsidRPr="00EC6C19">
        <w:rPr>
          <w:rFonts w:ascii="Times New Roman" w:hAnsi="Times New Roman" w:cs="Times New Roman"/>
          <w:sz w:val="24"/>
          <w:szCs w:val="24"/>
        </w:rPr>
        <w:t>ly, is less clear. There is still substantial debate on how to</w:t>
      </w:r>
      <w:r w:rsidR="00F877D0" w:rsidRPr="00EC6C19">
        <w:rPr>
          <w:rFonts w:ascii="Times New Roman" w:hAnsi="Times New Roman" w:cs="Times New Roman"/>
          <w:sz w:val="24"/>
          <w:szCs w:val="24"/>
        </w:rPr>
        <w:t xml:space="preserve"> interpret the trial results </w:t>
      </w:r>
      <w:r w:rsidR="00106A32" w:rsidRPr="00EC6C19">
        <w:rPr>
          <w:rFonts w:ascii="Times New Roman" w:hAnsi="Times New Roman" w:cs="Times New Roman"/>
          <w:sz w:val="24"/>
          <w:szCs w:val="24"/>
        </w:rPr>
        <w:fldChar w:fldCharType="begin"/>
      </w:r>
      <w:r w:rsidR="00F877D0" w:rsidRPr="00EC6C19">
        <w:rPr>
          <w:rFonts w:ascii="Times New Roman" w:hAnsi="Times New Roman" w:cs="Times New Roman"/>
          <w:sz w:val="24"/>
          <w:szCs w:val="24"/>
        </w:rPr>
        <w:instrText xml:space="preserve"> ADDIN ZOTERO_ITEM CSL_CITATION {"citationID":"Tsu5tQna","properties":{"formattedCitation":"(Murthy and Eagle, 2018)","plainCitation":"(Murthy and Eagle, 2018)","noteIndex":0},"citationItems":[{"id":816,"uris":["http://zotero.org/users/local/k67tNDdX/items/QV6U3P3V"],"uri":["http://zotero.org/users/local/k67tNDdX/items/QV6U3P3V"],"itemData":{"id":816,"type":"article-journal","container-title":"American heart journal","DOI":"10.1016/j.ahj.2018.03.031","ISSN":"0002-8703","journalAbbreviation":"Am Heart J","note":"PMID: 30048826\nPMCID: PMC6393742","page":"82-84","source":"PubMed Central","title":"ISCHEMIA: A Search for clarity and why we may not find it","title-short":"ISCHEMIA","volume":"203","author":[{"family":"Murthy","given":"Venkatesh L."},{"family":"Eagle","given":"Kim A."}],"issued":{"date-parts":[["2018",9]]}}}],"schema":"https://github.com/citation-style-language/schema/raw/master/csl-citation.json"} </w:instrText>
      </w:r>
      <w:r w:rsidR="00106A32" w:rsidRPr="00EC6C19">
        <w:rPr>
          <w:rFonts w:ascii="Times New Roman" w:hAnsi="Times New Roman" w:cs="Times New Roman"/>
          <w:sz w:val="24"/>
          <w:szCs w:val="24"/>
        </w:rPr>
        <w:fldChar w:fldCharType="separate"/>
      </w:r>
      <w:r w:rsidR="00F877D0" w:rsidRPr="00EC6C19">
        <w:rPr>
          <w:rFonts w:ascii="Times New Roman" w:hAnsi="Times New Roman" w:cs="Times New Roman"/>
          <w:sz w:val="24"/>
          <w:szCs w:val="24"/>
        </w:rPr>
        <w:t>(Murthy and Eagle, 2018)</w:t>
      </w:r>
      <w:r w:rsidR="00106A32" w:rsidRPr="00EC6C19">
        <w:rPr>
          <w:rFonts w:ascii="Times New Roman" w:hAnsi="Times New Roman" w:cs="Times New Roman"/>
          <w:sz w:val="24"/>
          <w:szCs w:val="24"/>
        </w:rPr>
        <w:fldChar w:fldCharType="end"/>
      </w:r>
      <w:r w:rsidR="00F877D0" w:rsidRPr="00EC6C19">
        <w:rPr>
          <w:rFonts w:ascii="Times New Roman" w:hAnsi="Times New Roman" w:cs="Times New Roman"/>
          <w:sz w:val="24"/>
          <w:szCs w:val="24"/>
        </w:rPr>
        <w:t>.</w:t>
      </w:r>
      <w:r w:rsidR="00775F08" w:rsidRPr="00EC6C19">
        <w:rPr>
          <w:rFonts w:ascii="Times New Roman" w:hAnsi="Times New Roman" w:cs="Times New Roman"/>
          <w:sz w:val="24"/>
          <w:szCs w:val="24"/>
        </w:rPr>
        <w:t xml:space="preserve"> </w:t>
      </w:r>
    </w:p>
    <w:p w14:paraId="59E7FA13" w14:textId="77777777" w:rsidR="00D171E4" w:rsidRPr="00EC6C19" w:rsidRDefault="00D171E4" w:rsidP="009C2BD2">
      <w:pPr>
        <w:spacing w:line="360" w:lineRule="auto"/>
        <w:jc w:val="both"/>
        <w:rPr>
          <w:rFonts w:ascii="Times New Roman" w:hAnsi="Times New Roman" w:cs="Times New Roman"/>
          <w:sz w:val="24"/>
          <w:szCs w:val="24"/>
        </w:rPr>
      </w:pPr>
    </w:p>
    <w:p w14:paraId="33718F02" w14:textId="77777777" w:rsidR="00D171E4" w:rsidRPr="00DB2C7E" w:rsidRDefault="00C54823" w:rsidP="009C2BD2">
      <w:pPr>
        <w:pStyle w:val="Heading2"/>
        <w:jc w:val="both"/>
        <w:rPr>
          <w:rFonts w:ascii="Times New Roman" w:hAnsi="Times New Roman" w:cs="Times New Roman"/>
          <w:color w:val="auto"/>
          <w:sz w:val="24"/>
          <w:szCs w:val="24"/>
        </w:rPr>
      </w:pPr>
      <w:bookmarkStart w:id="14" w:name="_Toc80302159"/>
      <w:r>
        <w:rPr>
          <w:rFonts w:ascii="Times New Roman" w:hAnsi="Times New Roman" w:cs="Times New Roman"/>
          <w:color w:val="auto"/>
          <w:sz w:val="24"/>
          <w:szCs w:val="24"/>
        </w:rPr>
        <w:t xml:space="preserve">1.3 - </w:t>
      </w:r>
      <w:r w:rsidR="00D171E4" w:rsidRPr="00DB2C7E">
        <w:rPr>
          <w:rFonts w:ascii="Times New Roman" w:hAnsi="Times New Roman" w:cs="Times New Roman"/>
          <w:color w:val="auto"/>
          <w:sz w:val="24"/>
          <w:szCs w:val="24"/>
        </w:rPr>
        <w:t>Assessing the Coronary Circulation</w:t>
      </w:r>
      <w:bookmarkEnd w:id="14"/>
    </w:p>
    <w:p w14:paraId="26880CFB" w14:textId="77777777" w:rsidR="00DB2C7E" w:rsidRPr="00DB2C7E" w:rsidRDefault="00DB2C7E" w:rsidP="009C2BD2">
      <w:pPr>
        <w:jc w:val="both"/>
      </w:pPr>
    </w:p>
    <w:p w14:paraId="4C66B713" w14:textId="77777777" w:rsidR="00586518" w:rsidRPr="00EC6C19" w:rsidRDefault="00586518" w:rsidP="009C2BD2">
      <w:pPr>
        <w:spacing w:line="360" w:lineRule="auto"/>
        <w:jc w:val="both"/>
        <w:rPr>
          <w:rFonts w:ascii="Times New Roman" w:hAnsi="Times New Roman" w:cs="Times New Roman"/>
          <w:sz w:val="24"/>
          <w:szCs w:val="24"/>
        </w:rPr>
      </w:pPr>
    </w:p>
    <w:p w14:paraId="1B8A2F18" w14:textId="77777777" w:rsidR="00586518" w:rsidRPr="00DB2C7E" w:rsidRDefault="00C54823" w:rsidP="009C2BD2">
      <w:pPr>
        <w:pStyle w:val="Heading3"/>
        <w:jc w:val="both"/>
        <w:rPr>
          <w:rFonts w:ascii="Times New Roman" w:hAnsi="Times New Roman" w:cs="Times New Roman"/>
          <w:b w:val="0"/>
          <w:i/>
          <w:color w:val="auto"/>
          <w:sz w:val="24"/>
          <w:szCs w:val="24"/>
        </w:rPr>
      </w:pPr>
      <w:bookmarkStart w:id="15" w:name="_Toc80302160"/>
      <w:r>
        <w:rPr>
          <w:rFonts w:ascii="Times New Roman" w:hAnsi="Times New Roman" w:cs="Times New Roman"/>
          <w:b w:val="0"/>
          <w:i/>
          <w:color w:val="auto"/>
          <w:sz w:val="24"/>
          <w:szCs w:val="24"/>
        </w:rPr>
        <w:t xml:space="preserve">1.3.1 - </w:t>
      </w:r>
      <w:r w:rsidR="00D171E4" w:rsidRPr="00DB2C7E">
        <w:rPr>
          <w:rFonts w:ascii="Times New Roman" w:hAnsi="Times New Roman" w:cs="Times New Roman"/>
          <w:b w:val="0"/>
          <w:i/>
          <w:color w:val="auto"/>
          <w:sz w:val="24"/>
          <w:szCs w:val="24"/>
        </w:rPr>
        <w:t>Diagnostic Coronary Angiography</w:t>
      </w:r>
      <w:bookmarkEnd w:id="15"/>
    </w:p>
    <w:p w14:paraId="1F3D615F" w14:textId="77777777" w:rsidR="00DB2C7E" w:rsidRPr="00DB2C7E" w:rsidRDefault="00DB2C7E" w:rsidP="009C2BD2">
      <w:pPr>
        <w:jc w:val="both"/>
      </w:pPr>
    </w:p>
    <w:p w14:paraId="10CD2F17" w14:textId="77777777" w:rsidR="00D171E4" w:rsidRPr="00EC6C19" w:rsidRDefault="00D171E4" w:rsidP="009C2BD2">
      <w:pPr>
        <w:spacing w:line="360" w:lineRule="auto"/>
        <w:jc w:val="both"/>
        <w:rPr>
          <w:rFonts w:ascii="Times New Roman" w:hAnsi="Times New Roman" w:cs="Times New Roman"/>
          <w:i/>
          <w:sz w:val="24"/>
          <w:szCs w:val="24"/>
          <w:u w:val="single"/>
        </w:rPr>
      </w:pPr>
    </w:p>
    <w:p w14:paraId="2A9433F6" w14:textId="7777777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The focus of this thesis is the change in physiological measurements when comparing prone and supine patient positioning</w:t>
      </w:r>
      <w:r w:rsidR="00315AFB">
        <w:rPr>
          <w:rFonts w:ascii="Times New Roman" w:hAnsi="Times New Roman" w:cs="Times New Roman"/>
          <w:sz w:val="24"/>
          <w:szCs w:val="24"/>
        </w:rPr>
        <w:t xml:space="preserve"> during angiography</w:t>
      </w:r>
      <w:r w:rsidRPr="00EC6C19">
        <w:rPr>
          <w:rFonts w:ascii="Times New Roman" w:hAnsi="Times New Roman" w:cs="Times New Roman"/>
          <w:sz w:val="24"/>
          <w:szCs w:val="24"/>
        </w:rPr>
        <w:t>. To position the wire and conduct the procedure, a baseline coronary angiogram is needed.</w:t>
      </w:r>
    </w:p>
    <w:p w14:paraId="129A3D76" w14:textId="35FF3088"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Coronary catheterisat</w:t>
      </w:r>
      <w:r w:rsidR="003B36BA">
        <w:rPr>
          <w:rFonts w:ascii="Times New Roman" w:hAnsi="Times New Roman" w:cs="Times New Roman"/>
          <w:sz w:val="24"/>
          <w:szCs w:val="24"/>
        </w:rPr>
        <w:t xml:space="preserve">ion was first conducted in man </w:t>
      </w:r>
      <w:r w:rsidRPr="00EC6C19">
        <w:rPr>
          <w:rFonts w:ascii="Times New Roman" w:hAnsi="Times New Roman" w:cs="Times New Roman"/>
          <w:sz w:val="24"/>
          <w:szCs w:val="24"/>
        </w:rPr>
        <w:t xml:space="preserve">by Werner Fossman in 1928, who passed a 65cm urinary catheter into his own cubital vein, until he felt it reach the right atrium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{"citationID":"vaenjabl","properties":{"formattedCitation":"(Meyer, 1990)","plainCitation":"(Meyer, 1990)","noteIndex":0},"citationItems":[{"id":264,"uris":["http://zotero.org/users/local/k67tNDdX/items/RCLPPXUE"],"uri":["http://zotero.org/users/local/k67tNDdX/items/RCLPPXUE"],"itemData":{"id":264,"type":"article-journal","abstract":"Invasive study of cardiac anatomy and function traces its origin to the work of a 25-year-old surgical trainee in a provincial German town in the pre-Depression years of 1929 and 1930. Only 1 year out of medical school and undeterred by the medical profession's fear of tampering with the heart, Dr Werner Forssmann explored methods for a more direct access to the cardiac chambers, finding it necessary to make the observations on himself. Later he was able to show that the right-sided cardiac chambers could be visualized radiographically after injection of iodinated contrast materials through a catheter into the right atrium, and again he tried the method on himself.","container-title":"The Annals of Thoracic Surgery","ISSN":"0003-4975","issue":"3","journalAbbreviation":"Ann. Thorac. Surg.","language":"eng","note":"PMID: 2178572","page":"497-499","source":"PubMed","title":"Werner Forssmann and catheterization of the heart, 1929","volume":"49","author":[{"family":"Meyer","given":"J. A."}],"issued":{"date-parts":[["1990",3]]}}}],"schema":"https://github.com/citation-style-language/schema/raw/master/csl-citation.json"}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(Meyer, 1990)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With the catheter hanging from his arm, he walked to the hospital basement to take an X-ray and confirm its </w:t>
      </w:r>
      <w:r w:rsidRPr="005119FF">
        <w:rPr>
          <w:rFonts w:ascii="Times New Roman" w:hAnsi="Times New Roman" w:cs="Times New Roman"/>
          <w:sz w:val="24"/>
          <w:szCs w:val="24"/>
        </w:rPr>
        <w:t>position</w:t>
      </w:r>
      <w:r w:rsidR="002320A8" w:rsidRPr="005119FF">
        <w:rPr>
          <w:rFonts w:ascii="Times New Roman" w:hAnsi="Times New Roman" w:cs="Times New Roman"/>
          <w:sz w:val="24"/>
          <w:szCs w:val="24"/>
        </w:rPr>
        <w:t xml:space="preserve"> </w:t>
      </w:r>
      <w:r w:rsidR="005119FF" w:rsidRPr="005119FF">
        <w:rPr>
          <w:rFonts w:ascii="Times New Roman" w:hAnsi="Times New Roman" w:cs="Times New Roman"/>
          <w:sz w:val="24"/>
          <w:szCs w:val="24"/>
        </w:rPr>
        <w:t>(Figure 3)</w:t>
      </w:r>
      <w:r w:rsidRPr="005119FF">
        <w:rPr>
          <w:rFonts w:ascii="Times New Roman" w:hAnsi="Times New Roman" w:cs="Times New Roman"/>
          <w:sz w:val="24"/>
          <w:szCs w:val="24"/>
        </w:rPr>
        <w:t>. The</w:t>
      </w:r>
      <w:r w:rsidRPr="00EC6C19">
        <w:rPr>
          <w:rFonts w:ascii="Times New Roman" w:hAnsi="Times New Roman" w:cs="Times New Roman"/>
          <w:sz w:val="24"/>
          <w:szCs w:val="24"/>
        </w:rPr>
        <w:t xml:space="preserve"> first selective coronary </w:t>
      </w:r>
      <w:r w:rsidR="00AA7419" w:rsidRPr="00EC6C19">
        <w:rPr>
          <w:rFonts w:ascii="Times New Roman" w:hAnsi="Times New Roman" w:cs="Times New Roman"/>
          <w:sz w:val="24"/>
          <w:szCs w:val="24"/>
        </w:rPr>
        <w:t>angiogram,</w:t>
      </w:r>
      <w:r w:rsidRPr="00EC6C19">
        <w:rPr>
          <w:rFonts w:ascii="Times New Roman" w:hAnsi="Times New Roman" w:cs="Times New Roman"/>
          <w:sz w:val="24"/>
          <w:szCs w:val="24"/>
        </w:rPr>
        <w:t xml:space="preserve"> however was described by Dr</w:t>
      </w:r>
      <w:r w:rsidR="00AA7419">
        <w:rPr>
          <w:rFonts w:ascii="Times New Roman" w:hAnsi="Times New Roman" w:cs="Times New Roman"/>
          <w:sz w:val="24"/>
          <w:szCs w:val="24"/>
        </w:rPr>
        <w:t>.</w:t>
      </w:r>
      <w:r w:rsidRPr="00EC6C19">
        <w:rPr>
          <w:rFonts w:ascii="Times New Roman" w:hAnsi="Times New Roman" w:cs="Times New Roman"/>
          <w:sz w:val="24"/>
          <w:szCs w:val="24"/>
        </w:rPr>
        <w:t xml:space="preserve"> Mason Sones in 1958. Hand injected contrast media was passed into the right </w:t>
      </w:r>
      <w:r w:rsidRPr="00EC6C19">
        <w:rPr>
          <w:rFonts w:ascii="Times New Roman" w:hAnsi="Times New Roman" w:cs="Times New Roman"/>
          <w:sz w:val="24"/>
          <w:szCs w:val="24"/>
        </w:rPr>
        <w:lastRenderedPageBreak/>
        <w:t xml:space="preserve">coronary artery of a middle aged man by accident whilst trying to image other cardiac structures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{"citationID":"oiHvfdhC","properties":{"formattedCitation":"(Ryan, 2002)","plainCitation":"(Ryan, 2002)","noteIndex":0},"citationItems":[{"id":262,"uris":["http://zotero.org/users/local/k67tNDdX/items/4HW5NZDL"],"uri":["http://zotero.org/users/local/k67tNDdX/items/4HW5NZDL"],"itemData":{"id":262,"type":"article-journal","abstract":"The selective hand injection of contrast media into the right coronary artery of a middle-aged male by Doctor F. Mason Sones on October 30, 1958 introduced a new era in Cardiovascular Medicine. It is the purpose of this presentation to portray the pivotal role the coronary angiogram has played in creating some of the epochal events and discoveries that have characterized the march of progress in the field of cardiology over the past five decades. As the first reliable in vivo marker for the presence of obstructing coronary lesions, the coronary angiogram importantly led to our first studies of the natural history of patients with CAD. The motion studies afforded by cineangiography also permitted dynamic visualization of the contracting ventricle which led to the concept of regional wall motion abnormalities being characteristic of CAD and provided some of our earliest understanding of left ventricular dysfunction. The coronary angiogram also provided the stimulus for the development of aorto-coronary bypass surgery that was introduced by Dr. Rene Favaloro in May 1967. Subsequently, Dr. Andreas Gruntzig astounded the cardiology world by reporting his new percutaneous method of achieving revascularization (PTCA). The coronary angiogram provided the road map necessary for the successful deployment and application of this balloon technology that was soon to rival CABG surgery. The thrombolytic era was heralded in July 1979 when Dr. Peter Rentrop documented the successful reperfusion of a coronary artery in a 57-year old man by first recanalizing the occluding thrombus with a guidewire and then infusing the proteolytic enzyme, streptokinase directly into the artery. Within a year, DeWood made the angiographic observation that spontaneous regression of the totally occluding thrombus occurred among patients undergoing coronary arteriography within the first 24 hours of the onset of symptoms of an acute myocardial infarction. This led to the earliest studies on clot lysis by fibrinolytic agents and also paved the way for the balloon catheter to be used as a mechanical means of achieving coronary reperfusion in the acute setting. In the 1980s it was realized that vigorous lipid lowering with statin drugs did little to effect regression of the established atherosclerotic lesion but it did result in a dramatic decrease in subsequent clinical cardiovascular events. Similar observations were made by Little and others that acute coronary occlusion resulted more often from young, non-obstructing atheromatous lesions than it did from high grade obstructive lesions. This incriminated rupture of the soft, lipid rich atheromatous plaque as the most common mechanism leading to acute MI. In the closing decade of the past century, estimates of coronary blood flow using TIMI flow grades and TIMI frame rates led to the central unifying concept that the early restoration of normal flow (TIMI grade 3) was linearly related to survival after reperfusion therapy whether it be achieved pharmacologically or mechanically. The coronary angiogram was also integral in establishing antiplatelet therapy as the preferred pharmacotherapeutic agents to be used in association with stent deployment compared to coumarin drugs in preventing stent thrombosis. Although the coronary catheter is now used to deliver newer intracoronary devices such as intravascular ultrasound, velocity probes, gene probes and eluting catheters, it has served as the one indispensable form of coronary imaging for five successive decades. As such it has provided far more than is implied by the term \"lumenology\" and can rightly be called the lumen de lumine, the light of lights, for cardiovascular medicine.","container-title":"Transactions of the American Clinical and Climatological Association","ISSN":"0065-7778","journalAbbreviation":"Trans. Am. Clin. Climatol. Assoc.","language":"eng","note":"PMID: 12053714\nPMCID: PMC2194484","page":"261-271","source":"PubMed","title":"The coronary angiogram and its seminal contributions to cardiovascular medicine over five decades","volume":"113","author":[{"family":"Ryan","given":"Thomas J."}],"issued":{"date-parts":[["2002"]]}}}],"schema":"https://github.com/citation-style-language/schema/raw/master/csl-citation.json"}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(Ryan, 2002)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42348A38" w14:textId="77777777" w:rsidR="00586518" w:rsidRPr="00EC6C19" w:rsidRDefault="00586518" w:rsidP="00586518">
      <w:pPr>
        <w:jc w:val="center"/>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7E964620" wp14:editId="660D461D">
            <wp:extent cx="5543550" cy="4676775"/>
            <wp:effectExtent l="19050" t="0" r="0" b="0"/>
            <wp:docPr id="51" name="Picture 1" descr="File:Werner Forssma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Werner Forssmann.jpg"/>
                    <pic:cNvPicPr>
                      <a:picLocks noChangeAspect="1" noChangeArrowheads="1"/>
                    </pic:cNvPicPr>
                  </pic:nvPicPr>
                  <pic:blipFill>
                    <a:blip r:embed="rId18"/>
                    <a:srcRect/>
                    <a:stretch>
                      <a:fillRect/>
                    </a:stretch>
                  </pic:blipFill>
                  <pic:spPr bwMode="auto">
                    <a:xfrm>
                      <a:off x="0" y="0"/>
                      <a:ext cx="5543550" cy="4676775"/>
                    </a:xfrm>
                    <a:prstGeom prst="rect">
                      <a:avLst/>
                    </a:prstGeom>
                    <a:noFill/>
                    <a:ln w="9525">
                      <a:noFill/>
                      <a:miter lim="800000"/>
                      <a:headEnd/>
                      <a:tailEnd/>
                    </a:ln>
                  </pic:spPr>
                </pic:pic>
              </a:graphicData>
            </a:graphic>
          </wp:inline>
        </w:drawing>
      </w:r>
    </w:p>
    <w:p w14:paraId="74A76294" w14:textId="4B1FE6EB" w:rsidR="00586518" w:rsidRPr="000B3BC7" w:rsidRDefault="000B3BC7" w:rsidP="000B3BC7">
      <w:pPr>
        <w:pStyle w:val="Caption"/>
        <w:spacing w:line="360" w:lineRule="auto"/>
        <w:rPr>
          <w:rFonts w:ascii="Times New Roman" w:hAnsi="Times New Roman" w:cs="Times New Roman"/>
          <w:b w:val="0"/>
          <w:i/>
          <w:color w:val="auto"/>
          <w:sz w:val="24"/>
          <w:szCs w:val="24"/>
        </w:rPr>
      </w:pPr>
      <w:r w:rsidRPr="000B3BC7">
        <w:rPr>
          <w:rFonts w:ascii="Times New Roman" w:hAnsi="Times New Roman" w:cs="Times New Roman"/>
          <w:b w:val="0"/>
          <w:i/>
          <w:color w:val="auto"/>
          <w:sz w:val="24"/>
          <w:szCs w:val="24"/>
        </w:rPr>
        <w:t xml:space="preserve"> </w:t>
      </w:r>
      <w:bookmarkStart w:id="16" w:name="_Toc44684892"/>
      <w:r w:rsidRPr="000B3BC7">
        <w:rPr>
          <w:rFonts w:ascii="Times New Roman" w:hAnsi="Times New Roman" w:cs="Times New Roman"/>
          <w:b w:val="0"/>
          <w:i/>
          <w:color w:val="auto"/>
          <w:sz w:val="24"/>
          <w:szCs w:val="24"/>
        </w:rPr>
        <w:t xml:space="preserve">Figure </w:t>
      </w:r>
      <w:r w:rsidR="00106A32" w:rsidRPr="000B3BC7">
        <w:rPr>
          <w:rFonts w:ascii="Times New Roman" w:hAnsi="Times New Roman" w:cs="Times New Roman"/>
          <w:b w:val="0"/>
          <w:i/>
          <w:color w:val="auto"/>
          <w:sz w:val="24"/>
          <w:szCs w:val="24"/>
        </w:rPr>
        <w:fldChar w:fldCharType="begin"/>
      </w:r>
      <w:r w:rsidRPr="000B3BC7">
        <w:rPr>
          <w:rFonts w:ascii="Times New Roman" w:hAnsi="Times New Roman" w:cs="Times New Roman"/>
          <w:b w:val="0"/>
          <w:i/>
          <w:color w:val="auto"/>
          <w:sz w:val="24"/>
          <w:szCs w:val="24"/>
        </w:rPr>
        <w:instrText xml:space="preserve"> SEQ Figure \* ARABIC </w:instrText>
      </w:r>
      <w:r w:rsidR="00106A32" w:rsidRPr="000B3BC7">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w:t>
      </w:r>
      <w:r w:rsidR="00106A32" w:rsidRPr="000B3BC7">
        <w:rPr>
          <w:rFonts w:ascii="Times New Roman" w:hAnsi="Times New Roman" w:cs="Times New Roman"/>
          <w:b w:val="0"/>
          <w:i/>
          <w:color w:val="auto"/>
          <w:sz w:val="24"/>
          <w:szCs w:val="24"/>
        </w:rPr>
        <w:fldChar w:fldCharType="end"/>
      </w:r>
      <w:r w:rsidRPr="000B3BC7">
        <w:rPr>
          <w:rFonts w:ascii="Times New Roman" w:hAnsi="Times New Roman" w:cs="Times New Roman"/>
          <w:b w:val="0"/>
          <w:i/>
          <w:color w:val="auto"/>
          <w:sz w:val="24"/>
          <w:szCs w:val="24"/>
        </w:rPr>
        <w:t xml:space="preserve"> - Original X-ray of a urinary catheter in Werner Forssman's right atrium</w:t>
      </w:r>
      <w:r w:rsidR="008E437F">
        <w:rPr>
          <w:rFonts w:ascii="Times New Roman" w:hAnsi="Times New Roman" w:cs="Times New Roman"/>
          <w:b w:val="0"/>
          <w:i/>
          <w:color w:val="auto"/>
          <w:sz w:val="24"/>
          <w:szCs w:val="24"/>
        </w:rPr>
        <w:t xml:space="preserve"> </w:t>
      </w:r>
      <w:r w:rsidR="009C2BD2">
        <w:rPr>
          <w:rFonts w:ascii="Times New Roman" w:hAnsi="Times New Roman" w:cs="Times New Roman"/>
          <w:b w:val="0"/>
          <w:i/>
          <w:color w:val="auto"/>
          <w:sz w:val="24"/>
          <w:szCs w:val="24"/>
        </w:rPr>
        <w:t>(Meyer, 1990</w:t>
      </w:r>
      <w:r w:rsidR="008E437F">
        <w:rPr>
          <w:rFonts w:ascii="Times New Roman" w:hAnsi="Times New Roman" w:cs="Times New Roman"/>
          <w:b w:val="0"/>
          <w:i/>
          <w:color w:val="auto"/>
          <w:sz w:val="24"/>
          <w:szCs w:val="24"/>
        </w:rPr>
        <w:t>)</w:t>
      </w:r>
      <w:bookmarkEnd w:id="16"/>
    </w:p>
    <w:p w14:paraId="547DB89B" w14:textId="77777777" w:rsidR="00586518" w:rsidRPr="00EC6C19" w:rsidRDefault="00586518" w:rsidP="00586518">
      <w:pPr>
        <w:rPr>
          <w:rFonts w:ascii="Times New Roman" w:hAnsi="Times New Roman" w:cs="Times New Roman"/>
          <w:sz w:val="24"/>
          <w:szCs w:val="24"/>
        </w:rPr>
      </w:pPr>
    </w:p>
    <w:p w14:paraId="7620016D" w14:textId="77777777" w:rsidR="00586518" w:rsidRPr="00DB2C7E" w:rsidRDefault="00C54823" w:rsidP="00DB2C7E">
      <w:pPr>
        <w:pStyle w:val="Heading3"/>
        <w:rPr>
          <w:rFonts w:ascii="Times New Roman" w:hAnsi="Times New Roman" w:cs="Times New Roman"/>
          <w:b w:val="0"/>
          <w:i/>
          <w:color w:val="auto"/>
          <w:sz w:val="24"/>
          <w:szCs w:val="24"/>
        </w:rPr>
      </w:pPr>
      <w:bookmarkStart w:id="17" w:name="_Toc80302161"/>
      <w:r>
        <w:rPr>
          <w:rFonts w:ascii="Times New Roman" w:hAnsi="Times New Roman" w:cs="Times New Roman"/>
          <w:b w:val="0"/>
          <w:i/>
          <w:color w:val="auto"/>
          <w:sz w:val="24"/>
          <w:szCs w:val="24"/>
        </w:rPr>
        <w:t xml:space="preserve">1.3.2 - </w:t>
      </w:r>
      <w:r w:rsidR="00586518" w:rsidRPr="00DB2C7E">
        <w:rPr>
          <w:rFonts w:ascii="Times New Roman" w:hAnsi="Times New Roman" w:cs="Times New Roman"/>
          <w:b w:val="0"/>
          <w:i/>
          <w:color w:val="auto"/>
          <w:sz w:val="24"/>
          <w:szCs w:val="24"/>
        </w:rPr>
        <w:t>Basic Concept</w:t>
      </w:r>
      <w:bookmarkEnd w:id="17"/>
    </w:p>
    <w:p w14:paraId="44E39ABF" w14:textId="77777777" w:rsidR="00586518" w:rsidRDefault="00586518" w:rsidP="00586518">
      <w:pPr>
        <w:rPr>
          <w:rFonts w:ascii="Times New Roman" w:hAnsi="Times New Roman" w:cs="Times New Roman"/>
          <w:i/>
          <w:sz w:val="24"/>
          <w:szCs w:val="24"/>
        </w:rPr>
      </w:pPr>
    </w:p>
    <w:p w14:paraId="6AB47DCE" w14:textId="77777777" w:rsidR="00DB2C7E" w:rsidRPr="00EC6C19" w:rsidRDefault="00DB2C7E" w:rsidP="00586518">
      <w:pPr>
        <w:rPr>
          <w:rFonts w:ascii="Times New Roman" w:hAnsi="Times New Roman" w:cs="Times New Roman"/>
          <w:i/>
          <w:sz w:val="24"/>
          <w:szCs w:val="24"/>
        </w:rPr>
      </w:pPr>
    </w:p>
    <w:p w14:paraId="294B41AC" w14:textId="43B66C16"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The aim of a coronary angiogram is to identify luminal obstruction or narrowing of a coronary artery. This is done by injecting iodinated contrast media directly into an artery, under X-ray supervision to create an 'outline' of the vessel and identify stenosis. Access is usually gained via </w:t>
      </w:r>
      <w:r w:rsidRPr="00EC6C19">
        <w:rPr>
          <w:rFonts w:ascii="Times New Roman" w:hAnsi="Times New Roman" w:cs="Times New Roman"/>
          <w:sz w:val="24"/>
          <w:szCs w:val="24"/>
        </w:rPr>
        <w:lastRenderedPageBreak/>
        <w:t xml:space="preserve">the right radial artery (85-90% at our </w:t>
      </w:r>
      <w:r w:rsidR="00AA7419" w:rsidRPr="00EC6C19">
        <w:rPr>
          <w:rFonts w:ascii="Times New Roman" w:hAnsi="Times New Roman" w:cs="Times New Roman"/>
          <w:sz w:val="24"/>
          <w:szCs w:val="24"/>
        </w:rPr>
        <w:t>institution but</w:t>
      </w:r>
      <w:r w:rsidRPr="00EC6C19">
        <w:rPr>
          <w:rFonts w:ascii="Times New Roman" w:hAnsi="Times New Roman" w:cs="Times New Roman"/>
          <w:sz w:val="24"/>
          <w:szCs w:val="24"/>
        </w:rPr>
        <w:t xml:space="preserve"> left can also be used). Initially femoral access was the method of </w:t>
      </w:r>
      <w:r w:rsidR="00AA7419" w:rsidRPr="00EC6C19">
        <w:rPr>
          <w:rFonts w:ascii="Times New Roman" w:hAnsi="Times New Roman" w:cs="Times New Roman"/>
          <w:sz w:val="24"/>
          <w:szCs w:val="24"/>
        </w:rPr>
        <w:t>choice but</w:t>
      </w:r>
      <w:r w:rsidRPr="00EC6C19">
        <w:rPr>
          <w:rFonts w:ascii="Times New Roman" w:hAnsi="Times New Roman" w:cs="Times New Roman"/>
          <w:sz w:val="24"/>
          <w:szCs w:val="24"/>
        </w:rPr>
        <w:t xml:space="preserve"> has been steadily replaced with radial access unless larger catheters are required. </w:t>
      </w:r>
    </w:p>
    <w:p w14:paraId="4723244C" w14:textId="77777777" w:rsidR="00586518" w:rsidRPr="00EC6C19" w:rsidRDefault="00586518" w:rsidP="009C2BD2">
      <w:pPr>
        <w:jc w:val="both"/>
        <w:rPr>
          <w:rFonts w:ascii="Times New Roman" w:hAnsi="Times New Roman" w:cs="Times New Roman"/>
          <w:b/>
          <w:sz w:val="24"/>
          <w:szCs w:val="24"/>
        </w:rPr>
      </w:pPr>
    </w:p>
    <w:p w14:paraId="2A345605" w14:textId="42E08A25"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Three main coronary arteries exist. The left anterior descending artery (LAD), circumflex artery (Cx) and right coronary artery (RCA). The LAD and Cx </w:t>
      </w:r>
      <w:r w:rsidR="00600A1C">
        <w:rPr>
          <w:rFonts w:ascii="Times New Roman" w:hAnsi="Times New Roman" w:cs="Times New Roman"/>
          <w:sz w:val="24"/>
          <w:szCs w:val="24"/>
        </w:rPr>
        <w:t xml:space="preserve">normally </w:t>
      </w:r>
      <w:r w:rsidRPr="00EC6C19">
        <w:rPr>
          <w:rFonts w:ascii="Times New Roman" w:hAnsi="Times New Roman" w:cs="Times New Roman"/>
          <w:sz w:val="24"/>
          <w:szCs w:val="24"/>
        </w:rPr>
        <w:t xml:space="preserve">originate from the left coronary ostium, and the RCA from the right coronary ostium. Both of these ostia originate from the aorta as it leaves the left </w:t>
      </w:r>
      <w:r w:rsidR="00AA7419" w:rsidRPr="00EC6C19">
        <w:rPr>
          <w:rFonts w:ascii="Times New Roman" w:hAnsi="Times New Roman" w:cs="Times New Roman"/>
          <w:sz w:val="24"/>
          <w:szCs w:val="24"/>
        </w:rPr>
        <w:t>ventricle and</w:t>
      </w:r>
      <w:r w:rsidRPr="00EC6C19">
        <w:rPr>
          <w:rFonts w:ascii="Times New Roman" w:hAnsi="Times New Roman" w:cs="Times New Roman"/>
          <w:sz w:val="24"/>
          <w:szCs w:val="24"/>
        </w:rPr>
        <w:t xml:space="preserve"> lie above the aortic </w:t>
      </w:r>
      <w:r w:rsidRPr="005119FF">
        <w:rPr>
          <w:rFonts w:ascii="Times New Roman" w:hAnsi="Times New Roman" w:cs="Times New Roman"/>
          <w:sz w:val="24"/>
          <w:szCs w:val="24"/>
        </w:rPr>
        <w:t xml:space="preserve">valve. Figure </w:t>
      </w:r>
      <w:r w:rsidR="005119FF" w:rsidRPr="005119FF">
        <w:rPr>
          <w:rFonts w:ascii="Times New Roman" w:hAnsi="Times New Roman" w:cs="Times New Roman"/>
          <w:sz w:val="24"/>
          <w:szCs w:val="24"/>
        </w:rPr>
        <w:t>4</w:t>
      </w:r>
      <w:r w:rsidRPr="005119FF">
        <w:rPr>
          <w:rFonts w:ascii="Times New Roman" w:hAnsi="Times New Roman" w:cs="Times New Roman"/>
          <w:sz w:val="24"/>
          <w:szCs w:val="24"/>
        </w:rPr>
        <w:t xml:space="preserve"> demonstrates</w:t>
      </w:r>
      <w:r w:rsidRPr="00EC6C19">
        <w:rPr>
          <w:rFonts w:ascii="Times New Roman" w:hAnsi="Times New Roman" w:cs="Times New Roman"/>
          <w:sz w:val="24"/>
          <w:szCs w:val="24"/>
        </w:rPr>
        <w:t xml:space="preserve"> this.</w:t>
      </w:r>
      <w:r w:rsidR="002320A8" w:rsidRPr="00EC6C19">
        <w:rPr>
          <w:rFonts w:ascii="Times New Roman" w:hAnsi="Times New Roman" w:cs="Times New Roman"/>
          <w:sz w:val="24"/>
          <w:szCs w:val="24"/>
        </w:rPr>
        <w:t xml:space="preserve"> The anatomy and position of these arteries is important with relevance to this research, as they are in different vertical planes in a </w:t>
      </w:r>
      <w:r w:rsidR="00AA7419" w:rsidRPr="00EC6C19">
        <w:rPr>
          <w:rFonts w:ascii="Times New Roman" w:hAnsi="Times New Roman" w:cs="Times New Roman"/>
          <w:sz w:val="24"/>
          <w:szCs w:val="24"/>
        </w:rPr>
        <w:t>supine patient</w:t>
      </w:r>
      <w:r w:rsidR="002320A8" w:rsidRPr="00EC6C19">
        <w:rPr>
          <w:rFonts w:ascii="Times New Roman" w:hAnsi="Times New Roman" w:cs="Times New Roman"/>
          <w:sz w:val="24"/>
          <w:szCs w:val="24"/>
        </w:rPr>
        <w:t>.</w:t>
      </w:r>
    </w:p>
    <w:p w14:paraId="34D4D290" w14:textId="77777777" w:rsidR="00586518" w:rsidRPr="00EC6C19" w:rsidRDefault="00586518" w:rsidP="00586518">
      <w:pPr>
        <w:jc w:val="center"/>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2647B68E" wp14:editId="28332E45">
            <wp:extent cx="5943600" cy="3506724"/>
            <wp:effectExtent l="19050" t="0" r="0" b="0"/>
            <wp:docPr id="56" name="Picture 7" descr="File:Coronary arter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le:Coronary arteries.png"/>
                    <pic:cNvPicPr>
                      <a:picLocks noChangeAspect="1" noChangeArrowheads="1"/>
                    </pic:cNvPicPr>
                  </pic:nvPicPr>
                  <pic:blipFill>
                    <a:blip r:embed="rId19"/>
                    <a:srcRect/>
                    <a:stretch>
                      <a:fillRect/>
                    </a:stretch>
                  </pic:blipFill>
                  <pic:spPr bwMode="auto">
                    <a:xfrm>
                      <a:off x="0" y="0"/>
                      <a:ext cx="5943600" cy="3506724"/>
                    </a:xfrm>
                    <a:prstGeom prst="rect">
                      <a:avLst/>
                    </a:prstGeom>
                    <a:noFill/>
                    <a:ln w="9525">
                      <a:noFill/>
                      <a:miter lim="800000"/>
                      <a:headEnd/>
                      <a:tailEnd/>
                    </a:ln>
                  </pic:spPr>
                </pic:pic>
              </a:graphicData>
            </a:graphic>
          </wp:inline>
        </w:drawing>
      </w:r>
    </w:p>
    <w:p w14:paraId="639EA27F" w14:textId="176F11F9" w:rsidR="005119FF" w:rsidRPr="005119FF" w:rsidRDefault="005119FF" w:rsidP="009C2BD2">
      <w:pPr>
        <w:spacing w:line="240" w:lineRule="auto"/>
        <w:jc w:val="both"/>
        <w:rPr>
          <w:rFonts w:ascii="Times New Roman" w:hAnsi="Times New Roman" w:cs="Times New Roman"/>
          <w:i/>
          <w:sz w:val="24"/>
          <w:szCs w:val="24"/>
        </w:rPr>
      </w:pPr>
      <w:bookmarkStart w:id="18" w:name="_Toc44684893"/>
      <w:r w:rsidRPr="005119FF">
        <w:rPr>
          <w:rFonts w:ascii="Times New Roman" w:hAnsi="Times New Roman" w:cs="Times New Roman"/>
          <w:i/>
          <w:sz w:val="24"/>
          <w:szCs w:val="24"/>
        </w:rPr>
        <w:t xml:space="preserve">Figure </w:t>
      </w:r>
      <w:r w:rsidR="00106A32" w:rsidRPr="005119FF">
        <w:rPr>
          <w:rFonts w:ascii="Times New Roman" w:hAnsi="Times New Roman" w:cs="Times New Roman"/>
          <w:i/>
          <w:sz w:val="24"/>
          <w:szCs w:val="24"/>
        </w:rPr>
        <w:fldChar w:fldCharType="begin"/>
      </w:r>
      <w:r w:rsidRPr="005119FF">
        <w:rPr>
          <w:rFonts w:ascii="Times New Roman" w:hAnsi="Times New Roman" w:cs="Times New Roman"/>
          <w:i/>
          <w:sz w:val="24"/>
          <w:szCs w:val="24"/>
        </w:rPr>
        <w:instrText xml:space="preserve"> SEQ Figure \* ARABIC </w:instrText>
      </w:r>
      <w:r w:rsidR="00106A32" w:rsidRPr="005119FF">
        <w:rPr>
          <w:rFonts w:ascii="Times New Roman" w:hAnsi="Times New Roman" w:cs="Times New Roman"/>
          <w:i/>
          <w:sz w:val="24"/>
          <w:szCs w:val="24"/>
        </w:rPr>
        <w:fldChar w:fldCharType="separate"/>
      </w:r>
      <w:r w:rsidR="00816506">
        <w:rPr>
          <w:rFonts w:ascii="Times New Roman" w:hAnsi="Times New Roman" w:cs="Times New Roman"/>
          <w:i/>
          <w:noProof/>
          <w:sz w:val="24"/>
          <w:szCs w:val="24"/>
        </w:rPr>
        <w:t>4</w:t>
      </w:r>
      <w:r w:rsidR="00106A32" w:rsidRPr="005119FF">
        <w:rPr>
          <w:rFonts w:ascii="Times New Roman" w:hAnsi="Times New Roman" w:cs="Times New Roman"/>
          <w:i/>
          <w:sz w:val="24"/>
          <w:szCs w:val="24"/>
        </w:rPr>
        <w:fldChar w:fldCharType="end"/>
      </w:r>
      <w:r w:rsidRPr="005119FF">
        <w:rPr>
          <w:rFonts w:ascii="Times New Roman" w:hAnsi="Times New Roman" w:cs="Times New Roman"/>
          <w:i/>
          <w:sz w:val="24"/>
          <w:szCs w:val="24"/>
        </w:rPr>
        <w:t xml:space="preserve"> - coronary anatomy</w:t>
      </w:r>
      <w:r w:rsidR="00AA7419">
        <w:rPr>
          <w:rFonts w:ascii="Times New Roman" w:hAnsi="Times New Roman" w:cs="Times New Roman"/>
          <w:i/>
          <w:sz w:val="24"/>
          <w:szCs w:val="24"/>
        </w:rPr>
        <w:t xml:space="preserve"> </w:t>
      </w:r>
      <w:r w:rsidR="009C2BD2">
        <w:rPr>
          <w:rFonts w:ascii="Times New Roman" w:hAnsi="Times New Roman" w:cs="Times New Roman"/>
          <w:i/>
          <w:sz w:val="24"/>
          <w:szCs w:val="24"/>
        </w:rPr>
        <w:t>showing coronary arteries and major cardiac venous and arterial vessels</w:t>
      </w:r>
      <w:r w:rsidRPr="005119FF">
        <w:rPr>
          <w:rFonts w:ascii="Times New Roman" w:hAnsi="Times New Roman" w:cs="Times New Roman"/>
          <w:i/>
          <w:sz w:val="24"/>
          <w:szCs w:val="24"/>
        </w:rPr>
        <w:br/>
        <w:t>(</w:t>
      </w:r>
      <w:r w:rsidRPr="005119FF">
        <w:rPr>
          <w:rFonts w:ascii="Times New Roman" w:hAnsi="Times New Roman" w:cs="Times New Roman"/>
          <w:i/>
          <w:sz w:val="24"/>
          <w:szCs w:val="24"/>
          <w:shd w:val="clear" w:color="auto" w:fill="FFFFFF"/>
        </w:rPr>
        <w:t>Coronary.pdf: Patrick J. Lynch, medical illustrator derivative work [1]: (https://commons.wikimedia.org/wiki/File:Coronary_arteries.png) Coronary arteries, https://creativecommons.org/licenses/by-sa/3.0/legalcode)</w:t>
      </w:r>
      <w:bookmarkEnd w:id="18"/>
    </w:p>
    <w:p w14:paraId="57CCC737" w14:textId="77777777" w:rsidR="00586518" w:rsidRPr="00EC6C19" w:rsidRDefault="00586518" w:rsidP="005119FF">
      <w:pPr>
        <w:pStyle w:val="Caption"/>
        <w:rPr>
          <w:rFonts w:ascii="Times New Roman" w:hAnsi="Times New Roman" w:cs="Times New Roman"/>
          <w:sz w:val="24"/>
          <w:szCs w:val="24"/>
        </w:rPr>
      </w:pPr>
    </w:p>
    <w:p w14:paraId="15CD35E7" w14:textId="77777777" w:rsidR="00816506" w:rsidRPr="00816506" w:rsidRDefault="00816506" w:rsidP="00816506"/>
    <w:p w14:paraId="7C998D25" w14:textId="77777777" w:rsidR="00586518" w:rsidRPr="00DB2C7E" w:rsidRDefault="00C54823" w:rsidP="00DB2C7E">
      <w:pPr>
        <w:pStyle w:val="Heading3"/>
        <w:spacing w:line="360" w:lineRule="auto"/>
        <w:rPr>
          <w:rFonts w:ascii="Times New Roman" w:hAnsi="Times New Roman" w:cs="Times New Roman"/>
          <w:b w:val="0"/>
          <w:i/>
          <w:color w:val="auto"/>
          <w:sz w:val="24"/>
          <w:szCs w:val="24"/>
        </w:rPr>
      </w:pPr>
      <w:bookmarkStart w:id="19" w:name="_Toc80302162"/>
      <w:r>
        <w:rPr>
          <w:rFonts w:ascii="Times New Roman" w:hAnsi="Times New Roman" w:cs="Times New Roman"/>
          <w:b w:val="0"/>
          <w:i/>
          <w:color w:val="auto"/>
          <w:sz w:val="24"/>
          <w:szCs w:val="24"/>
        </w:rPr>
        <w:lastRenderedPageBreak/>
        <w:t xml:space="preserve">1.3.3 - </w:t>
      </w:r>
      <w:r w:rsidR="00586518" w:rsidRPr="00DB2C7E">
        <w:rPr>
          <w:rFonts w:ascii="Times New Roman" w:hAnsi="Times New Roman" w:cs="Times New Roman"/>
          <w:b w:val="0"/>
          <w:i/>
          <w:color w:val="auto"/>
          <w:sz w:val="24"/>
          <w:szCs w:val="24"/>
        </w:rPr>
        <w:t>Contrast Injection</w:t>
      </w:r>
      <w:bookmarkEnd w:id="19"/>
    </w:p>
    <w:p w14:paraId="29C8C76B" w14:textId="77777777" w:rsidR="00586518" w:rsidRPr="00EC6C19" w:rsidRDefault="00586518" w:rsidP="00586518">
      <w:pPr>
        <w:rPr>
          <w:rFonts w:ascii="Times New Roman" w:hAnsi="Times New Roman" w:cs="Times New Roman"/>
          <w:b/>
          <w:sz w:val="24"/>
          <w:szCs w:val="24"/>
        </w:rPr>
      </w:pPr>
    </w:p>
    <w:p w14:paraId="16971AD5" w14:textId="77777777" w:rsidR="002320A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Iodinated contrast media is necessary for acquisition of X-ray pictures, as the contrast fluid is x-ray </w:t>
      </w:r>
      <w:r w:rsidRPr="005119FF">
        <w:rPr>
          <w:rFonts w:ascii="Times New Roman" w:hAnsi="Times New Roman" w:cs="Times New Roman"/>
          <w:sz w:val="24"/>
          <w:szCs w:val="24"/>
        </w:rPr>
        <w:t>dense</w:t>
      </w:r>
      <w:r w:rsidR="002320A8" w:rsidRPr="005119FF">
        <w:rPr>
          <w:rFonts w:ascii="Times New Roman" w:hAnsi="Times New Roman" w:cs="Times New Roman"/>
          <w:sz w:val="24"/>
          <w:szCs w:val="24"/>
        </w:rPr>
        <w:t xml:space="preserve"> </w:t>
      </w:r>
      <w:r w:rsidRPr="005119FF">
        <w:rPr>
          <w:rFonts w:ascii="Times New Roman" w:hAnsi="Times New Roman" w:cs="Times New Roman"/>
          <w:sz w:val="24"/>
          <w:szCs w:val="24"/>
        </w:rPr>
        <w:t xml:space="preserve">(Figure </w:t>
      </w:r>
      <w:r w:rsidR="005119FF" w:rsidRPr="005119FF">
        <w:rPr>
          <w:rFonts w:ascii="Times New Roman" w:hAnsi="Times New Roman" w:cs="Times New Roman"/>
          <w:sz w:val="24"/>
          <w:szCs w:val="24"/>
        </w:rPr>
        <w:t>5</w:t>
      </w:r>
      <w:r w:rsidRPr="005119FF">
        <w:rPr>
          <w:rFonts w:ascii="Times New Roman" w:hAnsi="Times New Roman" w:cs="Times New Roman"/>
          <w:sz w:val="24"/>
          <w:szCs w:val="24"/>
        </w:rPr>
        <w:t>).</w:t>
      </w:r>
      <w:r w:rsidR="002320A8" w:rsidRPr="005119FF">
        <w:rPr>
          <w:rFonts w:ascii="Times New Roman" w:hAnsi="Times New Roman" w:cs="Times New Roman"/>
          <w:sz w:val="24"/>
          <w:szCs w:val="24"/>
        </w:rPr>
        <w:t xml:space="preserve"> </w:t>
      </w:r>
      <w:r w:rsidRPr="005119FF">
        <w:rPr>
          <w:rFonts w:ascii="Times New Roman" w:hAnsi="Times New Roman" w:cs="Times New Roman"/>
          <w:sz w:val="24"/>
          <w:szCs w:val="24"/>
        </w:rPr>
        <w:t>The</w:t>
      </w:r>
      <w:r w:rsidRPr="00EC6C19">
        <w:rPr>
          <w:rFonts w:ascii="Times New Roman" w:hAnsi="Times New Roman" w:cs="Times New Roman"/>
          <w:sz w:val="24"/>
          <w:szCs w:val="24"/>
        </w:rPr>
        <w:t xml:space="preserve"> main concern regarding contrast use is the potential nephrotoxic effects, the most serious of which is contrast induced nephropathy (CIN). In turn, development of CIN has short and long term impacts on morbidity and mortality </w:t>
      </w:r>
      <w:r w:rsidR="00106A32" w:rsidRPr="00EC6C19">
        <w:rPr>
          <w:rFonts w:ascii="Times New Roman" w:hAnsi="Times New Roman" w:cs="Times New Roman"/>
          <w:sz w:val="24"/>
          <w:szCs w:val="24"/>
        </w:rPr>
        <w:fldChar w:fldCharType="begin"/>
      </w:r>
      <w:r w:rsidR="003028CD" w:rsidRPr="00EC6C19">
        <w:rPr>
          <w:rFonts w:ascii="Times New Roman" w:hAnsi="Times New Roman" w:cs="Times New Roman"/>
          <w:sz w:val="24"/>
          <w:szCs w:val="24"/>
        </w:rPr>
        <w:instrText xml:space="preserve"> ADDIN ZOTERO_ITEM CSL_CITATION {"citationID":"b2w3HT3y","properties":{"formattedCitation":"(Wi et al., 2011)","plainCitation":"(Wi et al., 2011)","noteIndex":0},"citationItems":[{"id":270,"uris":["http://zotero.org/users/local/k67tNDdX/items/DKQVV75K"],"uri":["http://zotero.org/users/local/k67tNDdX/items/DKQVV75K"],"itemData":{"id":270,"type":"article-journal","abstract":"OBJECTIVE: To investigate the long-term prognostic implications of contrast-induced acute kidney injury (CI-AKI) with transient or persistent renal dysfunction in acute myocardial infarction (AMI) patients undergoing percutaneous coronary intervention (PCI).\nDESIGN: A retrospective observational registry study.\nSETTING: Clinical follow-up after PCI. Patients and methods A total of 1041 PCI-treated AMI patients from the Infarction Prognosis Study registry. CI-AKI was defined as an increase in serum creatinine (&gt;25% or &gt;0.5 mg/dl (&gt;44.2 μmol/l)) within 2 days after PCI. Main outcome measures Two-year cumulative event rate of all-cause death or renal failure requiring dialysis.\nRESULTS: CI-AKI was observed in 148 patients (14.2%). Patients with CI-AKI had a higher rate of death or dialysis (25.4% vs. 6.3%, p&lt;0.001) at 2 years compared with patients without CI-AKI. CI-AKI was an important independent predictor of death or dialysis (HR 2.76, 95% CI 1.61 to 4.73, p&lt;0.001) Persistent renal dysfunction after CI-AKI was documented in 68 patients (45.9%). Patients with transient renal dysfunction showed a lower 2-year event rate of death or dialysis compared with those with persistent renal dysfunction (17.9% vs. 34.1%, p=0.013); however, they showed a higher event rate compared with those without CI-AKI (17.9% vs. 6.3%, p&lt;0.001).\nCONCLUSION: Transient and persistent renal dysfunction after CI-AKI was associated with increased short and long-term mortality and morbidity in AMI patients treated by PCI. Better preventive strategies are needed to improve clinical outcomes in AMI patients at high risk of developing CI-AKI.","container-title":"Heart (British Cardiac Society)","DOI":"10.1136/hrt.2010.218677","ISSN":"1468-201X","issue":"21","journalAbbreviation":"Heart","language":"eng","note":"PMID: 21602521","page":"1753-1757","source":"PubMed","title":"Impact of contrast-induced acute kidney injury with transient or persistent renal dysfunction on long-term outcomes of patients with acute myocardial infarction undergoing percutaneous coronary intervention","volume":"97","author":[{"family":"Wi","given":"Jin"},{"family":"Ko","given":"Young-Guk"},{"family":"Kim","given":"Jung-Sun"},{"family":"Kim","given":"Byeong-Keuk"},{"family":"Choi","given":"Donghoon"},{"family":"Ha","given":"Jong-Won"},{"family":"Hong","given":"Myeong-Ki"},{"family":"Jang","given":"Yangsoo"}],"issued":{"date-parts":[["2011",11]]}}}],"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(Wi et al., 2011)</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3028CD" w:rsidRPr="00EC6C19">
        <w:rPr>
          <w:rFonts w:ascii="Times New Roman" w:hAnsi="Times New Roman" w:cs="Times New Roman"/>
          <w:sz w:val="24"/>
          <w:szCs w:val="24"/>
        </w:rPr>
        <w:instrText xml:space="preserve"> ADDIN ZOTERO_ITEM CSL_CITATION {"citationID":"7zr57kVd","properties":{"formattedCitation":"(James et al., 2013)","plainCitation":"(James et al., 2013)","noteIndex":0},"citationItems":[{"id":272,"uris":["http://zotero.org/users/local/k67tNDdX/items/UNUY3U4C"],"uri":["http://zotero.org/users/local/k67tNDdX/items/UNUY3U4C"],"itemData":{"id":272,"type":"article-journal","abstract":"BACKGROUND: Contrast-induced acute kidney injury (CI-AKI) has been associated with mortality, although it has been suggested this association may be attributable to confounding. We performed a systematic review and meta-analysis to characterize the associations between CI-AKI and subsequent clinical outcomes.\nMETHODS AND RESULTS: We identified studies using MEDLINE (1950 to June 2011) and Embase (1980 to June 2011), manual bibliographic searches, and contact with experts. We included observational studies that characterized outcomes among patients with and without AKI (based on changes in serum creatinine) after coronary angiography. Eligible studies reported at least 1 of mortality, cardiovascular events, end-stage renal disease, or length of hospital stay. Thirty-nine observational studies met inclusion criteria. Of 34 studies reporting mortality (including 139 603 participants), 33 reported an increased risk of death in those with CI-AKI, although the effect size varied between studies (I(2)=93.5%). Between-study heterogeneity was partially explained by whether adjustment for confounding features was performed (11 studies without adjustment; pooled crude risk ratio, 8.19; 95% confidence interval, 4.30-15.60; I(2)=77.3% versus 23 studies with adjustment; pooled adjusted risk ratio, 2.39; 95% confidence interval, 1.98-2.90; I(2)=88.3%). CI-AKI was consistently associated with an increased risk of cardiovascular events in 14 studies, end-stage renal disease in 3 studies, and prolonged hospitalization in 11 studies.\nCONCLUSIONS: CI-AKI is associated with an increased risk of mortality, cardiovascular events, renal failure, and prolonged hospitalization. However, the association between CI-AKI and mortality is strongly confounded by baseline clinical characteristics that simultaneously predispose to both kidney injury and mortality, and the risk attributable to CI-AKI is much lower than that reported from unadjusted studies.","container-title":"Circulation. Cardiovascular Interventions","DOI":"10.1161/CIRCINTERVENTIONS.112.974493","ISSN":"1941-7632","issue":"1","journalAbbreviation":"Circ Cardiovasc Interv","language":"eng","note":"PMID: 23322741","page":"37-43","source":"PubMed","title":"Contrast-induced acute kidney injury and risk of adverse clinical outcomes after coronary angiography: a systematic review and meta-analysis","title-short":"Contrast-induced acute kidney injury and risk of adverse clinical outcomes after coronary angiography","volume":"6","author":[{"family":"James","given":"Matthew T."},{"family":"Samuel","given":"Susan M."},{"family":"Manning","given":"Megan A."},{"family":"Tonelli","given":"Marcello"},{"family":"Ghali","given":"William A."},{"family":"Faris","given":"Peter"},{"family":"Knudtson","given":"Merril L."},{"family":"Pannu","given":"Neesh"},{"family":"Hemmelgarn","given":"Brenda R."}],"issued":{"date-parts":[["2013",2]]}}}],"schema":"https://github.com/citation-style-language/schema/raw/master/csl-citation.json"}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(James et al.,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This was of importance with regards to the study protocol due to the extra measurements compared with standard care. The extra measurements inevitably meant higher contrast use for wire positioning and lesion visualisation. The incidence of CIN in elective patients is &lt;3.5%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{"citationID":"nb7xhIe3","properties":{"formattedCitation":"(Rihal et al., 2002)","plainCitation":"(Rihal et al., 2002)","noteIndex":0},"citationItems":[{"id":302,"uris":["http://zotero.org/users/local/k67tNDdX/items/TAG57824"],"uri":["http://zotero.org/users/local/k67tNDdX/items/TAG57824"],"itemData":{"id":302,"type":"article-journal","abstract":"BACKGROUND: In patients undergoing percutaneous coronary intervention (PCI) in the modern era, the incidence and prognostic implications of acute renal failure (ARF) are unknown.\nMETHODS AND RESULTS: With a retrospective analysis of the Mayo Clinic PCI registry, we determined the incidence of, risk factors for, and prognostic implications of ARF (defined as an increase in serum creatinine [Cr] &gt;0.5 mg/dL from baseline) after PCI. Of 7586 patients, 254 (3.3%) experienced ARF. Among patients with baseline Cr &lt;2.0, the risk of ARF was higher among diabetic than nondiabetic patients, whereas among those with a baseline Cr &gt;2.0, all had a significant risk of ARF. In multivariate analysis, ARF was associated with baseline serum Cr, acute myocardial infarction, shock, and volume of contrast medium administered. Twenty-two percent of patients with ARF died during the index hospitalization compared with only 1.4% of patients without ARF (P&lt;0.0001). After adjustment, ARF remained strongly associated with death. Among hospital survivors with ARF, 1- and 5-year estimated mortality rates were 12.1% and 44.6%, respectively, much greater than the 3.7% and 14.5% mortality rates in patients without ARF (P&lt;0.0001).\nCONCLUSIONS: The overall incidence of ARF after PCI is low. Diabetic patients with baseline Cr values &lt;2.0 mg/dL are at higher risk than nondiabetic patients, whereas all patients with a serum Cr &gt;2.0 are at high risk for ARF. ARF was highly correlated with death during the index hospitalization and after dismissal.","container-title":"Circulation","ISSN":"1524-4539","issue":"19","journalAbbreviation":"Circulation","language":"eng","note":"PMID: 12010907","page":"2259-2264","source":"PubMed","title":"Incidence and prognostic importance of acute renal failure after percutaneous coronary intervention","volume":"105","author":[{"family":"Rihal","given":"Charanjit S."},{"family":"Textor","given":"Stephen C."},{"family":"Grill","given":"Diane E."},{"family":"Berger","given":"Peter B."},{"family":"Ting","given":"Henry H."},{"family":"Best","given":"Patricia J."},{"family":"Singh","given":"Mandeep"},{"family":"Bell","given":"Malcolm R."},{"family":"Barsness","given":"Gregory W."},{"family":"Mathew","given":"Verghese"},{"family":"Garratt","given":"Kirk N."},{"family":"Holmes","given":"David R."}],"issued":{"date-parts":[["2002",5,14]]}}}],"schema":"https://github.com/citation-style-language/schema/raw/master/csl-citation.json"}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(Rihal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2002)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For this reason, patients with significant baseline kidney dysfunction were excluded, as this is the most important risk factor for the development of CIN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{"citationID":"bOTlVL3B","properties":{"formattedCitation":"(Nash, Hafeez and Hou, 2002)","plainCitation":"(Nash, Hafeez and Hou, 2002)","noteIndex":0},"citationItems":[{"id":274,"uris":["http://zotero.org/users/local/k67tNDdX/items/DXPURWVZ"],"uri":["http://zotero.org/users/local/k67tNDdX/items/DXPURWVZ"],"itemData":{"id":274,"type":"article-journal","container-title":"American Journal of Kidney Diseases","DOI":"10.1053/ajkd.2002.32766","ISSN":"0272-6386, 1523-6838","issue":"5","journalAbbreviation":"American Journal of Kidney Diseases","language":"English","page":"930-936","source":"www.ajkd.org","title":"Hospital-acquired renal insufficiency","volume":"39","author":[{"family":"Nash","given":"Kevin"},{"family":"Hafeez","given":"Abdul"},{"family":"Hou","given":"Susan"}],"issued":{"date-parts":[["2002",5,1]]}}}],"schema":"https://github.com/citation-style-language/schema/raw/master/csl-citation.json"}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(Nash, Hafeez and Hou, 2002)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p>
    <w:p w14:paraId="3DED1161" w14:textId="7777777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Many contrast agents exist, but all are iodine based. The pathophysiology of CIN is complex and not completely understood, but culminates in hypoxia in the renal medulla, and eventually cell death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{"citationID":"ebXQjOaX","properties":{"formattedCitation":"(Wong et al., 2012)","plainCitation":"(Wong et al., 2012)","noteIndex":0},"citationItems":[{"id":276,"uris":["http://zotero.org/users/local/k67tNDdX/items/JEKK4BIX"],"uri":["http://zotero.org/users/local/k67tNDdX/items/JEKK4BIX"],"itemData":{"id":276,"type":"article-journal","container-title":"International Journal of Cardiology","DOI":"10.1016/j.ijcard.2011.06.115","ISSN":"0167-5273, 1874-1754","issue":"2","journalAbbreviation":"International Journal of Cardiology","language":"English","page":"186-192","source":"www.internationaljournalofcardiology.com","title":"Pathophysiology of contrast-induced nephropathy","volume":"158","author":[{"family":"Wong","given":"Philip Ching Yat"},{"family":"Li","given":"Zicheng"},{"family":"Guo","given":"Jun"},{"family":"Zhang","given":"Aidong"}],"issued":{"date-parts":[["2012",7,12]]}}}],"schema":"https://github.com/citation-style-language/schema/raw/master/csl-citation.json"}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(Wong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 osmolality (measure of the number of dissolved particles in a fluid) of contrast media, appears to have an impact on the risk of developing CIN. Contrast agents are divided into high, low or iso-osmolar (highest to lowest osmolality respectively). Meta-analyses have shown a risk reduction in the development of CIN when using low osmolar versus high osmolar agents</w:t>
      </w:r>
      <w:r w:rsidR="0095706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{"citationID":"WgPKq77t","properties":{"formattedCitation":"(Barrett and Carlisle, 1993)","plainCitation":"(Barrett and Carlisle, 1993)","noteIndex":0},"citationItems":[{"id":281,"uris":["http://zotero.org/users/local/k67tNDdX/items/3FEVDSN2"],"uri":["http://zotero.org/users/local/k67tNDdX/items/3FEVDSN2"],"itemData":{"id":281,"type":"article-journal","abstract":"To determine whether low-osmolality contrast media (LOCM) are less nephrotoxic than high-osmolality contrast media (HOCM), the authors searched MEDLINE and EMBASE databases and other sources to find randomized trials with data collected on changes in glomerular filtration rate or serum creatinine (SCr) level with LOCM and HOCM. Forty-five trials were found. Data were unavailable from 14 trials. When the P values from the other 31 trials were pooled, an overall P value of .02 was found. Among 24 trials with available data, the mean change in SCr was 0.2-6.2 mumol/L less with LOCM than HOCM. Among 25 trials with available data, the pooled odds of a rise in SCr level of more than 44 mumol/L with LOCM was 0.61 (95% confidence interval [CI], 0.48-0.77) times that after HOCM. For patients with existing renal failure, this odds ratio was 0.5 (CI, 0.36-0.68), while it was 0.75 (CI, 0.52-1.1) in patients without prior renal failure. Greater changes in SCr level occurred only in those with existing renal failure and were less common with LOCM (odds ratio, 0.44; CI, 0.26-0.73). Use of LOCM may be beneficial in patients with existing renal failure.","container-title":"Radiology","DOI":"10.1148/radiology.188.1.8511292","ISSN":"0033-8419","issue":"1","journalAbbreviation":"Radiology","page":"171-178","source":"pubs.rsna.org (Atypon)","title":"Metaanalysis of the relative nephrotoxicity of high- and low-osmolality iodinated contrast media.","volume":"188","author":[{"family":"Barrett","given":"B J"},{"family":"Carlisle","given":"E J"}],"issued":{"date-parts":[["1993",7,1]]}}}],"schema":"https://github.com/citation-style-language/schema/raw/master/csl-citation.json"}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(Barrett and Carlisle, 1993)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and iso-osmolar versus low osmolar agents</w:t>
      </w:r>
      <w:r w:rsidR="003028CD"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{"citationID":"RwmxMYzH","properties":{"formattedCitation":"(McCullough et al., 2006)","plainCitation":"(McCullough et al., 2006)","noteIndex":0},"citationItems":[{"id":283,"uris":["http://zotero.org/users/local/k67tNDdX/items/C4NJPIWN"],"uri":["http://zotero.org/users/local/k67tNDdX/items/C4NJPIWN"],"itemData":{"id":283,"type":"article-journal","abstract":"Objectives\nWe sought to compare the nephrotoxicity of isosmolar contrast medium (IOCM) iodixanol with low-osmolar contrast media (LOCM) and to identify predictors of contrast-induced nephropathy (CIN).\nBackground\nContrast-induced nephropathy is a serious complication of diagnostic and interventional procedures.\nMethods\nPooled individual patient data (n = 2,727) from 16 double-blind, randomized, controlled trials in which patients received either intra-arterial IOCM iodixanol (n = 1,382) or LOCM (n = 1,345) were included. Patients were stratified according to chronic kidney disease (CKD), diabetes mellitus (DM), or both. Outcome measures were the maximum increase in serum creatinine (Cr) over baseline and the incidence of postprocedural CIN.\nResults\nThe maximum Cr increase within 3 days after contrast medium (CM) administration was significantly smaller in the iodixanol group compared with the LOCM group (0.06 mg/dl vs. 0.10 mg/dl, p &lt; 0.001), particularly in patients with CKD (0.07 mg/dl vs. 0.16 mg/dl, p = 0.004) and CKD + DM (0.10 mg/dl vs. 0.33 mg/dl, p = 0.003). Contrast-induced nephropathy, defined as an increase in Cr ≥0.50 mg/dl within 3 days after CM administration, occurred less frequently in the iodixanol group than in the LOCM group in all patients (1.4% vs. 3.5%, p &lt; 0.001), in CKD patients (2.8% vs. 8.4%, p = 0.001), and in CKD + DM patients (3.5% vs. 15.5%, p = 0.003). Independent predictors of CIN included CKD, CKD + DM, and use of LOCM.\nConclusions\nThis meta-analysis of pooled data from 2,727 patients indicates that use of the IOCM iodixanol is associated with smaller rises in Cr and lower rates of CIN than LOCM, especially in patients with CKD or CKD + DM.","container-title":"Journal of the American College of Cardiology","DOI":"10.1016/j.jacc.2006.02.073","ISSN":"0735-1097","issue":"4","journalAbbreviation":"Journal of the American College of Cardiology","page":"692-699","source":"ScienceDirect","title":"A Meta-Analysis of the Renal Safety of Isosmolar Iodixanol Compared With Low-Osmolar Contrast Media","volume":"48","author":[{"family":"McCullough","given":"Peter A."},{"family":"Bertrand","given":"Michel E."},{"family":"Brinker","given":"Jeffrey A."},{"family":"Stacul","given":"Fulvio"}],"issued":{"date-parts":[["2006",8,15]]}}}],"schema":"https://github.com/citation-style-language/schema/raw/master/csl-citation.json"}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(McCullough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In our study patients, all received</w:t>
      </w:r>
      <w:r w:rsidR="003028CD" w:rsidRPr="00EC6C19">
        <w:rPr>
          <w:rFonts w:ascii="Times New Roman" w:hAnsi="Times New Roman" w:cs="Times New Roman"/>
          <w:sz w:val="24"/>
          <w:szCs w:val="24"/>
        </w:rPr>
        <w:t xml:space="preserve"> </w:t>
      </w:r>
      <w:r w:rsidRPr="00EC6C19">
        <w:rPr>
          <w:rFonts w:ascii="Times New Roman" w:hAnsi="Times New Roman" w:cs="Times New Roman"/>
          <w:sz w:val="24"/>
          <w:szCs w:val="24"/>
        </w:rPr>
        <w:t>Visipaque™ which is classed as iso-osmolar, and from current evidence, the safest agent available for use.</w:t>
      </w:r>
      <w:r w:rsidR="002320A8" w:rsidRPr="00EC6C19">
        <w:rPr>
          <w:rFonts w:ascii="Times New Roman" w:hAnsi="Times New Roman" w:cs="Times New Roman"/>
          <w:sz w:val="24"/>
          <w:szCs w:val="24"/>
        </w:rPr>
        <w:t xml:space="preserve"> </w:t>
      </w:r>
      <w:r w:rsidRPr="00EC6C19">
        <w:rPr>
          <w:rFonts w:ascii="Times New Roman" w:hAnsi="Times New Roman" w:cs="Times New Roman"/>
          <w:sz w:val="24"/>
          <w:szCs w:val="24"/>
        </w:rPr>
        <w:t xml:space="preserve">There is clear evidence that volume of contrast media is correlated to the risk of developing CIN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{"citationID":"Ssd08HD2","properties":{"formattedCitation":"(Davidson et al., 2006)","plainCitation":"(Davidson et al., 2006)","noteIndex":0},"citationItems":[{"id":286,"uris":["http://zotero.org/users/local/k67tNDdX/items/PKYXZ38W"],"uri":["http://zotero.org/users/local/k67tNDdX/items/PKYXZ38W"],"itemData":{"id":286,"type":"article-journal","container-title":"American Journal of Cardiology","DOI":"10.1016/j.amjcard.2006.01.023","ISSN":"0002-9149, 1879-1913","issue":"6","journalAbbreviation":"American Journal of Cardiology","language":"English","note":"PMID: 16784918","page":"42-58","source":"www.ajconline.org","title":"Contrast Medium Use","volume":"98","author":[{"family":"Davidson","given":"Charles"},{"family":"Stacul","given":"Fulvio"},{"family":"McCullough","given":"Peter A."},{"family":"Tumlin","given":"James"},{"family":"Adam","given":"Andy"},{"family":"Lameire","given":"Norbert"},{"family":"Becker","given":"Christoph R."}],"issued":{"date-parts":[["2006",9,18]]}}}],"schema":"https://github.com/citation-style-language/schema/raw/master/csl-citation.json"}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(Davidson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p>
    <w:p w14:paraId="4AC09253" w14:textId="77777777" w:rsidR="00586518" w:rsidRPr="00EC6C19" w:rsidRDefault="004871D9" w:rsidP="00586518">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14:anchorId="4E82C7E2" wp14:editId="0A3B197F">
            <wp:extent cx="5429250" cy="5476875"/>
            <wp:effectExtent l="1905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5429250" cy="5476875"/>
                    </a:xfrm>
                    <a:prstGeom prst="rect">
                      <a:avLst/>
                    </a:prstGeom>
                    <a:noFill/>
                    <a:ln w="9525">
                      <a:noFill/>
                      <a:miter lim="800000"/>
                      <a:headEnd/>
                      <a:tailEnd/>
                    </a:ln>
                  </pic:spPr>
                </pic:pic>
              </a:graphicData>
            </a:graphic>
          </wp:inline>
        </w:drawing>
      </w:r>
    </w:p>
    <w:p w14:paraId="395EEB6B" w14:textId="77777777" w:rsidR="00AA7419" w:rsidRDefault="005119FF" w:rsidP="00AA7419">
      <w:pPr>
        <w:pStyle w:val="Caption"/>
        <w:jc w:val="both"/>
        <w:rPr>
          <w:rFonts w:ascii="Times New Roman" w:hAnsi="Times New Roman" w:cs="Times New Roman"/>
          <w:b w:val="0"/>
          <w:i/>
          <w:color w:val="auto"/>
          <w:sz w:val="24"/>
          <w:szCs w:val="24"/>
        </w:rPr>
      </w:pPr>
      <w:bookmarkStart w:id="20" w:name="_Toc44684894"/>
      <w:r w:rsidRPr="005119FF">
        <w:rPr>
          <w:rFonts w:ascii="Times New Roman" w:hAnsi="Times New Roman" w:cs="Times New Roman"/>
          <w:b w:val="0"/>
          <w:i/>
          <w:color w:val="auto"/>
          <w:sz w:val="24"/>
          <w:szCs w:val="24"/>
        </w:rPr>
        <w:t xml:space="preserve">Figure </w:t>
      </w:r>
      <w:r w:rsidR="00106A32" w:rsidRPr="005119FF">
        <w:rPr>
          <w:rFonts w:ascii="Times New Roman" w:hAnsi="Times New Roman" w:cs="Times New Roman"/>
          <w:b w:val="0"/>
          <w:i/>
          <w:color w:val="auto"/>
          <w:sz w:val="24"/>
          <w:szCs w:val="24"/>
        </w:rPr>
        <w:fldChar w:fldCharType="begin"/>
      </w:r>
      <w:r w:rsidRPr="005119FF">
        <w:rPr>
          <w:rFonts w:ascii="Times New Roman" w:hAnsi="Times New Roman" w:cs="Times New Roman"/>
          <w:b w:val="0"/>
          <w:i/>
          <w:color w:val="auto"/>
          <w:sz w:val="24"/>
          <w:szCs w:val="24"/>
        </w:rPr>
        <w:instrText xml:space="preserve"> SEQ Figure \* ARABIC </w:instrText>
      </w:r>
      <w:r w:rsidR="00106A32" w:rsidRPr="005119FF">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5</w:t>
      </w:r>
      <w:r w:rsidR="00106A32" w:rsidRPr="005119FF">
        <w:rPr>
          <w:rFonts w:ascii="Times New Roman" w:hAnsi="Times New Roman" w:cs="Times New Roman"/>
          <w:b w:val="0"/>
          <w:i/>
          <w:color w:val="auto"/>
          <w:sz w:val="24"/>
          <w:szCs w:val="24"/>
        </w:rPr>
        <w:fldChar w:fldCharType="end"/>
      </w:r>
      <w:r w:rsidRPr="005119FF">
        <w:rPr>
          <w:rFonts w:ascii="Times New Roman" w:hAnsi="Times New Roman" w:cs="Times New Roman"/>
          <w:b w:val="0"/>
          <w:i/>
          <w:color w:val="auto"/>
          <w:sz w:val="24"/>
          <w:szCs w:val="24"/>
        </w:rPr>
        <w:t xml:space="preserve"> - A right coronary artery injection, from a patient attending the Essex Cardiothoracic Centre. Contrast injection is shown in black, filling the coronary catheter, and the coronary artery. There is a mild stenosis in the proximal segment.</w:t>
      </w:r>
      <w:bookmarkEnd w:id="20"/>
      <w:r w:rsidR="00586518" w:rsidRPr="005119FF">
        <w:rPr>
          <w:rFonts w:ascii="Times New Roman" w:hAnsi="Times New Roman" w:cs="Times New Roman"/>
          <w:b w:val="0"/>
          <w:i/>
          <w:color w:val="auto"/>
          <w:sz w:val="24"/>
          <w:szCs w:val="24"/>
        </w:rPr>
        <w:t xml:space="preserve"> </w:t>
      </w:r>
    </w:p>
    <w:p w14:paraId="58BA5D0E" w14:textId="2ACDEF37" w:rsidR="005119FF" w:rsidRPr="005119FF" w:rsidRDefault="005119FF" w:rsidP="009C2BD2">
      <w:pPr>
        <w:pStyle w:val="Caption"/>
        <w:jc w:val="both"/>
        <w:rPr>
          <w:rFonts w:ascii="Times New Roman" w:hAnsi="Times New Roman" w:cs="Times New Roman"/>
          <w:b w:val="0"/>
          <w:i/>
          <w:color w:val="auto"/>
          <w:sz w:val="24"/>
          <w:szCs w:val="24"/>
        </w:rPr>
      </w:pPr>
      <w:r>
        <w:rPr>
          <w:rFonts w:ascii="Times New Roman" w:hAnsi="Times New Roman" w:cs="Times New Roman"/>
          <w:b w:val="0"/>
          <w:i/>
          <w:color w:val="auto"/>
          <w:sz w:val="24"/>
          <w:szCs w:val="24"/>
        </w:rPr>
        <w:br/>
      </w:r>
    </w:p>
    <w:p w14:paraId="0090D94D" w14:textId="77777777" w:rsidR="002320A8" w:rsidRPr="00EC6C19" w:rsidRDefault="002320A8" w:rsidP="00586518">
      <w:pPr>
        <w:rPr>
          <w:rFonts w:ascii="Times New Roman" w:hAnsi="Times New Roman" w:cs="Times New Roman"/>
          <w:i/>
          <w:sz w:val="24"/>
          <w:szCs w:val="24"/>
        </w:rPr>
      </w:pPr>
    </w:p>
    <w:p w14:paraId="4FED1213" w14:textId="77777777" w:rsidR="00586518" w:rsidRPr="00DB2C7E" w:rsidRDefault="00C54823" w:rsidP="00DB2C7E">
      <w:pPr>
        <w:pStyle w:val="Heading3"/>
        <w:spacing w:line="360" w:lineRule="auto"/>
        <w:rPr>
          <w:rFonts w:ascii="Times New Roman" w:hAnsi="Times New Roman" w:cs="Times New Roman"/>
          <w:b w:val="0"/>
          <w:i/>
          <w:color w:val="auto"/>
          <w:sz w:val="24"/>
          <w:szCs w:val="24"/>
        </w:rPr>
      </w:pPr>
      <w:bookmarkStart w:id="21" w:name="_Toc80302163"/>
      <w:r>
        <w:rPr>
          <w:rFonts w:ascii="Times New Roman" w:hAnsi="Times New Roman" w:cs="Times New Roman"/>
          <w:b w:val="0"/>
          <w:i/>
          <w:color w:val="auto"/>
          <w:sz w:val="24"/>
          <w:szCs w:val="24"/>
        </w:rPr>
        <w:t xml:space="preserve">1.3.4 - </w:t>
      </w:r>
      <w:r w:rsidR="00586518" w:rsidRPr="00DB2C7E">
        <w:rPr>
          <w:rFonts w:ascii="Times New Roman" w:hAnsi="Times New Roman" w:cs="Times New Roman"/>
          <w:b w:val="0"/>
          <w:i/>
          <w:color w:val="auto"/>
          <w:sz w:val="24"/>
          <w:szCs w:val="24"/>
        </w:rPr>
        <w:t>Fluoroscopy</w:t>
      </w:r>
      <w:bookmarkEnd w:id="21"/>
    </w:p>
    <w:p w14:paraId="54DB3819" w14:textId="77777777" w:rsidR="00586518" w:rsidRPr="00EC6C19" w:rsidRDefault="00586518" w:rsidP="009C2BD2">
      <w:pPr>
        <w:jc w:val="both"/>
        <w:rPr>
          <w:rFonts w:ascii="Times New Roman" w:hAnsi="Times New Roman" w:cs="Times New Roman"/>
          <w:sz w:val="24"/>
          <w:szCs w:val="24"/>
        </w:rPr>
      </w:pPr>
    </w:p>
    <w:p w14:paraId="7903EA2D" w14:textId="77777777" w:rsidR="00586518" w:rsidRPr="00EC6C19" w:rsidRDefault="00586518" w:rsidP="009C2BD2">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The X-ray equipment can rotate 180 degrees in an anterior/posterior and lateral fashion, giving different views of the coronary arteries. Radiation injury is a known risk of exposed x-ray use. </w:t>
      </w:r>
      <w:r w:rsidRPr="00EC6C19">
        <w:rPr>
          <w:rFonts w:ascii="Times New Roman" w:hAnsi="Times New Roman" w:cs="Times New Roman"/>
          <w:sz w:val="24"/>
          <w:szCs w:val="24"/>
        </w:rPr>
        <w:lastRenderedPageBreak/>
        <w:t xml:space="preserve">This is more commonly seen in complex interventions, and we did not expect to see such complications during the study protocol. Injury can range from skin damage to necrosis of underlying structures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{"citationID":"BF1Fdqbn","properties":{"formattedCitation":"(Wagner, 2007)","plainCitation":"(Wagner, 2007)","noteIndex":0},"citationItems":[{"id":296,"uris":["http://zotero.org/users/local/k67tNDdX/items/Y596UXJY"],"uri":["http://zotero.org/users/local/k67tNDdX/items/Y596UXJY"],"itemData":{"id":296,"type":"article-journal","abstract":"Radiation-induced injury to skin is an infrequent but potentially serious complication to complex fluoroscopically-guided interventional procedures. Due to a lack of experience with such injuries, the medical community has found fluoroscopically-induced injuries difficult to diagnose. Injuries have occurred globally in many countries. Serious injuries most frequently occur on the back but have also occurred on the neck, buttocks and anterior of the chest. Severities of injuries range from skin rashes and epilation to necrosis of the skin and its underlying structures. This article reviews the characteristics of these injuries and some actions that can be taken to reduce their likelihood or seriousness.","container-title":"Biomedical Imaging and Intervention Journal","DOI":"10.2349/biij.3.2.e22","ISSN":"1823-5530","issue":"2","journalAbbreviation":"Biomed Imaging Interv J","note":"PMID: 21614271\nPMCID: PMC3097662","source":"PubMed Central","title":"Radiation injury is a potentially serious complication to fluoroscopically-guided complex interventions","URL":"https://www.ncbi.nlm.nih.gov/pmc/articles/PMC3097662/","volume":"3","author":[{"family":"Wagner","given":"LK"}],"accessed":{"date-parts":[["2018",4,25]]},"issued":{"date-parts":[["2007",4,1]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(Wagner, 2007)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Radiation doses are carefully monitored for staff and patients, any high dose procedures are reported to a central regulatory body.</w:t>
      </w:r>
    </w:p>
    <w:p w14:paraId="263BAB0C" w14:textId="77777777" w:rsidR="00586518" w:rsidRPr="00EC6C19" w:rsidRDefault="00586518" w:rsidP="00586518">
      <w:pPr>
        <w:spacing w:line="360" w:lineRule="auto"/>
        <w:rPr>
          <w:rFonts w:ascii="Times New Roman" w:hAnsi="Times New Roman" w:cs="Times New Roman"/>
          <w:sz w:val="24"/>
          <w:szCs w:val="24"/>
        </w:rPr>
      </w:pPr>
    </w:p>
    <w:p w14:paraId="5A1DB802" w14:textId="77777777" w:rsidR="00AA67A5" w:rsidRDefault="00C54823" w:rsidP="00DB2C7E">
      <w:pPr>
        <w:pStyle w:val="Heading2"/>
        <w:spacing w:line="360" w:lineRule="auto"/>
        <w:rPr>
          <w:rFonts w:ascii="Times New Roman" w:hAnsi="Times New Roman" w:cs="Times New Roman"/>
          <w:color w:val="auto"/>
          <w:sz w:val="24"/>
          <w:szCs w:val="24"/>
        </w:rPr>
      </w:pPr>
      <w:bookmarkStart w:id="22" w:name="_Toc80302164"/>
      <w:r>
        <w:rPr>
          <w:rFonts w:ascii="Times New Roman" w:hAnsi="Times New Roman" w:cs="Times New Roman"/>
          <w:color w:val="auto"/>
          <w:sz w:val="24"/>
          <w:szCs w:val="24"/>
        </w:rPr>
        <w:t xml:space="preserve">1.4 - </w:t>
      </w:r>
      <w:r w:rsidR="00AA67A5" w:rsidRPr="00DB2C7E">
        <w:rPr>
          <w:rFonts w:ascii="Times New Roman" w:hAnsi="Times New Roman" w:cs="Times New Roman"/>
          <w:color w:val="auto"/>
          <w:sz w:val="24"/>
          <w:szCs w:val="24"/>
        </w:rPr>
        <w:t>Percutaneous Coronary Intervention</w:t>
      </w:r>
      <w:bookmarkEnd w:id="22"/>
    </w:p>
    <w:p w14:paraId="41291DF6" w14:textId="77777777" w:rsidR="00DB2C7E" w:rsidRPr="00DB2C7E" w:rsidRDefault="00DB2C7E" w:rsidP="00DB2C7E"/>
    <w:p w14:paraId="616F3C29" w14:textId="77777777" w:rsidR="00AA67A5" w:rsidRPr="00EC6C19" w:rsidRDefault="00AA67A5" w:rsidP="00AA67A5">
      <w:pPr>
        <w:spacing w:line="360" w:lineRule="auto"/>
        <w:rPr>
          <w:rFonts w:ascii="Times New Roman" w:hAnsi="Times New Roman" w:cs="Times New Roman"/>
          <w:i/>
          <w:sz w:val="24"/>
          <w:szCs w:val="24"/>
          <w:u w:val="single"/>
        </w:rPr>
      </w:pPr>
    </w:p>
    <w:p w14:paraId="0363C9EA" w14:textId="1B113787" w:rsidR="00AA67A5" w:rsidRPr="00EC6C19" w:rsidRDefault="00AA67A5" w:rsidP="00AA67A5">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With advances in coronary angiography, the focus of early pioneers turned to whether stenoses could be treated percutaneously, rather than with open heart surgery. The first coronary artery bypass graft was conducted in 1960, with the procedures becoming more widespread in the late 1960's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{"citationID":"oyEYk8M8","properties":{"formattedCitation":"(Head et al., 2013)","plainCitation":"(Head et al., 2013)","noteIndex":0},"citationItems":[{"id":330,"uris":["http://zotero.org/users/local/k67tNDdX/items/KFWFFLGP"],"uri":["http://zotero.org/users/local/k67tNDdX/items/KFWFFLGP"],"itemData":{"id":330,"type":"article-journal","abstract":"Surgical treatment for angina pectoris was first proposed in 1899. Decades of experimental surgery for coronary artery disease finally led to the introduction of coronary artery bypass grafting (CABG) in 1964. Now that we are approaching 50 years of CABG experience, it is appropriate to summarize the advancement of CABG into a procedure that is safe and efficient. This review provides a historical recapitulation of experimental surgery, the evolution of the surgical techniques and the utilization of CABG. Furthermore, data on contemporary clinical outcomes are discussed.","container-title":"European Heart Journal","DOI":"10.1093/eurheartj/eht330","ISSN":"0195-668X","issue":"37","journalAbbreviation":"Eur Heart J","language":"en","page":"2862-2872","source":"academic.oup.com","title":"Coronary artery bypass grafting: Part 1—the evolution over the first 50 years","title-short":"Coronary artery bypass grafting","volume":"34","author":[{"family":"Head","given":"Stuart J."},{"family":"Kieser","given":"Teresa M."},{"family":"Falk","given":"Volkmar"},{"family":"Huysmans","given":"Hans A."},{"family":"Kappetein","given":"A. Pieter"}],"issued":{"date-parts":[["2013",10,1]]}}}],"schema":"https://github.com/citation-style-language/schema/raw/master/csl-citation.json"}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(Head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first percutaneous coronary intervention was conducted much later, by Andreas Gruentzig, hailed as the 'father' of coronary angioplasty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{"citationID":"BeZfDWYp","properties":{"formattedCitation":"(Grech, 2003)","plainCitation":"(Grech, 2003)","noteIndex":0},"citationItems":[{"id":333,"uris":["http://zotero.org/users/local/k67tNDdX/items/B52RFC55"],"uri":["http://zotero.org/users/local/k67tNDdX/items/B52RFC55"],"itemData":{"id":333,"type":"article-journal","container-title":"BMJ : British Medical Journal","ISSN":"0959-8138","issue":"7398","journalAbbreviation":"BMJ","note":"PMID: 12750213\nPMCID: PMC1125993","page":"1080-1082","source":"PubMed Central","title":"Percutaneous coronary intervention. I: History and development","title-short":"Percutaneous coronary intervention. I","volume":"326","author":[{"family":"Grech","given":"Ever D"}],"issued":{"date-parts":[["2003",5,17]]}}}],"schema":"https://github.com/citation-style-language/schema/raw/master/csl-citation.json"}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(Grech, 2003)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in 1977, who treated a left </w:t>
      </w:r>
      <w:r w:rsidR="004871D9">
        <w:rPr>
          <w:rFonts w:ascii="Times New Roman" w:hAnsi="Times New Roman" w:cs="Times New Roman"/>
          <w:sz w:val="24"/>
          <w:szCs w:val="24"/>
        </w:rPr>
        <w:t>anterior descending artery</w:t>
      </w:r>
      <w:r w:rsidRPr="00EC6C19">
        <w:rPr>
          <w:rFonts w:ascii="Times New Roman" w:hAnsi="Times New Roman" w:cs="Times New Roman"/>
          <w:sz w:val="24"/>
          <w:szCs w:val="24"/>
        </w:rPr>
        <w:t xml:space="preserve"> lesion in a 38 year old male with simple balloon angioplasty.</w:t>
      </w:r>
    </w:p>
    <w:p w14:paraId="2645C165" w14:textId="77777777" w:rsidR="00AA67A5" w:rsidRPr="00EC6C19" w:rsidRDefault="00AA67A5" w:rsidP="00AA67A5">
      <w:pPr>
        <w:spacing w:line="360" w:lineRule="auto"/>
        <w:rPr>
          <w:rFonts w:ascii="Times New Roman" w:hAnsi="Times New Roman" w:cs="Times New Roman"/>
          <w:sz w:val="24"/>
          <w:szCs w:val="24"/>
        </w:rPr>
      </w:pPr>
      <w:r w:rsidRPr="00EC6C19">
        <w:rPr>
          <w:rFonts w:ascii="Times New Roman" w:hAnsi="Times New Roman" w:cs="Times New Roman"/>
          <w:sz w:val="24"/>
          <w:szCs w:val="24"/>
        </w:rPr>
        <w:t>Since then, advances in coronary intervention have meant more selective coronary catheters, coronary guidewires, balloon technology with higher pressure tolerance and lower profiles, as well as huge leap</w:t>
      </w:r>
      <w:r w:rsidR="003D1F61" w:rsidRPr="00EC6C19">
        <w:rPr>
          <w:rFonts w:ascii="Times New Roman" w:hAnsi="Times New Roman" w:cs="Times New Roman"/>
          <w:sz w:val="24"/>
          <w:szCs w:val="24"/>
        </w:rPr>
        <w:t>s in coronary stent technology.</w:t>
      </w:r>
    </w:p>
    <w:p w14:paraId="5D18F9AF" w14:textId="77777777" w:rsidR="00AA67A5" w:rsidRDefault="00AA67A5" w:rsidP="00AA67A5">
      <w:pPr>
        <w:spacing w:line="360" w:lineRule="auto"/>
        <w:rPr>
          <w:rFonts w:ascii="Times New Roman" w:hAnsi="Times New Roman" w:cs="Times New Roman"/>
          <w:sz w:val="24"/>
          <w:szCs w:val="24"/>
        </w:rPr>
      </w:pPr>
    </w:p>
    <w:p w14:paraId="222F9F0B" w14:textId="77777777" w:rsidR="00DB2C7E" w:rsidRPr="00EC6C19" w:rsidRDefault="00DB2C7E" w:rsidP="00AA67A5">
      <w:pPr>
        <w:spacing w:line="360" w:lineRule="auto"/>
        <w:rPr>
          <w:rFonts w:ascii="Times New Roman" w:hAnsi="Times New Roman" w:cs="Times New Roman"/>
          <w:i/>
          <w:sz w:val="24"/>
          <w:szCs w:val="24"/>
        </w:rPr>
      </w:pPr>
    </w:p>
    <w:p w14:paraId="17F53520" w14:textId="77777777" w:rsidR="00AA67A5" w:rsidRPr="00DB2C7E" w:rsidRDefault="00C54823" w:rsidP="00DB2C7E">
      <w:pPr>
        <w:pStyle w:val="Heading3"/>
        <w:spacing w:line="360" w:lineRule="auto"/>
        <w:rPr>
          <w:rFonts w:ascii="Times New Roman" w:hAnsi="Times New Roman" w:cs="Times New Roman"/>
          <w:b w:val="0"/>
          <w:i/>
          <w:color w:val="auto"/>
          <w:sz w:val="24"/>
          <w:szCs w:val="24"/>
        </w:rPr>
      </w:pPr>
      <w:bookmarkStart w:id="23" w:name="_Toc80302165"/>
      <w:r>
        <w:rPr>
          <w:rFonts w:ascii="Times New Roman" w:hAnsi="Times New Roman" w:cs="Times New Roman"/>
          <w:b w:val="0"/>
          <w:i/>
          <w:color w:val="auto"/>
          <w:sz w:val="24"/>
          <w:szCs w:val="24"/>
        </w:rPr>
        <w:t xml:space="preserve">1.4.4 - </w:t>
      </w:r>
      <w:r w:rsidR="00AA67A5" w:rsidRPr="00DB2C7E">
        <w:rPr>
          <w:rFonts w:ascii="Times New Roman" w:hAnsi="Times New Roman" w:cs="Times New Roman"/>
          <w:b w:val="0"/>
          <w:i/>
          <w:color w:val="auto"/>
          <w:sz w:val="24"/>
          <w:szCs w:val="24"/>
        </w:rPr>
        <w:t>Balloon Angioplasty and Bare Metal Stents</w:t>
      </w:r>
      <w:bookmarkEnd w:id="23"/>
    </w:p>
    <w:p w14:paraId="3503D515" w14:textId="77777777" w:rsidR="00DB2C7E" w:rsidRPr="00DB2C7E" w:rsidRDefault="00DB2C7E" w:rsidP="00DB2C7E"/>
    <w:p w14:paraId="6F1252E7" w14:textId="77777777" w:rsidR="00AA67A5" w:rsidRPr="00EC6C19" w:rsidRDefault="00AA67A5" w:rsidP="00AA67A5">
      <w:pPr>
        <w:spacing w:line="360" w:lineRule="auto"/>
        <w:rPr>
          <w:rFonts w:ascii="Times New Roman" w:hAnsi="Times New Roman" w:cs="Times New Roman"/>
          <w:b/>
          <w:sz w:val="24"/>
          <w:szCs w:val="24"/>
        </w:rPr>
      </w:pPr>
    </w:p>
    <w:p w14:paraId="2D0364AD" w14:textId="77777777" w:rsidR="00AA67A5" w:rsidRPr="00EC6C19" w:rsidRDefault="00AA67A5" w:rsidP="00AA67A5">
      <w:pPr>
        <w:spacing w:line="360" w:lineRule="auto"/>
        <w:rPr>
          <w:rFonts w:ascii="Times New Roman" w:hAnsi="Times New Roman" w:cs="Times New Roman"/>
          <w:sz w:val="24"/>
          <w:szCs w:val="24"/>
        </w:rPr>
      </w:pPr>
      <w:r w:rsidRPr="00EC6C19">
        <w:rPr>
          <w:rFonts w:ascii="Times New Roman" w:hAnsi="Times New Roman" w:cs="Times New Roman"/>
          <w:sz w:val="24"/>
          <w:szCs w:val="24"/>
        </w:rPr>
        <w:t>Coronary stents revolutionised the treatment of coronary artery disease. The first coronary lesions were treated with plain old balloon angioplasty. While this was a landmark step is angioplasty as a whole, balloon angioplasty was compromised by acute vessel closure and re-</w:t>
      </w:r>
      <w:r w:rsidRPr="00EC6C19">
        <w:rPr>
          <w:rFonts w:ascii="Times New Roman" w:hAnsi="Times New Roman" w:cs="Times New Roman"/>
          <w:sz w:val="24"/>
          <w:szCs w:val="24"/>
        </w:rPr>
        <w:lastRenderedPageBreak/>
        <w:t>stenosis</w:t>
      </w:r>
      <w:r w:rsidR="00F61085"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{"citationID":"lAyAnZNv","properties":{"formattedCitation":"(Bauters et al., 1996)","plainCitation":"(Bauters et al., 1996)","noteIndex":0},"citationItems":[{"id":337,"uris":["http://zotero.org/users/local/k67tNDdX/items/JANV23ZN"],"uri":["http://zotero.org/users/local/k67tNDdX/items/JANV23ZN"],"itemData":{"id":337,"type":"article-journal","container-title":"Cardiovascular Research","ISSN":"0008-6363","issue":"6","journalAbbreviation":"Cardiovasc. Res.","language":"eng","note":"PMID: 8759238","page":"835-846","source":"PubMed","title":"Mechanisms and prevention of restenosis: from experimental models to clinical practice","title-short":"Mechanisms and prevention of restenosis","volume":"31","author":[{"family":"Bauters","given":"C."},{"family":"Meurice","given":"T."},{"family":"Hamon","given":"M."},{"family":"McFadden","given":"E."},{"family":"Lablanche","given":"J. M."},{"family":"Bertrand","given":"M. E."}],"issued":{"date-parts":[["1996",6]]}}}],"schema":"https://github.com/citation-style-language/schema/raw/master/csl-citation.json"}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w:t>
      </w:r>
      <w:r w:rsidR="003028CD" w:rsidRPr="00EC6C19">
        <w:rPr>
          <w:rFonts w:ascii="Times New Roman" w:hAnsi="Times New Roman" w:cs="Times New Roman"/>
          <w:sz w:val="24"/>
          <w:szCs w:val="24"/>
        </w:rPr>
        <w:t xml:space="preserve">Bauters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1996)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Coronary stents were introduced to prevent elastic recoil in the vessel, and seal dissection flaps cause by POBA, with the aim of counter acting these issues.</w:t>
      </w:r>
    </w:p>
    <w:p w14:paraId="763A04F4" w14:textId="77777777" w:rsidR="00AA67A5" w:rsidRPr="00EC6C19" w:rsidRDefault="00AA67A5" w:rsidP="00AA67A5">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very first stents to be used in man were stainless steel (BMS - Bare Metal Stent) and balloon expandable, being used predominantly in the early 1990's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{"citationID":"SjURZQaG","properties":{"formattedCitation":"(Iqbal, Gunn and Serruys, 2013)","plainCitation":"(Iqbal, Gunn and Serruys, 2013)","noteIndex":0},"citationItems":[{"id":339,"uris":["http://zotero.org/users/local/k67tNDdX/items/7RVQYW2D"],"uri":["http://zotero.org/users/local/k67tNDdX/items/7RVQYW2D"],"itemData":{"id":339,"type":"article-journal","abstract":"IntroductionCoronary angioplasty with stenting has revolutionized the treatment of coronary artery disease. This article describes the history of coronary angioplasty and stenting, reviews the contemporary stents and recommendations and highlights the on-going work and potential future directions.Sources of dataThis review examined the data on coronary stents available in PubMed.Areas of agreementCoronary artery stenting is the treatment of choice for patients requiring coronary angioplasty. Stents, and particularly drug-eluting stents, reduce the risk of restenosis, but may be associated with the hazard of late stent thrombosis. Dual anti-platelet treatment is recommended for patients receiving coronary stents.Areas of controversyThe selection of stents for various lesions and patients and the duration of anti-platelet therapy remain debated areas.Areas timely for developing researchThere are on-going preclinical and clinical studies to develop better stent platforms, more biocompatible polymers, novel anti-proliferative and anti-platelet drugs, pro-healing stents and bioresorbable scaffolds.","container-title":"British Medical Bulletin","DOI":"10.1093/bmb/ldt009","ISSN":"0007-1420","issue":"1","journalAbbreviation":"Br Med Bull","language":"en","page":"193-211","source":"academic.oup.com","title":"Coronary stents: historical development, current status and future directions","title-short":"Coronary stents","volume":"106","author":[{"family":"Iqbal","given":"Javaid"},{"family":"Gunn","given":"Julian"},{"family":"Serruys","given":"Patrick W."}],"issued":{"date-parts":[["2013",6,1]]}}}],"schema":"https://github.com/citation-style-language/schema/raw/master/csl-citation.json"}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(Iqbal, Gunn and Serruys,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As hoped, they did reduce early elastic recoil (and hence acute vessel closure), as well as restenosis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{"citationID":"tBy2Jdcn","properties":{"formattedCitation":"(de Feyter, de Jaegere and Serruys, 1994)","plainCitation":"(de Feyter, de Jaegere and Serruys, 1994)","noteIndex":0},"citationItems":[{"id":342,"uris":["http://zotero.org/users/local/k67tNDdX/items/KALAYFKJ"],"uri":["http://zotero.org/users/local/k67tNDdX/items/KALAYFKJ"],"itemData":{"id":342,"type":"article-journal","abstract":"Acute coronary occlusion occurs in 4.3% to 8.3% of patients during coronary angioplasty. Its occurrence is difficult to predict in an individual patient. At high risk are patients with unstable angina, intracoronary thrombus, extreme age, long complex lesions, and diffuse disease. \"Standard\" management including redilation (prolonged perfusion) thrombolytic treatment and emergency bypass surgery is only successful in approximately 50% of the patients and is associated with a high mortality and myocardial infarction rate of &lt; 6% and 30%, respectively. Bail-out stent implantation appears to emerge as an effective alternative in suitable patients and might reduce mortality, the apparent progression to myocardial infarction, or might decrease the need for emergency bypass. New techniques including directional atherectomy, rotational ablation, or the excimer laser are associated with a similar frequency of acute occlusion. Immediate access to a surgical back-up facility remains necessary to treat refractory acute occlusions.","container-title":"American Heart Journal","ISSN":"0002-8703","issue":"3","journalAbbreviation":"Am. Heart J.","language":"eng","note":"PMID: 8122614","page":"643-651","source":"PubMed","title":"Incidence, predictors, and management of acute coronary occlusion after coronary angioplasty","volume":"127","author":[{"family":"Feyter","given":"P. J.","non-dropping-particle":"de"},{"family":"Jaegere","given":"P. P.","non-dropping-particle":"de"},{"family":"Serruys","given":"P. W."}],"issued":{"date-parts":[["1994",3]]}}}],"schema":"https://github.com/citation-style-language/schema/raw/master/csl-citation.json"}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(de Feyter, de Jaegere and Serruys, 1994)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early stents were not without flaws. There was a risk of stent thrombosis due to the high metallic density, and being large and technically difficult to deliver had a frequent failure rate by today's standards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{"citationID":"MHR09Si6","properties":{"formattedCitation":"(de Feyter, de Jaegere and Serruys, 1994)","plainCitation":"(de Feyter, de Jaegere and Serruys, 1994)","noteIndex":0},"citationItems":[{"id":342,"uris":["http://zotero.org/users/local/k67tNDdX/items/KALAYFKJ"],"uri":["http://zotero.org/users/local/k67tNDdX/items/KALAYFKJ"],"itemData":{"id":342,"type":"article-journal","abstract":"Acute coronary occlusion occurs in 4.3% to 8.3% of patients during coronary angioplasty. Its occurrence is difficult to predict in an individual patient. At high risk are patients with unstable angina, intracoronary thrombus, extreme age, long complex lesions, and diffuse disease. \"Standard\" management including redilation (prolonged perfusion) thrombolytic treatment and emergency bypass surgery is only successful in approximately 50% of the patients and is associated with a high mortality and myocardial infarction rate of &lt; 6% and 30%, respectively. Bail-out stent implantation appears to emerge as an effective alternative in suitable patients and might reduce mortality, the apparent progression to myocardial infarction, or might decrease the need for emergency bypass. New techniques including directional atherectomy, rotational ablation, or the excimer laser are associated with a similar frequency of acute occlusion. Immediate access to a surgical back-up facility remains necessary to treat refractory acute occlusions.","container-title":"American Heart Journal","ISSN":"0002-8703","issue":"3","journalAbbreviation":"Am. Heart J.","language":"eng","note":"PMID: 8122614","page":"643-651","source":"PubMed","title":"Incidence, predictors, and management of acute coronary occlusion after coronary angioplasty","volume":"127","author":[{"family":"Feyter","given":"P. J.","non-dropping-particle":"de"},{"family":"Jaegere","given":"P. P.","non-dropping-particle":"de"},{"family":"Serruys","given":"P. W."}],"issued":{"date-parts":[["1994",3]]}}}],"schema":"https://github.com/citation-style-language/schema/raw/master/csl-citation.json"}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(de Feyter, de Jaegere and Serruys, 1994)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Furthermore, even though the restenosis rate was less than POBA, it was still seen in a third of patients in early studies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{"citationID":"uA7nWXph","properties":{"formattedCitation":"(de Feyter, de Jaegere and Serruys, 1994)","plainCitation":"(de Feyter, de Jaegere and Serruys, 1994)","noteIndex":0},"citationItems":[{"id":342,"uris":["http://zotero.org/users/local/k67tNDdX/items/KALAYFKJ"],"uri":["http://zotero.org/users/local/k67tNDdX/items/KALAYFKJ"],"itemData":{"id":342,"type":"article-journal","abstract":"Acute coronary occlusion occurs in 4.3% to 8.3% of patients during coronary angioplasty. Its occurrence is difficult to predict in an individual patient. At high risk are patients with unstable angina, intracoronary thrombus, extreme age, long complex lesions, and diffuse disease. \"Standard\" management including redilation (prolonged perfusion) thrombolytic treatment and emergency bypass surgery is only successful in approximately 50% of the patients and is associated with a high mortality and myocardial infarction rate of &lt; 6% and 30%, respectively. Bail-out stent implantation appears to emerge as an effective alternative in suitable patients and might reduce mortality, the apparent progression to myocardial infarction, or might decrease the need for emergency bypass. New techniques including directional atherectomy, rotational ablation, or the excimer laser are associated with a similar frequency of acute occlusion. Immediate access to a surgical back-up facility remains necessary to treat refractory acute occlusions.","container-title":"American Heart Journal","ISSN":"0002-8703","issue":"3","journalAbbreviation":"Am. Heart J.","language":"eng","note":"PMID: 8122614","page":"643-651","source":"PubMed","title":"Incidence, predictors, and management of acute coronary occlusion after coronary angioplasty","volume":"127","author":[{"family":"Feyter","given":"P. J.","non-dropping-particle":"de"},{"family":"Jaegere","given":"P. P.","non-dropping-particle":"de"},{"family":"Serruys","given":"P. W."}],"issued":{"date-parts":[["1994",3]]}}}],"schema":"https://github.com/citation-style-language/schema/raw/master/csl-citation.json"}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(de Feyter, de Jaegere and Serruys, 1994)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 initial use of stents was therefore limited to acute closure or restenosis after POBA.</w:t>
      </w:r>
    </w:p>
    <w:p w14:paraId="2ADD091E" w14:textId="77777777" w:rsidR="00AA67A5" w:rsidRPr="00EC6C19" w:rsidRDefault="00AA67A5" w:rsidP="00AA67A5">
      <w:pPr>
        <w:spacing w:line="360" w:lineRule="auto"/>
        <w:rPr>
          <w:rFonts w:ascii="Times New Roman" w:hAnsi="Times New Roman" w:cs="Times New Roman"/>
          <w:sz w:val="24"/>
          <w:szCs w:val="24"/>
        </w:rPr>
      </w:pPr>
      <w:r w:rsidRPr="00EC6C19">
        <w:rPr>
          <w:rFonts w:ascii="Times New Roman" w:hAnsi="Times New Roman" w:cs="Times New Roman"/>
          <w:sz w:val="24"/>
          <w:szCs w:val="24"/>
        </w:rPr>
        <w:t>Two landmark trials published in 1993 BENESTENT</w:t>
      </w:r>
      <w:r w:rsidR="00F61085"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{"citationID":"Lm0RwqGg","properties":{"formattedCitation":"(Serruys et al., 1994)","plainCitation":"(Serruys et al., 1994)","noteIndex":0},"citationItems":[{"id":344,"uris":["http://zotero.org/users/local/k67tNDdX/items/ADWQ3CLZ"],"uri":["http://zotero.org/users/local/k67tNDdX/items/ADWQ3CLZ"],"itemData":{"id":344,"type":"article-journal","abstract":"BACKGROUND: Balloon-expandable coronary-artery stents were developed to prevent coronary restenosis after coronary angioplasty. These devices hold coronary vessels open at sites that have been dilated. However, it is unknown whether stenting improves long-term angiographic and clinical outcomes as compared with standard balloon angioplasty.\nMETHODS: A total of 520 patients with stable angina and a single coronary-artery lesion were randomly assigned to either stent implantation (262 patients) or standard balloon angioplasty (258 patients). The primary clinical end points were death, the occurrence of a cerebrovascular accident, myocardial infarction, the need for coronary-artery bypass surgery, or a second percutaneous intervention involving the previously treated lesion, either at the time of the initial procedure or during the subsequent seven months. The primary angiographic end point was the minimal luminal diameter at follow-up, as determined by quantitative coronary angiography.\nRESULTS: After exclusions, 52 patients in the stent group (20 percent) and 76 patients in the angioplasty group (30 percent) reached a primary clinical end point (relative risk, 0.68; 95 percent confidence interval, 0.50 to 0.92; P = 0.02). The difference in clinical-event rates was explained mainly by a reduced need for a second coronary angioplasty in the stent group (relative risk, 0.58; 95 percent confidence interval, 0.40 to 0.85; P = 0.005). The mean (+/- SD) minimal luminal diameters immediately after the procedure were 2.48 +/- 0.39 mm in the stent group and 2.05 +/- 0.33 mm in the angioplasty group; at follow-up, the diameters were 1.82 +/- 0.64 mm in the stent group and 1.73 +/- 0.55 mm in the angioplasty group (P = 0.09), which correspond to rates of restenosis (diameter of stenosis, &gt; or = 50 percent) of 22 and 32 percent, respectively (P = 0.02). Peripheral vascular complications necessitating surgery, blood transfusion, or both were more frequent after stenting than after balloon angioplasty (13.5 vs. 3.1 percent, P &lt; 0.001). The mean hospital stay was significantly longer in the stent group than in the angioplasty group (8.5 vs. 3.1 days, P &lt; 0.001).\nCONCLUSIONS: Over seven months of follow-up, the clinical and angiographic outcomes were better in patients who received a stent than in those who received standard coronary angioplasty. However, this benefit was achieved at the cost of a significantly higher risk of vascular complications at the access site and a longer hospital stay.","container-title":"The New England Journal of Medicine","DOI":"10.1056/NEJM199408253310801","ISSN":"0028-4793","issue":"8","journalAbbreviation":"N. Engl. J. Med.","language":"eng","note":"PMID: 8041413","page":"489-495","source":"PubMed","title":"A comparison of balloon-expandable-stent implantation with balloon angioplasty in patients with coronary artery disease. Benestent Study Group","volume":"331","author":[{"family":"Serruys","given":"P. W."},{"family":"Jaegere","given":"P.","non-dropping-particle":"de"},{"family":"Kiemeneij","given":"F."},{"family":"Macaya","given":"C."},{"family":"Rutsch","given":"W."},{"family":"Heyndrickx","given":"G."},{"family":"Emanuelsson","given":"H."},{"family":"Marco","given":"J."},{"family":"Legrand","given":"V."},{"family":"Materne","given":"P."}],"issued":{"date-parts":[["1994",8,25]]}}}],"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(Serruys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1994)</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 xml:space="preserve"> and</w:t>
      </w:r>
      <w:r w:rsidRPr="00EC6C19">
        <w:rPr>
          <w:rFonts w:ascii="Times New Roman" w:hAnsi="Times New Roman" w:cs="Times New Roman"/>
          <w:sz w:val="24"/>
          <w:szCs w:val="24"/>
        </w:rPr>
        <w:t xml:space="preserve"> STRESS</w:t>
      </w:r>
      <w:r w:rsidR="003028CD"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{"citationID":"fc8RJYUk","properties":{"formattedCitation":"(Fischman et al., 1994)","plainCitation":"(Fischman et al., 1994)","noteIndex":0},"citationItems":[{"id":352,"uris":["http://zotero.org/users/local/k67tNDdX/items/LHXT5TLU"],"uri":["http://zotero.org/users/local/k67tNDdX/items/LHXT5TLU"],"itemData":{"id":352,"type":"article-journal","abstract":"BACKGROUND: Coronary-stent placement is a new technique in which a balloon-expandable, stainless-steel, slotted tube is implanted at the site of a coronary stenosis. The purpose of this study was to compare the effects of stent placement and standard balloon angioplasty on angiographically detected restenosis and clinical outcomes.\nMETHODS: We randomly assigned 410 patients with symptomatic coronary disease to elective placement of a Palmaz-Schatz stent or to standard balloon angioplasty. Coronary angiography was performed at base line, immediately after the procedure, and six months later.\nRESULTS: The patients who underwent stenting had a higher rate of procedural success than those who underwent standard balloon angioplasty (96.1 percent vs. 89.6 percent, P = 0.011), a larger immediate increase in the diameter of the lumen (1.72 +/- 0.46 vs. 1.23 +/- 0.48 mm, P &lt; 0.001), and a larger luminal diameter immediately after the procedure (2.49 +/- 0.43 vs. 1.99 +/- 0.47 mm, P &lt; 0.001). At six months, the patients with stented lesions continued to have a larger luminal diameter (1.74 +/- 0.60 vs. 1.56 +/- 0.65 mm, P = 0.007) and a lower rate of restenosis (31.6 percent vs. 42.1 percent, P = 0.046) than those treated with balloon angioplasty. There were no coronary events (death; myocardial infarction; coronary-artery bypass surgery; vessel closure, including stent thrombosis; or repeated angioplasty) in 80.5 percent of the patients in the stent group and 76.2 percent of those in the angioplasty group (P = 0.16). Revascularization of the original target lesion because of recurrent myocardial ischemia was performed less frequently in the stent group than in the angioplasty group (10.2 percent vs. 15.4 percent, P = 0.06).\nCONCLUSIONS: In selected patients, placement of an intracoronary stent, as compared with balloon angioplasty, results in an improved rate of procedural success, a lower rate of angiographically detected restenosis, a similar rate of clinical events after six months, and a less frequent need for revascularization of the original coronary lesion.","container-title":"The New England Journal of Medicine","DOI":"10.1056/NEJM199408253310802","ISSN":"0028-4793","issue":"8","journalAbbreviation":"N. Engl. J. Med.","language":"eng","note":"PMID: 8041414","page":"496-501","source":"PubMed","title":"A randomized comparison of coronary-stent placement and balloon angioplasty in the treatment of coronary artery disease. Stent Restenosis Study Investigators","volume":"331","author":[{"family":"Fischman","given":"D. L."},{"family":"Leon","given":"M. B."},{"family":"Baim","given":"D. S."},{"family":"Schatz","given":"R. A."},{"family":"Savage","given":"M. P."},{"family":"Penn","given":"I."},{"family":"Detre","given":"K."},{"family":"Veltri","given":"L."},{"family":"Ricci","given":"D."},{"family":"Nobuyoshi","given":"M."}],"issued":{"date-parts":[["1994",8,25]]}}}],"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(Fischman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1994)</w:t>
      </w:r>
      <w:r w:rsidR="00106A32" w:rsidRPr="00EC6C19">
        <w:rPr>
          <w:rFonts w:ascii="Times New Roman" w:hAnsi="Times New Roman" w:cs="Times New Roman"/>
          <w:sz w:val="24"/>
          <w:szCs w:val="24"/>
        </w:rPr>
        <w:fldChar w:fldCharType="end"/>
      </w:r>
      <w:r w:rsidR="003028CD" w:rsidRPr="00EC6C19">
        <w:rPr>
          <w:rFonts w:ascii="Times New Roman" w:hAnsi="Times New Roman" w:cs="Times New Roman"/>
          <w:sz w:val="24"/>
          <w:szCs w:val="24"/>
        </w:rPr>
        <w:t xml:space="preserve"> </w:t>
      </w:r>
      <w:r w:rsidRPr="00EC6C19">
        <w:rPr>
          <w:rFonts w:ascii="Times New Roman" w:hAnsi="Times New Roman" w:cs="Times New Roman"/>
          <w:sz w:val="24"/>
          <w:szCs w:val="24"/>
        </w:rPr>
        <w:t>established BMS to be superior to POBA, driven mostly by reduced rates of revascularisation in the stenting group. This led to an exponential increase in stent use, meaning 80-90% of angioplasty cases utilised stents by the late 1990's</w:t>
      </w:r>
      <w:r w:rsidR="003028CD"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{"citationID":"O2p5NZaq","properties":{"formattedCitation":"(Serruys, Kutryk and Ong, 2006)","plainCitation":"(Serruys, Kutryk and Ong, 2006)","noteIndex":0},"citationItems":[{"id":373,"uris":["http://zotero.org/users/local/k67tNDdX/items/KEFG6CYR"],"uri":["http://zotero.org/users/local/k67tNDdX/items/KEFG6CYR"],"itemData":{"id":373,"type":"article-journal","abstract":"The use of percutaneously introduced prosthetic devices to maintain the luminal integrity of diseased blood vessels was proposed by Dotter and Judkins in 1964,1 well before the introduction of coronary angioplasty by Grüntzig et al. in 1977.2 Palmaz et al. introduced the use of balloon-mounted stents (as used in coronary arteries today) in peripheral arteries in 1985.3 Schatz et al. subsequently modified the Palmaz stent, which led to the development of the first commercially successful stent, the Palmaz–Schatz stent.4 Puel and Sigwart were the first to implant a stent in humans in March 1986; they used a self-expanding mesh device. . . .","container-title":"New England Journal of Medicine","DOI":"10.1056/NEJMra051091","ISSN":"0028-4793","issue":"5","note":"PMID: 16452560","page":"483-495","source":"Taylor and Francis+NEJM","title":"Coronary-Artery Stents","volume":"354","author":[{"family":"Serruys","given":"Patrick W."},{"family":"Kutryk","given":"Michael J.B."},{"family":"Ong","given":"Andrew T.L."}],"issued":{"date-parts":[["2006",2,2]]}}}],"schema":"https://github.com/citation-style-language/schema/raw/master/csl-citation.json"}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(Serruys, Kutryk and Ong,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7CB37CC4" w14:textId="77777777" w:rsidR="00AA67A5" w:rsidRPr="00EC6C19" w:rsidRDefault="00AA67A5" w:rsidP="00AA67A5">
      <w:pPr>
        <w:spacing w:line="360" w:lineRule="auto"/>
        <w:rPr>
          <w:rFonts w:ascii="Times New Roman" w:hAnsi="Times New Roman" w:cs="Times New Roman"/>
          <w:sz w:val="24"/>
          <w:szCs w:val="24"/>
        </w:rPr>
      </w:pPr>
      <w:r w:rsidRPr="00EC6C19">
        <w:rPr>
          <w:rFonts w:ascii="Times New Roman" w:hAnsi="Times New Roman" w:cs="Times New Roman"/>
          <w:sz w:val="24"/>
          <w:szCs w:val="24"/>
        </w:rPr>
        <w:t>In these landmark trials, there still remained a significant rate of restenosis, despite BMS' superiority over POBA. The issue of elastic recoil had largely been addressed, but</w:t>
      </w:r>
      <w:r w:rsidR="003028CD" w:rsidRPr="00EC6C19">
        <w:rPr>
          <w:rFonts w:ascii="Times New Roman" w:hAnsi="Times New Roman" w:cs="Times New Roman"/>
          <w:sz w:val="24"/>
          <w:szCs w:val="24"/>
        </w:rPr>
        <w:t xml:space="preserve"> </w:t>
      </w:r>
      <w:r w:rsidRPr="00EC6C19">
        <w:rPr>
          <w:rFonts w:ascii="Times New Roman" w:hAnsi="Times New Roman" w:cs="Times New Roman"/>
          <w:sz w:val="24"/>
          <w:szCs w:val="24"/>
        </w:rPr>
        <w:t>smooth muscle cell proliferation causing restenosis had to be addressed for medium and long term prognosis.</w:t>
      </w:r>
    </w:p>
    <w:p w14:paraId="0CC6663D" w14:textId="77777777" w:rsidR="00AA67A5" w:rsidRPr="00EC6C19" w:rsidRDefault="00AA67A5" w:rsidP="00AA67A5">
      <w:pPr>
        <w:spacing w:line="360" w:lineRule="auto"/>
        <w:rPr>
          <w:rFonts w:ascii="Times New Roman" w:hAnsi="Times New Roman" w:cs="Times New Roman"/>
          <w:sz w:val="24"/>
          <w:szCs w:val="24"/>
        </w:rPr>
      </w:pPr>
    </w:p>
    <w:p w14:paraId="324CEF87" w14:textId="77777777" w:rsidR="00AA67A5" w:rsidRPr="00A00967" w:rsidRDefault="00C54823" w:rsidP="00A00967">
      <w:pPr>
        <w:pStyle w:val="Heading3"/>
        <w:rPr>
          <w:rFonts w:ascii="Times New Roman" w:hAnsi="Times New Roman" w:cs="Times New Roman"/>
          <w:b w:val="0"/>
          <w:i/>
          <w:color w:val="auto"/>
          <w:sz w:val="24"/>
          <w:szCs w:val="24"/>
        </w:rPr>
      </w:pPr>
      <w:bookmarkStart w:id="24" w:name="_Toc80302166"/>
      <w:r>
        <w:rPr>
          <w:rFonts w:ascii="Times New Roman" w:hAnsi="Times New Roman" w:cs="Times New Roman"/>
          <w:b w:val="0"/>
          <w:i/>
          <w:color w:val="auto"/>
          <w:sz w:val="24"/>
          <w:szCs w:val="24"/>
        </w:rPr>
        <w:t xml:space="preserve">1.4.2 - </w:t>
      </w:r>
      <w:r w:rsidR="00AA67A5" w:rsidRPr="00A00967">
        <w:rPr>
          <w:rFonts w:ascii="Times New Roman" w:hAnsi="Times New Roman" w:cs="Times New Roman"/>
          <w:b w:val="0"/>
          <w:i/>
          <w:color w:val="auto"/>
          <w:sz w:val="24"/>
          <w:szCs w:val="24"/>
        </w:rPr>
        <w:t>Drug Eluting Stents</w:t>
      </w:r>
      <w:bookmarkEnd w:id="24"/>
    </w:p>
    <w:p w14:paraId="4C8DDED1" w14:textId="77777777" w:rsidR="00A00967" w:rsidRPr="00A00967" w:rsidRDefault="00A00967" w:rsidP="00A00967"/>
    <w:p w14:paraId="79A9CA6B" w14:textId="77777777" w:rsidR="00AA67A5" w:rsidRPr="00EC6C19" w:rsidRDefault="00AA67A5" w:rsidP="00AA67A5">
      <w:pPr>
        <w:spacing w:line="360" w:lineRule="auto"/>
        <w:rPr>
          <w:rFonts w:ascii="Times New Roman" w:hAnsi="Times New Roman" w:cs="Times New Roman"/>
          <w:b/>
          <w:sz w:val="24"/>
          <w:szCs w:val="24"/>
        </w:rPr>
      </w:pPr>
    </w:p>
    <w:p w14:paraId="01C76A8E" w14:textId="77777777" w:rsidR="00AA67A5" w:rsidRPr="00EC6C19" w:rsidRDefault="00AA67A5" w:rsidP="00AA67A5">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Pharmacological agents were used in an attempt to limit smooth muscle proliferation and local inflammation. Early attempts to cover stents in gold, carbon and heparin did not confer any benefits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{"citationID":"zeLKcnUZ","properties":{"formattedCitation":"(Iqbal, Gunn and Serruys, 2013)","plainCitation":"(Iqbal, Gunn and Serruys, 2013)","noteIndex":0},"citationItems":[{"id":339,"uris":["http://zotero.org/users/local/k67tNDdX/items/7RVQYW2D"],"uri":["http://zotero.org/users/local/k67tNDdX/items/7RVQYW2D"],"itemData":{"id":339,"type":"article-journal","abstract":"IntroductionCoronary angioplasty with stenting has revolutionized the treatment of coronary artery disease. This article describes the history of coronary angioplasty and stenting, reviews the contemporary stents and recommendations and highlights the on-going work and potential future directions.Sources of dataThis review examined the data on coronary stents available in PubMed.Areas of agreementCoronary artery stenting is the treatment of choice for patients requiring coronary angioplasty. Stents, and particularly drug-eluting stents, reduce the risk of restenosis, but may be associated with the hazard of late stent thrombosis. Dual anti-platelet treatment is recommended for patients receiving coronary stents.Areas of controversyThe selection of stents for various lesions and patients and the duration of anti-platelet therapy remain debated areas.Areas timely for developing researchThere are on-going preclinical and clinical studies to develop better stent platforms, more biocompatible polymers, novel anti-proliferative and anti-platelet drugs, pro-healing stents and bioresorbable scaffolds.","container-title":"British Medical Bulletin","DOI":"10.1093/bmb/ldt009","ISSN":"0007-1420","issue":"1","journalAbbreviation":"Br Med Bull","language":"en","page":"193-211","source":"academic.oup.com","title":"Coronary stents: historical development, current status and future directions","title-short":"Coronary stents","volume":"106","author":[{"family":"Iqbal","given":"Javaid"},{"family":"Gunn","given":"Julian"},{"family":"Serruys","given":"Patrick W."}],"issued":{"date-parts":[["2013",6,1]]}}}],"schema":"https://github.com/citation-style-language/schema/raw/master/csl-citation.json"}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(Iqbal, Gunn and Serruys,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breakthrough came when stents were coated with the anti-proliferative agents sirolimus and paclitaxel, which were both shown to reduce smooth </w:t>
      </w:r>
      <w:r w:rsidRPr="00EC6C19">
        <w:rPr>
          <w:rFonts w:ascii="Times New Roman" w:hAnsi="Times New Roman" w:cs="Times New Roman"/>
          <w:sz w:val="24"/>
          <w:szCs w:val="24"/>
        </w:rPr>
        <w:lastRenderedPageBreak/>
        <w:t xml:space="preserve">muscle cell proliferation and migration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{"citationID":"whfXU61I","properties":{"formattedCitation":"(Poon et al., 1996)","plainCitation":"(Poon et al., 1996)","dontUpdate":true,"noteIndex":0},"citationItems":[{"id":348,"uris":["http://zotero.org/users/local/k67tNDdX/items/ANCHLMYN"],"uri":["http://zotero.org/users/local/k67tNDdX/items/ANCHLMYN"],"itemData":{"id":348,"type":"article-journal","abstract":"Abnormal vascular smooth muscle cell (SMC) proliferation and migration contribute to the development of restenosis after percutaneous transluminal coronary angioplasty and accelerated arteriopathy after cardiac transplantation. Previously, we reported that the macrolide antibiotic rapamycin, but not the related compound FK506, inhibits both human and rat aortic SMC proliferation in vitro by inhibiting cell cycle-dependent kinases and delaying phosphorylation of retinoblastoma protein (Marx, S.O., T. Jayaraman, L.O. Go, and A.R. Marks. 1995. Circ. Res. 362:801). In the present study the effects of rapamycin on SMC migration were assayed in vitro using a modified Boyden chamber and in vivo using a porcine aortic SMC explant model. Pretreatment with rapamycin (2 ng/ml) for 48 h inhibited PDGF-induced migration (PDGF BB homodimer; 20 ng/ml) in cultured rat and human SMC (n = 10; P &lt; 0.0001), whereas FK506 had no significant effect on migration. Rapamycin administered orally (1 mg/kg per d for 7 d) significantly inhibited porcine aortic SMC migration compared with control (n = 15; P &lt; 0.0001). Thus, in addition to being a potent immunosuppressant and antiproliferative, rapamycin also inhibits SMC migration.","container-title":"The Journal of Clinical Investigation","DOI":"10.1172/JCI119038","ISSN":"0021-9738","issue":"10","journalAbbreviation":"J. Clin. Invest.","language":"eng","note":"PMID: 8941644\nPMCID: PMC507677","page":"2277-2283","source":"PubMed","title":"Rapamycin inhibits vascular smooth muscle cell migration","volume":"98","author":[{"family":"Poon","given":"M."},{"family":"Marx","given":"S. O."},{"family":"Gallo","given":"R."},{"family":"Badimon","given":"J. J."},{"family":"Taubman","given":"M. B."},{"family":"Marks","given":"A. R."}],"issued":{"date-parts":[["1996",11,15]]}}}],"schema":"https://github.com/citation-style-language/schema/raw/master/csl-citation.json"}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(Poon et al., 1996</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w:t>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{"citationID":"5ympF3sH","properties":{"formattedCitation":"(Axel et al., 1997)","plainCitation":"(Axel et al., 1997)","dontUpdate":true,"noteIndex":0},"citationItems":[{"id":350,"uris":["http://zotero.org/users/local/k67tNDdX/items/FZWKHU3P"],"uri":["http://zotero.org/users/local/k67tNDdX/items/FZWKHU3P"],"itemData":{"id":350,"type":"article-journal","abstract":"BACKGROUND: The antineoplastic compound paclitaxel (Taxol) causes an increased assembly of extraordinarily stable microtubules. The present study was designed to characterize the effects of paclitaxel on proliferation and migration of human arterial smooth muscle cells (haSMCs) in vitro and on neointima formation in an in vivo experimental rabbit model.\nMETHODS AND RESULTS: Both monocultures of haSMCs and cocultures with human arterial endothelial cells (haECs) were used. Cell growth after 4, 8, and 14 days was determined in the absence or presence of platelet-derived growth factor-AB (PDGF-AB), basic fibroblast growth factor (bFGF), or thrombin. Nonstop paclitaxel exposure, as well as single-dose applications of paclitaxel for 24 hours or even 20 minutes (0.1 to 10.0 micromol/L), caused a complete and prolonged inhibition of haSMC growth up to day 14, with an IC50 of 2.0 nmol/L. Mitogens or cocultures with stimulating haECs did not significantly attenuate paclitaxel-induced effects. Immunohistochemistry showed characteristic cytoskeletal changes predominantly in the microtubule network. Additionally, in 20 male New Zealand White rabbits, intimal plaques were produced by electrical stimulation. In 10 animals, paclitaxel was locally applied by use of microporous balloons. Histologically, the intima wall area, wall thickness, and degree of stenosis were reduced significantly in paclitaxel-treated animals compared with controls.\nCONCLUSIONS: Our data show that paclitaxel inhibits haSMC proliferation and migration in a dose-dependent manner in monocultures and cocultures even in the presence of mitogens. Furthermore, paclitaxel prevents neointima formation in rabbits after balloon angioplasty. The long-lasting effect after just several minutes' exposure time makes this lipophilic substance a promising candidate for local antiproliferative therapy of restenosis.","container-title":"Circulation","ISSN":"0009-7322","issue":"2","journalAbbreviation":"Circulation","language":"eng","note":"PMID: 9244237","page":"636-645","source":"PubMed","title":"Paclitaxel inhibits arterial smooth muscle cell proliferation and migration in vitro and in vivo using local drug delivery","volume":"96","author":[{"family":"Axel","given":"D. I."},{"family":"Kunert","given":"W."},{"family":"Göggelmann","given":"C."},{"family":"Oberhoff","given":"M."},{"family":"Herdeg","given":"C."},{"family":"Küttner","given":"A."},{"family":"Wild","given":"D. H."},{"family":"Brehm","given":"B. R."},{"family":"Riessen","given":"R."},{"family":"Köveker","given":"G."},{"family":"Karsch","given":"K. R."}],"issued":{"date-parts":[["1997",7,15]]}}}],"schema":"https://github.com/citation-style-language/schema/raw/master/csl-citation.json"}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Axel et al., 1997)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addition of these drugs to a polymer allowed drug release over several weeks, and in turn, the first sirolimus eluting stent (CYPHER™, Cordis Medical, </w:t>
      </w:r>
      <w:hyperlink r:id="rId21" w:history="1">
        <w:r w:rsidRPr="00EC6C19">
          <w:rPr>
            <w:rFonts w:ascii="Times New Roman" w:hAnsi="Times New Roman" w:cs="Times New Roman"/>
            <w:sz w:val="24"/>
            <w:szCs w:val="24"/>
          </w:rPr>
          <w:t>Milpitas, California, United States</w:t>
        </w:r>
      </w:hyperlink>
      <w:r w:rsidRPr="00EC6C19">
        <w:rPr>
          <w:rFonts w:ascii="Times New Roman" w:hAnsi="Times New Roman" w:cs="Times New Roman"/>
          <w:sz w:val="24"/>
          <w:szCs w:val="24"/>
        </w:rPr>
        <w:t xml:space="preserve">) was implanted in 1999. It became available for clinical use in 2002, followed closely by a paclitaxel eluting stent (TAXUS™, Boston Scientific, </w:t>
      </w:r>
      <w:hyperlink r:id="rId22" w:history="1">
        <w:r w:rsidRPr="00EC6C19">
          <w:rPr>
            <w:rFonts w:ascii="Times New Roman" w:hAnsi="Times New Roman" w:cs="Times New Roman"/>
            <w:sz w:val="24"/>
            <w:szCs w:val="24"/>
          </w:rPr>
          <w:t>Marlborough, Massachusetts, United States</w:t>
        </w:r>
      </w:hyperlink>
      <w:r w:rsidR="00AD4011" w:rsidRPr="00EC6C19">
        <w:rPr>
          <w:rFonts w:ascii="Times New Roman" w:hAnsi="Times New Roman" w:cs="Times New Roman"/>
          <w:sz w:val="24"/>
          <w:szCs w:val="24"/>
        </w:rPr>
        <w:t>)</w:t>
      </w:r>
      <w:r w:rsidRPr="00EC6C19">
        <w:rPr>
          <w:rFonts w:ascii="Times New Roman" w:hAnsi="Times New Roman" w:cs="Times New Roman"/>
          <w:sz w:val="24"/>
          <w:szCs w:val="24"/>
        </w:rPr>
        <w:t>. Both stents underwent numerous randomised controlled trials and proved superior to BMS in reducing rates of restenosis</w:t>
      </w:r>
      <w:r w:rsidR="003028CD"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{"citationID":"UvFjhmZg","properties":{"formattedCitation":"(Morice et al., 2002)","plainCitation":"(Morice et al., 2002)","dontUpdate":true,"noteIndex":0},"citationItems":[{"id":354,"uris":["http://zotero.org/users/local/k67tNDdX/items/FRYMZ9HJ"],"uri":["http://zotero.org/users/local/k67tNDdX/items/FRYMZ9HJ"],"itemData":{"id":354,"type":"article-journal","abstract":"BACKGROUND: The need for repeated treatment of restenosis of a treated vessel remains the main limitation of percutaneous coronary revascularization. Because sirolimus (rapamycin) inhibits the proliferation of lymphocytes and smooth-muscle cells, we compared a sirolimus-eluting stent with a standard uncoated stent in patients with angina pectoris.\nMETHODS: We performed a randomized, double-blind trial to compare the two types of stents for revascularization of single, primary lesions in native coronary arteries. The trial included 238 patients at 19 medical centers. The primary end point was in-stent late luminal loss (the difference between the minimal luminal diameter immediately after the procedure and the diameter at six months). Secondary end points included the percentage of in-stent stenosis of the luminal diameter and the rate of restenosis (luminal narrowing of 50 percent or more). We also analyzed a composite clinical end point consisting of death, myocardial infarction, and percutaneous or surgical revascularization at 1, 6, and 12 months.\nRESULTS: At six months, the degree of neointimal proliferation, manifested as the mean (+/-SD) late luminal loss, was significantly lower in the sirolimus-stent group (-0.01+/-0.33 mm) than in the standard-stent group (0.80+/-0.53 mm, P&lt;0.001). None of the patients in the sirolimus-stent group, as compared with 26.6 percent of those in the standard-stent group, had restenosis of 50 percent or more of the luminal diameter (P&lt;0.001). There were no episodes of stent thrombosis. During a follow-up period of up to one year, the overall rate of major cardiac events was 5.8 percent in the sirolimus-stent group and 28.8 percent in the standard-stent group (P&lt;0.001). The difference was due entirely to a higher rate of revascularization of the target vessel in the standard-stent group.\nCONCLUSIONS: As compared with a standard coronary stent, a sirolimus-eluting stent shows considerable promise for the prevention of neointimal proliferation, restenosis, and associated clinical events.","container-title":"The New England Journal of Medicine","DOI":"10.1056/NEJMoa012843","ISSN":"1533-4406","issue":"23","journalAbbreviation":"N. Engl. J. Med.","language":"eng","note":"PMID: 12050336","page":"1773-1780","source":"PubMed","title":"A randomized comparison of a sirolimus-eluting stent with a standard stent for coronary revascularization","volume":"346","author":[{"family":"Morice","given":"Marie-Claude"},{"family":"Serruys","given":"Patrick W."},{"family":"Sousa","given":"J. Eduardo"},{"family":"Fajadet","given":"Jean"},{"family":"Ban Hayashi","given":"Ernesto"},{"family":"Perin","given":"Marco"},{"family":"Colombo","given":"Antonio"},{"family":"Schuler","given":"G."},{"family":"Barragan","given":"Paul"},{"family":"Guagliumi","given":"Giulio"},{"family":"Molnàr","given":"Ferenc"},{"family":"Falotico","given":"Robert"},{"literal":"RAVEL Study Group. Randomized Study with the Sirolimus-Coated Bx Velocity Balloon-Expandable Stent in the Treatment of Patients with de Novo Native Coronary Artery Lesions"}],"issued":{"date-parts":[["2002",6,6]]}}}],"schema":"https://github.com/citation-style-language/schema/raw/master/csl-citation.json"}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(Morice et al., 2002</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w:t>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{"citationID":"bmXJQnrK","properties":{"formattedCitation":"(Moses et al., 2003)","plainCitation":"(Moses et al., 2003)","dontUpdate":true,"noteIndex":0},"citationItems":[{"id":356,"uris":["http://zotero.org/users/local/k67tNDdX/items/UU3MNE7P"],"uri":["http://zotero.org/users/local/k67tNDdX/items/UU3MNE7P"],"itemData":{"id":356,"type":"article-journal","abstract":"BACKGROUND: Preliminary reports of studies involving simple coronary lesions indicate that a sirolimus-eluting stent significantly reduces the risk of restenosis after percutaneous coronary revascularization.\nMETHODS: We conducted a randomized, double-blind trial comparing a sirolimus-eluting stent with a standard stent in 1058 patients at 53 centers in the United States who had a newly diagnosed lesion in a native coronary artery. The coronary disease in these patients was complex because of the frequent presence of diabetes (in 26 percent of patients), the high percentage of patients with longer lesions (mean, 14.4 mm), and small vessels (mean, 2.80 mm). The primary end point was failure of the target vessel (a composite of death from cardiac causes, myocardial infarction, and repeated percutaneous or surgical revascularization of the target vessel) within 270 days.\nRESULTS: The rate of failure of the target vessel was reduced from 21.0 percent with a standard stent to 8.6 percent with a sirolimus-eluting stent (P&lt;0.001)--a reduction that was driven largely by a decrease in the frequency of the need for revascularization of the target lesion (16.6 percent in the standard-stent group vs. 4.1 percent in the sirolimus-stent group, P&lt;0.001). The frequency of neointimal hyperplasia within the stent was also decreased in the group that received sirolimus-eluting stents, as assessed by both angiography and intravascular ultrasonography. Subgroup analyses revealed a reduction in the rates of angiographic restenosis and target-lesion revascularization in all subgroups examined.\nCONCLUSIONS: In this randomized clinical trial involving patients with complex coronary lesions, the use of a sirolimus-eluting stent had a consistent treatment effect, reducing the rates of restenosis and associated clinical events in all subgroups analyzed.","container-title":"The New England Journal of Medicine","DOI":"10.1056/NEJMoa035071","ISSN":"1533-4406","issue":"14","journalAbbreviation":"N. Engl. J. Med.","language":"eng","note":"PMID: 14523139","page":"1315-1323","source":"PubMed","title":"Sirolimus-eluting stents versus standard stents in patients with stenosis in a native coronary artery","volume":"349","author":[{"family":"Moses","given":"Jeffrey W."},{"family":"Leon","given":"Martin B."},{"family":"Popma","given":"Jeffrey J."},{"family":"Fitzgerald","given":"Peter J."},{"family":"Holmes","given":"David R."},{"family":"O'Shaughnessy","given":"Charles"},{"family":"Caputo","given":"Ronald P."},{"family":"Kereiakes","given":"Dean J."},{"family":"Williams","given":"David O."},{"family":"Teirstein","given":"Paul S."},{"family":"Jaeger","given":"Judith L."},{"family":"Kuntz","given":"Richard E."},{"literal":"SIRIUS Investigators"}],"issued":{"date-parts":[["2003",10,2]]}}}],"schema":"https://github.com/citation-style-language/schema/raw/master/csl-citation.json"}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Moses et al., 2003</w:t>
      </w:r>
      <w:r w:rsidR="00106A32" w:rsidRPr="00EC6C19">
        <w:rPr>
          <w:rFonts w:ascii="Times New Roman" w:hAnsi="Times New Roman" w:cs="Times New Roman"/>
          <w:sz w:val="24"/>
          <w:szCs w:val="24"/>
        </w:rPr>
        <w:fldChar w:fldCharType="end"/>
      </w:r>
      <w:r w:rsidR="00F61085" w:rsidRPr="00EC6C19">
        <w:rPr>
          <w:rFonts w:ascii="Times New Roman" w:hAnsi="Times New Roman" w:cs="Times New Roman"/>
          <w:sz w:val="24"/>
          <w:szCs w:val="24"/>
        </w:rPr>
        <w:t>;</w:t>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{"citationID":"fG732DbU","properties":{"formattedCitation":"(Stone et al., 2004)","plainCitation":"(Stone et al., 2004)","dontUpdate":true,"noteIndex":0},"citationItems":[{"id":358,"uris":["http://zotero.org/users/local/k67tNDdX/items/AJZMCW9G"],"uri":["http://zotero.org/users/local/k67tNDdX/items/AJZMCW9G"],"itemData":{"id":358,"type":"article-journal","abstract":"BACKGROUND: Restenosis after coronary stenting necessitates repeated percutaneous or surgical revascularization procedures. The delivery of paclitaxel to the site of vascular injury may reduce the incidence of neointimal hyperplasia and restenosis.\nMETHODS: At 73 U.S. centers, we enrolled 1314 patients who were receiving a stent in a single, previously untreated coronary-artery stenosis (vessel diameter, 2.5 to 3.75 mm; lesion length, 10 to 28 mm) in a prospective, randomized, double-blind study. A total of 652 patients were randomly assigned to receive a bare-metal stent, and 662 to receive an identical-appearing, slow-release, polymer-based, paclitaxel-eluting stent. Angiographic follow-up was prespecified at nine months in 732 patients.\nRESULTS: In terms of base-line characteristics, the two groups were well matched. Diabetes mellitus was present in 24.2 percent of patients; the mean reference-vessel diameter was 2.75 mm, and the mean lesion length was 13.4 mm. A mean of 1.08 stents (length, 21.8 mm) were implanted per patient. The rate of ischemia-driven target-vessel revascularization at nine months was reduced from 12.0 percent with the implantation of a bare-metal stent to 4.7 percent with the implantation of a paclitaxel-eluting stent (relative risk, 0.39; 95 percent confidence interval, 0.26 to 0.59; P&lt;0.001). Target-lesion revascularization was required in 3.0 percent of the group that received a paclitaxel-eluting stent, as compared with 11.3 percent of the group that received a bare-metal stent (relative risk, 0.27; 95 percent confidence interval, 0.16 to 0.43; P&lt;0.001). The rate of angiographic restenosis was reduced from 26.6 percent to 7.9 percent with the paclitaxel-eluting stent (relative risk, 0.30; 95 percent confidence interval, 0.19 to 0.46; P&lt;0.001). The nine-month composite rates of death from cardiac causes or myocardial infarction (4.7 percent and 4.3 percent, respectively) and stent thrombosis (0.6 percent and 0.8 percent, respectively) were similar in the group that received a paclitaxel-eluting stent and the group that received a bare-metal stent.\nCONCLUSIONS: As compared with bare-metal stents, the slow-release, polymer-based, paclitaxel-eluting stent is safe and markedly reduces the rates of clinical and angiographic restenosis at nine months.","container-title":"The New England Journal of Medicine","DOI":"10.1056/NEJMoa032441","ISSN":"1533-4406","issue":"3","journalAbbreviation":"N. Engl. J. Med.","language":"eng","note":"PMID: 14724301","page":"221-231","source":"PubMed","title":"A polymer-based, paclitaxel-eluting stent in patients with coronary artery disease","volume":"350","author":[{"family":"Stone","given":"Gregg W."},{"family":"Ellis","given":"Stephen G."},{"family":"Cox","given":"David A."},{"family":"Hermiller","given":"James"},{"family":"O'Shaughnessy","given":"Charles"},{"family":"Mann","given":"James Tift"},{"family":"Turco","given":"Mark"},{"family":"Caputo","given":"Ronald"},{"family":"Bergin","given":"Patrick"},{"family":"Greenberg","given":"Joel"},{"family":"Popma","given":"Jeffrey J."},{"family":"Russell","given":"Mary E."},{"literal":"TAXUS-IV Investigators"}],"issued":{"date-parts":[["2004",1,15]]}}}],"schema":"https://github.com/citation-style-language/schema/raw/master/csl-citation.json"}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Stone et al., 2004)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5A4F6A7A" w14:textId="77777777" w:rsidR="00AA67A5" w:rsidRPr="00EC6C19" w:rsidRDefault="00AA67A5" w:rsidP="00AA67A5">
      <w:pPr>
        <w:spacing w:line="360" w:lineRule="auto"/>
        <w:jc w:val="center"/>
        <w:rPr>
          <w:rFonts w:ascii="Times New Roman" w:hAnsi="Times New Roman" w:cs="Times New Roman"/>
          <w:sz w:val="24"/>
          <w:szCs w:val="24"/>
        </w:rPr>
      </w:pPr>
    </w:p>
    <w:p w14:paraId="33B4C090" w14:textId="77777777" w:rsidR="00AA67A5" w:rsidRPr="00EC6C19" w:rsidRDefault="00AA67A5" w:rsidP="00AA67A5">
      <w:pPr>
        <w:spacing w:line="360" w:lineRule="auto"/>
        <w:rPr>
          <w:rFonts w:ascii="Times New Roman" w:hAnsi="Times New Roman" w:cs="Times New Roman"/>
          <w:b/>
          <w:sz w:val="24"/>
          <w:szCs w:val="24"/>
        </w:rPr>
      </w:pPr>
      <w:r w:rsidRPr="00EC6C19">
        <w:rPr>
          <w:rFonts w:ascii="Times New Roman" w:hAnsi="Times New Roman" w:cs="Times New Roman"/>
          <w:sz w:val="24"/>
          <w:szCs w:val="24"/>
        </w:rPr>
        <w:t>Since the first generation of drug eluting stents (DES), adaptations have been implemented aiming to make them more deliverable, with some incorporating differing pharmacological agents (e.g.</w:t>
      </w:r>
      <w:r w:rsidR="003028CD" w:rsidRPr="00EC6C19">
        <w:rPr>
          <w:rFonts w:ascii="Times New Roman" w:hAnsi="Times New Roman" w:cs="Times New Roman"/>
          <w:sz w:val="24"/>
          <w:szCs w:val="24"/>
        </w:rPr>
        <w:t xml:space="preserve"> </w:t>
      </w:r>
      <w:r w:rsidRPr="00EC6C19">
        <w:rPr>
          <w:rFonts w:ascii="Times New Roman" w:hAnsi="Times New Roman" w:cs="Times New Roman"/>
          <w:sz w:val="24"/>
          <w:szCs w:val="24"/>
        </w:rPr>
        <w:t>zotarolimus, everolimus, biolimus), improved drug polymers, and thinner stent struts</w:t>
      </w:r>
      <w:r w:rsidR="00F61085"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{"citationID":"Y6Jn3Ph5","properties":{"formattedCitation":"(Serruys et al., 2010)","plainCitation":"(Serruys et al., 2010)","noteIndex":0},"citationItems":[{"id":365,"uris":["http://zotero.org/users/local/k67tNDdX/items/F9CVEHWZ"],"uri":["http://zotero.org/users/local/k67tNDdX/items/F9CVEHWZ"],"itemData":{"id":365,"type":"article-journal","abstract":"BACKGROUND: New-generation coronary stents that release zotarolimus or everolimus have been shown to reduce the risk of restenosis. However, it is unclear whether there are differences in efficacy and safety between the two types of stents on the basis of prospectively adjudicated end points endorsed by the Food and Drug Administration.\nMETHODS: In this multicenter, noninferiority trial with minimal exclusion criteria, we randomly assigned 2292 patients to undergo treatment with coronary stents releasing either zotarolimus or everolimus. Twenty percent of patients were randomly selected for repeat angiography at 13 months. The primary end point was target-lesion failure, defined as a composite of death from cardiac causes, any myocardial infarction (not clearly attributable to a nontarget vessel), or clinically indicated target-lesion revascularization within 12 months. The secondary angiographic end point was the extent of in-stent stenosis at 13 months.\nRESULTS: At least one off-label criterion for stent placement was present in 66% of patients. The zotarolimus-eluting stent was noninferior to the everolimus-eluting stent with respect to the primary end point, which occurred in 8.2% and 8.3% of patients, respectively (P&lt;0.001 for noninferiority). There were no significant between-group differences in the rate of death from cardiac causes, any myocardial infarction, or revascularization. The rate of stent thrombosis was 2.3% in the zotarolimus-stent group and 1.5% in the everolimus-stent group (P=0.17). The zotarolimus-eluting stent was also noninferior regarding the degree (+/-SD) of in-stent stenosis (21.65+/-14.42% for zotarolimus vs. 19.76+/-14.64% for everolimus, P=0.04 for noninferiority). In-stent late lumen loss was 0.27+/-0.43 mm in the zotarolimus-stent group versus 0.19+/-0.40 mm in the everolimus-stent group (P=0.08). There were no significant between-group differences in the rate of adverse events.\nCONCLUSIONS: At 13 months, the new-generation zotarolimus-eluting stent was found to be noninferior to the everolimus-eluting stent in a population of patients who had minimal exclusion criteria. (ClinicalTrials.gov number, NCT00617084.)","container-title":"The New England Journal of Medicine","DOI":"10.1056/NEJMoa1004130","ISSN":"1533-4406","issue":"2","journalAbbreviation":"N. Engl. J. Med.","language":"eng","note":"PMID: 20554978","page":"136-146","source":"PubMed","title":"Comparison of zotarolimus-eluting and everolimus-eluting coronary stents","volume":"363","author":[{"family":"Serruys","given":"Patrick W."},{"family":"Silber","given":"Sigmund"},{"family":"Garg","given":"Scot"},{"family":"Geuns","given":"Robert Jan","non-dropping-particle":"van"},{"family":"Richardt","given":"Gert"},{"family":"Buszman","given":"Pawel E."},{"family":"Kelbaek","given":"Henning"},{"family":"Boven","given":"Adrianus Johannes","non-dropping-particle":"van"},{"family":"Hofma","given":"Sjoerd H."},{"family":"Linke","given":"Axel"},{"family":"Klauss","given":"Volker"},{"family":"Wijns","given":"William"},{"family":"Macaya","given":"Carlos"},{"family":"Garot","given":"Philippe"},{"family":"DiMario","given":"Carlo"},{"family":"Manoharan","given":"Ganesh"},{"family":"Kornowski","given":"Ran"},{"family":"Ischinger","given":"Thomas"},{"family":"Bartorelli","given":"Antonio"},{"family":"Ronden","given":"Jacintha"},{"family":"Bressers","given":"Marco"},{"family":"Gobbens","given":"Pierre"},{"family":"Negoita","given":"Manuela"},{"family":"Leeuwen","given":"Frank","non-dropping-particle":"van"},{"family":"Windecker","given":"Stephan"}],"issued":{"date-parts":[["2010",7,8]]}}}],"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(Serruys et al., 2010)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Evidence from meta-analyses demonstrate a benefit of second generation DES over first generation</w:t>
      </w:r>
      <w:r w:rsidR="003028CD" w:rsidRPr="00EC6C19">
        <w:rPr>
          <w:rFonts w:ascii="Times New Roman" w:hAnsi="Times New Roman" w:cs="Times New Roman"/>
          <w:sz w:val="24"/>
          <w:szCs w:val="24"/>
        </w:rPr>
        <w:t xml:space="preserve"> </w:t>
      </w:r>
      <w:r w:rsidRPr="00EC6C19">
        <w:rPr>
          <w:rFonts w:ascii="Times New Roman" w:hAnsi="Times New Roman" w:cs="Times New Roman"/>
          <w:sz w:val="24"/>
          <w:szCs w:val="24"/>
        </w:rPr>
        <w:t xml:space="preserve">DES with regards to stent thrombosis, and repeat revascularisation rates, but not death or myocardial infarction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{"citationID":"0R28q9XQ","properties":{"formattedCitation":"(Park et al., 2013)","plainCitation":"(Park et al., 2013)","noteIndex":0},"citationItems":[{"id":362,"uris":["http://zotero.org/users/local/k67tNDdX/items/JKGL85VM"],"uri":["http://zotero.org/users/local/k67tNDdX/items/JKGL85VM"],"itemData":{"id":362,"type":"article-journal","abstract":"BACKGROUND: While EES have proven superior to paclitaxel-eluting stents, it remains uncertain whether EES improve clinical outcomes compared to SES, which are the most efficacious among the first-generation drug-eluting stents. We performed a meta-analysis of randomized trials comparing the efficacy and safety of everolimus-eluting stents (EES) versus sirolimus-eluting stents (SES) in patients undergoing percutaneous coronary intervention.\nMETHODS: From online and offline search until December 2011, we identified 11 randomized trials (total 12,869 patients). The primary endpoint was major adverse cardiac events.\nRESULTS: The risk of major adverse cardiac events did not differ significantly between the patients treated with EES versus SES [OR, 0.90 (95% CI, 0.77-1.04); P = .162]. However, we found a significant reduction in the risk of repeat revascularization in the EES arm [OR, 0.85 (95% CI, 0.71-1.00); P = .047]. There were no significant differences regarding the risk of cardiac death [OR, 0.97 (95% CI, 0.74-1.27); P = .834], or myocardial infarction [OR, 0.95 (95% CI, 0.75-1.20), P = .656]. The risk of definite or probable stent thrombosis tended to be lower [OR, 0.68 (95% CI, 0.45-1.02); P = .065], while definite ST was significantly lower [OR, 0.44 (95% CI, 0.25-0.80); P = .007] with EES.\nCONCLUSIONS: In a large systematic overview of comparative trials involving percutaneous revascularization with drug-eluting stents, treatment with EES significantly reduced the risk of repeat revascularization and definite ST compared to SES. We found no significant differences in the risk of cardiac death or myocardial infarction.","container-title":"American Heart Journal","DOI":"10.1016/j.ahj.2012.08.007","ISSN":"1097-6744","issue":"2","journalAbbreviation":"Am. Heart J.","language":"eng","note":"PMID: 23351828","page":"241-250.e4","source":"PubMed","title":"Safety and efficacy of everolimus- versus sirolimus-eluting stents: a systematic review and meta-analysis of 11 randomized trials","title-short":"Safety and efficacy of everolimus- versus sirolimus-eluting stents","volume":"165","author":[{"family":"Park","given":"Kyung Woo"},{"family":"Kang","given":"Si-Hyuck"},{"family":"Velders","given":"Matthijs A."},{"family":"Shin","given":"Dong-Ho"},{"family":"Hahn","given":"Seokyung"},{"family":"Lim","given":"Woo-Hyun"},{"family":"Yang","given":"Han-Mo"},{"family":"Lee","given":"Hae-Young"},{"family":"Van Boven","given":"Adrianus J."},{"family":"Hofma","given":"Sjoerd H."},{"family":"Kang","given":"Hyun-Jae"},{"family":"Koo","given":"Bon-Kwon"},{"family":"Oh","given":"Byung-Hee"},{"family":"Park","given":"Young-Bae"},{"family":"Kandzari","given":"David E."},{"family":"Kim","given":"Hyo-Soo"}],"issued":{"date-parts":[["2013",2]]}}}],"schema":"https://github.com/citation-style-language/schema/raw/master/csl-citation.json"}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(Park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p>
    <w:p w14:paraId="384C108E" w14:textId="77777777" w:rsidR="00AA67A5" w:rsidRPr="00EC6C19" w:rsidRDefault="00AA67A5" w:rsidP="00AA67A5">
      <w:pPr>
        <w:rPr>
          <w:rFonts w:ascii="Times New Roman" w:hAnsi="Times New Roman" w:cs="Times New Roman"/>
          <w:sz w:val="24"/>
          <w:szCs w:val="24"/>
        </w:rPr>
      </w:pPr>
    </w:p>
    <w:p w14:paraId="5923F2EC" w14:textId="77777777" w:rsidR="00AA67A5" w:rsidRDefault="00C54823" w:rsidP="00A00967">
      <w:pPr>
        <w:pStyle w:val="Heading3"/>
        <w:spacing w:line="360" w:lineRule="auto"/>
        <w:rPr>
          <w:rFonts w:ascii="Times New Roman" w:hAnsi="Times New Roman" w:cs="Times New Roman"/>
          <w:b w:val="0"/>
          <w:i/>
          <w:color w:val="auto"/>
          <w:sz w:val="24"/>
          <w:szCs w:val="24"/>
        </w:rPr>
      </w:pPr>
      <w:bookmarkStart w:id="25" w:name="_Toc80302167"/>
      <w:r>
        <w:rPr>
          <w:rFonts w:ascii="Times New Roman" w:hAnsi="Times New Roman" w:cs="Times New Roman"/>
          <w:b w:val="0"/>
          <w:i/>
          <w:color w:val="auto"/>
          <w:sz w:val="24"/>
          <w:szCs w:val="24"/>
        </w:rPr>
        <w:t xml:space="preserve">1.4.3 - </w:t>
      </w:r>
      <w:r w:rsidR="00AA67A5" w:rsidRPr="00A00967">
        <w:rPr>
          <w:rFonts w:ascii="Times New Roman" w:hAnsi="Times New Roman" w:cs="Times New Roman"/>
          <w:b w:val="0"/>
          <w:i/>
          <w:color w:val="auto"/>
          <w:sz w:val="24"/>
          <w:szCs w:val="24"/>
        </w:rPr>
        <w:t>Drug Eluting Stents vs. Bare Metal Stents</w:t>
      </w:r>
      <w:bookmarkEnd w:id="25"/>
    </w:p>
    <w:p w14:paraId="532B31AF" w14:textId="77777777" w:rsidR="00A00967" w:rsidRPr="00A00967" w:rsidRDefault="00A00967" w:rsidP="00A00967"/>
    <w:p w14:paraId="3B1DDA45" w14:textId="77777777" w:rsidR="00AA67A5" w:rsidRPr="00EC6C19" w:rsidRDefault="00AA67A5" w:rsidP="00AA67A5">
      <w:pPr>
        <w:rPr>
          <w:rFonts w:ascii="Times New Roman" w:hAnsi="Times New Roman" w:cs="Times New Roman"/>
          <w:b/>
          <w:sz w:val="24"/>
          <w:szCs w:val="24"/>
        </w:rPr>
      </w:pPr>
    </w:p>
    <w:p w14:paraId="034B5ECA" w14:textId="77777777" w:rsidR="00AA67A5" w:rsidRPr="00EC6C19" w:rsidRDefault="00AA67A5" w:rsidP="00AA67A5">
      <w:pPr>
        <w:spacing w:line="360" w:lineRule="auto"/>
        <w:rPr>
          <w:rFonts w:ascii="Times New Roman" w:hAnsi="Times New Roman" w:cs="Times New Roman"/>
          <w:sz w:val="24"/>
          <w:szCs w:val="24"/>
        </w:rPr>
      </w:pPr>
      <w:r w:rsidRPr="00EC6C19">
        <w:rPr>
          <w:rFonts w:ascii="Times New Roman" w:hAnsi="Times New Roman" w:cs="Times New Roman"/>
          <w:sz w:val="24"/>
          <w:szCs w:val="24"/>
        </w:rPr>
        <w:t>Drug eluting stents generally require a longer duration of antiplatelet treatment, due to the extended period of exposed stent struts.</w:t>
      </w:r>
      <w:r w:rsidR="00414755">
        <w:rPr>
          <w:rFonts w:ascii="Times New Roman" w:hAnsi="Times New Roman" w:cs="Times New Roman"/>
          <w:sz w:val="24"/>
          <w:szCs w:val="24"/>
        </w:rPr>
        <w:t xml:space="preserve"> Recent data however has shown the safety in reducing antiplatelet duration in current generation DES </w:t>
      </w:r>
      <w:r w:rsidR="00106A32">
        <w:rPr>
          <w:rFonts w:ascii="Times New Roman" w:hAnsi="Times New Roman" w:cs="Times New Roman"/>
          <w:sz w:val="24"/>
          <w:szCs w:val="24"/>
        </w:rPr>
        <w:fldChar w:fldCharType="begin"/>
      </w:r>
      <w:r w:rsidR="00414755">
        <w:rPr>
          <w:rFonts w:ascii="Times New Roman" w:hAnsi="Times New Roman" w:cs="Times New Roman"/>
          <w:sz w:val="24"/>
          <w:szCs w:val="24"/>
        </w:rPr>
        <w:instrText xml:space="preserve"> ADDIN ZOTERO_ITEM CSL_CITATION {"citationID":"YGS3XYHm","properties":{"formattedCitation":"(Windecker et al., 2020)","plainCitation":"(Windecker et al., 2020)","noteIndex":0},"citationItems":[{"id":900,"uris":["http://zotero.org/users/local/k67tNDdX/items/KWT8ME7K"],"uri":["http://zotero.org/users/local/k67tNDdX/items/KWT8ME7K"],"itemData":{"id":900,"type":"article-journal","container-title":"New England Journal of Medicine","DOI":"10.1056/NEJMoa1910021","ISSN":"0028-4793","issue":"13","note":"publisher: Massachusetts Medical Society\n_eprint: https://doi.org/10.1056/NEJMoa1910021\nPMID: 32050061","page":"1208-1218","source":"Taylor and Francis+NEJM","title":"Polymer-based or Polymer-free Stents in Patients at High Bleeding Risk","volume":"382","author":[{"family":"Windecker","given":"Stephan"},{"family":"Latib","given":"Azeem"},{"family":"Kedhi","given":"Elvin"},{"family":"Kirtane","given":"Ajay J."},{"family":"Kandzari","given":"David E."},{"family":"Mehran","given":"Roxana"},{"family":"Price","given":"Matthew J."},{"family":"Abizaid","given":"Alexandre"},{"family":"Simon","given":"Daniel I."},{"family":"Worthley","given":"Stephen G."},{"family":"Zaman","given":"Azfar"},{"family":"Hudec","given":"Martin"},{"family":"Poliacikova","given":"Petra"},{"family":"Abdul Ghapar","given":"A. Kahar","dropping-particle":"bin"},{"family":"Selvaraj","given":"Kamaraj"},{"family":"Petrov","given":"Ivo"},{"family":"Mylotte","given":"Darren"},{"family":"Pinar","given":"Eduardo"},{"family":"Moreno","given":"Raul"},{"family":"Fabbiocchi","given":"Franco"},{"family":"Pasupati","given":"Sanjeevan"},{"family":"Kim","given":"Hyo-Soo"},{"family":"Aminian","given":"Adel"},{"family":"Tie","given":"Charles"},{"family":"Wlodarczak","given":"Adrian"},{"family":"Hur","given":"Seung-Ho"},{"family":"Marx","given":"Steven O."},{"family":"Jankovic","given":"Ivana"},{"family":"Brar","given":"Sandeep"},{"family":"Bousquette","given":"Lisa"},{"family":"Liu","given":"Minglei"},{"family":"Stone","given":"Gregg W."}],"issued":{"date-parts":[["2020",3,26]]}}}],"schema":"https://github.com/citation-style-language/schema/raw/master/csl-citation.json"} </w:instrText>
      </w:r>
      <w:r w:rsidR="00106A32">
        <w:rPr>
          <w:rFonts w:ascii="Times New Roman" w:hAnsi="Times New Roman" w:cs="Times New Roman"/>
          <w:sz w:val="24"/>
          <w:szCs w:val="24"/>
        </w:rPr>
        <w:fldChar w:fldCharType="separate"/>
      </w:r>
      <w:r w:rsidR="00414755" w:rsidRPr="00414755">
        <w:rPr>
          <w:rFonts w:ascii="Times New Roman" w:hAnsi="Times New Roman" w:cs="Times New Roman"/>
          <w:sz w:val="24"/>
        </w:rPr>
        <w:t>(Windecker et al., 2020)</w:t>
      </w:r>
      <w:r w:rsidR="00106A32">
        <w:rPr>
          <w:rFonts w:ascii="Times New Roman" w:hAnsi="Times New Roman" w:cs="Times New Roman"/>
          <w:sz w:val="24"/>
          <w:szCs w:val="24"/>
        </w:rPr>
        <w:fldChar w:fldCharType="end"/>
      </w:r>
      <w:r w:rsidR="002B6591">
        <w:rPr>
          <w:rFonts w:ascii="Times New Roman" w:hAnsi="Times New Roman" w:cs="Times New Roman"/>
          <w:sz w:val="24"/>
          <w:szCs w:val="24"/>
        </w:rPr>
        <w:t>, providing an apparent safe alternative</w:t>
      </w:r>
      <w:r w:rsidR="00414755">
        <w:rPr>
          <w:rFonts w:ascii="Times New Roman" w:hAnsi="Times New Roman" w:cs="Times New Roman"/>
          <w:sz w:val="24"/>
          <w:szCs w:val="24"/>
        </w:rPr>
        <w:t>.</w:t>
      </w:r>
      <w:r w:rsidRPr="00EC6C19">
        <w:rPr>
          <w:rFonts w:ascii="Times New Roman" w:hAnsi="Times New Roman" w:cs="Times New Roman"/>
          <w:sz w:val="24"/>
          <w:szCs w:val="24"/>
        </w:rPr>
        <w:t xml:space="preserve"> In some clinical situations, bleeding is a potential issue, or more urgent cessation of antiplatelet medication is requir</w:t>
      </w:r>
      <w:r w:rsidR="002B6591">
        <w:rPr>
          <w:rFonts w:ascii="Times New Roman" w:hAnsi="Times New Roman" w:cs="Times New Roman"/>
          <w:sz w:val="24"/>
          <w:szCs w:val="24"/>
        </w:rPr>
        <w:t>ed</w:t>
      </w:r>
      <w:r w:rsidRPr="00EC6C19">
        <w:rPr>
          <w:rFonts w:ascii="Times New Roman" w:hAnsi="Times New Roman" w:cs="Times New Roman"/>
          <w:sz w:val="24"/>
          <w:szCs w:val="24"/>
        </w:rPr>
        <w:t xml:space="preserve">. Here, a risk benefit decision </w:t>
      </w:r>
      <w:r w:rsidR="002B6591">
        <w:rPr>
          <w:rFonts w:ascii="Times New Roman" w:hAnsi="Times New Roman" w:cs="Times New Roman"/>
          <w:sz w:val="24"/>
          <w:szCs w:val="24"/>
        </w:rPr>
        <w:t>needs to be made, individual to</w:t>
      </w:r>
      <w:r w:rsidRPr="00EC6C19">
        <w:rPr>
          <w:rFonts w:ascii="Times New Roman" w:hAnsi="Times New Roman" w:cs="Times New Roman"/>
          <w:sz w:val="24"/>
          <w:szCs w:val="24"/>
        </w:rPr>
        <w:t xml:space="preserve"> the patient and clinical situation. Shorter lesions (&lt;20mm) with a larger vessel diameter (&gt;3mm), appear to have similar outcomes when comparing BMS to DES in some studies</w:t>
      </w:r>
      <w:r w:rsidR="002B6591">
        <w:rPr>
          <w:rFonts w:ascii="Times New Roman" w:hAnsi="Times New Roman" w:cs="Times New Roman"/>
          <w:sz w:val="24"/>
          <w:szCs w:val="24"/>
        </w:rPr>
        <w:t>.</w:t>
      </w:r>
    </w:p>
    <w:p w14:paraId="7D801710" w14:textId="77777777" w:rsidR="00AA67A5" w:rsidRDefault="00AA67A5" w:rsidP="00AA67A5">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Patients with diabetes mellitus are at risk of accelerated restenosis, and data supports the use of DES in this subgroup. The use of DES was associated with lower rates of mortality, myocardial infarction and revascularisation when compared to BMS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{"citationID":"TFOQRsxu","properties":{"formattedCitation":"(Garg et al., 2008)","plainCitation":"(Garg et al., 2008)","noteIndex":0},"citationItems":[{"id":367,"uris":["http://zotero.org/users/local/k67tNDdX/items/5K837AVR"],"uri":["http://zotero.org/users/local/k67tNDdX/items/5K837AVR"],"itemData":{"id":367,"type":"article-journal","abstract":"BACKGROUND: Patients with diabetes mellitus (DM) are at high risk for restenosis, myocardial infarction, and cardiac mortality after coronary stenting, and the long-term safety of drug-eluting stents (DES) relative to bare-metal stents (BMS) in DM is uncertain. We report on a large consecutive series of patients with DM followed up for 3 years after DES and BMS from a regional contemporary US practice with mandatory reporting.\nMETHODS AND RESULTS: All adults with DM undergoing percutaneous coronary intervention with stenting between April 1, 2003, and September 30, 2004, at all acute care nonfederal hospitals in Massachusetts were identified from a mandatory state database. According to index admission stent type, patients were classified as DES treated if all stents were drug eluting and as BMS treated if all stents were bare metal; patients treated with both types of stents were excluded from the primary analysis. Mortality rates were obtained from vital statistics records, and myocardial infarction and revascularization rates were obtained from the state database with complete 3 years of follow-up on the entire cohort. Risk-adjusted mortality, myocardial infarction, and revascularization differences (DES-BMS) were estimated with propensity-score matching based on clinical, procedural, hospital, and insurance information collected at the index admission. DM was present in 5051 patients (29% of the population) treated with DES or BMS during the study. Patients with DM were more likely to receive DES than BMS (66.1% versus 33.9%; P&lt;0.001). The unadjusted cumulative incidence of mortality at 3 years was 14.4% in DES versus 22.2% in BMS (P&lt;0.001). Based on propensity-score analysis of 1:1 matched DES versus BMS patients (1476 DES:1476 BMS), the risk-adjusted mortality, MI, and target vessel revascularization rates at 3 years were 17.5% versus 20.7% (risk difference, -3.2%; 95% confidence interval, -6.0 to -0.4; P=0.02), 13.8% versus 16.9% (-3.0%; 95% confidence interval, -5.6 to 0.5; P=0.02), and 18.4% versus 23.7% (-5.4%; confidence interval, -8.3 to -2.4; P&lt;0.001), respectively.\nCONCLUSIONS: In a real-world diabetic patient population with mandatory reporting and follow-up, DES were associated with reduced mortality, myocardial infarction, and revascularization rates at long-term follow-up compared with BMS.","container-title":"Circulation","DOI":"10.1161/CIRCULATIONAHA.108.820159","ISSN":"1524-4539","issue":"22","journalAbbreviation":"Circulation","language":"eng","note":"PMID: 19001019","page":"2277-2285, 7p following 2285","source":"PubMed","title":"Drug-eluting or bare-metal stenting in patients with diabetes mellitus: results from the Massachusetts Data Analysis Center Registry","title-short":"Drug-eluting or bare-metal stenting in patients with diabetes mellitus","volume":"118","author":[{"family":"Garg","given":"Pallav"},{"family":"Normand","given":"Sharon-Lise T."},{"family":"Silbaugh","given":"Treacy S."},{"family":"Wolf","given":"Robert E."},{"family":"Zelevinsky","given":"Katya"},{"family":"Lovett","given":"Ann"},{"family":"Varma","given":"Manu R."},{"family":"Zhou","given":"Zheng"},{"family":"Mauri","given":"Laura"}],"issued":{"date-parts":[["2008",11,25]]}}}],"schema":"https://github.com/citation-style-language/schema/raw/master/csl-citation.json"}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(Garg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2008)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This stance has been </w:t>
      </w:r>
      <w:r w:rsidRPr="00EC6C19">
        <w:rPr>
          <w:rFonts w:ascii="Times New Roman" w:hAnsi="Times New Roman" w:cs="Times New Roman"/>
          <w:sz w:val="24"/>
          <w:szCs w:val="24"/>
        </w:rPr>
        <w:lastRenderedPageBreak/>
        <w:t xml:space="preserve">supported by large meta-analyses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{"citationID":"iDWZWSQx","properties":{"formattedCitation":"(Bangalore et al., 2012)","plainCitation":"(Bangalore et al., 2012)","noteIndex":0},"citationItems":[{"id":369,"uris":["http://zotero.org/users/local/k67tNDdX/items/PTKHUDUF"],"uri":["http://zotero.org/users/local/k67tNDdX/items/PTKHUDUF"],"itemData":{"id":369,"type":"article-journal","abstract":"OBJECTIVES: To evaluate the efficacy and safety of currently used drug eluting stents compared with each other and compared with bare metal stents in patients with diabetes.\nDESIGN: Mixed treatment comparison meta-analysis.\nDATA SOURCES AND STUDY SELECTION: PubMed, Embase, and CENTRAL were searched for randomised clinical trials, until April 2012, of four durable polymer drug eluting stents (sirolimus eluting stents, paclitaxel eluting stents, everolimus eluting stents, and zotarolimus eluting stents) compared with each other or with bare metal stents for the treatment of de novo coronary lesions and enrolling at least 50 patients with diabetes.\nPRIMARY OUTCOMES: Efficacy (target vessel revascularisation) and safety (death, myocardial infarction, stent thrombosis).\nRESULTS: From 42 trials with 22,844 patient years of follow-up, when compared with bare metal stents (reference rate ratio 1) all of the currently used drug eluting stents were associated with a significant reduction in target vessel revascularisation (37% to 69%), though the efficacy varied with the type of stent (everolimus eluting stents~sirolimus eluting stents&gt;paclitaxel eluting stents~zotarolimus eluting stent&gt;bare metal stents). There was about an 87% probability that everolimus eluting stents were the most efficacious compared with all others, though there were limited usable data for the zotarolimus eluting Resolute stent in patients with diabetes. Moreover, there was no increased risk of any safety outcome (including very late stent thrombosis) with any drug eluting stents compared with bare metal stents. There was about a 62% probability that the everolimus eluting stent was the safest stent for the outcome of \"any\" stent thrombosis.\nCONCLUSIONS: Among patients with diabetes treated with coronary stents all currently available drug eluting stents were efficacious without compromising safety compared with bare metal stents. There were relative differences among the drug eluting stents, such that the everolimus eluting stent was the most efficacious and safe.","container-title":"BMJ (Clinical research ed.)","ISSN":"1756-1833","journalAbbreviation":"BMJ","language":"eng","note":"PMID: 22885395\nPMCID: PMC3415955","page":"e5170","source":"PubMed","title":"Outcomes with various drug eluting or bare metal stents in patients with diabetes mellitus: mixed treatment comparison analysis of 22,844 patient years of follow-up from randomised trials","title-short":"Outcomes with various drug eluting or bare metal stents in patients with diabetes mellitus","volume":"345","author":[{"family":"Bangalore","given":"Sripal"},{"family":"Kumar","given":"Sunil"},{"family":"Fusaro","given":"Mario"},{"family":"Amoroso","given":"Nicholas"},{"family":"Kirtane","given":"Ajay J."},{"family":"Byrne","given":"Robert A."},{"family":"Williams","given":"David O."},{"family":"Slater","given":"James"},{"family":"Cutlip","given":"Donald E."},{"family":"Feit","given":"Frederick"}],"issued":{"date-parts":[["2012",8,10]]}}}],"schema":"https://github.com/citation-style-language/schema/raw/master/csl-citation.json"} </w:instrText>
      </w:r>
      <w:r w:rsidR="00106A32" w:rsidRPr="00EC6C19">
        <w:rPr>
          <w:rFonts w:ascii="Times New Roman" w:hAnsi="Times New Roman" w:cs="Times New Roman"/>
          <w:sz w:val="24"/>
          <w:szCs w:val="24"/>
        </w:rPr>
        <w:fldChar w:fldCharType="separate"/>
      </w:r>
      <w:r w:rsidR="003028CD" w:rsidRPr="00EC6C19">
        <w:rPr>
          <w:rFonts w:ascii="Times New Roman" w:hAnsi="Times New Roman" w:cs="Times New Roman"/>
          <w:sz w:val="24"/>
          <w:szCs w:val="24"/>
        </w:rPr>
        <w:t xml:space="preserve">(Bangalore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regardless of vessel size or lesion length. </w:t>
      </w:r>
    </w:p>
    <w:p w14:paraId="3601BD0C" w14:textId="77777777" w:rsidR="004871D9" w:rsidRPr="00EC6C19" w:rsidRDefault="004871D9" w:rsidP="00AA67A5">
      <w:pPr>
        <w:spacing w:line="360" w:lineRule="auto"/>
        <w:rPr>
          <w:rFonts w:ascii="Times New Roman" w:hAnsi="Times New Roman" w:cs="Times New Roman"/>
          <w:sz w:val="24"/>
          <w:szCs w:val="24"/>
        </w:rPr>
      </w:pPr>
    </w:p>
    <w:p w14:paraId="7BBE460E" w14:textId="77777777" w:rsidR="00454967" w:rsidRPr="00A00967" w:rsidRDefault="00C54823" w:rsidP="00A00967">
      <w:pPr>
        <w:pStyle w:val="Heading2"/>
        <w:spacing w:line="360" w:lineRule="auto"/>
        <w:rPr>
          <w:rFonts w:ascii="Times New Roman" w:hAnsi="Times New Roman" w:cs="Times New Roman"/>
          <w:color w:val="auto"/>
          <w:sz w:val="24"/>
          <w:szCs w:val="24"/>
        </w:rPr>
      </w:pPr>
      <w:bookmarkStart w:id="26" w:name="_Toc80302168"/>
      <w:r>
        <w:rPr>
          <w:rFonts w:ascii="Times New Roman" w:hAnsi="Times New Roman" w:cs="Times New Roman"/>
          <w:color w:val="auto"/>
          <w:sz w:val="24"/>
          <w:szCs w:val="24"/>
        </w:rPr>
        <w:t xml:space="preserve">1.5 - </w:t>
      </w:r>
      <w:r w:rsidR="00D260F6" w:rsidRPr="00A00967">
        <w:rPr>
          <w:rFonts w:ascii="Times New Roman" w:hAnsi="Times New Roman" w:cs="Times New Roman"/>
          <w:color w:val="auto"/>
          <w:sz w:val="24"/>
          <w:szCs w:val="24"/>
        </w:rPr>
        <w:t>Risks of Percutaneous Coronary Intervention</w:t>
      </w:r>
      <w:bookmarkEnd w:id="26"/>
    </w:p>
    <w:p w14:paraId="4D9278FA" w14:textId="77777777" w:rsidR="00A00967" w:rsidRPr="00A00967" w:rsidRDefault="00A00967" w:rsidP="00A00967"/>
    <w:p w14:paraId="0737EC42" w14:textId="77777777" w:rsidR="00D260F6" w:rsidRPr="00EC6C19" w:rsidRDefault="00D260F6" w:rsidP="00D260F6">
      <w:pPr>
        <w:spacing w:line="360" w:lineRule="auto"/>
        <w:rPr>
          <w:rFonts w:ascii="Times New Roman" w:hAnsi="Times New Roman" w:cs="Times New Roman"/>
          <w:sz w:val="24"/>
          <w:szCs w:val="24"/>
        </w:rPr>
      </w:pPr>
    </w:p>
    <w:p w14:paraId="076F66DD" w14:textId="77777777" w:rsidR="00D260F6" w:rsidRPr="00EC6C19" w:rsidRDefault="00D260F6" w:rsidP="00D260F6">
      <w:pPr>
        <w:spacing w:line="360" w:lineRule="auto"/>
        <w:rPr>
          <w:rFonts w:ascii="Times New Roman" w:hAnsi="Times New Roman" w:cs="Times New Roman"/>
          <w:sz w:val="24"/>
          <w:szCs w:val="24"/>
        </w:rPr>
      </w:pPr>
      <w:r w:rsidRPr="00EC6C19">
        <w:rPr>
          <w:rFonts w:ascii="Times New Roman" w:hAnsi="Times New Roman" w:cs="Times New Roman"/>
          <w:sz w:val="24"/>
          <w:szCs w:val="24"/>
        </w:rPr>
        <w:t>Percutaneous coronary intervention, by necessity requires a diagnostic coronary angiogram to visualise the lesion for treatment. Therefore, the baseline risks of coronary angiography are inherent in the procedure</w:t>
      </w:r>
      <w:r w:rsidR="002320A8" w:rsidRPr="00EC6C19">
        <w:rPr>
          <w:rFonts w:ascii="Times New Roman" w:hAnsi="Times New Roman" w:cs="Times New Roman"/>
          <w:sz w:val="24"/>
          <w:szCs w:val="24"/>
        </w:rPr>
        <w:t xml:space="preserve"> (approximately 1 in 1000)</w:t>
      </w:r>
      <w:r w:rsidRPr="00EC6C19">
        <w:rPr>
          <w:rFonts w:ascii="Times New Roman" w:hAnsi="Times New Roman" w:cs="Times New Roman"/>
          <w:sz w:val="24"/>
          <w:szCs w:val="24"/>
        </w:rPr>
        <w:t>.</w:t>
      </w:r>
      <w:r w:rsidR="007164EA" w:rsidRPr="00EC6C19">
        <w:rPr>
          <w:rFonts w:ascii="Times New Roman" w:hAnsi="Times New Roman" w:cs="Times New Roman"/>
          <w:color w:val="FF0000"/>
          <w:sz w:val="24"/>
          <w:szCs w:val="24"/>
        </w:rPr>
        <w:t xml:space="preserve"> </w:t>
      </w:r>
      <w:r w:rsidRPr="00EC6C19">
        <w:rPr>
          <w:rFonts w:ascii="Times New Roman" w:hAnsi="Times New Roman" w:cs="Times New Roman"/>
          <w:sz w:val="24"/>
          <w:szCs w:val="24"/>
        </w:rPr>
        <w:t>Instrumentation of an artery with coronary</w:t>
      </w:r>
      <w:r w:rsidR="00B73F7E" w:rsidRPr="00EC6C19">
        <w:rPr>
          <w:rFonts w:ascii="Times New Roman" w:hAnsi="Times New Roman" w:cs="Times New Roman"/>
          <w:sz w:val="24"/>
          <w:szCs w:val="24"/>
        </w:rPr>
        <w:t xml:space="preserve"> guidewires and balloons plus subsequent stent implantation</w:t>
      </w:r>
      <w:r w:rsidRPr="00EC6C19">
        <w:rPr>
          <w:rFonts w:ascii="Times New Roman" w:hAnsi="Times New Roman" w:cs="Times New Roman"/>
          <w:sz w:val="24"/>
          <w:szCs w:val="24"/>
        </w:rPr>
        <w:t xml:space="preserve"> bring</w:t>
      </w:r>
      <w:r w:rsidR="00B73F7E" w:rsidRPr="00EC6C19">
        <w:rPr>
          <w:rFonts w:ascii="Times New Roman" w:hAnsi="Times New Roman" w:cs="Times New Roman"/>
          <w:sz w:val="24"/>
          <w:szCs w:val="24"/>
        </w:rPr>
        <w:t>s</w:t>
      </w:r>
      <w:r w:rsidRPr="00EC6C19">
        <w:rPr>
          <w:rFonts w:ascii="Times New Roman" w:hAnsi="Times New Roman" w:cs="Times New Roman"/>
          <w:sz w:val="24"/>
          <w:szCs w:val="24"/>
        </w:rPr>
        <w:t xml:space="preserve"> about additional risks</w:t>
      </w:r>
      <w:r w:rsidR="002320A8" w:rsidRPr="00EC6C19">
        <w:rPr>
          <w:rFonts w:ascii="Times New Roman" w:hAnsi="Times New Roman" w:cs="Times New Roman"/>
          <w:sz w:val="24"/>
          <w:szCs w:val="24"/>
        </w:rPr>
        <w:t xml:space="preserve"> (quoted 1 in 100 during patient consenting process)</w:t>
      </w:r>
      <w:r w:rsidR="00960536" w:rsidRPr="00EC6C19">
        <w:rPr>
          <w:rFonts w:ascii="Times New Roman" w:hAnsi="Times New Roman" w:cs="Times New Roman"/>
          <w:sz w:val="24"/>
          <w:szCs w:val="24"/>
        </w:rPr>
        <w:t xml:space="preserve">. The risks are described in detail </w:t>
      </w:r>
      <w:r w:rsidR="00960536" w:rsidRPr="00CD64AE">
        <w:rPr>
          <w:rFonts w:ascii="Times New Roman" w:hAnsi="Times New Roman" w:cs="Times New Roman"/>
          <w:sz w:val="24"/>
          <w:szCs w:val="24"/>
        </w:rPr>
        <w:t>in Appendix B.</w:t>
      </w:r>
    </w:p>
    <w:p w14:paraId="57C9D951" w14:textId="77777777" w:rsidR="004E4ABF" w:rsidRPr="00EC6C19" w:rsidRDefault="00960536" w:rsidP="00D260F6">
      <w:pPr>
        <w:spacing w:line="360" w:lineRule="auto"/>
        <w:rPr>
          <w:rFonts w:ascii="Times New Roman" w:hAnsi="Times New Roman" w:cs="Times New Roman"/>
          <w:sz w:val="24"/>
          <w:szCs w:val="24"/>
        </w:rPr>
      </w:pPr>
      <w:r w:rsidRPr="00EC6C19">
        <w:rPr>
          <w:rFonts w:ascii="Times New Roman" w:hAnsi="Times New Roman" w:cs="Times New Roman"/>
          <w:sz w:val="24"/>
          <w:szCs w:val="24"/>
        </w:rPr>
        <w:t>Mentioning risk is important, as it forms a critical part of the decision making process regarding the treatment of a coronary lesion. This in turn has led to the use of tools to assess the significance of a stenosis and whether there is a need to put patients at risk of a PCI procedure.</w:t>
      </w:r>
    </w:p>
    <w:p w14:paraId="75A2D8A1" w14:textId="77777777" w:rsidR="00454967" w:rsidRPr="00EC6C19" w:rsidRDefault="00454967">
      <w:pPr>
        <w:rPr>
          <w:rFonts w:ascii="Times New Roman" w:hAnsi="Times New Roman" w:cs="Times New Roman"/>
          <w:sz w:val="24"/>
          <w:szCs w:val="24"/>
        </w:rPr>
      </w:pPr>
    </w:p>
    <w:p w14:paraId="035DA163" w14:textId="77777777" w:rsidR="00B73F7E" w:rsidRPr="00A00967" w:rsidRDefault="00C54823" w:rsidP="00A00967">
      <w:pPr>
        <w:pStyle w:val="Heading2"/>
        <w:rPr>
          <w:rFonts w:ascii="Times New Roman" w:hAnsi="Times New Roman" w:cs="Times New Roman"/>
          <w:b w:val="0"/>
          <w:color w:val="auto"/>
          <w:sz w:val="24"/>
          <w:szCs w:val="24"/>
        </w:rPr>
      </w:pPr>
      <w:bookmarkStart w:id="27" w:name="_Toc80302169"/>
      <w:r>
        <w:rPr>
          <w:rFonts w:ascii="Times New Roman" w:hAnsi="Times New Roman" w:cs="Times New Roman"/>
          <w:color w:val="auto"/>
          <w:sz w:val="24"/>
          <w:szCs w:val="24"/>
        </w:rPr>
        <w:t xml:space="preserve">1.6 - </w:t>
      </w:r>
      <w:r w:rsidR="001E707A" w:rsidRPr="00A00967">
        <w:rPr>
          <w:rFonts w:ascii="Times New Roman" w:hAnsi="Times New Roman" w:cs="Times New Roman"/>
          <w:color w:val="auto"/>
          <w:sz w:val="24"/>
          <w:szCs w:val="24"/>
        </w:rPr>
        <w:t>Identifying Significant Lesions in Stable Coronary Artery Disease</w:t>
      </w:r>
      <w:bookmarkEnd w:id="27"/>
    </w:p>
    <w:p w14:paraId="3A05010C" w14:textId="77777777" w:rsidR="001E707A" w:rsidRDefault="001E707A">
      <w:pPr>
        <w:rPr>
          <w:rFonts w:ascii="Times New Roman" w:hAnsi="Times New Roman" w:cs="Times New Roman"/>
          <w:b/>
          <w:sz w:val="24"/>
          <w:szCs w:val="24"/>
        </w:rPr>
      </w:pPr>
    </w:p>
    <w:p w14:paraId="6D05F808" w14:textId="77777777" w:rsidR="00A00967" w:rsidRPr="00EC6C19" w:rsidRDefault="00A00967">
      <w:pPr>
        <w:rPr>
          <w:rFonts w:ascii="Times New Roman" w:hAnsi="Times New Roman" w:cs="Times New Roman"/>
          <w:b/>
          <w:sz w:val="24"/>
          <w:szCs w:val="24"/>
        </w:rPr>
      </w:pPr>
    </w:p>
    <w:p w14:paraId="19094079" w14:textId="7E8C071D" w:rsidR="007164EA" w:rsidRPr="00EC6C19" w:rsidRDefault="001E707A" w:rsidP="00B73F7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focus of onward discussion will </w:t>
      </w:r>
      <w:r w:rsidR="00884D9E" w:rsidRPr="00EC6C19">
        <w:rPr>
          <w:rFonts w:ascii="Times New Roman" w:hAnsi="Times New Roman" w:cs="Times New Roman"/>
          <w:sz w:val="24"/>
          <w:szCs w:val="24"/>
        </w:rPr>
        <w:t>be</w:t>
      </w:r>
      <w:r w:rsidRPr="00EC6C19">
        <w:rPr>
          <w:rFonts w:ascii="Times New Roman" w:hAnsi="Times New Roman" w:cs="Times New Roman"/>
          <w:sz w:val="24"/>
          <w:szCs w:val="24"/>
        </w:rPr>
        <w:t xml:space="preserve"> the patient demographic for this study - </w:t>
      </w:r>
      <w:r w:rsidR="00E70AE2">
        <w:rPr>
          <w:rFonts w:ascii="Times New Roman" w:hAnsi="Times New Roman" w:cs="Times New Roman"/>
          <w:sz w:val="24"/>
          <w:szCs w:val="24"/>
        </w:rPr>
        <w:t>chronic coronary syndrome</w:t>
      </w:r>
      <w:r w:rsidRPr="00EC6C19">
        <w:rPr>
          <w:rFonts w:ascii="Times New Roman" w:hAnsi="Times New Roman" w:cs="Times New Roman"/>
          <w:sz w:val="24"/>
          <w:szCs w:val="24"/>
        </w:rPr>
        <w:t>. The decision to treat a lesion is based on two questions</w:t>
      </w:r>
      <w:r w:rsidR="000A0B01">
        <w:rPr>
          <w:rFonts w:ascii="Times New Roman" w:hAnsi="Times New Roman" w:cs="Times New Roman"/>
          <w:sz w:val="24"/>
          <w:szCs w:val="24"/>
        </w:rPr>
        <w:t>:</w:t>
      </w:r>
    </w:p>
    <w:p w14:paraId="12FB1549" w14:textId="77777777" w:rsidR="009A67D5" w:rsidRPr="00EC6C19" w:rsidRDefault="009A67D5" w:rsidP="00B73F7E">
      <w:pPr>
        <w:spacing w:line="360" w:lineRule="auto"/>
        <w:rPr>
          <w:rFonts w:ascii="Times New Roman" w:hAnsi="Times New Roman" w:cs="Times New Roman"/>
          <w:sz w:val="24"/>
          <w:szCs w:val="24"/>
        </w:rPr>
      </w:pPr>
    </w:p>
    <w:p w14:paraId="456C5541" w14:textId="77777777" w:rsidR="001E707A" w:rsidRPr="00EC6C19" w:rsidRDefault="001E707A" w:rsidP="001E707A">
      <w:pPr>
        <w:pStyle w:val="ListParagraph"/>
        <w:numPr>
          <w:ilvl w:val="0"/>
          <w:numId w:val="37"/>
        </w:numPr>
        <w:spacing w:line="360" w:lineRule="auto"/>
        <w:rPr>
          <w:rFonts w:ascii="Times New Roman" w:hAnsi="Times New Roman" w:cs="Times New Roman"/>
          <w:sz w:val="24"/>
          <w:szCs w:val="24"/>
        </w:rPr>
      </w:pPr>
      <w:r w:rsidRPr="00EC6C19">
        <w:rPr>
          <w:rFonts w:ascii="Times New Roman" w:hAnsi="Times New Roman" w:cs="Times New Roman"/>
          <w:sz w:val="24"/>
          <w:szCs w:val="24"/>
        </w:rPr>
        <w:t>Does the patient have an indication for invasive treatment of their coronary artery disease?</w:t>
      </w:r>
    </w:p>
    <w:p w14:paraId="680F803E" w14:textId="77777777" w:rsidR="001E707A" w:rsidRPr="00EC6C19" w:rsidRDefault="001E707A" w:rsidP="001E707A">
      <w:pPr>
        <w:pStyle w:val="ListParagraph"/>
        <w:spacing w:line="360" w:lineRule="auto"/>
        <w:rPr>
          <w:rFonts w:ascii="Times New Roman" w:hAnsi="Times New Roman" w:cs="Times New Roman"/>
          <w:sz w:val="24"/>
          <w:szCs w:val="24"/>
        </w:rPr>
      </w:pPr>
    </w:p>
    <w:p w14:paraId="35B7BE5D" w14:textId="77777777" w:rsidR="009A67D5" w:rsidRPr="00EC6C19" w:rsidRDefault="001E707A" w:rsidP="009A67D5">
      <w:pPr>
        <w:pStyle w:val="ListParagraph"/>
        <w:numPr>
          <w:ilvl w:val="0"/>
          <w:numId w:val="37"/>
        </w:numPr>
        <w:spacing w:line="360" w:lineRule="auto"/>
        <w:rPr>
          <w:rFonts w:ascii="Times New Roman" w:hAnsi="Times New Roman" w:cs="Times New Roman"/>
          <w:sz w:val="24"/>
          <w:szCs w:val="24"/>
        </w:rPr>
      </w:pPr>
      <w:r w:rsidRPr="00EC6C19">
        <w:rPr>
          <w:rFonts w:ascii="Times New Roman" w:hAnsi="Times New Roman" w:cs="Times New Roman"/>
          <w:sz w:val="24"/>
          <w:szCs w:val="24"/>
        </w:rPr>
        <w:t>Do the benefits of invasive treatment, outweigh the risks?</w:t>
      </w:r>
    </w:p>
    <w:p w14:paraId="650EC894" w14:textId="77777777" w:rsidR="009A67D5" w:rsidRPr="00EC6C19" w:rsidRDefault="009A67D5" w:rsidP="009A67D5">
      <w:pPr>
        <w:pStyle w:val="ListParagraph"/>
        <w:spacing w:line="360" w:lineRule="auto"/>
        <w:rPr>
          <w:rFonts w:ascii="Times New Roman" w:hAnsi="Times New Roman" w:cs="Times New Roman"/>
          <w:sz w:val="24"/>
          <w:szCs w:val="24"/>
        </w:rPr>
      </w:pPr>
    </w:p>
    <w:p w14:paraId="0331CAF5" w14:textId="77777777" w:rsidR="009A67D5" w:rsidRDefault="009A67D5" w:rsidP="00B73F7E">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The severity of a stenosis on coronary angiogram correlates poorly with coronary physiology</w:t>
      </w:r>
      <w:r w:rsidR="00D852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852FC" w:rsidRPr="00EC6C19">
        <w:rPr>
          <w:rFonts w:ascii="Times New Roman" w:hAnsi="Times New Roman" w:cs="Times New Roman"/>
          <w:sz w:val="24"/>
          <w:szCs w:val="24"/>
        </w:rPr>
        <w:instrText xml:space="preserve"> ADDIN ZOTERO_ITEM CSL_CITATION {"citationID":"7Yvcprtv","properties":{"formattedCitation":"(Adjedj et al., 2017)","plainCitation":"(Adjedj et al., 2017)","noteIndex":0},"citationItems":[{"id":819,"uris":["http://zotero.org/users/local/k67tNDdX/items/6J5GW52U"],"uri":["http://zotero.org/users/local/k67tNDdX/items/6J5GW52U"],"itemData":{"id":819,"type":"article-journal","abstract":"BACKGROUND: The correlation between angiographic assessment of coronary stenoses and fractional flow reserve (FFR) is weak. Whether and how risk factors impact the diagnostic accuracy of angiography is unknown. We sought to evaluate the diagnostic accuracy of angiography by visual estimate and by quantitative coronary angiography when compared with FFR and evaluate the influence of risk factors (RF) on this accuracy.\nMETHODS AND RESULTS: In 1382 coronary stenoses (1104 patients), percent diameter stenosis by visual estimation (DSVE) and by quantitative coronary angiography (DSQCA) was compared with FFR. Patients were divided into 4 subgroups, according to the presence of RFs, and the relationship between DSVE, DSQCA, and FFR was analyzed. Overall, DSVE was significantly higher than DSQCA (P&lt;0.0001); nonetheless, when examined by strata of DS, DSVE was significantly smaller than DSQCA in mild stenoses, although the reverse held true for severe stenoses. Compared with FFR, a large scatter was observed for both DSVE and DSQCA. When using a dichotomous FFR value of 0.80, C statistic was significantly higher for DSVE than for DSQCA (0.712 versus 0.640, respectively; P&lt;0.001). C statistics for DSVE decreased progressively as RFs accumulated (0.776 for ≤1 RF, 0.750 for 2 RFs, 0.713 for 3 RFs and 0.627 for ≥4 RFs; P=0.0053). In addition, in diabetics, the relationship between FFR and angiographic indices was particularly weak (C statistics: 0.524 for DSVE and 0.511 for DSQCA).\nCONCLUSIONS: Overall, DSVE has a better diagnostic accuracy than DSQCA to predict the functional significance of coronary stenosis. The predictive accuracy of angiography is moderate in patients with ≤1 RFs, but weakens as RFs accumulate, especially in diabetics.","container-title":"Circulation. Cardiovascular Imaging","DOI":"10.1161/CIRCIMAGING.117.006243","ISSN":"1942-0080","issue":"7","journalAbbreviation":"Circ Cardiovasc Imaging","language":"eng","note":"PMID: 28687539","source":"PubMed","title":"Visual and Quantitative Assessment of Coronary Stenoses at Angiography Versus Fractional Flow Reserve: The Impact of Risk Factors","title-short":"Visual and Quantitative Assessment of Coronary Stenoses at Angiography Versus Fractional Flow Reserve","volume":"10","author":[{"family":"Adjedj","given":"Julien"},{"family":"Xaplanteris","given":"Panagiotis"},{"family":"Toth","given":"Gabor"},{"family":"Ferrara","given":"Angela"},{"family":"Pellicano","given":"Mariano"},{"family":"Ciccarelli","given":"Giovanni"},{"family":"Floré","given":"Vincent"},{"family":"Barbato","given":"Emanuele"},{"family":"De Bruyne","given":"Bernard"}],"issued":{"date-parts":[["2017",7]]}}}],"schema":"https://github.com/citation-style-language/schema/raw/master/csl-citation.json"} </w:instrText>
      </w:r>
      <w:r w:rsidR="00106A32" w:rsidRPr="00EC6C19">
        <w:rPr>
          <w:rFonts w:ascii="Times New Roman" w:hAnsi="Times New Roman" w:cs="Times New Roman"/>
          <w:sz w:val="24"/>
          <w:szCs w:val="24"/>
        </w:rPr>
        <w:fldChar w:fldCharType="separate"/>
      </w:r>
      <w:r w:rsidR="00D852FC" w:rsidRPr="00EC6C19">
        <w:rPr>
          <w:rFonts w:ascii="Times New Roman" w:hAnsi="Times New Roman" w:cs="Times New Roman"/>
          <w:sz w:val="24"/>
          <w:szCs w:val="24"/>
        </w:rPr>
        <w:t xml:space="preserve">(Adjedj </w:t>
      </w:r>
      <w:r w:rsidR="00B22321" w:rsidRPr="00EC6C19">
        <w:rPr>
          <w:rFonts w:ascii="Times New Roman" w:hAnsi="Times New Roman" w:cs="Times New Roman"/>
          <w:sz w:val="24"/>
          <w:szCs w:val="24"/>
        </w:rPr>
        <w:t>et al.,</w:t>
      </w:r>
      <w:r w:rsidR="00D852FC" w:rsidRPr="00EC6C19">
        <w:rPr>
          <w:rFonts w:ascii="Times New Roman" w:hAnsi="Times New Roman" w:cs="Times New Roman"/>
          <w:sz w:val="24"/>
          <w:szCs w:val="24"/>
        </w:rPr>
        <w:t xml:space="preserve"> 2017)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884D9E" w:rsidRPr="00EC6C19">
        <w:rPr>
          <w:rFonts w:ascii="Times New Roman" w:hAnsi="Times New Roman" w:cs="Times New Roman"/>
          <w:sz w:val="24"/>
          <w:szCs w:val="24"/>
        </w:rPr>
        <w:t xml:space="preserve"> This is known as angiographic ambiguity. Physiological evidence of ischaemia is </w:t>
      </w:r>
      <w:r w:rsidR="00E70AE2">
        <w:rPr>
          <w:rFonts w:ascii="Times New Roman" w:hAnsi="Times New Roman" w:cs="Times New Roman"/>
          <w:sz w:val="24"/>
          <w:szCs w:val="24"/>
        </w:rPr>
        <w:t xml:space="preserve">usually </w:t>
      </w:r>
      <w:r w:rsidR="00884D9E" w:rsidRPr="00EC6C19">
        <w:rPr>
          <w:rFonts w:ascii="Times New Roman" w:hAnsi="Times New Roman" w:cs="Times New Roman"/>
          <w:sz w:val="24"/>
          <w:szCs w:val="24"/>
        </w:rPr>
        <w:t>necessary in the decision making process. Even with evidence of ischaemia</w:t>
      </w:r>
      <w:r w:rsidR="000A5AB5" w:rsidRPr="00EC6C19">
        <w:rPr>
          <w:rFonts w:ascii="Times New Roman" w:hAnsi="Times New Roman" w:cs="Times New Roman"/>
          <w:sz w:val="24"/>
          <w:szCs w:val="24"/>
        </w:rPr>
        <w:t xml:space="preserve"> however</w:t>
      </w:r>
      <w:r w:rsidR="00884D9E" w:rsidRPr="00EC6C19">
        <w:rPr>
          <w:rFonts w:ascii="Times New Roman" w:hAnsi="Times New Roman" w:cs="Times New Roman"/>
          <w:sz w:val="24"/>
          <w:szCs w:val="24"/>
        </w:rPr>
        <w:t xml:space="preserve">, decisions are not binary. </w:t>
      </w:r>
      <w:r w:rsidRPr="00EC6C19">
        <w:rPr>
          <w:rFonts w:ascii="Times New Roman" w:hAnsi="Times New Roman" w:cs="Times New Roman"/>
          <w:sz w:val="24"/>
          <w:szCs w:val="24"/>
        </w:rPr>
        <w:t xml:space="preserve"> </w:t>
      </w:r>
    </w:p>
    <w:p w14:paraId="2843CFC7" w14:textId="77777777" w:rsidR="00E70AE2" w:rsidRPr="00EC6C19" w:rsidRDefault="00E70AE2" w:rsidP="00B73F7E">
      <w:pPr>
        <w:spacing w:line="360" w:lineRule="auto"/>
        <w:rPr>
          <w:rFonts w:ascii="Times New Roman" w:hAnsi="Times New Roman" w:cs="Times New Roman"/>
          <w:sz w:val="24"/>
          <w:szCs w:val="24"/>
        </w:rPr>
      </w:pPr>
    </w:p>
    <w:p w14:paraId="4C86D6AB" w14:textId="77777777" w:rsidR="001E707A" w:rsidRPr="00EC6C19" w:rsidRDefault="00884D9E" w:rsidP="00B73F7E">
      <w:pPr>
        <w:spacing w:line="360" w:lineRule="auto"/>
        <w:rPr>
          <w:rFonts w:ascii="Times New Roman" w:hAnsi="Times New Roman" w:cs="Times New Roman"/>
          <w:sz w:val="24"/>
          <w:szCs w:val="24"/>
        </w:rPr>
      </w:pPr>
      <w:r w:rsidRPr="00EC6C19">
        <w:rPr>
          <w:rFonts w:ascii="Times New Roman" w:hAnsi="Times New Roman" w:cs="Times New Roman"/>
          <w:sz w:val="24"/>
          <w:szCs w:val="24"/>
        </w:rPr>
        <w:t>Data</w:t>
      </w:r>
      <w:r w:rsidR="00AD4011" w:rsidRPr="00EC6C19">
        <w:rPr>
          <w:rFonts w:ascii="Times New Roman" w:hAnsi="Times New Roman" w:cs="Times New Roman"/>
          <w:sz w:val="24"/>
          <w:szCs w:val="24"/>
        </w:rPr>
        <w:t xml:space="preserve"> from recent trials, ISCHEMIA</w:t>
      </w:r>
      <w:r w:rsidR="009A67D5"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9A67D5" w:rsidRPr="00EC6C19">
        <w:rPr>
          <w:rFonts w:ascii="Times New Roman" w:hAnsi="Times New Roman" w:cs="Times New Roman"/>
          <w:sz w:val="24"/>
          <w:szCs w:val="24"/>
        </w:rPr>
        <w:instrText xml:space="preserve"> ADDIN ZOTERO_ITEM CSL_CITATION {"citationID":"tNmVH4tJ","properties":{"formattedCitation":"(ISCHEMIA Trial Research Group et al., 2018)","plainCitation":"(ISCHEMIA Trial Research Group et al., 2018)","noteIndex":0},"citationItems":[{"id":811,"uris":["http://zotero.org/users/local/k67tNDdX/items/MBE95CWS"],"uri":["http://zotero.org/users/local/k67tNDdX/items/MBE95CWS"],"itemData":{"id":811,"type":"article-journal","abstract":"BACKGROUND: Prior trials comparing a strategy of optimal medical therapy with or without revascularization have not shown that revascularization reduces cardiovascular events in patients with stable ischemic heart disease (SIHD). However, those trials only included participants in whom coronary anatomy was known prior to randomization and did not include sufficient numbers of participants with significant ischemia. It remains unknown whether a routine invasive approach offers incremental value over a conservative approach with catheterization reserved for failure of medical therapy in patients with moderate or severe ischemia.\nMETHODS: The ISCHEMIA trial is a National Heart, Lung, and Blood Institute supported trial, designed to compare an initial invasive or conservative treatment strategy for managing SIHD patients with moderate or severe ischemia on stress testing. Five thousand one-hundred seventy-nine participants have been randomized. Key exclusion criteria included estimated glomerular filtration rate (eGFR) &lt;30 mL/min, recent myocardial infarction (MI), left ventricular ejection fraction &lt;35%, left main stenosis &gt;50%, or unacceptable angina at baseline. Most enrolled participants with normal renal function first underwent blinded coronary computed tomography angiography (CCTA) to exclude those with left main coronary artery disease (CAD) and without obstructive CAD. All randomized participants receive secondary prevention that includes lifestyle advice and pharmacologic interventions referred to as optimal medical therapy (OMT). Participants randomized to the invasive strategy underwent routine cardiac catheterization followed by revascularization with percutaneous coronary intervention (PCI) or coronary artery bypass graft (CABG) surgery, when feasible, as selected by the local Heart Team to achieve optimal revascularization. Participants randomized to the conservative strategy undergo cardiac catheterization only for failure of OMT. The primary endpoint is a composite of cardiovascular (CV) death, nonfatal myocardial infarction (MI), hospitalization for unstable angina, hospitalization for heart failure, or resuscitated cardiac arrest. Assuming the primary endpoint will occur in 16% of the conservative group within 4 years, estimated power exceeds 80% to detect an 18.5% reduction in the primary endpoint. Major secondary endpoints include the composite of CV death and nonfatal MI, net clinical benefit (primary and secondary endpoints combined with stroke), angina-related symptoms and disease-specific quality of life, as well as a cost-effectiveness assessment in North American participants. Ancillary studies of patients with advanced chronic kidney disease and those with documented ischemia and non-obstructive coronary artery disease are being conducted concurrently.\nCONCLUSIONS: ISCHEMIA will provide new scientific evidence regarding whether an invasive management strategy improves clinical outcomes when added to optimal medical therapy in patients with SIHD and moderate or severe ischemia.","container-title":"American Heart Journal","DOI":"10.1016/j.ahj.2018.04.011","ISSN":"1097-6744","journalAbbreviation":"Am. Heart J.","language":"eng","note":"PMID: 29778671\nPMCID: PMC6005768","page":"124-135","source":"PubMed","title":"International Study of Comparative Health Effectiveness with Medical and Invasive Approaches (ISCHEMIA) trial: Rationale and design","title-short":"International Study of Comparative Health Effectiveness with Medical and Invasive Approaches (ISCHEMIA) trial","volume":"201","author":[{"literal":"ISCHEMIA Trial Research Group"},{"family":"Maron","given":"David J."},{"family":"Hochman","given":"Judith S."},{"family":"O'Brien","given":"Sean M."},{"family":"Reynolds","given":"Harmony R."},{"family":"Boden","given":"William E."},{"family":"Stone","given":"Gregg W."},{"family":"Bangalore","given":"Sripal"},{"family":"Spertus","given":"John A."},{"family":"Mark","given":"Daniel B."},{"family":"Alexander","given":"Karen P."},{"family":"Shaw","given":"Leslee"},{"family":"Berger","given":"Jeffrey S."},{"family":"Ferguson","given":"T. Bruce"},{"family":"Williams","given":"David O."},{"family":"Harrington","given":"Robert A."},{"family":"Rosenberg","given":"Yves"}],"issued":{"date-parts":[["2018"]]}}}],"schema":"https://github.com/citation-style-language/schema/raw/master/csl-citation.json"} </w:instrText>
      </w:r>
      <w:r w:rsidR="00106A32" w:rsidRPr="00EC6C19">
        <w:rPr>
          <w:rFonts w:ascii="Times New Roman" w:hAnsi="Times New Roman" w:cs="Times New Roman"/>
          <w:sz w:val="24"/>
          <w:szCs w:val="24"/>
        </w:rPr>
        <w:fldChar w:fldCharType="separate"/>
      </w:r>
      <w:r w:rsidR="009A67D5" w:rsidRPr="00EC6C19">
        <w:rPr>
          <w:rFonts w:ascii="Times New Roman" w:hAnsi="Times New Roman" w:cs="Times New Roman"/>
          <w:sz w:val="24"/>
          <w:szCs w:val="24"/>
        </w:rPr>
        <w:t xml:space="preserve">(ISCHEMIA Trial Research Group </w:t>
      </w:r>
      <w:r w:rsidR="00B22321" w:rsidRPr="00EC6C19">
        <w:rPr>
          <w:rFonts w:ascii="Times New Roman" w:hAnsi="Times New Roman" w:cs="Times New Roman"/>
          <w:sz w:val="24"/>
          <w:szCs w:val="24"/>
        </w:rPr>
        <w:t>et al.,</w:t>
      </w:r>
      <w:r w:rsidR="009A67D5" w:rsidRPr="00EC6C19">
        <w:rPr>
          <w:rFonts w:ascii="Times New Roman" w:hAnsi="Times New Roman" w:cs="Times New Roman"/>
          <w:sz w:val="24"/>
          <w:szCs w:val="24"/>
        </w:rPr>
        <w:t xml:space="preserve"> 2018)</w:t>
      </w:r>
      <w:r w:rsidR="00106A32" w:rsidRPr="00EC6C19">
        <w:rPr>
          <w:rFonts w:ascii="Times New Roman" w:hAnsi="Times New Roman" w:cs="Times New Roman"/>
          <w:sz w:val="24"/>
          <w:szCs w:val="24"/>
        </w:rPr>
        <w:fldChar w:fldCharType="end"/>
      </w:r>
      <w:r w:rsidR="001E707A" w:rsidRPr="00EC6C19">
        <w:rPr>
          <w:rFonts w:ascii="Times New Roman" w:hAnsi="Times New Roman" w:cs="Times New Roman"/>
          <w:sz w:val="24"/>
          <w:szCs w:val="24"/>
        </w:rPr>
        <w:t xml:space="preserve"> and ORBITA</w:t>
      </w:r>
      <w:r w:rsidR="009A67D5"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9A67D5" w:rsidRPr="00EC6C19">
        <w:rPr>
          <w:rFonts w:ascii="Times New Roman" w:hAnsi="Times New Roman" w:cs="Times New Roman"/>
          <w:sz w:val="24"/>
          <w:szCs w:val="24"/>
        </w:rPr>
        <w:instrText xml:space="preserve"> ADDIN ZOTERO_ITEM CSL_CITATION {"citationID":"e7Ms2E9U","properties":{"formattedCitation":"(Al-Lamee et al., 2018)","plainCitation":"(Al-Lamee et al., 2018)","noteIndex":0},"citationItems":[{"id":400,"uris":["http://zotero.org/users/local/k67tNDdX/items/UPIYJIXA"],"uri":["http://zotero.org/users/local/k67tNDdX/items/UPIYJIXA"],"itemData":{"id":400,"type":"article-journal","abstract":"BACKGROUND: Symptomatic relief is the primary goal of percutaneous coronary intervention (PCI) in stable angina and is commonly observed clinically. However, there is no evidence from blinded, placebo-controlled randomised trials to show its efficacy.\nMETHODS: ORBITA is a blinded, multicentre randomised trial of PCI versus a placebo procedure for angina relief that was done at five study sites in the UK. We enrolled patients with severe (≥70%) single-vessel stenoses. After enrolment, patients received 6 weeks of medication optimisation. Patients then had pre-randomisation assessments with cardiopulmonary exercise testing, symptom questionnaires, and dobutamine stress echocardiography. Patients were randomised 1:1 to undergo PCI or a placebo procedure by use of an automated online randomisation tool. After 6 weeks of follow-up, the assessments done before randomisation were repeated at the final assessment. The primary endpoint was difference in exercise time increment between groups. All analyses were based on the intention-to-treat principle and the study population contained all participants who underwent randomisation. This study is registered with ClinicalTrials.gov, number NCT02062593.\nFINDINGS: ORBITA enrolled 230 patients with ischaemic symptoms. After the medication optimisation phase and between Jan 6, 2014, and Aug 11, 2017, 200 patients underwent randomisation, with 105 patients assigned PCI and 95 assigned the placebo procedure. Lesions had mean area stenosis of 84·4% (SD 10·2), fractional flow reserve of 0·69 (0·16), and instantaneous wave-free ratio of 0·76 (0·22). There was no significant difference in the primary endpoint of exercise time increment between groups (PCI minus placebo 16·6 s, 95% CI -8·9 to 42·0, p=0·200). There were no deaths. Serious adverse events included four pressure-wire related complications in the placebo group, which required PCI, and five major bleeding events, including two in the PCI group and three in the placebo group.\nINTERPRETATION: In patients with medically treated angina and severe coronary stenosis, PCI did not increase exercise time by more than the effect of a placebo procedure. The efficacy of invasive procedures can be assessed with a placebo control, as is standard for pharmacotherapy.\nFUNDING: NIHR Imperial Biomedical Research Centre, Foundation for Circulatory Health, Imperial College Healthcare Charity, Philips Volcano, NIHR Barts Biomedical Research Centre.","container-title":"Lancet (London, England)","DOI":"10.1016/S0140-6736(17)32714-9","ISSN":"1474-547X","issue":"10115","journalAbbreviation":"Lancet","language":"eng","note":"PMID: 29103656","page":"31-40","source":"PubMed","title":"Percutaneous coronary intervention in stable angina (ORBITA): a double-blind, randomised controlled trial","title-short":"Percutaneous coronary intervention in stable angina (ORBITA)","volume":"391","author":[{"family":"Al-Lamee","given":"Rasha"},{"family":"Thompson","given":"David"},{"family":"Dehbi","given":"Hakim-Moulay"},{"family":"Sen","given":"Sayan"},{"family":"Tang","given":"Kare"},{"family":"Davies","given":"John"},{"family":"Keeble","given":"Thomas"},{"family":"Mielewczik","given":"Michael"},{"family":"Kaprielian","given":"Raffi"},{"family":"Malik","given":"Iqbal S."},{"family":"Nijjer","given":"Sukhjinder S."},{"family":"Petraco","given":"Ricardo"},{"family":"Cook","given":"Christopher"},{"family":"Ahmad","given":"Yousif"},{"family":"Howard","given":"James"},{"family":"Baker","given":"Christopher"},{"family":"Sharp","given":"Andrew"},{"family":"Gerber","given":"Robert"},{"family":"Talwar","given":"Suneel"},{"family":"Assomull","given":"Ravi"},{"family":"Mayet","given":"Jamil"},{"family":"Wensel","given":"Roland"},{"family":"Collier","given":"David"},{"family":"Shun-Shin","given":"Matthew"},{"family":"Thom","given":"Simon A."},{"family":"Davies","given":"Justin E."},{"family":"Francis","given":"Darrel P."},{"literal":"ORBITA investigators"}],"issued":{"date-parts":[["2018"]],"season":"06"}}}],"schema":"https://github.com/citation-style-language/schema/raw/master/csl-citation.json"} </w:instrText>
      </w:r>
      <w:r w:rsidR="00106A32" w:rsidRPr="00EC6C19">
        <w:rPr>
          <w:rFonts w:ascii="Times New Roman" w:hAnsi="Times New Roman" w:cs="Times New Roman"/>
          <w:sz w:val="24"/>
          <w:szCs w:val="24"/>
        </w:rPr>
        <w:fldChar w:fldCharType="separate"/>
      </w:r>
      <w:r w:rsidR="009A67D5" w:rsidRPr="00EC6C19">
        <w:rPr>
          <w:rFonts w:ascii="Times New Roman" w:hAnsi="Times New Roman" w:cs="Times New Roman"/>
          <w:sz w:val="24"/>
          <w:szCs w:val="24"/>
        </w:rPr>
        <w:t xml:space="preserve">(Al-Lamee </w:t>
      </w:r>
      <w:r w:rsidR="00B22321" w:rsidRPr="00EC6C19">
        <w:rPr>
          <w:rFonts w:ascii="Times New Roman" w:hAnsi="Times New Roman" w:cs="Times New Roman"/>
          <w:sz w:val="24"/>
          <w:szCs w:val="24"/>
        </w:rPr>
        <w:t>et al.,</w:t>
      </w:r>
      <w:r w:rsidR="009A67D5" w:rsidRPr="00EC6C19">
        <w:rPr>
          <w:rFonts w:ascii="Times New Roman" w:hAnsi="Times New Roman" w:cs="Times New Roman"/>
          <w:sz w:val="24"/>
          <w:szCs w:val="24"/>
        </w:rPr>
        <w:t xml:space="preserve"> 2018)</w:t>
      </w:r>
      <w:r w:rsidR="00106A32" w:rsidRPr="00EC6C19">
        <w:rPr>
          <w:rFonts w:ascii="Times New Roman" w:hAnsi="Times New Roman" w:cs="Times New Roman"/>
          <w:sz w:val="24"/>
          <w:szCs w:val="24"/>
        </w:rPr>
        <w:fldChar w:fldCharType="end"/>
      </w:r>
      <w:r w:rsidR="009A67D5" w:rsidRPr="00EC6C19">
        <w:rPr>
          <w:rFonts w:ascii="Times New Roman" w:hAnsi="Times New Roman" w:cs="Times New Roman"/>
          <w:sz w:val="24"/>
          <w:szCs w:val="24"/>
        </w:rPr>
        <w:t xml:space="preserve"> suggest</w:t>
      </w:r>
      <w:r w:rsidR="009E6098" w:rsidRPr="00EC6C19">
        <w:rPr>
          <w:rFonts w:ascii="Times New Roman" w:hAnsi="Times New Roman" w:cs="Times New Roman"/>
          <w:sz w:val="24"/>
          <w:szCs w:val="24"/>
        </w:rPr>
        <w:t xml:space="preserve"> no significant difference in</w:t>
      </w:r>
      <w:r w:rsidR="009A67D5" w:rsidRPr="00EC6C19">
        <w:rPr>
          <w:rFonts w:ascii="Times New Roman" w:hAnsi="Times New Roman" w:cs="Times New Roman"/>
          <w:sz w:val="24"/>
          <w:szCs w:val="24"/>
        </w:rPr>
        <w:t xml:space="preserve"> </w:t>
      </w:r>
      <w:r w:rsidR="009E6098" w:rsidRPr="00EC6C19">
        <w:rPr>
          <w:rFonts w:ascii="Times New Roman" w:hAnsi="Times New Roman" w:cs="Times New Roman"/>
          <w:sz w:val="24"/>
          <w:szCs w:val="24"/>
        </w:rPr>
        <w:t xml:space="preserve">optimal medical therapy plus </w:t>
      </w:r>
      <w:r w:rsidR="009A67D5" w:rsidRPr="00EC6C19">
        <w:rPr>
          <w:rFonts w:ascii="Times New Roman" w:hAnsi="Times New Roman" w:cs="Times New Roman"/>
          <w:sz w:val="24"/>
          <w:szCs w:val="24"/>
        </w:rPr>
        <w:t>invasi</w:t>
      </w:r>
      <w:r w:rsidR="009E6098" w:rsidRPr="00EC6C19">
        <w:rPr>
          <w:rFonts w:ascii="Times New Roman" w:hAnsi="Times New Roman" w:cs="Times New Roman"/>
          <w:sz w:val="24"/>
          <w:szCs w:val="24"/>
        </w:rPr>
        <w:t>ve treatment for</w:t>
      </w:r>
      <w:r w:rsidR="00AD4011" w:rsidRPr="00EC6C19">
        <w:rPr>
          <w:rFonts w:ascii="Times New Roman" w:hAnsi="Times New Roman" w:cs="Times New Roman"/>
          <w:sz w:val="24"/>
          <w:szCs w:val="24"/>
        </w:rPr>
        <w:t xml:space="preserve"> proven</w:t>
      </w:r>
      <w:r w:rsidR="009E6098" w:rsidRPr="00EC6C19">
        <w:rPr>
          <w:rFonts w:ascii="Times New Roman" w:hAnsi="Times New Roman" w:cs="Times New Roman"/>
          <w:sz w:val="24"/>
          <w:szCs w:val="24"/>
        </w:rPr>
        <w:t xml:space="preserve"> ischaemia or </w:t>
      </w:r>
      <w:r w:rsidR="00AD4011" w:rsidRPr="00EC6C19">
        <w:rPr>
          <w:rFonts w:ascii="Times New Roman" w:hAnsi="Times New Roman" w:cs="Times New Roman"/>
          <w:sz w:val="24"/>
          <w:szCs w:val="24"/>
        </w:rPr>
        <w:t xml:space="preserve">angina </w:t>
      </w:r>
      <w:r w:rsidR="009E6098" w:rsidRPr="00EC6C19">
        <w:rPr>
          <w:rFonts w:ascii="Times New Roman" w:hAnsi="Times New Roman" w:cs="Times New Roman"/>
          <w:sz w:val="24"/>
          <w:szCs w:val="24"/>
        </w:rPr>
        <w:t xml:space="preserve">symptoms over </w:t>
      </w:r>
      <w:r w:rsidR="009A67D5" w:rsidRPr="00EC6C19">
        <w:rPr>
          <w:rFonts w:ascii="Times New Roman" w:hAnsi="Times New Roman" w:cs="Times New Roman"/>
          <w:sz w:val="24"/>
          <w:szCs w:val="24"/>
        </w:rPr>
        <w:t>optimal medical therapy</w:t>
      </w:r>
      <w:r w:rsidR="009E6098" w:rsidRPr="00EC6C19">
        <w:rPr>
          <w:rFonts w:ascii="Times New Roman" w:hAnsi="Times New Roman" w:cs="Times New Roman"/>
          <w:sz w:val="24"/>
          <w:szCs w:val="24"/>
        </w:rPr>
        <w:t xml:space="preserve"> alone</w:t>
      </w:r>
      <w:r w:rsidR="009A67D5" w:rsidRPr="00EC6C19">
        <w:rPr>
          <w:rFonts w:ascii="Times New Roman" w:hAnsi="Times New Roman" w:cs="Times New Roman"/>
          <w:sz w:val="24"/>
          <w:szCs w:val="24"/>
        </w:rPr>
        <w:t>.</w:t>
      </w:r>
      <w:r w:rsidR="00AD4011" w:rsidRPr="00EC6C19">
        <w:rPr>
          <w:rFonts w:ascii="Times New Roman" w:hAnsi="Times New Roman" w:cs="Times New Roman"/>
          <w:sz w:val="24"/>
          <w:szCs w:val="24"/>
        </w:rPr>
        <w:t xml:space="preserve"> This is still not widely accepted, as earlier trials outlined below demonstrate benefit.</w:t>
      </w:r>
      <w:r w:rsidR="00B16605" w:rsidRPr="00EC6C19">
        <w:rPr>
          <w:rFonts w:ascii="Times New Roman" w:hAnsi="Times New Roman" w:cs="Times New Roman"/>
          <w:sz w:val="24"/>
          <w:szCs w:val="24"/>
        </w:rPr>
        <w:t xml:space="preserve"> Treatment is tailored to the individual, taking into account multiple factors.</w:t>
      </w:r>
      <w:r w:rsidRPr="00EC6C19">
        <w:rPr>
          <w:rFonts w:ascii="Times New Roman" w:hAnsi="Times New Roman" w:cs="Times New Roman"/>
          <w:sz w:val="24"/>
          <w:szCs w:val="24"/>
        </w:rPr>
        <w:t xml:space="preserve"> </w:t>
      </w:r>
      <w:r w:rsidR="00AD4011" w:rsidRPr="00EC6C19">
        <w:rPr>
          <w:rFonts w:ascii="Times New Roman" w:hAnsi="Times New Roman" w:cs="Times New Roman"/>
          <w:sz w:val="24"/>
          <w:szCs w:val="24"/>
        </w:rPr>
        <w:t>To complicate matters further</w:t>
      </w:r>
      <w:r w:rsidRPr="00EC6C19">
        <w:rPr>
          <w:rFonts w:ascii="Times New Roman" w:hAnsi="Times New Roman" w:cs="Times New Roman"/>
          <w:sz w:val="24"/>
          <w:szCs w:val="24"/>
        </w:rPr>
        <w:t>, there are multiple modalities of ischaemia assessment (invasive and non-invasive)</w:t>
      </w:r>
      <w:r w:rsidR="00B16605" w:rsidRPr="00EC6C19">
        <w:rPr>
          <w:rFonts w:ascii="Times New Roman" w:hAnsi="Times New Roman" w:cs="Times New Roman"/>
          <w:sz w:val="24"/>
          <w:szCs w:val="24"/>
        </w:rPr>
        <w:t>.</w:t>
      </w:r>
    </w:p>
    <w:p w14:paraId="6BE632A3" w14:textId="77777777" w:rsidR="00D4156F" w:rsidRPr="00EC6C19" w:rsidRDefault="00D4156F" w:rsidP="00B73F7E">
      <w:pPr>
        <w:spacing w:line="360" w:lineRule="auto"/>
        <w:rPr>
          <w:rFonts w:ascii="Times New Roman" w:hAnsi="Times New Roman" w:cs="Times New Roman"/>
          <w:sz w:val="24"/>
          <w:szCs w:val="24"/>
        </w:rPr>
      </w:pPr>
    </w:p>
    <w:p w14:paraId="79319338" w14:textId="77777777" w:rsidR="009E6098" w:rsidRPr="00A00967" w:rsidRDefault="00C54823" w:rsidP="00A00967">
      <w:pPr>
        <w:pStyle w:val="Heading2"/>
        <w:rPr>
          <w:rFonts w:ascii="Times New Roman" w:hAnsi="Times New Roman" w:cs="Times New Roman"/>
          <w:color w:val="auto"/>
          <w:sz w:val="24"/>
          <w:szCs w:val="24"/>
        </w:rPr>
      </w:pPr>
      <w:bookmarkStart w:id="28" w:name="_Toc80302170"/>
      <w:r>
        <w:rPr>
          <w:rFonts w:ascii="Times New Roman" w:hAnsi="Times New Roman" w:cs="Times New Roman"/>
          <w:color w:val="auto"/>
          <w:sz w:val="24"/>
          <w:szCs w:val="24"/>
        </w:rPr>
        <w:t xml:space="preserve">1.7 - </w:t>
      </w:r>
      <w:r w:rsidR="009E6098" w:rsidRPr="00A00967">
        <w:rPr>
          <w:rFonts w:ascii="Times New Roman" w:hAnsi="Times New Roman" w:cs="Times New Roman"/>
          <w:color w:val="auto"/>
          <w:sz w:val="24"/>
          <w:szCs w:val="24"/>
        </w:rPr>
        <w:t>Non-Invasive Ischaemia Assessment</w:t>
      </w:r>
      <w:bookmarkEnd w:id="28"/>
    </w:p>
    <w:p w14:paraId="7DE9BCDB" w14:textId="77777777" w:rsidR="00A00967" w:rsidRPr="00A00967" w:rsidRDefault="00A00967" w:rsidP="00A00967"/>
    <w:p w14:paraId="0AFF24F5" w14:textId="77777777" w:rsidR="009E6098" w:rsidRPr="00EC6C19" w:rsidRDefault="009E6098" w:rsidP="00B73F7E">
      <w:pPr>
        <w:spacing w:line="360" w:lineRule="auto"/>
        <w:rPr>
          <w:rFonts w:ascii="Times New Roman" w:hAnsi="Times New Roman" w:cs="Times New Roman"/>
          <w:b/>
          <w:sz w:val="24"/>
          <w:szCs w:val="24"/>
        </w:rPr>
      </w:pPr>
    </w:p>
    <w:p w14:paraId="7939872B" w14:textId="5CF9D1E7" w:rsidR="006E35B1" w:rsidRPr="00EC6C19" w:rsidRDefault="006E35B1" w:rsidP="00B73F7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Although not the focus of this research, </w:t>
      </w:r>
      <w:r w:rsidR="000A0B01" w:rsidRPr="00EC6C19">
        <w:rPr>
          <w:rFonts w:ascii="Times New Roman" w:hAnsi="Times New Roman" w:cs="Times New Roman"/>
          <w:sz w:val="24"/>
          <w:szCs w:val="24"/>
        </w:rPr>
        <w:t>non</w:t>
      </w:r>
      <w:r w:rsidR="000A0B01">
        <w:rPr>
          <w:rFonts w:ascii="Times New Roman" w:hAnsi="Times New Roman" w:cs="Times New Roman"/>
          <w:sz w:val="24"/>
          <w:szCs w:val="24"/>
        </w:rPr>
        <w:t>-</w:t>
      </w:r>
      <w:r w:rsidRPr="00EC6C19">
        <w:rPr>
          <w:rFonts w:ascii="Times New Roman" w:hAnsi="Times New Roman" w:cs="Times New Roman"/>
          <w:sz w:val="24"/>
          <w:szCs w:val="24"/>
        </w:rPr>
        <w:t>invasive ischaemia tests are clinically relevant. These tests should not be affected by hydrostatic effect</w:t>
      </w:r>
      <w:r w:rsidR="00AD4011" w:rsidRPr="00EC6C19">
        <w:rPr>
          <w:rFonts w:ascii="Times New Roman" w:hAnsi="Times New Roman" w:cs="Times New Roman"/>
          <w:sz w:val="24"/>
          <w:szCs w:val="24"/>
        </w:rPr>
        <w:t xml:space="preserve"> as they do assess stenosis within a closed fluid system</w:t>
      </w:r>
      <w:r w:rsidRPr="00EC6C19">
        <w:rPr>
          <w:rFonts w:ascii="Times New Roman" w:hAnsi="Times New Roman" w:cs="Times New Roman"/>
          <w:sz w:val="24"/>
          <w:szCs w:val="24"/>
        </w:rPr>
        <w:t xml:space="preserve">. This has important implications if hydrostatic effect is found to be a true confounding factor during this research, as such tests may be a viable alternative. </w:t>
      </w:r>
    </w:p>
    <w:p w14:paraId="2F03775B" w14:textId="68BA5329" w:rsidR="009E6098" w:rsidRPr="00EC6C19" w:rsidRDefault="006E35B1" w:rsidP="00B73F7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In the United Kingdom, </w:t>
      </w:r>
      <w:r w:rsidR="000A0B01" w:rsidRPr="00EC6C19">
        <w:rPr>
          <w:rFonts w:ascii="Times New Roman" w:hAnsi="Times New Roman" w:cs="Times New Roman"/>
          <w:sz w:val="24"/>
          <w:szCs w:val="24"/>
        </w:rPr>
        <w:t>non</w:t>
      </w:r>
      <w:r w:rsidR="000A0B01">
        <w:rPr>
          <w:rFonts w:ascii="Times New Roman" w:hAnsi="Times New Roman" w:cs="Times New Roman"/>
          <w:sz w:val="24"/>
          <w:szCs w:val="24"/>
        </w:rPr>
        <w:t>-</w:t>
      </w:r>
      <w:r w:rsidRPr="00EC6C19">
        <w:rPr>
          <w:rFonts w:ascii="Times New Roman" w:hAnsi="Times New Roman" w:cs="Times New Roman"/>
          <w:sz w:val="24"/>
          <w:szCs w:val="24"/>
        </w:rPr>
        <w:t>invasive ischaemia assessment is still widely used. Exercise treadmill ECG</w:t>
      </w:r>
      <w:r w:rsidR="00912A2A">
        <w:rPr>
          <w:rFonts w:ascii="Times New Roman" w:hAnsi="Times New Roman" w:cs="Times New Roman"/>
          <w:sz w:val="24"/>
          <w:szCs w:val="24"/>
        </w:rPr>
        <w:t xml:space="preserve"> was widely used but has largely</w:t>
      </w:r>
      <w:r w:rsidR="00AD4011" w:rsidRPr="00EC6C19">
        <w:rPr>
          <w:rFonts w:ascii="Times New Roman" w:hAnsi="Times New Roman" w:cs="Times New Roman"/>
          <w:sz w:val="24"/>
          <w:szCs w:val="24"/>
        </w:rPr>
        <w:t xml:space="preserve"> been phased out</w:t>
      </w:r>
      <w:r w:rsidRPr="00EC6C19">
        <w:rPr>
          <w:rFonts w:ascii="Times New Roman" w:hAnsi="Times New Roman" w:cs="Times New Roman"/>
          <w:sz w:val="24"/>
          <w:szCs w:val="24"/>
        </w:rPr>
        <w:t xml:space="preserve">. </w:t>
      </w:r>
      <w:r w:rsidR="00705793" w:rsidRPr="00EC6C19">
        <w:rPr>
          <w:rFonts w:ascii="Times New Roman" w:hAnsi="Times New Roman" w:cs="Times New Roman"/>
          <w:sz w:val="24"/>
          <w:szCs w:val="24"/>
        </w:rPr>
        <w:t>In recent times</w:t>
      </w:r>
      <w:r w:rsidRPr="00EC6C19">
        <w:rPr>
          <w:rFonts w:ascii="Times New Roman" w:hAnsi="Times New Roman" w:cs="Times New Roman"/>
          <w:sz w:val="24"/>
          <w:szCs w:val="24"/>
        </w:rPr>
        <w:t xml:space="preserve">, stress echocardiography, myocardial perfusion </w:t>
      </w:r>
      <w:r w:rsidR="000A0B01" w:rsidRPr="00EC6C19">
        <w:rPr>
          <w:rFonts w:ascii="Times New Roman" w:hAnsi="Times New Roman" w:cs="Times New Roman"/>
          <w:sz w:val="24"/>
          <w:szCs w:val="24"/>
        </w:rPr>
        <w:t>scanning,</w:t>
      </w:r>
      <w:r w:rsidRPr="00EC6C19">
        <w:rPr>
          <w:rFonts w:ascii="Times New Roman" w:hAnsi="Times New Roman" w:cs="Times New Roman"/>
          <w:sz w:val="24"/>
          <w:szCs w:val="24"/>
        </w:rPr>
        <w:t xml:space="preserve"> and stress cardiac MRI (CMR) have gained popularity.</w:t>
      </w:r>
      <w:r w:rsidR="00705793" w:rsidRPr="00EC6C19">
        <w:rPr>
          <w:rFonts w:ascii="Times New Roman" w:hAnsi="Times New Roman" w:cs="Times New Roman"/>
          <w:sz w:val="24"/>
          <w:szCs w:val="24"/>
        </w:rPr>
        <w:t xml:space="preserve"> A negative test</w:t>
      </w:r>
      <w:r w:rsidR="00380849" w:rsidRPr="00EC6C19">
        <w:rPr>
          <w:rFonts w:ascii="Times New Roman" w:hAnsi="Times New Roman" w:cs="Times New Roman"/>
          <w:sz w:val="24"/>
          <w:szCs w:val="24"/>
        </w:rPr>
        <w:t xml:space="preserve"> for either of these modalities is a good prognostic indicator of future cardiac events </w:t>
      </w:r>
      <w:r w:rsidR="00106A32" w:rsidRPr="00EC6C19">
        <w:rPr>
          <w:rFonts w:ascii="Times New Roman" w:hAnsi="Times New Roman" w:cs="Times New Roman"/>
          <w:sz w:val="24"/>
          <w:szCs w:val="24"/>
        </w:rPr>
        <w:fldChar w:fldCharType="begin"/>
      </w:r>
      <w:r w:rsidR="00380849" w:rsidRPr="00EC6C19">
        <w:rPr>
          <w:rFonts w:ascii="Times New Roman" w:hAnsi="Times New Roman" w:cs="Times New Roman"/>
          <w:sz w:val="24"/>
          <w:szCs w:val="24"/>
        </w:rPr>
        <w:instrText xml:space="preserve"> ADDIN ZOTERO_ITEM CSL_CITATION {"citationID":"cTxyrpoi","properties":{"formattedCitation":"(Smulders et al., 2017)","plainCitation":"(Smulders et al., 2017)","noteIndex":0},"citationItems":[{"id":829,"uris":["http://zotero.org/users/local/k67tNDdX/items/89J2IKMR"],"uri":["http://zotero.org/users/local/k67tNDdX/items/89J2IKMR"],"itemData":{"id":829,"type":"article-journal","abstract":"Aims: To compare the prognostic value of negative non-invasive cardiac investigations (coronary computed tomographic angiography [CCTA], cardiovascular magnetic resonance [CMR], exercise electrocardiographic testing [EET], positron emission tomography [PET], stress-echocardiography [SE], and single-photon emission tomography [SPECT]) in patients with suspected or known coronary artery disease (CAD) and to explore the effect of adjustment for population event risk and presence of CAD.\nMethods and results: MEDLINE/PubMed database, EMBASE and Cochrane Library were searched from January-1990 to April-2015 for studies reporting annual event rates (AER) of myocardial infarction (MI) and cardiac death. Pooled estimates of AERs were calculated using a DerSimonian and Laird random-effects model. Multivariable linear meta-regression analysis was performed to compare the AER after a negative test result between modalities and to adjust for population event risk and proportion of patients with CAD. In 165 studies (122,721 patients), pooled AERs after negative test results differed significantly between modalities ranging from 0.32% for CCTA to 1.66% for SE, P &lt; 0.001. However, the AER after a negative test result was positively correlated (r = 0.726, P &lt; 0.001) with population event risk. Adjusting for population event risk and proportion of patients with CAD resulted in more similar event rates after a negative test result.\nConclusion: This meta-analysis is the first study comparing the prognostic value of all available non-invasive cardiac investigations. Outcome differences between modalities after a negative test result are profoundly influenced by large variations in population event risk and a negative test result for all modalities conveys an excellent prognosis for patients with suspected or known CAD.","container-title":"European Heart Journal Cardiovascular Imaging","DOI":"10.1093/ehjci/jex014","ISSN":"2047-2412","issue":"9","journalAbbreviation":"Eur Heart J Cardiovasc Imaging","language":"eng","note":"PMID: 28329376","page":"980-987","source":"PubMed","title":"Comparison of the prognostic value of negative non-invasive cardiac investigations in patients with suspected or known coronary artery disease-a meta-analysis","volume":"18","author":[{"family":"Smulders","given":"Martijn W."},{"family":"Jaarsma","given":"Caroline"},{"family":"Nelemans","given":"Patricia J."},{"family":"Bekkers","given":"Sebastiaan C. A. M."},{"family":"Bucerius","given":"Jan"},{"family":"Leiner","given":"Tim"},{"family":"Crijns","given":"Harry J. G. M."},{"family":"Wildberger","given":"Joachim E."},{"family":"Schalla","given":"Simon"}],"issued":{"date-parts":[["2017",9,1]]}}}],"schema":"https://github.com/citation-style-language/schema/raw/master/csl-citation.json"} </w:instrText>
      </w:r>
      <w:r w:rsidR="00106A32" w:rsidRPr="00EC6C19">
        <w:rPr>
          <w:rFonts w:ascii="Times New Roman" w:hAnsi="Times New Roman" w:cs="Times New Roman"/>
          <w:sz w:val="24"/>
          <w:szCs w:val="24"/>
        </w:rPr>
        <w:fldChar w:fldCharType="separate"/>
      </w:r>
      <w:r w:rsidR="00380849" w:rsidRPr="00EC6C19">
        <w:rPr>
          <w:rFonts w:ascii="Times New Roman" w:hAnsi="Times New Roman" w:cs="Times New Roman"/>
          <w:sz w:val="24"/>
          <w:szCs w:val="24"/>
        </w:rPr>
        <w:t>(Smulders et al., 2017)</w:t>
      </w:r>
      <w:r w:rsidR="00106A32" w:rsidRPr="00EC6C19">
        <w:rPr>
          <w:rFonts w:ascii="Times New Roman" w:hAnsi="Times New Roman" w:cs="Times New Roman"/>
          <w:sz w:val="24"/>
          <w:szCs w:val="24"/>
        </w:rPr>
        <w:fldChar w:fldCharType="end"/>
      </w:r>
      <w:r w:rsidR="00380849" w:rsidRPr="00EC6C19">
        <w:rPr>
          <w:rFonts w:ascii="Times New Roman" w:hAnsi="Times New Roman" w:cs="Times New Roman"/>
          <w:sz w:val="24"/>
          <w:szCs w:val="24"/>
        </w:rPr>
        <w:t xml:space="preserve"> whilst being extremely safe.</w:t>
      </w:r>
    </w:p>
    <w:p w14:paraId="3306A5EA" w14:textId="4F152FEC" w:rsidR="00380849" w:rsidRDefault="00380849" w:rsidP="00B73F7E">
      <w:pPr>
        <w:spacing w:line="360" w:lineRule="auto"/>
        <w:rPr>
          <w:rFonts w:ascii="Times New Roman" w:hAnsi="Times New Roman" w:cs="Times New Roman"/>
          <w:sz w:val="24"/>
          <w:szCs w:val="24"/>
        </w:rPr>
      </w:pPr>
      <w:r w:rsidRPr="00EC6C19">
        <w:rPr>
          <w:rFonts w:ascii="Times New Roman" w:hAnsi="Times New Roman" w:cs="Times New Roman"/>
          <w:sz w:val="24"/>
          <w:szCs w:val="24"/>
        </w:rPr>
        <w:t>The above modalities look for ischaemia during cardiac stress. CT coronary angiography</w:t>
      </w:r>
      <w:r w:rsidR="00AD4011" w:rsidRPr="00EC6C19">
        <w:rPr>
          <w:rFonts w:ascii="Times New Roman" w:hAnsi="Times New Roman" w:cs="Times New Roman"/>
          <w:sz w:val="24"/>
          <w:szCs w:val="24"/>
        </w:rPr>
        <w:t xml:space="preserve"> (CTCA)</w:t>
      </w:r>
      <w:r w:rsidRPr="00EC6C19">
        <w:rPr>
          <w:rFonts w:ascii="Times New Roman" w:hAnsi="Times New Roman" w:cs="Times New Roman"/>
          <w:sz w:val="24"/>
          <w:szCs w:val="24"/>
        </w:rPr>
        <w:t xml:space="preserve"> is a </w:t>
      </w:r>
      <w:r w:rsidR="000A0B01" w:rsidRPr="00EC6C19">
        <w:rPr>
          <w:rFonts w:ascii="Times New Roman" w:hAnsi="Times New Roman" w:cs="Times New Roman"/>
          <w:sz w:val="24"/>
          <w:szCs w:val="24"/>
        </w:rPr>
        <w:t>well</w:t>
      </w:r>
      <w:r w:rsidR="000A0B01">
        <w:rPr>
          <w:rFonts w:ascii="Times New Roman" w:hAnsi="Times New Roman" w:cs="Times New Roman"/>
          <w:sz w:val="24"/>
          <w:szCs w:val="24"/>
        </w:rPr>
        <w:t>-</w:t>
      </w:r>
      <w:r w:rsidRPr="00EC6C19">
        <w:rPr>
          <w:rFonts w:ascii="Times New Roman" w:hAnsi="Times New Roman" w:cs="Times New Roman"/>
          <w:sz w:val="24"/>
          <w:szCs w:val="24"/>
        </w:rPr>
        <w:t>known imaging modality that provides anatomical data</w:t>
      </w:r>
      <w:r w:rsidR="00912A2A">
        <w:rPr>
          <w:rFonts w:ascii="Times New Roman" w:hAnsi="Times New Roman" w:cs="Times New Roman"/>
          <w:sz w:val="24"/>
          <w:szCs w:val="24"/>
        </w:rPr>
        <w:t xml:space="preserve"> instead</w:t>
      </w:r>
      <w:r w:rsidRPr="00EC6C19">
        <w:rPr>
          <w:rFonts w:ascii="Times New Roman" w:hAnsi="Times New Roman" w:cs="Times New Roman"/>
          <w:sz w:val="24"/>
          <w:szCs w:val="24"/>
        </w:rPr>
        <w:t>.</w:t>
      </w:r>
      <w:r w:rsidR="001B2FD7" w:rsidRPr="00EC6C19">
        <w:rPr>
          <w:rFonts w:ascii="Times New Roman" w:hAnsi="Times New Roman" w:cs="Times New Roman"/>
          <w:sz w:val="24"/>
          <w:szCs w:val="24"/>
        </w:rPr>
        <w:t xml:space="preserve"> It has a strong negative predictive value of 97-99%</w:t>
      </w:r>
      <w:r w:rsidR="00EA2430"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{"citationID":"JN5klHUN","properties":{"formattedCitation":"(Budoff et al., 2008)","plainCitation":"(Budoff et al., 2008)","noteIndex":0},"citationItems":[{"id":"Vqvua3Kd/sZHxIqET","uris":["http://zotero.org/users/local/k67tNDdX/items/VSA3A7C6"],"uri":["http://zotero.org/users/local/k67tNDdX/items/VSA3A7C6"],"itemData":{"id":589,"type":"article-journal","abstract":"Objectives\nThe purpose of this study was to evaluate the diagnostic accuracy of electrocardiographically gated 64-multidetector row coronary computed tomographic angiography (CCTA) in individuals without known coronary artery disease (CAD).\nBackground\nCCTA is a promising method for detection and exclusion of obstructive coronary artery stenosis. To date, no prospective multicenter trial has evaluated the diagnostic accuracy of 64-multidetector row CCTA in populations with intermediate prevalence of CAD.\nMethods\nWe prospectively evaluated subjects with chest pain at 16 sites who were clinically referred for invasive coronary angiography (ICA). CCTAs were scored by consensus of 3 independent blinded readers. The ICAs were evaluated for coronary stenosis based on quantitative coronary angiography (QCA). No subjects were excluded for baseline coronary artery calcium score or body mass index.\nResults\nA total of 230 subjects underwent both CCTA and ICA (59.1% male; mean age: 57 ± 10 years). On a patient-based model, the sensitivity, specificity, and positive and negative predictive values to detect ≥50% or ≥70% stenosis were 95%, 83%, 64%, and 99%, respectively, and 94%, 83%, 48%, 99%, respectively. No differences in sensitivity and specificity were noted for nonobese compared with obese subjects or for heart rates ≤65 beats/min compared with &gt;65 beats/min, whereas calcium scores &gt;400 reduced specificity significantly.\nConclusions\nIn this prospective multicenter trial of chest pain patients without known CAD, 64-multidetector row CCTA possesses high diagnostic accuracy for detection of obstructive coronary stenosis at both thresholds of 50% and 70% stenosis. Importantly, the 99% negative predictive value at the patient and vessel level establishes CCTA as an effective noninvasive alternative to ICA to rule out obstructive coronary artery stenosis. (A Study of Computed Tomography [CT] for Evaluation of Coronary Artery Blockages in Typical or Atypical Chest Pain; NCT00348569)","container-title":"Journal of the American College of Cardiology","DOI":"10.1016/j.jacc.2008.07.031","ISSN":"0735-1097","issue":"21","journalAbbreviation":"Journal of the American College of Cardiology","page":"1724-1732","source":"ScienceDirect","title":"Diagnostic Performance of 64-Multidetector Row Coronary Computed Tomographic Angiography for Evaluation of Coronary Artery Stenosis in Individuals Without Known Coronary Artery Disease: Results From the Prospective Multicenter ACCURACY (Assessment by Coronary Computed Tomographic Angiography of Individuals Undergoing Invasive Coronary Angiography) Trial","title-short":"Diagnostic Performance of 64-Multidetector Row Coronary Computed Tomographic Angiography for Evaluation of Coronary Artery Stenosis in Individuals Without Known Coronary Artery Disease","volume":"52","author":[{"family":"Budoff","given":"Matthew J."},{"family":"Dowe","given":"David"},{"family":"Jollis","given":"James G."},{"family":"Gitter","given":"Michael"},{"family":"Sutherland","given":"John"},{"family":"Halamert","given":"Edward"},{"family":"Scherer","given":"Markus"},{"family":"Bellinger","given":"Raye"},{"family":"Martin","given":"Arthur"},{"family":"Benton","given":"Robert"},{"family":"Delago","given":"Augustin"},{"family":"Min","given":"James K."}],"issued":{"date-parts":[["2008",11,18]]}}}],"schema":"https://github.com/citation-style-language/schema/raw/master/csl-citation.json"} </w:instrText>
      </w:r>
      <w:r w:rsidR="00106A32" w:rsidRPr="00EC6C19">
        <w:rPr>
          <w:rFonts w:ascii="Times New Roman" w:hAnsi="Times New Roman" w:cs="Times New Roman"/>
          <w:sz w:val="24"/>
          <w:szCs w:val="24"/>
        </w:rPr>
        <w:fldChar w:fldCharType="separate"/>
      </w:r>
      <w:r w:rsidR="00EA2430" w:rsidRPr="00EC6C19">
        <w:rPr>
          <w:rFonts w:ascii="Times New Roman" w:hAnsi="Times New Roman" w:cs="Times New Roman"/>
          <w:sz w:val="24"/>
          <w:szCs w:val="24"/>
        </w:rPr>
        <w:t>(Budoff et al., 2008)</w:t>
      </w:r>
      <w:r w:rsidR="00106A32" w:rsidRPr="00EC6C19">
        <w:rPr>
          <w:rFonts w:ascii="Times New Roman" w:hAnsi="Times New Roman" w:cs="Times New Roman"/>
          <w:sz w:val="24"/>
          <w:szCs w:val="24"/>
        </w:rPr>
        <w:fldChar w:fldCharType="end"/>
      </w:r>
      <w:r w:rsidR="001B2FD7" w:rsidRPr="00EC6C19">
        <w:rPr>
          <w:rFonts w:ascii="Times New Roman" w:hAnsi="Times New Roman" w:cs="Times New Roman"/>
          <w:sz w:val="24"/>
          <w:szCs w:val="24"/>
        </w:rPr>
        <w:t>.</w:t>
      </w:r>
      <w:r w:rsidRPr="00EC6C19">
        <w:rPr>
          <w:rFonts w:ascii="Times New Roman" w:hAnsi="Times New Roman" w:cs="Times New Roman"/>
          <w:sz w:val="24"/>
          <w:szCs w:val="24"/>
        </w:rPr>
        <w:t xml:space="preserve"> </w:t>
      </w:r>
      <w:r w:rsidR="00AD4011" w:rsidRPr="00EC6C19">
        <w:rPr>
          <w:rFonts w:ascii="Times New Roman" w:hAnsi="Times New Roman" w:cs="Times New Roman"/>
          <w:sz w:val="24"/>
          <w:szCs w:val="24"/>
        </w:rPr>
        <w:t xml:space="preserve">Although CTCA is not strictly an </w:t>
      </w:r>
      <w:r w:rsidR="00AD4011" w:rsidRPr="00EC6C19">
        <w:rPr>
          <w:rFonts w:ascii="Times New Roman" w:hAnsi="Times New Roman" w:cs="Times New Roman"/>
          <w:sz w:val="24"/>
          <w:szCs w:val="24"/>
        </w:rPr>
        <w:lastRenderedPageBreak/>
        <w:t>ischaemia test,</w:t>
      </w:r>
      <w:r w:rsidRPr="00EC6C19">
        <w:rPr>
          <w:rFonts w:ascii="Times New Roman" w:hAnsi="Times New Roman" w:cs="Times New Roman"/>
          <w:sz w:val="24"/>
          <w:szCs w:val="24"/>
        </w:rPr>
        <w:t xml:space="preserve"> algorithms have been</w:t>
      </w:r>
      <w:r w:rsidR="00AD4011" w:rsidRPr="00EC6C19">
        <w:rPr>
          <w:rFonts w:ascii="Times New Roman" w:hAnsi="Times New Roman" w:cs="Times New Roman"/>
          <w:sz w:val="24"/>
          <w:szCs w:val="24"/>
        </w:rPr>
        <w:t xml:space="preserve"> recently implemented to use the anatomical images CT provides to produce</w:t>
      </w:r>
      <w:r w:rsidR="00BC1915" w:rsidRPr="00EC6C19">
        <w:rPr>
          <w:rFonts w:ascii="Times New Roman" w:hAnsi="Times New Roman" w:cs="Times New Roman"/>
          <w:sz w:val="24"/>
          <w:szCs w:val="24"/>
        </w:rPr>
        <w:t xml:space="preserve"> a measure of ischaemia</w:t>
      </w:r>
      <w:r w:rsidR="001B2FD7" w:rsidRPr="00EC6C19">
        <w:rPr>
          <w:rFonts w:ascii="Times New Roman" w:hAnsi="Times New Roman" w:cs="Times New Roman"/>
          <w:sz w:val="24"/>
          <w:szCs w:val="24"/>
        </w:rPr>
        <w:t xml:space="preserve"> non-invasively</w:t>
      </w:r>
      <w:r w:rsidR="00BC1915" w:rsidRPr="00EC6C19">
        <w:rPr>
          <w:rFonts w:ascii="Times New Roman" w:hAnsi="Times New Roman" w:cs="Times New Roman"/>
          <w:sz w:val="24"/>
          <w:szCs w:val="24"/>
        </w:rPr>
        <w:t>,</w:t>
      </w:r>
      <w:r w:rsidRPr="00EC6C19">
        <w:rPr>
          <w:rFonts w:ascii="Times New Roman" w:hAnsi="Times New Roman" w:cs="Times New Roman"/>
          <w:sz w:val="24"/>
          <w:szCs w:val="24"/>
        </w:rPr>
        <w:t xml:space="preserve"> known as CT FFR.</w:t>
      </w:r>
    </w:p>
    <w:p w14:paraId="2117E344" w14:textId="77777777" w:rsidR="002B6591" w:rsidRPr="00EC6C19" w:rsidRDefault="002B6591" w:rsidP="00B73F7E">
      <w:pPr>
        <w:spacing w:line="360" w:lineRule="auto"/>
        <w:rPr>
          <w:rFonts w:ascii="Times New Roman" w:hAnsi="Times New Roman" w:cs="Times New Roman"/>
          <w:sz w:val="24"/>
          <w:szCs w:val="24"/>
        </w:rPr>
      </w:pPr>
    </w:p>
    <w:p w14:paraId="2C7678B4" w14:textId="77777777" w:rsidR="00A00967" w:rsidRPr="00A00967" w:rsidRDefault="00C54823" w:rsidP="00A00967">
      <w:pPr>
        <w:pStyle w:val="Heading3"/>
        <w:rPr>
          <w:rFonts w:ascii="Times New Roman" w:hAnsi="Times New Roman" w:cs="Times New Roman"/>
          <w:b w:val="0"/>
          <w:i/>
          <w:color w:val="auto"/>
          <w:sz w:val="24"/>
          <w:szCs w:val="24"/>
        </w:rPr>
      </w:pPr>
      <w:bookmarkStart w:id="29" w:name="_Toc80302171"/>
      <w:r>
        <w:rPr>
          <w:rFonts w:ascii="Times New Roman" w:hAnsi="Times New Roman" w:cs="Times New Roman"/>
          <w:b w:val="0"/>
          <w:i/>
          <w:color w:val="auto"/>
          <w:sz w:val="24"/>
          <w:szCs w:val="24"/>
        </w:rPr>
        <w:t xml:space="preserve">1.7.1 - </w:t>
      </w:r>
      <w:r w:rsidR="00380849" w:rsidRPr="00A00967">
        <w:rPr>
          <w:rFonts w:ascii="Times New Roman" w:hAnsi="Times New Roman" w:cs="Times New Roman"/>
          <w:b w:val="0"/>
          <w:i/>
          <w:color w:val="auto"/>
          <w:sz w:val="24"/>
          <w:szCs w:val="24"/>
        </w:rPr>
        <w:t>CT FFR</w:t>
      </w:r>
      <w:bookmarkEnd w:id="29"/>
    </w:p>
    <w:p w14:paraId="5801526D" w14:textId="77777777" w:rsidR="001C6A7A" w:rsidRPr="00EC6C19" w:rsidRDefault="001C6A7A" w:rsidP="00B73F7E">
      <w:pPr>
        <w:spacing w:line="360" w:lineRule="auto"/>
        <w:rPr>
          <w:rFonts w:ascii="Times New Roman" w:hAnsi="Times New Roman" w:cs="Times New Roman"/>
          <w:i/>
          <w:sz w:val="24"/>
          <w:szCs w:val="24"/>
        </w:rPr>
      </w:pPr>
    </w:p>
    <w:p w14:paraId="45C412EA" w14:textId="77777777" w:rsidR="00117DF3" w:rsidRPr="00EC6C19" w:rsidRDefault="00117DF3" w:rsidP="00B73F7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Previous studies have shown that CT FFR correlates well with invasive FFR (r = 0.82)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{"citationID":"sLysbFHz","properties":{"formattedCitation":"(N\\uc0\\u248{}rgaard et al., 2014)","plainCitation":"(Nørgaard et al., 2014)","noteIndex":0},"citationItems":[{"id":776,"uris":["http://zotero.org/users/local/k67tNDdX/items/8LQKRK83"],"uri":["http://zotero.org/users/local/k67tNDdX/items/8LQKRK83"],"itemData":{"id":776,"type":"article-journal","container-title":"Journal of the American College of Cardiology","issue":"12","page":"1145–1155","source":"Google Scholar","title":"Diagnostic performance of noninvasive fractional flow reserve derived from coronary computed tomography angiography in suspected coronary artery disease: the NXT trial (Analysis of Coronary Blood Flow Using CT Angiography: Next Steps)","title-short":"Diagnostic performance of noninvasive fractional flow reserve derived from coronary computed tomography angiography in suspected coronary artery disease","volume":"63","author":[{"family":"Nørgaard","given":"Bjarne L."},{"family":"Leipsic","given":"Jonathon"},{"family":"Gaur","given":"Sara"},{"family":"Seneviratne","given":"Sujith"},{"family":"Ko","given":"Brian S."},{"family":"Ito","given":"Hiroshi"},{"family":"Jensen","given":"Jesper M."},{"family":"Mauri","given":"Laura"},{"family":"De Bruyne","given":"Bernard"},{"family":"Bezerra","given":"Hiram"}],"issued":{"date-parts":[["2014"]]}}}],"schema":"https://github.com/citation-style-language/schema/raw/master/csl-citation.json"}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(Nørgaard et al., 2014)</w:t>
      </w:r>
      <w:r w:rsidR="00106A32" w:rsidRPr="00EC6C19">
        <w:rPr>
          <w:rFonts w:ascii="Times New Roman" w:hAnsi="Times New Roman" w:cs="Times New Roman"/>
          <w:sz w:val="24"/>
          <w:szCs w:val="24"/>
        </w:rPr>
        <w:fldChar w:fldCharType="end"/>
      </w:r>
      <w:r w:rsidR="00AD4011" w:rsidRPr="00EC6C19">
        <w:rPr>
          <w:rFonts w:ascii="Times New Roman" w:hAnsi="Times New Roman" w:cs="Times New Roman"/>
          <w:sz w:val="24"/>
          <w:szCs w:val="24"/>
        </w:rPr>
        <w:t xml:space="preserve"> although discordance is still </w:t>
      </w:r>
      <w:r w:rsidR="00ED6E86" w:rsidRPr="00EC6C19">
        <w:rPr>
          <w:rFonts w:ascii="Times New Roman" w:hAnsi="Times New Roman" w:cs="Times New Roman"/>
          <w:sz w:val="24"/>
          <w:szCs w:val="24"/>
        </w:rPr>
        <w:t>approximately 15%</w:t>
      </w:r>
      <w:r w:rsidRPr="00EC6C19">
        <w:rPr>
          <w:rFonts w:ascii="Times New Roman" w:hAnsi="Times New Roman" w:cs="Times New Roman"/>
          <w:sz w:val="24"/>
          <w:szCs w:val="24"/>
        </w:rPr>
        <w:t>. Such studies use computer generated fluid dynamic models to generate a non-invasive FFR value</w:t>
      </w:r>
      <w:r w:rsidR="00ED250D" w:rsidRPr="00EC6C19">
        <w:rPr>
          <w:rFonts w:ascii="Times New Roman" w:hAnsi="Times New Roman" w:cs="Times New Roman"/>
          <w:sz w:val="24"/>
          <w:szCs w:val="24"/>
        </w:rPr>
        <w:t xml:space="preserve">. Such models aim to factor in the effects of hyperaemia, microvascular resistance and cardiac output. Inevitably, CT FFR uses generic </w:t>
      </w:r>
      <w:r w:rsidR="003757F2" w:rsidRPr="00EC6C19">
        <w:rPr>
          <w:rFonts w:ascii="Times New Roman" w:hAnsi="Times New Roman" w:cs="Times New Roman"/>
          <w:sz w:val="24"/>
          <w:szCs w:val="24"/>
        </w:rPr>
        <w:t xml:space="preserve">parameters of heart, systemic and microcirculation, superimposed onto patient specific coronary CT images to produce a CT FFR </w:t>
      </w:r>
      <w:r w:rsidR="00106A32" w:rsidRPr="00EC6C19">
        <w:rPr>
          <w:rFonts w:ascii="Times New Roman" w:hAnsi="Times New Roman" w:cs="Times New Roman"/>
          <w:sz w:val="24"/>
          <w:szCs w:val="24"/>
        </w:rPr>
        <w:fldChar w:fldCharType="begin"/>
      </w:r>
      <w:r w:rsidR="003757F2" w:rsidRPr="00EC6C19">
        <w:rPr>
          <w:rFonts w:ascii="Times New Roman" w:hAnsi="Times New Roman" w:cs="Times New Roman"/>
          <w:sz w:val="24"/>
          <w:szCs w:val="24"/>
        </w:rPr>
        <w:instrText xml:space="preserve"> ADDIN ZOTERO_ITEM CSL_CITATION {"citationID":"jVD0vSjs","properties":{"formattedCitation":"(Taylor, Fonte and Min, 2013)","plainCitation":"(Taylor, Fonte and Min, 2013)","noteIndex":0},"citationItems":[{"id":847,"uris":["http://zotero.org/users/local/k67tNDdX/items/QEC9WK6K"],"uri":["http://zotero.org/users/local/k67tNDdX/items/QEC9WK6K"],"itemData":{"id":847,"type":"article-journal","abstract":"Coronary computed tomography angiography (CTA) has emerged as a noninvasive method for direct visualization of coronary artery disease, with previous studies demonstrating high diagnostic performance of CTA compared with invasive coronary angiography. However, CTA assessment of coronary stenoses tends toward overestimation, and even among CTA-identified severe stenosis confirmed at the time of invasive coronary angiography, only a minority are found to be ischemia causing. Recent advances in computational fluid dynamics and image-based modeling now permit determination of rest and hyperemic coronary flow and pressure from CTA scans, without the need for additional imaging, modification of acquisition protocols, or administration of medications. These techniques have been used to noninvasively compute fractional flow reserve (FFR), which is the ratio of maximal coronary blood flow through a stenotic artery to the blood flow in the hypothetical case that the artery was normal, using CTA images. In the recently reported prospective multicenter DISCOVER-FLOW (Diagnosis of Ischemia-Causing Stenoses Obtained Via Noninvasive Fractional Flow Reserve) study and the DeFACTO (Determination of Fractional Flow Reserve by Anatomic Computed Tomographic Angiography) trial, FFR derived from CTA was demonstrated as superior to measures of CTA stenosis severity for determination of lesion-specific ischemia. Given the significant interest in this novel method for determining the physiological significance of coronary artery disease, we herein present a review on the scientific principles that underlie this technology.","container-title":"Journal of the American College of Cardiology","DOI":"10.1016/j.jacc.2012.11.083","ISSN":"0735-1097","issue":"22","journalAbbreviation":"Journal of the American College of Cardiology","language":"en","page":"2233-2241","source":"ScienceDirect","title":"Computational Fluid Dynamics Applied to Cardiac Computed Tomography for Noninvasive Quantification of Fractional Flow Reserve: Scientific Basis","title-short":"Computational Fluid Dynamics Applied to Cardiac Computed Tomography for Noninvasive Quantification of Fractional Flow Reserve","volume":"61","author":[{"family":"Taylor","given":"Charles A."},{"family":"Fonte","given":"Timothy A."},{"family":"Min","given":"James K."}],"issued":{"date-parts":[["2013",6,4]]}}}],"schema":"https://github.com/citation-style-language/schema/raw/master/csl-citation.json"} </w:instrText>
      </w:r>
      <w:r w:rsidR="00106A32" w:rsidRPr="00EC6C19">
        <w:rPr>
          <w:rFonts w:ascii="Times New Roman" w:hAnsi="Times New Roman" w:cs="Times New Roman"/>
          <w:sz w:val="24"/>
          <w:szCs w:val="24"/>
        </w:rPr>
        <w:fldChar w:fldCharType="separate"/>
      </w:r>
      <w:r w:rsidR="003757F2" w:rsidRPr="00EC6C19">
        <w:rPr>
          <w:rFonts w:ascii="Times New Roman" w:hAnsi="Times New Roman" w:cs="Times New Roman"/>
          <w:sz w:val="24"/>
          <w:szCs w:val="24"/>
        </w:rPr>
        <w:t>(Taylor, Fonte and Min, 2013)</w:t>
      </w:r>
      <w:r w:rsidR="00106A32" w:rsidRPr="00EC6C19">
        <w:rPr>
          <w:rFonts w:ascii="Times New Roman" w:hAnsi="Times New Roman" w:cs="Times New Roman"/>
          <w:sz w:val="24"/>
          <w:szCs w:val="24"/>
        </w:rPr>
        <w:fldChar w:fldCharType="end"/>
      </w:r>
      <w:r w:rsidR="003757F2" w:rsidRPr="00EC6C19">
        <w:rPr>
          <w:rFonts w:ascii="Times New Roman" w:hAnsi="Times New Roman" w:cs="Times New Roman"/>
          <w:sz w:val="24"/>
          <w:szCs w:val="24"/>
        </w:rPr>
        <w:t>. This assumes patients 'fit' into these generic parameters, and ignore other variables such as LVEDP, wedge pressure, hyperaemic response and hydrostatic effect.</w:t>
      </w:r>
    </w:p>
    <w:p w14:paraId="0E166364" w14:textId="77777777" w:rsidR="00117DF3" w:rsidRPr="00EC6C19" w:rsidRDefault="00BC1915" w:rsidP="00B73F7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PROMISE trial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{"citationID":"XVfQjsbr","properties":{"formattedCitation":"(Lu et al., 2017)","plainCitation":"(Lu et al., 2017)","noteIndex":0},"citationItems":[{"id":837,"uris":["http://zotero.org/users/local/k67tNDdX/items/7PAHHCFK"],"uri":["http://zotero.org/users/local/k67tNDdX/items/7PAHHCFK"],"itemData":{"id":837,"type":"article-journal","abstract":"OBJECTIVES: The purpose of this study was to determine whether noninvasive fractional flow reserve derived from computed tomography (FFRCT) predicts coronary revascularization and outcomes and whether its addition improves efficiency of referral to invasive coronary angiography (ICA) after coronary computed tomography angiography (CTA).\nBACKGROUND: FFRCT may improve the efficiency of an anatomic CTA strategy for stable chest pain.\nMETHODS: This observational cohort study included patients with stable chest pain in the PROMISE (PROspective Multicenter Imaging Study for Evaluation of Chest Pain) trial referred to ICA within 90 days after CTA. FFRCT was measured at a blinded core laboratory, and FFRCT results were unavailable to caregivers. We determined the agreement of FFRCT (positive if ≤0.80) with stenosis on CTA and ICA (positive if ≥50% left main or ≥70% other coronary artery), and predictive value for a composite of coronary revascularization or major adverse cardiac events (death, myocardial infarction, or unstable angina). We retrospectively assessed whether adding FFRCT ≤0.80 as a gatekeeper could improve efficiency of referral to ICA, defined as decreased rate of ICA without ≥50% stenosis and increased ICA leading to revascularization.\nRESULTS: FFRCT was calculated in 67% (181 of 271) of eligible patients (mean age 62 years; 36% women). FFRCT was discordant with stenosis in 31% (57 of 181) for CTA and 29% (52 of 181) for ICA. Most patients undergoing coronary revascularization had an FFRCT of ≤0.80 (91%; 80 of 88). An FFRCT of ≤0.80 was a significantly better predictor for revascularization or major adverse cardiac events than severe CTA stenosis (HR: 4.3 [95% confidence interval [CI]: 2.4 to 8.9] vs. 2.9 [95% CI: 1.8 to 5.1]; p = 0.033). Reserving ICA for patients with an FFRCT of ≤0.80 could decrease ICA without ≥50% stenosis by 44%, and increase the proportion of ICA leading to revascularization by 24%.\nCONCLUSIONS: In this hypothesis-generating study of patients with stable chest pain referred to ICA from CTA, an FFRCT of ≤0.80 was a better predictor of revascularization or major adverse cardiac events than severe stenosis on CTA. Adding FFRCT may improve efficiency of referral to ICA from CTA alone.","container-title":"JACC. Cardiovascular imaging","DOI":"10.1016/j.jcmg.2016.11.024","ISSN":"1876-7591","issue":"11","journalAbbreviation":"JACC Cardiovasc Imaging","language":"eng","note":"PMID: 28412436\nPMCID: PMC5632098","page":"1350-1358","source":"PubMed","title":"Noninvasive FFR Derived From Coronary CT Angiography: Management and Outcomes in the PROMISE Trial","title-short":"Noninvasive FFR Derived From Coronary CT Angiography","volume":"10","author":[{"family":"Lu","given":"Michael T."},{"family":"Ferencik","given":"Maros"},{"family":"Roberts","given":"Rhonda S."},{"family":"Lee","given":"Kerry L."},{"family":"Ivanov","given":"Alexander"},{"family":"Adami","given":"Elizabeth"},{"family":"Mark","given":"Daniel B."},{"family":"Jaffer","given":"Farouc A."},{"family":"Leipsic","given":"Jonathon A."},{"family":"Douglas","given":"Pamela S."},{"family":"Hoffmann","given":"Udo"}],"issued":{"date-parts":[["2017"]]}}}],"schema":"https://github.com/citation-style-language/schema/raw/master/csl-citation.json"}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(Lu et al., 2017)</w:t>
      </w:r>
      <w:r w:rsidR="00106A32" w:rsidRPr="00EC6C19">
        <w:rPr>
          <w:rFonts w:ascii="Times New Roman" w:hAnsi="Times New Roman" w:cs="Times New Roman"/>
          <w:sz w:val="24"/>
          <w:szCs w:val="24"/>
        </w:rPr>
        <w:fldChar w:fldCharType="end"/>
      </w:r>
      <w:r w:rsidR="00117DF3" w:rsidRPr="00EC6C19">
        <w:rPr>
          <w:rFonts w:ascii="Times New Roman" w:hAnsi="Times New Roman" w:cs="Times New Roman"/>
          <w:sz w:val="24"/>
          <w:szCs w:val="24"/>
        </w:rPr>
        <w:t xml:space="preserve"> </w:t>
      </w:r>
      <w:r w:rsidR="00E66232" w:rsidRPr="00EC6C19">
        <w:rPr>
          <w:rFonts w:ascii="Times New Roman" w:hAnsi="Times New Roman" w:cs="Times New Roman"/>
          <w:sz w:val="24"/>
          <w:szCs w:val="24"/>
        </w:rPr>
        <w:t xml:space="preserve">took patients who proceeded to invasive coronary angiography from a standard CT coronary angiogram, and correlated a CT FFR &lt;0.8 with coronary revascularisation or </w:t>
      </w:r>
      <w:r w:rsidR="00731833" w:rsidRPr="00EC6C19">
        <w:rPr>
          <w:rFonts w:ascii="Times New Roman" w:hAnsi="Times New Roman" w:cs="Times New Roman"/>
          <w:sz w:val="24"/>
          <w:szCs w:val="24"/>
        </w:rPr>
        <w:t>major adverse cardiac events (</w:t>
      </w:r>
      <w:r w:rsidR="00E66232" w:rsidRPr="00EC6C19">
        <w:rPr>
          <w:rFonts w:ascii="Times New Roman" w:hAnsi="Times New Roman" w:cs="Times New Roman"/>
          <w:sz w:val="24"/>
          <w:szCs w:val="24"/>
        </w:rPr>
        <w:t>MACE</w:t>
      </w:r>
      <w:r w:rsidR="00731833" w:rsidRPr="00EC6C19">
        <w:rPr>
          <w:rFonts w:ascii="Times New Roman" w:hAnsi="Times New Roman" w:cs="Times New Roman"/>
          <w:sz w:val="24"/>
          <w:szCs w:val="24"/>
        </w:rPr>
        <w:t>)</w:t>
      </w:r>
      <w:r w:rsidR="00E66232" w:rsidRPr="00EC6C19">
        <w:rPr>
          <w:rFonts w:ascii="Times New Roman" w:hAnsi="Times New Roman" w:cs="Times New Roman"/>
          <w:sz w:val="24"/>
          <w:szCs w:val="24"/>
        </w:rPr>
        <w:t>.</w:t>
      </w:r>
      <w:r w:rsidR="00746232" w:rsidRPr="00EC6C19">
        <w:rPr>
          <w:rFonts w:ascii="Times New Roman" w:hAnsi="Times New Roman" w:cs="Times New Roman"/>
          <w:sz w:val="24"/>
          <w:szCs w:val="24"/>
        </w:rPr>
        <w:t xml:space="preserve"> Patients with a CT FFR of &lt;0.8 were more likely to have revascularisation or MACE compared with CT FFR &gt;0.8.</w:t>
      </w:r>
      <w:r w:rsidR="00117DF3" w:rsidRPr="00EC6C19">
        <w:rPr>
          <w:rFonts w:ascii="Times New Roman" w:hAnsi="Times New Roman" w:cs="Times New Roman"/>
          <w:sz w:val="24"/>
          <w:szCs w:val="24"/>
        </w:rPr>
        <w:t xml:space="preserve"> Also those with CT FFR &lt;0.8 were significantly more likely to receive revascularisation when compared to severe stenosis on CTA alone.</w:t>
      </w:r>
      <w:r w:rsidR="005E53AB" w:rsidRPr="00EC6C19">
        <w:rPr>
          <w:rFonts w:ascii="Times New Roman" w:hAnsi="Times New Roman" w:cs="Times New Roman"/>
          <w:sz w:val="24"/>
          <w:szCs w:val="24"/>
        </w:rPr>
        <w:t xml:space="preserve"> Lastly, it was suggested that CT FFR may reduce the number of referrals for invasive angiography nearly half, using &lt;0.8 as a threshold.</w:t>
      </w:r>
      <w:r w:rsidR="00117DF3" w:rsidRPr="00EC6C19">
        <w:rPr>
          <w:rFonts w:ascii="Times New Roman" w:hAnsi="Times New Roman" w:cs="Times New Roman"/>
          <w:sz w:val="24"/>
          <w:szCs w:val="24"/>
        </w:rPr>
        <w:t xml:space="preserve"> It is noteworthy that of all patients screened for PROMISE, approximately half had to be excluded for multiple reasons, including inadequate imaging.</w:t>
      </w:r>
    </w:p>
    <w:p w14:paraId="0BEFB8A4" w14:textId="77777777" w:rsidR="009E6098" w:rsidRPr="00EC6C19" w:rsidRDefault="009E6098" w:rsidP="00B73F7E">
      <w:pPr>
        <w:spacing w:line="360" w:lineRule="auto"/>
        <w:rPr>
          <w:rFonts w:ascii="Times New Roman" w:hAnsi="Times New Roman" w:cs="Times New Roman"/>
          <w:sz w:val="24"/>
          <w:szCs w:val="24"/>
        </w:rPr>
      </w:pPr>
    </w:p>
    <w:p w14:paraId="068B1FBB" w14:textId="77777777" w:rsidR="007350C3" w:rsidRPr="00A00967" w:rsidRDefault="00C54823" w:rsidP="00A00967">
      <w:pPr>
        <w:pStyle w:val="Heading2"/>
        <w:rPr>
          <w:rFonts w:ascii="Times New Roman" w:hAnsi="Times New Roman" w:cs="Times New Roman"/>
          <w:color w:val="auto"/>
          <w:sz w:val="24"/>
          <w:szCs w:val="24"/>
        </w:rPr>
      </w:pPr>
      <w:bookmarkStart w:id="30" w:name="_Toc80302172"/>
      <w:r>
        <w:rPr>
          <w:rFonts w:ascii="Times New Roman" w:hAnsi="Times New Roman" w:cs="Times New Roman"/>
          <w:color w:val="auto"/>
          <w:sz w:val="24"/>
          <w:szCs w:val="24"/>
        </w:rPr>
        <w:t xml:space="preserve">1.8 - </w:t>
      </w:r>
      <w:r w:rsidR="009E6098" w:rsidRPr="00A00967">
        <w:rPr>
          <w:rFonts w:ascii="Times New Roman" w:hAnsi="Times New Roman" w:cs="Times New Roman"/>
          <w:color w:val="auto"/>
          <w:sz w:val="24"/>
          <w:szCs w:val="24"/>
        </w:rPr>
        <w:t>Invasive Ischaemia Assessment</w:t>
      </w:r>
      <w:bookmarkEnd w:id="30"/>
    </w:p>
    <w:p w14:paraId="224D0C99" w14:textId="77777777" w:rsidR="00A00967" w:rsidRPr="00A00967" w:rsidRDefault="00A00967" w:rsidP="00A00967"/>
    <w:p w14:paraId="00E8FDE3" w14:textId="77777777" w:rsidR="00252C73" w:rsidRPr="00EC6C19" w:rsidRDefault="00252C73" w:rsidP="00B73F7E">
      <w:pPr>
        <w:spacing w:line="360" w:lineRule="auto"/>
        <w:rPr>
          <w:rFonts w:ascii="Times New Roman" w:hAnsi="Times New Roman" w:cs="Times New Roman"/>
          <w:b/>
          <w:sz w:val="24"/>
          <w:szCs w:val="24"/>
        </w:rPr>
      </w:pPr>
    </w:p>
    <w:p w14:paraId="056098B4" w14:textId="77777777" w:rsidR="00FE52EA" w:rsidRDefault="002F31E6" w:rsidP="003D0DD4">
      <w:pPr>
        <w:spacing w:line="360" w:lineRule="auto"/>
        <w:rPr>
          <w:rFonts w:ascii="Times New Roman" w:hAnsi="Times New Roman" w:cs="Times New Roman"/>
          <w:sz w:val="24"/>
          <w:szCs w:val="24"/>
        </w:rPr>
      </w:pPr>
      <w:r w:rsidRPr="00EC6C19">
        <w:rPr>
          <w:rFonts w:ascii="Times New Roman" w:hAnsi="Times New Roman" w:cs="Times New Roman"/>
          <w:sz w:val="24"/>
          <w:szCs w:val="24"/>
        </w:rPr>
        <w:t>Fractional flow reserve</w:t>
      </w:r>
      <w:r w:rsidR="009E6098" w:rsidRPr="00EC6C19">
        <w:rPr>
          <w:rFonts w:ascii="Times New Roman" w:hAnsi="Times New Roman" w:cs="Times New Roman"/>
          <w:sz w:val="24"/>
          <w:szCs w:val="24"/>
        </w:rPr>
        <w:t xml:space="preserve"> (FFR)</w:t>
      </w:r>
      <w:r w:rsidRPr="00EC6C19">
        <w:rPr>
          <w:rFonts w:ascii="Times New Roman" w:hAnsi="Times New Roman" w:cs="Times New Roman"/>
          <w:sz w:val="24"/>
          <w:szCs w:val="24"/>
        </w:rPr>
        <w:t xml:space="preserve"> is the most widely used invasive physiology tool in clinical cardiology.</w:t>
      </w:r>
      <w:r w:rsidR="005E53AB" w:rsidRPr="00EC6C19">
        <w:rPr>
          <w:rFonts w:ascii="Times New Roman" w:hAnsi="Times New Roman" w:cs="Times New Roman"/>
          <w:sz w:val="24"/>
          <w:szCs w:val="24"/>
        </w:rPr>
        <w:t xml:space="preserve"> Newer resting indices such as instantaneous wave free ratio (iFR) have gained </w:t>
      </w:r>
      <w:r w:rsidR="005E53AB" w:rsidRPr="00EC6C19">
        <w:rPr>
          <w:rFonts w:ascii="Times New Roman" w:hAnsi="Times New Roman" w:cs="Times New Roman"/>
          <w:sz w:val="24"/>
          <w:szCs w:val="24"/>
        </w:rPr>
        <w:lastRenderedPageBreak/>
        <w:t>popularity over recent years.</w:t>
      </w:r>
      <w:r w:rsidR="008E00C7" w:rsidRPr="00EC6C19">
        <w:rPr>
          <w:rFonts w:ascii="Times New Roman" w:hAnsi="Times New Roman" w:cs="Times New Roman"/>
          <w:sz w:val="24"/>
          <w:szCs w:val="24"/>
        </w:rPr>
        <w:t xml:space="preserve"> In acute presentations of coronary artery disease (ACS), the risk of revascularisation is often outweighed by the risk of leaving</w:t>
      </w:r>
      <w:r w:rsidR="005E53AB" w:rsidRPr="00EC6C19">
        <w:rPr>
          <w:rFonts w:ascii="Times New Roman" w:hAnsi="Times New Roman" w:cs="Times New Roman"/>
          <w:sz w:val="24"/>
          <w:szCs w:val="24"/>
        </w:rPr>
        <w:t xml:space="preserve"> a vulnerable plaque untreated. In chronic coronary syndromes, ischaemia assessment forms a vital part of the decision to treat.</w:t>
      </w:r>
    </w:p>
    <w:p w14:paraId="65CEDD73" w14:textId="77777777" w:rsidR="0006539A" w:rsidRPr="00EC6C19" w:rsidRDefault="0006539A" w:rsidP="003D0DD4">
      <w:pPr>
        <w:spacing w:line="360" w:lineRule="auto"/>
        <w:rPr>
          <w:rFonts w:ascii="Times New Roman" w:hAnsi="Times New Roman" w:cs="Times New Roman"/>
          <w:sz w:val="24"/>
          <w:szCs w:val="24"/>
        </w:rPr>
      </w:pPr>
    </w:p>
    <w:p w14:paraId="4C12629F" w14:textId="77777777" w:rsidR="000B1191" w:rsidRPr="00A00967" w:rsidRDefault="00C54823" w:rsidP="00A00967">
      <w:pPr>
        <w:pStyle w:val="Heading3"/>
        <w:spacing w:line="360" w:lineRule="auto"/>
        <w:rPr>
          <w:rFonts w:ascii="Times New Roman" w:hAnsi="Times New Roman" w:cs="Times New Roman"/>
          <w:b w:val="0"/>
          <w:i/>
          <w:color w:val="auto"/>
          <w:sz w:val="24"/>
          <w:szCs w:val="24"/>
        </w:rPr>
      </w:pPr>
      <w:bookmarkStart w:id="31" w:name="_Toc80302173"/>
      <w:r>
        <w:rPr>
          <w:rFonts w:ascii="Times New Roman" w:hAnsi="Times New Roman" w:cs="Times New Roman"/>
          <w:b w:val="0"/>
          <w:i/>
          <w:color w:val="auto"/>
          <w:sz w:val="24"/>
          <w:szCs w:val="24"/>
        </w:rPr>
        <w:t xml:space="preserve">1.8.1 - </w:t>
      </w:r>
      <w:r w:rsidR="000B1191" w:rsidRPr="00A00967">
        <w:rPr>
          <w:rFonts w:ascii="Times New Roman" w:hAnsi="Times New Roman" w:cs="Times New Roman"/>
          <w:b w:val="0"/>
          <w:i/>
          <w:color w:val="auto"/>
          <w:sz w:val="24"/>
          <w:szCs w:val="24"/>
        </w:rPr>
        <w:t>History of Invasive Coronary Physiology</w:t>
      </w:r>
      <w:bookmarkEnd w:id="31"/>
    </w:p>
    <w:p w14:paraId="785E402E" w14:textId="77777777" w:rsidR="00D4156F" w:rsidRPr="00EC6C19" w:rsidRDefault="00D4156F" w:rsidP="00A00967">
      <w:pPr>
        <w:spacing w:line="360" w:lineRule="auto"/>
        <w:rPr>
          <w:rFonts w:ascii="Times New Roman" w:hAnsi="Times New Roman" w:cs="Times New Roman"/>
          <w:i/>
          <w:sz w:val="24"/>
          <w:szCs w:val="24"/>
        </w:rPr>
      </w:pPr>
    </w:p>
    <w:p w14:paraId="52D11D6B" w14:textId="77777777" w:rsidR="005A5CF7" w:rsidRPr="00EC6C19" w:rsidRDefault="00FE52EA" w:rsidP="00A00967">
      <w:pPr>
        <w:spacing w:line="360" w:lineRule="auto"/>
        <w:rPr>
          <w:rFonts w:ascii="Times New Roman" w:hAnsi="Times New Roman" w:cs="Times New Roman"/>
          <w:sz w:val="24"/>
          <w:szCs w:val="24"/>
        </w:rPr>
      </w:pPr>
      <w:r w:rsidRPr="00EC6C19">
        <w:rPr>
          <w:rFonts w:ascii="Times New Roman" w:hAnsi="Times New Roman" w:cs="Times New Roman"/>
          <w:sz w:val="24"/>
          <w:szCs w:val="24"/>
        </w:rPr>
        <w:t>Many types of intracoronary indices exist, and have been studied, dating back to 1974 when Gould proposed a measurement known as coronary flow reserve</w:t>
      </w:r>
      <w:r w:rsidR="00DE7347" w:rsidRPr="00EC6C19">
        <w:rPr>
          <w:rFonts w:ascii="Times New Roman" w:hAnsi="Times New Roman" w:cs="Times New Roman"/>
          <w:sz w:val="24"/>
          <w:szCs w:val="24"/>
        </w:rPr>
        <w:t xml:space="preserve"> (CFR)</w:t>
      </w:r>
      <w:r w:rsidRPr="00EC6C19">
        <w:rPr>
          <w:rFonts w:ascii="Times New Roman" w:hAnsi="Times New Roman" w:cs="Times New Roman"/>
          <w:sz w:val="24"/>
          <w:szCs w:val="24"/>
        </w:rPr>
        <w:t>, using velocity measurements</w:t>
      </w:r>
      <w:r w:rsidR="00DE7347" w:rsidRPr="00EC6C19">
        <w:rPr>
          <w:rFonts w:ascii="Times New Roman" w:hAnsi="Times New Roman" w:cs="Times New Roman"/>
          <w:sz w:val="24"/>
          <w:szCs w:val="24"/>
        </w:rPr>
        <w:t>. The term coronary flow reserve, can be found dating</w:t>
      </w:r>
      <w:r w:rsidR="006B35BA" w:rsidRPr="00EC6C19">
        <w:rPr>
          <w:rFonts w:ascii="Times New Roman" w:hAnsi="Times New Roman" w:cs="Times New Roman"/>
          <w:sz w:val="24"/>
          <w:szCs w:val="24"/>
        </w:rPr>
        <w:t xml:space="preserve"> further</w:t>
      </w:r>
      <w:r w:rsidR="001E707A" w:rsidRPr="00EC6C19">
        <w:rPr>
          <w:rFonts w:ascii="Times New Roman" w:hAnsi="Times New Roman" w:cs="Times New Roman"/>
          <w:sz w:val="24"/>
          <w:szCs w:val="24"/>
        </w:rPr>
        <w:t xml:space="preserve"> </w:t>
      </w:r>
      <w:r w:rsidR="00DE7347" w:rsidRPr="00EC6C19">
        <w:rPr>
          <w:rFonts w:ascii="Times New Roman" w:hAnsi="Times New Roman" w:cs="Times New Roman"/>
          <w:sz w:val="24"/>
          <w:szCs w:val="24"/>
        </w:rPr>
        <w:t>back</w:t>
      </w:r>
      <w:r w:rsidR="006B35BA" w:rsidRPr="00EC6C19">
        <w:rPr>
          <w:rFonts w:ascii="Times New Roman" w:hAnsi="Times New Roman" w:cs="Times New Roman"/>
          <w:sz w:val="24"/>
          <w:szCs w:val="24"/>
        </w:rPr>
        <w:t>,</w:t>
      </w:r>
      <w:r w:rsidR="001E707A" w:rsidRPr="00EC6C19">
        <w:rPr>
          <w:rFonts w:ascii="Times New Roman" w:hAnsi="Times New Roman" w:cs="Times New Roman"/>
          <w:sz w:val="24"/>
          <w:szCs w:val="24"/>
        </w:rPr>
        <w:t xml:space="preserve"> </w:t>
      </w:r>
      <w:r w:rsidR="006B35BA" w:rsidRPr="00EC6C19">
        <w:rPr>
          <w:rFonts w:ascii="Times New Roman" w:hAnsi="Times New Roman" w:cs="Times New Roman"/>
          <w:sz w:val="24"/>
          <w:szCs w:val="24"/>
        </w:rPr>
        <w:t>to</w:t>
      </w:r>
      <w:r w:rsidR="00DE7347" w:rsidRPr="00EC6C19">
        <w:rPr>
          <w:rFonts w:ascii="Times New Roman" w:hAnsi="Times New Roman" w:cs="Times New Roman"/>
          <w:sz w:val="24"/>
          <w:szCs w:val="24"/>
        </w:rPr>
        <w:t xml:space="preserve"> 1963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{"citationID":"omxlLHex","properties":{"formattedCitation":"(Johnson, Kirkeeide and Gould, 2015)","plainCitation":"(Johnson, Kirkeeide and Gould, 2015)","noteIndex":0},"citationItems":[{"id":476,"uris":["http://zotero.org/users/local/k67tNDdX/items/GGM6W2SF"],"uri":["http://zotero.org/users/local/k67tNDdX/items/GGM6W2SF"],"itemData":{"id":476,"type":"article-journal","abstract":"We discuss the historical development of clinical coronary physiology, emphasizing coronary flow reserve (CFR) and fractional flow reserve (FFR). Our analysis focuses on the clinical motivations and technologic advances that prompted and enabled the application of physiology for patient diagnosis. CFR grew from the general concepts of physiologic and coronary reserve, linking the anatomic severity of a lesion to its impact on hyperemic flow. FFR developed from existing models relating pressure measurements to the potential for flow to increase after removing a stenosis. Because pressure measurements have proved easier and more robust than flow measurements, FFR has become the dominant metric.","container-title":"Interventional Cardiology Clinics","DOI":"10.1016/j.iccl.2015.06.001","ISSN":"2211-7466","issue":"4","journalAbbreviation":"Interv Cardiol Clin","language":"eng","note":"PMID: 28581927","page":"397-410","source":"PubMed","title":"History and Development of Coronary Flow Reserve and Fractional Flow Reserve for Clinical Applications","volume":"4","author":[{"family":"Johnson","given":"Nils P."},{"family":"Kirkeeide","given":"Richard L."},{"family":"Gould","given":"K. Lance"}],"issued":{"date-parts":[["2015",10]]}}}],"schema":"https://github.com/citation-style-language/schema/raw/master/csl-citation.json"}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(Johnson, Kirkeeide and Gould, 2015)</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DE7347" w:rsidRPr="00EC6C19">
        <w:rPr>
          <w:rFonts w:ascii="Times New Roman" w:hAnsi="Times New Roman" w:cs="Times New Roman"/>
          <w:sz w:val="24"/>
          <w:szCs w:val="24"/>
        </w:rPr>
        <w:t xml:space="preserve"> The term gained interest in 1974 as it linked CFR to anatomical stenosis in canine studies, and demonstrated the heart</w:t>
      </w:r>
      <w:r w:rsidR="006D06A5" w:rsidRPr="00EC6C19">
        <w:rPr>
          <w:rFonts w:ascii="Times New Roman" w:hAnsi="Times New Roman" w:cs="Times New Roman"/>
          <w:sz w:val="24"/>
          <w:szCs w:val="24"/>
        </w:rPr>
        <w:t>'</w:t>
      </w:r>
      <w:r w:rsidR="00DE7347" w:rsidRPr="00EC6C19">
        <w:rPr>
          <w:rFonts w:ascii="Times New Roman" w:hAnsi="Times New Roman" w:cs="Times New Roman"/>
          <w:sz w:val="24"/>
          <w:szCs w:val="24"/>
        </w:rPr>
        <w:t xml:space="preserve">s ability to increase blood flow, versus several different severities of coronary stenosis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{"citationID":"iDdltlTZ","properties":{"formattedCitation":"(Gould and Lipscomb, 1974)","plainCitation":"(Gould and Lipscomb, 1974)","noteIndex":0},"citationItems":[{"id":495,"uris":["http://zotero.org/users/local/k67tNDdX/items/S7RGIP5M"],"uri":["http://zotero.org/users/local/k67tNDdX/items/S7RGIP5M"],"itemData":{"id":495,"type":"article-journal","container-title":"The American Journal of Cardiology","ISSN":"0002-9149","issue":"1","journalAbbreviation":"Am. J. Cardiol.","language":"eng","note":"PMID: 4835753","page":"48-55","source":"PubMed","title":"Effects of coronary stenoses on coronary flow reserve and resistance","volume":"34","author":[{"family":"Gould","given":"K. L."},{"family":"Lipscomb","given":"K."}],"issued":{"date-parts":[["1974",7]]}}}],"schema":"https://github.com/citation-style-language/schema/raw/master/csl-citation.json"}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(Gould and Lipscomb, 1974)</w:t>
      </w:r>
      <w:r w:rsidR="00106A32" w:rsidRPr="00EC6C19">
        <w:rPr>
          <w:rFonts w:ascii="Times New Roman" w:hAnsi="Times New Roman" w:cs="Times New Roman"/>
          <w:sz w:val="24"/>
          <w:szCs w:val="24"/>
        </w:rPr>
        <w:fldChar w:fldCharType="end"/>
      </w:r>
      <w:r w:rsidR="00DE7347" w:rsidRPr="00EC6C19">
        <w:rPr>
          <w:rFonts w:ascii="Times New Roman" w:hAnsi="Times New Roman" w:cs="Times New Roman"/>
          <w:sz w:val="24"/>
          <w:szCs w:val="24"/>
        </w:rPr>
        <w:t>.</w:t>
      </w:r>
      <w:r w:rsidR="006B35BA" w:rsidRPr="00EC6C19">
        <w:rPr>
          <w:rFonts w:ascii="Times New Roman" w:hAnsi="Times New Roman" w:cs="Times New Roman"/>
          <w:sz w:val="24"/>
          <w:szCs w:val="24"/>
        </w:rPr>
        <w:t xml:space="preserve"> CFR is </w:t>
      </w:r>
      <w:r w:rsidR="008D7BFB" w:rsidRPr="00EC6C19">
        <w:rPr>
          <w:rFonts w:ascii="Times New Roman" w:hAnsi="Times New Roman" w:cs="Times New Roman"/>
          <w:sz w:val="24"/>
          <w:szCs w:val="24"/>
        </w:rPr>
        <w:t xml:space="preserve">calculated by measuring </w:t>
      </w:r>
      <w:r w:rsidR="006B35BA" w:rsidRPr="00EC6C19">
        <w:rPr>
          <w:rFonts w:ascii="Times New Roman" w:hAnsi="Times New Roman" w:cs="Times New Roman"/>
          <w:sz w:val="24"/>
          <w:szCs w:val="24"/>
        </w:rPr>
        <w:t>coronary flow during hyperaemia</w:t>
      </w:r>
      <w:r w:rsidR="008D7BFB" w:rsidRPr="00EC6C19">
        <w:rPr>
          <w:rFonts w:ascii="Times New Roman" w:hAnsi="Times New Roman" w:cs="Times New Roman"/>
          <w:sz w:val="24"/>
          <w:szCs w:val="24"/>
        </w:rPr>
        <w:t xml:space="preserve"> and</w:t>
      </w:r>
      <w:r w:rsidR="006B35BA" w:rsidRPr="00EC6C19">
        <w:rPr>
          <w:rFonts w:ascii="Times New Roman" w:hAnsi="Times New Roman" w:cs="Times New Roman"/>
          <w:sz w:val="24"/>
          <w:szCs w:val="24"/>
        </w:rPr>
        <w:t xml:space="preserve"> divid</w:t>
      </w:r>
      <w:r w:rsidR="008D7BFB" w:rsidRPr="00EC6C19">
        <w:rPr>
          <w:rFonts w:ascii="Times New Roman" w:hAnsi="Times New Roman" w:cs="Times New Roman"/>
          <w:sz w:val="24"/>
          <w:szCs w:val="24"/>
        </w:rPr>
        <w:t>ing</w:t>
      </w:r>
      <w:r w:rsidR="006B35BA" w:rsidRPr="00EC6C19">
        <w:rPr>
          <w:rFonts w:ascii="Times New Roman" w:hAnsi="Times New Roman" w:cs="Times New Roman"/>
          <w:sz w:val="24"/>
          <w:szCs w:val="24"/>
        </w:rPr>
        <w:t xml:space="preserve"> by flow at baseline. This gives a ratio above one, describing how much flow can be augmented, when there is myocardial demand. The first study in 1974 even hinted that a CFR of less than 1.5 may be an indication for bypass surgery, suggesting a clinical use in decision making.</w:t>
      </w:r>
      <w:r w:rsidR="00311479" w:rsidRPr="00EC6C19">
        <w:rPr>
          <w:rFonts w:ascii="Times New Roman" w:hAnsi="Times New Roman" w:cs="Times New Roman"/>
          <w:sz w:val="24"/>
          <w:szCs w:val="24"/>
        </w:rPr>
        <w:t xml:space="preserve"> CFR was studied in</w:t>
      </w:r>
      <w:r w:rsidR="008D7BFB" w:rsidRPr="00EC6C19">
        <w:rPr>
          <w:rFonts w:ascii="Times New Roman" w:hAnsi="Times New Roman" w:cs="Times New Roman"/>
          <w:sz w:val="24"/>
          <w:szCs w:val="24"/>
        </w:rPr>
        <w:t xml:space="preserve"> 1997, in</w:t>
      </w:r>
      <w:r w:rsidR="00311479" w:rsidRPr="00EC6C19">
        <w:rPr>
          <w:rFonts w:ascii="Times New Roman" w:hAnsi="Times New Roman" w:cs="Times New Roman"/>
          <w:sz w:val="24"/>
          <w:szCs w:val="24"/>
        </w:rPr>
        <w:t xml:space="preserve"> the DEBATE trial, showing CFR had a modest predictive value for patients who would benefit from coronary angioplasty</w:t>
      </w:r>
      <w:r w:rsidR="008D7BFB" w:rsidRPr="00EC6C19">
        <w:rPr>
          <w:rFonts w:ascii="Times New Roman" w:hAnsi="Times New Roman" w:cs="Times New Roman"/>
          <w:sz w:val="24"/>
          <w:szCs w:val="24"/>
        </w:rPr>
        <w:t xml:space="preserve"> based on a CFR of less than 2.5</w:t>
      </w:r>
      <w:r w:rsidR="00B16605"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{"citationID":"QFYPHUV2","properties":{"formattedCitation":"(Serruys et al., 1997)","plainCitation":"(Serruys et al., 1997)","noteIndex":0},"citationItems":[{"id":497,"uris":["http://zotero.org/users/local/k67tNDdX/items/IVSVPAI5"],"uri":["http://zotero.org/users/local/k67tNDdX/items/IVSVPAI5"],"itemData":{"id":497,"type":"article-journal","abstract":"BACKGROUND: The aim of this prospective, multicenter study was the identification of Doppler flow velocity measurements predictive of clinical outcome of patients undergoing single-vessel balloon angioplasty with no previous Q-wave myocardial infarction.\nMETHODS AND RESULTS: In 297 patients, a Doppler guidewire was used to measure basal and maximal hyperemic flow velocities proximal and distal to the stenosis before and after angioplasty. In 225 patients with an angiographically successful percutaneous transluminal coronary angioplasty (PTCA), postprocedural distal coronary flow reserve (CFR) and percent diameter stenosis (DS%) were correlated with symptoms and/or ischemia at 1 and 6 months, with the need for target lesion revascularization, and with angiographic restenosis (defined as DS &gt; or = 50% at follow-up). Logistic regression and receiver operator characteristic curve analyses were applied to determine the prognostic cutoff value of CFR and DS separately and in combination. Optimal cutoff criteria for predictors of these clinical events were DS, 35%; CFR, 2.5. A distal CFR after angioplasty &gt; 2.5 with a residual DS &lt; or = 35% identified lesions with a low incidence of recurrence of symptoms at 1 month (10% versus 19%, P=.149) and at 6 months (23% versus 47%, P=.005), a low need for reintervention (16% versus 34%, P=.024), and a low restenosis rate (16% versus 41%, P=.002) compared with patients who did not meet these criteria.\nCONCLUSIONS: Measurements of distal CFR after PTCA, in combination with DS%, have a predictive value, albeit modest for the short- and long-term outcomes after PTCA, and thus may be used to identify patients who will or will not benefit from additional therapy such as stent implantation.","container-title":"Circulation","ISSN":"0009-7322","issue":"10","journalAbbreviation":"Circulation","language":"eng","note":"PMID: 9396429","page":"3369-3377","source":"PubMed","title":"Prognostic value of intracoronary flow velocity and diameter stenosis in assessing the short- and long-term outcomes of coronary balloon angioplasty: the DEBATE Study (Doppler Endpoints Balloon Angioplasty Trial Europe)","title-short":"Prognostic value of intracoronary flow velocity and diameter stenosis in assessing the short- and long-term outcomes of coronary balloon angioplasty","volume":"96","author":[{"family":"Serruys","given":"P. W."},{"family":"Mario","given":"C.","non-dropping-particle":"di"},{"family":"Piek","given":"J."},{"family":"Schroeder","given":"E."},{"family":"Vrints","given":"C."},{"family":"Probst","given":"P."},{"family":"Bruyne","given":"B.","non-dropping-particle":"de"},{"family":"Hanet","given":"C."},{"family":"Fleck","given":"E."},{"family":"Haude","given":"M."},{"family":"Verna","given":"E."},{"family":"Voudris","given":"V."},{"family":"Geschwind","given":"H."},{"family":"Emanuelsson","given":"H."},{"family":"Mühlberger","given":"V."},{"family":"Danzi","given":"G."},{"family":"Peels","given":"H. O."},{"family":"Ford","given":"A. J."},{"family":"Boersma","given":"E."}],"issued":{"date-parts":[["1997",11,18]]}}}],"schema":"https://github.com/citation-style-language/schema/raw/master/csl-citation.json"} </w:instrText>
      </w:r>
      <w:r w:rsidR="00106A32" w:rsidRPr="00EC6C19">
        <w:rPr>
          <w:rFonts w:ascii="Times New Roman" w:hAnsi="Times New Roman" w:cs="Times New Roman"/>
          <w:sz w:val="24"/>
          <w:szCs w:val="24"/>
        </w:rPr>
        <w:fldChar w:fldCharType="separate"/>
      </w:r>
      <w:r w:rsidR="00B16605" w:rsidRPr="00EC6C19">
        <w:rPr>
          <w:rFonts w:ascii="Times New Roman" w:hAnsi="Times New Roman" w:cs="Times New Roman"/>
          <w:sz w:val="24"/>
          <w:szCs w:val="24"/>
        </w:rPr>
        <w:t xml:space="preserve">(Serruys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1997)</w:t>
      </w:r>
      <w:r w:rsidR="00106A32" w:rsidRPr="00EC6C19">
        <w:rPr>
          <w:rFonts w:ascii="Times New Roman" w:hAnsi="Times New Roman" w:cs="Times New Roman"/>
          <w:sz w:val="24"/>
          <w:szCs w:val="24"/>
        </w:rPr>
        <w:fldChar w:fldCharType="end"/>
      </w:r>
      <w:r w:rsidR="00311479" w:rsidRPr="00EC6C19">
        <w:rPr>
          <w:rFonts w:ascii="Times New Roman" w:hAnsi="Times New Roman" w:cs="Times New Roman"/>
          <w:sz w:val="24"/>
          <w:szCs w:val="24"/>
        </w:rPr>
        <w:t>.</w:t>
      </w:r>
    </w:p>
    <w:p w14:paraId="3B6283B0" w14:textId="72F73A9C" w:rsidR="005A5CF7" w:rsidRPr="00EC6C19" w:rsidRDefault="008D7BFB" w:rsidP="003D0DD4">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CFR use fell in the late 90's when </w:t>
      </w:r>
      <w:r w:rsidR="009747DD" w:rsidRPr="00EC6C19">
        <w:rPr>
          <w:rFonts w:ascii="Times New Roman" w:hAnsi="Times New Roman" w:cs="Times New Roman"/>
          <w:sz w:val="24"/>
          <w:szCs w:val="24"/>
        </w:rPr>
        <w:t>pressure</w:t>
      </w:r>
      <w:r w:rsidR="009747DD">
        <w:rPr>
          <w:rFonts w:ascii="Times New Roman" w:hAnsi="Times New Roman" w:cs="Times New Roman"/>
          <w:sz w:val="24"/>
          <w:szCs w:val="24"/>
        </w:rPr>
        <w:t>-</w:t>
      </w:r>
      <w:r w:rsidRPr="00EC6C19">
        <w:rPr>
          <w:rFonts w:ascii="Times New Roman" w:hAnsi="Times New Roman" w:cs="Times New Roman"/>
          <w:sz w:val="24"/>
          <w:szCs w:val="24"/>
        </w:rPr>
        <w:t xml:space="preserve">based systems such as FFR became more available. Even with advances in doppler technology, </w:t>
      </w:r>
      <w:r w:rsidR="009747DD" w:rsidRPr="00EC6C19">
        <w:rPr>
          <w:rFonts w:ascii="Times New Roman" w:hAnsi="Times New Roman" w:cs="Times New Roman"/>
          <w:sz w:val="24"/>
          <w:szCs w:val="24"/>
        </w:rPr>
        <w:t>pressure</w:t>
      </w:r>
      <w:r w:rsidR="009747DD">
        <w:rPr>
          <w:rFonts w:ascii="Times New Roman" w:hAnsi="Times New Roman" w:cs="Times New Roman"/>
          <w:sz w:val="24"/>
          <w:szCs w:val="24"/>
        </w:rPr>
        <w:t>-</w:t>
      </w:r>
      <w:r w:rsidRPr="00EC6C19">
        <w:rPr>
          <w:rFonts w:ascii="Times New Roman" w:hAnsi="Times New Roman" w:cs="Times New Roman"/>
          <w:sz w:val="24"/>
          <w:szCs w:val="24"/>
        </w:rPr>
        <w:t>based systems are quicker and more robust to use compared to doppler based systems, leading to</w:t>
      </w:r>
      <w:r w:rsidR="006D06A5" w:rsidRPr="00EC6C19">
        <w:rPr>
          <w:rFonts w:ascii="Times New Roman" w:hAnsi="Times New Roman" w:cs="Times New Roman"/>
          <w:sz w:val="24"/>
          <w:szCs w:val="24"/>
        </w:rPr>
        <w:t xml:space="preserve"> a significant rise in their popularity</w:t>
      </w:r>
      <w:r w:rsidRPr="00EC6C19">
        <w:rPr>
          <w:rFonts w:ascii="Times New Roman" w:hAnsi="Times New Roman" w:cs="Times New Roman"/>
          <w:sz w:val="24"/>
          <w:szCs w:val="24"/>
        </w:rPr>
        <w:t>.</w:t>
      </w:r>
    </w:p>
    <w:p w14:paraId="4D62CD67" w14:textId="119073ED" w:rsidR="005A5CF7" w:rsidRPr="00EC6C19" w:rsidRDefault="005A5CF7" w:rsidP="003D0DD4">
      <w:pPr>
        <w:spacing w:line="360" w:lineRule="auto"/>
        <w:rPr>
          <w:rFonts w:ascii="Times New Roman" w:hAnsi="Times New Roman" w:cs="Times New Roman"/>
          <w:sz w:val="24"/>
          <w:szCs w:val="24"/>
        </w:rPr>
      </w:pPr>
      <w:r w:rsidRPr="00EC6C19">
        <w:rPr>
          <w:rFonts w:ascii="Times New Roman" w:hAnsi="Times New Roman" w:cs="Times New Roman"/>
          <w:sz w:val="24"/>
          <w:szCs w:val="24"/>
        </w:rPr>
        <w:t>Fractional flow reserve</w:t>
      </w:r>
      <w:r w:rsidR="008D7BFB" w:rsidRPr="00EC6C19">
        <w:rPr>
          <w:rFonts w:ascii="Times New Roman" w:hAnsi="Times New Roman" w:cs="Times New Roman"/>
          <w:sz w:val="24"/>
          <w:szCs w:val="24"/>
        </w:rPr>
        <w:t xml:space="preserve">, a </w:t>
      </w:r>
      <w:r w:rsidR="009747DD" w:rsidRPr="00EC6C19">
        <w:rPr>
          <w:rFonts w:ascii="Times New Roman" w:hAnsi="Times New Roman" w:cs="Times New Roman"/>
          <w:sz w:val="24"/>
          <w:szCs w:val="24"/>
        </w:rPr>
        <w:t>pressure</w:t>
      </w:r>
      <w:r w:rsidR="009747DD">
        <w:rPr>
          <w:rFonts w:ascii="Times New Roman" w:hAnsi="Times New Roman" w:cs="Times New Roman"/>
          <w:sz w:val="24"/>
          <w:szCs w:val="24"/>
        </w:rPr>
        <w:t>-</w:t>
      </w:r>
      <w:r w:rsidR="008D7BFB" w:rsidRPr="00EC6C19">
        <w:rPr>
          <w:rFonts w:ascii="Times New Roman" w:hAnsi="Times New Roman" w:cs="Times New Roman"/>
          <w:sz w:val="24"/>
          <w:szCs w:val="24"/>
        </w:rPr>
        <w:t>based measurement,</w:t>
      </w:r>
      <w:r w:rsidRPr="00EC6C19">
        <w:rPr>
          <w:rFonts w:ascii="Times New Roman" w:hAnsi="Times New Roman" w:cs="Times New Roman"/>
          <w:sz w:val="24"/>
          <w:szCs w:val="24"/>
        </w:rPr>
        <w:t xml:space="preserve"> was first described</w:t>
      </w:r>
      <w:r w:rsidR="00D9292D" w:rsidRPr="00EC6C19">
        <w:rPr>
          <w:rFonts w:ascii="Times New Roman" w:hAnsi="Times New Roman" w:cs="Times New Roman"/>
          <w:sz w:val="24"/>
          <w:szCs w:val="24"/>
        </w:rPr>
        <w:t xml:space="preserve"> experimentally</w:t>
      </w:r>
      <w:r w:rsidRPr="00EC6C19">
        <w:rPr>
          <w:rFonts w:ascii="Times New Roman" w:hAnsi="Times New Roman" w:cs="Times New Roman"/>
          <w:sz w:val="24"/>
          <w:szCs w:val="24"/>
        </w:rPr>
        <w:t xml:space="preserve"> in 1993 by Pijls and De Bruyne</w:t>
      </w:r>
      <w:r w:rsidR="00884D9E"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{"citationID":"NYoNwExy","properties":{"formattedCitation":"(Pijls et al., 1993)","plainCitation":"(Pijls et al., 1993)","noteIndex":0},"citationItems":[{"id":487,"uris":["http://zotero.org/users/local/k67tNDdX/items/5VQGPXTW"],"uri":["http://zotero.org/users/local/k67tNDdX/items/5VQGPXTW"],"itemData":{"id":487,"type":"article-journal","abstract":"BACKGROUND: Severity of coronary artery stenosis has been defined in terms of geometric dimensions, pressure gradient-flow relations, resistance to flow and coronary flow reserve, or maximum flow capacity after maximum arteriolar vasodilation. A direct relation between coronary pressure and flow, however, may only be presumed if the resistances in the coronary circulation are constant (and minimal) as theoretically is the case during maximum arteriolar vasodilation. In that case, pressure measurements theoretically can be used to predict maximum flow and assess functional stenosis severity.\nMETHODS AND RESULTS: A theoretical model was developed for the different components of the coronary circulation, and a set of equations was derived by which the relative maximum flow or fractional flow reserve in both the stenotic epicardial artery and the myocardial vascular bed and the proportional contribution of coronary arterial and collateral flow to myocardial blood flow are calculated from measurements of arterial, distal coronary, and central venous pressures during maximum arteriolar vasodilation. To test this model, five dogs were acutely instrumented with an epicardial, coronary Doppler flow velocity transducer. Distal coronary pressures were measured by an ultrathin pressure-monitoring guide wire (0.015 in.) with minimal influence on transstenotic pressure gradient. Fractional flow reserve was calculated from the pressure measurements and compared with relative maximum coronary artery flow measured directly by the Doppler flowmeter at three different levels of arterial pressure for each of 12 different severities of stenosis at each pressure level. Relative maximum blood flow through the stenotic artery (Qs) measured directly by the Doppler flowmeter showed an excellent correlation with the pressure-derived values of Qs (r = 0.98 +/- 0.01, intercept = 0.02 +/- 0.03, slope = 0.98 +/- 0.04), of the relative maximum myocardial flow (r = 0.98 +/- 0.02, intercept = 0.26 +/- 0.07, slope = 0.73 +/- 0.08), and of the collateral blood flow (r = 0.96 +/- 0.04, intercept = 0.24 +/- 0.07, slope = -0.24 +/- 0.06). Moreover, the theoretically predicted constant relation between mean arterial pressure and coronary wedge pressure, both corrected for venous pressure, was confirmed experimentally (r = 0.97 +/- 0.03, intercept = 9.5 +/- 13.3, slope = 4.4 +/- 1.2).\nCONCLUSIONS: These results provide the experimental basis for determining relative maximum flow or fractional flow reserve of both the epicardial coronary artery and the myocardium, including collateral flow, from pressure measurements during maximum arteriolar vasodilation. With a suitable guide wire for reliably measuring distal coronary pressure clinically, this method may have potential applications during percutaneous transluminal coronary angioplasty for assessing changes in the functional severity of coronary artery stenoses and for estimating collateral flow achievable during occlusion of the coronary artery.","container-title":"Circulation","ISSN":"0009-7322","issue":"4","journalAbbreviation":"Circulation","language":"eng","note":"PMID: 8462157","page":"1354-1367","source":"PubMed","title":"Experimental basis of determining maximum coronary, myocardial, and collateral blood flow by pressure measurements for assessing functional stenosis severity before and after percutaneous transluminal coronary angioplasty","volume":"87","author":[{"family":"Pijls","given":"N. H."},{"family":"Son","given":"J. A.","non-dropping-particle":"van"},{"family":"Kirkeeide","given":"R. L."},{"family":"De Bruyne","given":"B."},{"family":"Gould","given":"K. L."}],"issued":{"date-parts":[["1993",4]]}}}],"schema":"https://github.com/citation-style-language/schema/raw/master/csl-citation.json"} </w:instrText>
      </w:r>
      <w:r w:rsidR="00106A32" w:rsidRPr="00EC6C19">
        <w:rPr>
          <w:rFonts w:ascii="Times New Roman" w:hAnsi="Times New Roman" w:cs="Times New Roman"/>
          <w:sz w:val="24"/>
          <w:szCs w:val="24"/>
        </w:rPr>
        <w:fldChar w:fldCharType="separate"/>
      </w:r>
      <w:r w:rsidR="00B16605" w:rsidRPr="00EC6C19">
        <w:rPr>
          <w:rFonts w:ascii="Times New Roman" w:hAnsi="Times New Roman" w:cs="Times New Roman"/>
          <w:sz w:val="24"/>
          <w:szCs w:val="24"/>
        </w:rPr>
        <w:t xml:space="preserve">(Pijls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1993)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6B35BA" w:rsidRPr="00EC6C19">
        <w:rPr>
          <w:rFonts w:ascii="Times New Roman" w:hAnsi="Times New Roman" w:cs="Times New Roman"/>
          <w:sz w:val="24"/>
          <w:szCs w:val="24"/>
        </w:rPr>
        <w:t xml:space="preserve"> Pressure based</w:t>
      </w:r>
      <w:r w:rsidR="00884D9E" w:rsidRPr="00EC6C19">
        <w:rPr>
          <w:rFonts w:ascii="Times New Roman" w:hAnsi="Times New Roman" w:cs="Times New Roman"/>
          <w:sz w:val="24"/>
          <w:szCs w:val="24"/>
        </w:rPr>
        <w:t xml:space="preserve"> </w:t>
      </w:r>
      <w:r w:rsidR="006B35BA" w:rsidRPr="00EC6C19">
        <w:rPr>
          <w:rFonts w:ascii="Times New Roman" w:hAnsi="Times New Roman" w:cs="Times New Roman"/>
          <w:sz w:val="24"/>
          <w:szCs w:val="24"/>
        </w:rPr>
        <w:t>i</w:t>
      </w:r>
      <w:r w:rsidR="00311479" w:rsidRPr="00EC6C19">
        <w:rPr>
          <w:rFonts w:ascii="Times New Roman" w:hAnsi="Times New Roman" w:cs="Times New Roman"/>
          <w:sz w:val="24"/>
          <w:szCs w:val="24"/>
        </w:rPr>
        <w:t>ndices before FFR</w:t>
      </w:r>
      <w:r w:rsidRPr="00EC6C19">
        <w:rPr>
          <w:rFonts w:ascii="Times New Roman" w:hAnsi="Times New Roman" w:cs="Times New Roman"/>
          <w:sz w:val="24"/>
          <w:szCs w:val="24"/>
        </w:rPr>
        <w:t xml:space="preserve"> often used resting conditions and measured pressure gradients across a stenosis.</w:t>
      </w:r>
      <w:r w:rsidR="00884D9E" w:rsidRPr="00EC6C19">
        <w:rPr>
          <w:rFonts w:ascii="Times New Roman" w:hAnsi="Times New Roman" w:cs="Times New Roman"/>
          <w:sz w:val="24"/>
          <w:szCs w:val="24"/>
        </w:rPr>
        <w:t xml:space="preserve"> </w:t>
      </w:r>
      <w:r w:rsidR="002F31E6" w:rsidRPr="00EC6C19">
        <w:rPr>
          <w:rFonts w:ascii="Times New Roman" w:hAnsi="Times New Roman" w:cs="Times New Roman"/>
          <w:sz w:val="24"/>
          <w:szCs w:val="24"/>
        </w:rPr>
        <w:t>The concept was simple</w:t>
      </w:r>
      <w:r w:rsidR="00D4156F" w:rsidRPr="00EC6C19">
        <w:rPr>
          <w:rFonts w:ascii="Times New Roman" w:hAnsi="Times New Roman" w:cs="Times New Roman"/>
          <w:sz w:val="24"/>
          <w:szCs w:val="24"/>
        </w:rPr>
        <w:t>;</w:t>
      </w:r>
      <w:r w:rsidR="002F31E6" w:rsidRPr="00EC6C19">
        <w:rPr>
          <w:rFonts w:ascii="Times New Roman" w:hAnsi="Times New Roman" w:cs="Times New Roman"/>
          <w:sz w:val="24"/>
          <w:szCs w:val="24"/>
        </w:rPr>
        <w:t xml:space="preserve"> a stenosis creates a pressure difference between the proximal section of the artery, and the section distal to the stenosis. The difference is known as the gradient and indicate</w:t>
      </w:r>
      <w:r w:rsidR="00832E53" w:rsidRPr="00EC6C19">
        <w:rPr>
          <w:rFonts w:ascii="Times New Roman" w:hAnsi="Times New Roman" w:cs="Times New Roman"/>
          <w:sz w:val="24"/>
          <w:szCs w:val="24"/>
        </w:rPr>
        <w:t>s</w:t>
      </w:r>
      <w:r w:rsidR="002F31E6" w:rsidRPr="00EC6C19">
        <w:rPr>
          <w:rFonts w:ascii="Times New Roman" w:hAnsi="Times New Roman" w:cs="Times New Roman"/>
          <w:sz w:val="24"/>
          <w:szCs w:val="24"/>
        </w:rPr>
        <w:t xml:space="preserve"> the severity of the stenosis.</w:t>
      </w:r>
      <w:r w:rsidR="00B16605" w:rsidRPr="00EC6C19">
        <w:rPr>
          <w:rFonts w:ascii="Times New Roman" w:hAnsi="Times New Roman" w:cs="Times New Roman"/>
          <w:sz w:val="24"/>
          <w:szCs w:val="24"/>
        </w:rPr>
        <w:t xml:space="preserve"> </w:t>
      </w:r>
      <w:r w:rsidR="007673A5" w:rsidRPr="00EC6C19">
        <w:rPr>
          <w:rFonts w:ascii="Times New Roman" w:hAnsi="Times New Roman" w:cs="Times New Roman"/>
          <w:sz w:val="24"/>
          <w:szCs w:val="24"/>
        </w:rPr>
        <w:t>Pd / Pa is often described as a ratio between 0 and 1.</w:t>
      </w:r>
      <w:r w:rsidR="00311479" w:rsidRPr="00EC6C19">
        <w:rPr>
          <w:rFonts w:ascii="Times New Roman" w:hAnsi="Times New Roman" w:cs="Times New Roman"/>
          <w:sz w:val="24"/>
          <w:szCs w:val="24"/>
        </w:rPr>
        <w:t>Grüntzig applied this concept</w:t>
      </w:r>
      <w:r w:rsidR="00DE7347" w:rsidRPr="00EC6C19">
        <w:rPr>
          <w:rFonts w:ascii="Times New Roman" w:hAnsi="Times New Roman" w:cs="Times New Roman"/>
          <w:sz w:val="24"/>
          <w:szCs w:val="24"/>
        </w:rPr>
        <w:t xml:space="preserve"> in 1979 on 32 patients who underwent percutaneous balloon angioplasty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{"citationID":"lUcK87O3","properties":{"formattedCitation":"(Gr\\uc0\\u252{}ntzig, Senning and Siegenthaler, 1979)","plainCitation":"(Grüntzig, Senning and Siegenthaler, 1979)","noteIndex":0},"citationItems":[{"id":489,"uris":["http://zotero.org/users/local/k67tNDdX/items/4UUYFK4L"],"uri":["http://zotero.org/users/local/k67tNDdX/items/4UUYFK4L"],"itemData":{"id":489,"type":"article-journal","abstract":"IN 1964, Dotter and Judkins1 introduced the technic of transluminal angioplasty for the treatment of atherosclerotic obstruction of the femoral artery. Despite their enthusiasm, the technic has been largely ignored in the United States. In Europe, however, several physicians have used this technic to treat large numbers of patients.2 Because of the technical difficulties, complications and limited usefulness of transluminal angioplasty in the treatment of obstruction of the peripheral arteries, we sought to modify the original technic of Dotter and Judkins. A double-lumen dilatation catheter with a nonelastic balloon was developed.3 Such catheters have been used since February, 1974, in . . .","container-title":"New England Journal of Medicine","DOI":"10.1056/NEJM197907123010201","ISSN":"0028-4793","issue":"2","note":"PMID: 449946","page":"61-68","source":"Taylor and Francis+NEJM","title":"Nonoperative Dilatation of Coronary-Artery Stenosis","volume":"301","author":[{"family":"Grüntzig","given":"Andreas R."},{"family":"Senning","given":"Åke"},{"family":"Siegenthaler","given":"Walter E."}],"issued":{"date-parts":[["1979",7,12]]}}}],"schema":"https://github.com/citation-style-language/schema/raw/master/csl-citation.json"}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(Grüntzig, Senning and Siegenthaler, 1979)</w:t>
      </w:r>
      <w:r w:rsidR="00106A32" w:rsidRPr="00EC6C19">
        <w:rPr>
          <w:rFonts w:ascii="Times New Roman" w:hAnsi="Times New Roman" w:cs="Times New Roman"/>
          <w:sz w:val="24"/>
          <w:szCs w:val="24"/>
        </w:rPr>
        <w:fldChar w:fldCharType="end"/>
      </w:r>
      <w:r w:rsidR="00DE7347" w:rsidRPr="00EC6C19">
        <w:rPr>
          <w:rFonts w:ascii="Times New Roman" w:hAnsi="Times New Roman" w:cs="Times New Roman"/>
          <w:sz w:val="24"/>
          <w:szCs w:val="24"/>
        </w:rPr>
        <w:t xml:space="preserve">. </w:t>
      </w:r>
      <w:r w:rsidR="002146FC" w:rsidRPr="00EC6C19">
        <w:rPr>
          <w:rFonts w:ascii="Times New Roman" w:hAnsi="Times New Roman" w:cs="Times New Roman"/>
          <w:sz w:val="24"/>
          <w:szCs w:val="24"/>
        </w:rPr>
        <w:t xml:space="preserve">Wijns also conducted similar research in 1985 </w:t>
      </w:r>
      <w:r w:rsidR="00106A32" w:rsidRPr="00EC6C19">
        <w:rPr>
          <w:rFonts w:ascii="Times New Roman" w:hAnsi="Times New Roman" w:cs="Times New Roman"/>
          <w:sz w:val="24"/>
          <w:szCs w:val="24"/>
        </w:rPr>
        <w:fldChar w:fldCharType="begin"/>
      </w:r>
      <w:r w:rsidR="002146FC" w:rsidRPr="00EC6C19">
        <w:rPr>
          <w:rFonts w:ascii="Times New Roman" w:hAnsi="Times New Roman" w:cs="Times New Roman"/>
          <w:sz w:val="24"/>
          <w:szCs w:val="24"/>
        </w:rPr>
        <w:instrText xml:space="preserve"> ADDIN ZOTERO_ITEM CSL_CITATION {"citationID":"TInNGYyC","properties":{"formattedCitation":"(Wijns et al., 1985)","plainCitation":"(Wijns et al., 1985)","noteIndex":0},"citationItems":[{"id":493,"uris":["http://zotero.org/users/local/k67tNDdX/items/7Q7DY3TP"],"uri":["http://zotero.org/users/local/k67tNDdX/items/7Q7DY3TP"],"itemData":{"id":493,"type":"article-journal","abstract":"To evaluate, during cardiac catheterization, what constitutes a physiologically significant obstruction to blood flow in the human coronary system, computer-based quantitative analysis of coronary angiograms was performed on the angiograms of 31 patients with isolated disease of the proximal left anterior descending coronary artery. The angiographic severity of stenosis was compared with the transstenotic pressure gradient measured with the dilation catheter during angioplasty and with the results of exercise thallium scintigraphy. A curvilinear relationship was found between the pressure gradient across the stenosis (normalized for the mean aortic pressure) and the residual minimal area of obstruction (after subtracting the area of the angioplasty catheter). This relationship was best fitted by the equation: normalized mean pressure gradient = a + b . log [obstruction area], r = .74. The measurements of the percent area of stenosis (cutoff 80%) and of the transstenotic pressure gradient (cutoff 0.30) obtained at rest correctly predicted the occurrence of thallium perfusion defects induced by exercise in 83% of the patients.","container-title":"Circulation","ISSN":"0009-7322","issue":"2","journalAbbreviation":"Circulation","language":"eng","note":"PMID: 3965171","page":"273-279","source":"PubMed","title":"Quantitative angiography of the left anterior descending coronary artery: correlations with pressure gradient and results of exercise thallium scintigraphy","title-short":"Quantitative angiography of the left anterior descending coronary artery","volume":"71","author":[{"family":"Wijns","given":"W."},{"family":"Serruys","given":"P. W."},{"family":"Reiber","given":"J. H."},{"family":"Brand","given":"M.","non-dropping-particle":"van den"},{"family":"Simoons","given":"M. L."},{"family":"Kooijman","given":"C. J."},{"family":"Balakumaran","given":"K."},{"family":"Hugenholtz","given":"P. G."}],"issued":{"date-parts":[["1985",2]]}}}],"schema":"https://github.com/citation-style-language/schema/raw/master/csl-citation.json"} </w:instrText>
      </w:r>
      <w:r w:rsidR="00106A32" w:rsidRPr="00EC6C19">
        <w:rPr>
          <w:rFonts w:ascii="Times New Roman" w:hAnsi="Times New Roman" w:cs="Times New Roman"/>
          <w:sz w:val="24"/>
          <w:szCs w:val="24"/>
        </w:rPr>
        <w:fldChar w:fldCharType="separate"/>
      </w:r>
      <w:r w:rsidR="002146FC" w:rsidRPr="00EC6C19">
        <w:rPr>
          <w:rFonts w:ascii="Times New Roman" w:hAnsi="Times New Roman" w:cs="Times New Roman"/>
          <w:sz w:val="24"/>
          <w:szCs w:val="24"/>
        </w:rPr>
        <w:t xml:space="preserve">(Wijns </w:t>
      </w:r>
      <w:r w:rsidR="00B22321" w:rsidRPr="00EC6C19">
        <w:rPr>
          <w:rFonts w:ascii="Times New Roman" w:hAnsi="Times New Roman" w:cs="Times New Roman"/>
          <w:sz w:val="24"/>
          <w:szCs w:val="24"/>
        </w:rPr>
        <w:t>et al.,</w:t>
      </w:r>
      <w:r w:rsidR="002146FC" w:rsidRPr="00EC6C19">
        <w:rPr>
          <w:rFonts w:ascii="Times New Roman" w:hAnsi="Times New Roman" w:cs="Times New Roman"/>
          <w:sz w:val="24"/>
          <w:szCs w:val="24"/>
        </w:rPr>
        <w:t xml:space="preserve"> 1985)</w:t>
      </w:r>
      <w:r w:rsidR="00106A32" w:rsidRPr="00EC6C19">
        <w:rPr>
          <w:rFonts w:ascii="Times New Roman" w:hAnsi="Times New Roman" w:cs="Times New Roman"/>
          <w:sz w:val="24"/>
          <w:szCs w:val="24"/>
        </w:rPr>
        <w:fldChar w:fldCharType="end"/>
      </w:r>
      <w:r w:rsidR="002146FC" w:rsidRPr="00EC6C19">
        <w:rPr>
          <w:rFonts w:ascii="Times New Roman" w:hAnsi="Times New Roman" w:cs="Times New Roman"/>
          <w:sz w:val="24"/>
          <w:szCs w:val="24"/>
        </w:rPr>
        <w:t xml:space="preserve">. </w:t>
      </w:r>
      <w:r w:rsidR="008D7BFB" w:rsidRPr="00EC6C19">
        <w:rPr>
          <w:rFonts w:ascii="Times New Roman" w:hAnsi="Times New Roman" w:cs="Times New Roman"/>
          <w:sz w:val="24"/>
          <w:szCs w:val="24"/>
        </w:rPr>
        <w:t xml:space="preserve">Resting </w:t>
      </w:r>
      <w:r w:rsidR="008D7BFB" w:rsidRPr="00EC6C19">
        <w:rPr>
          <w:rFonts w:ascii="Times New Roman" w:hAnsi="Times New Roman" w:cs="Times New Roman"/>
          <w:sz w:val="24"/>
          <w:szCs w:val="24"/>
        </w:rPr>
        <w:lastRenderedPageBreak/>
        <w:t>indices have been superseded by FFR, but have</w:t>
      </w:r>
      <w:r w:rsidR="002F31E6" w:rsidRPr="00EC6C19">
        <w:rPr>
          <w:rFonts w:ascii="Times New Roman" w:hAnsi="Times New Roman" w:cs="Times New Roman"/>
          <w:sz w:val="24"/>
          <w:szCs w:val="24"/>
        </w:rPr>
        <w:t xml:space="preserve"> made a re-appearance in recent research, and will be described </w:t>
      </w:r>
      <w:r w:rsidR="00977CA6" w:rsidRPr="00EC6C19">
        <w:rPr>
          <w:rFonts w:ascii="Times New Roman" w:hAnsi="Times New Roman" w:cs="Times New Roman"/>
          <w:sz w:val="24"/>
          <w:szCs w:val="24"/>
        </w:rPr>
        <w:t>separately.</w:t>
      </w:r>
      <w:r w:rsidR="00977CA6" w:rsidRPr="00EC6C19">
        <w:rPr>
          <w:rFonts w:ascii="Times New Roman" w:hAnsi="Times New Roman" w:cs="Times New Roman"/>
          <w:color w:val="FF0000"/>
          <w:sz w:val="24"/>
          <w:szCs w:val="24"/>
        </w:rPr>
        <w:t xml:space="preserve"> </w:t>
      </w:r>
      <w:r w:rsidR="00977CA6" w:rsidRPr="005119FF">
        <w:rPr>
          <w:rFonts w:ascii="Times New Roman" w:hAnsi="Times New Roman" w:cs="Times New Roman"/>
          <w:sz w:val="24"/>
          <w:szCs w:val="24"/>
        </w:rPr>
        <w:t>Figure</w:t>
      </w:r>
      <w:r w:rsidR="00832E53" w:rsidRPr="005119FF">
        <w:rPr>
          <w:rFonts w:ascii="Times New Roman" w:hAnsi="Times New Roman" w:cs="Times New Roman"/>
          <w:sz w:val="24"/>
          <w:szCs w:val="24"/>
        </w:rPr>
        <w:t xml:space="preserve"> </w:t>
      </w:r>
      <w:r w:rsidR="005119FF" w:rsidRPr="005119FF">
        <w:rPr>
          <w:rFonts w:ascii="Times New Roman" w:hAnsi="Times New Roman" w:cs="Times New Roman"/>
          <w:sz w:val="24"/>
          <w:szCs w:val="24"/>
        </w:rPr>
        <w:t>6</w:t>
      </w:r>
      <w:r w:rsidR="00832E53" w:rsidRPr="005119FF">
        <w:rPr>
          <w:rFonts w:ascii="Times New Roman" w:hAnsi="Times New Roman" w:cs="Times New Roman"/>
          <w:sz w:val="24"/>
          <w:szCs w:val="24"/>
        </w:rPr>
        <w:t xml:space="preserve"> demonstrates</w:t>
      </w:r>
      <w:r w:rsidR="00832E53" w:rsidRPr="00EC6C19">
        <w:rPr>
          <w:rFonts w:ascii="Times New Roman" w:hAnsi="Times New Roman" w:cs="Times New Roman"/>
          <w:sz w:val="24"/>
          <w:szCs w:val="24"/>
        </w:rPr>
        <w:t xml:space="preserve"> a resting stenosis measurement, known as Pd (distal pressure) over Pa (aortic / proximal pressure).</w:t>
      </w:r>
    </w:p>
    <w:p w14:paraId="626ED9C8" w14:textId="77777777" w:rsidR="005A5CF7" w:rsidRPr="00EC6C19" w:rsidRDefault="007673A5" w:rsidP="003D0DD4">
      <w:pPr>
        <w:spacing w:line="360" w:lineRule="auto"/>
        <w:rPr>
          <w:rFonts w:ascii="Times New Roman" w:hAnsi="Times New Roman" w:cs="Times New Roman"/>
          <w:b/>
          <w:sz w:val="24"/>
          <w:szCs w:val="24"/>
        </w:rPr>
      </w:pPr>
      <w:r w:rsidRPr="00EC6C19">
        <w:rPr>
          <w:rFonts w:ascii="Times New Roman" w:hAnsi="Times New Roman" w:cs="Times New Roman"/>
          <w:b/>
          <w:noProof/>
          <w:sz w:val="24"/>
          <w:szCs w:val="24"/>
          <w:lang w:eastAsia="en-GB"/>
        </w:rPr>
        <w:drawing>
          <wp:inline distT="0" distB="0" distL="0" distR="0" wp14:anchorId="184DE24C" wp14:editId="7EEF4A2F">
            <wp:extent cx="5429250" cy="1809750"/>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a:stretch>
                      <a:fillRect/>
                    </a:stretch>
                  </pic:blipFill>
                  <pic:spPr bwMode="auto">
                    <a:xfrm>
                      <a:off x="0" y="0"/>
                      <a:ext cx="5429250" cy="1809750"/>
                    </a:xfrm>
                    <a:prstGeom prst="rect">
                      <a:avLst/>
                    </a:prstGeom>
                    <a:noFill/>
                    <a:ln w="9525">
                      <a:noFill/>
                      <a:miter lim="800000"/>
                      <a:headEnd/>
                      <a:tailEnd/>
                    </a:ln>
                  </pic:spPr>
                </pic:pic>
              </a:graphicData>
            </a:graphic>
          </wp:inline>
        </w:drawing>
      </w:r>
    </w:p>
    <w:p w14:paraId="51A5C70A" w14:textId="77777777" w:rsidR="005119FF" w:rsidRPr="005119FF" w:rsidRDefault="005119FF" w:rsidP="005119FF">
      <w:pPr>
        <w:pStyle w:val="Caption"/>
        <w:spacing w:line="360" w:lineRule="auto"/>
        <w:rPr>
          <w:rFonts w:ascii="Times New Roman" w:hAnsi="Times New Roman" w:cs="Times New Roman"/>
          <w:b w:val="0"/>
          <w:i/>
          <w:color w:val="auto"/>
          <w:sz w:val="24"/>
          <w:szCs w:val="24"/>
        </w:rPr>
      </w:pPr>
      <w:bookmarkStart w:id="32" w:name="_Toc44684895"/>
      <w:r w:rsidRPr="005119FF">
        <w:rPr>
          <w:rFonts w:ascii="Times New Roman" w:hAnsi="Times New Roman" w:cs="Times New Roman"/>
          <w:b w:val="0"/>
          <w:i/>
          <w:color w:val="auto"/>
          <w:sz w:val="24"/>
          <w:szCs w:val="24"/>
        </w:rPr>
        <w:t xml:space="preserve">Figure </w:t>
      </w:r>
      <w:r w:rsidR="00106A32" w:rsidRPr="005119FF">
        <w:rPr>
          <w:rFonts w:ascii="Times New Roman" w:hAnsi="Times New Roman" w:cs="Times New Roman"/>
          <w:b w:val="0"/>
          <w:i/>
          <w:color w:val="auto"/>
          <w:sz w:val="24"/>
          <w:szCs w:val="24"/>
        </w:rPr>
        <w:fldChar w:fldCharType="begin"/>
      </w:r>
      <w:r w:rsidRPr="005119FF">
        <w:rPr>
          <w:rFonts w:ascii="Times New Roman" w:hAnsi="Times New Roman" w:cs="Times New Roman"/>
          <w:b w:val="0"/>
          <w:i/>
          <w:color w:val="auto"/>
          <w:sz w:val="24"/>
          <w:szCs w:val="24"/>
        </w:rPr>
        <w:instrText xml:space="preserve"> SEQ Figure \* ARABIC </w:instrText>
      </w:r>
      <w:r w:rsidR="00106A32" w:rsidRPr="005119FF">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6</w:t>
      </w:r>
      <w:r w:rsidR="00106A32" w:rsidRPr="005119FF">
        <w:rPr>
          <w:rFonts w:ascii="Times New Roman" w:hAnsi="Times New Roman" w:cs="Times New Roman"/>
          <w:b w:val="0"/>
          <w:i/>
          <w:color w:val="auto"/>
          <w:sz w:val="24"/>
          <w:szCs w:val="24"/>
        </w:rPr>
        <w:fldChar w:fldCharType="end"/>
      </w:r>
      <w:r w:rsidRPr="005119FF">
        <w:rPr>
          <w:rFonts w:ascii="Times New Roman" w:hAnsi="Times New Roman" w:cs="Times New Roman"/>
          <w:b w:val="0"/>
          <w:i/>
          <w:color w:val="auto"/>
          <w:sz w:val="24"/>
          <w:szCs w:val="24"/>
        </w:rPr>
        <w:t xml:space="preserve"> - demonstration of Pa and Pd. Pd / Pa gives a ratio which is used to assess stenosis severity</w:t>
      </w:r>
      <w:bookmarkEnd w:id="32"/>
    </w:p>
    <w:p w14:paraId="5FD1AE5C" w14:textId="77777777" w:rsidR="005119FF" w:rsidRDefault="005119FF" w:rsidP="003D0DD4">
      <w:pPr>
        <w:spacing w:line="360" w:lineRule="auto"/>
        <w:rPr>
          <w:rFonts w:ascii="Times New Roman" w:hAnsi="Times New Roman" w:cs="Times New Roman"/>
          <w:i/>
          <w:sz w:val="24"/>
          <w:szCs w:val="24"/>
        </w:rPr>
      </w:pPr>
    </w:p>
    <w:p w14:paraId="0A1AF690" w14:textId="77777777" w:rsidR="00FE52EA" w:rsidRPr="00EC6C19" w:rsidRDefault="00872C29" w:rsidP="003D0DD4">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 major breakthrough came with the introduction of coronary vasodilators, </w:t>
      </w:r>
      <w:r w:rsidR="005A5CF7" w:rsidRPr="00EC6C19">
        <w:rPr>
          <w:rFonts w:ascii="Times New Roman" w:hAnsi="Times New Roman" w:cs="Times New Roman"/>
          <w:sz w:val="24"/>
          <w:szCs w:val="24"/>
        </w:rPr>
        <w:t>culminating</w:t>
      </w:r>
      <w:r w:rsidRPr="00EC6C19">
        <w:rPr>
          <w:rFonts w:ascii="Times New Roman" w:hAnsi="Times New Roman" w:cs="Times New Roman"/>
          <w:sz w:val="24"/>
          <w:szCs w:val="24"/>
        </w:rPr>
        <w:t xml:space="preserve"> in </w:t>
      </w:r>
      <w:r w:rsidR="005A5CF7" w:rsidRPr="00EC6C19">
        <w:rPr>
          <w:rFonts w:ascii="Times New Roman" w:hAnsi="Times New Roman" w:cs="Times New Roman"/>
          <w:sz w:val="24"/>
          <w:szCs w:val="24"/>
        </w:rPr>
        <w:t xml:space="preserve">the use of </w:t>
      </w:r>
      <w:r w:rsidRPr="00EC6C19">
        <w:rPr>
          <w:rFonts w:ascii="Times New Roman" w:hAnsi="Times New Roman" w:cs="Times New Roman"/>
          <w:sz w:val="24"/>
          <w:szCs w:val="24"/>
        </w:rPr>
        <w:t xml:space="preserve">adenosine in 1990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{"citationID":"gdpRmu0O","properties":{"formattedCitation":"(Wilson et al., 1990)","plainCitation":"(Wilson et al., 1990)","noteIndex":0},"citationItems":[{"id":482,"uris":["http://zotero.org/users/local/k67tNDdX/items/VSSXDQJ2"],"uri":["http://zotero.org/users/local/k67tNDdX/items/VSSXDQJ2"],"itemData":{"id":482,"type":"article-journal","abstract":"Adenosine is a potent vasodilator used extensively to study the coronary circulation of animals. Its use in humans, however, has been hampered by lack of knowledge about its effects on the human coronary circulation and by concern about its safety. We investigated in humans the effects of adenosine, administered by intracoronary bolus (2-16 micrograms), intracoronary infusion (10-240 micrograms/min), or intravenous infusion (35-140 micrograms/kg/min) on coronary and systemic hemodynamics and the electrocardiogram. Coronary blood flow velocity (CBFV) was measured with a 3F coronary Doppler catheter. The maximal CBFV was determined with intracoronary papaverine (4.5 +/- 0.2.resting CBFV). In normal left coronary arteries (n = 20), 16-micrograms boluses of adenosine caused coronary hyperemia similar to that caused by papaverine (4.6 +/- 0.7.resting CBFV). In the right coronary artery (n = 5), 12-micrograms boluses caused maximal hyperemia (4.4 +/- 1.0.resting CBFV). Intracoronary boluses caused a small, brief decrease in arterial pressure (similar to that caused by papaverine) and no changes in heart rate or in the electrocardiogram. The duration of hyperemia was much shorter after adenosine than after papaverine administration. Intracoronary infusions of 80 micrograms/min or more into the left coronary artery (n = 6) also caused maximal hyperemia (4.4 +/- 0.1.resting CBFV), and doses up to 240 micrograms/min caused a minimal decrease in arterial pressure (-6 +/- 2 mm Hg) and no significant change in heart rate or in electrocardiographic variables. Intravenous infusions in normal patients (n = 25) at 140 micrograms/kg/min caused coronary vasodilation similar to that caused by papaverine in 84% of patients (4.4 +/- 0.9.resting CBFV). At submaximal infusion rates, however, CBFV often fluctuated widely. During the 140-micrograms/kg/min infusion, arterial pressure decreased 6 +/- 7 mm Hg, and heart rate increased 24 +/- 14 beats/min. One patient developed 1 cycle of 2:1 atrioventricular block, but otherwise, the electrocardiogram did not change. In eight patients with microvascular vasodilator dysfunction (delta CBFV, less than 3.5 peak/resting velocity after a maximally vasodilating dose of intracoronary papaverine), the dose-response characteristics to intracoronary boluses and intravenous infusions of adenosine were similar to those found in normal patients.(ABSTRACT TRUNCATED AT 400 WORDS)","container-title":"Circulation","ISSN":"0009-7322","issue":"5","journalAbbreviation":"Circulation","language":"eng","note":"PMID: 2225364","page":"1595-1606","source":"PubMed","title":"Effects of adenosine on human coronary arterial circulation","volume":"82","author":[{"family":"Wilson","given":"R. F."},{"family":"Wyche","given":"K."},{"family":"Christensen","given":"B. V."},{"family":"Zimmer","given":"S."},{"family":"Laxson","given":"D. D."}],"issued":{"date-parts":[["1990",11]]}}}],"schema":"https://github.com/citation-style-language/schema/raw/master/csl-citation.json"}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(Wilson et al., 1990)</w:t>
      </w:r>
      <w:r w:rsidR="00106A32" w:rsidRPr="00EC6C19">
        <w:rPr>
          <w:rFonts w:ascii="Times New Roman" w:hAnsi="Times New Roman" w:cs="Times New Roman"/>
          <w:sz w:val="24"/>
          <w:szCs w:val="24"/>
        </w:rPr>
        <w:fldChar w:fldCharType="end"/>
      </w:r>
      <w:r w:rsidR="00D4156F" w:rsidRPr="00EC6C19">
        <w:rPr>
          <w:rFonts w:ascii="Times New Roman" w:hAnsi="Times New Roman" w:cs="Times New Roman"/>
          <w:sz w:val="24"/>
          <w:szCs w:val="24"/>
        </w:rPr>
        <w:t xml:space="preserve"> and in turn FFR</w:t>
      </w:r>
      <w:r w:rsidRPr="00EC6C19">
        <w:rPr>
          <w:rFonts w:ascii="Times New Roman" w:hAnsi="Times New Roman" w:cs="Times New Roman"/>
          <w:sz w:val="24"/>
          <w:szCs w:val="24"/>
        </w:rPr>
        <w:t xml:space="preserve">. These agents induce hyperaemia, </w:t>
      </w:r>
      <w:r w:rsidR="00A56D8E">
        <w:rPr>
          <w:rFonts w:ascii="Times New Roman" w:hAnsi="Times New Roman" w:cs="Times New Roman"/>
          <w:sz w:val="24"/>
          <w:szCs w:val="24"/>
        </w:rPr>
        <w:t xml:space="preserve">which is critical </w:t>
      </w:r>
      <w:r w:rsidRPr="00EC6C19">
        <w:rPr>
          <w:rFonts w:ascii="Times New Roman" w:hAnsi="Times New Roman" w:cs="Times New Roman"/>
          <w:sz w:val="24"/>
          <w:szCs w:val="24"/>
        </w:rPr>
        <w:t xml:space="preserve">for lesion assessment. Adenosine and hyperaemia, induce a closer physiological state to exercise, than a resting state. Furthermore, coronary autoregulation maintains coronary flow over a wide blood pressure range by adjustment of coronary resistance (mostly from the microcirculation). Using vasodilatory agents, reduces resistance to a steady minimal state, allowing </w:t>
      </w:r>
      <w:r w:rsidR="002B5FC8" w:rsidRPr="00EC6C19">
        <w:rPr>
          <w:rFonts w:ascii="Times New Roman" w:hAnsi="Times New Roman" w:cs="Times New Roman"/>
          <w:sz w:val="24"/>
          <w:szCs w:val="24"/>
        </w:rPr>
        <w:t xml:space="preserve">us to isolate the </w:t>
      </w:r>
      <w:r w:rsidRPr="00EC6C19">
        <w:rPr>
          <w:rFonts w:ascii="Times New Roman" w:hAnsi="Times New Roman" w:cs="Times New Roman"/>
          <w:sz w:val="24"/>
          <w:szCs w:val="24"/>
        </w:rPr>
        <w:t xml:space="preserve">stenosis </w:t>
      </w:r>
      <w:r w:rsidR="002B5FC8" w:rsidRPr="00EC6C19">
        <w:rPr>
          <w:rFonts w:ascii="Times New Roman" w:hAnsi="Times New Roman" w:cs="Times New Roman"/>
          <w:sz w:val="24"/>
          <w:szCs w:val="24"/>
        </w:rPr>
        <w:t xml:space="preserve">and assess a change in </w:t>
      </w:r>
      <w:r w:rsidRPr="00EC6C19">
        <w:rPr>
          <w:rFonts w:ascii="Times New Roman" w:hAnsi="Times New Roman" w:cs="Times New Roman"/>
          <w:sz w:val="24"/>
          <w:szCs w:val="24"/>
        </w:rPr>
        <w:t>pressure gradients, on</w:t>
      </w:r>
      <w:r w:rsidR="002B5FC8" w:rsidRPr="00EC6C19">
        <w:rPr>
          <w:rFonts w:ascii="Times New Roman" w:hAnsi="Times New Roman" w:cs="Times New Roman"/>
          <w:sz w:val="24"/>
          <w:szCs w:val="24"/>
        </w:rPr>
        <w:t>c</w:t>
      </w:r>
      <w:r w:rsidRPr="00EC6C19">
        <w:rPr>
          <w:rFonts w:ascii="Times New Roman" w:hAnsi="Times New Roman" w:cs="Times New Roman"/>
          <w:sz w:val="24"/>
          <w:szCs w:val="24"/>
        </w:rPr>
        <w:t xml:space="preserve">e autoregulation is inhibited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{"citationID":"rPxxfxk3","properties":{"formattedCitation":"(Johnson, Kirkeeide and Gould, 2015)","plainCitation":"(Johnson, Kirkeeide and Gould, 2015)","dontUpdate":true,"noteIndex":0},"citationItems":[{"id":476,"uris":["http://zotero.org/users/local/k67tNDdX/items/GGM6W2SF"],"uri":["http://zotero.org/users/local/k67tNDdX/items/GGM6W2SF"],"itemData":{"id":476,"type":"article-journal","abstract":"We discuss the historical development of clinical coronary physiology, emphasizing coronary flow reserve (CFR) and fractional flow reserve (FFR). Our analysis focuses on the clinical motivations and technologic advances that prompted and enabled the application of physiology for patient diagnosis. CFR grew from the general concepts of physiologic and coronary reserve, linking the anatomic severity of a lesion to its impact on hyperemic flow. FFR developed from existing models relating pressure measurements to the potential for flow to increase after removing a stenosis. Because pressure measurements have proved easier and more robust than flow measurements, FFR has become the dominant metric.","container-title":"Interventional Cardiology Clinics","DOI":"10.1016/j.iccl.2015.06.001","ISSN":"2211-7466","issue":"4","journalAbbreviation":"Interv Cardiol Clin","language":"eng","note":"PMID: 28581927","page":"397-410","source":"PubMed","title":"History and Development of Coronary Flow Reserve and Fractional Flow Reserve for Clinical Applications","volume":"4","author":[{"family":"Johnson","given":"Nils P."},{"family":"Kirkeeide","given":"Richard L."},{"family":"Gould","given":"K. Lance"}],"issued":{"date-parts":[["2015",10]]}}}],"schema":"https://github.com/citation-style-language/schema/raw/master/csl-citation.json"}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(Johnson, Kirkeeide and Gould, 2015</w:t>
      </w:r>
      <w:r w:rsidR="00106A32" w:rsidRPr="00EC6C19">
        <w:rPr>
          <w:rFonts w:ascii="Times New Roman" w:hAnsi="Times New Roman" w:cs="Times New Roman"/>
          <w:sz w:val="24"/>
          <w:szCs w:val="24"/>
        </w:rPr>
        <w:fldChar w:fldCharType="end"/>
      </w:r>
      <w:r w:rsidR="00B22321" w:rsidRPr="00EC6C19">
        <w:rPr>
          <w:rFonts w:ascii="Times New Roman" w:hAnsi="Times New Roman" w:cs="Times New Roman"/>
          <w:sz w:val="24"/>
          <w:szCs w:val="24"/>
        </w:rPr>
        <w:t>;</w:t>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{"citationID":"M3vF1kyg","properties":{"formattedCitation":"(Blows and Redwood, 2007)","plainCitation":"(Blows and Redwood, 2007)","dontUpdate":true,"noteIndex":0},"citationItems":[{"id":484,"uris":["http://zotero.org/users/local/k67tNDdX/items/JWS6XCQ9"],"uri":["http://zotero.org/users/local/k67tNDdX/items/JWS6XCQ9"],"itemData":{"id":484,"type":"article-journal","abstract":"Fractional flow reserve (FFR) is increasingly used to evaluate the functional significance of epicardial coronary disease. When compared with non‐invasive techniques this index has superior sensitivity and specificity, is largely independent of prevailing haemodynamic conditions and has an unequivocal normal value. Furthermore, it can be used at the time of invasive coronary assessment. FFR measurements are invaluable for evaluation of intermediate coronary lesions but clinical decisions must be based on accurate measurements and an understanding of the limitations of the data supporting its use. This article identifies procedural and clinical issues pertaining to measurement of FFR and identifies potential pitfalls and situations where interpretation can be difficult; for example, the presence of serial stenoses and left main stem disease, its use in specific conditions such as diffuse epicardial disease, microvascular abnormalities, left ventricular dysfunction and acute coronary syndromes.","container-title":"Heart","DOI":"10.1136/hrt.2005.066837","ISSN":"1355-6037","issue":"4","journalAbbreviation":"Heart","note":"PMID: 16670101\nPMCID: PMC1861489","page":"419-422","source":"PubMed Central","title":"The pressure wire in practice","volume":"93","author":[{"family":"Blows","given":"Lucy J"},{"family":"Redwood","given":"Simon R"}],"issued":{"date-parts":[["2007",4]]}}}],"schema":"https://github.com/citation-style-language/schema/raw/master/csl-citation.json"}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Blows and Redwood, 2007)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2B5FC8" w:rsidRPr="00EC6C19">
        <w:rPr>
          <w:rFonts w:ascii="Times New Roman" w:hAnsi="Times New Roman" w:cs="Times New Roman"/>
          <w:sz w:val="24"/>
          <w:szCs w:val="24"/>
        </w:rPr>
        <w:t xml:space="preserve"> This is the functional basis of fractional flow reserve.</w:t>
      </w:r>
    </w:p>
    <w:p w14:paraId="47719E72" w14:textId="77777777" w:rsidR="003D0DD4" w:rsidRDefault="003D0DD4" w:rsidP="0074445C">
      <w:pPr>
        <w:spacing w:line="360" w:lineRule="auto"/>
        <w:rPr>
          <w:rFonts w:ascii="Times New Roman" w:hAnsi="Times New Roman" w:cs="Times New Roman"/>
          <w:sz w:val="24"/>
          <w:szCs w:val="24"/>
        </w:rPr>
      </w:pPr>
    </w:p>
    <w:p w14:paraId="6CD854BA" w14:textId="77777777" w:rsidR="00816506" w:rsidRDefault="00816506" w:rsidP="0074445C">
      <w:pPr>
        <w:spacing w:line="360" w:lineRule="auto"/>
        <w:rPr>
          <w:rFonts w:ascii="Times New Roman" w:hAnsi="Times New Roman" w:cs="Times New Roman"/>
          <w:sz w:val="24"/>
          <w:szCs w:val="24"/>
        </w:rPr>
      </w:pPr>
    </w:p>
    <w:p w14:paraId="42375131" w14:textId="77777777" w:rsidR="00816506" w:rsidRDefault="00816506" w:rsidP="0074445C">
      <w:pPr>
        <w:spacing w:line="360" w:lineRule="auto"/>
        <w:rPr>
          <w:rFonts w:ascii="Times New Roman" w:hAnsi="Times New Roman" w:cs="Times New Roman"/>
          <w:sz w:val="24"/>
          <w:szCs w:val="24"/>
        </w:rPr>
      </w:pPr>
    </w:p>
    <w:p w14:paraId="5F3294BF" w14:textId="77777777" w:rsidR="00816506" w:rsidRPr="00EC6C19" w:rsidRDefault="00816506" w:rsidP="0074445C">
      <w:pPr>
        <w:spacing w:line="360" w:lineRule="auto"/>
        <w:rPr>
          <w:rFonts w:ascii="Times New Roman" w:hAnsi="Times New Roman" w:cs="Times New Roman"/>
          <w:sz w:val="24"/>
          <w:szCs w:val="24"/>
        </w:rPr>
      </w:pPr>
    </w:p>
    <w:p w14:paraId="32815C52" w14:textId="77777777" w:rsidR="003D0DD4" w:rsidRPr="00A00967" w:rsidRDefault="00C54823" w:rsidP="00A00967">
      <w:pPr>
        <w:pStyle w:val="Heading3"/>
        <w:rPr>
          <w:rFonts w:ascii="Times New Roman" w:hAnsi="Times New Roman" w:cs="Times New Roman"/>
          <w:b w:val="0"/>
          <w:i/>
          <w:color w:val="auto"/>
          <w:sz w:val="24"/>
          <w:szCs w:val="24"/>
        </w:rPr>
      </w:pPr>
      <w:bookmarkStart w:id="33" w:name="_Toc80302174"/>
      <w:r>
        <w:rPr>
          <w:rFonts w:ascii="Times New Roman" w:hAnsi="Times New Roman" w:cs="Times New Roman"/>
          <w:b w:val="0"/>
          <w:i/>
          <w:color w:val="auto"/>
          <w:sz w:val="24"/>
          <w:szCs w:val="24"/>
        </w:rPr>
        <w:lastRenderedPageBreak/>
        <w:t xml:space="preserve">1.8.2 - </w:t>
      </w:r>
      <w:r w:rsidR="008D7BFB" w:rsidRPr="00A00967">
        <w:rPr>
          <w:rFonts w:ascii="Times New Roman" w:hAnsi="Times New Roman" w:cs="Times New Roman"/>
          <w:b w:val="0"/>
          <w:i/>
          <w:color w:val="auto"/>
          <w:sz w:val="24"/>
          <w:szCs w:val="24"/>
        </w:rPr>
        <w:t>The</w:t>
      </w:r>
      <w:r w:rsidR="00B732D5" w:rsidRPr="00A00967">
        <w:rPr>
          <w:rFonts w:ascii="Times New Roman" w:hAnsi="Times New Roman" w:cs="Times New Roman"/>
          <w:b w:val="0"/>
          <w:i/>
          <w:color w:val="auto"/>
          <w:sz w:val="24"/>
          <w:szCs w:val="24"/>
        </w:rPr>
        <w:t xml:space="preserve"> Theory</w:t>
      </w:r>
      <w:r w:rsidR="008D7BFB" w:rsidRPr="00A00967">
        <w:rPr>
          <w:rFonts w:ascii="Times New Roman" w:hAnsi="Times New Roman" w:cs="Times New Roman"/>
          <w:b w:val="0"/>
          <w:i/>
          <w:color w:val="auto"/>
          <w:sz w:val="24"/>
          <w:szCs w:val="24"/>
        </w:rPr>
        <w:t xml:space="preserve"> of Fractional Flow Reserve</w:t>
      </w:r>
      <w:bookmarkEnd w:id="33"/>
      <w:r w:rsidR="00A00967" w:rsidRPr="00A00967">
        <w:rPr>
          <w:rFonts w:ascii="Times New Roman" w:hAnsi="Times New Roman" w:cs="Times New Roman"/>
          <w:b w:val="0"/>
          <w:i/>
          <w:color w:val="auto"/>
          <w:sz w:val="24"/>
          <w:szCs w:val="24"/>
        </w:rPr>
        <w:br/>
      </w:r>
    </w:p>
    <w:p w14:paraId="27BF9613" w14:textId="77777777" w:rsidR="00A00967" w:rsidRPr="00EC6C19" w:rsidRDefault="00A00967" w:rsidP="0074445C">
      <w:pPr>
        <w:spacing w:line="360" w:lineRule="auto"/>
        <w:rPr>
          <w:rFonts w:ascii="Times New Roman" w:hAnsi="Times New Roman" w:cs="Times New Roman"/>
          <w:sz w:val="24"/>
          <w:szCs w:val="24"/>
        </w:rPr>
      </w:pPr>
    </w:p>
    <w:p w14:paraId="7BED1A09" w14:textId="77777777" w:rsidR="0074445C" w:rsidRPr="00EC6C19" w:rsidRDefault="0074445C" w:rsidP="0074445C">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FFR was first reported in the literature in 1993, building on previous work of coronary flow 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{"citationID":"jtMBuRKg","properties":{"formattedCitation":"(Pijls et al., 1993)","plainCitation":"(Pijls et al., 1993)","noteIndex":0},"citationItems":[{"id":487,"uris":["http://zotero.org/users/local/k67tNDdX/items/5VQGPXTW"],"uri":["http://zotero.org/users/local/k67tNDdX/items/5VQGPXTW"],"itemData":{"id":487,"type":"article-journal","abstract":"BACKGROUND: Severity of coronary artery stenosis has been defined in terms of geometric dimensions, pressure gradient-flow relations, resistance to flow and coronary flow reserve, or maximum flow capacity after maximum arteriolar vasodilation. A direct relation between coronary pressure and flow, however, may only be presumed if the resistances in the coronary circulation are constant (and minimal) as theoretically is the case during maximum arteriolar vasodilation. In that case, pressure measurements theoretically can be used to predict maximum flow and assess functional stenosis severity.\nMETHODS AND RESULTS: A theoretical model was developed for the different components of the coronary circulation, and a set of equations was derived by which the relative maximum flow or fractional flow reserve in both the stenotic epicardial artery and the myocardial vascular bed and the proportional contribution of coronary arterial and collateral flow to myocardial blood flow are calculated from measurements of arterial, distal coronary, and central venous pressures during maximum arteriolar vasodilation. To test this model, five dogs were acutely instrumented with an epicardial, coronary Doppler flow velocity transducer. Distal coronary pressures were measured by an ultrathin pressure-monitoring guide wire (0.015 in.) with minimal influence on transstenotic pressure gradient. Fractional flow reserve was calculated from the pressure measurements and compared with relative maximum coronary artery flow measured directly by the Doppler flowmeter at three different levels of arterial pressure for each of 12 different severities of stenosis at each pressure level. Relative maximum blood flow through the stenotic artery (Qs) measured directly by the Doppler flowmeter showed an excellent correlation with the pressure-derived values of Qs (r = 0.98 +/- 0.01, intercept = 0.02 +/- 0.03, slope = 0.98 +/- 0.04), of the relative maximum myocardial flow (r = 0.98 +/- 0.02, intercept = 0.26 +/- 0.07, slope = 0.73 +/- 0.08), and of the collateral blood flow (r = 0.96 +/- 0.04, intercept = 0.24 +/- 0.07, slope = -0.24 +/- 0.06). Moreover, the theoretically predicted constant relation between mean arterial pressure and coronary wedge pressure, both corrected for venous pressure, was confirmed experimentally (r = 0.97 +/- 0.03, intercept = 9.5 +/- 13.3, slope = 4.4 +/- 1.2).\nCONCLUSIONS: These results provide the experimental basis for determining relative maximum flow or fractional flow reserve of both the epicardial coronary artery and the myocardium, including collateral flow, from pressure measurements during maximum arteriolar vasodilation. With a suitable guide wire for reliably measuring distal coronary pressure clinically, this method may have potential applications during percutaneous transluminal coronary angioplasty for assessing changes in the functional severity of coronary artery stenoses and for estimating collateral flow achievable during occlusion of the coronary artery.","container-title":"Circulation","ISSN":"0009-7322","issue":"4","journalAbbreviation":"Circulation","language":"eng","note":"PMID: 8462157","page":"1354-1367","source":"PubMed","title":"Experimental basis of determining maximum coronary, myocardial, and collateral blood flow by pressure measurements for assessing functional stenosis severity before and after percutaneous transluminal coronary angioplasty","volume":"87","author":[{"family":"Pijls","given":"N. H."},{"family":"Son","given":"J. A.","non-dropping-particle":"van"},{"family":"Kirkeeide","given":"R. L."},{"family":"De Bruyne","given":"B."},{"family":"Gould","given":"K. L."}],"issued":{"date-parts":[["1993",4]]}}}],"schema":"https://github.com/citation-style-language/schema/raw/master/csl-citation.json"}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(Pijls et al., 1993)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model was initially validated in dogs, and </w:t>
      </w:r>
      <w:r w:rsidR="00267278" w:rsidRPr="00EC6C19">
        <w:rPr>
          <w:rFonts w:ascii="Times New Roman" w:hAnsi="Times New Roman" w:cs="Times New Roman"/>
          <w:sz w:val="24"/>
          <w:szCs w:val="24"/>
        </w:rPr>
        <w:t>later validated in</w:t>
      </w:r>
      <w:r w:rsidRPr="00EC6C19">
        <w:rPr>
          <w:rFonts w:ascii="Times New Roman" w:hAnsi="Times New Roman" w:cs="Times New Roman"/>
          <w:sz w:val="24"/>
          <w:szCs w:val="24"/>
        </w:rPr>
        <w:t xml:space="preserve"> human coronary arteries in 1994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{"citationID":"JLSAiolc","properties":{"formattedCitation":"(De Bruyne et al., 1994)","plainCitation":"(De Bruyne et al., 1994)","noteIndex":0},"citationItems":[{"id":504,"uris":["http://zotero.org/users/local/k67tNDdX/items/QUZ447EW"],"uri":["http://zotero.org/users/local/k67tNDdX/items/QUZ447EW"],"itemData":{"id":504,"type":"article-journal","abstract":"BACKGROUND: Experimental studies have shown that fractional flow reserve (defined as the ratio of maximal achievable flow in a stenotic area to normal maximal achievable flow) can be calculated from coronary pressure measurements only. The objectives of this study were to validate fractional flow reserve calculation in humans and to compare this information with that derived from quantitative coronary angiography.\nMETHODS AND RESULTS: Twenty-two patients with an isolated, discrete proximal or mid left anterior descending coronary artery stenosis and normal left ventricular function were studied. Relative myocardial flow reserve, defined as the ratio of absolute myocardial perfusion during maximal vasodilation in the stenotic area to the absolute myocardial perfusion during maximal vasodilation (adenosine 140 micrograms.kg-1 x min-1 intravenously during 4 minutes) in the contralateral normally perfused area, was assessed by 15O-labeled water and positron emission tomography (PET). Myocardial and coronary fractional flow reserve were calculated from mean aortic, distal coronary, and right atrial pressures recorded during maximal vasodilation. Distal coronary pressures were measured by an ultrathin, pressure-monitoring guide wire with minimal influence on the trans-stenotic pressure gradient. Minimal obstruction area, percent area stenosis, and calculated stenosis flow reserve were assessed by quantitative coronary angiography. There was no difference in heart rate, mean aortic pressure, or rate-pressure product during maximal vasodilation during PET and during catheterization. Percent area stenosis ranged from 40% to 94% (mean, 77 +/- 13%), myocardial fractional flow reserve from 0.36 to 0.98 (mean, 0.61 +/- 0.17), and relative flow reserve from 0.27 to 1.23 (mean, 0.60 +/- 0.26). A close correlation was found between relative flow reserve obtained by PET and both myocardial fractional flow reserve (r = .87) and coronary fractional flow reserve obtained by pressure recordings (r = .86). The correlations between relative flow reserve obtained by PET and stenosis measurements derived from quantitative coronary angiography were markedly weaker (minimal obstruction area, r = .66; percent area stenosis, r = -.70; and stenosis flow reserve, r = .68).\nCONCLUSIONS: Fractional flow reserve derived from pressure measurements correlates more closely to relative flow reserve derived from PET than angiographic parameters. This validates in humans the use of fractional flow reserve as an index of the physiological consequences of a given coronary artery stenosis.","container-title":"Circulation","ISSN":"0009-7322","issue":"3","journalAbbreviation":"Circulation","language":"eng","note":"PMID: 8124786","page":"1013-1022","source":"PubMed","title":"Coronary flow reserve calculated from pressure measurements in humans. Validation with positron emission tomography","volume":"89","author":[{"family":"De Bruyne","given":"B."},{"family":"Baudhuin","given":"T."},{"family":"Melin","given":"J. A."},{"family":"Pijls","given":"N. H."},{"family":"Sys","given":"S. U."},{"family":"Bol","given":"A."},{"family":"Paulus","given":"W. J."},{"family":"Heyndrickx","given":"G. R."},{"family":"Wijns","given":"W."}],"issued":{"date-parts":[["1994",3]]}}}],"schema":"https://github.com/citation-style-language/schema/raw/master/csl-citation.json"} </w:instrText>
      </w:r>
      <w:r w:rsidR="00106A32" w:rsidRPr="00EC6C19">
        <w:rPr>
          <w:rFonts w:ascii="Times New Roman" w:hAnsi="Times New Roman" w:cs="Times New Roman"/>
          <w:sz w:val="24"/>
          <w:szCs w:val="24"/>
        </w:rPr>
        <w:fldChar w:fldCharType="separate"/>
      </w:r>
      <w:r w:rsidR="00B16605" w:rsidRPr="00EC6C19">
        <w:rPr>
          <w:rFonts w:ascii="Times New Roman" w:hAnsi="Times New Roman" w:cs="Times New Roman"/>
          <w:sz w:val="24"/>
          <w:szCs w:val="24"/>
        </w:rPr>
        <w:t xml:space="preserve">(De Bruyne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1994)</w:t>
      </w:r>
      <w:r w:rsidR="00106A32" w:rsidRPr="00EC6C19">
        <w:rPr>
          <w:rFonts w:ascii="Times New Roman" w:hAnsi="Times New Roman" w:cs="Times New Roman"/>
          <w:sz w:val="24"/>
          <w:szCs w:val="24"/>
        </w:rPr>
        <w:fldChar w:fldCharType="end"/>
      </w:r>
      <w:r w:rsidR="00267278" w:rsidRPr="00EC6C19">
        <w:rPr>
          <w:rFonts w:ascii="Times New Roman" w:hAnsi="Times New Roman" w:cs="Times New Roman"/>
          <w:sz w:val="24"/>
          <w:szCs w:val="24"/>
        </w:rPr>
        <w:t>.</w:t>
      </w:r>
    </w:p>
    <w:p w14:paraId="520CC1E1" w14:textId="52D146B4" w:rsidR="004870EE" w:rsidRPr="00EC6C19" w:rsidRDefault="004870EE" w:rsidP="0074445C">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aim of FFR is to ascertain whether a stenosis is flow limiting, using </w:t>
      </w:r>
      <w:r w:rsidR="009747DD" w:rsidRPr="00EC6C19">
        <w:rPr>
          <w:rFonts w:ascii="Times New Roman" w:hAnsi="Times New Roman" w:cs="Times New Roman"/>
          <w:sz w:val="24"/>
          <w:szCs w:val="24"/>
        </w:rPr>
        <w:t>pressure</w:t>
      </w:r>
      <w:r w:rsidR="009747DD">
        <w:rPr>
          <w:rFonts w:ascii="Times New Roman" w:hAnsi="Times New Roman" w:cs="Times New Roman"/>
          <w:sz w:val="24"/>
          <w:szCs w:val="24"/>
        </w:rPr>
        <w:t>-</w:t>
      </w:r>
      <w:r w:rsidRPr="00EC6C19">
        <w:rPr>
          <w:rFonts w:ascii="Times New Roman" w:hAnsi="Times New Roman" w:cs="Times New Roman"/>
          <w:sz w:val="24"/>
          <w:szCs w:val="24"/>
        </w:rPr>
        <w:t>based measurements</w:t>
      </w:r>
      <w:r w:rsidR="00912A2A">
        <w:rPr>
          <w:rFonts w:ascii="Times New Roman" w:hAnsi="Times New Roman" w:cs="Times New Roman"/>
          <w:sz w:val="24"/>
          <w:szCs w:val="24"/>
        </w:rPr>
        <w:t xml:space="preserve"> (instead of flow)</w:t>
      </w:r>
      <w:r w:rsidRPr="00EC6C19">
        <w:rPr>
          <w:rFonts w:ascii="Times New Roman" w:hAnsi="Times New Roman" w:cs="Times New Roman"/>
          <w:sz w:val="24"/>
          <w:szCs w:val="24"/>
        </w:rPr>
        <w:t xml:space="preserve">. CFR had been well validated at this point and the underlying concept of both is similar. They both use maximal flow as an indication of stenosis severity. CFR uses </w:t>
      </w:r>
      <w:r w:rsidR="009747DD" w:rsidRPr="00EC6C19">
        <w:rPr>
          <w:rFonts w:ascii="Times New Roman" w:hAnsi="Times New Roman" w:cs="Times New Roman"/>
          <w:sz w:val="24"/>
          <w:szCs w:val="24"/>
        </w:rPr>
        <w:t>flow</w:t>
      </w:r>
      <w:r w:rsidR="009747DD">
        <w:rPr>
          <w:rFonts w:ascii="Times New Roman" w:hAnsi="Times New Roman" w:cs="Times New Roman"/>
          <w:sz w:val="24"/>
          <w:szCs w:val="24"/>
        </w:rPr>
        <w:t>-</w:t>
      </w:r>
      <w:r w:rsidRPr="00EC6C19">
        <w:rPr>
          <w:rFonts w:ascii="Times New Roman" w:hAnsi="Times New Roman" w:cs="Times New Roman"/>
          <w:sz w:val="24"/>
          <w:szCs w:val="24"/>
        </w:rPr>
        <w:t xml:space="preserve">based measurements to provide information on how much an artery can augment flow compared to baseline, in the presence of a coronary stenosis. Less flow, suggests a more significant stenosis. FFR on the other hand uses </w:t>
      </w:r>
      <w:r w:rsidR="009747DD" w:rsidRPr="00EC6C19">
        <w:rPr>
          <w:rFonts w:ascii="Times New Roman" w:hAnsi="Times New Roman" w:cs="Times New Roman"/>
          <w:sz w:val="24"/>
          <w:szCs w:val="24"/>
        </w:rPr>
        <w:t>pressure</w:t>
      </w:r>
      <w:r w:rsidR="009747DD">
        <w:rPr>
          <w:rFonts w:ascii="Times New Roman" w:hAnsi="Times New Roman" w:cs="Times New Roman"/>
          <w:sz w:val="24"/>
          <w:szCs w:val="24"/>
        </w:rPr>
        <w:t>-</w:t>
      </w:r>
      <w:r w:rsidRPr="00EC6C19">
        <w:rPr>
          <w:rFonts w:ascii="Times New Roman" w:hAnsi="Times New Roman" w:cs="Times New Roman"/>
          <w:sz w:val="24"/>
          <w:szCs w:val="24"/>
        </w:rPr>
        <w:t xml:space="preserve">based measurements </w:t>
      </w:r>
      <w:r w:rsidR="00474770" w:rsidRPr="00EC6C19">
        <w:rPr>
          <w:rFonts w:ascii="Times New Roman" w:hAnsi="Times New Roman" w:cs="Times New Roman"/>
          <w:sz w:val="24"/>
          <w:szCs w:val="24"/>
        </w:rPr>
        <w:t xml:space="preserve">during maximal flow or hyperaemia, distal to a stenosis, and compares it to a pre-stenotic measurement. It is Pd over Pa, as </w:t>
      </w:r>
      <w:r w:rsidR="00474770" w:rsidRPr="005119FF">
        <w:rPr>
          <w:rFonts w:ascii="Times New Roman" w:hAnsi="Times New Roman" w:cs="Times New Roman"/>
          <w:sz w:val="24"/>
          <w:szCs w:val="24"/>
        </w:rPr>
        <w:t xml:space="preserve">demonstrated in figure </w:t>
      </w:r>
      <w:r w:rsidR="005119FF" w:rsidRPr="005119FF">
        <w:rPr>
          <w:rFonts w:ascii="Times New Roman" w:hAnsi="Times New Roman" w:cs="Times New Roman"/>
          <w:sz w:val="24"/>
          <w:szCs w:val="24"/>
        </w:rPr>
        <w:t>6</w:t>
      </w:r>
      <w:r w:rsidR="00474770" w:rsidRPr="005119FF">
        <w:rPr>
          <w:rFonts w:ascii="Times New Roman" w:hAnsi="Times New Roman" w:cs="Times New Roman"/>
          <w:sz w:val="24"/>
          <w:szCs w:val="24"/>
        </w:rPr>
        <w:t>, during</w:t>
      </w:r>
      <w:r w:rsidR="00474770" w:rsidRPr="00EC6C19">
        <w:rPr>
          <w:rFonts w:ascii="Times New Roman" w:hAnsi="Times New Roman" w:cs="Times New Roman"/>
          <w:sz w:val="24"/>
          <w:szCs w:val="24"/>
        </w:rPr>
        <w:t xml:space="preserve"> the administration of a vasodilator (adenosine) to produce maximal and steady state hyperaemia.</w:t>
      </w:r>
    </w:p>
    <w:p w14:paraId="4E76C342" w14:textId="41924EF1" w:rsidR="00474770" w:rsidRPr="00EC6C19" w:rsidRDefault="00474770" w:rsidP="0074445C">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FFR is thought to have advantages over CFR in multiple ways. Velocity based measurements are less robust, and take longer to acquire than pressure based measurements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{"citationID":"YLf9rsys","properties":{"formattedCitation":"(Pijls et al., 1993)","plainCitation":"(Pijls et al., 1993)","noteIndex":0},"citationItems":[{"id":487,"uris":["http://zotero.org/users/local/k67tNDdX/items/5VQGPXTW"],"uri":["http://zotero.org/users/local/k67tNDdX/items/5VQGPXTW"],"itemData":{"id":487,"type":"article-journal","abstract":"BACKGROUND: Severity of coronary artery stenosis has been defined in terms of geometric dimensions, pressure gradient-flow relations, resistance to flow and coronary flow reserve, or maximum flow capacity after maximum arteriolar vasodilation. A direct relation between coronary pressure and flow, however, may only be presumed if the resistances in the coronary circulation are constant (and minimal) as theoretically is the case during maximum arteriolar vasodilation. In that case, pressure measurements theoretically can be used to predict maximum flow and assess functional stenosis severity.\nMETHODS AND RESULTS: A theoretical model was developed for the different components of the coronary circulation, and a set of equations was derived by which the relative maximum flow or fractional flow reserve in both the stenotic epicardial artery and the myocardial vascular bed and the proportional contribution of coronary arterial and collateral flow to myocardial blood flow are calculated from measurements of arterial, distal coronary, and central venous pressures during maximum arteriolar vasodilation. To test this model, five dogs were acutely instrumented with an epicardial, coronary Doppler flow velocity transducer. Distal coronary pressures were measured by an ultrathin pressure-monitoring guide wire (0.015 in.) with minimal influence on transstenotic pressure gradient. Fractional flow reserve was calculated from the pressure measurements and compared with relative maximum coronary artery flow measured directly by the Doppler flowmeter at three different levels of arterial pressure for each of 12 different severities of stenosis at each pressure level. Relative maximum blood flow through the stenotic artery (Qs) measured directly by the Doppler flowmeter showed an excellent correlation with the pressure-derived values of Qs (r = 0.98 +/- 0.01, intercept = 0.02 +/- 0.03, slope = 0.98 +/- 0.04), of the relative maximum myocardial flow (r = 0.98 +/- 0.02, intercept = 0.26 +/- 0.07, slope = 0.73 +/- 0.08), and of the collateral blood flow (r = 0.96 +/- 0.04, intercept = 0.24 +/- 0.07, slope = -0.24 +/- 0.06). Moreover, the theoretically predicted constant relation between mean arterial pressure and coronary wedge pressure, both corrected for venous pressure, was confirmed experimentally (r = 0.97 +/- 0.03, intercept = 9.5 +/- 13.3, slope = 4.4 +/- 1.2).\nCONCLUSIONS: These results provide the experimental basis for determining relative maximum flow or fractional flow reserve of both the epicardial coronary artery and the myocardium, including collateral flow, from pressure measurements during maximum arteriolar vasodilation. With a suitable guide wire for reliably measuring distal coronary pressure clinically, this method may have potential applications during percutaneous transluminal coronary angioplasty for assessing changes in the functional severity of coronary artery stenoses and for estimating collateral flow achievable during occlusion of the coronary artery.","container-title":"Circulation","ISSN":"0009-7322","issue":"4","journalAbbreviation":"Circulation","language":"eng","note":"PMID: 8462157","page":"1354-1367","source":"PubMed","title":"Experimental basis of determining maximum coronary, myocardial, and collateral blood flow by pressure measurements for assessing functional stenosis severity before and after percutaneous transluminal coronary angioplasty","volume":"87","author":[{"family":"Pijls","given":"N. H."},{"family":"Son","given":"J. A.","non-dropping-particle":"van"},{"family":"Kirkeeide","given":"R. L."},{"family":"De Bruyne","given":"B."},{"family":"Gould","given":"K. L."}],"issued":{"date-parts":[["1993",4]]}}}],"schema":"https://github.com/citation-style-language/schema/raw/master/csl-citation.json"}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(Pijls et al., 1993)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Furthermore, CFR utilises two different states of physiology (baseline and hyperaemia) as a ratio against each other. This means a CFR result could be due to alterations in either state, not necessarily just one. Furthermore</w:t>
      </w:r>
      <w:r w:rsidR="007F3C96" w:rsidRPr="00EC6C19">
        <w:rPr>
          <w:rFonts w:ascii="Times New Roman" w:hAnsi="Times New Roman" w:cs="Times New Roman"/>
          <w:sz w:val="24"/>
          <w:szCs w:val="24"/>
        </w:rPr>
        <w:t xml:space="preserve">, the overall physiological state of the patient has an effect on CFR calculations, with variable factors including blood pressure and heart rate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{"citationID":"SVakbZrx","properties":{"formattedCitation":"(Gould, Kirkeeide and Buchi, 1990)","plainCitation":"(Gould, Kirkeeide and Buchi, 1990)","noteIndex":0},"citationItems":[{"id":510,"uris":["http://zotero.org/users/local/k67tNDdX/items/AXRCJSD4"],"uri":["http://zotero.org/users/local/k67tNDdX/items/AXRCJSD4"],"itemData":{"id":510,"type":"article-journal","abstract":"PART I: Coronary flow reserve indicates functional stenosis severity, but may be altered by physiologic conditions unrelated to stenosis geometry. To assess the effects of changing physiologic conditions on coronary flow reserve, aortic pressure and heart rate-blood pressure (ratepressure) product were altered by phenylephrine and nitroprusside in 11 dogs. There was a total of 366 measurements, 26 without and 340 with acute stenoses of the left circumflex artery by a calibrated stenoser, providing percent area stenosis with flow reserve measured by flow meter after the administration of intracoronary adenosine. Absolute coronary flow reserve (maximal flow/rest flow) with no stenosis was 5.9 ± 1.5 (1 SD) at control study, 7.0 ± 2.2 after phenylephrine and 4.6 ± 2.0 after nitroprusside, ranging from 2.0 to 12.1 depending on aortic pressure and rate-pressure product. However, relative coronary flow reserve (maximal flow with stenosis/normal maximal flow without stenosis) was independent of aortic pressure and rate-pressure product. Over the range of aortic pressures and rate-pressure products, the size of 1 SD expressed as a percent of mean absolute coronary flow reserve was ±43% without stenosis, and for each category of stenosis severity from 0 to 100% narrowing, it averaged ±45% compared with ±17% for relative coronary flow reserve. For example, for a 65% stenosis, absolute flow reserve was 5.2 ± 1.7 (±33% variation), whereas relative flow reserve was 0.9 ± 0.09 (±10% variation), where 1.0 is normal. Therefore, absolute coronary flow reserve by flow meter was highly variable for fixed stenoses depending on aortic pressure and rate-pressure product, whereas relative flow reserve more accurately and specifically described stenosis severity independent of physiologic conditions. Together, absolute and relative coronary flow reserve provide a more complete description of physiologic stenosis severity than either does alone. PART II: Coronary flow reserve directly measured by a flow meter is altered not only by stenosis, but also by physiologic variables. Stenosis flow reserve is derived from length, percent stenosis, absolute diameters and shape by quantitative coronary arteriography using standardized physiologic conditions. To study the relative merits of absolute coronary flow reserve measured by flow meter and stenosis flow reserve determined by quantitative coronary arteriography for assessing stenosis severity, aortic pressure and rate-pressure product were altered by phenylephrine and nitroprusside in 11 dogs, with 366 stenoses of the left circumflex artery by a calibrated stenoser providing percent area stenosis as described in Part I. Stenosis flow reserve was measured by quantitative coronary arteriography and coronary flow reserve by flow meter after intracoronary adenosine before and during ±40% change in aortic pressure. Absolute coronary flow reserve by flow meter for fixed stenosis geometry varied significantly depending on aortic pressure and rate-pressure product. In contrast, stenosis flow reserve by quantitative arteriography was not affected by these variables. For example, for all 65% stenoses, coronary flow reserve by flow meter was 5.2 ± 1.7 (±33% variation); by comparison, stenosis flow reserve by quantitative arteriography was 5.0 ± 0.5 (±10% variation). For 366 stenoses, the size of 1 SD, expressed as a percent of the mean coronary flow reserve by flow meter for each category of stenosis severity from 0 to 100% narrowing, averaged ±45% compared with ±12% of mean stenosis flow reserve by quantitative arteriography for the same categories of stenosis severity. Therefore, absolute coronary flow reserve by measured flow meter is highly variable for fixed stenosis geometry depending on aortic pressure and rate-pressure product, but reflects actual flow capacity due to stenosis severity and physiologic conditions at the time of measurement. Stenosis flow reserve determined by quantitative coronary arteriography more specifically reflects functional stenosis severity under standardized physiologic conditions.","container-title":"Journal of the American College of Cardiology","DOI":"10.1016/S0735-1097(10)80078-6","ISSN":"0735-1097","issue":"2","journalAbbreviation":"Journal of the American College of Cardiology","page":"459-474","source":"ScienceDirect","title":"Coronary flow reserve as a physiologic measure of stenosis severity","volume":"15","author":[{"family":"Gould","given":"K. Lance"},{"family":"Kirkeeide","given":"Richard L."},{"family":"Buchi","given":"Martin"}],"issued":{"date-parts":[["1990",2,1]]}}}],"schema":"https://github.com/citation-style-language/schema/raw/master/csl-citation.json"}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(Gould, Kirkeeide and Buchi, 1990)</w:t>
      </w:r>
      <w:r w:rsidR="00106A32" w:rsidRPr="00EC6C19">
        <w:rPr>
          <w:rFonts w:ascii="Times New Roman" w:hAnsi="Times New Roman" w:cs="Times New Roman"/>
          <w:sz w:val="24"/>
          <w:szCs w:val="24"/>
        </w:rPr>
        <w:fldChar w:fldCharType="end"/>
      </w:r>
      <w:r w:rsidR="007F3C96" w:rsidRPr="00EC6C19">
        <w:rPr>
          <w:rFonts w:ascii="Times New Roman" w:hAnsi="Times New Roman" w:cs="Times New Roman"/>
          <w:sz w:val="24"/>
          <w:szCs w:val="24"/>
        </w:rPr>
        <w:t xml:space="preserve">. FFR is </w:t>
      </w:r>
      <w:r w:rsidR="006D06A5" w:rsidRPr="00EC6C19">
        <w:rPr>
          <w:rFonts w:ascii="Times New Roman" w:hAnsi="Times New Roman" w:cs="Times New Roman"/>
          <w:sz w:val="24"/>
          <w:szCs w:val="24"/>
        </w:rPr>
        <w:t xml:space="preserve">thought </w:t>
      </w:r>
      <w:r w:rsidR="007F3C96" w:rsidRPr="00EC6C19">
        <w:rPr>
          <w:rFonts w:ascii="Times New Roman" w:hAnsi="Times New Roman" w:cs="Times New Roman"/>
          <w:sz w:val="24"/>
          <w:szCs w:val="24"/>
        </w:rPr>
        <w:t>to</w:t>
      </w:r>
      <w:r w:rsidR="006D06A5" w:rsidRPr="00EC6C19">
        <w:rPr>
          <w:rFonts w:ascii="Times New Roman" w:hAnsi="Times New Roman" w:cs="Times New Roman"/>
          <w:sz w:val="24"/>
          <w:szCs w:val="24"/>
        </w:rPr>
        <w:t xml:space="preserve"> be more reproducible with</w:t>
      </w:r>
      <w:r w:rsidR="007F3C96" w:rsidRPr="00EC6C19">
        <w:rPr>
          <w:rFonts w:ascii="Times New Roman" w:hAnsi="Times New Roman" w:cs="Times New Roman"/>
          <w:sz w:val="24"/>
          <w:szCs w:val="24"/>
        </w:rPr>
        <w:t xml:space="preserve"> these </w:t>
      </w:r>
      <w:r w:rsidR="003C5E78" w:rsidRPr="00EC6C19">
        <w:rPr>
          <w:rFonts w:ascii="Times New Roman" w:hAnsi="Times New Roman" w:cs="Times New Roman"/>
          <w:sz w:val="24"/>
          <w:szCs w:val="24"/>
        </w:rPr>
        <w:t>issues and</w:t>
      </w:r>
      <w:r w:rsidR="007F3C96" w:rsidRPr="00EC6C19">
        <w:rPr>
          <w:rFonts w:ascii="Times New Roman" w:hAnsi="Times New Roman" w:cs="Times New Roman"/>
          <w:sz w:val="24"/>
          <w:szCs w:val="24"/>
        </w:rPr>
        <w:t xml:space="preserve"> provide a more isolated measurement for the stenosis in question.</w:t>
      </w:r>
    </w:p>
    <w:p w14:paraId="3D2D91BE" w14:textId="77777777" w:rsidR="00CA1AE1" w:rsidRPr="00EC6C19" w:rsidRDefault="00CA1AE1">
      <w:pPr>
        <w:rPr>
          <w:rFonts w:ascii="Times New Roman" w:hAnsi="Times New Roman" w:cs="Times New Roman"/>
          <w:sz w:val="24"/>
          <w:szCs w:val="24"/>
        </w:rPr>
      </w:pPr>
    </w:p>
    <w:p w14:paraId="183D0CE7" w14:textId="77777777" w:rsidR="007F3C96" w:rsidRPr="00A00967" w:rsidRDefault="00C54823" w:rsidP="00A00967">
      <w:pPr>
        <w:pStyle w:val="Heading3"/>
        <w:rPr>
          <w:rFonts w:ascii="Times New Roman" w:hAnsi="Times New Roman" w:cs="Times New Roman"/>
          <w:b w:val="0"/>
          <w:i/>
          <w:color w:val="auto"/>
          <w:sz w:val="24"/>
          <w:szCs w:val="24"/>
        </w:rPr>
      </w:pPr>
      <w:bookmarkStart w:id="34" w:name="_Toc80302175"/>
      <w:r>
        <w:rPr>
          <w:rFonts w:ascii="Times New Roman" w:hAnsi="Times New Roman" w:cs="Times New Roman"/>
          <w:b w:val="0"/>
          <w:i/>
          <w:color w:val="auto"/>
          <w:sz w:val="24"/>
          <w:szCs w:val="24"/>
        </w:rPr>
        <w:t xml:space="preserve">1.8.3 - </w:t>
      </w:r>
      <w:r w:rsidR="007F3C96" w:rsidRPr="00A00967">
        <w:rPr>
          <w:rFonts w:ascii="Times New Roman" w:hAnsi="Times New Roman" w:cs="Times New Roman"/>
          <w:b w:val="0"/>
          <w:i/>
          <w:color w:val="auto"/>
          <w:sz w:val="24"/>
          <w:szCs w:val="24"/>
        </w:rPr>
        <w:t>Pressure and Flow</w:t>
      </w:r>
      <w:bookmarkEnd w:id="34"/>
      <w:r w:rsidR="00A00967">
        <w:rPr>
          <w:rFonts w:ascii="Times New Roman" w:hAnsi="Times New Roman" w:cs="Times New Roman"/>
          <w:b w:val="0"/>
          <w:i/>
          <w:color w:val="auto"/>
          <w:sz w:val="24"/>
          <w:szCs w:val="24"/>
        </w:rPr>
        <w:br/>
      </w:r>
    </w:p>
    <w:p w14:paraId="7924BC73" w14:textId="77777777" w:rsidR="007F3C96" w:rsidRPr="00EC6C19" w:rsidRDefault="007F3C96" w:rsidP="009F118D">
      <w:pPr>
        <w:spacing w:line="360" w:lineRule="auto"/>
        <w:rPr>
          <w:rFonts w:ascii="Times New Roman" w:hAnsi="Times New Roman" w:cs="Times New Roman"/>
          <w:sz w:val="24"/>
          <w:szCs w:val="24"/>
        </w:rPr>
      </w:pPr>
    </w:p>
    <w:p w14:paraId="115E935F" w14:textId="24EB4E71" w:rsidR="0006539A" w:rsidRDefault="00695903" w:rsidP="009F118D">
      <w:pPr>
        <w:spacing w:line="360" w:lineRule="auto"/>
        <w:rPr>
          <w:rFonts w:ascii="Times New Roman" w:hAnsi="Times New Roman" w:cs="Times New Roman"/>
          <w:sz w:val="24"/>
          <w:szCs w:val="24"/>
        </w:rPr>
      </w:pPr>
      <w:r w:rsidRPr="00EC6C19">
        <w:rPr>
          <w:rFonts w:ascii="Times New Roman" w:hAnsi="Times New Roman" w:cs="Times New Roman"/>
          <w:sz w:val="24"/>
          <w:szCs w:val="24"/>
        </w:rPr>
        <w:t>T</w:t>
      </w:r>
      <w:r w:rsidR="0039517A" w:rsidRPr="00EC6C19">
        <w:rPr>
          <w:rFonts w:ascii="Times New Roman" w:hAnsi="Times New Roman" w:cs="Times New Roman"/>
          <w:sz w:val="24"/>
          <w:szCs w:val="24"/>
        </w:rPr>
        <w:t xml:space="preserve">he coronary </w:t>
      </w:r>
      <w:r w:rsidRPr="00EC6C19">
        <w:rPr>
          <w:rFonts w:ascii="Times New Roman" w:hAnsi="Times New Roman" w:cs="Times New Roman"/>
          <w:sz w:val="24"/>
          <w:szCs w:val="24"/>
        </w:rPr>
        <w:t>circulation has</w:t>
      </w:r>
      <w:r w:rsidR="0039517A" w:rsidRPr="00EC6C19">
        <w:rPr>
          <w:rFonts w:ascii="Times New Roman" w:hAnsi="Times New Roman" w:cs="Times New Roman"/>
          <w:sz w:val="24"/>
          <w:szCs w:val="24"/>
        </w:rPr>
        <w:t xml:space="preserve"> a strict autoregulatory system</w:t>
      </w:r>
      <w:r w:rsidRPr="00EC6C19">
        <w:rPr>
          <w:rFonts w:ascii="Times New Roman" w:hAnsi="Times New Roman" w:cs="Times New Roman"/>
          <w:sz w:val="24"/>
          <w:szCs w:val="24"/>
        </w:rPr>
        <w:t>.</w:t>
      </w:r>
      <w:r w:rsidR="0039517A" w:rsidRPr="00EC6C19">
        <w:rPr>
          <w:rFonts w:ascii="Times New Roman" w:hAnsi="Times New Roman" w:cs="Times New Roman"/>
          <w:sz w:val="24"/>
          <w:szCs w:val="24"/>
        </w:rPr>
        <w:t xml:space="preserve"> </w:t>
      </w:r>
      <w:r w:rsidRPr="00EC6C19">
        <w:rPr>
          <w:rFonts w:ascii="Times New Roman" w:hAnsi="Times New Roman" w:cs="Times New Roman"/>
          <w:sz w:val="24"/>
          <w:szCs w:val="24"/>
        </w:rPr>
        <w:t>A reduction</w:t>
      </w:r>
      <w:r w:rsidR="0039517A" w:rsidRPr="00EC6C19">
        <w:rPr>
          <w:rFonts w:ascii="Times New Roman" w:hAnsi="Times New Roman" w:cs="Times New Roman"/>
          <w:sz w:val="24"/>
          <w:szCs w:val="24"/>
        </w:rPr>
        <w:t xml:space="preserve"> in pressure, is not proportional to a </w:t>
      </w:r>
      <w:r w:rsidRPr="00EC6C19">
        <w:rPr>
          <w:rFonts w:ascii="Times New Roman" w:hAnsi="Times New Roman" w:cs="Times New Roman"/>
          <w:sz w:val="24"/>
          <w:szCs w:val="24"/>
        </w:rPr>
        <w:t>reduction</w:t>
      </w:r>
      <w:r w:rsidR="0039517A" w:rsidRPr="00EC6C19">
        <w:rPr>
          <w:rFonts w:ascii="Times New Roman" w:hAnsi="Times New Roman" w:cs="Times New Roman"/>
          <w:sz w:val="24"/>
          <w:szCs w:val="24"/>
        </w:rPr>
        <w:t xml:space="preserve"> in myocardial blood flow, due to changes in vascular resistance in the </w:t>
      </w:r>
      <w:r w:rsidR="0039517A" w:rsidRPr="00EC6C19">
        <w:rPr>
          <w:rFonts w:ascii="Times New Roman" w:hAnsi="Times New Roman" w:cs="Times New Roman"/>
          <w:sz w:val="24"/>
          <w:szCs w:val="24"/>
        </w:rPr>
        <w:lastRenderedPageBreak/>
        <w:t xml:space="preserve">coronary bed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{"citationID":"bozKYa0i","properties":{"formattedCitation":"(Ramanathan and Skinner, 2005)","plainCitation":"(Ramanathan and Skinner, 2005)","noteIndex":0},"citationItems":[{"id":34,"uris":["http://zotero.org/users/local/k67tNDdX/items/745AJQN6"],"uri":["http://zotero.org/users/local/k67tNDdX/items/745AJQN6"],"itemData":{"id":34,"type":"article-journal","abstract":"The heart has the highest oxygen consumption per tissue mass of all human organs. The resting coronary blood flow is </w:instrText>
      </w:r>
      <w:r w:rsidR="00DA1AD3" w:rsidRPr="00EC6C19">
        <w:rPr>
          <w:rFonts w:ascii="Cambria Math" w:hAnsi="Cambria Math" w:cs="Times New Roman"/>
          <w:sz w:val="24"/>
          <w:szCs w:val="24"/>
        </w:rPr>
        <w:instrText>∼</w:instrText>
      </w:r>
      <w:r w:rsidR="00DA1AD3" w:rsidRPr="00EC6C19">
        <w:rPr>
          <w:rFonts w:ascii="Times New Roman" w:hAnsi="Times New Roman" w:cs="Times New Roman"/>
          <w:sz w:val="24"/>
          <w:szCs w:val="24"/>
        </w:rPr>
        <w:instrText xml:space="preserve">250 ml min−1 (0.8 ml min−1 g−1 of heart muscle); this represents 5% of cardiac output.1 Ischaemia results when oxygen demand outstrips supply.","container-title":"Continuing Education in Anaesthesia Critical Care &amp; Pain","DOI":"10.1093/bjaceaccp/mki012","ISSN":"1743-1816","issue":"2","journalAbbreviation":"Contin Educ Anaesth Crit Care Pain","language":"en","page":"61-64","source":"academic.oup.com","title":"Coronary blood flow","volume":"5","author":[{"family":"Ramanathan","given":"Tamilselvi"},{"family":"Skinner","given":"Henry"}],"issued":{"date-parts":[["2005",4,1]]}}}],"schema":"https://github.com/citation-style-language/schema/raw/master/csl-citation.json"}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(Ramanathan and Skinner, 2005)</w:t>
      </w:r>
      <w:r w:rsidR="00106A32" w:rsidRPr="00EC6C19">
        <w:rPr>
          <w:rFonts w:ascii="Times New Roman" w:hAnsi="Times New Roman" w:cs="Times New Roman"/>
          <w:sz w:val="24"/>
          <w:szCs w:val="24"/>
        </w:rPr>
        <w:fldChar w:fldCharType="end"/>
      </w:r>
      <w:r w:rsidR="0039517A" w:rsidRPr="00EC6C19">
        <w:rPr>
          <w:rFonts w:ascii="Times New Roman" w:hAnsi="Times New Roman" w:cs="Times New Roman"/>
          <w:sz w:val="24"/>
          <w:szCs w:val="24"/>
        </w:rPr>
        <w:t xml:space="preserve">. This concept is described in physical </w:t>
      </w:r>
      <w:r w:rsidR="003C5E78" w:rsidRPr="00EC6C19">
        <w:rPr>
          <w:rFonts w:ascii="Times New Roman" w:hAnsi="Times New Roman" w:cs="Times New Roman"/>
          <w:sz w:val="24"/>
          <w:szCs w:val="24"/>
        </w:rPr>
        <w:t>principles and</w:t>
      </w:r>
      <w:r w:rsidR="0039517A" w:rsidRPr="00EC6C19">
        <w:rPr>
          <w:rFonts w:ascii="Times New Roman" w:hAnsi="Times New Roman" w:cs="Times New Roman"/>
          <w:sz w:val="24"/>
          <w:szCs w:val="24"/>
        </w:rPr>
        <w:t xml:space="preserve"> follows</w:t>
      </w:r>
      <w:r w:rsidRPr="00EC6C19">
        <w:rPr>
          <w:rFonts w:ascii="Times New Roman" w:hAnsi="Times New Roman" w:cs="Times New Roman"/>
          <w:sz w:val="24"/>
          <w:szCs w:val="24"/>
        </w:rPr>
        <w:t xml:space="preserve"> the same </w:t>
      </w:r>
      <w:r w:rsidR="00912A2A" w:rsidRPr="00EC6C19">
        <w:rPr>
          <w:rFonts w:ascii="Times New Roman" w:hAnsi="Times New Roman" w:cs="Times New Roman"/>
          <w:sz w:val="24"/>
          <w:szCs w:val="24"/>
        </w:rPr>
        <w:t>concept</w:t>
      </w:r>
      <w:r w:rsidRPr="00EC6C19">
        <w:rPr>
          <w:rFonts w:ascii="Times New Roman" w:hAnsi="Times New Roman" w:cs="Times New Roman"/>
          <w:sz w:val="24"/>
          <w:szCs w:val="24"/>
        </w:rPr>
        <w:t xml:space="preserve"> as</w:t>
      </w:r>
      <w:r w:rsidR="0039517A" w:rsidRPr="00EC6C19">
        <w:rPr>
          <w:rFonts w:ascii="Times New Roman" w:hAnsi="Times New Roman" w:cs="Times New Roman"/>
          <w:sz w:val="24"/>
          <w:szCs w:val="24"/>
        </w:rPr>
        <w:t xml:space="preserve"> Ohm's law </w:t>
      </w:r>
      <w:r w:rsidR="005119FF" w:rsidRPr="005119FF">
        <w:rPr>
          <w:rFonts w:ascii="Times New Roman" w:hAnsi="Times New Roman" w:cs="Times New Roman"/>
          <w:sz w:val="24"/>
          <w:szCs w:val="24"/>
        </w:rPr>
        <w:t>(Figure 7</w:t>
      </w:r>
      <w:r w:rsidR="0039517A" w:rsidRPr="005119FF">
        <w:rPr>
          <w:rFonts w:ascii="Times New Roman" w:hAnsi="Times New Roman" w:cs="Times New Roman"/>
          <w:sz w:val="24"/>
          <w:szCs w:val="24"/>
        </w:rPr>
        <w:t>).</w:t>
      </w:r>
    </w:p>
    <w:p w14:paraId="74486645" w14:textId="77777777" w:rsidR="0006539A" w:rsidRPr="00EC6C19" w:rsidRDefault="0006539A" w:rsidP="009F118D">
      <w:pPr>
        <w:spacing w:line="360" w:lineRule="auto"/>
        <w:rPr>
          <w:rFonts w:ascii="Times New Roman" w:hAnsi="Times New Roman" w:cs="Times New Roman"/>
          <w:sz w:val="24"/>
          <w:szCs w:val="24"/>
        </w:rPr>
      </w:pPr>
    </w:p>
    <w:p w14:paraId="18885F34" w14:textId="77777777" w:rsidR="008D7BFB" w:rsidRPr="00EC6C19" w:rsidRDefault="0039517A" w:rsidP="009F118D">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3CFDDF57" wp14:editId="726DE697">
            <wp:extent cx="4848225" cy="1419225"/>
            <wp:effectExtent l="19050" t="0" r="952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4848225" cy="1419225"/>
                    </a:xfrm>
                    <a:prstGeom prst="rect">
                      <a:avLst/>
                    </a:prstGeom>
                    <a:noFill/>
                    <a:ln w="9525">
                      <a:noFill/>
                      <a:miter lim="800000"/>
                      <a:headEnd/>
                      <a:tailEnd/>
                    </a:ln>
                  </pic:spPr>
                </pic:pic>
              </a:graphicData>
            </a:graphic>
          </wp:inline>
        </w:drawing>
      </w:r>
    </w:p>
    <w:p w14:paraId="42B9045D" w14:textId="77777777" w:rsidR="009F118D" w:rsidRPr="005119FF" w:rsidRDefault="005119FF" w:rsidP="005119FF">
      <w:pPr>
        <w:pStyle w:val="Caption"/>
        <w:spacing w:line="360" w:lineRule="auto"/>
        <w:rPr>
          <w:rFonts w:ascii="Times New Roman" w:hAnsi="Times New Roman" w:cs="Times New Roman"/>
          <w:b w:val="0"/>
          <w:i/>
          <w:color w:val="auto"/>
          <w:sz w:val="24"/>
          <w:szCs w:val="24"/>
        </w:rPr>
      </w:pPr>
      <w:bookmarkStart w:id="35" w:name="_Toc44684896"/>
      <w:r w:rsidRPr="005119FF">
        <w:rPr>
          <w:rFonts w:ascii="Times New Roman" w:hAnsi="Times New Roman" w:cs="Times New Roman"/>
          <w:b w:val="0"/>
          <w:i/>
          <w:color w:val="auto"/>
          <w:sz w:val="24"/>
          <w:szCs w:val="24"/>
        </w:rPr>
        <w:t xml:space="preserve">Figure </w:t>
      </w:r>
      <w:r w:rsidR="00106A32" w:rsidRPr="005119FF">
        <w:rPr>
          <w:rFonts w:ascii="Times New Roman" w:hAnsi="Times New Roman" w:cs="Times New Roman"/>
          <w:b w:val="0"/>
          <w:i/>
          <w:color w:val="auto"/>
          <w:sz w:val="24"/>
          <w:szCs w:val="24"/>
        </w:rPr>
        <w:fldChar w:fldCharType="begin"/>
      </w:r>
      <w:r w:rsidRPr="005119FF">
        <w:rPr>
          <w:rFonts w:ascii="Times New Roman" w:hAnsi="Times New Roman" w:cs="Times New Roman"/>
          <w:b w:val="0"/>
          <w:i/>
          <w:color w:val="auto"/>
          <w:sz w:val="24"/>
          <w:szCs w:val="24"/>
        </w:rPr>
        <w:instrText xml:space="preserve"> SEQ Figure \* ARABIC </w:instrText>
      </w:r>
      <w:r w:rsidR="00106A32" w:rsidRPr="005119FF">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7</w:t>
      </w:r>
      <w:r w:rsidR="00106A32" w:rsidRPr="005119FF">
        <w:rPr>
          <w:rFonts w:ascii="Times New Roman" w:hAnsi="Times New Roman" w:cs="Times New Roman"/>
          <w:b w:val="0"/>
          <w:i/>
          <w:color w:val="auto"/>
          <w:sz w:val="24"/>
          <w:szCs w:val="24"/>
        </w:rPr>
        <w:fldChar w:fldCharType="end"/>
      </w:r>
      <w:r w:rsidRPr="005119FF">
        <w:rPr>
          <w:rFonts w:ascii="Times New Roman" w:hAnsi="Times New Roman" w:cs="Times New Roman"/>
          <w:b w:val="0"/>
          <w:i/>
          <w:color w:val="auto"/>
          <w:sz w:val="24"/>
          <w:szCs w:val="24"/>
        </w:rPr>
        <w:t xml:space="preserve"> - Ohm's law. Voltage is the product of current, multiplied by resistance.</w:t>
      </w:r>
      <w:bookmarkEnd w:id="35"/>
    </w:p>
    <w:p w14:paraId="4EE93FA6" w14:textId="77777777" w:rsidR="005119FF" w:rsidRPr="005119FF" w:rsidRDefault="005119FF" w:rsidP="005119FF"/>
    <w:p w14:paraId="653B914E" w14:textId="77777777" w:rsidR="009F118D" w:rsidRPr="00EC6C19" w:rsidRDefault="009F118D" w:rsidP="009F118D">
      <w:pPr>
        <w:spacing w:line="360" w:lineRule="auto"/>
        <w:rPr>
          <w:rFonts w:ascii="Times New Roman" w:hAnsi="Times New Roman" w:cs="Times New Roman"/>
          <w:color w:val="FF0000"/>
          <w:sz w:val="24"/>
          <w:szCs w:val="24"/>
        </w:rPr>
      </w:pPr>
      <w:r w:rsidRPr="00EC6C19">
        <w:rPr>
          <w:rFonts w:ascii="Times New Roman" w:hAnsi="Times New Roman" w:cs="Times New Roman"/>
          <w:sz w:val="24"/>
          <w:szCs w:val="24"/>
        </w:rPr>
        <w:t xml:space="preserve">Ohm's law can be applied to the </w:t>
      </w:r>
      <w:r w:rsidRPr="005119FF">
        <w:rPr>
          <w:rFonts w:ascii="Times New Roman" w:hAnsi="Times New Roman" w:cs="Times New Roman"/>
          <w:sz w:val="24"/>
          <w:szCs w:val="24"/>
        </w:rPr>
        <w:t xml:space="preserve">cardiovascular system. Voltage is replaced by pressure and current by flow. The result is shown in </w:t>
      </w:r>
      <w:r w:rsidR="005119FF" w:rsidRPr="005119FF">
        <w:rPr>
          <w:rFonts w:ascii="Times New Roman" w:hAnsi="Times New Roman" w:cs="Times New Roman"/>
          <w:sz w:val="24"/>
          <w:szCs w:val="24"/>
        </w:rPr>
        <w:t>Figure 8</w:t>
      </w:r>
      <w:r w:rsidRPr="005119FF">
        <w:rPr>
          <w:rFonts w:ascii="Times New Roman" w:hAnsi="Times New Roman" w:cs="Times New Roman"/>
          <w:sz w:val="24"/>
          <w:szCs w:val="24"/>
        </w:rPr>
        <w:t>.</w:t>
      </w:r>
    </w:p>
    <w:p w14:paraId="39423A8C" w14:textId="77777777" w:rsidR="009F118D" w:rsidRPr="00EC6C19" w:rsidRDefault="009F118D" w:rsidP="009F118D">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7D3434D3" wp14:editId="56DB7A29">
            <wp:extent cx="5676900" cy="142875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5676900" cy="1428750"/>
                    </a:xfrm>
                    <a:prstGeom prst="rect">
                      <a:avLst/>
                    </a:prstGeom>
                    <a:noFill/>
                    <a:ln w="9525">
                      <a:noFill/>
                      <a:miter lim="800000"/>
                      <a:headEnd/>
                      <a:tailEnd/>
                    </a:ln>
                  </pic:spPr>
                </pic:pic>
              </a:graphicData>
            </a:graphic>
          </wp:inline>
        </w:drawing>
      </w:r>
    </w:p>
    <w:p w14:paraId="3CCCE533" w14:textId="77777777" w:rsidR="009F118D" w:rsidRPr="005119FF" w:rsidRDefault="005119FF" w:rsidP="005119FF">
      <w:pPr>
        <w:pStyle w:val="Caption"/>
        <w:spacing w:line="360" w:lineRule="auto"/>
        <w:rPr>
          <w:rFonts w:ascii="Times New Roman" w:hAnsi="Times New Roman" w:cs="Times New Roman"/>
          <w:b w:val="0"/>
          <w:i/>
          <w:color w:val="auto"/>
          <w:sz w:val="24"/>
          <w:szCs w:val="24"/>
        </w:rPr>
      </w:pPr>
      <w:bookmarkStart w:id="36" w:name="_Toc44684897"/>
      <w:r w:rsidRPr="005119FF">
        <w:rPr>
          <w:rFonts w:ascii="Times New Roman" w:hAnsi="Times New Roman" w:cs="Times New Roman"/>
          <w:b w:val="0"/>
          <w:i/>
          <w:color w:val="auto"/>
          <w:sz w:val="24"/>
          <w:szCs w:val="24"/>
        </w:rPr>
        <w:t xml:space="preserve">Figure </w:t>
      </w:r>
      <w:r w:rsidR="00106A32" w:rsidRPr="005119FF">
        <w:rPr>
          <w:rFonts w:ascii="Times New Roman" w:hAnsi="Times New Roman" w:cs="Times New Roman"/>
          <w:b w:val="0"/>
          <w:i/>
          <w:color w:val="auto"/>
          <w:sz w:val="24"/>
          <w:szCs w:val="24"/>
        </w:rPr>
        <w:fldChar w:fldCharType="begin"/>
      </w:r>
      <w:r w:rsidRPr="005119FF">
        <w:rPr>
          <w:rFonts w:ascii="Times New Roman" w:hAnsi="Times New Roman" w:cs="Times New Roman"/>
          <w:b w:val="0"/>
          <w:i/>
          <w:color w:val="auto"/>
          <w:sz w:val="24"/>
          <w:szCs w:val="24"/>
        </w:rPr>
        <w:instrText xml:space="preserve"> SEQ Figure \* ARABIC </w:instrText>
      </w:r>
      <w:r w:rsidR="00106A32" w:rsidRPr="005119FF">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8</w:t>
      </w:r>
      <w:r w:rsidR="00106A32" w:rsidRPr="005119FF">
        <w:rPr>
          <w:rFonts w:ascii="Times New Roman" w:hAnsi="Times New Roman" w:cs="Times New Roman"/>
          <w:b w:val="0"/>
          <w:i/>
          <w:color w:val="auto"/>
          <w:sz w:val="24"/>
          <w:szCs w:val="24"/>
        </w:rPr>
        <w:fldChar w:fldCharType="end"/>
      </w:r>
      <w:r w:rsidRPr="005119FF">
        <w:rPr>
          <w:rFonts w:ascii="Times New Roman" w:hAnsi="Times New Roman" w:cs="Times New Roman"/>
          <w:b w:val="0"/>
          <w:i/>
          <w:color w:val="auto"/>
          <w:sz w:val="24"/>
          <w:szCs w:val="24"/>
        </w:rPr>
        <w:t xml:space="preserve"> - Ohm's law, applied to the cardiovascular system. This forms the basis of autoregulation.</w:t>
      </w:r>
      <w:bookmarkEnd w:id="36"/>
    </w:p>
    <w:p w14:paraId="1B81B54A" w14:textId="77777777" w:rsidR="005119FF" w:rsidRPr="005119FF" w:rsidRDefault="005119FF" w:rsidP="005119FF"/>
    <w:p w14:paraId="5A14909A" w14:textId="77777777" w:rsidR="009F118D" w:rsidRPr="00EC6C19" w:rsidRDefault="009F118D" w:rsidP="009F118D">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Autoregulation can be explained using the equation </w:t>
      </w:r>
      <w:r w:rsidRPr="004B2859">
        <w:rPr>
          <w:rFonts w:ascii="Times New Roman" w:hAnsi="Times New Roman" w:cs="Times New Roman"/>
          <w:sz w:val="24"/>
          <w:szCs w:val="24"/>
        </w:rPr>
        <w:t xml:space="preserve">in Figure </w:t>
      </w:r>
      <w:r w:rsidR="004B2859" w:rsidRPr="004B2859">
        <w:rPr>
          <w:rFonts w:ascii="Times New Roman" w:hAnsi="Times New Roman" w:cs="Times New Roman"/>
          <w:sz w:val="24"/>
          <w:szCs w:val="24"/>
        </w:rPr>
        <w:t>8</w:t>
      </w:r>
      <w:r w:rsidRPr="00EC6C19">
        <w:rPr>
          <w:rFonts w:ascii="Times New Roman" w:hAnsi="Times New Roman" w:cs="Times New Roman"/>
          <w:sz w:val="24"/>
          <w:szCs w:val="24"/>
        </w:rPr>
        <w:t xml:space="preserve">. If pressure drops, and flow is to remain constant, resistance must </w:t>
      </w:r>
      <w:r w:rsidR="004B2859">
        <w:rPr>
          <w:rFonts w:ascii="Times New Roman" w:hAnsi="Times New Roman" w:cs="Times New Roman"/>
          <w:sz w:val="24"/>
          <w:szCs w:val="24"/>
        </w:rPr>
        <w:t>decreas</w:t>
      </w:r>
      <w:r w:rsidRPr="00EC6C19">
        <w:rPr>
          <w:rFonts w:ascii="Times New Roman" w:hAnsi="Times New Roman" w:cs="Times New Roman"/>
          <w:sz w:val="24"/>
          <w:szCs w:val="24"/>
        </w:rPr>
        <w:t>e, and vice versa. However, when maximal hyperaemia is applied, resistance is assumed to me minimal and constant</w:t>
      </w:r>
      <w:r w:rsidR="0066634B" w:rsidRPr="00EC6C19">
        <w:rPr>
          <w:rFonts w:ascii="Times New Roman" w:hAnsi="Times New Roman" w:cs="Times New Roman"/>
          <w:sz w:val="24"/>
          <w:szCs w:val="24"/>
        </w:rPr>
        <w:t>, inhibiting autoregulation</w:t>
      </w:r>
      <w:r w:rsidRPr="00EC6C19">
        <w:rPr>
          <w:rFonts w:ascii="Times New Roman" w:hAnsi="Times New Roman" w:cs="Times New Roman"/>
          <w:sz w:val="24"/>
          <w:szCs w:val="24"/>
        </w:rPr>
        <w:t xml:space="preserve">. </w:t>
      </w:r>
      <w:r w:rsidR="0066634B" w:rsidRPr="00EC6C19">
        <w:rPr>
          <w:rFonts w:ascii="Times New Roman" w:hAnsi="Times New Roman" w:cs="Times New Roman"/>
          <w:sz w:val="24"/>
          <w:szCs w:val="24"/>
        </w:rPr>
        <w:t>In turn,</w:t>
      </w:r>
      <w:r w:rsidRPr="00EC6C19">
        <w:rPr>
          <w:rFonts w:ascii="Times New Roman" w:hAnsi="Times New Roman" w:cs="Times New Roman"/>
          <w:sz w:val="24"/>
          <w:szCs w:val="24"/>
        </w:rPr>
        <w:t xml:space="preserve"> a change in pressure becomes proportional to a change </w:t>
      </w:r>
      <w:r w:rsidRPr="005119FF">
        <w:rPr>
          <w:rFonts w:ascii="Times New Roman" w:hAnsi="Times New Roman" w:cs="Times New Roman"/>
          <w:sz w:val="24"/>
          <w:szCs w:val="24"/>
        </w:rPr>
        <w:t xml:space="preserve">in flow </w:t>
      </w:r>
      <w:r w:rsidR="005119FF" w:rsidRPr="005119FF">
        <w:rPr>
          <w:rFonts w:ascii="Times New Roman" w:hAnsi="Times New Roman" w:cs="Times New Roman"/>
          <w:sz w:val="24"/>
          <w:szCs w:val="24"/>
        </w:rPr>
        <w:t>(Figure 9</w:t>
      </w:r>
      <w:r w:rsidRPr="005119FF">
        <w:rPr>
          <w:rFonts w:ascii="Times New Roman" w:hAnsi="Times New Roman" w:cs="Times New Roman"/>
          <w:sz w:val="24"/>
          <w:szCs w:val="24"/>
        </w:rPr>
        <w:t>).</w:t>
      </w:r>
    </w:p>
    <w:p w14:paraId="61FC510A" w14:textId="77777777" w:rsidR="009F118D" w:rsidRPr="00EC6C19" w:rsidRDefault="009F118D">
      <w:pPr>
        <w:rPr>
          <w:rFonts w:ascii="Times New Roman" w:hAnsi="Times New Roman" w:cs="Times New Roman"/>
          <w:sz w:val="24"/>
          <w:szCs w:val="24"/>
        </w:rPr>
      </w:pPr>
      <w:r w:rsidRPr="00EC6C19">
        <w:rPr>
          <w:rFonts w:ascii="Times New Roman" w:hAnsi="Times New Roman" w:cs="Times New Roman"/>
          <w:noProof/>
          <w:sz w:val="24"/>
          <w:szCs w:val="24"/>
          <w:lang w:eastAsia="en-GB"/>
        </w:rPr>
        <w:lastRenderedPageBreak/>
        <w:drawing>
          <wp:inline distT="0" distB="0" distL="0" distR="0" wp14:anchorId="3CEA6C4F" wp14:editId="0849DE61">
            <wp:extent cx="5943600" cy="1504950"/>
            <wp:effectExtent l="1905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5943600" cy="1504950"/>
                    </a:xfrm>
                    <a:prstGeom prst="rect">
                      <a:avLst/>
                    </a:prstGeom>
                    <a:noFill/>
                    <a:ln w="9525">
                      <a:noFill/>
                      <a:miter lim="800000"/>
                      <a:headEnd/>
                      <a:tailEnd/>
                    </a:ln>
                  </pic:spPr>
                </pic:pic>
              </a:graphicData>
            </a:graphic>
          </wp:inline>
        </w:drawing>
      </w:r>
    </w:p>
    <w:p w14:paraId="27BDD875" w14:textId="77777777" w:rsidR="0066634B" w:rsidRPr="005119FF" w:rsidRDefault="005119FF" w:rsidP="005119FF">
      <w:pPr>
        <w:pStyle w:val="Caption"/>
        <w:spacing w:line="360" w:lineRule="auto"/>
        <w:rPr>
          <w:rFonts w:ascii="Times New Roman" w:hAnsi="Times New Roman" w:cs="Times New Roman"/>
          <w:b w:val="0"/>
          <w:i/>
          <w:color w:val="auto"/>
          <w:sz w:val="24"/>
          <w:szCs w:val="24"/>
        </w:rPr>
      </w:pPr>
      <w:bookmarkStart w:id="37" w:name="_Toc44684898"/>
      <w:r w:rsidRPr="005119FF">
        <w:rPr>
          <w:rFonts w:ascii="Times New Roman" w:hAnsi="Times New Roman" w:cs="Times New Roman"/>
          <w:b w:val="0"/>
          <w:i/>
          <w:color w:val="auto"/>
          <w:sz w:val="24"/>
          <w:szCs w:val="24"/>
        </w:rPr>
        <w:t xml:space="preserve">Figure </w:t>
      </w:r>
      <w:r w:rsidR="00106A32" w:rsidRPr="005119FF">
        <w:rPr>
          <w:rFonts w:ascii="Times New Roman" w:hAnsi="Times New Roman" w:cs="Times New Roman"/>
          <w:b w:val="0"/>
          <w:i/>
          <w:color w:val="auto"/>
          <w:sz w:val="24"/>
          <w:szCs w:val="24"/>
        </w:rPr>
        <w:fldChar w:fldCharType="begin"/>
      </w:r>
      <w:r w:rsidRPr="005119FF">
        <w:rPr>
          <w:rFonts w:ascii="Times New Roman" w:hAnsi="Times New Roman" w:cs="Times New Roman"/>
          <w:b w:val="0"/>
          <w:i/>
          <w:color w:val="auto"/>
          <w:sz w:val="24"/>
          <w:szCs w:val="24"/>
        </w:rPr>
        <w:instrText xml:space="preserve"> SEQ Figure \* ARABIC </w:instrText>
      </w:r>
      <w:r w:rsidR="00106A32" w:rsidRPr="005119FF">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9</w:t>
      </w:r>
      <w:r w:rsidR="00106A32" w:rsidRPr="005119FF">
        <w:rPr>
          <w:rFonts w:ascii="Times New Roman" w:hAnsi="Times New Roman" w:cs="Times New Roman"/>
          <w:b w:val="0"/>
          <w:i/>
          <w:color w:val="auto"/>
          <w:sz w:val="24"/>
          <w:szCs w:val="24"/>
        </w:rPr>
        <w:fldChar w:fldCharType="end"/>
      </w:r>
      <w:r w:rsidRPr="005119FF">
        <w:rPr>
          <w:rFonts w:ascii="Times New Roman" w:hAnsi="Times New Roman" w:cs="Times New Roman"/>
          <w:b w:val="0"/>
          <w:i/>
          <w:color w:val="auto"/>
          <w:sz w:val="24"/>
          <w:szCs w:val="24"/>
        </w:rPr>
        <w:t xml:space="preserve"> - at maximal hyperaemia, when resistance is minimal and constant, a change in pressure can be said to be proportional to a change in flow. Triangles represent the sum of change</w:t>
      </w:r>
      <w:bookmarkEnd w:id="37"/>
    </w:p>
    <w:p w14:paraId="3925C297" w14:textId="77777777" w:rsidR="005119FF" w:rsidRPr="005119FF" w:rsidRDefault="005119FF" w:rsidP="005119FF"/>
    <w:p w14:paraId="78A6FCA2" w14:textId="6D20C287" w:rsidR="0066634B" w:rsidRDefault="0066634B" w:rsidP="0066634B">
      <w:pPr>
        <w:spacing w:line="360" w:lineRule="auto"/>
        <w:rPr>
          <w:rFonts w:ascii="Times New Roman" w:hAnsi="Times New Roman" w:cs="Times New Roman"/>
          <w:sz w:val="24"/>
          <w:szCs w:val="24"/>
        </w:rPr>
      </w:pPr>
      <w:r w:rsidRPr="00EC6C19">
        <w:rPr>
          <w:rFonts w:ascii="Times New Roman" w:hAnsi="Times New Roman" w:cs="Times New Roman"/>
          <w:sz w:val="24"/>
          <w:szCs w:val="24"/>
        </w:rPr>
        <w:t>In the coronary circulation therefore, FFR measures 'flow' (actually measuring</w:t>
      </w:r>
      <w:r w:rsidR="008C2DA5" w:rsidRPr="00EC6C19">
        <w:rPr>
          <w:rFonts w:ascii="Times New Roman" w:hAnsi="Times New Roman" w:cs="Times New Roman"/>
          <w:sz w:val="24"/>
          <w:szCs w:val="24"/>
        </w:rPr>
        <w:t xml:space="preserve"> mean</w:t>
      </w:r>
      <w:r w:rsidRPr="00EC6C19">
        <w:rPr>
          <w:rFonts w:ascii="Times New Roman" w:hAnsi="Times New Roman" w:cs="Times New Roman"/>
          <w:sz w:val="24"/>
          <w:szCs w:val="24"/>
        </w:rPr>
        <w:t xml:space="preserve"> pressure) beyond a stenosis</w:t>
      </w:r>
      <w:r w:rsidR="00BE42E1" w:rsidRPr="00EC6C19">
        <w:rPr>
          <w:rFonts w:ascii="Times New Roman" w:hAnsi="Times New Roman" w:cs="Times New Roman"/>
          <w:sz w:val="24"/>
          <w:szCs w:val="24"/>
        </w:rPr>
        <w:t xml:space="preserve"> (Pd)</w:t>
      </w:r>
      <w:r w:rsidRPr="00EC6C19">
        <w:rPr>
          <w:rFonts w:ascii="Times New Roman" w:hAnsi="Times New Roman" w:cs="Times New Roman"/>
          <w:sz w:val="24"/>
          <w:szCs w:val="24"/>
        </w:rPr>
        <w:t>, and compares it to flow before a stenosis</w:t>
      </w:r>
      <w:r w:rsidR="00BE42E1" w:rsidRPr="00EC6C19">
        <w:rPr>
          <w:rFonts w:ascii="Times New Roman" w:hAnsi="Times New Roman" w:cs="Times New Roman"/>
          <w:sz w:val="24"/>
          <w:szCs w:val="24"/>
        </w:rPr>
        <w:t xml:space="preserve"> (Pa)</w:t>
      </w:r>
      <w:r w:rsidRPr="00EC6C19">
        <w:rPr>
          <w:rFonts w:ascii="Times New Roman" w:hAnsi="Times New Roman" w:cs="Times New Roman"/>
          <w:sz w:val="24"/>
          <w:szCs w:val="24"/>
        </w:rPr>
        <w:t>.</w:t>
      </w:r>
      <w:r w:rsidR="008C2DA5" w:rsidRPr="00EC6C19">
        <w:rPr>
          <w:rFonts w:ascii="Times New Roman" w:hAnsi="Times New Roman" w:cs="Times New Roman"/>
          <w:sz w:val="24"/>
          <w:szCs w:val="24"/>
        </w:rPr>
        <w:t xml:space="preserve"> The proximal pressure is recorded either in the aorta or ostial left main stem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{"citationID":"TBXECpxC","properties":{"formattedCitation":"(Pijls et al., 1996)","plainCitation":"(Pijls et al., 1996)","noteIndex":0},"citationItems":[{"id":507,"uris":["http://zotero.org/users/local/k67tNDdX/items/CR26C3M4"],"uri":["http://zotero.org/users/local/k67tNDdX/items/CR26C3M4"],"itemData":{"id":507,"type":"article-journal","abstract":"In patients with chest pain and stenosis of moderate severity as assessed by coronary angiography, evaluation and treatment are challenging. Often, many diagnostic tests are performed and no clear diagnosis of the cause of the chest pain results. In a considerable number of patients, coronary revascularization is performed without definite evidence that the coronary stenosis is causing the symptoms.1,2 On the basis of pressure–flow analysis of coronary stenoses during maximal flow,3,4 the concept of myocardial fractional flow reserve (FFR) has been developed as an invasively determined index of the functional severity of coronary stenoses.5–10 FFR is defined . . .","container-title":"New England Journal of Medicine","DOI":"10.1056/NEJM199606273342604","ISSN":"0028-4793","issue":"26","note":"PMID: 8637515","page":"1703-1708","source":"Taylor and Francis+NEJM","title":"Measurement of Fractional Flow Reserve to Assess the Functional Severity of Coronary-Artery Stenoses","volume":"334","author":[{"family":"Pijls","given":"Nico H.J."},{"family":"Bruyne","given":"Bernard","non-dropping-particle":"de"},{"family":"Peels","given":"Kathinka"},{"family":"Voort","given":"Pepijn H.","non-dropping-particle":"van der"},{"family":"Bonnier","given":"Hans J.R.M."},{"family":"Bartunek","given":"Jozef"},{"family":"Koolen","given":"Jacques J."}],"issued":{"date-parts":[["1996",6,27]]}}}],"schema":"https://github.com/citation-style-language/schema/raw/master/csl-citation.json"} </w:instrText>
      </w:r>
      <w:r w:rsidR="00106A32" w:rsidRPr="00EC6C19">
        <w:rPr>
          <w:rFonts w:ascii="Times New Roman" w:hAnsi="Times New Roman" w:cs="Times New Roman"/>
          <w:sz w:val="24"/>
          <w:szCs w:val="24"/>
        </w:rPr>
        <w:fldChar w:fldCharType="separate"/>
      </w:r>
      <w:r w:rsidR="00E841E0" w:rsidRPr="00EC6C19">
        <w:rPr>
          <w:rFonts w:ascii="Times New Roman" w:hAnsi="Times New Roman" w:cs="Times New Roman"/>
          <w:sz w:val="24"/>
          <w:szCs w:val="24"/>
        </w:rPr>
        <w:t xml:space="preserve">(Pijls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1996)</w:t>
      </w:r>
      <w:r w:rsidR="00106A32" w:rsidRPr="00EC6C19">
        <w:rPr>
          <w:rFonts w:ascii="Times New Roman" w:hAnsi="Times New Roman" w:cs="Times New Roman"/>
          <w:sz w:val="24"/>
          <w:szCs w:val="24"/>
        </w:rPr>
        <w:fldChar w:fldCharType="end"/>
      </w:r>
      <w:r w:rsidR="008C2DA5" w:rsidRPr="00EC6C19">
        <w:rPr>
          <w:rFonts w:ascii="Times New Roman" w:hAnsi="Times New Roman" w:cs="Times New Roman"/>
          <w:sz w:val="24"/>
          <w:szCs w:val="24"/>
        </w:rPr>
        <w:t>.</w:t>
      </w:r>
      <w:r w:rsidR="00BE42E1" w:rsidRPr="00EC6C19">
        <w:rPr>
          <w:rFonts w:ascii="Times New Roman" w:hAnsi="Times New Roman" w:cs="Times New Roman"/>
          <w:sz w:val="24"/>
          <w:szCs w:val="24"/>
        </w:rPr>
        <w:t xml:space="preserve"> This gives the FFR</w:t>
      </w:r>
      <w:r w:rsidR="00BE42E1" w:rsidRPr="00EC6C19">
        <w:rPr>
          <w:rFonts w:ascii="Times New Roman" w:hAnsi="Times New Roman" w:cs="Times New Roman"/>
          <w:sz w:val="24"/>
          <w:szCs w:val="24"/>
          <w:vertAlign w:val="subscript"/>
        </w:rPr>
        <w:t>myo</w:t>
      </w:r>
      <w:r w:rsidR="00B16605" w:rsidRPr="00EC6C19">
        <w:rPr>
          <w:rFonts w:ascii="Times New Roman" w:hAnsi="Times New Roman" w:cs="Times New Roman"/>
          <w:sz w:val="24"/>
          <w:szCs w:val="24"/>
          <w:vertAlign w:val="subscript"/>
        </w:rPr>
        <w:t xml:space="preserve"> </w:t>
      </w:r>
      <w:r w:rsidR="00BE42E1" w:rsidRPr="00EC6C19">
        <w:rPr>
          <w:rFonts w:ascii="Times New Roman" w:hAnsi="Times New Roman" w:cs="Times New Roman"/>
          <w:sz w:val="24"/>
          <w:szCs w:val="24"/>
        </w:rPr>
        <w:t xml:space="preserve">which provides information regarding flow to the myocardium beyond the stenosis </w:t>
      </w:r>
      <w:r w:rsidR="00BE42E1" w:rsidRPr="004B2859">
        <w:rPr>
          <w:rFonts w:ascii="Times New Roman" w:hAnsi="Times New Roman" w:cs="Times New Roman"/>
          <w:sz w:val="24"/>
          <w:szCs w:val="24"/>
        </w:rPr>
        <w:t xml:space="preserve">(Figure </w:t>
      </w:r>
      <w:r w:rsidR="004B2859" w:rsidRPr="004B2859">
        <w:rPr>
          <w:rFonts w:ascii="Times New Roman" w:hAnsi="Times New Roman" w:cs="Times New Roman"/>
          <w:sz w:val="24"/>
          <w:szCs w:val="24"/>
        </w:rPr>
        <w:t>10</w:t>
      </w:r>
      <w:r w:rsidR="00BE42E1" w:rsidRPr="004B2859">
        <w:rPr>
          <w:rFonts w:ascii="Times New Roman" w:hAnsi="Times New Roman" w:cs="Times New Roman"/>
          <w:sz w:val="24"/>
          <w:szCs w:val="24"/>
        </w:rPr>
        <w:t>).</w:t>
      </w:r>
      <w:r w:rsidR="003C5E78">
        <w:rPr>
          <w:rFonts w:ascii="Times New Roman" w:hAnsi="Times New Roman" w:cs="Times New Roman"/>
          <w:sz w:val="24"/>
          <w:szCs w:val="24"/>
        </w:rPr>
        <w:t xml:space="preserve"> </w:t>
      </w:r>
      <w:r w:rsidR="00B25002" w:rsidRPr="004B2859">
        <w:rPr>
          <w:rFonts w:ascii="Times New Roman" w:hAnsi="Times New Roman" w:cs="Times New Roman"/>
          <w:sz w:val="24"/>
          <w:szCs w:val="24"/>
        </w:rPr>
        <w:t>In the originally described formula, venous pressure is factored into the pressure reading (taken from the right atrium), so provide a more accurate assessment of the stenosis.</w:t>
      </w:r>
    </w:p>
    <w:p w14:paraId="3936D4A1" w14:textId="77777777" w:rsidR="0006539A" w:rsidRPr="004B2859" w:rsidRDefault="0006539A" w:rsidP="0066634B">
      <w:pPr>
        <w:spacing w:line="360" w:lineRule="auto"/>
        <w:rPr>
          <w:rFonts w:ascii="Times New Roman" w:hAnsi="Times New Roman" w:cs="Times New Roman"/>
          <w:sz w:val="24"/>
          <w:szCs w:val="24"/>
        </w:rPr>
      </w:pPr>
    </w:p>
    <w:p w14:paraId="0787EF0C" w14:textId="77777777" w:rsidR="0066634B" w:rsidRPr="00EC6C19" w:rsidRDefault="00B25002" w:rsidP="00B25002">
      <w:pPr>
        <w:jc w:val="center"/>
        <w:rPr>
          <w:rFonts w:ascii="Times New Roman" w:hAnsi="Times New Roman" w:cs="Times New Roman"/>
          <w:sz w:val="24"/>
          <w:szCs w:val="24"/>
        </w:rPr>
      </w:pPr>
      <w:r w:rsidRPr="00EC6C19">
        <w:rPr>
          <w:rFonts w:ascii="Times New Roman" w:hAnsi="Times New Roman" w:cs="Times New Roman"/>
          <w:noProof/>
          <w:sz w:val="24"/>
          <w:szCs w:val="24"/>
          <w:lang w:eastAsia="en-GB"/>
        </w:rPr>
        <w:lastRenderedPageBreak/>
        <w:drawing>
          <wp:inline distT="0" distB="0" distL="0" distR="0" wp14:anchorId="14E4F440" wp14:editId="2E7AF9E4">
            <wp:extent cx="5943600" cy="3286125"/>
            <wp:effectExtent l="1905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srcRect/>
                    <a:stretch>
                      <a:fillRect/>
                    </a:stretch>
                  </pic:blipFill>
                  <pic:spPr bwMode="auto">
                    <a:xfrm>
                      <a:off x="0" y="0"/>
                      <a:ext cx="5943600" cy="3286125"/>
                    </a:xfrm>
                    <a:prstGeom prst="rect">
                      <a:avLst/>
                    </a:prstGeom>
                    <a:noFill/>
                    <a:ln w="9525">
                      <a:noFill/>
                      <a:miter lim="800000"/>
                      <a:headEnd/>
                      <a:tailEnd/>
                    </a:ln>
                  </pic:spPr>
                </pic:pic>
              </a:graphicData>
            </a:graphic>
          </wp:inline>
        </w:drawing>
      </w:r>
    </w:p>
    <w:p w14:paraId="04EA4893" w14:textId="77777777" w:rsidR="00BE42E1" w:rsidRPr="004B2859" w:rsidRDefault="004B2859" w:rsidP="004B2859">
      <w:pPr>
        <w:pStyle w:val="Caption"/>
        <w:spacing w:line="360" w:lineRule="auto"/>
        <w:rPr>
          <w:rFonts w:ascii="Times New Roman" w:hAnsi="Times New Roman" w:cs="Times New Roman"/>
          <w:b w:val="0"/>
          <w:i/>
          <w:color w:val="auto"/>
          <w:sz w:val="24"/>
          <w:szCs w:val="24"/>
        </w:rPr>
      </w:pPr>
      <w:bookmarkStart w:id="38" w:name="_Toc44684899"/>
      <w:r w:rsidRPr="004B2859">
        <w:rPr>
          <w:rFonts w:ascii="Times New Roman" w:hAnsi="Times New Roman" w:cs="Times New Roman"/>
          <w:b w:val="0"/>
          <w:i/>
          <w:color w:val="auto"/>
          <w:sz w:val="24"/>
          <w:szCs w:val="24"/>
        </w:rPr>
        <w:t xml:space="preserve">Figure </w:t>
      </w:r>
      <w:r w:rsidR="00106A32" w:rsidRPr="004B2859">
        <w:rPr>
          <w:rFonts w:ascii="Times New Roman" w:hAnsi="Times New Roman" w:cs="Times New Roman"/>
          <w:b w:val="0"/>
          <w:i/>
          <w:color w:val="auto"/>
          <w:sz w:val="24"/>
          <w:szCs w:val="24"/>
        </w:rPr>
        <w:fldChar w:fldCharType="begin"/>
      </w:r>
      <w:r w:rsidRPr="004B2859">
        <w:rPr>
          <w:rFonts w:ascii="Times New Roman" w:hAnsi="Times New Roman" w:cs="Times New Roman"/>
          <w:b w:val="0"/>
          <w:i/>
          <w:color w:val="auto"/>
          <w:sz w:val="24"/>
          <w:szCs w:val="24"/>
        </w:rPr>
        <w:instrText xml:space="preserve"> SEQ Figure \* ARABIC </w:instrText>
      </w:r>
      <w:r w:rsidR="00106A32" w:rsidRPr="004B2859">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10</w:t>
      </w:r>
      <w:r w:rsidR="00106A32" w:rsidRPr="004B2859">
        <w:rPr>
          <w:rFonts w:ascii="Times New Roman" w:hAnsi="Times New Roman" w:cs="Times New Roman"/>
          <w:b w:val="0"/>
          <w:i/>
          <w:color w:val="auto"/>
          <w:sz w:val="24"/>
          <w:szCs w:val="24"/>
        </w:rPr>
        <w:fldChar w:fldCharType="end"/>
      </w:r>
      <w:r w:rsidRPr="004B2859">
        <w:rPr>
          <w:rFonts w:ascii="Times New Roman" w:hAnsi="Times New Roman" w:cs="Times New Roman"/>
          <w:b w:val="0"/>
          <w:i/>
          <w:color w:val="auto"/>
          <w:sz w:val="24"/>
          <w:szCs w:val="24"/>
        </w:rPr>
        <w:t xml:space="preserve"> - Calculation of FFR</w:t>
      </w:r>
      <w:r w:rsidR="00B25002" w:rsidRPr="004B2859">
        <w:rPr>
          <w:rFonts w:ascii="Times New Roman" w:hAnsi="Times New Roman" w:cs="Times New Roman"/>
          <w:b w:val="0"/>
          <w:i/>
          <w:color w:val="auto"/>
          <w:sz w:val="24"/>
          <w:szCs w:val="24"/>
        </w:rPr>
        <w:t xml:space="preserve">- </w:t>
      </w:r>
      <w:r w:rsidR="007C7D90" w:rsidRPr="004B2859">
        <w:rPr>
          <w:rFonts w:ascii="Times New Roman" w:hAnsi="Times New Roman" w:cs="Times New Roman"/>
          <w:b w:val="0"/>
          <w:i/>
          <w:color w:val="auto"/>
          <w:sz w:val="24"/>
          <w:szCs w:val="24"/>
        </w:rPr>
        <w:t>diagrammatic</w:t>
      </w:r>
      <w:r w:rsidR="00B25002" w:rsidRPr="004B2859">
        <w:rPr>
          <w:rFonts w:ascii="Times New Roman" w:hAnsi="Times New Roman" w:cs="Times New Roman"/>
          <w:b w:val="0"/>
          <w:i/>
          <w:color w:val="auto"/>
          <w:sz w:val="24"/>
          <w:szCs w:val="24"/>
        </w:rPr>
        <w:t xml:space="preserve"> representation of FFR measurement beyond a stenosis. Pd = distal mean pressure, Pa = distal aortic/proximal pressure, Pv = venous pressure from right atrium. FFR = fractional flow reserve.</w:t>
      </w:r>
      <w:bookmarkEnd w:id="38"/>
    </w:p>
    <w:p w14:paraId="2AEEDF22" w14:textId="77777777" w:rsidR="00BE42E1" w:rsidRPr="00EC6C19" w:rsidRDefault="00BE42E1" w:rsidP="00B25002">
      <w:pPr>
        <w:spacing w:line="360" w:lineRule="auto"/>
        <w:rPr>
          <w:rFonts w:ascii="Times New Roman" w:hAnsi="Times New Roman" w:cs="Times New Roman"/>
          <w:sz w:val="24"/>
          <w:szCs w:val="24"/>
        </w:rPr>
      </w:pPr>
    </w:p>
    <w:p w14:paraId="28F2E9E1" w14:textId="1A2502CF" w:rsidR="00BE42E1" w:rsidRPr="00EC6C19" w:rsidRDefault="008C2DA5" w:rsidP="00F729B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In current clinical practice, with the majority of cases being carried out radially, and right atrial pressure requiring femoral vein puncture, venous readings are rarely recorded. </w:t>
      </w:r>
      <w:r w:rsidR="002146FC" w:rsidRPr="00EC6C19">
        <w:rPr>
          <w:rFonts w:ascii="Times New Roman" w:hAnsi="Times New Roman" w:cs="Times New Roman"/>
          <w:sz w:val="24"/>
          <w:szCs w:val="24"/>
        </w:rPr>
        <w:t xml:space="preserve">Recently, the effect of right atrial pressure on FFR calculation has been shown to be minimal </w:t>
      </w:r>
      <w:r w:rsidR="00106A32" w:rsidRPr="00EC6C19">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{"citationID":"YJcqPXPg","properties":{"formattedCitation":"(Toth et al., 2016)","plainCitation":"(Toth et al., 2016)","noteIndex":0},"citationItems":[{"id":515,"uris":["http://zotero.org/users/local/k67tNDdX/items/574DYNY4"],"uri":["http://zotero.org/users/local/k67tNDdX/items/574DYNY4"],"itemData":{"id":515,"type":"article-journal","abstract":"OBJECTIVES: This study sought to assess the impact of a wide range of mean right atrial pressure (Pra) on fractional flow reserve (FFR) measurements.\nBACKGROUND: FFR invasively assesses the ischemic potential of coronary stenoses. FFR is calculated as the ratio of mean distal coronary pressure (Pd) to mean aortic pressure (Pa) during maximal hyperemia. The Pra is considered to have little impact if it is within normal range, so it is neglected in the formula.\nMETHODS: In 1,676 stenoses of 1,235 patients undergoing left-right heart catheterization for ischemic (642 [52%]) or valvular heart disease (593 [48%]), the authors compared the FFR values calculated without accounting for Pra (FFR= Pd/Pa) to the corresponding myocardial fractional flow reserve (FFRmyo) values accounting for Pra (FFRmyo = Pd - Pra/Pa - Pra).\nRESULTS: The median Pra was 7 (interquartile range [IQR]: 5 to 10) mm Hg with a maximum of 27 mm Hg. The correlation and agreement between FFR and FFRmyo was excellent (R(2) = 0.987; slope 1.096 ± 0.003). The median FFR (0.85; IQR: 0.78 to 0.91) was slightly but statistically significantly higher than the median FFRmyo (0.83; IQR: 0.76 to 0.90; p &lt; 0.001) with a median difference of 0.01 (IQR: 0.01 to 0.02). Values of FFR above the cutoff of 0.80 provided an FFRmyo ≤0.80 in 110 (9%) stenoses. No FFR value above 0.80 provided an FFRmyo ≤0.75.\nCONCLUSIONS: The difference between FFR and FFRmyo was minimal even in patients with markedly increased Pra. FFR values above the gray zone (i.e., &gt;0.80) did not yield values below the gray zone (i.e., ≤0.75) in any case, which suggests that the impact of right atrial pressure on FFR measurement is indeed negligible.","container-title":"JACC. Cardiovascular interventions","DOI":"10.1016/j.jcin.2015.11.021","ISSN":"1876-7605","issue":"5","journalAbbreviation":"JACC Cardiovasc Interv","language":"eng","note":"PMID: 26896888","page":"453-459","source":"PubMed","title":"Impact of Right Atrial Pressure on Fractional Flow Reserve Measurements: Comparison of Fractional Flow Reserve and Myocardial Fractional Flow Reserve in 1,600 Coronary Stenoses","title-short":"Impact of Right Atrial Pressure on Fractional Flow Reserve Measurements","volume":"9","author":[{"family":"Toth","given":"Gabor G."},{"family":"De Bruyne","given":"Bernard"},{"family":"Rusinaru","given":"Dan"},{"family":"Di Gioia","given":"Giuseppe"},{"family":"Bartunek","given":"Jozef"},{"family":"Pellicano","given":"Mariano"},{"family":"Vanderheyden","given":"Marc"},{"family":"Adjedj","given":"Julien"},{"family":"Wijns","given":"William"},{"family":"Pijls","given":"Nico H. J."},{"family":"Barbato","given":"Emanuele"}],"issued":{"date-parts":[["2016",3,14]]}}}],"schema":"https://github.com/citation-style-language/schema/raw/master/csl-citation.json"} </w:instrText>
      </w:r>
      <w:r w:rsidR="00106A32" w:rsidRPr="00EC6C19">
        <w:rPr>
          <w:rFonts w:ascii="Times New Roman" w:hAnsi="Times New Roman" w:cs="Times New Roman"/>
          <w:sz w:val="24"/>
          <w:szCs w:val="24"/>
        </w:rPr>
        <w:fldChar w:fldCharType="separate"/>
      </w:r>
      <w:r w:rsidR="004A32A5" w:rsidRPr="004A32A5">
        <w:rPr>
          <w:rFonts w:ascii="Times New Roman" w:hAnsi="Times New Roman" w:cs="Times New Roman"/>
          <w:sz w:val="24"/>
        </w:rPr>
        <w:t>(Toth et al., 2016)</w:t>
      </w:r>
      <w:r w:rsidR="00106A32" w:rsidRPr="00EC6C19">
        <w:rPr>
          <w:rFonts w:ascii="Times New Roman" w:hAnsi="Times New Roman" w:cs="Times New Roman"/>
          <w:sz w:val="24"/>
          <w:szCs w:val="24"/>
        </w:rPr>
        <w:fldChar w:fldCharType="end"/>
      </w:r>
      <w:r w:rsidR="002146FC" w:rsidRPr="00EC6C19">
        <w:rPr>
          <w:rFonts w:ascii="Times New Roman" w:hAnsi="Times New Roman" w:cs="Times New Roman"/>
          <w:sz w:val="24"/>
          <w:szCs w:val="24"/>
        </w:rPr>
        <w:t>. In Pijls original paper in 1993, he described a method to calculate FFR</w:t>
      </w:r>
      <w:r w:rsidR="002146FC" w:rsidRPr="00EC6C19">
        <w:rPr>
          <w:rFonts w:ascii="Times New Roman" w:hAnsi="Times New Roman" w:cs="Times New Roman"/>
          <w:sz w:val="24"/>
          <w:szCs w:val="24"/>
          <w:vertAlign w:val="subscript"/>
        </w:rPr>
        <w:t xml:space="preserve">cor </w:t>
      </w:r>
      <w:r w:rsidR="002146FC" w:rsidRPr="00EC6C19">
        <w:rPr>
          <w:rFonts w:ascii="Times New Roman" w:hAnsi="Times New Roman" w:cs="Times New Roman"/>
          <w:sz w:val="24"/>
          <w:szCs w:val="24"/>
        </w:rPr>
        <w:t xml:space="preserve">. </w:t>
      </w:r>
      <w:r w:rsidR="00B25002" w:rsidRPr="00EC6C19">
        <w:rPr>
          <w:rFonts w:ascii="Times New Roman" w:hAnsi="Times New Roman" w:cs="Times New Roman"/>
          <w:sz w:val="24"/>
          <w:szCs w:val="24"/>
        </w:rPr>
        <w:t xml:space="preserve">This </w:t>
      </w:r>
      <w:r w:rsidRPr="00EC6C19">
        <w:rPr>
          <w:rFonts w:ascii="Times New Roman" w:hAnsi="Times New Roman" w:cs="Times New Roman"/>
          <w:sz w:val="24"/>
          <w:szCs w:val="24"/>
        </w:rPr>
        <w:t>FFR</w:t>
      </w:r>
      <w:r w:rsidR="00B25002" w:rsidRPr="00EC6C19">
        <w:rPr>
          <w:rFonts w:ascii="Times New Roman" w:hAnsi="Times New Roman" w:cs="Times New Roman"/>
          <w:sz w:val="24"/>
          <w:szCs w:val="24"/>
        </w:rPr>
        <w:t xml:space="preserve"> at coronary level</w:t>
      </w:r>
      <w:r w:rsidR="009B7520" w:rsidRPr="00EC6C19">
        <w:rPr>
          <w:rFonts w:ascii="Times New Roman" w:hAnsi="Times New Roman" w:cs="Times New Roman"/>
          <w:sz w:val="24"/>
          <w:szCs w:val="24"/>
        </w:rPr>
        <w:t>, which factors collateral pressure into the equation</w:t>
      </w:r>
      <w:r w:rsidR="005E7A08" w:rsidRPr="00EC6C19">
        <w:rPr>
          <w:rFonts w:ascii="Times New Roman" w:hAnsi="Times New Roman" w:cs="Times New Roman"/>
          <w:sz w:val="24"/>
          <w:szCs w:val="24"/>
        </w:rPr>
        <w:t>, and removes it</w:t>
      </w:r>
      <w:r w:rsidR="009B7520" w:rsidRPr="00EC6C19">
        <w:rPr>
          <w:rFonts w:ascii="Times New Roman" w:hAnsi="Times New Roman" w:cs="Times New Roman"/>
          <w:sz w:val="24"/>
          <w:szCs w:val="24"/>
        </w:rPr>
        <w:t>. This involve</w:t>
      </w:r>
      <w:r w:rsidR="005E7A08" w:rsidRPr="00EC6C19">
        <w:rPr>
          <w:rFonts w:ascii="Times New Roman" w:hAnsi="Times New Roman" w:cs="Times New Roman"/>
          <w:sz w:val="24"/>
          <w:szCs w:val="24"/>
        </w:rPr>
        <w:t>s</w:t>
      </w:r>
      <w:r w:rsidR="009B7520" w:rsidRPr="00EC6C19">
        <w:rPr>
          <w:rFonts w:ascii="Times New Roman" w:hAnsi="Times New Roman" w:cs="Times New Roman"/>
          <w:sz w:val="24"/>
          <w:szCs w:val="24"/>
        </w:rPr>
        <w:t xml:space="preserve"> measu</w:t>
      </w:r>
      <w:r w:rsidR="00281310" w:rsidRPr="00EC6C19">
        <w:rPr>
          <w:rFonts w:ascii="Times New Roman" w:hAnsi="Times New Roman" w:cs="Times New Roman"/>
          <w:sz w:val="24"/>
          <w:szCs w:val="24"/>
        </w:rPr>
        <w:t>ring wedge pressure, which is not routine practice</w:t>
      </w:r>
      <w:r w:rsidR="009B7520" w:rsidRPr="00EC6C19">
        <w:rPr>
          <w:rFonts w:ascii="Times New Roman" w:hAnsi="Times New Roman" w:cs="Times New Roman"/>
          <w:sz w:val="24"/>
          <w:szCs w:val="24"/>
        </w:rPr>
        <w:t>.</w:t>
      </w:r>
      <w:r w:rsidR="005E7A08" w:rsidRPr="00EC6C19">
        <w:rPr>
          <w:rFonts w:ascii="Times New Roman" w:hAnsi="Times New Roman" w:cs="Times New Roman"/>
          <w:sz w:val="24"/>
          <w:szCs w:val="24"/>
        </w:rPr>
        <w:t xml:space="preserve"> A wedge pressure is the measured pressure within a coronary artery when a coronary balloon is inflated to stop antegrade flow</w:t>
      </w:r>
      <w:r w:rsidR="00E218FC" w:rsidRPr="00EC6C19">
        <w:rPr>
          <w:rFonts w:ascii="Times New Roman" w:hAnsi="Times New Roman" w:cs="Times New Roman"/>
          <w:sz w:val="24"/>
          <w:szCs w:val="24"/>
        </w:rPr>
        <w:t xml:space="preserve"> </w:t>
      </w:r>
      <w:r w:rsidR="004B2859" w:rsidRPr="004B2859">
        <w:rPr>
          <w:rFonts w:ascii="Times New Roman" w:hAnsi="Times New Roman" w:cs="Times New Roman"/>
          <w:sz w:val="24"/>
          <w:szCs w:val="24"/>
        </w:rPr>
        <w:t>(Figure 11</w:t>
      </w:r>
      <w:r w:rsidR="0074298E" w:rsidRPr="004B2859">
        <w:rPr>
          <w:rFonts w:ascii="Times New Roman" w:hAnsi="Times New Roman" w:cs="Times New Roman"/>
          <w:sz w:val="24"/>
          <w:szCs w:val="24"/>
        </w:rPr>
        <w:t>)</w:t>
      </w:r>
      <w:r w:rsidR="005E7A08" w:rsidRPr="004B2859">
        <w:rPr>
          <w:rFonts w:ascii="Times New Roman" w:hAnsi="Times New Roman" w:cs="Times New Roman"/>
          <w:sz w:val="24"/>
          <w:szCs w:val="24"/>
        </w:rPr>
        <w:t>.</w:t>
      </w:r>
      <w:r w:rsidR="005E7A08" w:rsidRPr="00EC6C19">
        <w:rPr>
          <w:rFonts w:ascii="Times New Roman" w:hAnsi="Times New Roman" w:cs="Times New Roman"/>
          <w:sz w:val="24"/>
          <w:szCs w:val="24"/>
        </w:rPr>
        <w:t xml:space="preserve"> The resulting pressure comes solely from collateral vessels. Calculating FFR</w:t>
      </w:r>
      <w:r w:rsidR="005E7A08" w:rsidRPr="00EC6C19">
        <w:rPr>
          <w:rFonts w:ascii="Times New Roman" w:hAnsi="Times New Roman" w:cs="Times New Roman"/>
          <w:sz w:val="24"/>
          <w:szCs w:val="24"/>
          <w:vertAlign w:val="subscript"/>
        </w:rPr>
        <w:t>myo</w:t>
      </w:r>
      <w:r w:rsidR="00B16605" w:rsidRPr="00EC6C19">
        <w:rPr>
          <w:rFonts w:ascii="Times New Roman" w:hAnsi="Times New Roman" w:cs="Times New Roman"/>
          <w:sz w:val="24"/>
          <w:szCs w:val="24"/>
          <w:vertAlign w:val="subscript"/>
        </w:rPr>
        <w:t xml:space="preserve"> </w:t>
      </w:r>
      <w:r w:rsidR="005E7A08" w:rsidRPr="00EC6C19">
        <w:rPr>
          <w:rFonts w:ascii="Times New Roman" w:hAnsi="Times New Roman" w:cs="Times New Roman"/>
          <w:sz w:val="24"/>
          <w:szCs w:val="24"/>
        </w:rPr>
        <w:t>is then truly the sum of</w:t>
      </w:r>
      <w:r w:rsidR="00E218FC" w:rsidRPr="00EC6C19">
        <w:rPr>
          <w:rFonts w:ascii="Times New Roman" w:hAnsi="Times New Roman" w:cs="Times New Roman"/>
          <w:sz w:val="24"/>
          <w:szCs w:val="24"/>
        </w:rPr>
        <w:t xml:space="preserve"> </w:t>
      </w:r>
      <w:r w:rsidR="00A63454" w:rsidRPr="00EC6C19">
        <w:rPr>
          <w:rFonts w:ascii="Times New Roman" w:hAnsi="Times New Roman" w:cs="Times New Roman"/>
          <w:sz w:val="24"/>
          <w:szCs w:val="24"/>
        </w:rPr>
        <w:t>pressure</w:t>
      </w:r>
      <w:r w:rsidR="00B16605" w:rsidRPr="00EC6C19">
        <w:rPr>
          <w:rFonts w:ascii="Times New Roman" w:hAnsi="Times New Roman" w:cs="Times New Roman"/>
          <w:sz w:val="24"/>
          <w:szCs w:val="24"/>
        </w:rPr>
        <w:t xml:space="preserve"> </w:t>
      </w:r>
      <w:r w:rsidR="00A63454" w:rsidRPr="00EC6C19">
        <w:rPr>
          <w:rFonts w:ascii="Times New Roman" w:hAnsi="Times New Roman" w:cs="Times New Roman"/>
          <w:sz w:val="24"/>
          <w:szCs w:val="24"/>
        </w:rPr>
        <w:t>ante</w:t>
      </w:r>
      <w:r w:rsidR="00DA50F0">
        <w:rPr>
          <w:rFonts w:ascii="Times New Roman" w:hAnsi="Times New Roman" w:cs="Times New Roman"/>
          <w:sz w:val="24"/>
          <w:szCs w:val="24"/>
        </w:rPr>
        <w:t>ro</w:t>
      </w:r>
      <w:r w:rsidR="00A63454" w:rsidRPr="00EC6C19">
        <w:rPr>
          <w:rFonts w:ascii="Times New Roman" w:hAnsi="Times New Roman" w:cs="Times New Roman"/>
          <w:sz w:val="24"/>
          <w:szCs w:val="24"/>
        </w:rPr>
        <w:t>gradely</w:t>
      </w:r>
      <w:r w:rsidR="005E7A08" w:rsidRPr="00EC6C19">
        <w:rPr>
          <w:rFonts w:ascii="Times New Roman" w:hAnsi="Times New Roman" w:cs="Times New Roman"/>
          <w:sz w:val="24"/>
          <w:szCs w:val="24"/>
        </w:rPr>
        <w:t xml:space="preserve"> through the stenosis, and collaterals from other arteries, contributing to pressure distal to the stenosis.</w:t>
      </w:r>
    </w:p>
    <w:p w14:paraId="0A031E01" w14:textId="77777777" w:rsidR="00747B97" w:rsidRPr="00EC6C19" w:rsidRDefault="00747B97" w:rsidP="00747B97">
      <w:pPr>
        <w:rPr>
          <w:rFonts w:ascii="Times New Roman" w:hAnsi="Times New Roman" w:cs="Times New Roman"/>
          <w:sz w:val="24"/>
          <w:szCs w:val="24"/>
        </w:rPr>
      </w:pPr>
      <w:r w:rsidRPr="00EC6C19">
        <w:rPr>
          <w:rFonts w:ascii="Times New Roman" w:hAnsi="Times New Roman" w:cs="Times New Roman"/>
          <w:noProof/>
          <w:sz w:val="24"/>
          <w:szCs w:val="24"/>
          <w:lang w:eastAsia="en-GB"/>
        </w:rPr>
        <w:lastRenderedPageBreak/>
        <w:drawing>
          <wp:inline distT="0" distB="0" distL="0" distR="0" wp14:anchorId="3ED173F9" wp14:editId="045AF0A0">
            <wp:extent cx="5486400" cy="6677025"/>
            <wp:effectExtent l="1905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srcRect/>
                    <a:stretch>
                      <a:fillRect/>
                    </a:stretch>
                  </pic:blipFill>
                  <pic:spPr bwMode="auto">
                    <a:xfrm>
                      <a:off x="0" y="0"/>
                      <a:ext cx="5486400" cy="6677025"/>
                    </a:xfrm>
                    <a:prstGeom prst="rect">
                      <a:avLst/>
                    </a:prstGeom>
                    <a:noFill/>
                    <a:ln w="9525">
                      <a:noFill/>
                      <a:miter lim="800000"/>
                      <a:headEnd/>
                      <a:tailEnd/>
                    </a:ln>
                  </pic:spPr>
                </pic:pic>
              </a:graphicData>
            </a:graphic>
          </wp:inline>
        </w:drawing>
      </w:r>
    </w:p>
    <w:p w14:paraId="34A2C7DB" w14:textId="77777777" w:rsidR="0074298E" w:rsidRPr="004B2859" w:rsidRDefault="004B2859" w:rsidP="004B2859">
      <w:pPr>
        <w:pStyle w:val="Caption"/>
        <w:spacing w:line="360" w:lineRule="auto"/>
        <w:rPr>
          <w:rFonts w:ascii="Times New Roman" w:hAnsi="Times New Roman" w:cs="Times New Roman"/>
          <w:b w:val="0"/>
          <w:i/>
          <w:color w:val="auto"/>
          <w:sz w:val="24"/>
          <w:szCs w:val="24"/>
        </w:rPr>
      </w:pPr>
      <w:bookmarkStart w:id="39" w:name="_Toc44684900"/>
      <w:r w:rsidRPr="004B2859">
        <w:rPr>
          <w:rFonts w:ascii="Times New Roman" w:hAnsi="Times New Roman" w:cs="Times New Roman"/>
          <w:b w:val="0"/>
          <w:i/>
          <w:color w:val="auto"/>
          <w:sz w:val="24"/>
          <w:szCs w:val="24"/>
        </w:rPr>
        <w:t xml:space="preserve">Figure </w:t>
      </w:r>
      <w:r w:rsidR="00106A32" w:rsidRPr="004B2859">
        <w:rPr>
          <w:rFonts w:ascii="Times New Roman" w:hAnsi="Times New Roman" w:cs="Times New Roman"/>
          <w:b w:val="0"/>
          <w:i/>
          <w:color w:val="auto"/>
          <w:sz w:val="24"/>
          <w:szCs w:val="24"/>
        </w:rPr>
        <w:fldChar w:fldCharType="begin"/>
      </w:r>
      <w:r w:rsidRPr="004B2859">
        <w:rPr>
          <w:rFonts w:ascii="Times New Roman" w:hAnsi="Times New Roman" w:cs="Times New Roman"/>
          <w:b w:val="0"/>
          <w:i/>
          <w:color w:val="auto"/>
          <w:sz w:val="24"/>
          <w:szCs w:val="24"/>
        </w:rPr>
        <w:instrText xml:space="preserve"> SEQ Figure \* ARABIC </w:instrText>
      </w:r>
      <w:r w:rsidR="00106A32" w:rsidRPr="004B2859">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11</w:t>
      </w:r>
      <w:r w:rsidR="00106A32" w:rsidRPr="004B2859">
        <w:rPr>
          <w:rFonts w:ascii="Times New Roman" w:hAnsi="Times New Roman" w:cs="Times New Roman"/>
          <w:b w:val="0"/>
          <w:i/>
          <w:color w:val="auto"/>
          <w:sz w:val="24"/>
          <w:szCs w:val="24"/>
        </w:rPr>
        <w:fldChar w:fldCharType="end"/>
      </w:r>
      <w:r w:rsidRPr="004B2859">
        <w:rPr>
          <w:rFonts w:ascii="Times New Roman" w:hAnsi="Times New Roman" w:cs="Times New Roman"/>
          <w:b w:val="0"/>
          <w:i/>
          <w:color w:val="auto"/>
          <w:sz w:val="24"/>
          <w:szCs w:val="24"/>
        </w:rPr>
        <w:t xml:space="preserve"> - Original FFR Model</w:t>
      </w:r>
      <w:r>
        <w:rPr>
          <w:rFonts w:ascii="Times New Roman" w:hAnsi="Times New Roman" w:cs="Times New Roman"/>
          <w:b w:val="0"/>
          <w:i/>
          <w:color w:val="auto"/>
          <w:sz w:val="24"/>
          <w:szCs w:val="24"/>
        </w:rPr>
        <w:t xml:space="preserve"> </w:t>
      </w:r>
      <w:r w:rsidR="0074298E" w:rsidRPr="004B2859">
        <w:rPr>
          <w:rFonts w:ascii="Times New Roman" w:hAnsi="Times New Roman" w:cs="Times New Roman"/>
          <w:b w:val="0"/>
          <w:i/>
          <w:color w:val="auto"/>
          <w:sz w:val="24"/>
          <w:szCs w:val="24"/>
        </w:rPr>
        <w:t xml:space="preserve">- Representation of wedge pressure with a balloon (marked) inflated to impede antegrade flow. The resulting pressure distal to the stenosis, measured by a pressure wire positioned there, is now </w:t>
      </w:r>
      <w:r w:rsidR="00660688" w:rsidRPr="004B2859">
        <w:rPr>
          <w:rFonts w:ascii="Times New Roman" w:hAnsi="Times New Roman" w:cs="Times New Roman"/>
          <w:b w:val="0"/>
          <w:i/>
          <w:color w:val="auto"/>
          <w:sz w:val="24"/>
          <w:szCs w:val="24"/>
        </w:rPr>
        <w:t>solely</w:t>
      </w:r>
      <w:r w:rsidR="0074298E" w:rsidRPr="004B2859">
        <w:rPr>
          <w:rFonts w:ascii="Times New Roman" w:hAnsi="Times New Roman" w:cs="Times New Roman"/>
          <w:b w:val="0"/>
          <w:i/>
          <w:color w:val="auto"/>
          <w:sz w:val="24"/>
          <w:szCs w:val="24"/>
        </w:rPr>
        <w:t xml:space="preserve"> from collaterals. Pa = proximal pressure, Pd = distal pressure, Pw = wedge pressure.</w:t>
      </w:r>
      <w:bookmarkEnd w:id="39"/>
    </w:p>
    <w:p w14:paraId="63D9FEF0" w14:textId="77777777" w:rsidR="00E218FC" w:rsidRPr="00EC6C19" w:rsidRDefault="00E218FC" w:rsidP="00747B97">
      <w:pPr>
        <w:rPr>
          <w:rFonts w:ascii="Times New Roman" w:hAnsi="Times New Roman" w:cs="Times New Roman"/>
          <w:i/>
          <w:sz w:val="24"/>
          <w:szCs w:val="24"/>
        </w:rPr>
      </w:pPr>
    </w:p>
    <w:p w14:paraId="3D1629FC" w14:textId="77777777" w:rsidR="00B25002" w:rsidRPr="00EC6C19" w:rsidRDefault="005E7A08" w:rsidP="00F729B6">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FFR is a</w:t>
      </w:r>
      <w:r w:rsidR="00F729B6" w:rsidRPr="00EC6C19">
        <w:rPr>
          <w:rFonts w:ascii="Times New Roman" w:hAnsi="Times New Roman" w:cs="Times New Roman"/>
          <w:sz w:val="24"/>
          <w:szCs w:val="24"/>
        </w:rPr>
        <w:t xml:space="preserve"> number between 0 and 1.0. The proximal pressure is assumed to be the maximal flow obtainable in the artery if stenosis free, and is the denominator in the equation. The value in theory, should not be above 1, which indicates the same flow beyond the stenosis, as before it</w:t>
      </w:r>
      <w:r w:rsidRPr="00EC6C19">
        <w:rPr>
          <w:rFonts w:ascii="Times New Roman" w:hAnsi="Times New Roman" w:cs="Times New Roman"/>
          <w:sz w:val="24"/>
          <w:szCs w:val="24"/>
        </w:rPr>
        <w:t>,</w:t>
      </w:r>
      <w:r w:rsidR="00F729B6" w:rsidRPr="00EC6C19">
        <w:rPr>
          <w:rFonts w:ascii="Times New Roman" w:hAnsi="Times New Roman" w:cs="Times New Roman"/>
          <w:sz w:val="24"/>
          <w:szCs w:val="24"/>
        </w:rPr>
        <w:t xml:space="preserve"> and the best achievable flow. A cut off value of 0.8 is routinely used in clinical practice,</w:t>
      </w:r>
      <w:r w:rsidR="00CC0940" w:rsidRPr="00EC6C19">
        <w:rPr>
          <w:rFonts w:ascii="Times New Roman" w:hAnsi="Times New Roman" w:cs="Times New Roman"/>
          <w:sz w:val="24"/>
          <w:szCs w:val="24"/>
        </w:rPr>
        <w:t xml:space="preserve"> to denote a negative FFR, and a lesion which does not need treatment</w:t>
      </w:r>
      <w:r w:rsidR="00F729B6" w:rsidRPr="00EC6C19">
        <w:rPr>
          <w:rFonts w:ascii="Times New Roman" w:hAnsi="Times New Roman" w:cs="Times New Roman"/>
          <w:sz w:val="24"/>
          <w:szCs w:val="24"/>
        </w:rPr>
        <w:t>.</w:t>
      </w:r>
      <w:r w:rsidR="00302349" w:rsidRPr="00EC6C19">
        <w:rPr>
          <w:rFonts w:ascii="Times New Roman" w:hAnsi="Times New Roman" w:cs="Times New Roman"/>
          <w:sz w:val="24"/>
          <w:szCs w:val="24"/>
        </w:rPr>
        <w:t xml:space="preserve"> Simply, one can interpret this as 80% of maximal achievable flow.</w:t>
      </w:r>
      <w:r w:rsidR="00F729B6" w:rsidRPr="00EC6C19">
        <w:rPr>
          <w:rFonts w:ascii="Times New Roman" w:hAnsi="Times New Roman" w:cs="Times New Roman"/>
          <w:sz w:val="24"/>
          <w:szCs w:val="24"/>
        </w:rPr>
        <w:t xml:space="preserve"> Values above 1.0 are not uncommon however, which relates to several potential confounding factors in FFR measurement, the most important of which for this thesis, is hydrostatic pressure. This</w:t>
      </w:r>
      <w:r w:rsidR="0028021A" w:rsidRPr="00EC6C19">
        <w:rPr>
          <w:rFonts w:ascii="Times New Roman" w:hAnsi="Times New Roman" w:cs="Times New Roman"/>
          <w:sz w:val="24"/>
          <w:szCs w:val="24"/>
        </w:rPr>
        <w:t xml:space="preserve"> and other confounding factors are</w:t>
      </w:r>
      <w:r w:rsidR="00F729B6" w:rsidRPr="00EC6C19">
        <w:rPr>
          <w:rFonts w:ascii="Times New Roman" w:hAnsi="Times New Roman" w:cs="Times New Roman"/>
          <w:sz w:val="24"/>
          <w:szCs w:val="24"/>
        </w:rPr>
        <w:t xml:space="preserve"> discussed separately. </w:t>
      </w:r>
    </w:p>
    <w:p w14:paraId="16557880" w14:textId="77777777" w:rsidR="00B25002" w:rsidRPr="00EC6C19" w:rsidRDefault="00302349" w:rsidP="00302349">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practicalities of measuring FFR are outlined in the </w:t>
      </w:r>
      <w:r w:rsidR="0046411D" w:rsidRPr="00EC6C19">
        <w:rPr>
          <w:rFonts w:ascii="Times New Roman" w:hAnsi="Times New Roman" w:cs="Times New Roman"/>
          <w:sz w:val="24"/>
          <w:szCs w:val="24"/>
        </w:rPr>
        <w:t>c</w:t>
      </w:r>
      <w:r w:rsidRPr="00EC6C19">
        <w:rPr>
          <w:rFonts w:ascii="Times New Roman" w:hAnsi="Times New Roman" w:cs="Times New Roman"/>
          <w:sz w:val="24"/>
          <w:szCs w:val="24"/>
        </w:rPr>
        <w:t>hapter</w:t>
      </w:r>
      <w:r w:rsidR="0046411D" w:rsidRPr="00EC6C19">
        <w:rPr>
          <w:rFonts w:ascii="Times New Roman" w:hAnsi="Times New Roman" w:cs="Times New Roman"/>
          <w:sz w:val="24"/>
          <w:szCs w:val="24"/>
        </w:rPr>
        <w:t xml:space="preserve"> III</w:t>
      </w:r>
      <w:r w:rsidRPr="00EC6C19">
        <w:rPr>
          <w:rFonts w:ascii="Times New Roman" w:hAnsi="Times New Roman" w:cs="Times New Roman"/>
          <w:sz w:val="24"/>
          <w:szCs w:val="24"/>
        </w:rPr>
        <w:t>. In brief, the operator must pass a physiology wire, with a pressure sensor, beyond a coronary stenosis and obtain measurements while the patient is in hyperaemia. This is usually accomplished by a continuous infusion of intravenous adenosine for 1-2 minutes. Physiology / pressure wire technology has improved through the years, encouraging widespread use in most interventional cardiology laboratories.</w:t>
      </w:r>
    </w:p>
    <w:p w14:paraId="67FC72B5" w14:textId="77777777" w:rsidR="003A549C" w:rsidRPr="00EC6C19" w:rsidRDefault="003A549C" w:rsidP="00302349">
      <w:pPr>
        <w:spacing w:line="360" w:lineRule="auto"/>
        <w:rPr>
          <w:rFonts w:ascii="Times New Roman" w:hAnsi="Times New Roman" w:cs="Times New Roman"/>
          <w:sz w:val="24"/>
          <w:szCs w:val="24"/>
        </w:rPr>
      </w:pPr>
    </w:p>
    <w:p w14:paraId="5AC96A09" w14:textId="77777777" w:rsidR="003A549C" w:rsidRPr="00C54823" w:rsidRDefault="00C54823" w:rsidP="00C54823">
      <w:pPr>
        <w:pStyle w:val="Heading2"/>
        <w:rPr>
          <w:rFonts w:ascii="Times New Roman" w:hAnsi="Times New Roman" w:cs="Times New Roman"/>
          <w:color w:val="auto"/>
          <w:sz w:val="24"/>
          <w:szCs w:val="24"/>
        </w:rPr>
      </w:pPr>
      <w:bookmarkStart w:id="40" w:name="_Toc80302176"/>
      <w:r w:rsidRPr="00C54823">
        <w:rPr>
          <w:rFonts w:ascii="Times New Roman" w:hAnsi="Times New Roman" w:cs="Times New Roman"/>
          <w:color w:val="auto"/>
          <w:sz w:val="24"/>
          <w:szCs w:val="24"/>
        </w:rPr>
        <w:t xml:space="preserve">1.9 - </w:t>
      </w:r>
      <w:r w:rsidR="003A549C" w:rsidRPr="00C54823">
        <w:rPr>
          <w:rFonts w:ascii="Times New Roman" w:hAnsi="Times New Roman" w:cs="Times New Roman"/>
          <w:color w:val="auto"/>
          <w:sz w:val="24"/>
          <w:szCs w:val="24"/>
        </w:rPr>
        <w:t>Clinical Evidence Supporting FFR</w:t>
      </w:r>
      <w:bookmarkEnd w:id="40"/>
      <w:r w:rsidR="00A00967" w:rsidRPr="00C54823">
        <w:rPr>
          <w:rFonts w:ascii="Times New Roman" w:hAnsi="Times New Roman" w:cs="Times New Roman"/>
          <w:color w:val="auto"/>
          <w:sz w:val="24"/>
          <w:szCs w:val="24"/>
        </w:rPr>
        <w:br/>
      </w:r>
    </w:p>
    <w:p w14:paraId="7BF5C4C4" w14:textId="77777777" w:rsidR="00302349" w:rsidRPr="00EC6C19" w:rsidRDefault="00302349" w:rsidP="00302349">
      <w:pPr>
        <w:spacing w:line="360" w:lineRule="auto"/>
        <w:rPr>
          <w:rFonts w:ascii="Times New Roman" w:hAnsi="Times New Roman" w:cs="Times New Roman"/>
          <w:sz w:val="24"/>
          <w:szCs w:val="24"/>
        </w:rPr>
      </w:pPr>
    </w:p>
    <w:p w14:paraId="1E8A89D1" w14:textId="77777777" w:rsidR="00B25002" w:rsidRPr="00EC6C19" w:rsidRDefault="00D469A2" w:rsidP="00D469A2">
      <w:pPr>
        <w:spacing w:line="360" w:lineRule="auto"/>
        <w:rPr>
          <w:rFonts w:ascii="Times New Roman" w:hAnsi="Times New Roman" w:cs="Times New Roman"/>
          <w:sz w:val="24"/>
          <w:szCs w:val="24"/>
        </w:rPr>
      </w:pPr>
      <w:r w:rsidRPr="00EC6C19">
        <w:rPr>
          <w:rFonts w:ascii="Times New Roman" w:hAnsi="Times New Roman" w:cs="Times New Roman"/>
          <w:sz w:val="24"/>
          <w:szCs w:val="24"/>
        </w:rPr>
        <w:t>Several randomised control t</w:t>
      </w:r>
      <w:r w:rsidR="00912A2A">
        <w:rPr>
          <w:rFonts w:ascii="Times New Roman" w:hAnsi="Times New Roman" w:cs="Times New Roman"/>
          <w:sz w:val="24"/>
          <w:szCs w:val="24"/>
        </w:rPr>
        <w:t>rials have supported</w:t>
      </w:r>
      <w:r w:rsidRPr="00EC6C19">
        <w:rPr>
          <w:rFonts w:ascii="Times New Roman" w:hAnsi="Times New Roman" w:cs="Times New Roman"/>
          <w:sz w:val="24"/>
          <w:szCs w:val="24"/>
        </w:rPr>
        <w:t xml:space="preserve"> the use of FFR in a clinical context.</w:t>
      </w:r>
      <w:r w:rsidR="00821E0D" w:rsidRPr="00EC6C19">
        <w:rPr>
          <w:rFonts w:ascii="Times New Roman" w:hAnsi="Times New Roman" w:cs="Times New Roman"/>
          <w:sz w:val="24"/>
          <w:szCs w:val="24"/>
        </w:rPr>
        <w:t xml:space="preserve"> Studies were conducted to test the safety of </w:t>
      </w:r>
      <w:r w:rsidR="00912A2A">
        <w:rPr>
          <w:rFonts w:ascii="Times New Roman" w:hAnsi="Times New Roman" w:cs="Times New Roman"/>
          <w:sz w:val="24"/>
          <w:szCs w:val="24"/>
        </w:rPr>
        <w:t>deferring</w:t>
      </w:r>
      <w:r w:rsidR="00821E0D" w:rsidRPr="00EC6C19">
        <w:rPr>
          <w:rFonts w:ascii="Times New Roman" w:hAnsi="Times New Roman" w:cs="Times New Roman"/>
          <w:sz w:val="24"/>
          <w:szCs w:val="24"/>
        </w:rPr>
        <w:t xml:space="preserve"> lesions which had a negative FFR, and the accuracy of FFR versus conventional angiography only in lesion assessment.</w:t>
      </w:r>
    </w:p>
    <w:p w14:paraId="43D5DF15" w14:textId="77777777" w:rsidR="00821E0D" w:rsidRPr="00EC6C19" w:rsidRDefault="00821E0D" w:rsidP="00D469A2">
      <w:pPr>
        <w:spacing w:line="360" w:lineRule="auto"/>
        <w:rPr>
          <w:rFonts w:ascii="Times New Roman" w:hAnsi="Times New Roman" w:cs="Times New Roman"/>
          <w:sz w:val="24"/>
          <w:szCs w:val="24"/>
        </w:rPr>
      </w:pPr>
    </w:p>
    <w:p w14:paraId="7EDBFF64" w14:textId="77777777" w:rsidR="00821E0D" w:rsidRPr="00A00967" w:rsidRDefault="00C54823" w:rsidP="00A00967">
      <w:pPr>
        <w:pStyle w:val="Heading3"/>
        <w:rPr>
          <w:rFonts w:ascii="Times New Roman" w:hAnsi="Times New Roman" w:cs="Times New Roman"/>
          <w:b w:val="0"/>
          <w:i/>
          <w:color w:val="auto"/>
          <w:sz w:val="24"/>
          <w:szCs w:val="24"/>
        </w:rPr>
      </w:pPr>
      <w:bookmarkStart w:id="41" w:name="_Toc80302177"/>
      <w:r>
        <w:rPr>
          <w:rFonts w:ascii="Times New Roman" w:hAnsi="Times New Roman" w:cs="Times New Roman"/>
          <w:b w:val="0"/>
          <w:i/>
          <w:color w:val="auto"/>
          <w:sz w:val="24"/>
          <w:szCs w:val="24"/>
        </w:rPr>
        <w:t xml:space="preserve">1.9.1 - </w:t>
      </w:r>
      <w:r w:rsidR="00821E0D" w:rsidRPr="00A00967">
        <w:rPr>
          <w:rFonts w:ascii="Times New Roman" w:hAnsi="Times New Roman" w:cs="Times New Roman"/>
          <w:b w:val="0"/>
          <w:i/>
          <w:color w:val="auto"/>
          <w:sz w:val="24"/>
          <w:szCs w:val="24"/>
        </w:rPr>
        <w:t>DEFER Study</w:t>
      </w:r>
      <w:bookmarkEnd w:id="41"/>
      <w:r w:rsidR="00A00967" w:rsidRPr="00A00967">
        <w:rPr>
          <w:rFonts w:ascii="Times New Roman" w:hAnsi="Times New Roman" w:cs="Times New Roman"/>
          <w:b w:val="0"/>
          <w:i/>
          <w:color w:val="auto"/>
          <w:sz w:val="24"/>
          <w:szCs w:val="24"/>
        </w:rPr>
        <w:br/>
      </w:r>
    </w:p>
    <w:p w14:paraId="58E1AC91" w14:textId="77777777" w:rsidR="00CC0940" w:rsidRPr="00EC6C19" w:rsidRDefault="00CC0940" w:rsidP="00D469A2">
      <w:pPr>
        <w:spacing w:line="360" w:lineRule="auto"/>
        <w:rPr>
          <w:rFonts w:ascii="Times New Roman" w:hAnsi="Times New Roman" w:cs="Times New Roman"/>
          <w:i/>
          <w:sz w:val="24"/>
          <w:szCs w:val="24"/>
        </w:rPr>
      </w:pPr>
    </w:p>
    <w:p w14:paraId="64A61FA6" w14:textId="77777777" w:rsidR="00821E0D" w:rsidRPr="00EC6C19" w:rsidRDefault="00821E0D" w:rsidP="0092032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defer study was the first widely recognised RCT involving FFR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{"citationID":"MoEW6di6","properties":{"formattedCitation":"(Bech et al., 2001)","plainCitation":"(Bech et al., 2001)","noteIndex":0},"citationItems":[{"id":525,"uris":["http://zotero.org/users/local/k67tNDdX/items/Y25MN78U"],"uri":["http://zotero.org/users/local/k67tNDdX/items/Y25MN78U"],"itemData":{"id":525,"type":"article-journal","abstract":"BACKGROUND: PTCA of a coronary stenosis without documented ischemia at noninvasive stress testing is often performed, but its benefit is unproven. Coronary pressure-derived fractional flow reserve (FFR) is an invasive index of stenosis severity that is a reliable substitute for noninvasive stress testing. A value of 0.75 identifies stenoses with hemodynamic significance.\nMETHODS AND RESULTS: In 325 patients for whom PTCA was planned and who did not have documented ischemia, FFR of the stenosis was measured. If FFR was &gt;0.75, patients were randomly assigned to deferral (deferral group; n=91) or performance (performance group; n=90) of PTCA. If FFR was &lt;0.75, PTCA was performed as planned (reference group; n=144). Clinical follow-up was obtained at 1, 3, 6, 12, and 24 months. Event-free survival was similar between the deferral and performance groups (92% versus 89% at 12 months and 89% versus 83% at 24 months) but was significantly lower in the reference group (80% at 12 months and 78% at 24 months). In addition, the percentage of patients free from angina was similar between the deferral and performance groups (49% versus 50% at 12 months and 70% versus 51% at 24 months) but was significantly higher in the reference group (67% at 12 and 80% at 24 months).\nCONCLUSIONS: In patients with a coronary stenosis without evidence of ischemia, coronary pressure-derived FFR identifies those who will benefit from PTCA.","container-title":"Circulation","ISSN":"1524-4539","issue":"24","journalAbbreviation":"Circulation","language":"eng","note":"PMID: 11413082","page":"2928-2934","source":"PubMed","title":"Fractional flow reserve to determine the appropriateness of angioplasty in moderate coronary stenosis: a randomized trial","title-short":"Fractional flow reserve to determine the appropriateness of angioplasty in moderate coronary stenosis","volume":"103","author":[{"family":"Bech","given":"G. J."},{"family":"De Bruyne","given":"B."},{"family":"Pijls","given":"N. H."},{"family":"Muinck","given":"E. D.","non-dropping-particle":"de"},{"family":"Hoorntje","given":"J. C."},{"family":"Escaned","given":"J."},{"family":"Stella","given":"P. R."},{"family":"Boersma","given":"E."},{"family":"Bartunek","given":"J."},{"family":"Koolen","given":"J. J."},{"family":"Wijns","given":"W."}],"issued":{"date-parts":[["2001",6,19]]}}}],"schema":"https://github.com/citation-style-language/schema/raw/master/csl-citation.json"} </w:instrText>
      </w:r>
      <w:r w:rsidR="00106A32" w:rsidRPr="00EC6C19">
        <w:rPr>
          <w:rFonts w:ascii="Times New Roman" w:hAnsi="Times New Roman" w:cs="Times New Roman"/>
          <w:sz w:val="24"/>
          <w:szCs w:val="24"/>
        </w:rPr>
        <w:fldChar w:fldCharType="separate"/>
      </w:r>
      <w:r w:rsidR="00B16605" w:rsidRPr="00EC6C19">
        <w:rPr>
          <w:rFonts w:ascii="Times New Roman" w:hAnsi="Times New Roman" w:cs="Times New Roman"/>
          <w:sz w:val="24"/>
          <w:szCs w:val="24"/>
        </w:rPr>
        <w:t xml:space="preserve">(Bech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2001)</w:t>
      </w:r>
      <w:r w:rsidR="00106A32" w:rsidRPr="00EC6C19">
        <w:rPr>
          <w:rFonts w:ascii="Times New Roman" w:hAnsi="Times New Roman" w:cs="Times New Roman"/>
          <w:sz w:val="24"/>
          <w:szCs w:val="24"/>
        </w:rPr>
        <w:fldChar w:fldCharType="end"/>
      </w:r>
      <w:r w:rsidR="0092032F" w:rsidRPr="00EC6C19">
        <w:rPr>
          <w:rFonts w:ascii="Times New Roman" w:hAnsi="Times New Roman" w:cs="Times New Roman"/>
          <w:sz w:val="24"/>
          <w:szCs w:val="24"/>
        </w:rPr>
        <w:t xml:space="preserve"> published in 2001</w:t>
      </w:r>
      <w:r w:rsidRPr="00EC6C19">
        <w:rPr>
          <w:rFonts w:ascii="Times New Roman" w:hAnsi="Times New Roman" w:cs="Times New Roman"/>
          <w:sz w:val="24"/>
          <w:szCs w:val="24"/>
        </w:rPr>
        <w:t>. The unique study design used FFR to assess coronary stenosis in elective patients presenting with stable angina.</w:t>
      </w:r>
      <w:r w:rsidR="00CC0940" w:rsidRPr="00EC6C19">
        <w:rPr>
          <w:rFonts w:ascii="Times New Roman" w:hAnsi="Times New Roman" w:cs="Times New Roman"/>
          <w:sz w:val="24"/>
          <w:szCs w:val="24"/>
        </w:rPr>
        <w:t xml:space="preserve"> Patients with negative FFR values (&gt;0.75) were </w:t>
      </w:r>
      <w:r w:rsidR="00CC0940" w:rsidRPr="00EC6C19">
        <w:rPr>
          <w:rFonts w:ascii="Times New Roman" w:hAnsi="Times New Roman" w:cs="Times New Roman"/>
          <w:sz w:val="24"/>
          <w:szCs w:val="24"/>
        </w:rPr>
        <w:lastRenderedPageBreak/>
        <w:t>randomised to either optimal medical therapy</w:t>
      </w:r>
      <w:r w:rsidR="008322CC" w:rsidRPr="00EC6C19">
        <w:rPr>
          <w:rFonts w:ascii="Times New Roman" w:hAnsi="Times New Roman" w:cs="Times New Roman"/>
          <w:sz w:val="24"/>
          <w:szCs w:val="24"/>
        </w:rPr>
        <w:t xml:space="preserve"> (OMT)</w:t>
      </w:r>
      <w:r w:rsidR="00CC0940" w:rsidRPr="00EC6C19">
        <w:rPr>
          <w:rFonts w:ascii="Times New Roman" w:hAnsi="Times New Roman" w:cs="Times New Roman"/>
          <w:sz w:val="24"/>
          <w:szCs w:val="24"/>
        </w:rPr>
        <w:t xml:space="preserve"> (defer group), or PCI (perform group). Follow-up has recently been completed over a 15 year period </w:t>
      </w:r>
      <w:r w:rsidR="00106A32" w:rsidRPr="00EC6C19">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{"citationID":"pXl2kc35","properties":{"formattedCitation":"(Zimmermann et al., 2015a)","plainCitation":"(Zimmermann et al., 2015a)","noteIndex":0},"citationItems":[{"id":527,"uris":["http://zotero.org/users/local/k67tNDdX/items/Q5AGWJU4"],"uri":["http://zotero.org/users/local/k67tNDdX/items/Q5AGWJU4"],"itemData":{"id":527,"type":"article-journal","abstract":"AIMS: Stenting an angiographically intermediate but functionally non-significant stenosis is controversial. Nevertheless, it has been questioned if deferral of a functionally non-significant lesion on the basis of fractional flow reserve (FFR) measurement, is safe, especially on the long term. Five-year follow-up of the DEFER trial showed that outcome after deferral of percutaneous coronary intervention (PCI) of an intermediate coronary stenosis based on FFR ≥ 0.75 is excellent and was not improved by stenting. The aim of this study was to investigate the validity of this position on the very long term.\nMETHODS AND RESULTS: In 325 patients scheduled for PCI of an intermediate stenosis, FFR was measured just before the planned intervention. If FFR was ≥0.75, patients were randomly assigned to deferral (Defer group; n = 91) or performance (Perform group; n = 90) of PCI. If FFR was &lt;0.75, PCI was performed as planned (Reference group; n = 144). Clinical follow-up was 15 years. There were no differences in baseline clinical characteristics between the randomized groups. Complete 15-year follow-up was obtained in 92% of patients. After 15 years of follow-up, the rate of death was not different between the three groups: 33.0% in the Defer group, 31.1% in the Perform group, and 36.1% in the Reference group (Defer vs. Perform, RR 1.06, 95% CI: 0.69-1.62, P = 0.79). The rate of myocardial infarction was significantly lower in the Defer group (2.2%) compared with the Perform group (10.0%), RR 0.22, 95% CI: 0.05-0.99, P = 0.03.\nCONCLUSION: Deferral of PCI of a functionally non-significant stenosis is associated with a favourable very long-term follow-up without signs of late 'catch-up' phenomenon.","container-title":"European Heart Journal","DOI":"10.1093/eurheartj/ehv452","ISSN":"1522-9645","issue":"45","journalAbbreviation":"Eur. Heart J.","language":"eng","note":"PMID: 26400825","page":"3182-3188","source":"PubMed","title":"Deferral vs. performance of percutaneous coronary intervention of functionally non-significant coronary stenosis: 15-year follow-up of the DEFER trial","title-short":"Deferral vs. performance of percutaneous coronary intervention of functionally non-significant coronary stenosis","volume":"36","author":[{"family":"Zimmermann","given":"Frederik M."},{"family":"Ferrara","given":"Angela"},{"family":"Johnson","given":"Nils P."},{"family":"Nunen","given":"Lokien X.","non-dropping-particle":"van"},{"family":"Escaned","given":"Javier"},{"family":"Albertsson","given":"Per"},{"family":"Erbel","given":"Raimund"},{"family":"Legrand","given":"Victor"},{"family":"Gwon","given":"Hyeong-Cheol"},{"family":"Remkes","given":"Wouter S."},{"family":"Stella","given":"Pieter R."},{"family":"Schaardenburgh","given":"Pepijn","non-dropping-particle":"van"},{"family":"Bech","given":"G. Jan Willem"},{"family":"De Bruyne","given":"Bernard"},{"family":"Pijls","given":"Nico H. J."}],"issued":{"date-parts":[["2015",12,1]]}}}],"schema":"https://github.com/citation-style-language/schema/raw/master/csl-citation.json"} </w:instrText>
      </w:r>
      <w:r w:rsidR="00106A32" w:rsidRPr="00EC6C19">
        <w:rPr>
          <w:rFonts w:ascii="Times New Roman" w:hAnsi="Times New Roman" w:cs="Times New Roman"/>
          <w:sz w:val="24"/>
          <w:szCs w:val="24"/>
        </w:rPr>
        <w:fldChar w:fldCharType="separate"/>
      </w:r>
      <w:r w:rsidR="004A32A5" w:rsidRPr="004A32A5">
        <w:rPr>
          <w:rFonts w:ascii="Times New Roman" w:hAnsi="Times New Roman" w:cs="Times New Roman"/>
          <w:sz w:val="24"/>
        </w:rPr>
        <w:t>(Zimmermann et al., 2015a)</w:t>
      </w:r>
      <w:r w:rsidR="00106A32" w:rsidRPr="00EC6C19">
        <w:rPr>
          <w:rFonts w:ascii="Times New Roman" w:hAnsi="Times New Roman" w:cs="Times New Roman"/>
          <w:sz w:val="24"/>
          <w:szCs w:val="24"/>
        </w:rPr>
        <w:fldChar w:fldCharType="end"/>
      </w:r>
      <w:r w:rsidR="00CC0940" w:rsidRPr="00EC6C19">
        <w:rPr>
          <w:rFonts w:ascii="Times New Roman" w:hAnsi="Times New Roman" w:cs="Times New Roman"/>
          <w:sz w:val="24"/>
          <w:szCs w:val="24"/>
        </w:rPr>
        <w:t>. There was a significant reduction in the rate of myocardial infarction in the defer group, compared to the perform group (2.2% vs.10%). The rate of death was not</w:t>
      </w:r>
      <w:r w:rsidR="0092032F" w:rsidRPr="00EC6C19">
        <w:rPr>
          <w:rFonts w:ascii="Times New Roman" w:hAnsi="Times New Roman" w:cs="Times New Roman"/>
          <w:sz w:val="24"/>
          <w:szCs w:val="24"/>
        </w:rPr>
        <w:t xml:space="preserve"> statistically different</w:t>
      </w:r>
      <w:r w:rsidR="00CC0940" w:rsidRPr="00EC6C19">
        <w:rPr>
          <w:rFonts w:ascii="Times New Roman" w:hAnsi="Times New Roman" w:cs="Times New Roman"/>
          <w:sz w:val="24"/>
          <w:szCs w:val="24"/>
        </w:rPr>
        <w:t xml:space="preserve"> between the two groups. This not only demonstrates that the rate of myocardial infarction is low with a negative FFR, but that treating a negative FFR lesion</w:t>
      </w:r>
      <w:r w:rsidR="0092032F" w:rsidRPr="00EC6C19">
        <w:rPr>
          <w:rFonts w:ascii="Times New Roman" w:hAnsi="Times New Roman" w:cs="Times New Roman"/>
          <w:sz w:val="24"/>
          <w:szCs w:val="24"/>
        </w:rPr>
        <w:t xml:space="preserve"> did not improve outcome, and</w:t>
      </w:r>
      <w:r w:rsidR="00CC0940" w:rsidRPr="00EC6C19">
        <w:rPr>
          <w:rFonts w:ascii="Times New Roman" w:hAnsi="Times New Roman" w:cs="Times New Roman"/>
          <w:sz w:val="24"/>
          <w:szCs w:val="24"/>
        </w:rPr>
        <w:t xml:space="preserve"> may</w:t>
      </w:r>
      <w:r w:rsidR="0092032F" w:rsidRPr="00EC6C19">
        <w:rPr>
          <w:rFonts w:ascii="Times New Roman" w:hAnsi="Times New Roman" w:cs="Times New Roman"/>
          <w:sz w:val="24"/>
          <w:szCs w:val="24"/>
        </w:rPr>
        <w:t xml:space="preserve"> indeed worsen </w:t>
      </w:r>
      <w:r w:rsidR="00CC0940" w:rsidRPr="00EC6C19">
        <w:rPr>
          <w:rFonts w:ascii="Times New Roman" w:hAnsi="Times New Roman" w:cs="Times New Roman"/>
          <w:sz w:val="24"/>
          <w:szCs w:val="24"/>
        </w:rPr>
        <w:t>prognosis. This is especially relevant at 15 year follow-up, wh</w:t>
      </w:r>
      <w:r w:rsidR="0092032F" w:rsidRPr="00EC6C19">
        <w:rPr>
          <w:rFonts w:ascii="Times New Roman" w:hAnsi="Times New Roman" w:cs="Times New Roman"/>
          <w:sz w:val="24"/>
          <w:szCs w:val="24"/>
        </w:rPr>
        <w:t>ere no 'catch-up' phenomena was</w:t>
      </w:r>
      <w:r w:rsidR="00CC0940" w:rsidRPr="00EC6C19">
        <w:rPr>
          <w:rFonts w:ascii="Times New Roman" w:hAnsi="Times New Roman" w:cs="Times New Roman"/>
          <w:sz w:val="24"/>
          <w:szCs w:val="24"/>
        </w:rPr>
        <w:t xml:space="preserve"> seen, </w:t>
      </w:r>
      <w:r w:rsidR="0092032F" w:rsidRPr="00EC6C19">
        <w:rPr>
          <w:rFonts w:ascii="Times New Roman" w:hAnsi="Times New Roman" w:cs="Times New Roman"/>
          <w:sz w:val="24"/>
          <w:szCs w:val="24"/>
        </w:rPr>
        <w:t xml:space="preserve">potentially </w:t>
      </w:r>
      <w:r w:rsidR="00CC0940" w:rsidRPr="00EC6C19">
        <w:rPr>
          <w:rFonts w:ascii="Times New Roman" w:hAnsi="Times New Roman" w:cs="Times New Roman"/>
          <w:sz w:val="24"/>
          <w:szCs w:val="24"/>
        </w:rPr>
        <w:t>relating to restenosis of the stent.</w:t>
      </w:r>
    </w:p>
    <w:p w14:paraId="54190F80" w14:textId="77777777" w:rsidR="00B25002" w:rsidRPr="00EC6C19" w:rsidRDefault="00B25002" w:rsidP="0092032F">
      <w:pPr>
        <w:spacing w:line="360" w:lineRule="auto"/>
        <w:rPr>
          <w:rFonts w:ascii="Times New Roman" w:hAnsi="Times New Roman" w:cs="Times New Roman"/>
          <w:sz w:val="24"/>
          <w:szCs w:val="24"/>
        </w:rPr>
      </w:pPr>
    </w:p>
    <w:p w14:paraId="6074866D" w14:textId="77777777" w:rsidR="0092032F" w:rsidRPr="00A00967" w:rsidRDefault="00A542B2" w:rsidP="00A00967">
      <w:pPr>
        <w:pStyle w:val="Heading3"/>
        <w:rPr>
          <w:rFonts w:ascii="Times New Roman" w:hAnsi="Times New Roman" w:cs="Times New Roman"/>
          <w:b w:val="0"/>
          <w:i/>
          <w:color w:val="auto"/>
          <w:sz w:val="24"/>
          <w:szCs w:val="24"/>
        </w:rPr>
      </w:pPr>
      <w:bookmarkStart w:id="42" w:name="_Toc80302178"/>
      <w:r>
        <w:rPr>
          <w:rFonts w:ascii="Times New Roman" w:hAnsi="Times New Roman" w:cs="Times New Roman"/>
          <w:b w:val="0"/>
          <w:i/>
          <w:color w:val="auto"/>
          <w:sz w:val="24"/>
          <w:szCs w:val="24"/>
        </w:rPr>
        <w:t xml:space="preserve">1.9.2 - </w:t>
      </w:r>
      <w:r w:rsidR="0092032F" w:rsidRPr="00A00967">
        <w:rPr>
          <w:rFonts w:ascii="Times New Roman" w:hAnsi="Times New Roman" w:cs="Times New Roman"/>
          <w:b w:val="0"/>
          <w:i/>
          <w:color w:val="auto"/>
          <w:sz w:val="24"/>
          <w:szCs w:val="24"/>
        </w:rPr>
        <w:t>FAME Study</w:t>
      </w:r>
      <w:bookmarkEnd w:id="42"/>
      <w:r w:rsidR="00A00967" w:rsidRPr="00A00967">
        <w:rPr>
          <w:rFonts w:ascii="Times New Roman" w:hAnsi="Times New Roman" w:cs="Times New Roman"/>
          <w:b w:val="0"/>
          <w:i/>
          <w:color w:val="auto"/>
          <w:sz w:val="24"/>
          <w:szCs w:val="24"/>
        </w:rPr>
        <w:br/>
      </w:r>
    </w:p>
    <w:p w14:paraId="7155F722" w14:textId="77777777" w:rsidR="0092032F" w:rsidRPr="00EC6C19" w:rsidRDefault="0092032F" w:rsidP="0092032F">
      <w:pPr>
        <w:spacing w:line="360" w:lineRule="auto"/>
        <w:rPr>
          <w:rFonts w:ascii="Times New Roman" w:hAnsi="Times New Roman" w:cs="Times New Roman"/>
          <w:sz w:val="24"/>
          <w:szCs w:val="24"/>
        </w:rPr>
      </w:pPr>
    </w:p>
    <w:p w14:paraId="09F6D701" w14:textId="77777777" w:rsidR="0092032F" w:rsidRPr="00EC6C19" w:rsidRDefault="0092032F" w:rsidP="0092032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FAME study, published in 2009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{"citationID":"8ka6G1gR","properties":{"formattedCitation":"(Tonino et al., 2009)","plainCitation":"(Tonino et al., 2009)","noteIndex":0},"citationItems":[{"id":529,"uris":["http://zotero.org/users/local/k67tNDdX/items/NDDVIXZ2"],"uri":["http://zotero.org/users/local/k67tNDdX/items/NDDVIXZ2"],"itemData":{"id":529,"type":"article-journal","abstract":"Fractional flow reserve (FFR) is a measure of the functional significance of a coronary stenosis. In this study, the use of FFR, as compared with angiography alone, in guiding the placement of coronary stents resulted in the use of fewer stents and better clinical outcomes.","container-title":"New England Journal of Medicine","DOI":"10.1056/NEJMoa0807611","ISSN":"0028-4793","issue":"3","note":"PMID: 19144937","page":"213-224","source":"Taylor and Francis+NEJM","title":"Fractional Flow Reserve versus Angiography for Guiding Percutaneous Coronary Intervention","volume":"360","author":[{"family":"Tonino","given":"Pim A.L."},{"family":"De Bruyne","given":"Bernard"},{"family":"Pijls","given":"Nico H.J."},{"family":"Siebert","given":"Uwe"},{"family":"Ikeno","given":"Fumiaki"},{"family":"`t Veer","given":"Marcel","non-dropping-particle":"van"},{"family":"Klauss","given":"Volker"},{"family":"Manoharan","given":"Ganesh"},{"family":"Engstrøm","given":"Thomas"},{"family":"Oldroyd","given":"Keith G."},{"family":"Ver Lee","given":"Peter N."},{"family":"MacCarthy","given":"Philip A."},{"family":"Fearon","given":"William F."}],"issued":{"date-parts":[["2009",1,15]]}}}],"schema":"https://github.com/citation-style-language/schema/raw/master/csl-citation.json"} </w:instrText>
      </w:r>
      <w:r w:rsidR="00106A32" w:rsidRPr="00EC6C19">
        <w:rPr>
          <w:rFonts w:ascii="Times New Roman" w:hAnsi="Times New Roman" w:cs="Times New Roman"/>
          <w:sz w:val="24"/>
          <w:szCs w:val="24"/>
        </w:rPr>
        <w:fldChar w:fldCharType="separate"/>
      </w:r>
      <w:r w:rsidR="00B16605" w:rsidRPr="00EC6C19">
        <w:rPr>
          <w:rFonts w:ascii="Times New Roman" w:hAnsi="Times New Roman" w:cs="Times New Roman"/>
          <w:sz w:val="24"/>
          <w:szCs w:val="24"/>
        </w:rPr>
        <w:t xml:space="preserve">(Tonino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2009)</w:t>
      </w:r>
      <w:r w:rsidR="00106A32" w:rsidRPr="00EC6C19">
        <w:rPr>
          <w:rFonts w:ascii="Times New Roman" w:hAnsi="Times New Roman" w:cs="Times New Roman"/>
          <w:sz w:val="24"/>
          <w:szCs w:val="24"/>
        </w:rPr>
        <w:fldChar w:fldCharType="end"/>
      </w:r>
      <w:r w:rsidR="006A551F" w:rsidRPr="00EC6C19">
        <w:rPr>
          <w:rFonts w:ascii="Times New Roman" w:hAnsi="Times New Roman" w:cs="Times New Roman"/>
          <w:sz w:val="24"/>
          <w:szCs w:val="24"/>
        </w:rPr>
        <w:t xml:space="preserve"> aimed to compare angiography guided PCI with physiology guide PCI for the first time. Coronary angiography was the standard method to which decisions regarding coronary stenting was made. 1005 patients were randomised to either angiographically guided stenting, or FFR guided stenting based on a positive result (FFR &lt;0.8). The study population had multi</w:t>
      </w:r>
      <w:r w:rsidR="00B16605" w:rsidRPr="00EC6C19">
        <w:rPr>
          <w:rFonts w:ascii="Times New Roman" w:hAnsi="Times New Roman" w:cs="Times New Roman"/>
          <w:sz w:val="24"/>
          <w:szCs w:val="24"/>
        </w:rPr>
        <w:t>-</w:t>
      </w:r>
      <w:r w:rsidR="006A551F" w:rsidRPr="00EC6C19">
        <w:rPr>
          <w:rFonts w:ascii="Times New Roman" w:hAnsi="Times New Roman" w:cs="Times New Roman"/>
          <w:sz w:val="24"/>
          <w:szCs w:val="24"/>
        </w:rPr>
        <w:t xml:space="preserve">vessel coronary artery disease with an average of 2.7 lesions per patient. The composite endpoint was of death, myocardial infarction and </w:t>
      </w:r>
      <w:r w:rsidR="00F15BB4" w:rsidRPr="00EC6C19">
        <w:rPr>
          <w:rFonts w:ascii="Times New Roman" w:hAnsi="Times New Roman" w:cs="Times New Roman"/>
          <w:sz w:val="24"/>
          <w:szCs w:val="24"/>
        </w:rPr>
        <w:t>urgen</w:t>
      </w:r>
      <w:r w:rsidR="006A551F" w:rsidRPr="00EC6C19">
        <w:rPr>
          <w:rFonts w:ascii="Times New Roman" w:hAnsi="Times New Roman" w:cs="Times New Roman"/>
          <w:sz w:val="24"/>
          <w:szCs w:val="24"/>
        </w:rPr>
        <w:t>t revascularisation at 1 year follow-up. The FFR guided group has significantly less events compared to the angiography guided group</w:t>
      </w:r>
      <w:r w:rsidR="008322CC" w:rsidRPr="00EC6C19">
        <w:rPr>
          <w:rFonts w:ascii="Times New Roman" w:hAnsi="Times New Roman" w:cs="Times New Roman"/>
          <w:sz w:val="24"/>
          <w:szCs w:val="24"/>
        </w:rPr>
        <w:t xml:space="preserve"> (13.2% </w:t>
      </w:r>
      <w:r w:rsidR="007C7D90" w:rsidRPr="00EC6C19">
        <w:rPr>
          <w:rFonts w:ascii="Times New Roman" w:hAnsi="Times New Roman" w:cs="Times New Roman"/>
          <w:sz w:val="24"/>
          <w:szCs w:val="24"/>
        </w:rPr>
        <w:t>vs.</w:t>
      </w:r>
      <w:r w:rsidR="008322CC" w:rsidRPr="00EC6C19">
        <w:rPr>
          <w:rFonts w:ascii="Times New Roman" w:hAnsi="Times New Roman" w:cs="Times New Roman"/>
          <w:sz w:val="24"/>
          <w:szCs w:val="24"/>
        </w:rPr>
        <w:t xml:space="preserve"> 18.3%).</w:t>
      </w:r>
    </w:p>
    <w:p w14:paraId="5DA2FA62" w14:textId="77777777" w:rsidR="008322CC" w:rsidRPr="00EC6C19" w:rsidRDefault="008322CC" w:rsidP="0092032F">
      <w:pPr>
        <w:spacing w:line="360" w:lineRule="auto"/>
        <w:rPr>
          <w:rFonts w:ascii="Times New Roman" w:hAnsi="Times New Roman" w:cs="Times New Roman"/>
          <w:sz w:val="24"/>
          <w:szCs w:val="24"/>
        </w:rPr>
      </w:pPr>
    </w:p>
    <w:p w14:paraId="506C6435" w14:textId="77777777" w:rsidR="002F5D38" w:rsidRPr="00A00967" w:rsidRDefault="00A542B2" w:rsidP="00A00967">
      <w:pPr>
        <w:pStyle w:val="Heading3"/>
        <w:rPr>
          <w:rFonts w:ascii="Times New Roman" w:hAnsi="Times New Roman" w:cs="Times New Roman"/>
          <w:b w:val="0"/>
          <w:i/>
          <w:color w:val="auto"/>
          <w:sz w:val="24"/>
          <w:szCs w:val="24"/>
        </w:rPr>
      </w:pPr>
      <w:bookmarkStart w:id="43" w:name="_Toc80302179"/>
      <w:r>
        <w:rPr>
          <w:rFonts w:ascii="Times New Roman" w:hAnsi="Times New Roman" w:cs="Times New Roman"/>
          <w:b w:val="0"/>
          <w:i/>
          <w:color w:val="auto"/>
          <w:sz w:val="24"/>
          <w:szCs w:val="24"/>
        </w:rPr>
        <w:t xml:space="preserve">1.9.3 - </w:t>
      </w:r>
      <w:r w:rsidR="002F5D38" w:rsidRPr="00A00967">
        <w:rPr>
          <w:rFonts w:ascii="Times New Roman" w:hAnsi="Times New Roman" w:cs="Times New Roman"/>
          <w:b w:val="0"/>
          <w:i/>
          <w:color w:val="auto"/>
          <w:sz w:val="24"/>
          <w:szCs w:val="24"/>
        </w:rPr>
        <w:t>FAME II Study</w:t>
      </w:r>
      <w:bookmarkEnd w:id="43"/>
      <w:r w:rsidR="00A00967" w:rsidRPr="00A00967">
        <w:rPr>
          <w:rFonts w:ascii="Times New Roman" w:hAnsi="Times New Roman" w:cs="Times New Roman"/>
          <w:b w:val="0"/>
          <w:i/>
          <w:color w:val="auto"/>
          <w:sz w:val="24"/>
          <w:szCs w:val="24"/>
        </w:rPr>
        <w:br/>
      </w:r>
    </w:p>
    <w:p w14:paraId="694D2097" w14:textId="77777777" w:rsidR="002F5D38" w:rsidRPr="00EC6C19" w:rsidRDefault="002F5D38" w:rsidP="0092032F">
      <w:pPr>
        <w:spacing w:line="360" w:lineRule="auto"/>
        <w:rPr>
          <w:rFonts w:ascii="Times New Roman" w:hAnsi="Times New Roman" w:cs="Times New Roman"/>
          <w:sz w:val="24"/>
          <w:szCs w:val="24"/>
        </w:rPr>
      </w:pPr>
    </w:p>
    <w:p w14:paraId="4EE82ACE" w14:textId="77777777" w:rsidR="002F5D38" w:rsidRPr="00EC6C19" w:rsidRDefault="002F5D38" w:rsidP="0092032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FAME II, build upon results in FAME by posing a slightly different question. Published in 2012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{"citationID":"U2DAcBf7","properties":{"formattedCitation":"(De Bruyne et al., 2012)","plainCitation":"(De Bruyne et al., 2012)","noteIndex":0},"citationItems":[{"id":532,"uris":["http://zotero.org/users/local/k67tNDdX/items/Y8ZV78PI"],"uri":["http://zotero.org/users/local/k67tNDdX/items/Y8ZV78PI"],"itemData":{"id":532,"type":"article-journal","abstract":"BACKGROUND: The preferred initial treatment for patients with stable coronary artery disease is the best available medical therapy. We hypothesized that in patients with functionally significant stenoses, as determined by measurement of fractional flow reserve (FFR), percutaneous coronary intervention (PCI) plus the best available medical therapy would be superior to the best available medical therapy alone.\nMETHODS: In patients with stable coronary artery disease for whom PCI was being considered, we assessed all stenoses by measuring FFR. Patients in whom at least one stenosis was functionally significant (FFR, ≤0.80) were randomly assigned to FFR-guided PCI plus the best available medical therapy (PCI group) or the best available medical therapy alone (medical-therapy group). Patients in whom all stenoses had an FFR of more than 0.80 were entered into a registry and received the best available medical therapy. The primary end point was a composite of death, myocardial infarction, or urgent revascularization.\nRESULTS: Recruitment was halted prematurely after enrollment of 1220 patients (888 who underwent randomization and 332 enrolled in the registry) because of a significant between-group difference in the percentage of patients who had a primary end-point event: 4.3% in the PCI group and 12.7% in the medical-therapy group (hazard ratio with PCI, 0.32; 95% confidence interval [CI], 0.19 to 0.53; P&lt;0.001). The difference was driven by a lower rate of urgent revascularization in the PCI group than in the medical-therapy group (1.6% vs. 11.1%; hazard ratio, 0.13; 95% CI, 0.06 to 0.30; P&lt;0.001); in particular, in the PCI group, fewer urgent revascularizations were triggered by a myocardial infarction or evidence of ischemia on electrocardiography (hazard ratio, 0.13; 95% CI, 0.04 to 0.43; P&lt;0.001). Among patients in the registry, 3.0% had a primary end-point event.\nCONCLUSIONS: In patients with stable coronary artery disease and functionally significant stenoses, FFR-guided PCI plus the best available medical therapy, as compared with the best available medical therapy alone, decreased the need for urgent revascularization. In patients without ischemia, the outcome appeared to be favorable with the best available medical therapy alone. (Funded by St. Jude Medical; ClinicalTrials.gov number, NCT01132495.).","container-title":"The New England Journal of Medicine","DOI":"10.1056/NEJMoa1205361","ISSN":"1533-4406","issue":"11","journalAbbreviation":"N. Engl. J. Med.","language":"eng","note":"PMID: 22924638","page":"991-1001","source":"PubMed","title":"Fractional flow reserve-guided PCI versus medical therapy in stable coronary disease","volume":"367","author":[{"family":"De Bruyne","given":"Bernard"},{"family":"Pijls","given":"Nico H. J."},{"family":"Kalesan","given":"Bindu"},{"family":"Barbato","given":"Emanuele"},{"family":"Tonino","given":"Pim A. L."},{"family":"Piroth","given":"Zsolt"},{"family":"Jagic","given":"Nikola"},{"family":"Möbius-Winkler","given":"Sven"},{"family":"Mobius-Winckler","given":"Sven"},{"family":"Rioufol","given":"Gilles"},{"family":"Witt","given":"Nils"},{"family":"Kala","given":"Petr"},{"family":"MacCarthy","given":"Philip"},{"family":"Engström","given":"Thomas"},{"family":"Oldroyd","given":"Keith G."},{"family":"Mavromatis","given":"Kreton"},{"family":"Manoharan","given":"Ganesh"},{"family":"Verlee","given":"Peter"},{"family":"Frobert","given":"Ole"},{"family":"Curzen","given":"Nick"},{"family":"Johnson","given":"Jane B."},{"family":"Jüni","given":"Peter"},{"family":"Fearon","given":"William F."},{"literal":"FAME 2 Trial Investigators"}],"issued":{"date-parts":[["2012",9,13]]}}}],"schema":"https://github.com/citation-style-language/schema/raw/master/csl-citation.json"}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 xml:space="preserve">(De Bruyne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2012)</w:t>
      </w:r>
      <w:r w:rsidR="00106A32" w:rsidRPr="00EC6C19">
        <w:rPr>
          <w:rFonts w:ascii="Times New Roman" w:hAnsi="Times New Roman" w:cs="Times New Roman"/>
          <w:sz w:val="24"/>
          <w:szCs w:val="24"/>
        </w:rPr>
        <w:fldChar w:fldCharType="end"/>
      </w:r>
      <w:r w:rsidR="00F15BB4" w:rsidRPr="00EC6C19">
        <w:rPr>
          <w:rFonts w:ascii="Times New Roman" w:hAnsi="Times New Roman" w:cs="Times New Roman"/>
          <w:sz w:val="24"/>
          <w:szCs w:val="24"/>
        </w:rPr>
        <w:t xml:space="preserve">, one can liken the design to DEFER, but with FFR values of &lt;0.8. Initially, 1220 patients were assessed and of those 888 had a coronary stenosis with an FFR of &lt;0.8. These were randomised in a 1:1 fashion to OMT or OMT+PCI and followed up for two years. The composite endpoint of death, myocardial infarction and urgent revascularisation, had </w:t>
      </w:r>
      <w:r w:rsidR="00F15BB4" w:rsidRPr="00EC6C19">
        <w:rPr>
          <w:rFonts w:ascii="Times New Roman" w:hAnsi="Times New Roman" w:cs="Times New Roman"/>
          <w:sz w:val="24"/>
          <w:szCs w:val="24"/>
        </w:rPr>
        <w:lastRenderedPageBreak/>
        <w:t xml:space="preserve">less events in the PCI group (8.1% vs. 19.5%)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{"citationID":"rHBofBGQ","properties":{"formattedCitation":"(De Bruyne et al., 2014)","plainCitation":"(De Bruyne et al., 2014)","noteIndex":0},"citationItems":[{"id":534,"uris":["http://zotero.org/users/local/k67tNDdX/items/5PXJ998X"],"uri":["http://zotero.org/users/local/k67tNDdX/items/5PXJ998X"],"itemData":{"id":534,"type":"article-journal","abstract":"The benefit of percutaneous coronary intervention (PCI) as an initial treatment strategy in patients with stable coronary artery disease remains controversial.1–3 The potential result from revascularization depends on the extent and the degree of myocardial ischemia.4,5 A fractional flow reserve (FFR) value of 0.80 or less (i.e., a drop in maximal blood flow of 20% or more caused by stenosis), as measured with the use of a coronary pressure wire during catheterization, indicates the potential of a stenosis to induce myocardial ischemia.6–8 In such cases, robust clinical-outcome data favor FFR-guided revascularization, as compared with revascularization guided by . . .","container-title":"New England Journal of Medicine","DOI":"10.1056/NEJMoa1408758","ISSN":"0028-4793","issue":"13","note":"PMID: 25176289","page":"1208-1217","source":"Taylor and Francis+NEJM","title":"Fractional Flow Reserve–Guided PCI for Stable Coronary Artery Disease","volume":"371","author":[{"family":"De Bruyne","given":"Bernard"},{"family":"Fearon","given":"William F."},{"family":"Pijls","given":"Nico H.J."},{"family":"Barbato","given":"Emanuele"},{"family":"Tonino","given":"Pim"},{"family":"Piroth","given":"Zsolt"},{"family":"Jagic","given":"Nikola"},{"family":"Mobius-Winckler","given":"Sven"},{"family":"Rioufol","given":"Gilles"},{"family":"Witt","given":"Nils"},{"family":"Kala","given":"Petr"},{"family":"MacCarthy","given":"Philip"},{"family":"Engström","given":"Thomas"},{"family":"Oldroyd","given":"Keith"},{"family":"Mavromatis","given":"Kreton"},{"family":"Manoharan","given":"Ganesh"},{"family":"Verlee","given":"Peter"},{"family":"Frobert","given":"Ole"},{"family":"Curzen","given":"Nick"},{"family":"Johnson","given":"Jane B."},{"family":"Limacher","given":"Andreas"},{"family":"Nüesch","given":"Eveline"},{"family":"Jüni","given":"Peter"}],"issued":{"date-parts":[["2014",9,25]]}}}],"schema":"https://github.com/citation-style-language/schema/raw/master/csl-citation.json"}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 xml:space="preserve">(De Bruyne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2014)</w:t>
      </w:r>
      <w:r w:rsidR="00106A32" w:rsidRPr="00EC6C19">
        <w:rPr>
          <w:rFonts w:ascii="Times New Roman" w:hAnsi="Times New Roman" w:cs="Times New Roman"/>
          <w:sz w:val="24"/>
          <w:szCs w:val="24"/>
        </w:rPr>
        <w:fldChar w:fldCharType="end"/>
      </w:r>
      <w:r w:rsidR="0084538F" w:rsidRPr="00EC6C19">
        <w:rPr>
          <w:rFonts w:ascii="Times New Roman" w:hAnsi="Times New Roman" w:cs="Times New Roman"/>
          <w:sz w:val="24"/>
          <w:szCs w:val="24"/>
        </w:rPr>
        <w:t>, driven mostly by the need for urgent revascularisation</w:t>
      </w:r>
      <w:r w:rsidR="00F15BB4" w:rsidRPr="00EC6C19">
        <w:rPr>
          <w:rFonts w:ascii="Times New Roman" w:hAnsi="Times New Roman" w:cs="Times New Roman"/>
          <w:sz w:val="24"/>
          <w:szCs w:val="24"/>
        </w:rPr>
        <w:t>. The rate of death and myocardial infarction was also lower in the PCI group in a landmark analysis from 8 days to 2 years.</w:t>
      </w:r>
    </w:p>
    <w:p w14:paraId="3BBEF488" w14:textId="77777777" w:rsidR="00B5142F" w:rsidRPr="00EC6C19" w:rsidRDefault="00B5142F" w:rsidP="0092032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Five year outcome data for the FAME II trial was recently published </w:t>
      </w:r>
      <w:r w:rsidR="00106A32" w:rsidRPr="00EC6C19">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{"citationID":"QRoTOSlq","properties":{"formattedCitation":"(Xaplanteris et al., 2018a)","plainCitation":"(Xaplanteris et al., 2018a)","noteIndex":0},"citationItems":[{"id":715,"uris":["http://zotero.org/users/local/k67tNDdX/items/9PMPVPCK"],"uri":["http://zotero.org/users/local/k67tNDdX/items/9PMPVPCK"],"itemData":{"id":715,"type":"article-journal","abstract":"Five-Year Outcomes with FFR-Guided PCI Patients with stable coronary artery disease were randomly assigned to fractional flow reserve–guided PCI or medical therapy. At 5 years, the composite of death, myocardial infarction, or urgent revascularization was significantly less frequent in the PCI group.","container-title":"New England Journal of Medicine","DOI":"10.1056/NEJMoa1803538","ISSN":"0028-4793","issue":"3","note":"PMID: 29785878","page":"250-259","source":"Taylor and Francis+NEJM","title":"Five-Year Outcomes with PCI Guided by Fractional Flow Reserve","volume":"379","author":[{"family":"Xaplanteris","given":"Panagiotis"},{"family":"Fournier","given":"Stephane"},{"family":"Pijls","given":"Nico H.J."},{"family":"Fearon","given":"William F."},{"family":"Barbato","given":"Emanuele"},{"family":"Tonino","given":"Pim A.L."},{"family":"Engstrøm","given":"Thomas"},{"family":"Kääb","given":"Stefan"},{"family":"Dambrink","given":"Jan-Henk"},{"family":"Rioufol","given":"Gilles"},{"family":"Toth","given":"Gabor G."},{"family":"Piroth","given":"Zsolt"},{"family":"Witt","given":"Nils"},{"family":"Fröbert","given":"Ole"},{"family":"Kala","given":"Petr"},{"family":"Linke","given":"Axel"},{"family":"Jagic","given":"Nicola"},{"family":"Mates","given":"Martin"},{"family":"Mavromatis","given":"Kreton"},{"family":"Samady","given":"Habib"},{"family":"Irimpen","given":"Anand"},{"family":"Oldroyd","given":"Keith"},{"family":"Campo","given":"Gianluca"},{"family":"Rothenbühler","given":"Martina"},{"family":"Jüni","given":"Peter"},{"family":"De Bruyne","given":"Bernard"}],"issued":{"date-parts":[["2018",7,19]]}}}],"schema":"https://github.com/citation-style-language/schema/raw/master/csl-citation.json"} </w:instrText>
      </w:r>
      <w:r w:rsidR="00106A32" w:rsidRPr="00EC6C19">
        <w:rPr>
          <w:rFonts w:ascii="Times New Roman" w:hAnsi="Times New Roman" w:cs="Times New Roman"/>
          <w:sz w:val="24"/>
          <w:szCs w:val="24"/>
        </w:rPr>
        <w:fldChar w:fldCharType="separate"/>
      </w:r>
      <w:r w:rsidR="004A32A5" w:rsidRPr="004A32A5">
        <w:rPr>
          <w:rFonts w:ascii="Times New Roman" w:hAnsi="Times New Roman" w:cs="Times New Roman"/>
          <w:sz w:val="24"/>
        </w:rPr>
        <w:t>(Xaplanteris et al., 2018a)</w:t>
      </w:r>
      <w:r w:rsidR="00106A32" w:rsidRPr="00EC6C19">
        <w:rPr>
          <w:rFonts w:ascii="Times New Roman" w:hAnsi="Times New Roman" w:cs="Times New Roman"/>
          <w:sz w:val="24"/>
          <w:szCs w:val="24"/>
        </w:rPr>
        <w:fldChar w:fldCharType="end"/>
      </w:r>
      <w:r w:rsidR="0084538F" w:rsidRPr="00EC6C19">
        <w:rPr>
          <w:rFonts w:ascii="Times New Roman" w:hAnsi="Times New Roman" w:cs="Times New Roman"/>
          <w:sz w:val="24"/>
          <w:szCs w:val="24"/>
        </w:rPr>
        <w:t>. The composite endpoint of death, myocardial infarction and urgent revascularisation, showed significant benefit favouring the PCI group, again driven by a large difference in urgent revascularisation rates  (6.3% vs</w:t>
      </w:r>
      <w:r w:rsidR="00B16605" w:rsidRPr="00EC6C19">
        <w:rPr>
          <w:rFonts w:ascii="Times New Roman" w:hAnsi="Times New Roman" w:cs="Times New Roman"/>
          <w:sz w:val="24"/>
          <w:szCs w:val="24"/>
        </w:rPr>
        <w:t>.</w:t>
      </w:r>
      <w:r w:rsidR="0084538F" w:rsidRPr="00EC6C19">
        <w:rPr>
          <w:rFonts w:ascii="Times New Roman" w:hAnsi="Times New Roman" w:cs="Times New Roman"/>
          <w:sz w:val="24"/>
          <w:szCs w:val="24"/>
        </w:rPr>
        <w:t xml:space="preserve"> 21.1%). The individual rates of death and myocardial infarction was not different between the two groups.</w:t>
      </w:r>
    </w:p>
    <w:p w14:paraId="27B7DB20" w14:textId="77777777" w:rsidR="00281310" w:rsidRDefault="00CA514B" w:rsidP="0092032F">
      <w:pPr>
        <w:spacing w:line="360" w:lineRule="auto"/>
        <w:rPr>
          <w:rFonts w:ascii="Times New Roman" w:hAnsi="Times New Roman" w:cs="Times New Roman"/>
          <w:sz w:val="24"/>
          <w:szCs w:val="24"/>
        </w:rPr>
      </w:pPr>
      <w:r w:rsidRPr="00EC6C19">
        <w:rPr>
          <w:rFonts w:ascii="Times New Roman" w:hAnsi="Times New Roman" w:cs="Times New Roman"/>
          <w:sz w:val="24"/>
          <w:szCs w:val="24"/>
        </w:rPr>
        <w:t>This demonstrates a benefit in stenting to lesions with and FFR &lt;0.8 compared with medical therapy alone. DEFER showed no benefit in treating lesions with an FFR of &gt;0.75</w:t>
      </w:r>
      <w:r w:rsidRPr="003E6610">
        <w:rPr>
          <w:rFonts w:ascii="Times New Roman" w:hAnsi="Times New Roman" w:cs="Times New Roman"/>
          <w:sz w:val="24"/>
          <w:szCs w:val="24"/>
        </w:rPr>
        <w:t xml:space="preserve">. Table </w:t>
      </w:r>
      <w:r w:rsidR="003E6610" w:rsidRPr="003E6610">
        <w:rPr>
          <w:rFonts w:ascii="Times New Roman" w:hAnsi="Times New Roman" w:cs="Times New Roman"/>
          <w:sz w:val="24"/>
          <w:szCs w:val="24"/>
        </w:rPr>
        <w:t>1</w:t>
      </w:r>
      <w:r w:rsidRPr="00EC6C19">
        <w:rPr>
          <w:rFonts w:ascii="Times New Roman" w:hAnsi="Times New Roman" w:cs="Times New Roman"/>
          <w:sz w:val="24"/>
          <w:szCs w:val="24"/>
        </w:rPr>
        <w:t xml:space="preserve"> summarised these three randomised control trials.</w:t>
      </w:r>
      <w:r w:rsidR="00B16605" w:rsidRPr="00EC6C19">
        <w:rPr>
          <w:rFonts w:ascii="Times New Roman" w:hAnsi="Times New Roman" w:cs="Times New Roman"/>
          <w:sz w:val="24"/>
          <w:szCs w:val="24"/>
        </w:rPr>
        <w:t xml:space="preserve"> </w:t>
      </w:r>
      <w:r w:rsidR="00256547" w:rsidRPr="00EC6C19">
        <w:rPr>
          <w:rFonts w:ascii="Times New Roman" w:hAnsi="Times New Roman" w:cs="Times New Roman"/>
          <w:sz w:val="24"/>
          <w:szCs w:val="24"/>
        </w:rPr>
        <w:t>Another study published in 2011 further demonstrated the safety of medical therapy with FFR &gt;0.8 lesions in the proximal LAD. Survival rates were statistically similar to patients</w:t>
      </w:r>
      <w:r w:rsidR="006B36AF" w:rsidRPr="00EC6C19">
        <w:rPr>
          <w:rFonts w:ascii="Times New Roman" w:hAnsi="Times New Roman" w:cs="Times New Roman"/>
          <w:sz w:val="24"/>
          <w:szCs w:val="24"/>
        </w:rPr>
        <w:t xml:space="preserve"> in a reference group</w:t>
      </w:r>
      <w:r w:rsidR="00256547" w:rsidRPr="00EC6C19">
        <w:rPr>
          <w:rFonts w:ascii="Times New Roman" w:hAnsi="Times New Roman" w:cs="Times New Roman"/>
          <w:sz w:val="24"/>
          <w:szCs w:val="24"/>
        </w:rPr>
        <w:t xml:space="preserve"> without known coronary artery disease</w:t>
      </w:r>
      <w:r w:rsidR="006B36AF" w:rsidRPr="00EC6C19">
        <w:rPr>
          <w:rFonts w:ascii="Times New Roman" w:hAnsi="Times New Roman" w:cs="Times New Roman"/>
          <w:sz w:val="24"/>
          <w:szCs w:val="24"/>
        </w:rPr>
        <w:t xml:space="preserve"> at 5 years</w:t>
      </w:r>
      <w:r w:rsidR="004034CE"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{"citationID":"aOnx7bg3","properties":{"formattedCitation":"(Muller et al., 2011)","plainCitation":"(Muller et al., 2011)","noteIndex":0},"citationItems":[{"id":537,"uris":["http://zotero.org/users/local/k67tNDdX/items/USCTKGQK"],"uri":["http://zotero.org/users/local/k67tNDdX/items/USCTKGQK"],"itemData":{"id":537,"type":"article-journal","abstract":"OBJECTIVES: This study sought to evaluate the long-term clinical outcome of patients with an angiographically intermediate left anterior descending coronary artery (LAD) stenosis in whom the revascularization strategy was based on fractional flow reserve (FFR).\nBACKGROUND: When revascularization is based mainly on angiographic guidance, a number of hemodynamically nonsignificant stenoses will be revascularized.\nMETHODS: In 730 patients with a 30% to 70% isolated stenosis in the proximal LAD and no significant valvular disease, FFR measurements were obtained to guide treatment strategy. When FFR was ≥ 0.80, the patients (n = 564) were treated medically (medical group); when FFR was &lt;0.80, the patients (n = 166) underwent a revascularization procedure (revascularization group; 13% coronary artery bypass graft surgery and 87% percutaneous coronary intervention). A 100% long-term clinical follow-up (median follow-up: 40 months) was obtained. The 5-year survival of the medical group was compared with that of a reference population. For each patient, 4 controls were selected from an age- and sex-matched control population.\nRESULTS: The 5-year survival estimate was 92.9% in the medical group versus 89.6% in the controls (p = 0.74). The mean diameter stenosis was significantly smaller in the medical than in the revascularization group (39 ± 14% vs. 54 ± 13%, p &lt; 0.0001), but there was a large overlap between both groups. The 5-year event-free survival estimates (death, myocardial infarction, and target vessel revascularization) were 89.7% and 68.5%, respectively (p &lt; 0.0001).\nCONCLUSIONS: Medical treatment of patients with a hemodynamically nonsignificant stenosis (FFR ≥ 0.80) in the proximal LAD is associated with an excellent long-term clinical outcome with survival at 5 years similar to an age- and sex-matched control population.","container-title":"JACC. Cardiovascular interventions","DOI":"10.1016/j.jcin.2011.09.007","ISSN":"1876-7605","issue":"11","journalAbbreviation":"JACC Cardiovasc Interv","language":"eng","note":"PMID: 22035875","page":"1175-1182","source":"PubMed","title":"Long-term follow-up after fractional flow reserve-guided treatment strategy in patients with an isolated proximal left anterior descending coronary artery stenosis","volume":"4","author":[{"family":"Muller","given":"Olivier"},{"family":"Mangiacapra","given":"Fabio"},{"family":"Ntalianis","given":"Argyrios"},{"family":"Verhamme","given":"Katia M. C."},{"family":"Trana","given":"Catalina"},{"family":"Hamilos","given":"Michalis"},{"family":"Bartunek","given":"Jozef"},{"family":"Vanderheyden","given":"Marc"},{"family":"Wyffels","given":"Eric"},{"family":"Heyndrickx","given":"Guy R."},{"family":"Rooij","given":"Frank J. A.","non-dropping-particle":"van"},{"family":"Witteman","given":"Jacqueline C. M."},{"family":"Hofman","given":"Albert"},{"family":"Wijns","given":"William"},{"family":"Barbato","given":"Emanuele"},{"family":"De Bruyne","given":"Bernard"}],"issued":{"date-parts":[["2011",11]]}}}],"schema":"https://github.com/citation-style-language/schema/raw/master/csl-citation.json"} </w:instrText>
      </w:r>
      <w:r w:rsidR="00106A32" w:rsidRPr="00EC6C19">
        <w:rPr>
          <w:rFonts w:ascii="Times New Roman" w:hAnsi="Times New Roman" w:cs="Times New Roman"/>
          <w:sz w:val="24"/>
          <w:szCs w:val="24"/>
        </w:rPr>
        <w:fldChar w:fldCharType="separate"/>
      </w:r>
      <w:r w:rsidR="00B16605" w:rsidRPr="00EC6C19">
        <w:rPr>
          <w:rFonts w:ascii="Times New Roman" w:hAnsi="Times New Roman" w:cs="Times New Roman"/>
          <w:sz w:val="24"/>
          <w:szCs w:val="24"/>
        </w:rPr>
        <w:t xml:space="preserve">(Muller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2011)</w:t>
      </w:r>
      <w:r w:rsidR="00106A32" w:rsidRPr="00EC6C19">
        <w:rPr>
          <w:rFonts w:ascii="Times New Roman" w:hAnsi="Times New Roman" w:cs="Times New Roman"/>
          <w:sz w:val="24"/>
          <w:szCs w:val="24"/>
        </w:rPr>
        <w:fldChar w:fldCharType="end"/>
      </w:r>
      <w:r w:rsidR="00256547" w:rsidRPr="00EC6C19">
        <w:rPr>
          <w:rFonts w:ascii="Times New Roman" w:hAnsi="Times New Roman" w:cs="Times New Roman"/>
          <w:sz w:val="24"/>
          <w:szCs w:val="24"/>
        </w:rPr>
        <w:t>. This adds to the compelling evidence to treat such lesions medically, given the potential associated risks with stenting.</w:t>
      </w:r>
    </w:p>
    <w:p w14:paraId="535E2CAC" w14:textId="77777777" w:rsidR="0006539A" w:rsidRDefault="0006539A" w:rsidP="0092032F">
      <w:pPr>
        <w:spacing w:line="360" w:lineRule="auto"/>
        <w:rPr>
          <w:rFonts w:ascii="Times New Roman" w:hAnsi="Times New Roman" w:cs="Times New Roman"/>
          <w:sz w:val="24"/>
          <w:szCs w:val="24"/>
        </w:rPr>
      </w:pPr>
    </w:p>
    <w:p w14:paraId="5EE4985A" w14:textId="77777777" w:rsidR="0006539A" w:rsidRDefault="0006539A" w:rsidP="0092032F">
      <w:pPr>
        <w:spacing w:line="360" w:lineRule="auto"/>
        <w:rPr>
          <w:rFonts w:ascii="Times New Roman" w:hAnsi="Times New Roman" w:cs="Times New Roman"/>
          <w:sz w:val="24"/>
          <w:szCs w:val="24"/>
        </w:rPr>
      </w:pPr>
    </w:p>
    <w:p w14:paraId="02B594AF" w14:textId="77777777" w:rsidR="0006539A" w:rsidRDefault="0006539A" w:rsidP="0092032F">
      <w:pPr>
        <w:spacing w:line="360" w:lineRule="auto"/>
        <w:rPr>
          <w:rFonts w:ascii="Times New Roman" w:hAnsi="Times New Roman" w:cs="Times New Roman"/>
          <w:sz w:val="24"/>
          <w:szCs w:val="24"/>
        </w:rPr>
      </w:pPr>
    </w:p>
    <w:p w14:paraId="0B15A4D7" w14:textId="77777777" w:rsidR="0006539A" w:rsidRDefault="0006539A" w:rsidP="0092032F">
      <w:pPr>
        <w:spacing w:line="360" w:lineRule="auto"/>
        <w:rPr>
          <w:rFonts w:ascii="Times New Roman" w:hAnsi="Times New Roman" w:cs="Times New Roman"/>
          <w:sz w:val="24"/>
          <w:szCs w:val="24"/>
        </w:rPr>
      </w:pPr>
    </w:p>
    <w:p w14:paraId="5861867A" w14:textId="77777777" w:rsidR="0006539A" w:rsidRDefault="0006539A" w:rsidP="0092032F">
      <w:pPr>
        <w:spacing w:line="360" w:lineRule="auto"/>
        <w:rPr>
          <w:rFonts w:ascii="Times New Roman" w:hAnsi="Times New Roman" w:cs="Times New Roman"/>
          <w:sz w:val="24"/>
          <w:szCs w:val="24"/>
        </w:rPr>
      </w:pPr>
    </w:p>
    <w:p w14:paraId="3070D3E6" w14:textId="77777777" w:rsidR="0006539A" w:rsidRDefault="0006539A" w:rsidP="0092032F">
      <w:pPr>
        <w:spacing w:line="360" w:lineRule="auto"/>
        <w:rPr>
          <w:rFonts w:ascii="Times New Roman" w:hAnsi="Times New Roman" w:cs="Times New Roman"/>
          <w:sz w:val="24"/>
          <w:szCs w:val="24"/>
        </w:rPr>
      </w:pPr>
    </w:p>
    <w:p w14:paraId="737DE416" w14:textId="77777777" w:rsidR="0006539A" w:rsidRDefault="0006539A" w:rsidP="0092032F">
      <w:pPr>
        <w:spacing w:line="360" w:lineRule="auto"/>
        <w:rPr>
          <w:rFonts w:ascii="Times New Roman" w:hAnsi="Times New Roman" w:cs="Times New Roman"/>
          <w:sz w:val="24"/>
          <w:szCs w:val="24"/>
        </w:rPr>
      </w:pPr>
    </w:p>
    <w:p w14:paraId="3FA40F69" w14:textId="77777777" w:rsidR="0006539A" w:rsidRDefault="0006539A" w:rsidP="0092032F">
      <w:pPr>
        <w:spacing w:line="360" w:lineRule="auto"/>
        <w:rPr>
          <w:rFonts w:ascii="Times New Roman" w:hAnsi="Times New Roman" w:cs="Times New Roman"/>
          <w:sz w:val="24"/>
          <w:szCs w:val="24"/>
        </w:rPr>
      </w:pPr>
    </w:p>
    <w:p w14:paraId="13F00CE2" w14:textId="77777777" w:rsidR="0006539A" w:rsidRDefault="0006539A" w:rsidP="0092032F">
      <w:pPr>
        <w:spacing w:line="360" w:lineRule="auto"/>
        <w:rPr>
          <w:rFonts w:ascii="Times New Roman" w:hAnsi="Times New Roman" w:cs="Times New Roman"/>
          <w:sz w:val="24"/>
          <w:szCs w:val="24"/>
        </w:rPr>
      </w:pPr>
    </w:p>
    <w:p w14:paraId="7B2AF67E" w14:textId="77777777" w:rsidR="00816506" w:rsidRPr="00EC6C19" w:rsidRDefault="00816506" w:rsidP="0092032F">
      <w:pPr>
        <w:spacing w:line="360" w:lineRule="auto"/>
        <w:rPr>
          <w:rFonts w:ascii="Times New Roman" w:hAnsi="Times New Roman" w:cs="Times New Roman"/>
          <w:sz w:val="24"/>
          <w:szCs w:val="24"/>
        </w:rPr>
      </w:pPr>
    </w:p>
    <w:tbl>
      <w:tblPr>
        <w:tblW w:w="9152" w:type="dxa"/>
        <w:tblLook w:val="04A0" w:firstRow="1" w:lastRow="0" w:firstColumn="1" w:lastColumn="0" w:noHBand="0" w:noVBand="1"/>
      </w:tblPr>
      <w:tblGrid>
        <w:gridCol w:w="2660"/>
        <w:gridCol w:w="1663"/>
        <w:gridCol w:w="2448"/>
        <w:gridCol w:w="2381"/>
      </w:tblGrid>
      <w:tr w:rsidR="008322CC" w:rsidRPr="00EC6C19" w14:paraId="1117A77E" w14:textId="77777777" w:rsidTr="00F31D6C">
        <w:tc>
          <w:tcPr>
            <w:tcW w:w="2660" w:type="dxa"/>
            <w:tcBorders>
              <w:bottom w:val="nil"/>
            </w:tcBorders>
            <w:hideMark/>
          </w:tcPr>
          <w:p w14:paraId="3A3F290C"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p>
        </w:tc>
        <w:tc>
          <w:tcPr>
            <w:tcW w:w="6492" w:type="dxa"/>
            <w:gridSpan w:val="3"/>
            <w:tcBorders>
              <w:bottom w:val="nil"/>
            </w:tcBorders>
            <w:hideMark/>
          </w:tcPr>
          <w:p w14:paraId="24169325" w14:textId="77777777" w:rsidR="008322CC" w:rsidRPr="00EC6C19" w:rsidRDefault="008322CC" w:rsidP="008322CC">
            <w:pPr>
              <w:spacing w:after="180" w:line="360" w:lineRule="atLeast"/>
              <w:jc w:val="center"/>
              <w:rPr>
                <w:rFonts w:ascii="Times New Roman" w:eastAsia="Times New Roman" w:hAnsi="Times New Roman" w:cs="Times New Roman"/>
                <w:b/>
                <w:bCs/>
                <w:color w:val="0E0E0E"/>
                <w:sz w:val="24"/>
                <w:szCs w:val="24"/>
                <w:lang w:val="en-US"/>
              </w:rPr>
            </w:pPr>
          </w:p>
        </w:tc>
      </w:tr>
      <w:tr w:rsidR="008322CC" w:rsidRPr="00EC6C19" w14:paraId="6F36A099" w14:textId="77777777" w:rsidTr="00F31D6C">
        <w:tc>
          <w:tcPr>
            <w:tcW w:w="2660" w:type="dxa"/>
            <w:tcBorders>
              <w:top w:val="nil"/>
              <w:bottom w:val="single" w:sz="18" w:space="0" w:color="000000" w:themeColor="text1"/>
            </w:tcBorders>
            <w:shd w:val="clear" w:color="auto" w:fill="F2F2F2" w:themeFill="background1" w:themeFillShade="F2"/>
            <w:hideMark/>
          </w:tcPr>
          <w:p w14:paraId="53815754" w14:textId="77777777" w:rsidR="008322CC" w:rsidRPr="00EC6C19" w:rsidRDefault="008322CC" w:rsidP="008322CC">
            <w:pPr>
              <w:jc w:val="center"/>
              <w:rPr>
                <w:rFonts w:ascii="Times New Roman" w:eastAsia="Times New Roman" w:hAnsi="Times New Roman" w:cs="Times New Roman"/>
                <w:color w:val="0E0E0E"/>
                <w:sz w:val="24"/>
                <w:szCs w:val="24"/>
                <w:lang w:val="en-US"/>
              </w:rPr>
            </w:pPr>
          </w:p>
        </w:tc>
        <w:tc>
          <w:tcPr>
            <w:tcW w:w="1663" w:type="dxa"/>
            <w:tcBorders>
              <w:top w:val="nil"/>
              <w:bottom w:val="single" w:sz="18" w:space="0" w:color="000000" w:themeColor="text1"/>
            </w:tcBorders>
            <w:shd w:val="clear" w:color="auto" w:fill="F2F2F2" w:themeFill="background1" w:themeFillShade="F2"/>
            <w:hideMark/>
          </w:tcPr>
          <w:p w14:paraId="24000117"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b/>
                <w:bCs/>
                <w:color w:val="0E0E0E"/>
                <w:sz w:val="24"/>
                <w:szCs w:val="24"/>
                <w:lang w:val="en-US"/>
              </w:rPr>
              <w:t>DEFER</w:t>
            </w:r>
          </w:p>
        </w:tc>
        <w:tc>
          <w:tcPr>
            <w:tcW w:w="2448" w:type="dxa"/>
            <w:tcBorders>
              <w:top w:val="nil"/>
              <w:bottom w:val="single" w:sz="18" w:space="0" w:color="000000" w:themeColor="text1"/>
            </w:tcBorders>
            <w:shd w:val="clear" w:color="auto" w:fill="F2F2F2" w:themeFill="background1" w:themeFillShade="F2"/>
            <w:hideMark/>
          </w:tcPr>
          <w:p w14:paraId="2F36A573"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b/>
                <w:bCs/>
                <w:color w:val="0E0E0E"/>
                <w:sz w:val="24"/>
                <w:szCs w:val="24"/>
                <w:lang w:val="en-US"/>
              </w:rPr>
              <w:t>FAME</w:t>
            </w:r>
          </w:p>
        </w:tc>
        <w:tc>
          <w:tcPr>
            <w:tcW w:w="2381" w:type="dxa"/>
            <w:tcBorders>
              <w:top w:val="nil"/>
              <w:bottom w:val="single" w:sz="18" w:space="0" w:color="000000" w:themeColor="text1"/>
            </w:tcBorders>
            <w:shd w:val="clear" w:color="auto" w:fill="F2F2F2" w:themeFill="background1" w:themeFillShade="F2"/>
            <w:hideMark/>
          </w:tcPr>
          <w:p w14:paraId="5E75FB4D"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b/>
                <w:bCs/>
                <w:color w:val="0E0E0E"/>
                <w:sz w:val="24"/>
                <w:szCs w:val="24"/>
                <w:lang w:val="en-US"/>
              </w:rPr>
              <w:t>FAME II</w:t>
            </w:r>
          </w:p>
        </w:tc>
      </w:tr>
      <w:tr w:rsidR="008322CC" w:rsidRPr="00EC6C19" w14:paraId="102B56C3" w14:textId="77777777" w:rsidTr="00F31D6C">
        <w:tc>
          <w:tcPr>
            <w:tcW w:w="2660" w:type="dxa"/>
            <w:tcBorders>
              <w:top w:val="single" w:sz="18" w:space="0" w:color="000000" w:themeColor="text1"/>
            </w:tcBorders>
            <w:hideMark/>
          </w:tcPr>
          <w:p w14:paraId="1DBBEF71"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Population</w:t>
            </w:r>
          </w:p>
        </w:tc>
        <w:tc>
          <w:tcPr>
            <w:tcW w:w="1663" w:type="dxa"/>
            <w:tcBorders>
              <w:top w:val="single" w:sz="18" w:space="0" w:color="000000" w:themeColor="text1"/>
            </w:tcBorders>
            <w:hideMark/>
          </w:tcPr>
          <w:p w14:paraId="4DDD7E38"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Stable angina</w:t>
            </w:r>
          </w:p>
        </w:tc>
        <w:tc>
          <w:tcPr>
            <w:tcW w:w="2448" w:type="dxa"/>
            <w:tcBorders>
              <w:top w:val="single" w:sz="18" w:space="0" w:color="000000" w:themeColor="text1"/>
            </w:tcBorders>
            <w:hideMark/>
          </w:tcPr>
          <w:p w14:paraId="453FFEB7" w14:textId="77777777" w:rsidR="008322CC" w:rsidRPr="00EC6C19" w:rsidRDefault="00BA5CC2"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Stable angina</w:t>
            </w:r>
          </w:p>
        </w:tc>
        <w:tc>
          <w:tcPr>
            <w:tcW w:w="2381" w:type="dxa"/>
            <w:tcBorders>
              <w:top w:val="single" w:sz="18" w:space="0" w:color="000000" w:themeColor="text1"/>
            </w:tcBorders>
            <w:hideMark/>
          </w:tcPr>
          <w:p w14:paraId="431B7A30"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Stable angina</w:t>
            </w:r>
          </w:p>
        </w:tc>
      </w:tr>
      <w:tr w:rsidR="008322CC" w:rsidRPr="00EC6C19" w14:paraId="0082B6E1" w14:textId="77777777" w:rsidTr="00281310">
        <w:tc>
          <w:tcPr>
            <w:tcW w:w="2660" w:type="dxa"/>
            <w:shd w:val="clear" w:color="auto" w:fill="auto"/>
            <w:hideMark/>
          </w:tcPr>
          <w:p w14:paraId="69AC29B7" w14:textId="77777777" w:rsidR="008322CC" w:rsidRPr="00EC6C19" w:rsidRDefault="008322CC" w:rsidP="005E0675">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 xml:space="preserve">Treatment </w:t>
            </w:r>
            <w:r w:rsidR="005E0675" w:rsidRPr="00EC6C19">
              <w:rPr>
                <w:rFonts w:ascii="Times New Roman" w:eastAsia="Times New Roman" w:hAnsi="Times New Roman" w:cs="Times New Roman"/>
                <w:color w:val="0E0E0E"/>
                <w:sz w:val="24"/>
                <w:szCs w:val="24"/>
                <w:lang w:val="en-US"/>
              </w:rPr>
              <w:t>at Randomisation</w:t>
            </w:r>
          </w:p>
        </w:tc>
        <w:tc>
          <w:tcPr>
            <w:tcW w:w="1663" w:type="dxa"/>
            <w:shd w:val="clear" w:color="auto" w:fill="auto"/>
            <w:hideMark/>
          </w:tcPr>
          <w:p w14:paraId="0CC93823"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Angiogram</w:t>
            </w:r>
          </w:p>
        </w:tc>
        <w:tc>
          <w:tcPr>
            <w:tcW w:w="2448" w:type="dxa"/>
            <w:shd w:val="clear" w:color="auto" w:fill="auto"/>
            <w:hideMark/>
          </w:tcPr>
          <w:p w14:paraId="1E7B4459"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Angiogram</w:t>
            </w:r>
          </w:p>
        </w:tc>
        <w:tc>
          <w:tcPr>
            <w:tcW w:w="2381" w:type="dxa"/>
            <w:shd w:val="clear" w:color="auto" w:fill="auto"/>
            <w:hideMark/>
          </w:tcPr>
          <w:p w14:paraId="79F9D58F"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Angiogram</w:t>
            </w:r>
          </w:p>
        </w:tc>
      </w:tr>
      <w:tr w:rsidR="008322CC" w:rsidRPr="00EC6C19" w14:paraId="1E8507F9" w14:textId="77777777" w:rsidTr="00281310">
        <w:tc>
          <w:tcPr>
            <w:tcW w:w="2660" w:type="dxa"/>
            <w:hideMark/>
          </w:tcPr>
          <w:p w14:paraId="31AE86D1"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Arm 1</w:t>
            </w:r>
          </w:p>
        </w:tc>
        <w:tc>
          <w:tcPr>
            <w:tcW w:w="1663" w:type="dxa"/>
            <w:hideMark/>
          </w:tcPr>
          <w:p w14:paraId="0F76D8CC"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FFR &gt;0.75</w:t>
            </w:r>
            <w:r w:rsidRPr="00EC6C19">
              <w:rPr>
                <w:rFonts w:ascii="Times New Roman" w:eastAsia="Times New Roman" w:hAnsi="Times New Roman" w:cs="Times New Roman"/>
                <w:color w:val="0E0E0E"/>
                <w:sz w:val="24"/>
                <w:szCs w:val="24"/>
                <w:lang w:val="en-US"/>
              </w:rPr>
              <w:br/>
              <w:t>PCI</w:t>
            </w:r>
          </w:p>
        </w:tc>
        <w:tc>
          <w:tcPr>
            <w:tcW w:w="2448" w:type="dxa"/>
            <w:hideMark/>
          </w:tcPr>
          <w:p w14:paraId="5D67B30E"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FFR guided PCI</w:t>
            </w:r>
          </w:p>
        </w:tc>
        <w:tc>
          <w:tcPr>
            <w:tcW w:w="2381" w:type="dxa"/>
            <w:hideMark/>
          </w:tcPr>
          <w:p w14:paraId="6E4D1755"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FFR &lt;0.8, PCI + OMT</w:t>
            </w:r>
          </w:p>
        </w:tc>
      </w:tr>
      <w:tr w:rsidR="008322CC" w:rsidRPr="00EC6C19" w14:paraId="1E334F7F" w14:textId="77777777" w:rsidTr="00281310">
        <w:tc>
          <w:tcPr>
            <w:tcW w:w="2660" w:type="dxa"/>
            <w:shd w:val="clear" w:color="auto" w:fill="auto"/>
            <w:hideMark/>
          </w:tcPr>
          <w:p w14:paraId="708FAB1A"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Arm 2</w:t>
            </w:r>
          </w:p>
        </w:tc>
        <w:tc>
          <w:tcPr>
            <w:tcW w:w="1663" w:type="dxa"/>
            <w:shd w:val="clear" w:color="auto" w:fill="auto"/>
            <w:hideMark/>
          </w:tcPr>
          <w:p w14:paraId="52A407DE"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FFR &gt;0.75</w:t>
            </w:r>
            <w:r w:rsidRPr="00EC6C19">
              <w:rPr>
                <w:rFonts w:ascii="Times New Roman" w:eastAsia="Times New Roman" w:hAnsi="Times New Roman" w:cs="Times New Roman"/>
                <w:color w:val="0E0E0E"/>
                <w:sz w:val="24"/>
                <w:szCs w:val="24"/>
                <w:lang w:val="en-US"/>
              </w:rPr>
              <w:br/>
              <w:t>Defer</w:t>
            </w:r>
          </w:p>
        </w:tc>
        <w:tc>
          <w:tcPr>
            <w:tcW w:w="2448" w:type="dxa"/>
            <w:shd w:val="clear" w:color="auto" w:fill="auto"/>
            <w:hideMark/>
          </w:tcPr>
          <w:p w14:paraId="79CEC090"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Angiography guided PCI</w:t>
            </w:r>
          </w:p>
        </w:tc>
        <w:tc>
          <w:tcPr>
            <w:tcW w:w="2381" w:type="dxa"/>
            <w:shd w:val="clear" w:color="auto" w:fill="auto"/>
            <w:hideMark/>
          </w:tcPr>
          <w:p w14:paraId="0BBE4A41" w14:textId="77777777" w:rsidR="008322CC" w:rsidRPr="00EC6C19" w:rsidRDefault="005E0675" w:rsidP="005E0675">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FFR &lt;0.8</w:t>
            </w:r>
            <w:r w:rsidR="008322CC" w:rsidRPr="00EC6C19">
              <w:rPr>
                <w:rFonts w:ascii="Times New Roman" w:eastAsia="Times New Roman" w:hAnsi="Times New Roman" w:cs="Times New Roman"/>
                <w:color w:val="0E0E0E"/>
                <w:sz w:val="24"/>
                <w:szCs w:val="24"/>
                <w:lang w:val="en-US"/>
              </w:rPr>
              <w:t xml:space="preserve">, </w:t>
            </w:r>
            <w:r w:rsidRPr="00EC6C19">
              <w:rPr>
                <w:rFonts w:ascii="Times New Roman" w:eastAsia="Times New Roman" w:hAnsi="Times New Roman" w:cs="Times New Roman"/>
                <w:color w:val="0E0E0E"/>
                <w:sz w:val="24"/>
                <w:szCs w:val="24"/>
                <w:lang w:val="en-US"/>
              </w:rPr>
              <w:t>OMT</w:t>
            </w:r>
          </w:p>
        </w:tc>
      </w:tr>
      <w:tr w:rsidR="008322CC" w:rsidRPr="00EC6C19" w14:paraId="415A39DD" w14:textId="77777777" w:rsidTr="00281310">
        <w:trPr>
          <w:trHeight w:val="1660"/>
        </w:trPr>
        <w:tc>
          <w:tcPr>
            <w:tcW w:w="2660" w:type="dxa"/>
            <w:hideMark/>
          </w:tcPr>
          <w:p w14:paraId="317D713C"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bCs/>
                <w:color w:val="0E0E0E"/>
                <w:sz w:val="24"/>
                <w:szCs w:val="24"/>
                <w:lang w:val="en-US"/>
              </w:rPr>
              <w:t>Standard Care</w:t>
            </w:r>
            <w:r w:rsidR="005E0675" w:rsidRPr="00EC6C19">
              <w:rPr>
                <w:rFonts w:ascii="Times New Roman" w:eastAsia="Times New Roman" w:hAnsi="Times New Roman" w:cs="Times New Roman"/>
                <w:bCs/>
                <w:color w:val="0E0E0E"/>
                <w:sz w:val="24"/>
                <w:szCs w:val="24"/>
                <w:lang w:val="en-US"/>
              </w:rPr>
              <w:t xml:space="preserve"> When Study Conducted</w:t>
            </w:r>
          </w:p>
        </w:tc>
        <w:tc>
          <w:tcPr>
            <w:tcW w:w="1663" w:type="dxa"/>
            <w:hideMark/>
          </w:tcPr>
          <w:p w14:paraId="346DEA2E"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PCI</w:t>
            </w:r>
          </w:p>
        </w:tc>
        <w:tc>
          <w:tcPr>
            <w:tcW w:w="2448" w:type="dxa"/>
            <w:hideMark/>
          </w:tcPr>
          <w:p w14:paraId="77BDC950"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Angiography guided PCI</w:t>
            </w:r>
          </w:p>
        </w:tc>
        <w:tc>
          <w:tcPr>
            <w:tcW w:w="2381" w:type="dxa"/>
            <w:hideMark/>
          </w:tcPr>
          <w:p w14:paraId="46E103C3" w14:textId="77777777" w:rsidR="008322CC" w:rsidRPr="00EC6C19" w:rsidRDefault="008322CC"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Angiography guided PCI</w:t>
            </w:r>
          </w:p>
        </w:tc>
      </w:tr>
      <w:tr w:rsidR="00F15BB4" w:rsidRPr="00EC6C19" w14:paraId="2CFCC6E2" w14:textId="77777777" w:rsidTr="00281310">
        <w:trPr>
          <w:trHeight w:val="1117"/>
        </w:trPr>
        <w:tc>
          <w:tcPr>
            <w:tcW w:w="2660" w:type="dxa"/>
            <w:shd w:val="clear" w:color="auto" w:fill="auto"/>
            <w:hideMark/>
          </w:tcPr>
          <w:p w14:paraId="3D6AADF3" w14:textId="77777777" w:rsidR="00F15BB4" w:rsidRPr="00EC6C19" w:rsidRDefault="00F15BB4" w:rsidP="008322CC">
            <w:pPr>
              <w:spacing w:after="180" w:line="360" w:lineRule="atLeast"/>
              <w:jc w:val="center"/>
              <w:rPr>
                <w:rFonts w:ascii="Times New Roman" w:eastAsia="Times New Roman" w:hAnsi="Times New Roman" w:cs="Times New Roman"/>
                <w:bCs/>
                <w:color w:val="0E0E0E"/>
                <w:sz w:val="24"/>
                <w:szCs w:val="24"/>
                <w:lang w:val="en-US"/>
              </w:rPr>
            </w:pPr>
            <w:r w:rsidRPr="00EC6C19">
              <w:rPr>
                <w:rFonts w:ascii="Times New Roman" w:eastAsia="Times New Roman" w:hAnsi="Times New Roman" w:cs="Times New Roman"/>
                <w:bCs/>
                <w:color w:val="0E0E0E"/>
                <w:sz w:val="24"/>
                <w:szCs w:val="24"/>
                <w:lang w:val="en-US"/>
              </w:rPr>
              <w:t>Outcome</w:t>
            </w:r>
          </w:p>
        </w:tc>
        <w:tc>
          <w:tcPr>
            <w:tcW w:w="1663" w:type="dxa"/>
            <w:shd w:val="clear" w:color="auto" w:fill="auto"/>
            <w:hideMark/>
          </w:tcPr>
          <w:p w14:paraId="40A014E0" w14:textId="77777777" w:rsidR="00F15BB4" w:rsidRPr="00EC6C19" w:rsidRDefault="00F15BB4"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Stenting FFR &gt;0.75 - No benefit</w:t>
            </w:r>
          </w:p>
        </w:tc>
        <w:tc>
          <w:tcPr>
            <w:tcW w:w="2448" w:type="dxa"/>
            <w:shd w:val="clear" w:color="auto" w:fill="auto"/>
            <w:hideMark/>
          </w:tcPr>
          <w:p w14:paraId="584DA7CC" w14:textId="77777777" w:rsidR="00F15BB4" w:rsidRPr="00EC6C19" w:rsidRDefault="00F15BB4"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FFR guided PCI better than angiography guided PCI</w:t>
            </w:r>
          </w:p>
        </w:tc>
        <w:tc>
          <w:tcPr>
            <w:tcW w:w="2381" w:type="dxa"/>
            <w:shd w:val="clear" w:color="auto" w:fill="auto"/>
            <w:hideMark/>
          </w:tcPr>
          <w:p w14:paraId="362B0F75" w14:textId="77777777" w:rsidR="00F15BB4" w:rsidRPr="00EC6C19" w:rsidRDefault="00F15BB4" w:rsidP="008322CC">
            <w:pPr>
              <w:spacing w:after="180" w:line="360" w:lineRule="atLeast"/>
              <w:jc w:val="center"/>
              <w:rPr>
                <w:rFonts w:ascii="Times New Roman" w:eastAsia="Times New Roman" w:hAnsi="Times New Roman" w:cs="Times New Roman"/>
                <w:color w:val="0E0E0E"/>
                <w:sz w:val="24"/>
                <w:szCs w:val="24"/>
                <w:lang w:val="en-US"/>
              </w:rPr>
            </w:pPr>
            <w:r w:rsidRPr="00EC6C19">
              <w:rPr>
                <w:rFonts w:ascii="Times New Roman" w:eastAsia="Times New Roman" w:hAnsi="Times New Roman" w:cs="Times New Roman"/>
                <w:color w:val="0E0E0E"/>
                <w:sz w:val="24"/>
                <w:szCs w:val="24"/>
                <w:lang w:val="en-US"/>
              </w:rPr>
              <w:t>PCI + OMT better</w:t>
            </w:r>
          </w:p>
        </w:tc>
      </w:tr>
    </w:tbl>
    <w:p w14:paraId="78669B99" w14:textId="77777777" w:rsidR="003E6610" w:rsidRDefault="003E6610" w:rsidP="003E6610">
      <w:pPr>
        <w:pStyle w:val="Caption"/>
        <w:keepNext/>
        <w:rPr>
          <w:rFonts w:ascii="Times New Roman" w:hAnsi="Times New Roman" w:cs="Times New Roman"/>
          <w:b w:val="0"/>
          <w:bCs w:val="0"/>
          <w:i/>
          <w:color w:val="auto"/>
          <w:sz w:val="24"/>
          <w:szCs w:val="24"/>
        </w:rPr>
      </w:pPr>
    </w:p>
    <w:p w14:paraId="136C3213" w14:textId="77777777" w:rsidR="006B36AF" w:rsidRPr="0006539A" w:rsidRDefault="003E6610" w:rsidP="0006539A">
      <w:pPr>
        <w:pStyle w:val="Caption"/>
        <w:keepNext/>
        <w:spacing w:line="360" w:lineRule="auto"/>
        <w:rPr>
          <w:rFonts w:ascii="Times New Roman" w:hAnsi="Times New Roman" w:cs="Times New Roman"/>
          <w:b w:val="0"/>
          <w:i/>
          <w:color w:val="auto"/>
          <w:sz w:val="24"/>
          <w:szCs w:val="24"/>
        </w:rPr>
      </w:pPr>
      <w:bookmarkStart w:id="44" w:name="_Toc44962577"/>
      <w:r w:rsidRPr="003E6610">
        <w:rPr>
          <w:rFonts w:ascii="Times New Roman" w:hAnsi="Times New Roman" w:cs="Times New Roman"/>
          <w:b w:val="0"/>
          <w:i/>
          <w:color w:val="auto"/>
          <w:sz w:val="24"/>
          <w:szCs w:val="24"/>
        </w:rPr>
        <w:t xml:space="preserve">Table </w:t>
      </w:r>
      <w:r w:rsidR="00106A32" w:rsidRPr="003E6610">
        <w:rPr>
          <w:rFonts w:ascii="Times New Roman" w:hAnsi="Times New Roman" w:cs="Times New Roman"/>
          <w:b w:val="0"/>
          <w:i/>
          <w:color w:val="auto"/>
          <w:sz w:val="24"/>
          <w:szCs w:val="24"/>
        </w:rPr>
        <w:fldChar w:fldCharType="begin"/>
      </w:r>
      <w:r w:rsidRPr="003E6610">
        <w:rPr>
          <w:rFonts w:ascii="Times New Roman" w:hAnsi="Times New Roman" w:cs="Times New Roman"/>
          <w:b w:val="0"/>
          <w:i/>
          <w:color w:val="auto"/>
          <w:sz w:val="24"/>
          <w:szCs w:val="24"/>
        </w:rPr>
        <w:instrText xml:space="preserve"> SEQ Table \* ARABIC </w:instrText>
      </w:r>
      <w:r w:rsidR="00106A32" w:rsidRPr="003E6610">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w:t>
      </w:r>
      <w:r w:rsidR="00106A32" w:rsidRPr="003E6610">
        <w:rPr>
          <w:rFonts w:ascii="Times New Roman" w:hAnsi="Times New Roman" w:cs="Times New Roman"/>
          <w:b w:val="0"/>
          <w:i/>
          <w:color w:val="auto"/>
          <w:sz w:val="24"/>
          <w:szCs w:val="24"/>
        </w:rPr>
        <w:fldChar w:fldCharType="end"/>
      </w:r>
      <w:r w:rsidRPr="003E6610">
        <w:rPr>
          <w:rFonts w:ascii="Times New Roman" w:hAnsi="Times New Roman" w:cs="Times New Roman"/>
          <w:b w:val="0"/>
          <w:i/>
          <w:color w:val="auto"/>
          <w:sz w:val="24"/>
          <w:szCs w:val="24"/>
        </w:rPr>
        <w:t xml:space="preserve"> - summary of DEFER, FAME and FAME II</w:t>
      </w:r>
      <w:r w:rsidR="00CA514B" w:rsidRPr="003E6610">
        <w:rPr>
          <w:rFonts w:ascii="Times New Roman" w:hAnsi="Times New Roman" w:cs="Times New Roman"/>
          <w:b w:val="0"/>
          <w:i/>
          <w:color w:val="auto"/>
          <w:sz w:val="24"/>
          <w:szCs w:val="24"/>
        </w:rPr>
        <w:t>. FFR -fractional flow reserve, PCI - percutaneous coronary intervention, OMT - optimal medical therapy.</w:t>
      </w:r>
      <w:bookmarkEnd w:id="44"/>
    </w:p>
    <w:p w14:paraId="38C9AF30" w14:textId="77777777" w:rsidR="00BA253A" w:rsidRPr="00EC6C19" w:rsidRDefault="00BA253A" w:rsidP="00BA253A">
      <w:pPr>
        <w:spacing w:line="360" w:lineRule="auto"/>
        <w:rPr>
          <w:rFonts w:ascii="Times New Roman" w:hAnsi="Times New Roman" w:cs="Times New Roman"/>
          <w:i/>
          <w:sz w:val="24"/>
          <w:szCs w:val="24"/>
        </w:rPr>
      </w:pPr>
    </w:p>
    <w:p w14:paraId="2C528554" w14:textId="77777777" w:rsidR="00B25002" w:rsidRPr="00A00967" w:rsidRDefault="00A542B2" w:rsidP="00A00967">
      <w:pPr>
        <w:pStyle w:val="Heading3"/>
        <w:rPr>
          <w:rFonts w:ascii="Times New Roman" w:hAnsi="Times New Roman" w:cs="Times New Roman"/>
          <w:b w:val="0"/>
          <w:i/>
          <w:color w:val="auto"/>
          <w:sz w:val="24"/>
          <w:szCs w:val="24"/>
        </w:rPr>
      </w:pPr>
      <w:bookmarkStart w:id="45" w:name="_Toc80302180"/>
      <w:r>
        <w:rPr>
          <w:rFonts w:ascii="Times New Roman" w:hAnsi="Times New Roman" w:cs="Times New Roman"/>
          <w:b w:val="0"/>
          <w:i/>
          <w:color w:val="auto"/>
          <w:sz w:val="24"/>
          <w:szCs w:val="24"/>
        </w:rPr>
        <w:t xml:space="preserve">1.9.4 - </w:t>
      </w:r>
      <w:r w:rsidR="006B36AF" w:rsidRPr="00A00967">
        <w:rPr>
          <w:rFonts w:ascii="Times New Roman" w:hAnsi="Times New Roman" w:cs="Times New Roman"/>
          <w:b w:val="0"/>
          <w:i/>
          <w:color w:val="auto"/>
          <w:sz w:val="24"/>
          <w:szCs w:val="24"/>
        </w:rPr>
        <w:t>Registry Data</w:t>
      </w:r>
      <w:bookmarkEnd w:id="45"/>
      <w:r w:rsidR="00A00967" w:rsidRPr="00A00967">
        <w:rPr>
          <w:rFonts w:ascii="Times New Roman" w:hAnsi="Times New Roman" w:cs="Times New Roman"/>
          <w:b w:val="0"/>
          <w:i/>
          <w:color w:val="auto"/>
          <w:sz w:val="24"/>
          <w:szCs w:val="24"/>
        </w:rPr>
        <w:br/>
      </w:r>
    </w:p>
    <w:p w14:paraId="74D1A687" w14:textId="77777777" w:rsidR="00BA253A" w:rsidRPr="00EC6C19" w:rsidRDefault="00BA253A" w:rsidP="00BA253A">
      <w:pPr>
        <w:spacing w:line="360" w:lineRule="auto"/>
        <w:rPr>
          <w:rFonts w:ascii="Times New Roman" w:hAnsi="Times New Roman" w:cs="Times New Roman"/>
          <w:i/>
          <w:sz w:val="24"/>
          <w:szCs w:val="24"/>
        </w:rPr>
      </w:pPr>
    </w:p>
    <w:p w14:paraId="29EE8008" w14:textId="77777777" w:rsidR="004B1E1F" w:rsidRPr="00EC6C19" w:rsidRDefault="004B1E1F" w:rsidP="000404A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Mayo registry, comprising of 7358 patients compared two groups of patients; those undergoing PCI without FFR guidance, and those undergoing PCI with FFR guidance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{"citationID":"vMH6NPHE","properties":{"formattedCitation":"(Li et al., 2013)","plainCitation":"(Li et al., 2013)","noteIndex":0},"citationItems":[{"id":541,"uris":["http://zotero.org/users/local/k67tNDdX/items/4A44APK8"],"uri":["http://zotero.org/users/local/k67tNDdX/items/4A44APK8"],"itemData":{"id":541,"type":"article-journal","abstract":"AIMS: Fractional flow reserve (FFR) is the reference standard for the assessment of the functional significance of coronary artery stenoses, but is underutilized in daily clinical practice. We aimed to study long-term outcomes of FFR-guided percutaneous coronary intervention (PCI) in the general clinical practice.\nMETHODS AND RESULTS: In this retrospective study, consecutive patients (n = 7358), referred for PCI at the Mayo Clinic between October 2002 and December 2009, were divided in two groups: those undergoing PCI without (PCI-only, n = 6268) or with FFR measurements (FFR-guided, n = 1090). The latter group was further classified as the FFR-Perform group (n = 369) if followed by PCI, and the FFR-Defer group (n = 721) if PCI was deferred. Clinical events were compared during a median follow-up of 50.9 months. The Kaplan-Meier fraction of major adverse cardiac events at 7 years was 57.0% in the PCI-only vs. 50.0% in the FFR-guided group (P = 0.016). Patients with FFR-guided interventions had a non-significantly lower rate of death or myocardial infarction compared with those with angiography-guided interventions [hazard ratio (HR): 0.85, 95% CI: 0.71-1.01, P = 0.06]; the FFR-guided deferred-PCI strategy was independently associated with reduced rate of myocardial infarction (HR: 0.46, 95% CI: 0.26-0.82, P = 0.008). After excluding patients with FFR of 0.75-0.80 and deferring PCI, the use of FFR was significantly associated with reduced rate of death or myocardial infarction (HR: 0.80, 95% CI: 0.66-0.96, P = 0.02).\nCONCLUSION: In the contemporary practice, an FFR-guided treatment strategy is associated with a favourable long-term outcome. The current study supports the use of the FFR for decision-making in patients undergoing cardiac catheterization.","container-title":"European Heart Journal","DOI":"10.1093/eurheartj/eht005","ISSN":"1522-9645","issue":"18","journalAbbreviation":"Eur. Heart J.","language":"eng","note":"PMID: 23344979\nPMCID: PMC3646259","page":"1375-1383","source":"PubMed","title":"Long-term outcomes of fractional flow reserve-guided vs. angiography-guided percutaneous coronary intervention in contemporary practice","volume":"34","author":[{"family":"Li","given":"Jing"},{"family":"Elrashidi","given":"Muhamad Y."},{"family":"Flammer","given":"Andreas J."},{"family":"Lennon","given":"Ryan J."},{"family":"Bell","given":"Malcolm R."},{"family":"Holmes","given":"David R."},{"family":"Bresnahan","given":"John F."},{"family":"Rihal","given":"Charanjit S."},{"family":"Lerman","given":"Lilach O."},{"family":"Lerman","given":"Amir"}],"issued":{"date-parts":[["2013",5]]}}}],"schema":"https://github.com/citation-style-language/schema/raw/master/csl-citation.json"} </w:instrText>
      </w:r>
      <w:r w:rsidR="00106A32" w:rsidRPr="00EC6C19">
        <w:rPr>
          <w:rFonts w:ascii="Times New Roman" w:hAnsi="Times New Roman" w:cs="Times New Roman"/>
          <w:sz w:val="24"/>
          <w:szCs w:val="24"/>
        </w:rPr>
        <w:fldChar w:fldCharType="separate"/>
      </w:r>
      <w:r w:rsidR="00B16605" w:rsidRPr="00EC6C19">
        <w:rPr>
          <w:rFonts w:ascii="Times New Roman" w:hAnsi="Times New Roman" w:cs="Times New Roman"/>
          <w:sz w:val="24"/>
          <w:szCs w:val="24"/>
        </w:rPr>
        <w:t xml:space="preserve">(Li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Patients treated with FFR guidance had a significantly reduced</w:t>
      </w:r>
      <w:r w:rsidR="000404AF" w:rsidRPr="00EC6C19">
        <w:rPr>
          <w:rFonts w:ascii="Times New Roman" w:hAnsi="Times New Roman" w:cs="Times New Roman"/>
          <w:sz w:val="24"/>
          <w:szCs w:val="24"/>
        </w:rPr>
        <w:t xml:space="preserve"> rate of major adverse events, supporting the use of FFR in clinical decision making. </w:t>
      </w:r>
    </w:p>
    <w:p w14:paraId="3DB27777" w14:textId="77777777" w:rsidR="004B1E1F" w:rsidRPr="00EC6C19" w:rsidRDefault="004B1E1F" w:rsidP="000404AF">
      <w:pPr>
        <w:spacing w:line="360" w:lineRule="auto"/>
        <w:rPr>
          <w:rFonts w:ascii="Times New Roman" w:hAnsi="Times New Roman" w:cs="Times New Roman"/>
          <w:i/>
          <w:sz w:val="24"/>
          <w:szCs w:val="24"/>
        </w:rPr>
      </w:pPr>
    </w:p>
    <w:p w14:paraId="029DF1CB" w14:textId="77777777" w:rsidR="00DC11A0" w:rsidRPr="00EC6C19" w:rsidRDefault="006B36AF" w:rsidP="000404AF">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 xml:space="preserve">The ISIR-FFR registry comprised 5846 patients and over 8000 coronary lesions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{"citationID":"etiydG6k","properties":{"formattedCitation":"(Ahn et al., 2017)","plainCitation":"(Ahn et al., 2017)","noteIndex":0},"citationItems":[{"id":539,"uris":["http://zotero.org/users/local/k67tNDdX/items/8HQQVSL7"],"uri":["http://zotero.org/users/local/k67tNDdX/items/8HQQVSL7"],"itemData":{"id":539,"type":"article-journal","abstract":"BACKGROUND: We evaluated the prognosis of deferred and revascularized coronary stenoses after fractional flow reserve (FFR) measurement to assess its revascularization threshold in clinical practice.\nMETHODS: The IRIS-FFR registry (Interventional Cardiology Research In-cooperation Society Fractional Flow Reserve) prospectively enrolled 5846 patients with ≥1coronary lesion with FFR measurement. Revascularization was deferred in 6468 lesions and performed in 2165 lesions after FFR assessment. The primary end point was major adverse cardiac events (cardiac death, myocardial infarction, and repeat revascularization) at a median follow-up of 1.9 years and analyzed on a per-lesion basis. A marginal Cox model accounted for correlated data in patients with multiple lesions, and a model to predict per-lesion outcomes was adjusted for confounding factors.\nRESULTS: For deferred lesions, the risk of major adverse cardiac events demonstrated a significant, inverse relationship with FFR (adjusted hazard ratio, 1.06; 95% confidence interval, 1.05-1.08; P&lt;0.001). However, this relationship was not observed in revascularized lesions (adjusted hazard ratio, 1.00; 95% confidence interval, 0.98-1.02; P=0.70). For lesions with FFR ≥0.76, the risk of major adverse cardiac events was not significantly different between deferred and revascularized lesions. Conversely, in lesions with FFR ≤0.75, the risk of major adverse cardiac events was significantly lower in revascularized lesions than in deferred lesions (for FFR 0.71-0.75, adjusted hazard ratio, 0.47; 95% confidence interval, 0.24-0.89; P=0.021; for FFR ≤0.70, adjusted hazard ratio 0.47; 95% confidence interval, 0.26-0.84; P=0.012).\nCONCLUSIONS: This large, prospective registry showed that the FFR value was linearly associated with the risk of cardiac events in deferred lesions. In addition, revascularization for coronary artery stenosis with a low FFR (≤0.75) was associated with better outcomes than the deferral, whereas for a stenosis with a high FFR (≥0.76), medical treatment would be a reasonable and safe treatment strategy.\nCLINICAL TRIAL REGISTRATION: URL: http://www.clinicaltrials.gov. Unique identifier: NCT01366404.","container-title":"Circulation","DOI":"10.1161/CIRCULATIONAHA.116.024433","ISSN":"1524-4539","issue":"23","journalAbbreviation":"Circulation","language":"eng","note":"PMID: 28356440","page":"2241-2251","source":"PubMed","title":"Fractional Flow Reserve and Cardiac Events in Coronary Artery Disease: Data From a Prospective IRIS-FFR Registry (Interventional Cardiology Research Incooperation Society Fractional Flow Reserve)","title-short":"Fractional Flow Reserve and Cardiac Events in Coronary Artery Disease","volume":"135","author":[{"family":"Ahn","given":"Jung-Min"},{"family":"Park","given":"Duk-Woo"},{"family":"Shin","given":"Eun-Seok"},{"family":"Koo","given":"Bon-Kwon"},{"family":"Nam","given":"Chang-Wook"},{"family":"Doh","given":"Joon-Hyung"},{"family":"Kim","given":"Jun Hong"},{"family":"Chae","given":"In-Ho"},{"family":"Yoon","given":"Jung-Han"},{"family":"Her","given":"Sung-Ho"},{"family":"Seung","given":"Ki-Bae"},{"family":"Chung","given":"Woo-Young"},{"family":"Yoo","given":"Sang-Yong"},{"family":"Lee","given":"Jin Bae"},{"family":"Choi","given":"Si Wan"},{"family":"Park","given":"Kyungil"},{"family":"Hong","given":"Taek Jong"},{"family":"Lee","given":"Sang Yeub"},{"family":"Han","given":"Minkyu"},{"family":"Lee","given":"Pil Hyung"},{"family":"Kang","given":"Soo-Jin"},{"family":"Lee","given":"Seung-Whan"},{"family":"Kim","given":"Young-Hak"},{"family":"Lee","given":"Cheol Whan"},{"family":"Park","given":"Seong-Wook"},{"family":"Park","given":"Seung-Jung"},{"literal":"IRIS-FFR Investigators†"}],"issued":{"date-parts":[["2017",6,6]]}}}],"schema":"https://github.com/citation-style-language/schema/raw/master/csl-citation.json"} </w:instrText>
      </w:r>
      <w:r w:rsidR="00106A32" w:rsidRPr="00EC6C19">
        <w:rPr>
          <w:rFonts w:ascii="Times New Roman" w:hAnsi="Times New Roman" w:cs="Times New Roman"/>
          <w:sz w:val="24"/>
          <w:szCs w:val="24"/>
        </w:rPr>
        <w:fldChar w:fldCharType="separate"/>
      </w:r>
      <w:r w:rsidR="00E218FC" w:rsidRPr="00EC6C19">
        <w:rPr>
          <w:rFonts w:ascii="Times New Roman" w:hAnsi="Times New Roman" w:cs="Times New Roman"/>
          <w:sz w:val="24"/>
          <w:szCs w:val="24"/>
        </w:rPr>
        <w:t xml:space="preserve">(Ahn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BA253A" w:rsidRPr="00EC6C19">
        <w:rPr>
          <w:rFonts w:ascii="Times New Roman" w:hAnsi="Times New Roman" w:cs="Times New Roman"/>
          <w:sz w:val="24"/>
          <w:szCs w:val="24"/>
        </w:rPr>
        <w:t xml:space="preserve"> In this data set, lesions </w:t>
      </w:r>
      <w:r w:rsidR="00201988" w:rsidRPr="00EC6C19">
        <w:rPr>
          <w:rFonts w:ascii="Times New Roman" w:hAnsi="Times New Roman" w:cs="Times New Roman"/>
          <w:sz w:val="24"/>
          <w:szCs w:val="24"/>
        </w:rPr>
        <w:t xml:space="preserve">with </w:t>
      </w:r>
      <w:r w:rsidR="00BA253A" w:rsidRPr="00EC6C19">
        <w:rPr>
          <w:rFonts w:ascii="Times New Roman" w:hAnsi="Times New Roman" w:cs="Times New Roman"/>
          <w:sz w:val="24"/>
          <w:szCs w:val="24"/>
        </w:rPr>
        <w:t>FFR &lt;0.75 showed significantly improved outcomes if treated with PCI compared with medical therapy. This re-iterates the findings from FAME II. Lesions above this cut off had similar outcomes if treated medically or revascularised. This is a slightly different finding to DEFER, however one appreciates this is comparing registry data to a randomised trial. Furthermore, in untreated lesions, the FFR showed an inverse linear relationship with adverse events.</w:t>
      </w:r>
    </w:p>
    <w:p w14:paraId="005198E5" w14:textId="77777777" w:rsidR="00DC11A0" w:rsidRPr="00EC6C19" w:rsidRDefault="00DC11A0" w:rsidP="000404AF">
      <w:pPr>
        <w:spacing w:line="360" w:lineRule="auto"/>
        <w:rPr>
          <w:rFonts w:ascii="Times New Roman" w:hAnsi="Times New Roman" w:cs="Times New Roman"/>
          <w:sz w:val="24"/>
          <w:szCs w:val="24"/>
        </w:rPr>
      </w:pPr>
    </w:p>
    <w:p w14:paraId="556339BF" w14:textId="77777777" w:rsidR="00BA253A" w:rsidRPr="00A00967" w:rsidRDefault="00A542B2" w:rsidP="00A00967">
      <w:pPr>
        <w:pStyle w:val="Heading3"/>
        <w:rPr>
          <w:rFonts w:ascii="Times New Roman" w:hAnsi="Times New Roman" w:cs="Times New Roman"/>
          <w:b w:val="0"/>
          <w:i/>
          <w:color w:val="auto"/>
          <w:sz w:val="24"/>
          <w:szCs w:val="24"/>
        </w:rPr>
      </w:pPr>
      <w:bookmarkStart w:id="46" w:name="_Toc80302181"/>
      <w:r>
        <w:rPr>
          <w:rFonts w:ascii="Times New Roman" w:hAnsi="Times New Roman" w:cs="Times New Roman"/>
          <w:b w:val="0"/>
          <w:i/>
          <w:color w:val="auto"/>
          <w:sz w:val="24"/>
          <w:szCs w:val="24"/>
        </w:rPr>
        <w:t xml:space="preserve">1.9.5 - </w:t>
      </w:r>
      <w:r w:rsidR="00BA253A" w:rsidRPr="00A00967">
        <w:rPr>
          <w:rFonts w:ascii="Times New Roman" w:hAnsi="Times New Roman" w:cs="Times New Roman"/>
          <w:b w:val="0"/>
          <w:i/>
          <w:color w:val="auto"/>
          <w:sz w:val="24"/>
          <w:szCs w:val="24"/>
        </w:rPr>
        <w:t>FFR in Current Clinical Guidelines</w:t>
      </w:r>
      <w:bookmarkEnd w:id="46"/>
      <w:r w:rsidR="00A00967" w:rsidRPr="00A00967">
        <w:rPr>
          <w:rFonts w:ascii="Times New Roman" w:hAnsi="Times New Roman" w:cs="Times New Roman"/>
          <w:b w:val="0"/>
          <w:i/>
          <w:color w:val="auto"/>
          <w:sz w:val="24"/>
          <w:szCs w:val="24"/>
        </w:rPr>
        <w:br/>
      </w:r>
    </w:p>
    <w:p w14:paraId="5AAB39D5" w14:textId="77777777" w:rsidR="00BA253A" w:rsidRPr="00EC6C19" w:rsidRDefault="00BA253A" w:rsidP="000404AF">
      <w:pPr>
        <w:spacing w:line="360" w:lineRule="auto"/>
        <w:rPr>
          <w:rFonts w:ascii="Times New Roman" w:hAnsi="Times New Roman" w:cs="Times New Roman"/>
          <w:i/>
          <w:sz w:val="24"/>
          <w:szCs w:val="24"/>
          <w:u w:val="single"/>
        </w:rPr>
      </w:pPr>
    </w:p>
    <w:p w14:paraId="75D68E12" w14:textId="77777777" w:rsidR="000404AF" w:rsidRPr="00EC6C19" w:rsidRDefault="000404AF" w:rsidP="000404A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European Society of Cardiology guidelines were published in 2014 and give the following guidance on FFR use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{"citationID":"x5RM689L","properties":{"formattedCitation":"(Authors/Task Force members et al., 2014)","plainCitation":"(Authors/Task Force members et al., 2014)","noteIndex":0},"citationItems":[{"id":543,"uris":["http://zotero.org/users/local/k67tNDdX/items/6WR59SS7"],"uri":["http://zotero.org/users/local/k67tNDdX/items/6WR59SS7"],"itemData":{"id":543,"type":"article-journal","container-title":"European Heart Journal","DOI":"10.1093/eurheartj/ehu278","ISSN":"1522-9645","issue":"37","journalAbbreviation":"Eur. Heart J.","language":"eng","note":"PMID: 25173339","page":"2541-2619","source":"PubMed","title":"2014 ESC/EACTS Guidelines on myocardial revascularization: The Task Force on Myocardial Revascularization of the European Society of Cardiology (ESC) and the European Association for Cardio-Thoracic Surgery (EACTS)Developed with the special contribution of the European Association of Percutaneous Cardiovascular Interventions (EAPCI)","title-short":"2014 ESC/EACTS Guidelines on myocardial revascularization","volume":"35","author":[{"literal":"Authors/Task Force members"},{"family":"Windecker","given":"Stephan"},{"family":"Kolh","given":"Philippe"},{"family":"Alfonso","given":"Fernando"},{"family":"Collet","given":"Jean-Philippe"},{"family":"Cremer","given":"Jochen"},{"family":"Falk","given":"Volkmar"},{"family":"Filippatos","given":"Gerasimos"},{"family":"Hamm","given":"Christian"},{"family":"Head","given":"Stuart J."},{"family":"Jüni","given":"Peter"},{"family":"Kappetein","given":"A. Pieter"},{"family":"Kastrati","given":"Adnan"},{"family":"Knuuti","given":"Juhani"},{"family":"Landmesser","given":"Ulf"},{"family":"Laufer","given":"Günther"},{"family":"Neumann","given":"Franz-Josef"},{"family":"Richter","given":"Dimitrios J."},{"family":"Schauerte","given":"Patrick"},{"family":"Sousa Uva","given":"Miguel"},{"family":"Stefanini","given":"Giulio G."},{"family":"Taggart","given":"David Paul"},{"family":"Torracca","given":"Lucia"},{"family":"Valgimigli","given":"Marco"},{"family":"Wijns","given":"William"},{"family":"Witkowski","given":"Adam"}],"issued":{"date-parts":[["2014",10,1]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(A</w:t>
      </w:r>
      <w:r w:rsidR="00B16605" w:rsidRPr="00EC6C19">
        <w:rPr>
          <w:rFonts w:ascii="Times New Roman" w:hAnsi="Times New Roman" w:cs="Times New Roman"/>
          <w:sz w:val="24"/>
          <w:szCs w:val="24"/>
        </w:rPr>
        <w:t xml:space="preserve">uthors/Task Force members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431545BF" w14:textId="77777777" w:rsidR="000404AF" w:rsidRPr="00EC6C19" w:rsidRDefault="000404AF" w:rsidP="000404AF">
      <w:pPr>
        <w:pStyle w:val="ListParagraph"/>
        <w:numPr>
          <w:ilvl w:val="0"/>
          <w:numId w:val="6"/>
        </w:numPr>
        <w:spacing w:line="360" w:lineRule="auto"/>
        <w:rPr>
          <w:rFonts w:ascii="Times New Roman" w:hAnsi="Times New Roman" w:cs="Times New Roman"/>
          <w:sz w:val="24"/>
          <w:szCs w:val="24"/>
        </w:rPr>
      </w:pPr>
      <w:r w:rsidRPr="00EC6C19">
        <w:rPr>
          <w:rFonts w:ascii="Times New Roman" w:hAnsi="Times New Roman" w:cs="Times New Roman"/>
          <w:sz w:val="24"/>
          <w:szCs w:val="24"/>
        </w:rPr>
        <w:t>FFR assessment for moderate coronary stenoses are indicated</w:t>
      </w:r>
      <w:r w:rsidR="003C7B07" w:rsidRPr="00EC6C19">
        <w:rPr>
          <w:rFonts w:ascii="Times New Roman" w:hAnsi="Times New Roman" w:cs="Times New Roman"/>
          <w:sz w:val="24"/>
          <w:szCs w:val="24"/>
        </w:rPr>
        <w:t xml:space="preserve"> to measure functional consequences</w:t>
      </w:r>
    </w:p>
    <w:p w14:paraId="222177F2" w14:textId="77777777" w:rsidR="000404AF" w:rsidRPr="00EC6C19" w:rsidRDefault="000404AF" w:rsidP="000404AF">
      <w:pPr>
        <w:pStyle w:val="ListParagraph"/>
        <w:numPr>
          <w:ilvl w:val="0"/>
          <w:numId w:val="6"/>
        </w:numPr>
        <w:spacing w:line="360" w:lineRule="auto"/>
        <w:rPr>
          <w:rFonts w:ascii="Times New Roman" w:hAnsi="Times New Roman" w:cs="Times New Roman"/>
          <w:sz w:val="24"/>
          <w:szCs w:val="24"/>
        </w:rPr>
      </w:pPr>
      <w:r w:rsidRPr="00EC6C19">
        <w:rPr>
          <w:rFonts w:ascii="Times New Roman" w:hAnsi="Times New Roman" w:cs="Times New Roman"/>
          <w:sz w:val="24"/>
          <w:szCs w:val="24"/>
        </w:rPr>
        <w:t>Deferral of revascularisation with an FFR &gt;0.8 appears safe</w:t>
      </w:r>
    </w:p>
    <w:p w14:paraId="7903444B" w14:textId="77777777" w:rsidR="000404AF" w:rsidRPr="00EC6C19" w:rsidRDefault="000404AF" w:rsidP="000404AF">
      <w:pPr>
        <w:pStyle w:val="ListParagraph"/>
        <w:numPr>
          <w:ilvl w:val="0"/>
          <w:numId w:val="6"/>
        </w:numPr>
        <w:spacing w:line="360" w:lineRule="auto"/>
        <w:rPr>
          <w:rFonts w:ascii="Times New Roman" w:hAnsi="Times New Roman" w:cs="Times New Roman"/>
          <w:sz w:val="24"/>
          <w:szCs w:val="24"/>
        </w:rPr>
      </w:pPr>
      <w:r w:rsidRPr="00EC6C19">
        <w:rPr>
          <w:rFonts w:ascii="Times New Roman" w:hAnsi="Times New Roman" w:cs="Times New Roman"/>
          <w:sz w:val="24"/>
          <w:szCs w:val="24"/>
        </w:rPr>
        <w:t>FFR guided PCI and OMT is superior to OMT alone with regards to need for urgent revascularisation</w:t>
      </w:r>
    </w:p>
    <w:p w14:paraId="0D5FF918" w14:textId="77777777" w:rsidR="00977CA6" w:rsidRPr="00EC6C19" w:rsidRDefault="00977CA6">
      <w:pPr>
        <w:pStyle w:val="ListParagraph"/>
        <w:spacing w:line="360" w:lineRule="auto"/>
        <w:rPr>
          <w:rFonts w:ascii="Times New Roman" w:hAnsi="Times New Roman" w:cs="Times New Roman"/>
          <w:sz w:val="24"/>
          <w:szCs w:val="24"/>
        </w:rPr>
      </w:pPr>
    </w:p>
    <w:p w14:paraId="35E3CD55" w14:textId="77777777" w:rsidR="000404AF" w:rsidRPr="00EC6C19" w:rsidRDefault="003C7B07" w:rsidP="000404A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American guidelines, updated in 2017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{"citationID":"y1w7aVb9","properties":{"formattedCitation":"(Patel et al., 2017)","plainCitation":"(Patel et al., 2017)","noteIndex":0},"citationItems":[{"id":545,"uris":["http://zotero.org/users/local/k67tNDdX/items/F7DWUZC3"],"uri":["http://zotero.org/users/local/k67tNDdX/items/F7DWUZC3"],"itemData":{"id":545,"type":"article-journal","container-title":"Journal of the American College of Cardiology","DOI":"10.1016/j.jacc.2017.02.001","ISSN":"1558-3597","issue":"17","journalAbbreviation":"J. Am. Coll. Cardiol.","language":"eng","note":"PMID: 28291663","page":"2212-2241","source":"PubMed","title":"ACC/AATS/AHA/ASE/ASNC/SCAI/SCCT/STS 2017 Appropriate Use Criteria for Coronary Revascularization in Patients With Stable Ischemic Heart Disease: A Report of the American College of Cardiology Appropriate Use Criteria Task Force, American Association for Thoracic Surgery, American Heart Association, American Society of Echocardiography, American Society of Nuclear Cardiology, Society for Cardiovascular Angiography and Interventions, Society of Cardiovascular Computed Tomography, and Society of Thoracic Surgeons","title-short":"ACC/AATS/AHA/ASE/ASNC/SCAI/SCCT/STS 2017 Appropriate Use Criteria for Coronary Revascularization in Patients With Stable Ischemic Heart Disease","volume":"69","author":[{"family":"Patel","given":"Manesh R."},{"family":"Calhoon","given":"John H."},{"family":"Dehmer","given":"Gregory J."},{"family":"Grantham","given":"James Aaron"},{"family":"Maddox","given":"Thomas M."},{"family":"Maron","given":"David J."},{"family":"Smith","given":"Peter K."}],"issued":{"date-parts":[["2017",5,2]]}}}],"schema":"https://github.com/citation-style-language/schema/raw/master/csl-citation.json"}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(Patel et al., 2017)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suggest;</w:t>
      </w:r>
    </w:p>
    <w:p w14:paraId="7F4917E2" w14:textId="77777777" w:rsidR="003C7B07" w:rsidRPr="00EC6C19" w:rsidRDefault="003C7B07" w:rsidP="003C7B07">
      <w:pPr>
        <w:pStyle w:val="ListParagraph"/>
        <w:numPr>
          <w:ilvl w:val="0"/>
          <w:numId w:val="7"/>
        </w:num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FFR may be helpful in defining the need for </w:t>
      </w:r>
      <w:r w:rsidR="009F7EAF" w:rsidRPr="00EC6C19">
        <w:rPr>
          <w:rFonts w:ascii="Times New Roman" w:hAnsi="Times New Roman" w:cs="Times New Roman"/>
          <w:sz w:val="24"/>
          <w:szCs w:val="24"/>
        </w:rPr>
        <w:t>revascularisation</w:t>
      </w:r>
    </w:p>
    <w:p w14:paraId="3226296C" w14:textId="77777777" w:rsidR="003C7B07" w:rsidRPr="00EC6C19" w:rsidRDefault="003C7B07" w:rsidP="003C7B07">
      <w:pPr>
        <w:pStyle w:val="ListParagraph"/>
        <w:numPr>
          <w:ilvl w:val="0"/>
          <w:numId w:val="7"/>
        </w:numPr>
        <w:spacing w:line="360" w:lineRule="auto"/>
        <w:rPr>
          <w:rFonts w:ascii="Times New Roman" w:hAnsi="Times New Roman" w:cs="Times New Roman"/>
          <w:sz w:val="24"/>
          <w:szCs w:val="24"/>
        </w:rPr>
      </w:pPr>
      <w:r w:rsidRPr="00EC6C19">
        <w:rPr>
          <w:rFonts w:ascii="Times New Roman" w:hAnsi="Times New Roman" w:cs="Times New Roman"/>
          <w:sz w:val="24"/>
          <w:szCs w:val="24"/>
        </w:rPr>
        <w:t>FFR &lt;0.8 is consistent with ischaemia</w:t>
      </w:r>
    </w:p>
    <w:p w14:paraId="7D0FD27F" w14:textId="77777777" w:rsidR="009F7EAF" w:rsidRPr="0006539A" w:rsidRDefault="009F7EAF" w:rsidP="0006539A">
      <w:pPr>
        <w:pStyle w:val="ListParagraph"/>
        <w:numPr>
          <w:ilvl w:val="0"/>
          <w:numId w:val="7"/>
        </w:numPr>
        <w:spacing w:line="360" w:lineRule="auto"/>
        <w:rPr>
          <w:rFonts w:ascii="Times New Roman" w:hAnsi="Times New Roman" w:cs="Times New Roman"/>
          <w:sz w:val="24"/>
          <w:szCs w:val="24"/>
        </w:rPr>
      </w:pPr>
      <w:r w:rsidRPr="00EC6C19">
        <w:rPr>
          <w:rFonts w:ascii="Times New Roman" w:hAnsi="Times New Roman" w:cs="Times New Roman"/>
          <w:sz w:val="24"/>
          <w:szCs w:val="24"/>
        </w:rPr>
        <w:t>FFR should be used in lesions with a di</w:t>
      </w:r>
      <w:r w:rsidRPr="0006539A">
        <w:rPr>
          <w:rFonts w:ascii="Times New Roman" w:hAnsi="Times New Roman" w:cs="Times New Roman"/>
          <w:sz w:val="24"/>
          <w:szCs w:val="24"/>
        </w:rPr>
        <w:t>ameter stenosis of 50-90%</w:t>
      </w:r>
    </w:p>
    <w:p w14:paraId="630B502A" w14:textId="77777777" w:rsidR="009F7EAF" w:rsidRDefault="009F7EAF" w:rsidP="009F7EAF">
      <w:pPr>
        <w:spacing w:line="360" w:lineRule="auto"/>
        <w:rPr>
          <w:rFonts w:ascii="Times New Roman" w:hAnsi="Times New Roman" w:cs="Times New Roman"/>
          <w:sz w:val="24"/>
          <w:szCs w:val="24"/>
        </w:rPr>
      </w:pPr>
    </w:p>
    <w:p w14:paraId="440F492D" w14:textId="77777777" w:rsidR="0006539A" w:rsidRPr="00EC6C19" w:rsidRDefault="0006539A" w:rsidP="009F7EAF">
      <w:pPr>
        <w:spacing w:line="360" w:lineRule="auto"/>
        <w:rPr>
          <w:rFonts w:ascii="Times New Roman" w:hAnsi="Times New Roman" w:cs="Times New Roman"/>
          <w:sz w:val="24"/>
          <w:szCs w:val="24"/>
        </w:rPr>
      </w:pPr>
    </w:p>
    <w:p w14:paraId="19772F19" w14:textId="77777777" w:rsidR="009F7EAF" w:rsidRPr="00A00967" w:rsidRDefault="00A542B2" w:rsidP="00A00967">
      <w:pPr>
        <w:pStyle w:val="Heading3"/>
        <w:rPr>
          <w:rFonts w:ascii="Times New Roman" w:hAnsi="Times New Roman" w:cs="Times New Roman"/>
          <w:b w:val="0"/>
          <w:i/>
          <w:color w:val="auto"/>
          <w:sz w:val="24"/>
          <w:szCs w:val="24"/>
        </w:rPr>
      </w:pPr>
      <w:bookmarkStart w:id="47" w:name="_Toc80302182"/>
      <w:r>
        <w:rPr>
          <w:rFonts w:ascii="Times New Roman" w:hAnsi="Times New Roman" w:cs="Times New Roman"/>
          <w:b w:val="0"/>
          <w:i/>
          <w:color w:val="auto"/>
          <w:sz w:val="24"/>
          <w:szCs w:val="24"/>
        </w:rPr>
        <w:lastRenderedPageBreak/>
        <w:t xml:space="preserve">1.9.6 - </w:t>
      </w:r>
      <w:r w:rsidR="009600A1" w:rsidRPr="00A00967">
        <w:rPr>
          <w:rFonts w:ascii="Times New Roman" w:hAnsi="Times New Roman" w:cs="Times New Roman"/>
          <w:b w:val="0"/>
          <w:i/>
          <w:color w:val="auto"/>
          <w:sz w:val="24"/>
          <w:szCs w:val="24"/>
        </w:rPr>
        <w:t>FFR Use in Acute Coronary Syndrome</w:t>
      </w:r>
      <w:bookmarkEnd w:id="47"/>
      <w:r w:rsidR="00A00967" w:rsidRPr="00A00967">
        <w:rPr>
          <w:rFonts w:ascii="Times New Roman" w:hAnsi="Times New Roman" w:cs="Times New Roman"/>
          <w:b w:val="0"/>
          <w:i/>
          <w:color w:val="auto"/>
          <w:sz w:val="24"/>
          <w:szCs w:val="24"/>
        </w:rPr>
        <w:br/>
      </w:r>
    </w:p>
    <w:p w14:paraId="0C568D34" w14:textId="77777777" w:rsidR="009600A1" w:rsidRPr="00EC6C19" w:rsidRDefault="009600A1" w:rsidP="009F7EAF">
      <w:pPr>
        <w:spacing w:line="360" w:lineRule="auto"/>
        <w:rPr>
          <w:rFonts w:ascii="Times New Roman" w:hAnsi="Times New Roman" w:cs="Times New Roman"/>
          <w:sz w:val="24"/>
          <w:szCs w:val="24"/>
        </w:rPr>
      </w:pPr>
    </w:p>
    <w:p w14:paraId="6F73C36D" w14:textId="77777777" w:rsidR="009F7EAF" w:rsidRPr="00EC6C19" w:rsidRDefault="005264BD" w:rsidP="00E546CF">
      <w:pPr>
        <w:spacing w:line="360" w:lineRule="auto"/>
        <w:rPr>
          <w:rFonts w:ascii="Times New Roman" w:hAnsi="Times New Roman" w:cs="Times New Roman"/>
          <w:sz w:val="24"/>
          <w:szCs w:val="24"/>
        </w:rPr>
      </w:pPr>
      <w:r w:rsidRPr="00EC6C19">
        <w:rPr>
          <w:rFonts w:ascii="Times New Roman" w:hAnsi="Times New Roman" w:cs="Times New Roman"/>
          <w:sz w:val="24"/>
          <w:szCs w:val="24"/>
        </w:rPr>
        <w:t>E</w:t>
      </w:r>
      <w:r w:rsidR="009600A1" w:rsidRPr="00EC6C19">
        <w:rPr>
          <w:rFonts w:ascii="Times New Roman" w:hAnsi="Times New Roman" w:cs="Times New Roman"/>
          <w:sz w:val="24"/>
          <w:szCs w:val="24"/>
        </w:rPr>
        <w:t>arly data was predominantly in stable presentations of chest pain.</w:t>
      </w:r>
      <w:r w:rsidR="00E00612" w:rsidRPr="00EC6C19">
        <w:rPr>
          <w:rFonts w:ascii="Times New Roman" w:hAnsi="Times New Roman" w:cs="Times New Roman"/>
          <w:sz w:val="24"/>
          <w:szCs w:val="24"/>
        </w:rPr>
        <w:t xml:space="preserve"> </w:t>
      </w:r>
      <w:r w:rsidR="002146FC" w:rsidRPr="00EC6C19">
        <w:rPr>
          <w:rFonts w:ascii="Times New Roman" w:hAnsi="Times New Roman" w:cs="Times New Roman"/>
          <w:sz w:val="24"/>
          <w:szCs w:val="24"/>
        </w:rPr>
        <w:t>FFR measurement at the time of acute myocardial infarction, is invalid, due to microvascular dysfunction, and falsely raised FFR values</w:t>
      </w:r>
      <w:r w:rsidR="00B87EF8"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B87EF8" w:rsidRPr="00EC6C19">
        <w:rPr>
          <w:rFonts w:ascii="Times New Roman" w:hAnsi="Times New Roman" w:cs="Times New Roman"/>
          <w:sz w:val="24"/>
          <w:szCs w:val="24"/>
        </w:rPr>
        <w:instrText xml:space="preserve"> ADDIN ZOTERO_ITEM CSL_CITATION {"citationID":"WgpZaT9R","properties":{"formattedCitation":"(Claeys et al., 2001)","plainCitation":"(Claeys et al., 2001)","noteIndex":0},"citationItems":[{"id":825,"uris":["http://zotero.org/users/local/k67tNDdX/items/QVV9PJ4A"],"uri":["http://zotero.org/users/local/k67tNDdX/items/QVV9PJ4A"],"itemData":{"id":825,"type":"article-journal","abstract":"Fractional flow reserve (FFR) has been applied with success as a lesion-specific functional indicator of stenosis severity, at least in patients with normal microcirculation. This study sought to assess the reliability of FFR calculations in patients with associated microvascular dysfunction (e.g., post myocardial infarction, or post-MI). First, the effect of coronary flow changes on translesional pressure gradient was assessed. Therefore, intracoronary pressure and flow was recorded simultaneously across 19 non–infarct-related lesions (both pre- and postinterventional lesions with a mean diameter stenosis of 47% ± 12%). Measurements were performed by means of a pressure and Doppler wire during maximal hyperemia and also during submaximal hyperemia induced by low-dose adenosine. The drop of coronary flow from 48 ± 23 ml/min during maximal hyperemia to 36 ± 18 ml/min during submaximal hyperemia was associated with a small decrease in translesional pressure gradient (from 22 ± 12 mm Hg to 19 ± 12 mm Hg; P = 0.02) and a small increase in the mean distal/arterial pressure ratio (Pd/Pa) going from 77% ± 11% to 81% ± 11% (P = 0.003). Then, intracoronary pressure and flow measurements were compared across 21 non–infarct-related lesions vs. 22 matched infarct-related lesions. For a similar angiographic stenosis severity (% DS = ± 44%), maximal flow was 48 ± 22 ml/min in the non-infarct arteries and 37 ± 26 ml/min in the infarct arteries (P = 0.03), confirming the presence of severe microvascular dysfunction in infarct regions. Similar to the earlier findings, this hyperemic flow reduction in MI patients was associated with a small increase of FFR (= Pd/Pa): 79% ± 12% in no MI vs. 83% ± 12% in MI patients (P = 0.3). A reduction of hyperemic flow by + 5%, such as can be found in patients with severely impaired microvascular function, has a limited effect on FFR calculations (+ 5%). This finding allows the application of standard FFR calculations in a more general population of ischemic heart disease, including patients with recent MI. Cathet Cardiovasc Intervent 2001;54:427–434. © 2001 Wiley-Liss, Inc.","container-title":"Catheterization and Cardiovascular Interventions","DOI":"10.1002/ccd.2005","ISSN":"1522-726X","issue":"4","language":"en","page":"427-434","source":"Wiley Online Library","title":"Reliability of fractional flow reserve measurements in patients with associated microvascular dysfunction: Importance of flow on translesional pressure gradient","title-short":"Reliability of fractional flow reserve measurements in patients with associated microvascular dysfunction","volume":"54","author":[{"family":"Claeys","given":"Marc J."},{"family":"Bosmans","given":"Johan M."},{"family":"Hendrix","given":"Johan"},{"family":"Vrints","given":"Chris J."}],"issued":{"date-parts":[["2001"]]}}}],"schema":"https://github.com/citation-style-language/schema/raw/master/csl-citation.json"} </w:instrText>
      </w:r>
      <w:r w:rsidR="00106A32" w:rsidRPr="00EC6C19">
        <w:rPr>
          <w:rFonts w:ascii="Times New Roman" w:hAnsi="Times New Roman" w:cs="Times New Roman"/>
          <w:sz w:val="24"/>
          <w:szCs w:val="24"/>
        </w:rPr>
        <w:fldChar w:fldCharType="separate"/>
      </w:r>
      <w:r w:rsidR="00B87EF8" w:rsidRPr="00EC6C19">
        <w:rPr>
          <w:rFonts w:ascii="Times New Roman" w:hAnsi="Times New Roman" w:cs="Times New Roman"/>
          <w:sz w:val="24"/>
          <w:szCs w:val="24"/>
        </w:rPr>
        <w:t xml:space="preserve">(Claeys </w:t>
      </w:r>
      <w:r w:rsidR="00B22321" w:rsidRPr="00EC6C19">
        <w:rPr>
          <w:rFonts w:ascii="Times New Roman" w:hAnsi="Times New Roman" w:cs="Times New Roman"/>
          <w:sz w:val="24"/>
          <w:szCs w:val="24"/>
        </w:rPr>
        <w:t>et al.,</w:t>
      </w:r>
      <w:r w:rsidR="00B87EF8" w:rsidRPr="00EC6C19">
        <w:rPr>
          <w:rFonts w:ascii="Times New Roman" w:hAnsi="Times New Roman" w:cs="Times New Roman"/>
          <w:sz w:val="24"/>
          <w:szCs w:val="24"/>
        </w:rPr>
        <w:t xml:space="preserve"> 2001)</w:t>
      </w:r>
      <w:r w:rsidR="00106A32" w:rsidRPr="00EC6C19">
        <w:rPr>
          <w:rFonts w:ascii="Times New Roman" w:hAnsi="Times New Roman" w:cs="Times New Roman"/>
          <w:sz w:val="24"/>
          <w:szCs w:val="24"/>
        </w:rPr>
        <w:fldChar w:fldCharType="end"/>
      </w:r>
      <w:r w:rsidR="002146FC" w:rsidRPr="00EC6C19">
        <w:rPr>
          <w:rFonts w:ascii="Times New Roman" w:hAnsi="Times New Roman" w:cs="Times New Roman"/>
          <w:sz w:val="24"/>
          <w:szCs w:val="24"/>
        </w:rPr>
        <w:t xml:space="preserve">. </w:t>
      </w:r>
      <w:r w:rsidR="00E546CF" w:rsidRPr="00EC6C19">
        <w:rPr>
          <w:rFonts w:ascii="Times New Roman" w:hAnsi="Times New Roman" w:cs="Times New Roman"/>
          <w:sz w:val="24"/>
          <w:szCs w:val="24"/>
        </w:rPr>
        <w:t>Microvascular dysfunction causes a reduction in flow through the culprit artery, and in turn reduces the pressure gradient across a stenosis. This leads to an underestimation in FFR, and hence invalidates its use.</w:t>
      </w:r>
    </w:p>
    <w:p w14:paraId="471D2E00" w14:textId="722D0530" w:rsidR="00E546CF" w:rsidRPr="00EC6C19" w:rsidRDefault="00E546CF" w:rsidP="00E546C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Use of FFR in </w:t>
      </w:r>
      <w:r w:rsidR="00183ADF" w:rsidRPr="00EC6C19">
        <w:rPr>
          <w:rFonts w:ascii="Times New Roman" w:hAnsi="Times New Roman" w:cs="Times New Roman"/>
          <w:sz w:val="24"/>
          <w:szCs w:val="24"/>
        </w:rPr>
        <w:t>non</w:t>
      </w:r>
      <w:r w:rsidR="00183ADF">
        <w:rPr>
          <w:rFonts w:ascii="Times New Roman" w:hAnsi="Times New Roman" w:cs="Times New Roman"/>
          <w:sz w:val="24"/>
          <w:szCs w:val="24"/>
        </w:rPr>
        <w:t>-</w:t>
      </w:r>
      <w:r w:rsidRPr="00EC6C19">
        <w:rPr>
          <w:rFonts w:ascii="Times New Roman" w:hAnsi="Times New Roman" w:cs="Times New Roman"/>
          <w:sz w:val="24"/>
          <w:szCs w:val="24"/>
        </w:rPr>
        <w:t xml:space="preserve">culprit arteries during STEMI is still an </w:t>
      </w:r>
      <w:r w:rsidR="00190DD2" w:rsidRPr="00EC6C19">
        <w:rPr>
          <w:rFonts w:ascii="Times New Roman" w:hAnsi="Times New Roman" w:cs="Times New Roman"/>
          <w:sz w:val="24"/>
          <w:szCs w:val="24"/>
        </w:rPr>
        <w:t>area of fierce debate. DANAMI-3-</w:t>
      </w:r>
      <w:r w:rsidRPr="00EC6C19">
        <w:rPr>
          <w:rFonts w:ascii="Times New Roman" w:hAnsi="Times New Roman" w:cs="Times New Roman"/>
          <w:sz w:val="24"/>
          <w:szCs w:val="24"/>
        </w:rPr>
        <w:t>PRIMULTI was a study conducted in the context of non-culprit coronary artery disease, treated based on FFR guidance at the index admission of a STEMI</w:t>
      </w:r>
      <w:r w:rsidR="00190DD2" w:rsidRPr="00EC6C19">
        <w:rPr>
          <w:rFonts w:ascii="Times New Roman" w:hAnsi="Times New Roman" w:cs="Times New Roman"/>
          <w:sz w:val="24"/>
          <w:szCs w:val="24"/>
        </w:rPr>
        <w:t>, versus treatment of the culprit only</w:t>
      </w:r>
      <w:r w:rsidR="00E218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{"citationID":"PRzlsXgh","properties":{"formattedCitation":"(Engstr\\uc0\\u248{}m et al., 2015)","plainCitation":"(Engstrøm et al., 2015)","noteIndex":0},"citationItems":[{"id":549,"uris":["http://zotero.org/users/local/k67tNDdX/items/3WS8WLCJ"],"uri":["http://zotero.org/users/local/k67tNDdX/items/3WS8WLCJ"],"itemData":{"id":549,"type":"article-journal","abstract":"BACKGROUND: Patients with acute ST-segment elevation myocardial infarction (STEMI) and multivessel coronary disease have a worse prognosis compared with individuals with single-vessel disease. We aimed to study the clinical outcome of patients with STEMI treated with fractional flow reserve (FFR)-guided complete revascularisation versus treatment of the infarct-related artery only.\nMETHODS: We undertook an open-label, randomised controlled trial at two university hospitals in Denmark. Patients presenting with STEMI who had one or more clinically significant coronary stenosis in addition to the lesion in the infarct-related artery were included. After successful percutaneous coronary intervention (PCI) of the infarct-related artery, patients were randomly allocated (in a 1:1 ratio) either no further invasive treatment or complete FFR-guided revascularisation before discharge. Randomisation was done electronically via a web-based system in permuted blocks of varying size by the clinician who did the primary PCI. All patients received best medical treatment. The primary endpoint was a composite of all-cause mortality, non-fatal reinfarction, and ischaemia-driven revascularization of lesions in non-infarct-related arteries and was assessed when the last enrolled patient had been followed up for 1 year. Analysis was on an intention-to-treat basis. This trial is registered with ClinicalTrials.gov, number NCT01960933.\nFINDINGS: From March, 2011, to February, 2014, we enrolled 627 patients to the trial; 313 were allocated no further invasive treatment after primary PCI of the infarct-related artery only and 314 were assigned complete revascularization guided by FFR values. Median follow-up was 27 months (range 12–44 months). Events comprising the primary endpoint were recorded in 68 (22%) patients who had PCI of the infarct-related artery only and in 40 (13%) patients who had complete revascularisation (hazard ratio 0∙56, 95% CI 0∙38–0∙83; p=0∙004).\nINTERPRETATION: In patients with STEMI and multivessel disease, complete revascularisation guided by FFR measurements significantly reduces the risk of future events compared with no further invasive intervention after primary PCI. This effect is driven by significantly fewer repeat revascularisations, because all-cause mortality and non-fatal reinfarction did not differ between groups. Thus, to avoid repeat revascularisation, patients can safely have all their lesions treated during the index admission. Future studies should clarify whether complete revascularization should be done acutely during the index procedure or at later time and whether it has an effect on hard endpoints.\nFUNDING: Danish Agency for Science, Technology and Innovation and Danish Council for Strategic Research.","container-title":"Lancet (London, England)","ISSN":"1474-547X","issue":"9994","journalAbbreviation":"Lancet","language":"eng","note":"PMID: 26347918","page":"665-671","source":"PubMed","title":"Complete revascularisation versus treatment of the culprit   lesion only in patients with ST-segment elevation myocardial   infarction and multivessel disease (DANAMI-3—PRIMULTI):   an open-label, randomised controlled trial","title-short":"Complete revascularisation versus treatment of the culprit   lesion only in patients with ST-segment elevation myocardial   infarction and multivessel disease (DANAMI-3—PRIMULTI)","volume":"386","author":[{"family":"Engstrøm","given":"Thomas"},{"family":"Kelbæk","given":"Henning"},{"family":"Helqvist","given":"Steffen"},{"family":"Høfsten","given":"Dan Eik"},{"family":"Kløvgaard","given":"Lene"},{"family":"Holmvang","given":"Lene"},{"family":"Jørgensen","given":"Erik"},{"family":"Pedersen","given":"Frants"},{"family":"Saunamäki","given":"Kari"},{"family":"Clemmensen","given":"Peter"},{"family":"De Backer","given":"Ole"},{"family":"Ravkilde","given":"Jan"},{"family":"Tilsted","given":"Hans-Henrik"},{"family":"Villadsen","given":"Anton Boel"},{"family":"Aarøe","given":"Jens"},{"family":"Jensen","given":"Svend Eggert"},{"family":"Raungaard","given":"Bent"},{"family":"Køber","given":"Lars"},{"literal":"DANAMI-3—PRIMULTI Investigators"}],"issued":{"date-parts":[["2015",8,15]]}}}],"schema":"https://github.com/citation-style-language/schema/raw/master/csl-citation.json"}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 xml:space="preserve">(Engstrøm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2015)</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Patients who had complete revascularisation based on FFR </w:t>
      </w:r>
      <w:r w:rsidR="00190DD2" w:rsidRPr="00EC6C19">
        <w:rPr>
          <w:rFonts w:ascii="Times New Roman" w:hAnsi="Times New Roman" w:cs="Times New Roman"/>
          <w:sz w:val="24"/>
          <w:szCs w:val="24"/>
        </w:rPr>
        <w:t>had a significant reduction in the need for repeat revascularisation.</w:t>
      </w:r>
    </w:p>
    <w:p w14:paraId="457A8426" w14:textId="77777777" w:rsidR="00190DD2" w:rsidRPr="00EC6C19" w:rsidRDefault="00190DD2" w:rsidP="00E546C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Compare-Acute study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{"citationID":"ICrwW65u","properties":{"formattedCitation":"(Chin et al., 2017)","plainCitation":"(Chin et al., 2017)","noteIndex":0},"citationItems":[{"id":551,"uris":["http://zotero.org/users/local/k67tNDdX/items/P65UU2V7"],"uri":["http://zotero.org/users/local/k67tNDdX/items/P65UU2V7"],"itemData":{"id":551,"type":"article-journal","container-title":"EuroIntervention: Journal of EuroPCR in Collaboration with the Working Group on Interventional Cardiology of the European Society of Cardiology","DOI":"10.4244/EIJV13I5A96","ISSN":"1969-6213","issue":"5","journalAbbreviation":"EuroIntervention","language":"eng","note":"PMID: 28781251","page":"e613-e616","source":"PubMed","title":"The Compare-Acute trial of fractional flow reserve-guided multivessel angioplasty in myocardial infarction","volume":"13","author":[{"family":"Chin","given":"Chee Tang"},{"family":"L'Allier","given":"Philippe"},{"family":"Neumann","given":"Franz-Josef"},{"family":"Engstrøm","given":"Thomas"},{"family":"Jüni","given":"Peter"},{"family":"Olivecrona","given":"Goran K."}],"issued":{"date-parts":[["2017",8,4]]}}}],"schema":"https://github.com/citation-style-language/schema/raw/master/csl-citation.json"} </w:instrText>
      </w:r>
      <w:r w:rsidR="00106A32" w:rsidRPr="00EC6C19">
        <w:rPr>
          <w:rFonts w:ascii="Times New Roman" w:hAnsi="Times New Roman" w:cs="Times New Roman"/>
          <w:sz w:val="24"/>
          <w:szCs w:val="24"/>
        </w:rPr>
        <w:fldChar w:fldCharType="separate"/>
      </w:r>
      <w:r w:rsidR="00E218FC" w:rsidRPr="00EC6C19">
        <w:rPr>
          <w:rFonts w:ascii="Times New Roman" w:hAnsi="Times New Roman" w:cs="Times New Roman"/>
          <w:sz w:val="24"/>
          <w:szCs w:val="24"/>
        </w:rPr>
        <w:t xml:space="preserve">(Chin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had a very similar study design to DANAMI-3-PRIMULTI, and showed similar results with a reduction in MACE, driven mostly by reduced revascularisation in the FFR guided PCI group. Interestingly, investigators also found that nearly half of lesions deemed significant on angiography, were physiologically negative when assessed by FFR. This supports the concept that FFR reduces unnecessary revascularisation when used to aid treatment decision.</w:t>
      </w:r>
    </w:p>
    <w:p w14:paraId="082C90F5" w14:textId="77777777" w:rsidR="00CA5D03" w:rsidRPr="00EC6C19" w:rsidRDefault="00CA5D03" w:rsidP="00972974">
      <w:pPr>
        <w:spacing w:line="360" w:lineRule="auto"/>
        <w:rPr>
          <w:rFonts w:ascii="Times New Roman" w:hAnsi="Times New Roman" w:cs="Times New Roman"/>
          <w:sz w:val="24"/>
          <w:szCs w:val="24"/>
        </w:rPr>
      </w:pPr>
    </w:p>
    <w:p w14:paraId="30C1B0BD" w14:textId="77777777" w:rsidR="002C1E1F" w:rsidRPr="00A542B2" w:rsidRDefault="00A542B2" w:rsidP="00A542B2">
      <w:pPr>
        <w:pStyle w:val="Heading2"/>
        <w:rPr>
          <w:rFonts w:ascii="Times New Roman" w:hAnsi="Times New Roman" w:cs="Times New Roman"/>
          <w:color w:val="auto"/>
          <w:sz w:val="24"/>
          <w:szCs w:val="24"/>
        </w:rPr>
      </w:pPr>
      <w:bookmarkStart w:id="48" w:name="_Toc80302183"/>
      <w:r>
        <w:rPr>
          <w:rFonts w:ascii="Times New Roman" w:hAnsi="Times New Roman" w:cs="Times New Roman"/>
          <w:color w:val="auto"/>
          <w:sz w:val="24"/>
          <w:szCs w:val="24"/>
        </w:rPr>
        <w:t xml:space="preserve">1.10 - </w:t>
      </w:r>
      <w:r w:rsidR="006549CF" w:rsidRPr="00A542B2">
        <w:rPr>
          <w:rFonts w:ascii="Times New Roman" w:hAnsi="Times New Roman" w:cs="Times New Roman"/>
          <w:color w:val="auto"/>
          <w:sz w:val="24"/>
          <w:szCs w:val="24"/>
        </w:rPr>
        <w:t>Resting Indices</w:t>
      </w:r>
      <w:bookmarkEnd w:id="48"/>
      <w:r w:rsidR="00A00967" w:rsidRPr="00A542B2">
        <w:rPr>
          <w:rFonts w:ascii="Times New Roman" w:hAnsi="Times New Roman" w:cs="Times New Roman"/>
          <w:color w:val="auto"/>
          <w:sz w:val="24"/>
          <w:szCs w:val="24"/>
        </w:rPr>
        <w:br/>
      </w:r>
    </w:p>
    <w:p w14:paraId="11A6232C" w14:textId="77777777" w:rsidR="002C1E1F" w:rsidRPr="00EC6C19" w:rsidRDefault="002C1E1F" w:rsidP="00972974">
      <w:pPr>
        <w:spacing w:line="360" w:lineRule="auto"/>
        <w:rPr>
          <w:rFonts w:ascii="Times New Roman" w:hAnsi="Times New Roman" w:cs="Times New Roman"/>
          <w:sz w:val="24"/>
          <w:szCs w:val="24"/>
        </w:rPr>
      </w:pPr>
    </w:p>
    <w:p w14:paraId="2DA000AA" w14:textId="77777777" w:rsidR="00E218FC" w:rsidRPr="00EC6C19" w:rsidRDefault="00201988" w:rsidP="00972974">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Recently, novel resting measures of stenosis severity have gained increasing popularity. </w:t>
      </w:r>
      <w:r w:rsidR="005264BD" w:rsidRPr="00EC6C19">
        <w:rPr>
          <w:rFonts w:ascii="Times New Roman" w:hAnsi="Times New Roman" w:cs="Times New Roman"/>
          <w:sz w:val="24"/>
          <w:szCs w:val="24"/>
        </w:rPr>
        <w:t>They can provide an assessment of ischaemia quickly and without the need for adenosine</w:t>
      </w:r>
      <w:r w:rsidRPr="00EC6C19">
        <w:rPr>
          <w:rFonts w:ascii="Times New Roman" w:hAnsi="Times New Roman" w:cs="Times New Roman"/>
          <w:sz w:val="24"/>
          <w:szCs w:val="24"/>
        </w:rPr>
        <w:t>. Inst</w:t>
      </w:r>
      <w:r w:rsidR="005264BD" w:rsidRPr="00EC6C19">
        <w:rPr>
          <w:rFonts w:ascii="Times New Roman" w:hAnsi="Times New Roman" w:cs="Times New Roman"/>
          <w:sz w:val="24"/>
          <w:szCs w:val="24"/>
        </w:rPr>
        <w:t>antaneous wave free ratio (iFR) was</w:t>
      </w:r>
      <w:r w:rsidRPr="00EC6C19">
        <w:rPr>
          <w:rFonts w:ascii="Times New Roman" w:hAnsi="Times New Roman" w:cs="Times New Roman"/>
          <w:sz w:val="24"/>
          <w:szCs w:val="24"/>
        </w:rPr>
        <w:t xml:space="preserve"> the fir</w:t>
      </w:r>
      <w:r w:rsidR="00261746" w:rsidRPr="00EC6C19">
        <w:rPr>
          <w:rFonts w:ascii="Times New Roman" w:hAnsi="Times New Roman" w:cs="Times New Roman"/>
          <w:sz w:val="24"/>
          <w:szCs w:val="24"/>
        </w:rPr>
        <w:t xml:space="preserve">st of the novel resting indices and used coronary pressure distal to the stenosis with proximal coronary pressure in the wave free period </w:t>
      </w:r>
      <w:r w:rsidR="0086776B" w:rsidRPr="00EC6C19">
        <w:rPr>
          <w:rFonts w:ascii="Times New Roman" w:hAnsi="Times New Roman" w:cs="Times New Roman"/>
          <w:sz w:val="24"/>
          <w:szCs w:val="24"/>
        </w:rPr>
        <w:t>of the</w:t>
      </w:r>
      <w:r w:rsidR="00261746" w:rsidRPr="00EC6C19">
        <w:rPr>
          <w:rFonts w:ascii="Times New Roman" w:hAnsi="Times New Roman" w:cs="Times New Roman"/>
          <w:sz w:val="24"/>
          <w:szCs w:val="24"/>
        </w:rPr>
        <w:t xml:space="preserve"> cardiac cycle</w:t>
      </w:r>
      <w:r w:rsidR="0086776B" w:rsidRPr="00EC6C19">
        <w:rPr>
          <w:rFonts w:ascii="Times New Roman" w:hAnsi="Times New Roman" w:cs="Times New Roman"/>
          <w:sz w:val="24"/>
          <w:szCs w:val="24"/>
        </w:rPr>
        <w:t xml:space="preserve">, located in </w:t>
      </w:r>
      <w:r w:rsidR="0086776B" w:rsidRPr="000E7233">
        <w:rPr>
          <w:rFonts w:ascii="Times New Roman" w:hAnsi="Times New Roman" w:cs="Times New Roman"/>
          <w:sz w:val="24"/>
          <w:szCs w:val="24"/>
        </w:rPr>
        <w:t>diastole</w:t>
      </w:r>
      <w:r w:rsidR="00261746" w:rsidRPr="000E7233">
        <w:rPr>
          <w:rFonts w:ascii="Times New Roman" w:hAnsi="Times New Roman" w:cs="Times New Roman"/>
          <w:sz w:val="24"/>
          <w:szCs w:val="24"/>
        </w:rPr>
        <w:t xml:space="preserve"> (</w:t>
      </w:r>
      <w:r w:rsidR="000E7233" w:rsidRPr="000E7233">
        <w:rPr>
          <w:rFonts w:ascii="Times New Roman" w:hAnsi="Times New Roman" w:cs="Times New Roman"/>
          <w:sz w:val="24"/>
          <w:szCs w:val="24"/>
        </w:rPr>
        <w:t>F</w:t>
      </w:r>
      <w:r w:rsidR="003B4D5A" w:rsidRPr="000E7233">
        <w:rPr>
          <w:rFonts w:ascii="Times New Roman" w:hAnsi="Times New Roman" w:cs="Times New Roman"/>
          <w:sz w:val="24"/>
          <w:szCs w:val="24"/>
        </w:rPr>
        <w:t xml:space="preserve">igure </w:t>
      </w:r>
      <w:r w:rsidR="000E7233" w:rsidRPr="000E7233">
        <w:rPr>
          <w:rFonts w:ascii="Times New Roman" w:hAnsi="Times New Roman" w:cs="Times New Roman"/>
          <w:sz w:val="24"/>
          <w:szCs w:val="24"/>
        </w:rPr>
        <w:t>12</w:t>
      </w:r>
      <w:r w:rsidR="00261746" w:rsidRPr="000E7233">
        <w:rPr>
          <w:rFonts w:ascii="Times New Roman" w:hAnsi="Times New Roman" w:cs="Times New Roman"/>
          <w:sz w:val="24"/>
          <w:szCs w:val="24"/>
        </w:rPr>
        <w:t>). It</w:t>
      </w:r>
      <w:r w:rsidRPr="000E7233">
        <w:rPr>
          <w:rFonts w:ascii="Times New Roman" w:hAnsi="Times New Roman" w:cs="Times New Roman"/>
          <w:sz w:val="24"/>
          <w:szCs w:val="24"/>
        </w:rPr>
        <w:t xml:space="preserve"> has</w:t>
      </w:r>
      <w:r w:rsidRPr="00EC6C19">
        <w:rPr>
          <w:rFonts w:ascii="Times New Roman" w:hAnsi="Times New Roman" w:cs="Times New Roman"/>
          <w:sz w:val="24"/>
          <w:szCs w:val="24"/>
        </w:rPr>
        <w:t xml:space="preserve"> been compared to FFR in a randomised control trial DEFINE-FLAIR</w:t>
      </w:r>
      <w:r w:rsidR="0095706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B1737" w:rsidRPr="00EC6C19">
        <w:rPr>
          <w:rFonts w:ascii="Times New Roman" w:hAnsi="Times New Roman" w:cs="Times New Roman"/>
          <w:sz w:val="24"/>
          <w:szCs w:val="24"/>
        </w:rPr>
        <w:instrText xml:space="preserve"> ADDIN ZOTERO_ITEM CSL_CITATION {"citationID":"EhSrANv4","properties":{"formattedCitation":"(Davies et al., 2017)","plainCitation":"(Davies et al., 2017)","noteIndex":0},"citationItems":[{"id":712,"uris":["http://zotero.org/users/local/k67tNDdX/items/4LTV4UQP"],"uri":["http://zotero.org/users/local/k67tNDdX/items/4LTV4UQP"],"itemData":{"id":712,"type":"article-journal","abstract":"BACKGROUND: Coronary revascularization guided by fractional flow reserve (FFR) is associated with better patient outcomes after the procedure than revascularization guided by angiography alone. It is unknown whether the instantaneous wave-free ratio (iFR), an alternative measure that does not require the administration of adenosine, will offer benefits similar to those of FFR.\nMETHODS: We randomly assigned 2492 patients with coronary artery disease, in a 1:1 ratio, to undergo either iFR-guided or FFR-guided coronary revascularization. The primary end point was the 1-year risk of major adverse cardiac events, which were a composite of death from any cause, nonfatal myocardial infarction, or unplanned revascularization. The trial was designed to show the noninferiority of iFR to FFR, with a margin of 3.4 percentage points for the difference in risk.\nRESULTS: At 1 year, the primary end point had occurred in 78 of 1148 patients (6.8%) in the iFR group and in 83 of 1182 patients (7.0%) in the FFR group (difference in risk, -0.2 percentage points; 95% confidence interval [CI], -2.3 to 1.8; P&lt;0.001 for noninferiority; hazard ratio, 0.95; 95% CI, 0.68 to 1.33; P=0.78). The risk of each component of the primary end point and of death from cardiovascular or noncardiovascular causes did not differ significantly between the groups. The number of patients who had adverse procedural symptoms and clinical signs was significantly lower in the iFR group than in the FFR group (39 patients [3.1%] vs. 385 patients [30.8%], P&lt;0.001), and the median procedural time was significantly shorter (40.5 minutes vs. 45.0 minutes, P=0.001).\nCONCLUSIONS: Coronary revascularization guided by iFR was noninferior to revascularization guided by FFR with respect to the risk of major adverse cardiac events at 1 year. The rate of adverse procedural signs and symptoms was lower and the procedural time was shorter with iFR than with FFR. (Funded by Philips Volcano; DEFINE-FLAIR ClinicalTrials.gov number, NCT02053038 .).","container-title":"The New England Journal of Medicine","DOI":"10.1056/NEJMoa1700445","ISSN":"1533-4406","issue":"19","journalAbbreviation":"N. Engl. J. Med.","language":"eng","note":"PMID: 28317458","page":"1824-1834","source":"PubMed","title":"Use of the Instantaneous Wave-free Ratio or Fractional Flow Reserve in PCI","volume":"376","author":[{"family":"Davies","given":"Justin E."},{"family":"Sen","given":"Sayan"},{"family":"Dehbi","given":"Hakim-Moulay"},{"family":"Al-Lamee","given":"Rasha"},{"family":"Petraco","given":"Ricardo"},{"family":"Nijjer","given":"Sukhjinder S."},{"family":"Bhindi","given":"Ravinay"},{"family":"Lehman","given":"Sam J."},{"family":"Walters","given":"Darren"},{"family":"Sapontis","given":"James"},{"family":"Janssens","given":"Luc"},{"family":"Vrints","given":"Christiaan J."},{"family":"Khashaba","given":"Ahmed"},{"family":"Laine","given":"Mika"},{"family":"Van Belle","given":"Eric"},{"family":"Krackhardt","given":"Florian"},{"family":"Bojara","given":"Waldemar"},{"family":"Going","given":"Olaf"},{"family":"Härle","given":"Tobias"},{"family":"Indolfi","given":"Ciro"},{"family":"Niccoli","given":"Giampaolo"},{"family":"Ribichini","given":"Flavo"},{"family":"Tanaka","given":"Nobuhiro"},{"family":"Yokoi","given":"Hiroyoshi"},{"family":"Takashima","given":"Hiroaki"},{"family":"Kikuta","given":"Yuetsu"},{"family":"Erglis","given":"Andrejs"},{"family":"Vinhas","given":"Hugo"},{"family":"Canas Silva","given":"Pedro"},{"family":"Baptista","given":"Sérgio B."},{"family":"Alghamdi","given":"Ali"},{"family":"Hellig","given":"Farrel"},{"family":"Koo","given":"Bon-Kwon"},{"family":"Nam","given":"Chang-Wook"},{"family":"Shin","given":"Eun-Seok"},{"family":"Doh","given":"Joon-Hyung"},{"family":"Brugaletta","given":"Salvatore"},{"family":"Alegria-Barrero","given":"Eduardo"},{"family":"Meuwissen","given":"Martijin"},{"family":"Piek","given":"Jan J."},{"family":"Royen","given":"Niels","non-dropping-particle":"van"},{"family":"Sezer","given":"Murat"},{"family":"Di Mario","given":"Carlo"},{"family":"Gerber","given":"Robert T."},{"family":"Malik","given":"Iqbal S."},{"family":"Sharp","given":"Andrew S. P."},{"family":"Talwar","given":"Suneel"},{"family":"Tang","given":"Kare"},{"family":"Samady","given":"Habib"},{"family":"Altman","given":"John"},{"family":"Seto","given":"Arnold H."},{"family":"Singh","given":"Jasvindar"},{"family":"Jeremias","given":"Allen"},{"family":"Matsuo","given":"Hitoshi"},{"family":"Kharbanda","given":"Rajesh K."},{"family":"Patel","given":"Manesh R."},{"family":"Serruys","given":"Patrick"},{"family":"Escaned","given":"Javier"}],"issued":{"date-parts":[["2017"]],"season":"11"}}}],"schema":"https://github.com/citation-style-language/schema/raw/master/csl-citation.json"} </w:instrText>
      </w:r>
      <w:r w:rsidR="00106A32" w:rsidRPr="00EC6C19">
        <w:rPr>
          <w:rFonts w:ascii="Times New Roman" w:hAnsi="Times New Roman" w:cs="Times New Roman"/>
          <w:sz w:val="24"/>
          <w:szCs w:val="24"/>
        </w:rPr>
        <w:fldChar w:fldCharType="separate"/>
      </w:r>
      <w:r w:rsidR="00DB1737" w:rsidRPr="00EC6C19">
        <w:rPr>
          <w:rFonts w:ascii="Times New Roman" w:hAnsi="Times New Roman" w:cs="Times New Roman"/>
          <w:sz w:val="24"/>
          <w:szCs w:val="24"/>
        </w:rPr>
        <w:t>(Davies et al., 2017)</w:t>
      </w:r>
      <w:r w:rsidR="00106A32" w:rsidRPr="00EC6C19">
        <w:rPr>
          <w:rFonts w:ascii="Times New Roman" w:hAnsi="Times New Roman" w:cs="Times New Roman"/>
          <w:sz w:val="24"/>
          <w:szCs w:val="24"/>
        </w:rPr>
        <w:fldChar w:fldCharType="end"/>
      </w:r>
      <w:r w:rsidR="00E7264D" w:rsidRPr="00EC6C19">
        <w:rPr>
          <w:rFonts w:ascii="Times New Roman" w:hAnsi="Times New Roman" w:cs="Times New Roman"/>
          <w:sz w:val="24"/>
          <w:szCs w:val="24"/>
        </w:rPr>
        <w:t>. With regards to major adverse cardiac events</w:t>
      </w:r>
      <w:r w:rsidR="00C955BB" w:rsidRPr="00EC6C19">
        <w:rPr>
          <w:rFonts w:ascii="Times New Roman" w:hAnsi="Times New Roman" w:cs="Times New Roman"/>
          <w:sz w:val="24"/>
          <w:szCs w:val="24"/>
        </w:rPr>
        <w:t xml:space="preserve"> </w:t>
      </w:r>
      <w:r w:rsidR="00C955BB" w:rsidRPr="00EC6C19">
        <w:rPr>
          <w:rFonts w:ascii="Times New Roman" w:hAnsi="Times New Roman" w:cs="Times New Roman"/>
          <w:sz w:val="24"/>
          <w:szCs w:val="24"/>
        </w:rPr>
        <w:lastRenderedPageBreak/>
        <w:t>at 1 year</w:t>
      </w:r>
      <w:r w:rsidR="00E7264D" w:rsidRPr="00EC6C19">
        <w:rPr>
          <w:rFonts w:ascii="Times New Roman" w:hAnsi="Times New Roman" w:cs="Times New Roman"/>
          <w:sz w:val="24"/>
          <w:szCs w:val="24"/>
        </w:rPr>
        <w:t xml:space="preserve">, it was </w:t>
      </w:r>
      <w:r w:rsidRPr="00EC6C19">
        <w:rPr>
          <w:rFonts w:ascii="Times New Roman" w:hAnsi="Times New Roman" w:cs="Times New Roman"/>
          <w:sz w:val="24"/>
          <w:szCs w:val="24"/>
        </w:rPr>
        <w:t>shown to be non-inferior</w:t>
      </w:r>
      <w:r w:rsidR="00E7264D" w:rsidRPr="00EC6C19">
        <w:rPr>
          <w:rFonts w:ascii="Times New Roman" w:hAnsi="Times New Roman" w:cs="Times New Roman"/>
          <w:sz w:val="24"/>
          <w:szCs w:val="24"/>
        </w:rPr>
        <w:t xml:space="preserve"> to FFR</w:t>
      </w:r>
      <w:r w:rsidR="00C955BB" w:rsidRPr="00EC6C19">
        <w:rPr>
          <w:rFonts w:ascii="Times New Roman" w:hAnsi="Times New Roman" w:cs="Times New Roman"/>
          <w:sz w:val="24"/>
          <w:szCs w:val="24"/>
        </w:rPr>
        <w:t xml:space="preserve"> in guiding treatment strategy</w:t>
      </w:r>
      <w:r w:rsidR="00E7264D" w:rsidRPr="00EC6C19">
        <w:rPr>
          <w:rFonts w:ascii="Times New Roman" w:hAnsi="Times New Roman" w:cs="Times New Roman"/>
          <w:sz w:val="24"/>
          <w:szCs w:val="24"/>
        </w:rPr>
        <w:t>, with fewer adverse procedural symptoms and shorter procedural time</w:t>
      </w:r>
      <w:r w:rsidRPr="00EC6C19">
        <w:rPr>
          <w:rFonts w:ascii="Times New Roman" w:hAnsi="Times New Roman" w:cs="Times New Roman"/>
          <w:sz w:val="24"/>
          <w:szCs w:val="24"/>
        </w:rPr>
        <w:t xml:space="preserve">. </w:t>
      </w:r>
    </w:p>
    <w:p w14:paraId="6E463DA4" w14:textId="77777777" w:rsidR="00E218FC" w:rsidRPr="00EC6C19" w:rsidRDefault="00E218FC" w:rsidP="00E218FC">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2FCDE372" wp14:editId="089B6489">
            <wp:extent cx="6076950" cy="4761009"/>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a:off x="0" y="0"/>
                      <a:ext cx="6084739" cy="4767111"/>
                    </a:xfrm>
                    <a:prstGeom prst="rect">
                      <a:avLst/>
                    </a:prstGeom>
                    <a:noFill/>
                    <a:ln w="9525">
                      <a:noFill/>
                      <a:miter lim="800000"/>
                      <a:headEnd/>
                      <a:tailEnd/>
                    </a:ln>
                  </pic:spPr>
                </pic:pic>
              </a:graphicData>
            </a:graphic>
          </wp:inline>
        </w:drawing>
      </w:r>
    </w:p>
    <w:p w14:paraId="17B7AC26" w14:textId="77777777" w:rsidR="00E218FC" w:rsidRPr="004B2859" w:rsidRDefault="004B2859" w:rsidP="004B2859">
      <w:pPr>
        <w:pStyle w:val="Caption"/>
        <w:spacing w:line="360" w:lineRule="auto"/>
        <w:rPr>
          <w:rFonts w:ascii="Times New Roman" w:hAnsi="Times New Roman" w:cs="Times New Roman"/>
          <w:b w:val="0"/>
          <w:i/>
          <w:color w:val="auto"/>
          <w:sz w:val="24"/>
          <w:szCs w:val="24"/>
          <w:shd w:val="clear" w:color="auto" w:fill="FFFFFF"/>
        </w:rPr>
      </w:pPr>
      <w:bookmarkStart w:id="49" w:name="_Toc44684901"/>
      <w:r w:rsidRPr="004B2859">
        <w:rPr>
          <w:rFonts w:ascii="Times New Roman" w:hAnsi="Times New Roman" w:cs="Times New Roman"/>
          <w:b w:val="0"/>
          <w:i/>
          <w:color w:val="auto"/>
          <w:sz w:val="24"/>
          <w:szCs w:val="24"/>
        </w:rPr>
        <w:t xml:space="preserve">Figure </w:t>
      </w:r>
      <w:r w:rsidR="00106A32" w:rsidRPr="004B2859">
        <w:rPr>
          <w:rFonts w:ascii="Times New Roman" w:hAnsi="Times New Roman" w:cs="Times New Roman"/>
          <w:b w:val="0"/>
          <w:i/>
          <w:color w:val="auto"/>
          <w:sz w:val="24"/>
          <w:szCs w:val="24"/>
        </w:rPr>
        <w:fldChar w:fldCharType="begin"/>
      </w:r>
      <w:r w:rsidRPr="004B2859">
        <w:rPr>
          <w:rFonts w:ascii="Times New Roman" w:hAnsi="Times New Roman" w:cs="Times New Roman"/>
          <w:b w:val="0"/>
          <w:i/>
          <w:color w:val="auto"/>
          <w:sz w:val="24"/>
          <w:szCs w:val="24"/>
        </w:rPr>
        <w:instrText xml:space="preserve"> SEQ Figure \* ARABIC </w:instrText>
      </w:r>
      <w:r w:rsidR="00106A32" w:rsidRPr="004B2859">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12</w:t>
      </w:r>
      <w:r w:rsidR="00106A32" w:rsidRPr="004B2859">
        <w:rPr>
          <w:rFonts w:ascii="Times New Roman" w:hAnsi="Times New Roman" w:cs="Times New Roman"/>
          <w:b w:val="0"/>
          <w:i/>
          <w:color w:val="auto"/>
          <w:sz w:val="24"/>
          <w:szCs w:val="24"/>
        </w:rPr>
        <w:fldChar w:fldCharType="end"/>
      </w:r>
      <w:r w:rsidRPr="004B2859">
        <w:rPr>
          <w:rFonts w:ascii="Times New Roman" w:hAnsi="Times New Roman" w:cs="Times New Roman"/>
          <w:b w:val="0"/>
          <w:i/>
          <w:color w:val="auto"/>
          <w:sz w:val="24"/>
          <w:szCs w:val="24"/>
        </w:rPr>
        <w:t xml:space="preserve"> - The Wave Free Period</w:t>
      </w:r>
      <w:r w:rsidR="00E218FC" w:rsidRPr="004B2859">
        <w:rPr>
          <w:rFonts w:ascii="Times New Roman" w:hAnsi="Times New Roman" w:cs="Times New Roman"/>
          <w:b w:val="0"/>
          <w:i/>
          <w:color w:val="auto"/>
          <w:sz w:val="24"/>
          <w:szCs w:val="24"/>
        </w:rPr>
        <w:t>- in which iFR is calculated (Pd/Pa).</w:t>
      </w:r>
      <w:r w:rsidR="00E218FC" w:rsidRPr="004B2859">
        <w:rPr>
          <w:rFonts w:ascii="Times New Roman" w:hAnsi="Times New Roman" w:cs="Times New Roman"/>
          <w:b w:val="0"/>
          <w:i/>
          <w:color w:val="auto"/>
          <w:sz w:val="24"/>
          <w:szCs w:val="24"/>
        </w:rPr>
        <w:br/>
        <w:t>(</w:t>
      </w:r>
      <w:r w:rsidR="00E218FC" w:rsidRPr="004B2859">
        <w:rPr>
          <w:rFonts w:ascii="Times New Roman" w:hAnsi="Times New Roman" w:cs="Times New Roman"/>
          <w:b w:val="0"/>
          <w:i/>
          <w:color w:val="auto"/>
          <w:sz w:val="24"/>
          <w:szCs w:val="24"/>
          <w:shd w:val="clear" w:color="auto" w:fill="FFFFFF"/>
        </w:rPr>
        <w:t xml:space="preserve">IFR calculation.pdf: </w:t>
      </w:r>
      <w:hyperlink r:id="rId30" w:tooltip="User:Sukhjinder.nijjer (page does not exist)" w:history="1">
        <w:r w:rsidR="00E218FC" w:rsidRPr="004B2859">
          <w:rPr>
            <w:rStyle w:val="Hyperlink"/>
            <w:rFonts w:ascii="Times New Roman" w:hAnsi="Times New Roman" w:cs="Times New Roman"/>
            <w:b w:val="0"/>
            <w:i/>
            <w:color w:val="auto"/>
            <w:sz w:val="24"/>
            <w:szCs w:val="24"/>
            <w:u w:val="none"/>
            <w:shd w:val="clear" w:color="auto" w:fill="F8F9FA"/>
          </w:rPr>
          <w:t>Sukhjinder.nijjer</w:t>
        </w:r>
      </w:hyperlink>
      <w:r w:rsidR="00E218FC" w:rsidRPr="004B2859">
        <w:rPr>
          <w:rFonts w:ascii="Times New Roman" w:hAnsi="Times New Roman" w:cs="Times New Roman"/>
          <w:b w:val="0"/>
          <w:i/>
          <w:color w:val="auto"/>
          <w:sz w:val="24"/>
          <w:szCs w:val="24"/>
          <w:shd w:val="clear" w:color="auto" w:fill="FFFFFF"/>
        </w:rPr>
        <w:t xml:space="preserve"> (https://commons.wikimedia.org/wiki/FileIiFR calculation.pdf, https://creativecommons.org/licenses/by-sa/3.0/legalcode)</w:t>
      </w:r>
      <w:bookmarkEnd w:id="49"/>
    </w:p>
    <w:p w14:paraId="7C53F31C" w14:textId="77777777" w:rsidR="00E218FC" w:rsidRPr="00EC6C19" w:rsidRDefault="00E218FC" w:rsidP="00972974">
      <w:pPr>
        <w:spacing w:line="360" w:lineRule="auto"/>
        <w:rPr>
          <w:rFonts w:ascii="Times New Roman" w:hAnsi="Times New Roman" w:cs="Times New Roman"/>
          <w:sz w:val="24"/>
          <w:szCs w:val="24"/>
        </w:rPr>
      </w:pPr>
    </w:p>
    <w:p w14:paraId="3BA27A0D" w14:textId="77777777" w:rsidR="00F73C1A" w:rsidRPr="00EC6C19" w:rsidRDefault="0086776B" w:rsidP="00972974">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discovery of iFR led to expansion in scientific investigation. The wave free period was </w:t>
      </w:r>
      <w:r w:rsidR="00293BE9" w:rsidRPr="00EC6C19">
        <w:rPr>
          <w:rFonts w:ascii="Times New Roman" w:hAnsi="Times New Roman" w:cs="Times New Roman"/>
          <w:sz w:val="24"/>
          <w:szCs w:val="24"/>
        </w:rPr>
        <w:t xml:space="preserve">specifically of interest, as it was </w:t>
      </w:r>
      <w:r w:rsidR="005264BD" w:rsidRPr="00EC6C19">
        <w:rPr>
          <w:rFonts w:ascii="Times New Roman" w:hAnsi="Times New Roman" w:cs="Times New Roman"/>
          <w:sz w:val="24"/>
          <w:szCs w:val="24"/>
        </w:rPr>
        <w:t>believed to be</w:t>
      </w:r>
      <w:r w:rsidR="00293BE9" w:rsidRPr="00EC6C19">
        <w:rPr>
          <w:rFonts w:ascii="Times New Roman" w:hAnsi="Times New Roman" w:cs="Times New Roman"/>
          <w:sz w:val="24"/>
          <w:szCs w:val="24"/>
        </w:rPr>
        <w:t xml:space="preserve"> physiologically identical to hyperaemia, </w:t>
      </w:r>
      <w:r w:rsidR="005264BD" w:rsidRPr="00EC6C19">
        <w:rPr>
          <w:rFonts w:ascii="Times New Roman" w:hAnsi="Times New Roman" w:cs="Times New Roman"/>
          <w:sz w:val="24"/>
          <w:szCs w:val="24"/>
        </w:rPr>
        <w:t xml:space="preserve">without </w:t>
      </w:r>
      <w:r w:rsidR="00293BE9" w:rsidRPr="00EC6C19">
        <w:rPr>
          <w:rFonts w:ascii="Times New Roman" w:hAnsi="Times New Roman" w:cs="Times New Roman"/>
          <w:sz w:val="24"/>
          <w:szCs w:val="24"/>
        </w:rPr>
        <w:t xml:space="preserve"> need</w:t>
      </w:r>
      <w:r w:rsidR="005264BD" w:rsidRPr="00EC6C19">
        <w:rPr>
          <w:rFonts w:ascii="Times New Roman" w:hAnsi="Times New Roman" w:cs="Times New Roman"/>
          <w:sz w:val="24"/>
          <w:szCs w:val="24"/>
        </w:rPr>
        <w:t>ing adenosine. R</w:t>
      </w:r>
      <w:r w:rsidR="00293BE9" w:rsidRPr="00EC6C19">
        <w:rPr>
          <w:rFonts w:ascii="Times New Roman" w:hAnsi="Times New Roman" w:cs="Times New Roman"/>
          <w:sz w:val="24"/>
          <w:szCs w:val="24"/>
        </w:rPr>
        <w:t>esistance</w:t>
      </w:r>
      <w:r w:rsidR="005264BD" w:rsidRPr="00EC6C19">
        <w:rPr>
          <w:rFonts w:ascii="Times New Roman" w:hAnsi="Times New Roman" w:cs="Times New Roman"/>
          <w:sz w:val="24"/>
          <w:szCs w:val="24"/>
        </w:rPr>
        <w:t xml:space="preserve"> in the wave free period </w:t>
      </w:r>
      <w:r w:rsidR="005E1A77" w:rsidRPr="00EC6C19">
        <w:rPr>
          <w:rFonts w:ascii="Times New Roman" w:hAnsi="Times New Roman" w:cs="Times New Roman"/>
          <w:sz w:val="24"/>
          <w:szCs w:val="24"/>
        </w:rPr>
        <w:t>was thought to be</w:t>
      </w:r>
      <w:r w:rsidR="00293BE9" w:rsidRPr="00EC6C19">
        <w:rPr>
          <w:rFonts w:ascii="Times New Roman" w:hAnsi="Times New Roman" w:cs="Times New Roman"/>
          <w:sz w:val="24"/>
          <w:szCs w:val="24"/>
        </w:rPr>
        <w:t xml:space="preserve"> minimal and constant, to the same magnitude as with </w:t>
      </w:r>
      <w:r w:rsidR="008076C5" w:rsidRPr="00EC6C19">
        <w:rPr>
          <w:rFonts w:ascii="Times New Roman" w:hAnsi="Times New Roman" w:cs="Times New Roman"/>
          <w:sz w:val="24"/>
          <w:szCs w:val="24"/>
        </w:rPr>
        <w:t>central infusion of adenosine</w:t>
      </w:r>
      <w:r w:rsidR="00293BE9" w:rsidRPr="00EC6C19">
        <w:rPr>
          <w:rFonts w:ascii="Times New Roman" w:hAnsi="Times New Roman" w:cs="Times New Roman"/>
          <w:sz w:val="24"/>
          <w:szCs w:val="24"/>
        </w:rPr>
        <w:t>. The VERIFY study</w:t>
      </w:r>
      <w:r w:rsidR="004034CE"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{"citationID":"rW7v7QPS","properties":{"formattedCitation":"(Berry et al., 2013)","plainCitation":"(Berry et al., 2013)","noteIndex":0},"citationItems":[{"id":722,"uris":["http://zotero.org/users/local/k67tNDdX/items/BRCHVTR9"],"uri":["http://zotero.org/users/local/k67tNDdX/items/BRCHVTR9"],"itemData":{"id":722,"type":"article-journal","abstract":"OBJECTIVES: This study sought to compare fractional flow reserve (FFR) with the instantaneous wave-free ratio (iFR) in patients with coronary artery disease and also to determine whether the iFR is independent of hyperemia.\nBACKGROUND: FFR is a validated index of coronary stenosis severity. FFR-guided percutaneous coronary intervention (PCI) improves clinical outcomes compared to angiographic guidance alone. iFR has been proposed as a new index of stenosis severity that can be measured without adenosine.\nMETHODS: We conducted a prospective, multicenter, international study of 206 consecutive patients referred for PCI and a retrospective analysis of 500 archived pressure recordings. Aortic and distal coronary pressures were measured in duplicate in patients under resting conditions and during intravenous adenosine infusion at 140 μg/kg/min.\nRESULTS: Compared to the FFR cut-off value of ≤0.80, the diagnostic accuracy of the iFR value of ≤0.80 was 60% (95% confidence interval [CI]: 53% to 67%) for all vessels studied and 51% (95% CI: 43% to 59%) for those patients with FFR in the range of 0.60 to 0.90. iFR was significantly influenced by the induction of hyperemia: mean ± SD iFR at rest was 0.82 ± 0.16 versus 0.64 ± 0.18 with hyperemia (p &lt; 0.001). Receiver operating characteristics confirmed that the diagnostic accuracy of iFR was similar to resting Pd/Pa and trans-stenotic pressure gradient and significantly inferior to hyperemic iFR. Analysis of our retrospectively acquired dataset showed similar results.\nCONCLUSIONS: iFR correlates weakly with FFR and is not independent of hyperemia. iFR cannot be recommended for clinical decision making in patients with coronary artery disease.","container-title":"Journal of the American College of Cardiology","DOI":"10.1016/j.jacc.2012.09.065","ISSN":"1558-3597","issue":"13","journalAbbreviation":"J. Am. Coll. Cardiol.","language":"eng","note":"PMID: 23395076","page":"1421-1427","source":"PubMed","title":"VERIFY (VERification of Instantaneous Wave-Free Ratio and Fractional Flow Reserve for the Assessment of Coronary Artery Stenosis Severity in EverydaY Practice): a multicenter study in consecutive patients","title-short":"VERIFY (VERification of Instantaneous Wave-Free Ratio and Fractional Flow Reserve for the Assessment of Coronary Artery Stenosis Severity in EverydaY Practice)","volume":"61","author":[{"family":"Berry","given":"Colin"},{"family":"Veer","given":"Marcel","non-dropping-particle":"van 't"},{"family":"Witt","given":"Nils"},{"family":"Kala","given":"Petr"},{"family":"Bocek","given":"Otakar"},{"family":"Pyxaras","given":"Stylianos A."},{"family":"McClure","given":"John D."},{"family":"Fearon","given":"William F."},{"family":"Barbato","given":"Emanuele"},{"family":"Tonino","given":"Pim A. L."},{"family":"De Bruyne","given":"Bernard"},{"family":"Pijls","given":"Nico H. J."},{"family":"Oldroyd","given":"Keith G."}],"issued":{"date-parts":[["2013",4,2]]}}}],"schema":"https://github.com/citation-style-language/schema/raw/master/csl-citation.json"} </w:instrText>
      </w:r>
      <w:r w:rsidR="00106A32" w:rsidRPr="00EC6C19">
        <w:rPr>
          <w:rFonts w:ascii="Times New Roman" w:hAnsi="Times New Roman" w:cs="Times New Roman"/>
          <w:sz w:val="24"/>
          <w:szCs w:val="24"/>
        </w:rPr>
        <w:fldChar w:fldCharType="separate"/>
      </w:r>
      <w:r w:rsidR="00E218FC" w:rsidRPr="00EC6C19">
        <w:rPr>
          <w:rFonts w:ascii="Times New Roman" w:hAnsi="Times New Roman" w:cs="Times New Roman"/>
          <w:sz w:val="24"/>
          <w:szCs w:val="24"/>
        </w:rPr>
        <w:t xml:space="preserve">(Berry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w:t>
      </w:r>
      <w:r w:rsidR="00D212BB" w:rsidRPr="00EC6C19">
        <w:rPr>
          <w:rFonts w:ascii="Times New Roman" w:hAnsi="Times New Roman" w:cs="Times New Roman"/>
          <w:sz w:val="24"/>
          <w:szCs w:val="24"/>
        </w:rPr>
        <w:lastRenderedPageBreak/>
        <w:t>2013)</w:t>
      </w:r>
      <w:r w:rsidR="00106A32" w:rsidRPr="00EC6C19">
        <w:rPr>
          <w:rFonts w:ascii="Times New Roman" w:hAnsi="Times New Roman" w:cs="Times New Roman"/>
          <w:sz w:val="24"/>
          <w:szCs w:val="24"/>
        </w:rPr>
        <w:fldChar w:fldCharType="end"/>
      </w:r>
      <w:r w:rsidR="00293BE9" w:rsidRPr="00EC6C19">
        <w:rPr>
          <w:rFonts w:ascii="Times New Roman" w:hAnsi="Times New Roman" w:cs="Times New Roman"/>
          <w:sz w:val="24"/>
          <w:szCs w:val="24"/>
        </w:rPr>
        <w:t xml:space="preserve"> however showed that iFR was significantly influenced by introduction of hyperaemia,</w:t>
      </w:r>
      <w:r w:rsidR="0095706C" w:rsidRPr="00EC6C19">
        <w:rPr>
          <w:rFonts w:ascii="Times New Roman" w:hAnsi="Times New Roman" w:cs="Times New Roman"/>
          <w:sz w:val="24"/>
          <w:szCs w:val="24"/>
        </w:rPr>
        <w:t xml:space="preserve"> and correlated weakly with FFR</w:t>
      </w:r>
      <w:r w:rsidR="00D27FFB" w:rsidRPr="00EC6C19">
        <w:rPr>
          <w:rFonts w:ascii="Times New Roman" w:hAnsi="Times New Roman" w:cs="Times New Roman"/>
          <w:sz w:val="24"/>
          <w:szCs w:val="24"/>
        </w:rPr>
        <w:t xml:space="preserve"> </w:t>
      </w:r>
      <w:r w:rsidR="008076C5" w:rsidRPr="00EC6C19">
        <w:rPr>
          <w:rFonts w:ascii="Times New Roman" w:hAnsi="Times New Roman" w:cs="Times New Roman"/>
          <w:sz w:val="24"/>
          <w:szCs w:val="24"/>
        </w:rPr>
        <w:t>cas</w:t>
      </w:r>
      <w:r w:rsidR="005E1A77" w:rsidRPr="00EC6C19">
        <w:rPr>
          <w:rFonts w:ascii="Times New Roman" w:hAnsi="Times New Roman" w:cs="Times New Roman"/>
          <w:sz w:val="24"/>
          <w:szCs w:val="24"/>
        </w:rPr>
        <w:t>ting doubt upon its clinical validity</w:t>
      </w:r>
      <w:r w:rsidR="008076C5" w:rsidRPr="00EC6C19">
        <w:rPr>
          <w:rFonts w:ascii="Times New Roman" w:hAnsi="Times New Roman" w:cs="Times New Roman"/>
          <w:sz w:val="24"/>
          <w:szCs w:val="24"/>
        </w:rPr>
        <w:t>.</w:t>
      </w:r>
    </w:p>
    <w:p w14:paraId="63310862" w14:textId="77777777" w:rsidR="008076C5" w:rsidRPr="00EC6C19" w:rsidRDefault="008076C5" w:rsidP="00972974">
      <w:pPr>
        <w:spacing w:line="360" w:lineRule="auto"/>
        <w:rPr>
          <w:rFonts w:ascii="Times New Roman" w:hAnsi="Times New Roman" w:cs="Times New Roman"/>
          <w:sz w:val="24"/>
          <w:szCs w:val="24"/>
        </w:rPr>
      </w:pPr>
      <w:r w:rsidRPr="00EC6C19">
        <w:rPr>
          <w:rFonts w:ascii="Times New Roman" w:hAnsi="Times New Roman" w:cs="Times New Roman"/>
          <w:sz w:val="24"/>
          <w:szCs w:val="24"/>
        </w:rPr>
        <w:t>Using data from the VERIFY-2 study</w:t>
      </w:r>
      <w:r w:rsidR="00E218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{"citationID":"FG9a9FDF","properties":{"formattedCitation":"(Hennigan et al., 2016)","plainCitation":"(Hennigan et al., 2016)","noteIndex":0},"citationItems":[{"id":681,"uris":["http://zotero.org/users/local/k67tNDdX/items/C7LVEJ3J"],"uri":["http://zotero.org/users/local/k67tNDdX/items/C7LVEJ3J"],"itemData":{"id":681,"type":"article-journal","abstract":"BACKGROUND: Distal coronary to aortic pressure ratio (Pd/Pa) and instantaneous wave-free ratio (iFR) are indices of functional significance of a coronary stenosis measured without hyperemia. It has been suggested that iFR has superior diagnostic accuracy to Pd/Pa when compared with fractional flow reserve (FFR).We hypothesized that in comparison with FFR, revascularization decisions based on either binary cutoff values for iFR and Pd/Pa or hybrid strategies incorporating iFR or Pd/Pa will result in similar levels of disagreement.\nMETHODS AND RESULTS: This is a prospective study in consecutive patients undergoing FFR for clinical indications using proprietary software to calculate iFR. We measured Pd/Pa, iFR, FFR, and hyperemic iFR. Diagnostic accuracy versus FFR ≤0.80 was calculated using binary cutoff values of ≤0.90 for iFR and ≤0.92 for Pd/Pa, and adenosine zones for iFR of 0.86 to 0.93 and Pd/Pa of 0.87 to 0.94 in the hybrid strategy. One hundred ninety-seven patients with 257 stenoses (mean diameter stenosis 48%) were studied. Using binary cutoffs, diagnostic accuracy was similar for iFR and resting Pd/Pa with misclassification rates of 21% versus 20.2% (P=0.85). In the hybrid analysis, 54% of iFR cases and 53% of Pd/Pa cases were outside the adenosine zone and rates of misclassification were 9.4% versus 11.9% (P=0.55).\nCONCLUSIONS: Binary cutoff values for iFR and Pd/Pa result in misclassification of 1 in 5 lesions. Using a hybrid strategy, approximately half of the patients do not receive adenosine, but 1 in 10 lesions are still misclassified. The use of nonhyperemic indices of stenosis severity cannot be recommended for decision making in the catheterization laboratory.\nCLINICAL TRIAL REGISTRATION: URL: http://www.clinicaltrials.gov. Unique identifier: NCT02377310.","container-title":"Circulation. Cardiovascular Interventions","DOI":"10.1161/CIRCINTERVENTIONS.116.004016","ISSN":"1941-7632","issue":"11","journalAbbreviation":"Circ Cardiovasc Interv","language":"eng","note":"PMID: 27834663","source":"PubMed","title":"Discordance Between Resting and Hyperemic Indices of Coronary Stenosis Severity: The VERIFY 2 Study (A Comparative Study of Resting Coronary Pressure Gradient, Instantaneous Wave-Free Ratio and Fractional Flow Reserve in an Unselected Population Referred for Invasive Angiography)","title-short":"Discordance Between Resting and Hyperemic Indices of Coronary Stenosis Severity","volume":"9","author":[{"family":"Hennigan","given":"Barry"},{"family":"Oldroyd","given":"Keith G."},{"family":"Berry","given":"Colin"},{"family":"Johnson","given":"Nils"},{"family":"McClure","given":"John"},{"family":"McCartney","given":"Peter"},{"family":"McEntegart","given":"Margaret B."},{"family":"Eteiba","given":"Hany"},{"family":"Petrie","given":"Mark C."},{"family":"Rocchiccioli","given":"Paul"},{"family":"Good","given":"Richard"},{"family":"Lindsay","given":"Martin M."},{"family":"Hood","given":"Stuart"},{"family":"Watkins","given":"Stuart"}],"issued":{"date-parts":[["2016",11]]}}}],"schema":"https://github.com/citation-style-language/schema/raw/master/csl-citation.json"} </w:instrText>
      </w:r>
      <w:r w:rsidR="00106A32" w:rsidRPr="00EC6C19">
        <w:rPr>
          <w:rFonts w:ascii="Times New Roman" w:hAnsi="Times New Roman" w:cs="Times New Roman"/>
          <w:sz w:val="24"/>
          <w:szCs w:val="24"/>
        </w:rPr>
        <w:fldChar w:fldCharType="separate"/>
      </w:r>
      <w:r w:rsidR="00E218FC" w:rsidRPr="00EC6C19">
        <w:rPr>
          <w:rFonts w:ascii="Times New Roman" w:hAnsi="Times New Roman" w:cs="Times New Roman"/>
          <w:sz w:val="24"/>
          <w:szCs w:val="24"/>
        </w:rPr>
        <w:t xml:space="preserve">(Hennigan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a further study </w:t>
      </w:r>
      <w:r w:rsidR="005E1A77" w:rsidRPr="00EC6C19">
        <w:rPr>
          <w:rFonts w:ascii="Times New Roman" w:hAnsi="Times New Roman" w:cs="Times New Roman"/>
          <w:sz w:val="24"/>
          <w:szCs w:val="24"/>
        </w:rPr>
        <w:t>questioned</w:t>
      </w:r>
      <w:r w:rsidRPr="00EC6C19">
        <w:rPr>
          <w:rFonts w:ascii="Times New Roman" w:hAnsi="Times New Roman" w:cs="Times New Roman"/>
          <w:sz w:val="24"/>
          <w:szCs w:val="24"/>
        </w:rPr>
        <w:t xml:space="preserve"> the specific timing of the wave free period. Pd/Pa measurements were taken during the whole of diastole, the middle 50% of diastole and the midpoint of diastole, with readings compared to iFR. All of these resting indices (known as varying diastolic pressure ratios (DPR) produced almost identical results to iFR with correlation values above 0.99. It appeared therefore that the wave free period did not differ significantly from other periods of diastole, as the results were essentially identical.</w:t>
      </w:r>
    </w:p>
    <w:p w14:paraId="6B1B7243" w14:textId="77777777" w:rsidR="008076C5" w:rsidRPr="00EC6C19" w:rsidRDefault="008076C5" w:rsidP="00972974">
      <w:pPr>
        <w:spacing w:line="360" w:lineRule="auto"/>
        <w:rPr>
          <w:rFonts w:ascii="Times New Roman" w:hAnsi="Times New Roman" w:cs="Times New Roman"/>
          <w:sz w:val="24"/>
          <w:szCs w:val="24"/>
        </w:rPr>
      </w:pPr>
      <w:r w:rsidRPr="00EC6C19">
        <w:rPr>
          <w:rFonts w:ascii="Times New Roman" w:hAnsi="Times New Roman" w:cs="Times New Roman"/>
          <w:sz w:val="24"/>
          <w:szCs w:val="24"/>
        </w:rPr>
        <w:t>Furthermore, recent data has shown that taking the lowest Pd/Pa value across the whole cardiac cycle (systole and diastole) would again produce almost identical results to iFR. The VALIDATE-RFR study</w:t>
      </w:r>
      <w:r w:rsidR="00E218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239B3">
        <w:rPr>
          <w:rFonts w:ascii="Times New Roman" w:hAnsi="Times New Roman" w:cs="Times New Roman"/>
          <w:sz w:val="24"/>
          <w:szCs w:val="24"/>
        </w:rPr>
        <w:instrText xml:space="preserve"> ADDIN ZOTERO_ITEM CSL_CITATION {"citationID":"l5ubbqVN","properties":{"formattedCitation":"(Svanerud et al., 2018)","plainCitation":"(Svanerud et al., 2018)","noteIndex":0},"citationItems":[{"id":683,"uris":["http://zotero.org/users/local/k67tNDdX/items/9W5AHYWQ"],"uri":["http://zotero.org/users/local/k67tNDdX/items/9W5AHYWQ"],"itemData":{"id":683,"type":"article-journal","abstract":"AIMS: Randomised controlled trials have reported instantaneous wave-free ratio (iFR) to be non-inferior to fractional flow reserve (FFR) for major adverse cardiovascular events at one year; however, iFR is limited by sensitive landmarking of the pressure waveform, and the assumption that maximal flow and minimal resistance occur during a fixed period of diastole. We sought to validate the resting full-cycle ratio (RFR), a novel non-hyperaemic index of coronary stenosis severity based on unbiased identification of the lowest distal coronary pressure to aortic pressure ratio (Pd/Pa), independent of the ECG, landmark identification, and timing within the cardiac cycle.\nMETHODS AND RESULTS: VALIDATE-RFR was a retrospective study designed to derive and validate the RFR. The primary endpoint was the agreement between RFR and iFR. RFR was retrospectively determined in 651 waveforms in which iFR was measured using a proprietary Philips/Volcano wire. RFR was highly correlated to iFR (R2=0.99, p&lt;0.001), with a mean bias of -0.002 (95% limits of agreement -0.023 to 0.020). The diagnostic performance of RFR versus iFR was diagnostic accuracy 97.4%, sensitivity 98.2%, specificity 96.9%, positive predictive value 94.5%, negative predictive value 99.0%, area under the receiver operating characteristic curve of 0.996, and diagnostically equivalent within 1% (mean difference -0.002; 95% CI: -0.009 to 0.006, p=0.03). The RFR was detected outside diastole in 12.2% (341/2,790) of all cardiac cycles and 32.4% (167/516) of cardiac cycles in the right coronary artery where the sensitivity of iFR compared to FFR was lowest (40.6%).\nCONCLUSIONS: RFR is diagnostically equivalent to iFR but unbiased in its ability to detect the lowest Pd/Pa during the full cardiac cycle, potentially unmasking physiologically significant coronary stenoses that would be missed by assessment dedicated to specific segments of the cardiac cycle.","container-title":"EuroIntervention: Journal of EuroPCR in Collaboration with the Working Group on Interventional Cardiology of the European Society of Cardiology","DOI":"10.4244/EIJ-D-18-00342","ISSN":"1969-6213","journalAbbreviation":"EuroIntervention","language":"eng","note":"PMID: 29790478","source":"PubMed","title":"Validation of a novel non-hyperaemic index of coronary artery stenosis severity: the Resting Full-cycle Ratio (VALIDATE RFR) study","title-short":"Validation of a novel non-hyperaemic index of coronary artery stenosis severity","author":[{"family":"Svanerud","given":"Johan"},{"family":"Ahn","given":"Jung-Min"},{"family":"Jeremias","given":"Allen"},{"family":"Veer","given":"Marcel","non-dropping-particle":"van 't"},{"family":"Gore","given":"Ankita"},{"family":"Maehara","given":"Akiko"},{"family":"Crowley","given":"Aaron"},{"family":"Pijls","given":"Nico H. J."},{"family":"De Bruyne","given":"Bernard"},{"family":"Johnson","given":"Nils P."},{"family":"Hennigan","given":"Barry"},{"family":"Watkins","given":"Stuart"},{"family":"Berry","given":"Colin"},{"family":"Oldroyd","given":"Keith G."},{"family":"Park","given":"Seung-Jung"},{"family":"Ali","given":"Ziad A."}],"issued":{"date-parts":[["2018",5,23]]}}}],"schema":"https://github.com/citation-style-language/schema/raw/master/csl-citation.json"} </w:instrText>
      </w:r>
      <w:r w:rsidR="00106A32" w:rsidRPr="00EC6C19">
        <w:rPr>
          <w:rFonts w:ascii="Times New Roman" w:hAnsi="Times New Roman" w:cs="Times New Roman"/>
          <w:sz w:val="24"/>
          <w:szCs w:val="24"/>
        </w:rPr>
        <w:fldChar w:fldCharType="separate"/>
      </w:r>
      <w:r w:rsidR="00D239B3" w:rsidRPr="00D239B3">
        <w:rPr>
          <w:rFonts w:ascii="Times New Roman" w:hAnsi="Times New Roman" w:cs="Times New Roman"/>
          <w:sz w:val="24"/>
        </w:rPr>
        <w:t>(Svanerud et al.,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produced a new index, RFR, with correlation values above 0.99 when compared to iFR. Furthermore, the lowest Pd/Pa value was outside of diastole in 12.2% of all cardiac cycles, and 32.4% of cardiac cycles in the right coronary artery. This means physiologically significant stenoses may be missed</w:t>
      </w:r>
      <w:r w:rsidR="00023DA3" w:rsidRPr="00EC6C19">
        <w:rPr>
          <w:rFonts w:ascii="Times New Roman" w:hAnsi="Times New Roman" w:cs="Times New Roman"/>
          <w:sz w:val="24"/>
          <w:szCs w:val="24"/>
        </w:rPr>
        <w:t xml:space="preserve"> by focusing purely on the diastolic portion of the cardiac cycle.</w:t>
      </w:r>
    </w:p>
    <w:p w14:paraId="16FB6C4E" w14:textId="77777777" w:rsidR="00E218FC" w:rsidRPr="00EC6C19" w:rsidRDefault="00E218FC" w:rsidP="00972974">
      <w:pPr>
        <w:spacing w:line="360" w:lineRule="auto"/>
        <w:rPr>
          <w:rFonts w:ascii="Times New Roman" w:hAnsi="Times New Roman" w:cs="Times New Roman"/>
          <w:sz w:val="24"/>
          <w:szCs w:val="24"/>
        </w:rPr>
      </w:pPr>
    </w:p>
    <w:p w14:paraId="46769878" w14:textId="77777777" w:rsidR="00E218FC" w:rsidRPr="00A542B2" w:rsidRDefault="00A542B2" w:rsidP="00A542B2">
      <w:pPr>
        <w:pStyle w:val="Heading2"/>
        <w:rPr>
          <w:rFonts w:ascii="Times New Roman" w:hAnsi="Times New Roman" w:cs="Times New Roman"/>
          <w:color w:val="auto"/>
          <w:sz w:val="24"/>
          <w:szCs w:val="24"/>
        </w:rPr>
      </w:pPr>
      <w:bookmarkStart w:id="50" w:name="_Toc80302184"/>
      <w:r w:rsidRPr="00A542B2">
        <w:rPr>
          <w:rFonts w:ascii="Times New Roman" w:hAnsi="Times New Roman" w:cs="Times New Roman"/>
          <w:color w:val="auto"/>
          <w:sz w:val="24"/>
          <w:szCs w:val="24"/>
        </w:rPr>
        <w:t xml:space="preserve">1.11 - </w:t>
      </w:r>
      <w:r w:rsidR="00E218FC" w:rsidRPr="00A542B2">
        <w:rPr>
          <w:rFonts w:ascii="Times New Roman" w:hAnsi="Times New Roman" w:cs="Times New Roman"/>
          <w:color w:val="auto"/>
          <w:sz w:val="24"/>
          <w:szCs w:val="24"/>
        </w:rPr>
        <w:t>Pitfalls of Pressure Derived Indices</w:t>
      </w:r>
      <w:bookmarkEnd w:id="50"/>
      <w:r w:rsidR="00A00967" w:rsidRPr="00A542B2">
        <w:rPr>
          <w:rFonts w:ascii="Times New Roman" w:hAnsi="Times New Roman" w:cs="Times New Roman"/>
          <w:color w:val="auto"/>
          <w:sz w:val="24"/>
          <w:szCs w:val="24"/>
        </w:rPr>
        <w:br/>
      </w:r>
    </w:p>
    <w:p w14:paraId="4EC40CE8" w14:textId="77777777" w:rsidR="00E218FC" w:rsidRPr="00EC6C19" w:rsidRDefault="00E218FC" w:rsidP="00E218FC">
      <w:pPr>
        <w:spacing w:line="360" w:lineRule="auto"/>
        <w:rPr>
          <w:rFonts w:ascii="Times New Roman" w:hAnsi="Times New Roman" w:cs="Times New Roman"/>
          <w:i/>
          <w:sz w:val="24"/>
          <w:szCs w:val="24"/>
          <w:u w:val="single"/>
        </w:rPr>
      </w:pPr>
    </w:p>
    <w:p w14:paraId="52300DE7" w14:textId="77777777" w:rsidR="00E218FC" w:rsidRPr="00EC6C19" w:rsidRDefault="00E218FC" w:rsidP="00E218FC">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Venous pressure was factored into the original FFR equation. In routine clinical practice with the increasing popularity of radial access, venous puncture to acquire right atrial pressure, has become increasingly uncommon. Recent studies have shown that even in the presence of significantly raised right atrial pressure, the impact on FFR is negligible </w:t>
      </w:r>
      <w:r w:rsidR="00106A32" w:rsidRPr="00EC6C19">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{"citationID":"feMTShtR","properties":{"formattedCitation":"(Toth et al., 2016)","plainCitation":"(Toth et al., 2016)","noteIndex":0},"citationItems":[{"id":515,"uris":["http://zotero.org/users/local/k67tNDdX/items/574DYNY4"],"uri":["http://zotero.org/users/local/k67tNDdX/items/574DYNY4"],"itemData":{"id":515,"type":"article-journal","abstract":"OBJECTIVES: This study sought to assess the impact of a wide range of mean right atrial pressure (Pra) on fractional flow reserve (FFR) measurements.\nBACKGROUND: FFR invasively assesses the ischemic potential of coronary stenoses. FFR is calculated as the ratio of mean distal coronary pressure (Pd) to mean aortic pressure (Pa) during maximal hyperemia. The Pra is considered to have little impact if it is within normal range, so it is neglected in the formula.\nMETHODS: In 1,676 stenoses of 1,235 patients undergoing left-right heart catheterization for ischemic (642 [52%]) or valvular heart disease (593 [48%]), the authors compared the FFR values calculated without accounting for Pra (FFR= Pd/Pa) to the corresponding myocardial fractional flow reserve (FFRmyo) values accounting for Pra (FFRmyo = Pd - Pra/Pa - Pra).\nRESULTS: The median Pra was 7 (interquartile range [IQR]: 5 to 10) mm Hg with a maximum of 27 mm Hg. The correlation and agreement between FFR and FFRmyo was excellent (R(2) = 0.987; slope 1.096 ± 0.003). The median FFR (0.85; IQR: 0.78 to 0.91) was slightly but statistically significantly higher than the median FFRmyo (0.83; IQR: 0.76 to 0.90; p &lt; 0.001) with a median difference of 0.01 (IQR: 0.01 to 0.02). Values of FFR above the cutoff of 0.80 provided an FFRmyo ≤0.80 in 110 (9%) stenoses. No FFR value above 0.80 provided an FFRmyo ≤0.75.\nCONCLUSIONS: The difference between FFR and FFRmyo was minimal even in patients with markedly increased Pra. FFR values above the gray zone (i.e., &gt;0.80) did not yield values below the gray zone (i.e., ≤0.75) in any case, which suggests that the impact of right atrial pressure on FFR measurement is indeed negligible.","container-title":"JACC. Cardiovascular interventions","DOI":"10.1016/j.jcin.2015.11.021","ISSN":"1876-7605","issue":"5","journalAbbreviation":"JACC Cardiovasc Interv","language":"eng","note":"PMID: 26896888","page":"453-459","source":"PubMed","title":"Impact of Right Atrial Pressure on Fractional Flow Reserve Measurements: Comparison of Fractional Flow Reserve and Myocardial Fractional Flow Reserve in 1,600 Coronary Stenoses","title-short":"Impact of Right Atrial Pressure on Fractional Flow Reserve Measurements","volume":"9","author":[{"family":"Toth","given":"Gabor G."},{"family":"De Bruyne","given":"Bernard"},{"family":"Rusinaru","given":"Dan"},{"family":"Di Gioia","given":"Giuseppe"},{"family":"Bartunek","given":"Jozef"},{"family":"Pellicano","given":"Mariano"},{"family":"Vanderheyden","given":"Marc"},{"family":"Adjedj","given":"Julien"},{"family":"Wijns","given":"William"},{"family":"Pijls","given":"Nico H. J."},{"family":"Barbato","given":"Emanuele"}],"issued":{"date-parts":[["2016",3,14]]}}}],"schema":"https://github.com/citation-style-language/schema/raw/master/csl-citation.json"} </w:instrText>
      </w:r>
      <w:r w:rsidR="00106A32" w:rsidRPr="00EC6C19">
        <w:rPr>
          <w:rFonts w:ascii="Times New Roman" w:hAnsi="Times New Roman" w:cs="Times New Roman"/>
          <w:sz w:val="24"/>
          <w:szCs w:val="24"/>
        </w:rPr>
        <w:fldChar w:fldCharType="separate"/>
      </w:r>
      <w:r w:rsidR="004A32A5" w:rsidRPr="004A32A5">
        <w:rPr>
          <w:rFonts w:ascii="Times New Roman" w:hAnsi="Times New Roman" w:cs="Times New Roman"/>
          <w:sz w:val="24"/>
        </w:rPr>
        <w:t>(Toth et al., 2016)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This holds true even in the context of a CTO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{"citationID":"LkhsHkbF","properties":{"formattedCitation":"(Karamasis et al., 2018)","plainCitation":"(Karamasis et al., 2018)","noteIndex":0},"citationItems":[{"id":555,"uris":["http://zotero.org/users/local/k67tNDdX/items/TCTKDWVD"],"uri":["http://zotero.org/users/local/k67tNDdX/items/TCTKDWVD"],"itemData":{"id":555,"type":"article-journal","abstract":"BACKGROUND: The aim of this study was to assess the impact of right atrial pressure (Pra) on non-CTO vessels FFR measurements in patients with a chronic total occlusion.\nMETHODS: Consecutive patients who underwent PCI for a CTO of the right coronary artery (RCA) were included. Prior to RCA recanalization, FFR and FFRmyo were measured in non-CTO vessels. FFR was calculated using the Pd/Pa equation during maximum hyperaemia and also accounting for right atrial pressure (Pd-Pra/Pa-Pra). Non-CTO vessels were characterised as major or minor donors based on angiographic assessment of provided collaterals.\nRESULTS: FFR and FFRmyo were measured in 68 arteries (34 LAD and 34 Cx) in 34 consecutive patients with successful RCA CTO PCI. Patients' mean age was 62 ± 10 years old and 88% were male. Mean left ventricular ejection fraction was 51% ± 20. During maximum hyperaemia, mean Pra, Pa, and Pd were 4.1 ± 3.8 mm Hg, 82.6 ± 12.2 mm Hg, and 63.8 ± 14.3 mm Hg, respectively. In the major donor vessel, FFRmyo showed a difference of 0.007 to FFR (0.760 ± 0.113 vs. 0.767 ± 0.112, p = 0.004). In the minor donor vessel the difference was 0.004 (0.895 ± 0.067 vs. 0.899 ± 0.065, p &lt; 0.001). There was a strong positive correlation between the FFR and FFRmyo in both the major and minor donor vessel groups (r = 0.993, p &lt; 0.001 and r = 0.996, p &lt; 0.001 respectively).\nCONCLUSION: In the presence of a CTO, RA pressure adjustment of FFR in the non-CTO vessels leads to trivial numerical changes, which are statistically significant but clinically negligible.","container-title":"Cardiovascular Revascularization Medicine: Including Molecular Interventions","DOI":"10.1016/j.carrev.2018.02.001","ISSN":"1878-0938","journalAbbreviation":"Cardiovasc Revasc Med","language":"eng","note":"PMID: 29501432","source":"PubMed","title":"Impact of right atrial pressure on fractional flow reserve calculation in the presence of a chronic total occlusion","author":[{"family":"Karamasis","given":"Grigoris V."},{"family":"Kalogeropoulos","given":"Andreas S."},{"family":"Mohdnazri","given":"Shah H."},{"family":"Al-Janabi","given":"Firas"},{"family":"Jagathesan","given":"Rohan"},{"family":"Clesham","given":"Gerald J."},{"family":"Tang","given":"Kare H."},{"family":"Kelly","given":"Paul A."},{"family":"Davies","given":"John R."},{"family":"Keeble","given":"Thomas R."}],"issued":{"date-parts":[["2018",2,7]]}}}],"schema":"https://github.com/citation-style-language/schema/raw/master/csl-citation.json"}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(Karamasis et al.,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189226CB" w14:textId="533F3209" w:rsidR="00E218FC" w:rsidRPr="00EC6C19" w:rsidRDefault="00E218FC" w:rsidP="00E218FC">
      <w:pPr>
        <w:spacing w:line="360" w:lineRule="auto"/>
        <w:rPr>
          <w:rFonts w:ascii="Times New Roman" w:hAnsi="Times New Roman" w:cs="Times New Roman"/>
          <w:sz w:val="24"/>
          <w:szCs w:val="24"/>
        </w:rPr>
      </w:pPr>
      <w:r w:rsidRPr="00EC6C19">
        <w:rPr>
          <w:rFonts w:ascii="Times New Roman" w:hAnsi="Times New Roman" w:cs="Times New Roman"/>
          <w:sz w:val="24"/>
          <w:szCs w:val="24"/>
        </w:rPr>
        <w:t>In current clinical practice, wedge pressure is not factored into FFR calculation to produce FFR</w:t>
      </w:r>
      <w:r w:rsidRPr="00EC6C19">
        <w:rPr>
          <w:rFonts w:ascii="Times New Roman" w:hAnsi="Times New Roman" w:cs="Times New Roman"/>
          <w:sz w:val="24"/>
          <w:szCs w:val="24"/>
          <w:vertAlign w:val="subscript"/>
        </w:rPr>
        <w:t>cor</w:t>
      </w:r>
      <w:r w:rsidR="00B87EF8" w:rsidRPr="00EC6C19">
        <w:rPr>
          <w:rFonts w:ascii="Times New Roman" w:hAnsi="Times New Roman" w:cs="Times New Roman"/>
          <w:sz w:val="24"/>
          <w:szCs w:val="24"/>
        </w:rPr>
        <w:t xml:space="preserve"> .</w:t>
      </w:r>
      <w:r w:rsidR="00183ADF">
        <w:rPr>
          <w:rFonts w:ascii="Times New Roman" w:hAnsi="Times New Roman" w:cs="Times New Roman"/>
          <w:sz w:val="24"/>
          <w:szCs w:val="24"/>
        </w:rPr>
        <w:t xml:space="preserve"> </w:t>
      </w:r>
      <w:r w:rsidRPr="00EC6C19">
        <w:rPr>
          <w:rFonts w:ascii="Times New Roman" w:hAnsi="Times New Roman" w:cs="Times New Roman"/>
          <w:sz w:val="24"/>
          <w:szCs w:val="24"/>
        </w:rPr>
        <w:t>In patients with extensive collaterals, FFR may be inaccurate.</w:t>
      </w:r>
    </w:p>
    <w:p w14:paraId="39E70559" w14:textId="77777777" w:rsidR="00E218FC" w:rsidRPr="00EC6C19" w:rsidRDefault="00E218FC" w:rsidP="00E218FC">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 xml:space="preserve">Gender has been linked to a difference in FFR values, dating back as far as FAME and it's sub-studies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{"citationID":"Y3FESTE3","properties":{"formattedCitation":"(Kim et al., 2012)","plainCitation":"(Kim et al., 2012)","noteIndex":0},"citationItems":[{"id":557,"uris":["http://zotero.org/users/local/k67tNDdX/items/636T258P"],"uri":["http://zotero.org/users/local/k67tNDdX/items/636T258P"],"itemData":{"id":557,"type":"article-journal","abstract":"OBJECTIVES: This study sought to evaluate the impact of sex differences on fractional flow reserve (FFR)-guided percutaneous coronary intervention (PCI).\nBACKGROUND: The FAME (Fractional Flow Reserve Versus Angiography for Multivessel Evaluation) study demonstrated that FFR-guided PCI improves outcomes compared with an angiography-guided strategy. The role of FFR-guided PCI in women versus men has not been evaluated.\nMETHODS: We analyzed 2-year data from the FAME study in the 744 men and 261 women with multivessel coronary disease, who were randomized to angiography- or FFR-guided PCI. Statistical comparisons based on sex were stratified by treatment method.\nRESULTS: Although women were older and had significantly higher rates of hypertension than men did, there were no differences in the rates of major adverse cardiac events (20.3% vs. 20.2%, p = 0.923) and its individual components at 2 years. FFR values were significantly higher in women than in men (0.75 ± 0.18 vs. 0.71 ± 0.17, p = 0.001). The proportion of functionally significant lesions (FFR ≤ 0.80) was lower in women than in men for lesions with 50% to 70% stenosis (21.1% vs. 39.5%, p &lt; 0.001) and for lesions with 70% to 90% stenosis (71.9% vs. 82.0%, p = 0.019). An FFR-guided strategy resulted in similar relative risk reductions for death, myocardial infarction, and repeat revascularization in men and in women. There were no interactions between sex and treatment method for any outcome variables.\nCONCLUSIONS: In comparison with men, angiographic lesions of similar severity are less likely to be ischemia-producing in women. An FFR-guided PCI strategy is equally beneficial in women as it is in men.","container-title":"JACC. Cardiovascular interventions","DOI":"10.1016/j.jcin.2012.06.016","ISSN":"1876-7605","issue":"10","journalAbbreviation":"JACC Cardiovasc Interv","language":"eng","note":"PMID: 23078733","page":"1037-1042","source":"PubMed","title":"The impact of sex differences on fractional flow reserve-guided percutaneous coronary intervention: a FAME (Fractional Flow Reserve Versus Angiography for Multivessel Evaluation) substudy","title-short":"The impact of sex differences on fractional flow reserve-guided percutaneous coronary intervention","volume":"5","author":[{"family":"Kim","given":"Hyun-Sook"},{"family":"Tonino","given":"Pim A. L."},{"family":"De Bruyne","given":"Bernard"},{"family":"Yong","given":"Andy S. C."},{"family":"Tremmel","given":"Jennifer A."},{"family":"Pijls","given":"Nico H. J."},{"family":"Fearon","given":"William F."},{"literal":"FAME Study Investigators"}],"issued":{"date-parts":[["2012",10]]}}}],"schema":"https://github.com/citation-style-language/schema/raw/master/csl-citation.json"} </w:instrText>
      </w:r>
      <w:r w:rsidR="00106A32" w:rsidRPr="00EC6C19">
        <w:rPr>
          <w:rFonts w:ascii="Times New Roman" w:hAnsi="Times New Roman" w:cs="Times New Roman"/>
          <w:sz w:val="24"/>
          <w:szCs w:val="24"/>
        </w:rPr>
        <w:fldChar w:fldCharType="separate"/>
      </w:r>
      <w:r w:rsidR="006D2BB5" w:rsidRPr="00EC6C19">
        <w:rPr>
          <w:rFonts w:ascii="Times New Roman" w:hAnsi="Times New Roman" w:cs="Times New Roman"/>
          <w:sz w:val="24"/>
          <w:szCs w:val="24"/>
        </w:rPr>
        <w:t xml:space="preserve">(Kim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.The general explanation is thought to be due to microvascular dysfunction. Another theory is that the female heart is smaller with less myocardial mass to subtend. This in turn leads to a higher FFR on average</w:t>
      </w:r>
      <w:r w:rsidR="00912A2A">
        <w:rPr>
          <w:rFonts w:ascii="Times New Roman" w:hAnsi="Times New Roman" w:cs="Times New Roman"/>
          <w:sz w:val="24"/>
          <w:szCs w:val="24"/>
        </w:rPr>
        <w:t xml:space="preserve"> in females when compared with males</w:t>
      </w:r>
      <w:r w:rsidRPr="00EC6C19">
        <w:rPr>
          <w:rFonts w:ascii="Times New Roman" w:hAnsi="Times New Roman" w:cs="Times New Roman"/>
          <w:sz w:val="24"/>
          <w:szCs w:val="24"/>
        </w:rPr>
        <w:t>.</w:t>
      </w:r>
    </w:p>
    <w:p w14:paraId="6EC50BBC" w14:textId="77777777" w:rsidR="00E218FC" w:rsidRPr="00EC6C19" w:rsidRDefault="00E218FC" w:rsidP="00E218FC">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current haemodynamic state of the patient can alter pressure derived indices. Tachycardia, and raised left ventricular end diastolic pressure (LVEDP) may increase microvascular resistance and in turn FFR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{"citationID":"oEChW88H","properties":{"formattedCitation":"(Spaan et al., 2006)","plainCitation":"(Spaan et al., 2006)","noteIndex":0},"citationItems":[{"id":559,"uris":["http://zotero.org/users/local/k67tNDdX/items/FPWGBGAC"],"uri":["http://zotero.org/users/local/k67tNDdX/items/FPWGBGAC"],"itemData":{"id":559,"type":"article-journal","abstract":"In deriving clinically used hemodynamic indices such as fractional flow reserve and coronary flow velocity reserve, simplified models of the coronary circulation are used. In particular, myocardial resistance is assumed to be independent of factors such as heart contraction and driving pressure. These simplifying assumptions are not always justified. In this review we focus on distensibility of resistance vessels, the shape of coronary pressure-flow lines, and the influence of collateral flow on these lines. We show that (1) the coronary system is intrinsically nonlinear because resistance vessels at maximal vasodilation change diameter with pressure and cardiac function; (2) the assumption of collateral flow is not needed to explain the difference between pressure-derived and flow-derived fractional flow reserve; and (3) collateral flow plays a role only at low distal pressures. We conclude that traditional hemodynamic indices are valuable for clinical decision making but that clinical studies of coronary physiology will benefit greatly from combined measurements of coronary flow or velocity and pressure.","container-title":"Circulation","DOI":"10.1161/CIRCULATIONAHA.105.587196","ISSN":"1524-4539","issue":"3","journalAbbreviation":"Circulation","language":"eng","note":"PMID: 16432075","page":"446-455","source":"PubMed","title":"Physiological basis of clinically used coronary hemodynamic indices","volume":"113","author":[{"family":"Spaan","given":"Jos A. E."},{"family":"Piek","given":"Jan J."},{"family":"Hoffman","given":"Julien I. E."},{"family":"Siebes","given":"Maria"}],"issued":{"date-parts":[["2006",1,24]]}}}],"schema":"https://github.com/citation-style-language/schema/raw/master/csl-citation.json"} </w:instrText>
      </w:r>
      <w:r w:rsidR="00106A32" w:rsidRPr="00EC6C19">
        <w:rPr>
          <w:rFonts w:ascii="Times New Roman" w:hAnsi="Times New Roman" w:cs="Times New Roman"/>
          <w:sz w:val="24"/>
          <w:szCs w:val="24"/>
        </w:rPr>
        <w:fldChar w:fldCharType="separate"/>
      </w:r>
      <w:r w:rsidR="006D2BB5" w:rsidRPr="00EC6C19">
        <w:rPr>
          <w:rFonts w:ascii="Times New Roman" w:hAnsi="Times New Roman" w:cs="Times New Roman"/>
          <w:sz w:val="24"/>
          <w:szCs w:val="24"/>
        </w:rPr>
        <w:t xml:space="preserve">(Spaan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Furthermore patient's with microvascular dysfunction may not respond to pharmacological vasodilatation, leading to falsely elevated FFR measurements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{"citationID":"86SqLrJn","properties":{"formattedCitation":"(van de Hoef et al., 2013)","plainCitation":"(van de Hoef et al., 2013)","noteIndex":0},"citationItems":[{"id":561,"uris":["http://zotero.org/users/local/k67tNDdX/items/R4Z456BA"],"uri":["http://zotero.org/users/local/k67tNDdX/items/R4Z456BA"],"itemData":{"id":561,"type":"article-journal","abstract":"Documentation of inducible myocardial ischaemia, related to the coronary stenosis of interest, is of increasing importance in lesion selection for percutaneous coronary intervention (PCI). Fractional flow reserve (FFR) is an easily understood, routine diagnostic modality that has become part of daily clinical practice, and is used as a surrogate technique for noninvasive assessment of myocardial ischaemia. However, the application of a single, discrete, cut-off value for FFR-guided lesion selection for PCI, and its adoption in contemporary revascularization guidelines, has limited the requirement for a thorough understanding of the physiological basis of FFR. This limitation constitutes an obstacle for the adequate use and interpretation of this technique, and also for the understanding of new and future modalities of physiological functional intracoronary testing. In this Review, we revisit the fundamental elements of coronary physiology in the absence or presence of coronary artery disease. We provide insight into three essential characteristics of FFR as a diagnostic tool in contemporary clinical practice--the theoretical framework of FFR and its associated limitations; the characteristics and role of FFR as a surrogate for noninvasively assessed myocardial ischaemia; and the requirement and associated caveats of potent vasodilatory drugs to induce maximal vasodilatation of the coronary vascular bed.","container-title":"Nature Reviews. Cardiology","DOI":"10.1038/nrcardio.2013.86","ISSN":"1759-5010","issue":"8","journalAbbreviation":"Nat Rev Cardiol","language":"eng","note":"PMID: 23752699","page":"439-452","source":"PubMed","title":"Fractional flow reserve as a surrogate for inducible myocardial ischaemia","volume":"10","author":[{"family":"Hoef","given":"Tim P.","non-dropping-particle":"van de"},{"family":"Meuwissen","given":"Martijn"},{"family":"Escaned","given":"Javier"},{"family":"Davies","given":"Justin E."},{"family":"Siebes","given":"Maria"},{"family":"Spaan","given":"Jos A. E."},{"family":"Piek","given":"Jan J."}],"issued":{"date-parts":[["2013",8]]}}}],"schema":"https://github.com/citation-style-language/schema/raw/master/csl-citation.json"} </w:instrText>
      </w:r>
      <w:r w:rsidR="00106A32" w:rsidRPr="00EC6C19">
        <w:rPr>
          <w:rFonts w:ascii="Times New Roman" w:hAnsi="Times New Roman" w:cs="Times New Roman"/>
          <w:sz w:val="24"/>
          <w:szCs w:val="24"/>
        </w:rPr>
        <w:fldChar w:fldCharType="separate"/>
      </w:r>
      <w:r w:rsidR="006D2BB5" w:rsidRPr="00EC6C19">
        <w:rPr>
          <w:rFonts w:ascii="Times New Roman" w:hAnsi="Times New Roman" w:cs="Times New Roman"/>
          <w:sz w:val="24"/>
          <w:szCs w:val="24"/>
        </w:rPr>
        <w:t xml:space="preserve">(van de Hoef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1860146D" w14:textId="77777777" w:rsidR="00E218FC" w:rsidRPr="00EC6C19" w:rsidRDefault="00E218FC" w:rsidP="00E218FC">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amount of mass subtended by a coronary artery is linked to fractional flow reserve, with higher myocardial mass being more likely to produce a positive pressure derived value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{"citationID":"Sln0knQt","properties":{"formattedCitation":"(Leone et al., 2013b)","plainCitation":"(Leone et al., 2013b)","noteIndex":0},"citationItems":[{"id":563,"uris":["http://zotero.org/users/local/k67tNDdX/items/E4BLHDMG"],"uri":["http://zotero.org/users/local/k67tNDdX/items/E4BLHDMG"],"itemData":{"id":563,"type":"article-journal","abstract":"BACKGROUND: Fractional flow reserve (FFR) specifically relates to the severity of a stenosis to the mass of tissue to be perfused. Accordingly, the larger the territory to be perfused, the greater the flow and the pressure gradient induced by maximal hyperemia. Although this notion may be considered intuitive, its unequivocal demonstration is still lacking. The aim of our study was to evaluate the influence of the amount of myocardium subtended to an intermediate stenosis on FFR, especially in relation to quantitative coronary angiography.\nMETHODS AND RESULTS: The severity of each lesion was assessed by FFR and 2-dimensional quantitative coronary angiography. The amount of jeopardized myocardium was evaluated using 3 validated scores specifically adapted to this aim: the Duke Jeopardy Score (DJS), the Myocardial Jeopardy Index (MJI), and the Alberta Provincial Project for Outcome Assessment in Coronary Heart Disease (APPROACH) Lesion Score (ALS). The presence of a concomitant collateralized chronic total occlusion was also reported. A total of 213 intermediate coronary stenoses in 184 patients were enrolled. FFR values were correlated to minimal lumen diameter (r=0.34; P&lt;0.0001) and diameter stenosis (r=-0.28; P&lt;0.0001). FFR was inversely correlated with DJS, MJI, and ALS (r=-0.28, P&lt;0.0001; r=-0.40, P&lt;0.0001; and r=-0.34, P&lt;0.0001). Lesions localized on proximal left anterior descending were related to significantly lower FFR values and to a higher rate of a positive FFR compared with those in distal left anterior descending, left circumflex, and right coronary arteries (0.80±0.09 versus 0.84±0.08 versus 0.88±0.09 versus 0.91±0.04; P&lt;0.0001). The presence of a collateralized chronic total occlusion was associated with significantly lower FFR values (0.80±0.07 versus 0.85±0.09; P&lt;0.005). At multivariate analysis MJI, minimal lumen diameter, and presence of a collateralized chronic total occlusion were confirmed as significant predictors of FFR.\nCONCLUSIONS: A larger amount of perfused myocardium subtended by a stenosis is associated with a higher probability that an angiographically intermediate coronary stenosis is functionally significant.","container-title":"Circulation. Cardiovascular Interventions","DOI":"10.1161/CIRCINTERVENTIONS.112.971101","ISSN":"1941-7632","issue":"1","journalAbbreviation":"Circ Cardiovasc Interv","language":"eng","note":"PMID: 23322740","page":"29-36","source":"PubMed","title":"Influence of the amount of myocardium subtended by a stenosis on fractional flow reserve","volume":"6","author":[{"family":"Leone","given":"Antonio Maria"},{"family":"De Caterina","given":"Alberto Ranieri"},{"family":"Basile","given":"Eloisa"},{"family":"Gardi","given":"Andrea"},{"family":"Laezza","given":"Domenico"},{"family":"Mazzari","given":"Mario Attilio"},{"family":"Mongiardo","given":"Rocco"},{"family":"Kharbanda","given":"Rajesh"},{"family":"Cuculi","given":"Florim"},{"family":"Porto","given":"Italo"},{"family":"Niccoli","given":"Giampaolo"},{"family":"Burzotta","given":"Francesco"},{"family":"Trani","given":"Carlo"},{"family":"Banning","given":"Adrian Paul"},{"family":"Rebuzzi","given":"Antonio Giuseppe"},{"family":"Crea","given":"Filippo"}],"issued":{"date-parts":[["2013",2]]}}}],"schema":"https://github.com/citation-style-language/schema/raw/master/csl-citation.json"}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(Leone et al., 2013b)</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This is due to increased flow, due to more myocardium, and in turn a reduction in pressure. </w:t>
      </w:r>
    </w:p>
    <w:p w14:paraId="38FC4714" w14:textId="442CEEDC" w:rsidR="00E218FC" w:rsidRPr="00EC6C19" w:rsidRDefault="00E218FC" w:rsidP="00E218FC">
      <w:pPr>
        <w:spacing w:line="360" w:lineRule="auto"/>
        <w:rPr>
          <w:rFonts w:ascii="Times New Roman" w:hAnsi="Times New Roman" w:cs="Times New Roman"/>
          <w:sz w:val="24"/>
          <w:szCs w:val="24"/>
        </w:rPr>
      </w:pPr>
      <w:r w:rsidRPr="00EC6C19">
        <w:rPr>
          <w:rFonts w:ascii="Times New Roman" w:hAnsi="Times New Roman" w:cs="Times New Roman"/>
          <w:sz w:val="24"/>
          <w:szCs w:val="24"/>
        </w:rPr>
        <w:t>Finally, one must not forget the technical and practical issues in measuring pressure derived indices. There is a distinct learning curve when first introduced to a new catheter laboratory and various human or technical errors, may alter recordings. One hopes these will be minimised with time and experience, but good clinical practice is paramount. Technical points include</w:t>
      </w:r>
      <w:r w:rsidR="00183ADF">
        <w:rPr>
          <w:rFonts w:ascii="Times New Roman" w:hAnsi="Times New Roman" w:cs="Times New Roman"/>
          <w:sz w:val="24"/>
          <w:szCs w:val="24"/>
        </w:rPr>
        <w:t>:</w:t>
      </w:r>
    </w:p>
    <w:p w14:paraId="413FADEC" w14:textId="77777777" w:rsidR="00E218FC" w:rsidRPr="00EC6C19" w:rsidRDefault="00E218FC" w:rsidP="00E218FC">
      <w:pPr>
        <w:pStyle w:val="ListParagraph"/>
        <w:numPr>
          <w:ilvl w:val="0"/>
          <w:numId w:val="8"/>
        </w:numPr>
        <w:spacing w:line="360" w:lineRule="auto"/>
        <w:rPr>
          <w:rFonts w:ascii="Times New Roman" w:hAnsi="Times New Roman" w:cs="Times New Roman"/>
          <w:sz w:val="24"/>
          <w:szCs w:val="24"/>
        </w:rPr>
      </w:pPr>
      <w:r w:rsidRPr="00EC6C19">
        <w:rPr>
          <w:rFonts w:ascii="Times New Roman" w:hAnsi="Times New Roman" w:cs="Times New Roman"/>
          <w:sz w:val="24"/>
          <w:szCs w:val="24"/>
        </w:rPr>
        <w:t>Adequate administration of vasodilators</w:t>
      </w:r>
    </w:p>
    <w:p w14:paraId="4300008A" w14:textId="77777777" w:rsidR="00E218FC" w:rsidRPr="00EC6C19" w:rsidRDefault="00E218FC" w:rsidP="00E218FC">
      <w:pPr>
        <w:pStyle w:val="ListParagraph"/>
        <w:numPr>
          <w:ilvl w:val="0"/>
          <w:numId w:val="8"/>
        </w:numPr>
        <w:spacing w:line="360" w:lineRule="auto"/>
        <w:rPr>
          <w:rFonts w:ascii="Times New Roman" w:hAnsi="Times New Roman" w:cs="Times New Roman"/>
          <w:sz w:val="24"/>
          <w:szCs w:val="24"/>
        </w:rPr>
      </w:pPr>
      <w:r w:rsidRPr="00EC6C19">
        <w:rPr>
          <w:rFonts w:ascii="Times New Roman" w:hAnsi="Times New Roman" w:cs="Times New Roman"/>
          <w:sz w:val="24"/>
          <w:szCs w:val="24"/>
        </w:rPr>
        <w:t>Flushing of the guide catheter and coronary artery with saline to clear contrast</w:t>
      </w:r>
    </w:p>
    <w:p w14:paraId="722184BF" w14:textId="77777777" w:rsidR="00E218FC" w:rsidRPr="00EC6C19" w:rsidRDefault="00E218FC" w:rsidP="00E218FC">
      <w:pPr>
        <w:pStyle w:val="ListParagraph"/>
        <w:numPr>
          <w:ilvl w:val="0"/>
          <w:numId w:val="8"/>
        </w:numPr>
        <w:spacing w:line="360" w:lineRule="auto"/>
        <w:rPr>
          <w:rFonts w:ascii="Times New Roman" w:hAnsi="Times New Roman" w:cs="Times New Roman"/>
          <w:sz w:val="24"/>
          <w:szCs w:val="24"/>
        </w:rPr>
      </w:pPr>
      <w:r w:rsidRPr="00EC6C19">
        <w:rPr>
          <w:rFonts w:ascii="Times New Roman" w:hAnsi="Times New Roman" w:cs="Times New Roman"/>
          <w:sz w:val="24"/>
          <w:szCs w:val="24"/>
        </w:rPr>
        <w:t>Correct normalisation of the pressure wire in the proximal vessel</w:t>
      </w:r>
    </w:p>
    <w:p w14:paraId="0AEE92B2" w14:textId="77777777" w:rsidR="00E218FC" w:rsidRPr="00EC6C19" w:rsidRDefault="00E218FC" w:rsidP="00E218FC">
      <w:pPr>
        <w:pStyle w:val="ListParagraph"/>
        <w:numPr>
          <w:ilvl w:val="0"/>
          <w:numId w:val="8"/>
        </w:numPr>
        <w:spacing w:line="360" w:lineRule="auto"/>
        <w:rPr>
          <w:rFonts w:ascii="Times New Roman" w:hAnsi="Times New Roman" w:cs="Times New Roman"/>
          <w:sz w:val="24"/>
          <w:szCs w:val="24"/>
        </w:rPr>
      </w:pPr>
      <w:r w:rsidRPr="00EC6C19">
        <w:rPr>
          <w:rFonts w:ascii="Times New Roman" w:hAnsi="Times New Roman" w:cs="Times New Roman"/>
          <w:sz w:val="24"/>
          <w:szCs w:val="24"/>
        </w:rPr>
        <w:t>Selection of an appropriate guide catheter for the artery in question, to avoid wedging and pressure drop.</w:t>
      </w:r>
    </w:p>
    <w:p w14:paraId="7D7E5B27" w14:textId="77777777" w:rsidR="00E218FC" w:rsidRPr="00EC6C19" w:rsidRDefault="00E218FC" w:rsidP="00E218FC">
      <w:pPr>
        <w:pStyle w:val="ListParagraph"/>
        <w:numPr>
          <w:ilvl w:val="0"/>
          <w:numId w:val="8"/>
        </w:numPr>
        <w:spacing w:line="360" w:lineRule="auto"/>
        <w:rPr>
          <w:rFonts w:ascii="Times New Roman" w:hAnsi="Times New Roman" w:cs="Times New Roman"/>
          <w:sz w:val="24"/>
          <w:szCs w:val="24"/>
        </w:rPr>
      </w:pPr>
      <w:r w:rsidRPr="00EC6C19">
        <w:rPr>
          <w:rFonts w:ascii="Times New Roman" w:hAnsi="Times New Roman" w:cs="Times New Roman"/>
          <w:sz w:val="24"/>
          <w:szCs w:val="24"/>
        </w:rPr>
        <w:t>Recognition of submaximal hyperaemia.</w:t>
      </w:r>
    </w:p>
    <w:p w14:paraId="737BD29D" w14:textId="77777777" w:rsidR="00E218FC" w:rsidRPr="00EC6C19" w:rsidRDefault="00E218FC" w:rsidP="00972974">
      <w:pPr>
        <w:spacing w:line="360" w:lineRule="auto"/>
        <w:rPr>
          <w:rFonts w:ascii="Times New Roman" w:hAnsi="Times New Roman" w:cs="Times New Roman"/>
          <w:sz w:val="24"/>
          <w:szCs w:val="24"/>
          <w:shd w:val="clear" w:color="auto" w:fill="FFFFFF"/>
        </w:rPr>
      </w:pPr>
    </w:p>
    <w:p w14:paraId="704BBD27" w14:textId="77777777" w:rsidR="005074D7" w:rsidRPr="0006539A" w:rsidRDefault="00E218FC" w:rsidP="00972974">
      <w:pPr>
        <w:spacing w:line="360" w:lineRule="auto"/>
        <w:rPr>
          <w:rFonts w:ascii="Times New Roman" w:hAnsi="Times New Roman" w:cs="Times New Roman"/>
          <w:sz w:val="24"/>
          <w:szCs w:val="24"/>
          <w:shd w:val="clear" w:color="auto" w:fill="FFFFFF"/>
        </w:rPr>
      </w:pPr>
      <w:r w:rsidRPr="00EC6C19">
        <w:rPr>
          <w:rFonts w:ascii="Times New Roman" w:hAnsi="Times New Roman" w:cs="Times New Roman"/>
          <w:sz w:val="24"/>
          <w:szCs w:val="24"/>
          <w:shd w:val="clear" w:color="auto" w:fill="FFFFFF"/>
        </w:rPr>
        <w:t>Lastly, the effect of hydrostatic pressure is negated in clinical pra</w:t>
      </w:r>
      <w:r w:rsidR="006D2BB5" w:rsidRPr="00EC6C19">
        <w:rPr>
          <w:rFonts w:ascii="Times New Roman" w:hAnsi="Times New Roman" w:cs="Times New Roman"/>
          <w:sz w:val="24"/>
          <w:szCs w:val="24"/>
          <w:shd w:val="clear" w:color="auto" w:fill="FFFFFF"/>
        </w:rPr>
        <w:t>ctice. Hydrostatic pressure is present</w:t>
      </w:r>
      <w:r w:rsidRPr="00EC6C19">
        <w:rPr>
          <w:rFonts w:ascii="Times New Roman" w:hAnsi="Times New Roman" w:cs="Times New Roman"/>
          <w:sz w:val="24"/>
          <w:szCs w:val="24"/>
          <w:shd w:val="clear" w:color="auto" w:fill="FFFFFF"/>
        </w:rPr>
        <w:t xml:space="preserve"> due to the vertical distance between the </w:t>
      </w:r>
      <w:r w:rsidR="006D2BB5" w:rsidRPr="00EC6C19">
        <w:rPr>
          <w:rFonts w:ascii="Times New Roman" w:hAnsi="Times New Roman" w:cs="Times New Roman"/>
          <w:sz w:val="24"/>
          <w:szCs w:val="24"/>
          <w:shd w:val="clear" w:color="auto" w:fill="FFFFFF"/>
        </w:rPr>
        <w:t>pressure wire in the coronary artery, and the guide catheter in the aorta/ostial vessel. The pressure at these points is not the same if vertically they lie at different levels, producing a potentially important confounding factor.</w:t>
      </w:r>
    </w:p>
    <w:p w14:paraId="24A48591" w14:textId="77777777" w:rsidR="00FF3178" w:rsidRPr="00A00967" w:rsidRDefault="00A542B2" w:rsidP="00A00967">
      <w:pPr>
        <w:pStyle w:val="Heading2"/>
        <w:rPr>
          <w:rFonts w:ascii="Times New Roman" w:hAnsi="Times New Roman" w:cs="Times New Roman"/>
          <w:color w:val="auto"/>
          <w:sz w:val="24"/>
          <w:szCs w:val="24"/>
          <w:shd w:val="clear" w:color="auto" w:fill="FFFFFF"/>
        </w:rPr>
      </w:pPr>
      <w:bookmarkStart w:id="51" w:name="_Toc80302185"/>
      <w:r>
        <w:rPr>
          <w:rFonts w:ascii="Times New Roman" w:hAnsi="Times New Roman" w:cs="Times New Roman"/>
          <w:color w:val="auto"/>
          <w:sz w:val="24"/>
          <w:szCs w:val="24"/>
        </w:rPr>
        <w:lastRenderedPageBreak/>
        <w:t xml:space="preserve">1.12 - </w:t>
      </w:r>
      <w:r w:rsidR="00FF3178" w:rsidRPr="00A00967">
        <w:rPr>
          <w:rFonts w:ascii="Times New Roman" w:hAnsi="Times New Roman" w:cs="Times New Roman"/>
          <w:color w:val="auto"/>
          <w:sz w:val="24"/>
          <w:szCs w:val="24"/>
        </w:rPr>
        <w:t>Hydrostatic Pressure</w:t>
      </w:r>
      <w:bookmarkEnd w:id="51"/>
      <w:r w:rsidR="00A00967" w:rsidRPr="00A00967">
        <w:rPr>
          <w:rFonts w:ascii="Times New Roman" w:hAnsi="Times New Roman" w:cs="Times New Roman"/>
          <w:color w:val="auto"/>
          <w:sz w:val="24"/>
          <w:szCs w:val="24"/>
        </w:rPr>
        <w:br/>
      </w:r>
    </w:p>
    <w:p w14:paraId="56A4E404" w14:textId="77777777" w:rsidR="00972974" w:rsidRPr="00EC6C19" w:rsidRDefault="00972974" w:rsidP="00972974">
      <w:pPr>
        <w:spacing w:line="360" w:lineRule="auto"/>
        <w:rPr>
          <w:rFonts w:ascii="Times New Roman" w:hAnsi="Times New Roman" w:cs="Times New Roman"/>
          <w:b/>
          <w:sz w:val="24"/>
          <w:szCs w:val="24"/>
        </w:rPr>
      </w:pPr>
    </w:p>
    <w:p w14:paraId="0ECC4D37" w14:textId="0AD44178" w:rsidR="00972974" w:rsidRPr="00EC6C19" w:rsidRDefault="00183ADF" w:rsidP="00972974">
      <w:pPr>
        <w:spacing w:line="360" w:lineRule="auto"/>
        <w:rPr>
          <w:rFonts w:ascii="Times New Roman" w:hAnsi="Times New Roman" w:cs="Times New Roman"/>
          <w:sz w:val="24"/>
          <w:szCs w:val="24"/>
        </w:rPr>
      </w:pPr>
      <w:r w:rsidRPr="00EC6C19">
        <w:rPr>
          <w:rFonts w:ascii="Times New Roman" w:hAnsi="Times New Roman" w:cs="Times New Roman"/>
          <w:sz w:val="24"/>
          <w:szCs w:val="24"/>
        </w:rPr>
        <w:t>Hydrostatic pressure</w:t>
      </w:r>
      <w:r w:rsidR="00972974" w:rsidRPr="00EC6C19">
        <w:rPr>
          <w:rFonts w:ascii="Times New Roman" w:hAnsi="Times New Roman" w:cs="Times New Roman"/>
          <w:sz w:val="24"/>
          <w:szCs w:val="24"/>
        </w:rPr>
        <w:t xml:space="preserve"> is the pressure exerted by fluid in a confined space. </w:t>
      </w:r>
      <w:r w:rsidR="00C97165" w:rsidRPr="00EC6C19">
        <w:rPr>
          <w:rFonts w:ascii="Times New Roman" w:hAnsi="Times New Roman" w:cs="Times New Roman"/>
          <w:sz w:val="24"/>
          <w:szCs w:val="24"/>
        </w:rPr>
        <w:t>In relation to</w:t>
      </w:r>
      <w:r w:rsidR="00972974" w:rsidRPr="00EC6C19">
        <w:rPr>
          <w:rFonts w:ascii="Times New Roman" w:hAnsi="Times New Roman" w:cs="Times New Roman"/>
          <w:sz w:val="24"/>
          <w:szCs w:val="24"/>
        </w:rPr>
        <w:t xml:space="preserve"> coronary physiology, </w:t>
      </w:r>
      <w:r w:rsidR="00A118E5">
        <w:rPr>
          <w:rFonts w:ascii="Times New Roman" w:hAnsi="Times New Roman" w:cs="Times New Roman"/>
          <w:sz w:val="24"/>
          <w:szCs w:val="24"/>
        </w:rPr>
        <w:t>coronary arteries are a close fluid system</w:t>
      </w:r>
      <w:r w:rsidR="00972974" w:rsidRPr="00EC6C19">
        <w:rPr>
          <w:rFonts w:ascii="Times New Roman" w:hAnsi="Times New Roman" w:cs="Times New Roman"/>
          <w:sz w:val="24"/>
          <w:szCs w:val="24"/>
        </w:rPr>
        <w:t>, with the fluid being blood. Hydrostatic pressure in coronary vessels</w:t>
      </w:r>
      <w:r w:rsidR="005B4283" w:rsidRPr="00EC6C19">
        <w:rPr>
          <w:rFonts w:ascii="Times New Roman" w:hAnsi="Times New Roman" w:cs="Times New Roman"/>
          <w:sz w:val="24"/>
          <w:szCs w:val="24"/>
        </w:rPr>
        <w:t xml:space="preserve"> is therefore </w:t>
      </w:r>
      <w:r w:rsidR="00972974" w:rsidRPr="00EC6C19">
        <w:rPr>
          <w:rFonts w:ascii="Times New Roman" w:hAnsi="Times New Roman" w:cs="Times New Roman"/>
          <w:sz w:val="24"/>
          <w:szCs w:val="24"/>
        </w:rPr>
        <w:t>blood pressure.</w:t>
      </w:r>
    </w:p>
    <w:p w14:paraId="4EBAEFB3" w14:textId="77777777" w:rsidR="00972974" w:rsidRPr="00EC6C19" w:rsidRDefault="00972974" w:rsidP="00972974">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This pressure forms the basis of invasive physiology measurements used so frequently in the catheterisation laboratory. </w:t>
      </w:r>
      <w:r w:rsidR="005B4283" w:rsidRPr="00EC6C19">
        <w:rPr>
          <w:rFonts w:ascii="Times New Roman" w:hAnsi="Times New Roman" w:cs="Times New Roman"/>
          <w:sz w:val="24"/>
          <w:szCs w:val="24"/>
        </w:rPr>
        <w:t>M</w:t>
      </w:r>
      <w:r w:rsidRPr="00EC6C19">
        <w:rPr>
          <w:rFonts w:ascii="Times New Roman" w:hAnsi="Times New Roman" w:cs="Times New Roman"/>
          <w:sz w:val="24"/>
          <w:szCs w:val="24"/>
        </w:rPr>
        <w:t>easurements are taken in the distal vessel, across a stenosis, and compared with pressure at the origin of the vessel or aorta. This, as described, forms the basis of FFR calculation, the gold standard technique for stenosis assessment for decades.</w:t>
      </w:r>
    </w:p>
    <w:p w14:paraId="748A931F" w14:textId="77777777" w:rsidR="00C97165" w:rsidRPr="00EC6C19" w:rsidRDefault="00972974" w:rsidP="00972974">
      <w:pPr>
        <w:spacing w:line="360" w:lineRule="auto"/>
        <w:rPr>
          <w:rFonts w:ascii="Times New Roman" w:hAnsi="Times New Roman" w:cs="Times New Roman"/>
          <w:sz w:val="24"/>
          <w:szCs w:val="24"/>
        </w:rPr>
      </w:pPr>
      <w:r w:rsidRPr="00EC6C19">
        <w:rPr>
          <w:rFonts w:ascii="Times New Roman" w:hAnsi="Times New Roman" w:cs="Times New Roman"/>
          <w:sz w:val="24"/>
          <w:szCs w:val="24"/>
        </w:rPr>
        <w:t>According to the physical laws of fluid dynamics, hydro</w:t>
      </w:r>
      <w:r w:rsidR="005B4283" w:rsidRPr="00EC6C19">
        <w:rPr>
          <w:rFonts w:ascii="Times New Roman" w:hAnsi="Times New Roman" w:cs="Times New Roman"/>
          <w:sz w:val="24"/>
          <w:szCs w:val="24"/>
        </w:rPr>
        <w:t>static pressure changes due to the</w:t>
      </w:r>
      <w:r w:rsidRPr="00EC6C19">
        <w:rPr>
          <w:rFonts w:ascii="Times New Roman" w:hAnsi="Times New Roman" w:cs="Times New Roman"/>
          <w:sz w:val="24"/>
          <w:szCs w:val="24"/>
        </w:rPr>
        <w:t xml:space="preserve"> ver</w:t>
      </w:r>
      <w:r w:rsidR="005B4283" w:rsidRPr="00EC6C19">
        <w:rPr>
          <w:rFonts w:ascii="Times New Roman" w:hAnsi="Times New Roman" w:cs="Times New Roman"/>
          <w:sz w:val="24"/>
          <w:szCs w:val="24"/>
        </w:rPr>
        <w:t>tical point of measurement</w:t>
      </w:r>
      <w:r w:rsidRPr="00EC6C19">
        <w:rPr>
          <w:rFonts w:ascii="Times New Roman" w:hAnsi="Times New Roman" w:cs="Times New Roman"/>
          <w:sz w:val="24"/>
          <w:szCs w:val="24"/>
        </w:rPr>
        <w:t xml:space="preserve"> in a cylindrical tube, due to the force of gravity</w:t>
      </w:r>
      <w:r w:rsidR="00E218FC" w:rsidRPr="00EC6C19">
        <w:rPr>
          <w:rFonts w:ascii="Times New Roman" w:hAnsi="Times New Roman" w:cs="Times New Roman"/>
          <w:sz w:val="24"/>
          <w:szCs w:val="24"/>
        </w:rPr>
        <w:t xml:space="preserve"> </w:t>
      </w:r>
      <w:r w:rsidR="00106A32" w:rsidRPr="000E7233">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{"citationID":"lN8SBBpO","properties":{"formattedCitation":"(H\\uc0\\u228{}rle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0E7233">
        <w:rPr>
          <w:rFonts w:ascii="Times New Roman" w:hAnsi="Times New Roman" w:cs="Times New Roman"/>
          <w:sz w:val="24"/>
          <w:szCs w:val="24"/>
        </w:rPr>
        <w:fldChar w:fldCharType="separate"/>
      </w:r>
      <w:r w:rsidR="00E218FC" w:rsidRPr="000E7233">
        <w:rPr>
          <w:rFonts w:ascii="Times New Roman" w:hAnsi="Times New Roman" w:cs="Times New Roman"/>
          <w:sz w:val="24"/>
          <w:szCs w:val="24"/>
        </w:rPr>
        <w:t xml:space="preserve">(Härle </w:t>
      </w:r>
      <w:r w:rsidR="00B22321" w:rsidRPr="000E7233">
        <w:rPr>
          <w:rFonts w:ascii="Times New Roman" w:hAnsi="Times New Roman" w:cs="Times New Roman"/>
          <w:sz w:val="24"/>
          <w:szCs w:val="24"/>
        </w:rPr>
        <w:t>et al.,</w:t>
      </w:r>
      <w:r w:rsidR="006D2BB5" w:rsidRPr="000E7233">
        <w:rPr>
          <w:rFonts w:ascii="Times New Roman" w:hAnsi="Times New Roman" w:cs="Times New Roman"/>
          <w:sz w:val="24"/>
          <w:szCs w:val="24"/>
        </w:rPr>
        <w:t xml:space="preserve"> 2017</w:t>
      </w:r>
      <w:r w:rsidR="00756A5E" w:rsidRPr="000E7233">
        <w:rPr>
          <w:rFonts w:ascii="Times New Roman" w:hAnsi="Times New Roman" w:cs="Times New Roman"/>
          <w:sz w:val="24"/>
          <w:szCs w:val="24"/>
        </w:rPr>
        <w:t>a</w:t>
      </w:r>
      <w:r w:rsidR="00D212BB" w:rsidRPr="000E7233">
        <w:rPr>
          <w:rFonts w:ascii="Times New Roman" w:hAnsi="Times New Roman" w:cs="Times New Roman"/>
          <w:sz w:val="24"/>
          <w:szCs w:val="24"/>
        </w:rPr>
        <w:t>)</w:t>
      </w:r>
      <w:r w:rsidR="00106A32" w:rsidRPr="000E7233">
        <w:rPr>
          <w:rFonts w:ascii="Times New Roman" w:hAnsi="Times New Roman" w:cs="Times New Roman"/>
          <w:sz w:val="24"/>
          <w:szCs w:val="24"/>
        </w:rPr>
        <w:fldChar w:fldCharType="end"/>
      </w:r>
      <w:r w:rsidRPr="000E7233">
        <w:rPr>
          <w:rFonts w:ascii="Times New Roman" w:hAnsi="Times New Roman" w:cs="Times New Roman"/>
          <w:sz w:val="24"/>
          <w:szCs w:val="24"/>
        </w:rPr>
        <w:t xml:space="preserve">. Figure </w:t>
      </w:r>
      <w:r w:rsidR="000E7233" w:rsidRPr="000E7233">
        <w:rPr>
          <w:rFonts w:ascii="Times New Roman" w:hAnsi="Times New Roman" w:cs="Times New Roman"/>
          <w:sz w:val="24"/>
          <w:szCs w:val="24"/>
        </w:rPr>
        <w:t>13</w:t>
      </w:r>
      <w:r w:rsidRPr="000E7233">
        <w:rPr>
          <w:rFonts w:ascii="Times New Roman" w:hAnsi="Times New Roman" w:cs="Times New Roman"/>
          <w:sz w:val="24"/>
          <w:szCs w:val="24"/>
        </w:rPr>
        <w:t xml:space="preserve"> explains this</w:t>
      </w:r>
      <w:r w:rsidRPr="00EC6C19">
        <w:rPr>
          <w:rFonts w:ascii="Times New Roman" w:hAnsi="Times New Roman" w:cs="Times New Roman"/>
          <w:sz w:val="24"/>
          <w:szCs w:val="24"/>
        </w:rPr>
        <w:t xml:space="preserve"> in diagrammatic fashion</w:t>
      </w:r>
      <w:r w:rsidR="00C97165" w:rsidRPr="00EC6C19">
        <w:rPr>
          <w:rFonts w:ascii="Times New Roman" w:hAnsi="Times New Roman" w:cs="Times New Roman"/>
          <w:sz w:val="24"/>
          <w:szCs w:val="24"/>
        </w:rPr>
        <w:t>.</w:t>
      </w:r>
    </w:p>
    <w:p w14:paraId="033AF816" w14:textId="77777777" w:rsidR="00421460" w:rsidRPr="00EC6C19" w:rsidRDefault="00421460" w:rsidP="00972974">
      <w:pPr>
        <w:spacing w:line="360" w:lineRule="auto"/>
        <w:rPr>
          <w:rFonts w:ascii="Times New Roman" w:hAnsi="Times New Roman" w:cs="Times New Roman"/>
          <w:sz w:val="24"/>
          <w:szCs w:val="24"/>
        </w:rPr>
      </w:pPr>
    </w:p>
    <w:p w14:paraId="084C2628" w14:textId="77777777" w:rsidR="00421460" w:rsidRPr="00EC6C19" w:rsidRDefault="00421460" w:rsidP="00972974">
      <w:pPr>
        <w:spacing w:line="360" w:lineRule="auto"/>
        <w:rPr>
          <w:rFonts w:ascii="Times New Roman" w:hAnsi="Times New Roman" w:cs="Times New Roman"/>
          <w:sz w:val="24"/>
          <w:szCs w:val="24"/>
        </w:rPr>
      </w:pPr>
    </w:p>
    <w:p w14:paraId="6C608EEB" w14:textId="77777777" w:rsidR="00421460" w:rsidRPr="00EC6C19" w:rsidRDefault="00421460" w:rsidP="00972974">
      <w:pPr>
        <w:spacing w:line="360" w:lineRule="auto"/>
        <w:rPr>
          <w:rFonts w:ascii="Times New Roman" w:hAnsi="Times New Roman" w:cs="Times New Roman"/>
          <w:sz w:val="24"/>
          <w:szCs w:val="24"/>
        </w:rPr>
      </w:pPr>
    </w:p>
    <w:p w14:paraId="4F57BBA8" w14:textId="77777777" w:rsidR="00C97165" w:rsidRPr="00EC6C19" w:rsidRDefault="00C97165" w:rsidP="00C97165">
      <w:pPr>
        <w:spacing w:line="360" w:lineRule="auto"/>
        <w:jc w:val="center"/>
        <w:rPr>
          <w:rFonts w:ascii="Times New Roman" w:hAnsi="Times New Roman" w:cs="Times New Roman"/>
          <w:sz w:val="24"/>
          <w:szCs w:val="24"/>
        </w:rPr>
      </w:pPr>
      <w:r w:rsidRPr="00EC6C19">
        <w:rPr>
          <w:rFonts w:ascii="Times New Roman" w:hAnsi="Times New Roman" w:cs="Times New Roman"/>
          <w:noProof/>
          <w:sz w:val="24"/>
          <w:szCs w:val="24"/>
          <w:lang w:eastAsia="en-GB"/>
        </w:rPr>
        <w:lastRenderedPageBreak/>
        <w:drawing>
          <wp:inline distT="0" distB="0" distL="0" distR="0" wp14:anchorId="4C6C8042" wp14:editId="79814F6C">
            <wp:extent cx="3305175" cy="4721679"/>
            <wp:effectExtent l="19050" t="0" r="9525"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3305175" cy="4721679"/>
                    </a:xfrm>
                    <a:prstGeom prst="rect">
                      <a:avLst/>
                    </a:prstGeom>
                    <a:noFill/>
                    <a:ln w="9525">
                      <a:noFill/>
                      <a:miter lim="800000"/>
                      <a:headEnd/>
                      <a:tailEnd/>
                    </a:ln>
                  </pic:spPr>
                </pic:pic>
              </a:graphicData>
            </a:graphic>
          </wp:inline>
        </w:drawing>
      </w:r>
    </w:p>
    <w:p w14:paraId="73C6F51E" w14:textId="77777777" w:rsidR="003C7B07" w:rsidRPr="004B2859" w:rsidRDefault="004B2859" w:rsidP="004B2859">
      <w:pPr>
        <w:pStyle w:val="Caption"/>
        <w:spacing w:line="360" w:lineRule="auto"/>
        <w:rPr>
          <w:rFonts w:ascii="Times New Roman" w:hAnsi="Times New Roman" w:cs="Times New Roman"/>
          <w:b w:val="0"/>
          <w:i/>
          <w:color w:val="auto"/>
          <w:sz w:val="24"/>
          <w:szCs w:val="24"/>
        </w:rPr>
      </w:pPr>
      <w:bookmarkStart w:id="52" w:name="_Toc44684902"/>
      <w:r w:rsidRPr="004B2859">
        <w:rPr>
          <w:rFonts w:ascii="Times New Roman" w:hAnsi="Times New Roman" w:cs="Times New Roman"/>
          <w:b w:val="0"/>
          <w:i/>
          <w:color w:val="auto"/>
          <w:sz w:val="24"/>
          <w:szCs w:val="24"/>
        </w:rPr>
        <w:t xml:space="preserve">Figure </w:t>
      </w:r>
      <w:r w:rsidR="00106A32" w:rsidRPr="004B2859">
        <w:rPr>
          <w:rFonts w:ascii="Times New Roman" w:hAnsi="Times New Roman" w:cs="Times New Roman"/>
          <w:b w:val="0"/>
          <w:i/>
          <w:color w:val="auto"/>
          <w:sz w:val="24"/>
          <w:szCs w:val="24"/>
        </w:rPr>
        <w:fldChar w:fldCharType="begin"/>
      </w:r>
      <w:r w:rsidRPr="004B2859">
        <w:rPr>
          <w:rFonts w:ascii="Times New Roman" w:hAnsi="Times New Roman" w:cs="Times New Roman"/>
          <w:b w:val="0"/>
          <w:i/>
          <w:color w:val="auto"/>
          <w:sz w:val="24"/>
          <w:szCs w:val="24"/>
        </w:rPr>
        <w:instrText xml:space="preserve"> SEQ Figure \* ARABIC </w:instrText>
      </w:r>
      <w:r w:rsidR="00106A32" w:rsidRPr="004B2859">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13</w:t>
      </w:r>
      <w:r w:rsidR="00106A32" w:rsidRPr="004B2859">
        <w:rPr>
          <w:rFonts w:ascii="Times New Roman" w:hAnsi="Times New Roman" w:cs="Times New Roman"/>
          <w:b w:val="0"/>
          <w:i/>
          <w:color w:val="auto"/>
          <w:sz w:val="24"/>
          <w:szCs w:val="24"/>
        </w:rPr>
        <w:fldChar w:fldCharType="end"/>
      </w:r>
      <w:r w:rsidRPr="004B2859">
        <w:rPr>
          <w:rFonts w:ascii="Times New Roman" w:hAnsi="Times New Roman" w:cs="Times New Roman"/>
          <w:b w:val="0"/>
          <w:i/>
          <w:color w:val="auto"/>
          <w:sz w:val="24"/>
          <w:szCs w:val="24"/>
        </w:rPr>
        <w:t xml:space="preserve"> - Close Fluid Model of the Coronary Circulation</w:t>
      </w:r>
      <w:r w:rsidR="00C97165" w:rsidRPr="004B2859">
        <w:rPr>
          <w:rFonts w:ascii="Times New Roman" w:hAnsi="Times New Roman" w:cs="Times New Roman"/>
          <w:b w:val="0"/>
          <w:i/>
          <w:color w:val="auto"/>
          <w:sz w:val="24"/>
          <w:szCs w:val="24"/>
        </w:rPr>
        <w:t>- A cylindrical tube, demonstrating aortic level and the position of superior or inferior coronary arteries, with the effect on pressure.</w:t>
      </w:r>
      <w:r w:rsidR="00D85E35" w:rsidRPr="004B2859">
        <w:rPr>
          <w:rFonts w:ascii="Times New Roman" w:hAnsi="Times New Roman" w:cs="Times New Roman"/>
          <w:b w:val="0"/>
          <w:i/>
          <w:color w:val="auto"/>
          <w:sz w:val="24"/>
          <w:szCs w:val="24"/>
        </w:rPr>
        <w:t xml:space="preserve"> Pa - proximal pressure, Pd - distal pressure.</w:t>
      </w:r>
      <w:bookmarkEnd w:id="52"/>
    </w:p>
    <w:p w14:paraId="32B67EFA" w14:textId="77777777" w:rsidR="0078397A" w:rsidRPr="00EC6C19" w:rsidRDefault="0078397A" w:rsidP="003C7B07">
      <w:pPr>
        <w:spacing w:line="360" w:lineRule="auto"/>
        <w:rPr>
          <w:rFonts w:ascii="Times New Roman" w:hAnsi="Times New Roman" w:cs="Times New Roman"/>
          <w:i/>
          <w:sz w:val="24"/>
          <w:szCs w:val="24"/>
        </w:rPr>
      </w:pPr>
    </w:p>
    <w:p w14:paraId="1E32190F" w14:textId="0BE06061" w:rsidR="00B25002" w:rsidRPr="00EC6C19" w:rsidRDefault="005B4283" w:rsidP="005B4283">
      <w:pPr>
        <w:spacing w:line="360" w:lineRule="auto"/>
        <w:rPr>
          <w:rFonts w:ascii="Times New Roman" w:hAnsi="Times New Roman" w:cs="Times New Roman"/>
          <w:sz w:val="24"/>
          <w:szCs w:val="24"/>
        </w:rPr>
      </w:pPr>
      <w:r w:rsidRPr="00EC6C19">
        <w:rPr>
          <w:rFonts w:ascii="Times New Roman" w:hAnsi="Times New Roman" w:cs="Times New Roman"/>
          <w:sz w:val="24"/>
          <w:szCs w:val="24"/>
        </w:rPr>
        <w:t>If an artery takes a superior course fro</w:t>
      </w:r>
      <w:r w:rsidR="0078397A" w:rsidRPr="00EC6C19">
        <w:rPr>
          <w:rFonts w:ascii="Times New Roman" w:hAnsi="Times New Roman" w:cs="Times New Roman"/>
          <w:sz w:val="24"/>
          <w:szCs w:val="24"/>
        </w:rPr>
        <w:t xml:space="preserve">m the aorta, </w:t>
      </w:r>
      <w:r w:rsidR="00CD686E" w:rsidRPr="00EC6C19">
        <w:rPr>
          <w:rFonts w:ascii="Times New Roman" w:hAnsi="Times New Roman" w:cs="Times New Roman"/>
          <w:sz w:val="24"/>
          <w:szCs w:val="24"/>
        </w:rPr>
        <w:t>pressure</w:t>
      </w:r>
      <w:r w:rsidR="0078397A" w:rsidRPr="00EC6C19">
        <w:rPr>
          <w:rFonts w:ascii="Times New Roman" w:hAnsi="Times New Roman" w:cs="Times New Roman"/>
          <w:sz w:val="24"/>
          <w:szCs w:val="24"/>
        </w:rPr>
        <w:t xml:space="preserve"> measured in a superior position</w:t>
      </w:r>
      <w:r w:rsidRPr="00EC6C19">
        <w:rPr>
          <w:rFonts w:ascii="Times New Roman" w:hAnsi="Times New Roman" w:cs="Times New Roman"/>
          <w:sz w:val="24"/>
          <w:szCs w:val="24"/>
        </w:rPr>
        <w:t xml:space="preserve"> will be lower than it is at the aorta, purely due to gravitational effect. The opposite is true for an inferior artery, with pressure being higher. </w:t>
      </w:r>
      <w:r w:rsidR="00183ADF" w:rsidRPr="00EC6C19">
        <w:rPr>
          <w:rFonts w:ascii="Times New Roman" w:hAnsi="Times New Roman" w:cs="Times New Roman"/>
          <w:sz w:val="24"/>
          <w:szCs w:val="24"/>
        </w:rPr>
        <w:t>Therefore,</w:t>
      </w:r>
      <w:r w:rsidRPr="00EC6C19">
        <w:rPr>
          <w:rFonts w:ascii="Times New Roman" w:hAnsi="Times New Roman" w:cs="Times New Roman"/>
          <w:sz w:val="24"/>
          <w:szCs w:val="24"/>
        </w:rPr>
        <w:t xml:space="preserve"> in a completely </w:t>
      </w:r>
      <w:r w:rsidR="00A118E5">
        <w:rPr>
          <w:rFonts w:ascii="Times New Roman" w:hAnsi="Times New Roman" w:cs="Times New Roman"/>
          <w:sz w:val="24"/>
          <w:szCs w:val="24"/>
        </w:rPr>
        <w:t xml:space="preserve">disease free </w:t>
      </w:r>
      <w:r w:rsidRPr="00EC6C19">
        <w:rPr>
          <w:rFonts w:ascii="Times New Roman" w:hAnsi="Times New Roman" w:cs="Times New Roman"/>
          <w:sz w:val="24"/>
          <w:szCs w:val="24"/>
        </w:rPr>
        <w:t xml:space="preserve">vessel lying superiorly to the aorta, with the distal pressure sensor above aortic level, Pd/Pa will be less than 1.0. </w:t>
      </w:r>
      <w:r w:rsidR="00A118E5">
        <w:rPr>
          <w:rFonts w:ascii="Times New Roman" w:hAnsi="Times New Roman" w:cs="Times New Roman"/>
          <w:sz w:val="24"/>
          <w:szCs w:val="24"/>
        </w:rPr>
        <w:t xml:space="preserve"> The </w:t>
      </w:r>
      <w:r w:rsidRPr="00EC6C19">
        <w:rPr>
          <w:rFonts w:ascii="Times New Roman" w:hAnsi="Times New Roman" w:cs="Times New Roman"/>
          <w:sz w:val="24"/>
          <w:szCs w:val="24"/>
        </w:rPr>
        <w:t>physiology assessment is already skewed, before a stenosi</w:t>
      </w:r>
      <w:r w:rsidR="0078397A" w:rsidRPr="00EC6C19">
        <w:rPr>
          <w:rFonts w:ascii="Times New Roman" w:hAnsi="Times New Roman" w:cs="Times New Roman"/>
          <w:sz w:val="24"/>
          <w:szCs w:val="24"/>
        </w:rPr>
        <w:t>s is introduced. With inferiorly positioned</w:t>
      </w:r>
      <w:r w:rsidRPr="00EC6C19">
        <w:rPr>
          <w:rFonts w:ascii="Times New Roman" w:hAnsi="Times New Roman" w:cs="Times New Roman"/>
          <w:sz w:val="24"/>
          <w:szCs w:val="24"/>
        </w:rPr>
        <w:t xml:space="preserve"> vessels compared to</w:t>
      </w:r>
      <w:r w:rsidR="0078397A" w:rsidRPr="00EC6C19">
        <w:rPr>
          <w:rFonts w:ascii="Times New Roman" w:hAnsi="Times New Roman" w:cs="Times New Roman"/>
          <w:sz w:val="24"/>
          <w:szCs w:val="24"/>
        </w:rPr>
        <w:t xml:space="preserve"> the aorta</w:t>
      </w:r>
      <w:r w:rsidRPr="00EC6C19">
        <w:rPr>
          <w:rFonts w:ascii="Times New Roman" w:hAnsi="Times New Roman" w:cs="Times New Roman"/>
          <w:sz w:val="24"/>
          <w:szCs w:val="24"/>
        </w:rPr>
        <w:t xml:space="preserve">, Pd will be higher than Pa, and Pd/Pa will be </w:t>
      </w:r>
      <w:r w:rsidRPr="00EC6C19">
        <w:rPr>
          <w:rFonts w:ascii="Times New Roman" w:hAnsi="Times New Roman" w:cs="Times New Roman"/>
          <w:sz w:val="24"/>
          <w:szCs w:val="24"/>
        </w:rPr>
        <w:lastRenderedPageBreak/>
        <w:t>greater than 1.0. Only when the measuring point is at aortic level, will hydrostatic pressure not affect measurement.</w:t>
      </w:r>
      <w:r w:rsidR="001621F9" w:rsidRPr="00EC6C19">
        <w:rPr>
          <w:rFonts w:ascii="Times New Roman" w:hAnsi="Times New Roman" w:cs="Times New Roman"/>
          <w:sz w:val="24"/>
          <w:szCs w:val="24"/>
        </w:rPr>
        <w:t xml:space="preserve"> This is seldom the case in clinical medicine.</w:t>
      </w:r>
    </w:p>
    <w:p w14:paraId="02F81EEF" w14:textId="39DE1D2A" w:rsidR="005B4283" w:rsidRPr="00EC6C19" w:rsidRDefault="005B4283" w:rsidP="005B428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If one now </w:t>
      </w:r>
      <w:r w:rsidR="001621F9" w:rsidRPr="00EC6C19">
        <w:rPr>
          <w:rFonts w:ascii="Times New Roman" w:hAnsi="Times New Roman" w:cs="Times New Roman"/>
          <w:sz w:val="24"/>
          <w:szCs w:val="24"/>
        </w:rPr>
        <w:t>considers the same stenosis in</w:t>
      </w:r>
      <w:r w:rsidRPr="00EC6C19">
        <w:rPr>
          <w:rFonts w:ascii="Times New Roman" w:hAnsi="Times New Roman" w:cs="Times New Roman"/>
          <w:sz w:val="24"/>
          <w:szCs w:val="24"/>
        </w:rPr>
        <w:t xml:space="preserve"> a coronary artery, the final Pd/Pa measurement will be lower in a superior artery, due to a lower starting value</w:t>
      </w:r>
      <w:r w:rsidR="001621F9" w:rsidRPr="00EC6C19">
        <w:rPr>
          <w:rFonts w:ascii="Times New Roman" w:hAnsi="Times New Roman" w:cs="Times New Roman"/>
          <w:sz w:val="24"/>
          <w:szCs w:val="24"/>
        </w:rPr>
        <w:t>, and therefore more likely to be abnormal</w:t>
      </w:r>
      <w:r w:rsidRPr="00EC6C19">
        <w:rPr>
          <w:rFonts w:ascii="Times New Roman" w:hAnsi="Times New Roman" w:cs="Times New Roman"/>
          <w:sz w:val="24"/>
          <w:szCs w:val="24"/>
        </w:rPr>
        <w:t xml:space="preserve">. It is possible that we are therefore </w:t>
      </w:r>
      <w:r w:rsidR="00183ADF" w:rsidRPr="00EC6C19">
        <w:rPr>
          <w:rFonts w:ascii="Times New Roman" w:hAnsi="Times New Roman" w:cs="Times New Roman"/>
          <w:sz w:val="24"/>
          <w:szCs w:val="24"/>
        </w:rPr>
        <w:t>over</w:t>
      </w:r>
      <w:r w:rsidR="00183ADF">
        <w:rPr>
          <w:rFonts w:ascii="Times New Roman" w:hAnsi="Times New Roman" w:cs="Times New Roman"/>
          <w:sz w:val="24"/>
          <w:szCs w:val="24"/>
        </w:rPr>
        <w:t>-</w:t>
      </w:r>
      <w:r w:rsidRPr="00EC6C19">
        <w:rPr>
          <w:rFonts w:ascii="Times New Roman" w:hAnsi="Times New Roman" w:cs="Times New Roman"/>
          <w:sz w:val="24"/>
          <w:szCs w:val="24"/>
        </w:rPr>
        <w:t>estimating some lesions (superior lying arteries) and underestimating others (inferior lying arteries)</w:t>
      </w:r>
    </w:p>
    <w:p w14:paraId="03C75912" w14:textId="77777777" w:rsidR="005B4283" w:rsidRPr="00EC6C19" w:rsidRDefault="001621F9" w:rsidP="005B4283">
      <w:pPr>
        <w:spacing w:line="360" w:lineRule="auto"/>
        <w:rPr>
          <w:rFonts w:ascii="Times New Roman" w:hAnsi="Times New Roman" w:cs="Times New Roman"/>
          <w:sz w:val="24"/>
          <w:szCs w:val="24"/>
        </w:rPr>
      </w:pPr>
      <w:r w:rsidRPr="00EC6C19">
        <w:rPr>
          <w:rFonts w:ascii="Times New Roman" w:hAnsi="Times New Roman" w:cs="Times New Roman"/>
          <w:sz w:val="24"/>
          <w:szCs w:val="24"/>
        </w:rPr>
        <w:t>Although this concept has been acknowledged as a potential confounding factor in FFR measurement, it has largely been dismissed, as the</w:t>
      </w:r>
      <w:r w:rsidR="00A118E5">
        <w:rPr>
          <w:rFonts w:ascii="Times New Roman" w:hAnsi="Times New Roman" w:cs="Times New Roman"/>
          <w:sz w:val="24"/>
          <w:szCs w:val="24"/>
        </w:rPr>
        <w:t xml:space="preserve"> magnitude of</w:t>
      </w:r>
      <w:r w:rsidRPr="00EC6C19">
        <w:rPr>
          <w:rFonts w:ascii="Times New Roman" w:hAnsi="Times New Roman" w:cs="Times New Roman"/>
          <w:sz w:val="24"/>
          <w:szCs w:val="24"/>
        </w:rPr>
        <w:t xml:space="preserve"> effect is thought to be too small to be of clinical relevance.</w:t>
      </w:r>
    </w:p>
    <w:p w14:paraId="11B0BB65" w14:textId="77777777" w:rsidR="001621F9" w:rsidRPr="00EC6C19" w:rsidRDefault="001621F9" w:rsidP="005B4283">
      <w:pPr>
        <w:spacing w:line="360" w:lineRule="auto"/>
        <w:rPr>
          <w:rFonts w:ascii="Times New Roman" w:hAnsi="Times New Roman" w:cs="Times New Roman"/>
          <w:sz w:val="24"/>
          <w:szCs w:val="24"/>
        </w:rPr>
      </w:pPr>
    </w:p>
    <w:p w14:paraId="4411D079" w14:textId="77777777" w:rsidR="005B4283" w:rsidRPr="00A00967" w:rsidRDefault="00A542B2" w:rsidP="00A00967">
      <w:pPr>
        <w:pStyle w:val="Heading3"/>
        <w:rPr>
          <w:rFonts w:ascii="Times New Roman" w:hAnsi="Times New Roman" w:cs="Times New Roman"/>
          <w:b w:val="0"/>
          <w:i/>
          <w:color w:val="auto"/>
          <w:sz w:val="24"/>
          <w:szCs w:val="24"/>
        </w:rPr>
      </w:pPr>
      <w:bookmarkStart w:id="53" w:name="_Toc80302186"/>
      <w:r>
        <w:rPr>
          <w:rFonts w:ascii="Times New Roman" w:hAnsi="Times New Roman" w:cs="Times New Roman"/>
          <w:b w:val="0"/>
          <w:i/>
          <w:color w:val="auto"/>
          <w:sz w:val="24"/>
          <w:szCs w:val="24"/>
        </w:rPr>
        <w:t xml:space="preserve">1.12.1 - </w:t>
      </w:r>
      <w:r w:rsidR="005B4283" w:rsidRPr="00A00967">
        <w:rPr>
          <w:rFonts w:ascii="Times New Roman" w:hAnsi="Times New Roman" w:cs="Times New Roman"/>
          <w:b w:val="0"/>
          <w:i/>
          <w:color w:val="auto"/>
          <w:sz w:val="24"/>
          <w:szCs w:val="24"/>
        </w:rPr>
        <w:t>Magnitude of Effect</w:t>
      </w:r>
      <w:bookmarkEnd w:id="53"/>
      <w:r w:rsidR="00A00967" w:rsidRPr="00A00967">
        <w:rPr>
          <w:rFonts w:ascii="Times New Roman" w:hAnsi="Times New Roman" w:cs="Times New Roman"/>
          <w:b w:val="0"/>
          <w:i/>
          <w:color w:val="auto"/>
          <w:sz w:val="24"/>
          <w:szCs w:val="24"/>
        </w:rPr>
        <w:br/>
      </w:r>
    </w:p>
    <w:p w14:paraId="7A7784C9" w14:textId="77777777" w:rsidR="00C97165" w:rsidRPr="00EC6C19" w:rsidRDefault="00C97165">
      <w:pPr>
        <w:rPr>
          <w:rFonts w:ascii="Times New Roman" w:hAnsi="Times New Roman" w:cs="Times New Roman"/>
          <w:sz w:val="24"/>
          <w:szCs w:val="24"/>
        </w:rPr>
      </w:pPr>
    </w:p>
    <w:p w14:paraId="562E1ED6" w14:textId="77777777" w:rsidR="00F07CF8" w:rsidRPr="00EC6C19" w:rsidRDefault="009744E5">
      <w:pPr>
        <w:rPr>
          <w:rFonts w:ascii="Times New Roman" w:hAnsi="Times New Roman" w:cs="Times New Roman"/>
          <w:sz w:val="24"/>
          <w:szCs w:val="24"/>
        </w:rPr>
      </w:pPr>
      <w:r w:rsidRPr="00EC6C19">
        <w:rPr>
          <w:rFonts w:ascii="Times New Roman" w:hAnsi="Times New Roman" w:cs="Times New Roman"/>
          <w:sz w:val="24"/>
          <w:szCs w:val="24"/>
        </w:rPr>
        <w:t>Pascal's law dictates hydrostatic effect with the following equation;</w:t>
      </w:r>
    </w:p>
    <w:p w14:paraId="4261CF7C" w14:textId="77777777" w:rsidR="009744E5" w:rsidRPr="00EC6C19" w:rsidRDefault="009744E5">
      <w:pPr>
        <w:rPr>
          <w:rFonts w:ascii="Times New Roman" w:hAnsi="Times New Roman" w:cs="Times New Roman"/>
          <w:sz w:val="24"/>
          <w:szCs w:val="24"/>
        </w:rPr>
      </w:pPr>
    </w:p>
    <w:p w14:paraId="3D61966C" w14:textId="77777777" w:rsidR="009744E5" w:rsidRPr="00EC6C19" w:rsidRDefault="009744E5" w:rsidP="009744E5">
      <w:pPr>
        <w:jc w:val="center"/>
        <w:rPr>
          <w:rFonts w:ascii="Times New Roman" w:hAnsi="Times New Roman" w:cs="Times New Roman"/>
          <w:b/>
          <w:sz w:val="24"/>
          <w:szCs w:val="24"/>
        </w:rPr>
      </w:pPr>
      <w:r w:rsidRPr="00EC6C19">
        <w:rPr>
          <w:rFonts w:ascii="Times New Roman" w:hAnsi="Times New Roman" w:cs="Times New Roman"/>
          <w:b/>
          <w:sz w:val="24"/>
          <w:szCs w:val="24"/>
        </w:rPr>
        <w:t xml:space="preserve">Hydrostatic pressure = </w:t>
      </w:r>
      <w:r w:rsidR="0078397A" w:rsidRPr="00EC6C19">
        <w:rPr>
          <w:rFonts w:ascii="Times New Roman" w:hAnsi="Times New Roman" w:cs="Times New Roman"/>
          <w:b/>
          <w:sz w:val="24"/>
          <w:szCs w:val="24"/>
        </w:rPr>
        <w:t xml:space="preserve"> </w:t>
      </w:r>
      <w:r w:rsidRPr="00EC6C19">
        <w:rPr>
          <w:rFonts w:ascii="Times New Roman" w:hAnsi="Times New Roman" w:cs="Times New Roman"/>
          <w:b/>
          <w:sz w:val="24"/>
          <w:szCs w:val="24"/>
        </w:rPr>
        <w:t>Fluid Density x Gravity x Height Difference</w:t>
      </w:r>
    </w:p>
    <w:p w14:paraId="63D486EC" w14:textId="77777777" w:rsidR="00073EEB" w:rsidRPr="00EC6C19" w:rsidRDefault="00073EEB" w:rsidP="00073EEB">
      <w:pPr>
        <w:rPr>
          <w:rFonts w:ascii="Times New Roman" w:hAnsi="Times New Roman" w:cs="Times New Roman"/>
          <w:b/>
          <w:sz w:val="24"/>
          <w:szCs w:val="24"/>
        </w:rPr>
      </w:pPr>
      <w:r w:rsidRPr="00EC6C19">
        <w:rPr>
          <w:rFonts w:ascii="Times New Roman" w:hAnsi="Times New Roman" w:cs="Times New Roman"/>
          <w:b/>
          <w:sz w:val="24"/>
          <w:szCs w:val="24"/>
        </w:rPr>
        <w:tab/>
      </w:r>
      <w:r w:rsidR="0078397A" w:rsidRPr="00EC6C19">
        <w:rPr>
          <w:rFonts w:ascii="Times New Roman" w:hAnsi="Times New Roman" w:cs="Times New Roman"/>
          <w:b/>
          <w:sz w:val="24"/>
          <w:szCs w:val="24"/>
        </w:rPr>
        <w:tab/>
      </w:r>
      <w:r w:rsidRPr="00EC6C19">
        <w:rPr>
          <w:rFonts w:ascii="Times New Roman" w:hAnsi="Times New Roman" w:cs="Times New Roman"/>
          <w:b/>
          <w:sz w:val="24"/>
          <w:szCs w:val="24"/>
        </w:rPr>
        <w:t>(</w:t>
      </w:r>
      <w:r w:rsidR="007C7D90" w:rsidRPr="00EC6C19">
        <w:rPr>
          <w:rFonts w:ascii="Times New Roman" w:hAnsi="Times New Roman" w:cs="Times New Roman"/>
          <w:b/>
          <w:sz w:val="24"/>
          <w:szCs w:val="24"/>
        </w:rPr>
        <w:t>Pascal's</w:t>
      </w:r>
      <w:r w:rsidRPr="00EC6C19">
        <w:rPr>
          <w:rFonts w:ascii="Times New Roman" w:hAnsi="Times New Roman" w:cs="Times New Roman"/>
          <w:b/>
          <w:sz w:val="24"/>
          <w:szCs w:val="24"/>
        </w:rPr>
        <w:t>)</w:t>
      </w:r>
      <w:r w:rsidRPr="00EC6C19">
        <w:rPr>
          <w:rFonts w:ascii="Times New Roman" w:hAnsi="Times New Roman" w:cs="Times New Roman"/>
          <w:b/>
          <w:sz w:val="24"/>
          <w:szCs w:val="24"/>
        </w:rPr>
        <w:tab/>
      </w:r>
      <w:r w:rsidRPr="00EC6C19">
        <w:rPr>
          <w:rFonts w:ascii="Times New Roman" w:hAnsi="Times New Roman" w:cs="Times New Roman"/>
          <w:b/>
          <w:sz w:val="24"/>
          <w:szCs w:val="24"/>
        </w:rPr>
        <w:tab/>
      </w:r>
      <w:r w:rsidRPr="00EC6C19">
        <w:rPr>
          <w:rFonts w:ascii="Times New Roman" w:hAnsi="Times New Roman" w:cs="Times New Roman"/>
          <w:b/>
          <w:sz w:val="24"/>
          <w:szCs w:val="24"/>
        </w:rPr>
        <w:tab/>
        <w:t>(kg/m</w:t>
      </w:r>
      <w:r w:rsidRPr="00EC6C19">
        <w:rPr>
          <w:rFonts w:ascii="Times New Roman" w:hAnsi="Times New Roman" w:cs="Times New Roman"/>
          <w:b/>
          <w:sz w:val="24"/>
          <w:szCs w:val="24"/>
          <w:vertAlign w:val="superscript"/>
        </w:rPr>
        <w:t>3</w:t>
      </w:r>
      <w:r w:rsidRPr="00EC6C19">
        <w:rPr>
          <w:rFonts w:ascii="Times New Roman" w:hAnsi="Times New Roman" w:cs="Times New Roman"/>
          <w:b/>
          <w:sz w:val="24"/>
          <w:szCs w:val="24"/>
        </w:rPr>
        <w:t>)</w:t>
      </w:r>
      <w:r w:rsidRPr="00EC6C19">
        <w:rPr>
          <w:rFonts w:ascii="Times New Roman" w:hAnsi="Times New Roman" w:cs="Times New Roman"/>
          <w:b/>
          <w:sz w:val="24"/>
          <w:szCs w:val="24"/>
        </w:rPr>
        <w:tab/>
        <w:t xml:space="preserve">   (9.8ms/2)</w:t>
      </w:r>
      <w:r w:rsidRPr="00EC6C19">
        <w:rPr>
          <w:rFonts w:ascii="Times New Roman" w:hAnsi="Times New Roman" w:cs="Times New Roman"/>
          <w:b/>
          <w:sz w:val="24"/>
          <w:szCs w:val="24"/>
        </w:rPr>
        <w:tab/>
      </w:r>
      <w:r w:rsidRPr="00EC6C19">
        <w:rPr>
          <w:rFonts w:ascii="Times New Roman" w:hAnsi="Times New Roman" w:cs="Times New Roman"/>
          <w:b/>
          <w:sz w:val="24"/>
          <w:szCs w:val="24"/>
        </w:rPr>
        <w:tab/>
        <w:t>(m)</w:t>
      </w:r>
    </w:p>
    <w:p w14:paraId="6B48F5D5" w14:textId="77777777" w:rsidR="00073EEB" w:rsidRPr="00EC6C19" w:rsidRDefault="00073EEB" w:rsidP="00073EEB">
      <w:pPr>
        <w:rPr>
          <w:rFonts w:ascii="Times New Roman" w:hAnsi="Times New Roman" w:cs="Times New Roman"/>
          <w:b/>
          <w:sz w:val="24"/>
          <w:szCs w:val="24"/>
        </w:rPr>
      </w:pPr>
    </w:p>
    <w:p w14:paraId="690BCE02" w14:textId="77777777" w:rsidR="00073EEB" w:rsidRPr="00EC6C19" w:rsidRDefault="00073EEB" w:rsidP="00AB3BB1">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An elegant paper recently published by Härle et al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{"citationID":"lnXR9B2B","properties":{"formattedCitation":"(H\\uc0\\u228{}rle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006D2BB5" w:rsidRPr="00EC6C19">
        <w:rPr>
          <w:rFonts w:ascii="Times New Roman" w:hAnsi="Times New Roman" w:cs="Times New Roman"/>
          <w:sz w:val="24"/>
          <w:szCs w:val="24"/>
        </w:rPr>
        <w:t xml:space="preserve">(Härle </w:t>
      </w:r>
      <w:r w:rsidR="00B22321" w:rsidRPr="00EC6C19">
        <w:rPr>
          <w:rFonts w:ascii="Times New Roman" w:hAnsi="Times New Roman" w:cs="Times New Roman"/>
          <w:sz w:val="24"/>
          <w:szCs w:val="24"/>
        </w:rPr>
        <w:t>et al.,</w:t>
      </w:r>
      <w:r w:rsidR="006D2BB5" w:rsidRPr="00EC6C19">
        <w:rPr>
          <w:rFonts w:ascii="Times New Roman" w:hAnsi="Times New Roman" w:cs="Times New Roman"/>
          <w:sz w:val="24"/>
          <w:szCs w:val="24"/>
        </w:rPr>
        <w:t xml:space="preserve"> 2017</w:t>
      </w:r>
      <w:r w:rsidR="00756A5E" w:rsidRPr="00EC6C19">
        <w:rPr>
          <w:rFonts w:ascii="Times New Roman" w:hAnsi="Times New Roman" w:cs="Times New Roman"/>
          <w:sz w:val="24"/>
          <w:szCs w:val="24"/>
        </w:rPr>
        <w:t>a</w:t>
      </w:r>
      <w:r w:rsidR="00D212BB"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us</w:t>
      </w:r>
      <w:r w:rsidR="004F5727" w:rsidRPr="00EC6C19">
        <w:rPr>
          <w:rFonts w:ascii="Times New Roman" w:hAnsi="Times New Roman" w:cs="Times New Roman"/>
          <w:sz w:val="24"/>
          <w:szCs w:val="24"/>
        </w:rPr>
        <w:t>ed</w:t>
      </w:r>
      <w:r w:rsidRPr="00EC6C19">
        <w:rPr>
          <w:rFonts w:ascii="Times New Roman" w:hAnsi="Times New Roman" w:cs="Times New Roman"/>
          <w:sz w:val="24"/>
          <w:szCs w:val="24"/>
        </w:rPr>
        <w:t xml:space="preserve"> a pressure simulator to calculate the effect in a coronary model. The calculated effect was 0.77mmHg per cm of height variation. An important consideration is that this coronary model used 0.9% </w:t>
      </w:r>
      <w:r w:rsidR="004F5727" w:rsidRPr="00EC6C19">
        <w:rPr>
          <w:rFonts w:ascii="Times New Roman" w:hAnsi="Times New Roman" w:cs="Times New Roman"/>
          <w:sz w:val="24"/>
          <w:szCs w:val="24"/>
        </w:rPr>
        <w:t>s</w:t>
      </w:r>
      <w:r w:rsidRPr="00EC6C19">
        <w:rPr>
          <w:rFonts w:ascii="Times New Roman" w:hAnsi="Times New Roman" w:cs="Times New Roman"/>
          <w:sz w:val="24"/>
          <w:szCs w:val="24"/>
        </w:rPr>
        <w:t>aline</w:t>
      </w:r>
      <w:r w:rsidR="004F5727" w:rsidRPr="00EC6C19">
        <w:rPr>
          <w:rFonts w:ascii="Times New Roman" w:hAnsi="Times New Roman" w:cs="Times New Roman"/>
          <w:sz w:val="24"/>
          <w:szCs w:val="24"/>
        </w:rPr>
        <w:t xml:space="preserve"> solution</w:t>
      </w:r>
      <w:r w:rsidRPr="00EC6C19">
        <w:rPr>
          <w:rFonts w:ascii="Times New Roman" w:hAnsi="Times New Roman" w:cs="Times New Roman"/>
          <w:sz w:val="24"/>
          <w:szCs w:val="24"/>
        </w:rPr>
        <w:t xml:space="preserve"> as the fluid. Blood </w:t>
      </w:r>
      <w:r w:rsidR="004F5727" w:rsidRPr="00EC6C19">
        <w:rPr>
          <w:rFonts w:ascii="Times New Roman" w:hAnsi="Times New Roman" w:cs="Times New Roman"/>
          <w:sz w:val="24"/>
          <w:szCs w:val="24"/>
        </w:rPr>
        <w:t>has higher density</w:t>
      </w:r>
      <w:r w:rsidRPr="00EC6C19">
        <w:rPr>
          <w:rFonts w:ascii="Times New Roman" w:hAnsi="Times New Roman" w:cs="Times New Roman"/>
          <w:sz w:val="24"/>
          <w:szCs w:val="24"/>
        </w:rPr>
        <w:t>, and an anticipated change would be closer to 0.8mmHg per cm.</w:t>
      </w:r>
    </w:p>
    <w:p w14:paraId="04EB16A5" w14:textId="1911A961" w:rsidR="00B65E32" w:rsidRDefault="00AB3BB1" w:rsidP="00AB3BB1">
      <w:pPr>
        <w:spacing w:line="360" w:lineRule="auto"/>
        <w:rPr>
          <w:rFonts w:ascii="Times New Roman" w:hAnsi="Times New Roman" w:cs="Times New Roman"/>
          <w:sz w:val="24"/>
          <w:szCs w:val="24"/>
        </w:rPr>
      </w:pPr>
      <w:r w:rsidRPr="00EC6C19">
        <w:rPr>
          <w:rFonts w:ascii="Times New Roman" w:hAnsi="Times New Roman" w:cs="Times New Roman"/>
          <w:sz w:val="24"/>
          <w:szCs w:val="24"/>
        </w:rPr>
        <w:t>From the equation, fluid density and gravity a</w:t>
      </w:r>
      <w:r w:rsidR="00A118E5">
        <w:rPr>
          <w:rFonts w:ascii="Times New Roman" w:hAnsi="Times New Roman" w:cs="Times New Roman"/>
          <w:sz w:val="24"/>
          <w:szCs w:val="24"/>
        </w:rPr>
        <w:t>re constant, the sole variable</w:t>
      </w:r>
      <w:r w:rsidRPr="00EC6C19">
        <w:rPr>
          <w:rFonts w:ascii="Times New Roman" w:hAnsi="Times New Roman" w:cs="Times New Roman"/>
          <w:sz w:val="24"/>
          <w:szCs w:val="24"/>
        </w:rPr>
        <w:t xml:space="preserve"> being height difference between two measurement points. To power the study adequately, </w:t>
      </w:r>
      <w:r w:rsidR="00786FE5">
        <w:rPr>
          <w:rFonts w:ascii="Times New Roman" w:hAnsi="Times New Roman" w:cs="Times New Roman"/>
          <w:sz w:val="24"/>
          <w:szCs w:val="24"/>
        </w:rPr>
        <w:t>I had to know</w:t>
      </w:r>
      <w:r w:rsidRPr="00EC6C19">
        <w:rPr>
          <w:rFonts w:ascii="Times New Roman" w:hAnsi="Times New Roman" w:cs="Times New Roman"/>
          <w:sz w:val="24"/>
          <w:szCs w:val="24"/>
        </w:rPr>
        <w:t xml:space="preserve"> </w:t>
      </w:r>
      <w:r w:rsidR="00786FE5">
        <w:rPr>
          <w:rFonts w:ascii="Times New Roman" w:hAnsi="Times New Roman" w:cs="Times New Roman"/>
          <w:sz w:val="24"/>
          <w:szCs w:val="24"/>
        </w:rPr>
        <w:t xml:space="preserve">the </w:t>
      </w:r>
      <w:r w:rsidRPr="00EC6C19">
        <w:rPr>
          <w:rFonts w:ascii="Times New Roman" w:hAnsi="Times New Roman" w:cs="Times New Roman"/>
          <w:sz w:val="24"/>
          <w:szCs w:val="24"/>
        </w:rPr>
        <w:t>anticipated</w:t>
      </w:r>
      <w:r w:rsidR="00786FE5">
        <w:rPr>
          <w:rFonts w:ascii="Times New Roman" w:hAnsi="Times New Roman" w:cs="Times New Roman"/>
          <w:sz w:val="24"/>
          <w:szCs w:val="24"/>
        </w:rPr>
        <w:t xml:space="preserve"> magnitude of</w:t>
      </w:r>
      <w:r w:rsidRPr="00EC6C19">
        <w:rPr>
          <w:rFonts w:ascii="Times New Roman" w:hAnsi="Times New Roman" w:cs="Times New Roman"/>
          <w:sz w:val="24"/>
          <w:szCs w:val="24"/>
        </w:rPr>
        <w:t xml:space="preserve"> effect</w:t>
      </w:r>
      <w:r w:rsidR="00786FE5">
        <w:rPr>
          <w:rFonts w:ascii="Times New Roman" w:hAnsi="Times New Roman" w:cs="Times New Roman"/>
          <w:sz w:val="24"/>
          <w:szCs w:val="24"/>
        </w:rPr>
        <w:t>. This meant</w:t>
      </w:r>
      <w:r w:rsidRPr="00EC6C19">
        <w:rPr>
          <w:rFonts w:ascii="Times New Roman" w:hAnsi="Times New Roman" w:cs="Times New Roman"/>
          <w:sz w:val="24"/>
          <w:szCs w:val="24"/>
        </w:rPr>
        <w:t xml:space="preserve"> calculating the potential height difference between distal </w:t>
      </w:r>
      <w:r w:rsidR="00786FE5">
        <w:rPr>
          <w:rFonts w:ascii="Times New Roman" w:hAnsi="Times New Roman" w:cs="Times New Roman"/>
          <w:sz w:val="24"/>
          <w:szCs w:val="24"/>
        </w:rPr>
        <w:t>coronaries artery and their origin.</w:t>
      </w:r>
      <w:r w:rsidR="006D2BB5" w:rsidRPr="00EC6C19">
        <w:rPr>
          <w:rFonts w:ascii="Times New Roman" w:hAnsi="Times New Roman" w:cs="Times New Roman"/>
          <w:sz w:val="24"/>
          <w:szCs w:val="24"/>
        </w:rPr>
        <w:t xml:space="preserve"> </w:t>
      </w:r>
      <w:r w:rsidR="00786FE5">
        <w:rPr>
          <w:rFonts w:ascii="Times New Roman" w:hAnsi="Times New Roman" w:cs="Times New Roman"/>
          <w:sz w:val="24"/>
          <w:szCs w:val="24"/>
        </w:rPr>
        <w:t>D</w:t>
      </w:r>
      <w:r w:rsidRPr="00EC6C19">
        <w:rPr>
          <w:rFonts w:ascii="Times New Roman" w:hAnsi="Times New Roman" w:cs="Times New Roman"/>
          <w:sz w:val="24"/>
          <w:szCs w:val="24"/>
        </w:rPr>
        <w:t xml:space="preserve">ata from CT coronary angiography was </w:t>
      </w:r>
      <w:r w:rsidR="00786FE5">
        <w:rPr>
          <w:rFonts w:ascii="Times New Roman" w:hAnsi="Times New Roman" w:cs="Times New Roman"/>
          <w:sz w:val="24"/>
          <w:szCs w:val="24"/>
        </w:rPr>
        <w:t xml:space="preserve">used to estimate this height difference in one hundred patients, and is expanded upon later in this </w:t>
      </w:r>
      <w:r w:rsidR="00786FE5">
        <w:rPr>
          <w:rFonts w:ascii="Times New Roman" w:hAnsi="Times New Roman" w:cs="Times New Roman"/>
          <w:sz w:val="24"/>
          <w:szCs w:val="24"/>
        </w:rPr>
        <w:lastRenderedPageBreak/>
        <w:t>chapter, and in chapter II</w:t>
      </w:r>
      <w:r w:rsidRPr="00EC6C19">
        <w:rPr>
          <w:rFonts w:ascii="Times New Roman" w:hAnsi="Times New Roman" w:cs="Times New Roman"/>
          <w:sz w:val="24"/>
          <w:szCs w:val="24"/>
        </w:rPr>
        <w:t xml:space="preserve">. One can accurately map the route of each coronary artery and measure </w:t>
      </w:r>
      <w:r w:rsidR="0078397A" w:rsidRPr="00EC6C19">
        <w:rPr>
          <w:rFonts w:ascii="Times New Roman" w:hAnsi="Times New Roman" w:cs="Times New Roman"/>
          <w:sz w:val="24"/>
          <w:szCs w:val="24"/>
        </w:rPr>
        <w:t>the vertical height difference from the aorta</w:t>
      </w:r>
      <w:r w:rsidR="00786FE5">
        <w:rPr>
          <w:rFonts w:ascii="Times New Roman" w:hAnsi="Times New Roman" w:cs="Times New Roman"/>
          <w:sz w:val="24"/>
          <w:szCs w:val="24"/>
        </w:rPr>
        <w:t xml:space="preserve"> using CT</w:t>
      </w:r>
      <w:r w:rsidRPr="00EC6C19">
        <w:rPr>
          <w:rFonts w:ascii="Times New Roman" w:hAnsi="Times New Roman" w:cs="Times New Roman"/>
          <w:sz w:val="24"/>
          <w:szCs w:val="24"/>
        </w:rPr>
        <w:t xml:space="preserve">. </w:t>
      </w:r>
    </w:p>
    <w:p w14:paraId="49D06B58" w14:textId="77777777" w:rsidR="00C97165" w:rsidRPr="00A00967" w:rsidRDefault="00A542B2" w:rsidP="00A00967">
      <w:pPr>
        <w:pStyle w:val="Heading3"/>
        <w:rPr>
          <w:rFonts w:ascii="Times New Roman" w:hAnsi="Times New Roman" w:cs="Times New Roman"/>
          <w:b w:val="0"/>
          <w:i/>
          <w:color w:val="auto"/>
          <w:sz w:val="24"/>
          <w:szCs w:val="24"/>
        </w:rPr>
      </w:pPr>
      <w:bookmarkStart w:id="54" w:name="_Toc80302187"/>
      <w:r>
        <w:rPr>
          <w:rFonts w:ascii="Times New Roman" w:hAnsi="Times New Roman" w:cs="Times New Roman"/>
          <w:b w:val="0"/>
          <w:i/>
          <w:color w:val="auto"/>
          <w:sz w:val="24"/>
          <w:szCs w:val="24"/>
        </w:rPr>
        <w:t xml:space="preserve">1.12.2 - </w:t>
      </w:r>
      <w:r w:rsidR="00022E92" w:rsidRPr="00A00967">
        <w:rPr>
          <w:rFonts w:ascii="Times New Roman" w:hAnsi="Times New Roman" w:cs="Times New Roman"/>
          <w:b w:val="0"/>
          <w:i/>
          <w:color w:val="auto"/>
          <w:sz w:val="24"/>
          <w:szCs w:val="24"/>
        </w:rPr>
        <w:t>Hydrostatic Effect in Clinical Literature</w:t>
      </w:r>
      <w:bookmarkEnd w:id="54"/>
      <w:r w:rsidR="00A00967" w:rsidRPr="00A00967">
        <w:rPr>
          <w:rFonts w:ascii="Times New Roman" w:hAnsi="Times New Roman" w:cs="Times New Roman"/>
          <w:b w:val="0"/>
          <w:i/>
          <w:color w:val="auto"/>
          <w:sz w:val="24"/>
          <w:szCs w:val="24"/>
        </w:rPr>
        <w:br/>
      </w:r>
    </w:p>
    <w:p w14:paraId="5BB2D9AC" w14:textId="77777777" w:rsidR="002029DE" w:rsidRPr="00EC6C19" w:rsidRDefault="002029DE" w:rsidP="009935AD">
      <w:pPr>
        <w:spacing w:line="360" w:lineRule="auto"/>
        <w:rPr>
          <w:rFonts w:ascii="Times New Roman" w:hAnsi="Times New Roman" w:cs="Times New Roman"/>
          <w:sz w:val="24"/>
          <w:szCs w:val="24"/>
        </w:rPr>
      </w:pPr>
    </w:p>
    <w:p w14:paraId="775578FE" w14:textId="559BAEE7" w:rsidR="009935AD" w:rsidRPr="00EC6C19" w:rsidRDefault="009935AD" w:rsidP="009935AD">
      <w:pPr>
        <w:spacing w:line="360" w:lineRule="auto"/>
        <w:rPr>
          <w:rFonts w:ascii="Times New Roman" w:hAnsi="Times New Roman" w:cs="Times New Roman"/>
          <w:sz w:val="24"/>
          <w:szCs w:val="24"/>
        </w:rPr>
      </w:pPr>
      <w:r w:rsidRPr="00EC6C19">
        <w:rPr>
          <w:rFonts w:ascii="Times New Roman" w:hAnsi="Times New Roman" w:cs="Times New Roman"/>
          <w:sz w:val="24"/>
          <w:szCs w:val="24"/>
        </w:rPr>
        <w:t>Relevant data in this area is sparse. Although the concept of hydrostatic pressure within coronary arteries is noted in medical text books, and even by</w:t>
      </w:r>
      <w:r w:rsidR="00274B9B" w:rsidRPr="00EC6C19">
        <w:rPr>
          <w:rFonts w:ascii="Times New Roman" w:hAnsi="Times New Roman" w:cs="Times New Roman"/>
          <w:sz w:val="24"/>
          <w:szCs w:val="24"/>
        </w:rPr>
        <w:t xml:space="preserve"> the</w:t>
      </w:r>
      <w:r w:rsidRPr="00EC6C19">
        <w:rPr>
          <w:rFonts w:ascii="Times New Roman" w:hAnsi="Times New Roman" w:cs="Times New Roman"/>
          <w:sz w:val="24"/>
          <w:szCs w:val="24"/>
        </w:rPr>
        <w:t xml:space="preserve"> manufacturers of pressure wire</w:t>
      </w:r>
      <w:r w:rsidR="00274B9B" w:rsidRPr="00EC6C19">
        <w:rPr>
          <w:rFonts w:ascii="Times New Roman" w:hAnsi="Times New Roman" w:cs="Times New Roman"/>
          <w:sz w:val="24"/>
          <w:szCs w:val="24"/>
        </w:rPr>
        <w:t xml:space="preserve">s, it is dismissed as a </w:t>
      </w:r>
      <w:r w:rsidR="009B1E26" w:rsidRPr="00EC6C19">
        <w:rPr>
          <w:rFonts w:ascii="Times New Roman" w:hAnsi="Times New Roman" w:cs="Times New Roman"/>
          <w:sz w:val="24"/>
          <w:szCs w:val="24"/>
        </w:rPr>
        <w:t>non</w:t>
      </w:r>
      <w:r w:rsidR="009B1E26">
        <w:rPr>
          <w:rFonts w:ascii="Times New Roman" w:hAnsi="Times New Roman" w:cs="Times New Roman"/>
          <w:sz w:val="24"/>
          <w:szCs w:val="24"/>
        </w:rPr>
        <w:t>-</w:t>
      </w:r>
      <w:r w:rsidR="00274B9B" w:rsidRPr="00EC6C19">
        <w:rPr>
          <w:rFonts w:ascii="Times New Roman" w:hAnsi="Times New Roman" w:cs="Times New Roman"/>
          <w:sz w:val="24"/>
          <w:szCs w:val="24"/>
        </w:rPr>
        <w:t xml:space="preserve">significant factor during </w:t>
      </w:r>
      <w:r w:rsidR="009B6B04" w:rsidRPr="00EC6C19">
        <w:rPr>
          <w:rFonts w:ascii="Times New Roman" w:hAnsi="Times New Roman" w:cs="Times New Roman"/>
          <w:sz w:val="24"/>
          <w:szCs w:val="24"/>
        </w:rPr>
        <w:t xml:space="preserve">clinical </w:t>
      </w:r>
      <w:r w:rsidR="00274B9B" w:rsidRPr="00EC6C19">
        <w:rPr>
          <w:rFonts w:ascii="Times New Roman" w:hAnsi="Times New Roman" w:cs="Times New Roman"/>
          <w:sz w:val="24"/>
          <w:szCs w:val="24"/>
        </w:rPr>
        <w:t>measurement.</w:t>
      </w:r>
      <w:r w:rsidR="009B6B04" w:rsidRPr="00EC6C19">
        <w:rPr>
          <w:rFonts w:ascii="Times New Roman" w:hAnsi="Times New Roman" w:cs="Times New Roman"/>
          <w:sz w:val="24"/>
          <w:szCs w:val="24"/>
        </w:rPr>
        <w:t xml:space="preserve"> At the time of study conception, no study had explored this in vivo.</w:t>
      </w:r>
    </w:p>
    <w:p w14:paraId="250F9C7D" w14:textId="5091A464" w:rsidR="009935AD" w:rsidRPr="00EC6C19" w:rsidRDefault="009935AD" w:rsidP="009935AD">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Hydrostatic effects on blood pressure have been observed in peripheral, </w:t>
      </w:r>
      <w:r w:rsidR="009B1E26" w:rsidRPr="00EC6C19">
        <w:rPr>
          <w:rFonts w:ascii="Times New Roman" w:hAnsi="Times New Roman" w:cs="Times New Roman"/>
          <w:sz w:val="24"/>
          <w:szCs w:val="24"/>
        </w:rPr>
        <w:t>non</w:t>
      </w:r>
      <w:r w:rsidR="009B1E26">
        <w:rPr>
          <w:rFonts w:ascii="Times New Roman" w:hAnsi="Times New Roman" w:cs="Times New Roman"/>
          <w:sz w:val="24"/>
          <w:szCs w:val="24"/>
        </w:rPr>
        <w:t>-</w:t>
      </w:r>
      <w:r w:rsidRPr="00EC6C19">
        <w:rPr>
          <w:rFonts w:ascii="Times New Roman" w:hAnsi="Times New Roman" w:cs="Times New Roman"/>
          <w:sz w:val="24"/>
          <w:szCs w:val="24"/>
        </w:rPr>
        <w:t>invasive studies. One such study measured the pressure needed to occlude the femoral artery using an external cuff placed on a patient's thigh</w:t>
      </w:r>
      <w:r w:rsidR="00B87EF8"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{"citationID":"BwX6k6Id","properties":{"formattedCitation":"(Sieljacks et al., 2018)","plainCitation":"(Sieljacks et al., 2018)","noteIndex":0},"citationItems":[{"id":568,"uris":["http://zotero.org/users/local/k67tNDdX/items/EWYUN6PN"],"uri":["http://zotero.org/users/local/k67tNDdX/items/EWYUN6PN"],"itemData":{"id":568,"type":"article-journal","abstract":"PURPOSE: Arterial occlusion pressure (AOP) measured in a supine position is often used to set cuff pressures for blood flow restricted exercise (BFRE). However, supine AOP may not reflect seated or standing AOP, thus potentially influencing the degree of occlusion. The primary aim of the study was to investigate the effect of body position on AOP. A secondary aim was to investigate predictors of AOP using wide and narrow cuffs.\nMETHODS: Twenty-four subjects underwent measurements of thigh circumference, skinfold and blood pressure, followed by assessments of thigh AOP in supine and seated positions with a wide and a narrow cuff, respectively, using Doppler ultrasound.\nRESULTS: In the supine position, AOP was 148 ± 19 and 348 ± 94 mmHg with the wide and narrow cuff, respectively. This increased to 177 ± 20 and 409 ± 101 mmHg in the seated position, with correlations between supine and seated AOP of R 2 = 0.81 and R 2 = 0.50 for the wide and narrow cuff, respectively. For both cuff widths, thigh circumference constituted the strongest predictor of AOP, with diastolic blood pressure explaining additional variance with the wide cuff. The predictive strength of these variables did not differ between body positions.\nCONCLUSION: Our results indicate that body position strongly influences lower limb AOP, especially with narrow cuffs, yielding very high AOP (≥ 500-600 mmHg) in some subjects. This should be taken into account in the standardization of cuff pressures used during BFRE to better control the physiological effects of BFRE.","container-title":"European Journal of Applied Physiology","DOI":"10.1007/s00421-017-3770-2","ISSN":"1439-6327","issue":"2","journalAbbreviation":"Eur. J. Appl. Physiol.","language":"eng","note":"PMID: 29196847","page":"303-312","source":"PubMed","title":"Body position influences arterial occlusion pressure: implications for the standardization of pressure during blood flow restricted exercise","title-short":"Body position influences arterial occlusion pressure","volume":"118","author":[{"family":"Sieljacks","given":"Peter"},{"family":"Knudsen","given":"Louise"},{"family":"Wernbom","given":"Mathias"},{"family":"Vissing","given":"Kristian"}],"issued":{"date-parts":[["2018",2]]}}}],"schema":"https://github.com/citation-style-language/schema/raw/master/csl-citation.json"} </w:instrText>
      </w:r>
      <w:r w:rsidR="00106A32" w:rsidRPr="00EC6C19">
        <w:rPr>
          <w:rFonts w:ascii="Times New Roman" w:hAnsi="Times New Roman" w:cs="Times New Roman"/>
          <w:sz w:val="24"/>
          <w:szCs w:val="24"/>
        </w:rPr>
        <w:fldChar w:fldCharType="separate"/>
      </w:r>
      <w:r w:rsidR="006D2BB5" w:rsidRPr="00EC6C19">
        <w:rPr>
          <w:rFonts w:ascii="Times New Roman" w:hAnsi="Times New Roman" w:cs="Times New Roman"/>
          <w:sz w:val="24"/>
          <w:szCs w:val="24"/>
        </w:rPr>
        <w:t xml:space="preserve">(Sieljacks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This was measured supine and then in a seated position. When supine, the femoral artery is much closer to aortic level, compared to seated, where clearly it lies below. There was an observed increase in pressure needed to occlude the artery by 29</w:t>
      </w:r>
      <w:r w:rsidR="009B1E26">
        <w:rPr>
          <w:rFonts w:ascii="Times New Roman" w:hAnsi="Times New Roman" w:cs="Times New Roman"/>
          <w:sz w:val="24"/>
          <w:szCs w:val="24"/>
        </w:rPr>
        <w:t xml:space="preserve"> </w:t>
      </w:r>
      <w:r w:rsidRPr="00EC6C19">
        <w:rPr>
          <w:rFonts w:ascii="Times New Roman" w:hAnsi="Times New Roman" w:cs="Times New Roman"/>
          <w:sz w:val="24"/>
          <w:szCs w:val="24"/>
        </w:rPr>
        <w:t>mmHg on average, when measured in a seated position</w:t>
      </w:r>
      <w:r w:rsidR="009B1E26">
        <w:rPr>
          <w:rFonts w:ascii="Times New Roman" w:hAnsi="Times New Roman" w:cs="Times New Roman"/>
          <w:sz w:val="24"/>
          <w:szCs w:val="24"/>
        </w:rPr>
        <w:t>.</w:t>
      </w:r>
      <w:r w:rsidRPr="00EC6C19">
        <w:rPr>
          <w:rFonts w:ascii="Times New Roman" w:hAnsi="Times New Roman" w:cs="Times New Roman"/>
          <w:sz w:val="24"/>
          <w:szCs w:val="24"/>
        </w:rPr>
        <w:t xml:space="preserve">  </w:t>
      </w:r>
    </w:p>
    <w:p w14:paraId="62F336C2" w14:textId="77777777" w:rsidR="009B6B04" w:rsidRPr="00EC6C19" w:rsidRDefault="009B6B04" w:rsidP="009935AD">
      <w:pPr>
        <w:spacing w:line="360" w:lineRule="auto"/>
        <w:rPr>
          <w:rFonts w:ascii="Times New Roman" w:hAnsi="Times New Roman" w:cs="Times New Roman"/>
          <w:sz w:val="24"/>
          <w:szCs w:val="24"/>
        </w:rPr>
      </w:pPr>
      <w:r w:rsidRPr="00EC6C19">
        <w:rPr>
          <w:rFonts w:ascii="Times New Roman" w:hAnsi="Times New Roman" w:cs="Times New Roman"/>
          <w:sz w:val="24"/>
          <w:szCs w:val="24"/>
        </w:rPr>
        <w:t>Further</w:t>
      </w:r>
      <w:r w:rsidR="00274B9B" w:rsidRPr="00EC6C19">
        <w:rPr>
          <w:rFonts w:ascii="Times New Roman" w:hAnsi="Times New Roman" w:cs="Times New Roman"/>
          <w:sz w:val="24"/>
          <w:szCs w:val="24"/>
        </w:rPr>
        <w:t xml:space="preserve"> supporting evidence comes from physiology studies including normal or reference vessels</w:t>
      </w:r>
      <w:r w:rsidR="000516B4" w:rsidRPr="00EC6C19">
        <w:rPr>
          <w:rFonts w:ascii="Times New Roman" w:hAnsi="Times New Roman" w:cs="Times New Roman"/>
          <w:sz w:val="24"/>
          <w:szCs w:val="24"/>
        </w:rPr>
        <w:t xml:space="preserve">. In one such studies, FFR results of above 1.0 were noticed, predominantly in reference vessels and circumflex arteries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{"citationID":"WVF5jOr6","properties":{"formattedCitation":"(Nijjer et al., 2016)","plainCitation":"(Nijjer et al., 2016)","noteIndex":0},"citationItems":[{"id":522,"uris":["http://zotero.org/users/local/k67tNDdX/items/6Y6IR4GQ"],"uri":["http://zotero.org/users/local/k67tNDdX/items/6Y6IR4GQ"],"itemData":{"id":522,"type":"article-journal","abstract":"BACKGROUND: Our understanding of human coronary physiological behaviour is derived from animal models. We sought to describe physiological behaviour across a large collection of invasive pressure and flow velocity measurements, to provide a better understanding of the relationships between these physiological parameters and to evaluate the rationale for resting stenosis assessment.\nMETHODS AND RESULTS: Five hundred and sixty-seven simultaneous intracoronary pressure and flow velocity assessments from 301 patients were analysed for coronary flow velocity, trans-stenotic pressure gradient (TG), and microvascular resistance (MVR). Measurements were made during baseline and hyperaemic conditions. The whole cardiac cycle and the diastolic wave-free period were assessed. Stenoses were assessed according to fractional flow reserve (FFR) and quantitative coronary angiography DS%. With progressive worsening of stenoses, from unobstructed angiographic normal vessels to those with FFR ≤ 0.50, hyperaemic flow falls significantly from 45 to 19 cm/s, Ptrend &lt; 0.001 in a curvilinear pattern. Resting flow was unaffected by stenosis severity and was consistent across all strata of stenosis (Ptrend &gt; 0.05 for all). Trans-stenotic pressure gradient rose with stenosis severity for both rest and hyperaemic measures (Ptrend &lt; 0.001 for both). Microvascular resistance declines with stenosis severity under resting conditions (Ptrend &lt; 0.001), but was unchanged at hyperaemia (2.3 ± 1.1 mmHg/cm/s; Ptrend = 0.19).\nCONCLUSIONS: With progressive stenosis severity, TG rises. However, while hyperaemic flow falls significantly, resting coronary flow is maintained by compensatory reduction of MVR, demonstrating coronary auto-regulation. These data support the translation of coronary physiological concepts derived from animals to patients with coronary artery disease and furthermore, suggest that resting pressure indices can be used to detect the haemodynamic significance of coronary artery stenoses.","container-title":"European Heart Journal","DOI":"10.1093/eurheartj/ehv626","ISSN":"1522-9645","issue":"26","journalAbbreviation":"Eur. Heart J.","language":"eng","note":"PMID: 26612582\nPMCID: PMC4940452","page":"2069-2080","source":"PubMed","title":"Coronary pressure and flow relationships in humans: phasic analysis of normal and pathological vessels and the implications for stenosis assessment: a report from the Iberian-Dutch-English (IDEAL) collaborators","title-short":"Coronary pressure and flow relationships in humans","volume":"37","author":[{"family":"Nijjer","given":"Sukhjinder S."},{"family":"Waard","given":"Guus A.","non-dropping-particle":"de"},{"family":"Sen","given":"Sayan"},{"family":"Hoef","given":"Tim P.","non-dropping-particle":"van de"},{"family":"Petraco","given":"Ricardo"},{"family":"Echavarría-Pinto","given":"Mauro"},{"family":"Lavieren","given":"Martijn A.","non-dropping-particle":"van"},{"family":"Meuwissen","given":"Martijn"},{"family":"Danad","given":"Ibrahim"},{"family":"Knaapen","given":"Paul"},{"family":"Escaned","given":"Javier"},{"family":"Piek","given":"Jan J."},{"family":"Davies","given":"Justin E."},{"family":"Royen","given":"Niels","non-dropping-particle":"van"}],"issued":{"date-parts":[["2016",7,7]]}}}],"schema":"https://github.com/citation-style-language/schema/raw/master/csl-citation.json"} </w:instrText>
      </w:r>
      <w:r w:rsidR="00106A32" w:rsidRPr="00EC6C19">
        <w:rPr>
          <w:rFonts w:ascii="Times New Roman" w:hAnsi="Times New Roman" w:cs="Times New Roman"/>
          <w:sz w:val="24"/>
          <w:szCs w:val="24"/>
        </w:rPr>
        <w:fldChar w:fldCharType="separate"/>
      </w:r>
      <w:r w:rsidR="006D2BB5" w:rsidRPr="00EC6C19">
        <w:rPr>
          <w:rFonts w:ascii="Times New Roman" w:hAnsi="Times New Roman" w:cs="Times New Roman"/>
          <w:sz w:val="24"/>
          <w:szCs w:val="24"/>
        </w:rPr>
        <w:t xml:space="preserve">(Nijjer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2016)</w:t>
      </w:r>
      <w:r w:rsidR="00106A32" w:rsidRPr="00EC6C19">
        <w:rPr>
          <w:rFonts w:ascii="Times New Roman" w:hAnsi="Times New Roman" w:cs="Times New Roman"/>
          <w:sz w:val="24"/>
          <w:szCs w:val="24"/>
        </w:rPr>
        <w:fldChar w:fldCharType="end"/>
      </w:r>
      <w:r w:rsidR="000516B4" w:rsidRPr="00EC6C19">
        <w:rPr>
          <w:rFonts w:ascii="Times New Roman" w:hAnsi="Times New Roman" w:cs="Times New Roman"/>
          <w:sz w:val="24"/>
          <w:szCs w:val="24"/>
        </w:rPr>
        <w:t>. This supports hydrostatic theory, as the circumflex</w:t>
      </w:r>
      <w:r w:rsidR="00A40BE1" w:rsidRPr="00EC6C19">
        <w:rPr>
          <w:rFonts w:ascii="Times New Roman" w:hAnsi="Times New Roman" w:cs="Times New Roman"/>
          <w:sz w:val="24"/>
          <w:szCs w:val="24"/>
        </w:rPr>
        <w:t xml:space="preserve"> artery</w:t>
      </w:r>
      <w:r w:rsidR="000516B4" w:rsidRPr="00EC6C19">
        <w:rPr>
          <w:rFonts w:ascii="Times New Roman" w:hAnsi="Times New Roman" w:cs="Times New Roman"/>
          <w:sz w:val="24"/>
          <w:szCs w:val="24"/>
        </w:rPr>
        <w:t xml:space="preserve"> lies predominantly inferior to the aorta</w:t>
      </w:r>
      <w:r w:rsidRPr="00EC6C19">
        <w:rPr>
          <w:rFonts w:ascii="Times New Roman" w:hAnsi="Times New Roman" w:cs="Times New Roman"/>
          <w:sz w:val="24"/>
          <w:szCs w:val="24"/>
        </w:rPr>
        <w:t xml:space="preserve"> leading to an FFR above 1.0</w:t>
      </w:r>
      <w:r w:rsidR="000516B4" w:rsidRPr="00EC6C19">
        <w:rPr>
          <w:rFonts w:ascii="Times New Roman" w:hAnsi="Times New Roman" w:cs="Times New Roman"/>
          <w:sz w:val="24"/>
          <w:szCs w:val="24"/>
        </w:rPr>
        <w:t>.</w:t>
      </w:r>
    </w:p>
    <w:p w14:paraId="27889807" w14:textId="7E5C6D50" w:rsidR="00A40BE1" w:rsidRDefault="005D5234" w:rsidP="009935AD">
      <w:pPr>
        <w:spacing w:line="360" w:lineRule="auto"/>
        <w:rPr>
          <w:rFonts w:ascii="Times New Roman" w:hAnsi="Times New Roman" w:cs="Times New Roman"/>
          <w:sz w:val="24"/>
          <w:szCs w:val="24"/>
        </w:rPr>
      </w:pPr>
      <w:r>
        <w:rPr>
          <w:rFonts w:ascii="Times New Roman" w:hAnsi="Times New Roman" w:cs="Times New Roman"/>
          <w:sz w:val="24"/>
          <w:szCs w:val="24"/>
        </w:rPr>
        <w:t>I</w:t>
      </w:r>
      <w:r w:rsidR="00A40BE1" w:rsidRPr="00EC6C19">
        <w:rPr>
          <w:rFonts w:ascii="Times New Roman" w:hAnsi="Times New Roman" w:cs="Times New Roman"/>
          <w:sz w:val="24"/>
          <w:szCs w:val="24"/>
        </w:rPr>
        <w:t>n a group of patients with moderate coronary artery stenoses, mea</w:t>
      </w:r>
      <w:r w:rsidR="00572790">
        <w:rPr>
          <w:rFonts w:ascii="Times New Roman" w:hAnsi="Times New Roman" w:cs="Times New Roman"/>
          <w:sz w:val="24"/>
          <w:szCs w:val="24"/>
        </w:rPr>
        <w:t xml:space="preserve">surements in posterior arteries </w:t>
      </w:r>
      <w:r w:rsidR="00A40BE1" w:rsidRPr="00EC6C19">
        <w:rPr>
          <w:rFonts w:ascii="Times New Roman" w:hAnsi="Times New Roman" w:cs="Times New Roman"/>
          <w:sz w:val="24"/>
          <w:szCs w:val="24"/>
        </w:rPr>
        <w:t xml:space="preserve">produced </w:t>
      </w:r>
      <w:r w:rsidR="00172466" w:rsidRPr="00EC6C19">
        <w:rPr>
          <w:rFonts w:ascii="Times New Roman" w:hAnsi="Times New Roman" w:cs="Times New Roman"/>
          <w:sz w:val="24"/>
          <w:szCs w:val="24"/>
        </w:rPr>
        <w:t>significantly</w:t>
      </w:r>
      <w:r w:rsidR="00A40BE1" w:rsidRPr="00EC6C19">
        <w:rPr>
          <w:rFonts w:ascii="Times New Roman" w:hAnsi="Times New Roman" w:cs="Times New Roman"/>
          <w:sz w:val="24"/>
          <w:szCs w:val="24"/>
        </w:rPr>
        <w:t xml:space="preserve"> higher FFR results than anterior vessels (0.87 vs. 0.79)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{"citationID":"PuwLa6jZ","properties":{"formattedCitation":"(H\\uc0\\u228{}rle et al., 2017c)","plainCitation":"(Härle et al., 2017c)","noteIndex":0},"citationItems":[{"id":"Vqvua3Kd/FPBYDrpy","uris":["http://zotero.org/users/local/k67tNDdX/items/N52W2WNW"],"uri":["http://zotero.org/users/local/k67tNDdX/items/N52W2WNW"],"itemData":{"id":570,"type":"article-journal","abstract":"INTRODUCTION: Intracoronary pressure measurements have improved assessment of angiographic intermediate coronary stenoses. Methodically, pressure equalization and actual measurements are frequently performed at different height levels, depending on the particular coronary territory analyzed. Considering a hypothetical influence of hydrostatic pressure and the supine position of the patient, differences in the results of intracoronary measurements between anterior and posterior vessels seem likely. The purpose of this study was to compare the results of intracoronary pressure measurements between anterior and posterior coronary territories.\nMETHODS: Intracoronary pressure measurements of 214 coronary stenoses in 158 patients were analyzed. Fractional flow reserve (FFR) was measured in all stenosis and instantaneous wave-free ratio (iFR) in 197 stenoses in 144 patients.\nRESULTS: Both FFR (0.79 vs. 0.87, p &lt; 0.001) and iFR values (0.86 vs. 0.94, p &lt; 0.001) were significantly higher in posterior compared to anterior coronary vessels. Patients with only anterior or posterior lesions did not differ regarding clinical or lesion characteristics, in particular coronary stenosis severity (62.5 vs. 61.6 %, p = 0.27).\nCONCLUSIONS: Results of intracoronary measurements were systematically higher in the posterior coronary vessels when compared with anterior vessels. This phenomenon was independent of coronary stenosis severity or any clinical characteristics in our study population.","container-title":"Herz","DOI":"10.1007/s00059-016-4471-z","ISSN":"1615-6692","issue":"4","journalAbbreviation":"Herz","language":"eng","note":"PMID: 27582367","page":"395-402","source":"PubMed","title":"Intracoronary pressure measurement differences between anter</w:instrText>
      </w:r>
      <w:r w:rsidR="00E66794">
        <w:rPr>
          <w:rFonts w:ascii="Tahoma" w:hAnsi="Tahoma" w:cs="Tahoma"/>
          <w:sz w:val="24"/>
          <w:szCs w:val="24"/>
        </w:rPr>
        <w:instrText>﻿</w:instrText>
      </w:r>
      <w:r w:rsidR="00E66794">
        <w:rPr>
          <w:rFonts w:ascii="Times New Roman" w:hAnsi="Times New Roman" w:cs="Times New Roman"/>
          <w:sz w:val="24"/>
          <w:szCs w:val="24"/>
        </w:rPr>
        <w:instrText xml:space="preserve">ior and posterior coronary territories","volume":"42","author":[{"family":"Härle","given":"T."},{"family":"Meyer","given":"S."},{"family":"Bojara","given":"W."},{"family":"Vahldiek","given":"F."},{"family":"Elsässer","given":"A."}],"issued":{"date-parts":[["2017",6]]}}}],"schema":"https://github.com/citation-style-language/schema/raw/master/csl-citation.json"} </w:instrText>
      </w:r>
      <w:r w:rsidR="00106A32" w:rsidRPr="00EC6C19">
        <w:rPr>
          <w:rFonts w:ascii="Times New Roman" w:hAnsi="Times New Roman" w:cs="Times New Roman"/>
          <w:sz w:val="24"/>
          <w:szCs w:val="24"/>
        </w:rPr>
        <w:fldChar w:fldCharType="separate"/>
      </w:r>
      <w:r w:rsidR="004A32A5" w:rsidRPr="004A32A5">
        <w:rPr>
          <w:rFonts w:ascii="Times New Roman" w:hAnsi="Times New Roman" w:cs="Times New Roman"/>
          <w:sz w:val="24"/>
          <w:szCs w:val="24"/>
        </w:rPr>
        <w:t>(Härle et al., 2017c)</w:t>
      </w:r>
      <w:r w:rsidR="00106A32" w:rsidRPr="00EC6C19">
        <w:rPr>
          <w:rFonts w:ascii="Times New Roman" w:hAnsi="Times New Roman" w:cs="Times New Roman"/>
          <w:sz w:val="24"/>
          <w:szCs w:val="24"/>
        </w:rPr>
        <w:fldChar w:fldCharType="end"/>
      </w:r>
      <w:r w:rsidR="00A40BE1" w:rsidRPr="00EC6C19">
        <w:rPr>
          <w:rFonts w:ascii="Times New Roman" w:hAnsi="Times New Roman" w:cs="Times New Roman"/>
          <w:sz w:val="24"/>
          <w:szCs w:val="24"/>
        </w:rPr>
        <w:t xml:space="preserve">. </w:t>
      </w:r>
      <w:r w:rsidR="007A51DB" w:rsidRPr="00EC6C19">
        <w:rPr>
          <w:rFonts w:ascii="Times New Roman" w:hAnsi="Times New Roman" w:cs="Times New Roman"/>
          <w:sz w:val="24"/>
          <w:szCs w:val="24"/>
        </w:rPr>
        <w:t>All compared vessels had</w:t>
      </w:r>
      <w:r w:rsidR="00A40BE1" w:rsidRPr="00EC6C19">
        <w:rPr>
          <w:rFonts w:ascii="Times New Roman" w:hAnsi="Times New Roman" w:cs="Times New Roman"/>
          <w:sz w:val="24"/>
          <w:szCs w:val="24"/>
        </w:rPr>
        <w:t xml:space="preserve"> very similar coronary stenosis severity (61.6% vs. 62.5%). </w:t>
      </w:r>
      <w:r w:rsidR="007A51DB" w:rsidRPr="00EC6C19">
        <w:rPr>
          <w:rFonts w:ascii="Times New Roman" w:hAnsi="Times New Roman" w:cs="Times New Roman"/>
          <w:sz w:val="24"/>
          <w:szCs w:val="24"/>
        </w:rPr>
        <w:t>This could be explained by the</w:t>
      </w:r>
      <w:r w:rsidR="00A40BE1" w:rsidRPr="00EC6C19">
        <w:rPr>
          <w:rFonts w:ascii="Times New Roman" w:hAnsi="Times New Roman" w:cs="Times New Roman"/>
          <w:sz w:val="24"/>
          <w:szCs w:val="24"/>
        </w:rPr>
        <w:t xml:space="preserve"> difference in height between distal and proximal sensors</w:t>
      </w:r>
      <w:r w:rsidR="007A51DB" w:rsidRPr="00EC6C19">
        <w:rPr>
          <w:rFonts w:ascii="Times New Roman" w:hAnsi="Times New Roman" w:cs="Times New Roman"/>
          <w:sz w:val="24"/>
          <w:szCs w:val="24"/>
        </w:rPr>
        <w:t xml:space="preserve"> and hence hydrostatic effect</w:t>
      </w:r>
      <w:r w:rsidR="00A40BE1" w:rsidRPr="00EC6C19">
        <w:rPr>
          <w:rFonts w:ascii="Times New Roman" w:hAnsi="Times New Roman" w:cs="Times New Roman"/>
          <w:sz w:val="24"/>
          <w:szCs w:val="24"/>
        </w:rPr>
        <w:t>.</w:t>
      </w:r>
      <w:r w:rsidR="002C1E1F" w:rsidRPr="00EC6C19">
        <w:rPr>
          <w:rFonts w:ascii="Times New Roman" w:hAnsi="Times New Roman" w:cs="Times New Roman"/>
          <w:sz w:val="24"/>
          <w:szCs w:val="24"/>
        </w:rPr>
        <w:t xml:space="preserve"> The </w:t>
      </w:r>
      <w:r w:rsidR="00EE6639" w:rsidRPr="00EC6C19">
        <w:rPr>
          <w:rFonts w:ascii="Times New Roman" w:hAnsi="Times New Roman" w:cs="Times New Roman"/>
          <w:sz w:val="24"/>
          <w:szCs w:val="24"/>
        </w:rPr>
        <w:t>results included</w:t>
      </w:r>
      <w:r w:rsidR="006D2BB5" w:rsidRPr="00EC6C19">
        <w:rPr>
          <w:rFonts w:ascii="Times New Roman" w:hAnsi="Times New Roman" w:cs="Times New Roman"/>
          <w:sz w:val="24"/>
          <w:szCs w:val="24"/>
        </w:rPr>
        <w:t xml:space="preserve"> </w:t>
      </w:r>
      <w:r w:rsidR="002C1E1F" w:rsidRPr="00EC6C19">
        <w:rPr>
          <w:rFonts w:ascii="Times New Roman" w:hAnsi="Times New Roman" w:cs="Times New Roman"/>
          <w:sz w:val="24"/>
          <w:szCs w:val="24"/>
        </w:rPr>
        <w:t xml:space="preserve">iFR, which followed the same </w:t>
      </w:r>
      <w:r w:rsidR="000E62A5" w:rsidRPr="00EC6C19">
        <w:rPr>
          <w:rFonts w:ascii="Times New Roman" w:hAnsi="Times New Roman" w:cs="Times New Roman"/>
          <w:sz w:val="24"/>
          <w:szCs w:val="24"/>
        </w:rPr>
        <w:t>tren</w:t>
      </w:r>
      <w:r w:rsidR="00EE6639" w:rsidRPr="00EC6C19">
        <w:rPr>
          <w:rFonts w:ascii="Times New Roman" w:hAnsi="Times New Roman" w:cs="Times New Roman"/>
          <w:sz w:val="24"/>
          <w:szCs w:val="24"/>
        </w:rPr>
        <w:t xml:space="preserve">d, as expected for a </w:t>
      </w:r>
      <w:r w:rsidR="009B1E26" w:rsidRPr="00EC6C19">
        <w:rPr>
          <w:rFonts w:ascii="Times New Roman" w:hAnsi="Times New Roman" w:cs="Times New Roman"/>
          <w:sz w:val="24"/>
          <w:szCs w:val="24"/>
        </w:rPr>
        <w:t>pressure</w:t>
      </w:r>
      <w:r w:rsidR="009B1E26">
        <w:rPr>
          <w:rFonts w:ascii="Times New Roman" w:hAnsi="Times New Roman" w:cs="Times New Roman"/>
          <w:sz w:val="24"/>
          <w:szCs w:val="24"/>
        </w:rPr>
        <w:t>-</w:t>
      </w:r>
      <w:r w:rsidR="00EE6639" w:rsidRPr="00EC6C19">
        <w:rPr>
          <w:rFonts w:ascii="Times New Roman" w:hAnsi="Times New Roman" w:cs="Times New Roman"/>
          <w:sz w:val="24"/>
          <w:szCs w:val="24"/>
        </w:rPr>
        <w:t>based index</w:t>
      </w:r>
      <w:r w:rsidR="000E62A5" w:rsidRPr="00EC6C19">
        <w:rPr>
          <w:rFonts w:ascii="Times New Roman" w:hAnsi="Times New Roman" w:cs="Times New Roman"/>
          <w:sz w:val="24"/>
          <w:szCs w:val="24"/>
        </w:rPr>
        <w:t>.</w:t>
      </w:r>
    </w:p>
    <w:p w14:paraId="3E3D1F6E" w14:textId="3ADA7FDD" w:rsidR="002A1137" w:rsidRDefault="002A1137" w:rsidP="009935AD">
      <w:pPr>
        <w:spacing w:line="360" w:lineRule="auto"/>
        <w:rPr>
          <w:rFonts w:ascii="Times New Roman" w:hAnsi="Times New Roman" w:cs="Times New Roman"/>
          <w:sz w:val="24"/>
          <w:szCs w:val="24"/>
        </w:rPr>
      </w:pPr>
      <w:r>
        <w:rPr>
          <w:rFonts w:ascii="Times New Roman" w:hAnsi="Times New Roman" w:cs="Times New Roman"/>
          <w:sz w:val="24"/>
          <w:szCs w:val="24"/>
        </w:rPr>
        <w:t xml:space="preserve">Registry data follows this trend.  In nearly four thousand patients on a registry data </w:t>
      </w:r>
      <w:r w:rsidR="005D5234">
        <w:rPr>
          <w:rFonts w:ascii="Times New Roman" w:hAnsi="Times New Roman" w:cs="Times New Roman"/>
          <w:sz w:val="24"/>
          <w:szCs w:val="24"/>
        </w:rPr>
        <w:t>set</w:t>
      </w:r>
      <w:r>
        <w:rPr>
          <w:rFonts w:ascii="Times New Roman" w:hAnsi="Times New Roman" w:cs="Times New Roman"/>
          <w:sz w:val="24"/>
          <w:szCs w:val="24"/>
        </w:rPr>
        <w:t xml:space="preserve">, there was a clear mismatch in angiographically moderate lesions in the LAD and </w:t>
      </w:r>
      <w:r w:rsidR="005D5234">
        <w:rPr>
          <w:rFonts w:ascii="Times New Roman" w:hAnsi="Times New Roman" w:cs="Times New Roman"/>
          <w:sz w:val="24"/>
          <w:szCs w:val="24"/>
        </w:rPr>
        <w:t xml:space="preserve">correlation with </w:t>
      </w:r>
      <w:r>
        <w:rPr>
          <w:rFonts w:ascii="Times New Roman" w:hAnsi="Times New Roman" w:cs="Times New Roman"/>
          <w:sz w:val="24"/>
          <w:szCs w:val="24"/>
        </w:rPr>
        <w:t xml:space="preserve">invasive FFR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{"citationID":"UeE3n8KB","properties":{"formattedCitation":"(Nakamura et al., 2014)","plainCitation":"(Nakamura et al., 2014)","noteIndex":0},"citationItems":[{"id":875,"uris":["http://zotero.org/users/local/k67tNDdX/items/REM8TGN4"],"uri":["http://zotero.org/users/local/k67tNDdX/items/REM8TGN4"],"itemData":{"id":875,"type":"article-journal","abstract":"The fractional flow reserve (FFR) is considered to be a reliable index for the assessment of clinically relevant coronary artery stenosis. However, mismatch in assessing the severity of coronary stenosis between coronary angiography and the FFR has been pointed out. The cardiovascular intervention therapeutics (CVIT)-DEFER registry is a prospective multicenter registry study that has enrolled 3,228 consecutive patients among 3,804 patients with angiographically moderate coronary artery lesions in whom FFR analysis was clinically indicated. The demographic and angiographic parameters associated with an FFR ≤0.8 were analyzed, and the incidence of discrepancy between the angiographic severity of coronary stenosis and the FFR was assessed. Based on the visual assessment, 1,609 (42.9%) lesions were categorized as showing 50% stenosis, 1,882 lesions (50.2%) as 75% stenosis, and 257 lesions (6.9%) as 90% stenosis. Angiographic-FFR \"mismatch,\" which was defined as visual stenosis ≥75% with FFR &gt;0.80, was found in 43.4% of lesions, while reverse angiographic mismatch (visual stenosis &lt;75% with FFR ≤0.8) was found in 23.2%. The independent predictors for \"angiographic-FFR mismatch\" were the presence of percutaneous coronary intervention (PCI) history, one-vessel disease, non-left anterior descending artery (LAD) location, non-diffuse lesion, non-ostial lesion, and non-tandem lesion. Conversely, \"reverse angiographic mismatch\" was independently associated with the multivessel disease, LAD location, and diffuse lesion. The FFR is not only influenced by luminal stenosis but also by coronary artery morphology and the amount of jeopardized myocardium. Angiographic-FFR mismatch is frequent in patients with moderate coronary stenosis, which suggests the clinical importance of using physiological assessment to guide PCI.","container-title":"Cardiovascular Intervention and Therapeutics","DOI":"10.1007/s12928-014-0259-3","ISSN":"1868-4297","issue":"4","journalAbbreviation":"Cardiovasc Interv Ther","language":"eng","note":"PMID: 24664513","page":"300-308","source":"PubMed","title":"Prevalence of visual-functional mismatch regarding coronary artery stenosis in the CVIT-DEFER registry","volume":"29","author":[{"family":"Nakamura","given":"Masato"},{"family":"Yamagishi","given":"Masakazu"},{"family":"Ueno","given":"Takafumi"},{"family":"Hara","given":"Kazuhiro"},{"family":"Ishiwata","given":"Sugao"},{"family":"Itoh","given":"Tomonori"},{"family":"Hamanaka","given":"Ichiro"},{"family":"Wakatsuki","given":"Tetsuzo"},{"family":"Sugano","given":"Teruyasu"},{"family":"Kawai","given":"Kazuya"},{"family":"Akasaka","given":"Takashi"},{"family":"Tanaka","given":"Nobuhiro"},{"family":"Kimura","given":"Takeshi"}],"issued":{"date-parts":[["2014",10]]}}}],"schema":"https://github.com/citation-style-language/schema/raw/master/csl-citation.json"} </w:instrText>
      </w:r>
      <w:r w:rsidR="00106A32">
        <w:rPr>
          <w:rFonts w:ascii="Times New Roman" w:hAnsi="Times New Roman" w:cs="Times New Roman"/>
          <w:sz w:val="24"/>
          <w:szCs w:val="24"/>
        </w:rPr>
        <w:fldChar w:fldCharType="separate"/>
      </w:r>
      <w:r w:rsidRPr="002A1137">
        <w:rPr>
          <w:rFonts w:ascii="Times New Roman" w:hAnsi="Times New Roman" w:cs="Times New Roman"/>
          <w:sz w:val="24"/>
        </w:rPr>
        <w:t>(Nakamura et al., 2014)</w:t>
      </w:r>
      <w:r w:rsidR="00106A32">
        <w:rPr>
          <w:rFonts w:ascii="Times New Roman" w:hAnsi="Times New Roman" w:cs="Times New Roman"/>
          <w:sz w:val="24"/>
          <w:szCs w:val="24"/>
        </w:rPr>
        <w:fldChar w:fldCharType="end"/>
      </w:r>
      <w:r>
        <w:rPr>
          <w:rFonts w:ascii="Times New Roman" w:hAnsi="Times New Roman" w:cs="Times New Roman"/>
          <w:sz w:val="24"/>
          <w:szCs w:val="24"/>
        </w:rPr>
        <w:t xml:space="preserve">. The CVIT-DEFER registry demonstrated LAD lesions were statistically more likely to yield a </w:t>
      </w:r>
      <w:r w:rsidR="009B1E26">
        <w:rPr>
          <w:rFonts w:ascii="Times New Roman" w:hAnsi="Times New Roman" w:cs="Times New Roman"/>
          <w:sz w:val="24"/>
          <w:szCs w:val="24"/>
        </w:rPr>
        <w:t>positive</w:t>
      </w:r>
      <w:r>
        <w:rPr>
          <w:rFonts w:ascii="Times New Roman" w:hAnsi="Times New Roman" w:cs="Times New Roman"/>
          <w:sz w:val="24"/>
          <w:szCs w:val="24"/>
        </w:rPr>
        <w:t xml:space="preserve"> FFR result (&lt;0.80). The opposite was true for Cx and </w:t>
      </w:r>
      <w:r>
        <w:rPr>
          <w:rFonts w:ascii="Times New Roman" w:hAnsi="Times New Roman" w:cs="Times New Roman"/>
          <w:sz w:val="24"/>
          <w:szCs w:val="24"/>
        </w:rPr>
        <w:lastRenderedPageBreak/>
        <w:t>RCA lesions</w:t>
      </w:r>
      <w:r w:rsidR="005D5234">
        <w:rPr>
          <w:rFonts w:ascii="Times New Roman" w:hAnsi="Times New Roman" w:cs="Times New Roman"/>
          <w:sz w:val="24"/>
          <w:szCs w:val="24"/>
        </w:rPr>
        <w:t>, which were more likely to yield a negative result</w:t>
      </w:r>
      <w:r>
        <w:rPr>
          <w:rFonts w:ascii="Times New Roman" w:hAnsi="Times New Roman" w:cs="Times New Roman"/>
          <w:sz w:val="24"/>
          <w:szCs w:val="24"/>
        </w:rPr>
        <w:t>. There was no difference in left main stem lesions.</w:t>
      </w:r>
      <w:r w:rsidR="00572790">
        <w:rPr>
          <w:rFonts w:ascii="Times New Roman" w:hAnsi="Times New Roman" w:cs="Times New Roman"/>
          <w:sz w:val="24"/>
          <w:szCs w:val="24"/>
        </w:rPr>
        <w:t xml:space="preserve"> A further study of 643 patients yielded the same results </w:t>
      </w:r>
      <w:r w:rsidR="00106A32">
        <w:rPr>
          <w:rFonts w:ascii="Times New Roman" w:hAnsi="Times New Roman" w:cs="Times New Roman"/>
          <w:sz w:val="24"/>
          <w:szCs w:val="24"/>
        </w:rPr>
        <w:fldChar w:fldCharType="begin"/>
      </w:r>
      <w:r w:rsidR="00572790">
        <w:rPr>
          <w:rFonts w:ascii="Times New Roman" w:hAnsi="Times New Roman" w:cs="Times New Roman"/>
          <w:sz w:val="24"/>
          <w:szCs w:val="24"/>
        </w:rPr>
        <w:instrText xml:space="preserve"> ADDIN ZOTERO_ITEM CSL_CITATION {"citationID":"4HeNCTy3","properties":{"formattedCitation":"(Cho et al., 2014)","plainCitation":"(Cho et al., 2014)","noteIndex":0},"citationItems":[{"id":877,"uris":["http://zotero.org/users/local/k67tNDdX/items/IKACB3RV"],"uri":["http://zotero.org/users/local/k67tNDdX/items/IKACB3RV"],"itemData":{"id":877,"type":"article-journal","abstract":"BACKGROUND AND OBJECTIVES: Coronary lesions with mismatched functional and anatomical significance are not uncommon. We assessed the accuracy and predictors of mismatch between fractional flow reserve (FFR) and quantitative coronary angiography (QCA) analyses in patients with coronary lesions.\nSUBJECTS AND METHODS: A total of 643 lesions with pre-interventional FFR and QCA measurements were consecutively enrolled and divided into four groups using FFR ≤0.80 and percent diameter stenosis (%DS) ≥50% as cutoffs for functional and anatomical significance, respectively. Accordingly, FFR &gt;0.80 and DS ≥50%, and FFR ≤0.80 and DS &lt;50% defined false-positive (FP) and false-negative (FN) lesions, respectively.\nRESULTS: Overall, 40.4% (260/643) of the lesions were mismatched, and 51.7% (218/414) and 18.3% (42/229) were FP and FN lesions, respectively. In a multivariate analysis, independent predictors of FP were non-left anterior descending artery location {odds ratio (OR), 0.36; 95% confidence interval (CI), 0.28-0.56; p&lt;0.001}, shorter lesion length (OR, 0.96; 95% CI, 0.95-0.98; p&lt;0.001), multi-vessel disease (OR, 0.47; 95% CI, 0.30-0.75; p=0.001), and larger minimal lumen diameter by QCA (OR, 2.88; 95% CI,1.65-5.00; p&lt;0.001). Independent predictors of FN were multi-vessel disease (OR, 1.82; 95% CI, 1.24-5.27; p=0.048), aging (OR, 0.96; 95% CI, 0.93-0.99; p=0.034), smoking (OR, 0.36; 95% CI, 0.14-0.93; p=0.034), and smaller reference vessel diameter by QCA (OR, 0.30; 95% CI, 0.10-0.87; p=0.026).\nCONCLUSION: A mismatch between FFR and angiographic lesion severity is not rare in patients with coronary artery disease; therefore, an angiography-guided evaluation could under- or over-estimate lesion severity in specific lesion subsets.","container-title":"Korean Circulation Journal","DOI":"10.4070/kcj.2014.44.6.394","ISSN":"1738-5520","issue":"6","journalAbbreviation":"Korean Circ J","language":"eng","note":"PMID: 25469141\nPMCID: PMC4248611","page":"394-399","source":"PubMed","title":"Characteristics of function-anatomy mismatch in patients with coronary artery disease","volume":"44","author":[{"family":"Cho","given":"Hyun-Ok"},{"family":"Nam","given":"Chang-Wook"},{"family":"Cho","given":"Yun-Kyeong"},{"family":"Yoon","given":"Hyuck-Jun"},{"family":"Park","given":"Hyoung-Seob"},{"family":"Kim","given":"Hyungseop"},{"family":"Chung","given":"In-Sung"},{"family":"Doh","given":"Joon-Hyung"},{"family":"Koo","given":"Bon-Kwon"},{"family":"Hyun","given":"Dae-Woo"},{"family":"Hur","given":"Seung-Ho"},{"family":"Kim","given":"Yoon-Nyun"},{"family":"Kim","given":"Kwon-Bae"}],"issued":{"date-parts":[["2014",11]]}}}],"schema":"https://github.com/citation-style-language/schema/raw/master/csl-citation.json"} </w:instrText>
      </w:r>
      <w:r w:rsidR="00106A32">
        <w:rPr>
          <w:rFonts w:ascii="Times New Roman" w:hAnsi="Times New Roman" w:cs="Times New Roman"/>
          <w:sz w:val="24"/>
          <w:szCs w:val="24"/>
        </w:rPr>
        <w:fldChar w:fldCharType="separate"/>
      </w:r>
      <w:r w:rsidR="00572790" w:rsidRPr="00572790">
        <w:rPr>
          <w:rFonts w:ascii="Times New Roman" w:hAnsi="Times New Roman" w:cs="Times New Roman"/>
          <w:sz w:val="24"/>
        </w:rPr>
        <w:t>(Cho et al., 2014)</w:t>
      </w:r>
      <w:r w:rsidR="00106A32">
        <w:rPr>
          <w:rFonts w:ascii="Times New Roman" w:hAnsi="Times New Roman" w:cs="Times New Roman"/>
          <w:sz w:val="24"/>
          <w:szCs w:val="24"/>
        </w:rPr>
        <w:fldChar w:fldCharType="end"/>
      </w:r>
      <w:r w:rsidR="00572790">
        <w:rPr>
          <w:rFonts w:ascii="Times New Roman" w:hAnsi="Times New Roman" w:cs="Times New Roman"/>
          <w:sz w:val="24"/>
          <w:szCs w:val="24"/>
        </w:rPr>
        <w:t>.</w:t>
      </w:r>
      <w:r w:rsidR="005D5234">
        <w:rPr>
          <w:rFonts w:ascii="Times New Roman" w:hAnsi="Times New Roman" w:cs="Times New Roman"/>
          <w:sz w:val="24"/>
          <w:szCs w:val="24"/>
        </w:rPr>
        <w:t xml:space="preserve"> </w:t>
      </w:r>
      <w:r>
        <w:rPr>
          <w:rFonts w:ascii="Times New Roman" w:hAnsi="Times New Roman" w:cs="Times New Roman"/>
          <w:sz w:val="24"/>
          <w:szCs w:val="24"/>
        </w:rPr>
        <w:t>This further supports hydrostatic pressure theory.</w:t>
      </w:r>
      <w:r w:rsidR="005D5234">
        <w:rPr>
          <w:rFonts w:ascii="Times New Roman" w:hAnsi="Times New Roman" w:cs="Times New Roman"/>
          <w:sz w:val="24"/>
          <w:szCs w:val="24"/>
        </w:rPr>
        <w:t xml:space="preserve"> The authors</w:t>
      </w:r>
      <w:r w:rsidR="00572790">
        <w:rPr>
          <w:rFonts w:ascii="Times New Roman" w:hAnsi="Times New Roman" w:cs="Times New Roman"/>
          <w:sz w:val="24"/>
          <w:szCs w:val="24"/>
        </w:rPr>
        <w:t xml:space="preserve"> of both studies</w:t>
      </w:r>
      <w:r w:rsidR="005D5234">
        <w:rPr>
          <w:rFonts w:ascii="Times New Roman" w:hAnsi="Times New Roman" w:cs="Times New Roman"/>
          <w:sz w:val="24"/>
          <w:szCs w:val="24"/>
        </w:rPr>
        <w:t xml:space="preserve"> however</w:t>
      </w:r>
      <w:r w:rsidR="00572790">
        <w:rPr>
          <w:rFonts w:ascii="Times New Roman" w:hAnsi="Times New Roman" w:cs="Times New Roman"/>
          <w:sz w:val="24"/>
          <w:szCs w:val="24"/>
        </w:rPr>
        <w:t xml:space="preserve"> suggest</w:t>
      </w:r>
      <w:r w:rsidR="005D5234">
        <w:rPr>
          <w:rFonts w:ascii="Times New Roman" w:hAnsi="Times New Roman" w:cs="Times New Roman"/>
          <w:sz w:val="24"/>
          <w:szCs w:val="24"/>
        </w:rPr>
        <w:t xml:space="preserve"> that the mismatch seen was related to the amount of myocardium supplied by the LAD compared to other vessels.</w:t>
      </w:r>
      <w:r w:rsidR="00572790">
        <w:rPr>
          <w:rFonts w:ascii="Times New Roman" w:hAnsi="Times New Roman" w:cs="Times New Roman"/>
          <w:sz w:val="24"/>
          <w:szCs w:val="24"/>
        </w:rPr>
        <w:t xml:space="preserve"> Hydrostatic effect was not mentioned.</w:t>
      </w:r>
    </w:p>
    <w:p w14:paraId="49EBA576" w14:textId="77777777" w:rsidR="00572790" w:rsidRPr="00EC6C19" w:rsidRDefault="00572790" w:rsidP="009935AD">
      <w:pPr>
        <w:spacing w:line="360" w:lineRule="auto"/>
        <w:rPr>
          <w:rFonts w:ascii="Times New Roman" w:hAnsi="Times New Roman" w:cs="Times New Roman"/>
          <w:sz w:val="24"/>
          <w:szCs w:val="24"/>
        </w:rPr>
      </w:pPr>
      <w:r>
        <w:rPr>
          <w:rFonts w:ascii="Times New Roman" w:hAnsi="Times New Roman" w:cs="Times New Roman"/>
          <w:sz w:val="24"/>
          <w:szCs w:val="24"/>
        </w:rPr>
        <w:t xml:space="preserve">A study from 2017 </w:t>
      </w:r>
      <w:r w:rsidR="00B127AD">
        <w:rPr>
          <w:rFonts w:ascii="Times New Roman" w:hAnsi="Times New Roman" w:cs="Times New Roman"/>
          <w:sz w:val="24"/>
          <w:szCs w:val="24"/>
        </w:rPr>
        <w:t xml:space="preserve">in </w:t>
      </w:r>
      <w:r>
        <w:rPr>
          <w:rFonts w:ascii="Times New Roman" w:hAnsi="Times New Roman" w:cs="Times New Roman"/>
          <w:sz w:val="24"/>
          <w:szCs w:val="24"/>
        </w:rPr>
        <w:t>moderate coronary stenoses</w:t>
      </w:r>
      <w:r w:rsidR="00B127AD">
        <w:rPr>
          <w:rFonts w:ascii="Times New Roman" w:hAnsi="Times New Roman" w:cs="Times New Roman"/>
          <w:sz w:val="24"/>
          <w:szCs w:val="24"/>
        </w:rPr>
        <w:t xml:space="preserve"> correlated IMR values to mismatch in invasive FFR and angiography. Lower IMR values were linked to lower FFR values and vice versa </w:t>
      </w:r>
      <w:r w:rsidR="00106A32">
        <w:rPr>
          <w:rFonts w:ascii="Times New Roman" w:hAnsi="Times New Roman" w:cs="Times New Roman"/>
          <w:sz w:val="24"/>
          <w:szCs w:val="24"/>
        </w:rPr>
        <w:fldChar w:fldCharType="begin"/>
      </w:r>
      <w:r w:rsidR="00B127AD">
        <w:rPr>
          <w:rFonts w:ascii="Times New Roman" w:hAnsi="Times New Roman" w:cs="Times New Roman"/>
          <w:sz w:val="24"/>
          <w:szCs w:val="24"/>
        </w:rPr>
        <w:instrText xml:space="preserve"> ADDIN ZOTERO_ITEM CSL_CITATION {"citationID":"M2xwEx5W","properties":{"formattedCitation":"(Yonetsu et al., 2017)","plainCitation":"(Yonetsu et al., 2017)","noteIndex":0},"citationItems":[{"id":880,"uris":["http://zotero.org/users/local/k67tNDdX/items/XUUGKJRQ"],"uri":["http://zotero.org/users/local/k67tNDdX/items/XUUGKJRQ"],"itemData":{"id":880,"type":"article-journal","abstract":"Background\nDespite a moderate correlation between angiographical stenosis and physiological significance, the mechanism of discordance has not been fully elucidated, particularly regarding the significance of microvascular function. This study sought to clarify whether microvascular function affects visual‐functional mismatch between quantitative coronary angiography (QCA) and fractional flow reserve (FFR).\n\nMethods and Results\nWe assessed QCA, FFR, coronary flow reserve, and the index of microcirculatory resistance in 849 non‐left‐main coronary lesions with visually estimated intermediate stenoses from 532 patients. Clinical and lesion‐specific characteristics and physiological parameters associated with mismatch and reverse mismatch were studied. Coronary flow reserve and index of microcirculatory resistance showed a weak, but significant, correlation with FFR (R=0.306, P&lt;0.001 and R=0.158, P&lt;0.001, respectively). Four hundred twenty‐two lesions were visually nonsignificant (diameter stenosis assessed by QCA [QCA‐DS] ≤50%) and 427 lesions were visually significant (QCA‐DS &gt;50%). Among visually nonsignificant lesions, FFR ≤0.80 (reverse mismatch) was observed in 129 lesions (30.6%). Among visually significant lesions, FFR &gt;0.80 (mismatch) were observed in 179 lesions (41.9%). The significant predictors of reverse mismatch were male sex, nonculprit lesions of acute coronary syndrome, left anterior descending artery location, smaller QCA reference diameter, greater QCA‐DS, lower coronary flow reserve, and lower index of microcirculatory resistance. Mismatch was associated with right coronary artery location, greater QCA reference diameter, smaller QCA‐DS, lesion length, higher coronary flow reserve, and higher index of microcirculatory resistance.\n\nConclusions\nThere was a high prevalence of visual‐functional mismatches between QCA and FFR. The discrepancy was related to clinical characteristics, lesion‐specific factors, and microvascular resistance that was undistinguishable by coronary angiography, thus suggesting the importance of physiological lesion assessment.","container-title":"Journal of the American Heart Association: Cardiovascular and Cerebrovascular Disease","DOI":"10.1161/JAHA.117.005916","ISSN":"2047-9980","issue":"6","journalAbbreviation":"J Am Heart Assoc","note":"PMID: 28566295\nPMCID: PMC5669189","source":"PubMed Central","title":"Significance of Microvascular Function in Visual—Functional Mismatch Between Invasive Coronary Angiography and Fractional Flow Reserve","URL":"https://www.ncbi.nlm.nih.gov/pmc/articles/PMC5669189/","volume":"6","author":[{"family":"Yonetsu","given":"Taishi"},{"family":"Murai","given":"Tadashi"},{"family":"Kanaji","given":"Yoshihisa"},{"family":"Lee","given":"Tetsumin"},{"family":"Matsuda","given":"Junji"},{"family":"Usui","given":"Eisuke"},{"family":"Hoshino","given":"Masahiro"},{"family":"Araki","given":"Makoto"},{"family":"Niida","given":"Takayuki"},{"family":"Hada","given":"Masahiro"},{"family":"Ichijo","given":"Sadamitsu"},{"family":"Hamaya","given":"Rikuta"},{"family":"Kanno","given":"Yoshinori"},{"family":"Kakuta","given":"Tsunekazu"}],"accessed":{"date-parts":[["2020",6,30]]},"issued":{"date-parts":[["2017",5,31]]}}}],"schema":"https://github.com/citation-style-language/schema/raw/master/csl-citation.json"} </w:instrText>
      </w:r>
      <w:r w:rsidR="00106A32">
        <w:rPr>
          <w:rFonts w:ascii="Times New Roman" w:hAnsi="Times New Roman" w:cs="Times New Roman"/>
          <w:sz w:val="24"/>
          <w:szCs w:val="24"/>
        </w:rPr>
        <w:fldChar w:fldCharType="separate"/>
      </w:r>
      <w:r w:rsidR="00B127AD" w:rsidRPr="00B127AD">
        <w:rPr>
          <w:rFonts w:ascii="Times New Roman" w:hAnsi="Times New Roman" w:cs="Times New Roman"/>
          <w:sz w:val="24"/>
        </w:rPr>
        <w:t>(Yonetsu et al., 2017)</w:t>
      </w:r>
      <w:r w:rsidR="00106A32">
        <w:rPr>
          <w:rFonts w:ascii="Times New Roman" w:hAnsi="Times New Roman" w:cs="Times New Roman"/>
          <w:sz w:val="24"/>
          <w:szCs w:val="24"/>
        </w:rPr>
        <w:fldChar w:fldCharType="end"/>
      </w:r>
      <w:r w:rsidR="00B127AD">
        <w:rPr>
          <w:rFonts w:ascii="Times New Roman" w:hAnsi="Times New Roman" w:cs="Times New Roman"/>
          <w:sz w:val="24"/>
          <w:szCs w:val="24"/>
        </w:rPr>
        <w:t>. As in previous studies, mismatch was also seen in LAD lesions, yielding more positive results in angiographically less severe lesions. The authors again suggested subtended myocardium and microcirculatory dysfunction as the explanation.</w:t>
      </w:r>
    </w:p>
    <w:p w14:paraId="70378C49" w14:textId="71C19E73" w:rsidR="00C97165" w:rsidRPr="00EC6C19" w:rsidRDefault="009B6B04" w:rsidP="009935AD">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w:t>
      </w:r>
      <w:r w:rsidR="007A51DB" w:rsidRPr="00EC6C19">
        <w:rPr>
          <w:rFonts w:ascii="Times New Roman" w:hAnsi="Times New Roman" w:cs="Times New Roman"/>
          <w:sz w:val="24"/>
          <w:szCs w:val="24"/>
        </w:rPr>
        <w:t xml:space="preserve">current </w:t>
      </w:r>
      <w:r w:rsidRPr="00EC6C19">
        <w:rPr>
          <w:rFonts w:ascii="Times New Roman" w:hAnsi="Times New Roman" w:cs="Times New Roman"/>
          <w:sz w:val="24"/>
          <w:szCs w:val="24"/>
        </w:rPr>
        <w:t xml:space="preserve">leading figure in </w:t>
      </w:r>
      <w:r w:rsidR="005D5234">
        <w:rPr>
          <w:rFonts w:ascii="Times New Roman" w:hAnsi="Times New Roman" w:cs="Times New Roman"/>
          <w:sz w:val="24"/>
          <w:szCs w:val="24"/>
        </w:rPr>
        <w:t xml:space="preserve">coronary hydrostatic pressure </w:t>
      </w:r>
      <w:r w:rsidRPr="00EC6C19">
        <w:rPr>
          <w:rFonts w:ascii="Times New Roman" w:hAnsi="Times New Roman" w:cs="Times New Roman"/>
          <w:sz w:val="24"/>
          <w:szCs w:val="24"/>
        </w:rPr>
        <w:t>is Tobias Härle, a German cardiologist. His elegant study on</w:t>
      </w:r>
      <w:r w:rsidR="00F43A1B" w:rsidRPr="00EC6C19">
        <w:rPr>
          <w:rFonts w:ascii="Times New Roman" w:hAnsi="Times New Roman" w:cs="Times New Roman"/>
          <w:sz w:val="24"/>
          <w:szCs w:val="24"/>
        </w:rPr>
        <w:t xml:space="preserve"> potential effects of</w:t>
      </w:r>
      <w:r w:rsidRPr="00EC6C19">
        <w:rPr>
          <w:rFonts w:ascii="Times New Roman" w:hAnsi="Times New Roman" w:cs="Times New Roman"/>
          <w:sz w:val="24"/>
          <w:szCs w:val="24"/>
        </w:rPr>
        <w:t xml:space="preserve"> hydrostatic pressure in coronary vessels demonstrated two things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{"citationID":"UpkpZP2i","properties":{"formattedCitation":"(H\\uc0\\u228{}rle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006D2BB5" w:rsidRPr="00EC6C19">
        <w:rPr>
          <w:rFonts w:ascii="Times New Roman" w:hAnsi="Times New Roman" w:cs="Times New Roman"/>
          <w:sz w:val="24"/>
          <w:szCs w:val="24"/>
        </w:rPr>
        <w:t xml:space="preserve">(Härle </w:t>
      </w:r>
      <w:r w:rsidR="00B22321" w:rsidRPr="00EC6C19">
        <w:rPr>
          <w:rFonts w:ascii="Times New Roman" w:hAnsi="Times New Roman" w:cs="Times New Roman"/>
          <w:sz w:val="24"/>
          <w:szCs w:val="24"/>
        </w:rPr>
        <w:t>et al.,</w:t>
      </w:r>
      <w:r w:rsidR="006D2BB5" w:rsidRPr="00EC6C19">
        <w:rPr>
          <w:rFonts w:ascii="Times New Roman" w:hAnsi="Times New Roman" w:cs="Times New Roman"/>
          <w:sz w:val="24"/>
          <w:szCs w:val="24"/>
        </w:rPr>
        <w:t xml:space="preserve"> 2017</w:t>
      </w:r>
      <w:r w:rsidR="00756A5E" w:rsidRPr="00EC6C19">
        <w:rPr>
          <w:rFonts w:ascii="Times New Roman" w:hAnsi="Times New Roman" w:cs="Times New Roman"/>
          <w:sz w:val="24"/>
          <w:szCs w:val="24"/>
        </w:rPr>
        <w:t>a</w:t>
      </w:r>
      <w:r w:rsidR="00D212BB"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end"/>
      </w:r>
      <w:r w:rsidR="007A51DB" w:rsidRPr="00EC6C19">
        <w:rPr>
          <w:rFonts w:ascii="Times New Roman" w:hAnsi="Times New Roman" w:cs="Times New Roman"/>
          <w:sz w:val="24"/>
          <w:szCs w:val="24"/>
        </w:rPr>
        <w:t>. Firstly, CT data quantified</w:t>
      </w:r>
      <w:r w:rsidRPr="00EC6C19">
        <w:rPr>
          <w:rFonts w:ascii="Times New Roman" w:hAnsi="Times New Roman" w:cs="Times New Roman"/>
          <w:sz w:val="24"/>
          <w:szCs w:val="24"/>
        </w:rPr>
        <w:t xml:space="preserve"> the vertica</w:t>
      </w:r>
      <w:r w:rsidR="007A51DB" w:rsidRPr="00EC6C19">
        <w:rPr>
          <w:rFonts w:ascii="Times New Roman" w:hAnsi="Times New Roman" w:cs="Times New Roman"/>
          <w:sz w:val="24"/>
          <w:szCs w:val="24"/>
        </w:rPr>
        <w:t>l height differences between</w:t>
      </w:r>
      <w:r w:rsidRPr="00EC6C19">
        <w:rPr>
          <w:rFonts w:ascii="Times New Roman" w:hAnsi="Times New Roman" w:cs="Times New Roman"/>
          <w:sz w:val="24"/>
          <w:szCs w:val="24"/>
        </w:rPr>
        <w:t xml:space="preserve"> distal coronary vessel</w:t>
      </w:r>
      <w:r w:rsidR="007A51DB" w:rsidRPr="00EC6C19">
        <w:rPr>
          <w:rFonts w:ascii="Times New Roman" w:hAnsi="Times New Roman" w:cs="Times New Roman"/>
          <w:sz w:val="24"/>
          <w:szCs w:val="24"/>
        </w:rPr>
        <w:t>s and their</w:t>
      </w:r>
      <w:r w:rsidRPr="00EC6C19">
        <w:rPr>
          <w:rFonts w:ascii="Times New Roman" w:hAnsi="Times New Roman" w:cs="Times New Roman"/>
          <w:sz w:val="24"/>
          <w:szCs w:val="24"/>
        </w:rPr>
        <w:t xml:space="preserve"> </w:t>
      </w:r>
      <w:r w:rsidR="007A51DB" w:rsidRPr="00EC6C19">
        <w:rPr>
          <w:rFonts w:ascii="Times New Roman" w:hAnsi="Times New Roman" w:cs="Times New Roman"/>
          <w:sz w:val="24"/>
          <w:szCs w:val="24"/>
        </w:rPr>
        <w:t>ostia</w:t>
      </w:r>
      <w:r w:rsidRPr="00EC6C19">
        <w:rPr>
          <w:rFonts w:ascii="Times New Roman" w:hAnsi="Times New Roman" w:cs="Times New Roman"/>
          <w:sz w:val="24"/>
          <w:szCs w:val="24"/>
        </w:rPr>
        <w:t xml:space="preserve">, when supine. It is worthwhile noting that this study group consisted of predominantly elderly patients with aortic </w:t>
      </w:r>
      <w:r w:rsidR="00860681" w:rsidRPr="00EC6C19">
        <w:rPr>
          <w:rFonts w:ascii="Times New Roman" w:hAnsi="Times New Roman" w:cs="Times New Roman"/>
          <w:sz w:val="24"/>
          <w:szCs w:val="24"/>
        </w:rPr>
        <w:t>stenosis and</w:t>
      </w:r>
      <w:r w:rsidRPr="00EC6C19">
        <w:rPr>
          <w:rFonts w:ascii="Times New Roman" w:hAnsi="Times New Roman" w:cs="Times New Roman"/>
          <w:sz w:val="24"/>
          <w:szCs w:val="24"/>
        </w:rPr>
        <w:t xml:space="preserve"> may not be a true representation of the general cardiac patient base. Following this, a novel dynamic pressure simulator was used to predict the effect of coronary anatomy on FFR </w:t>
      </w:r>
      <w:r w:rsidR="00863316" w:rsidRPr="00EC6C19">
        <w:rPr>
          <w:rFonts w:ascii="Times New Roman" w:hAnsi="Times New Roman" w:cs="Times New Roman"/>
          <w:sz w:val="24"/>
          <w:szCs w:val="24"/>
        </w:rPr>
        <w:t>measurements</w:t>
      </w:r>
      <w:r w:rsidRPr="00EC6C19">
        <w:rPr>
          <w:rFonts w:ascii="Times New Roman" w:hAnsi="Times New Roman" w:cs="Times New Roman"/>
          <w:sz w:val="24"/>
          <w:szCs w:val="24"/>
        </w:rPr>
        <w:t>.</w:t>
      </w:r>
      <w:r w:rsidR="006D2BB5" w:rsidRPr="00EC6C19">
        <w:rPr>
          <w:rFonts w:ascii="Times New Roman" w:hAnsi="Times New Roman" w:cs="Times New Roman"/>
          <w:sz w:val="24"/>
          <w:szCs w:val="24"/>
        </w:rPr>
        <w:t xml:space="preserve"> </w:t>
      </w:r>
      <w:r w:rsidR="00860681" w:rsidRPr="00EC6C19">
        <w:rPr>
          <w:rFonts w:ascii="Times New Roman" w:hAnsi="Times New Roman" w:cs="Times New Roman"/>
          <w:sz w:val="24"/>
          <w:szCs w:val="24"/>
        </w:rPr>
        <w:t>Indeed,</w:t>
      </w:r>
      <w:r w:rsidR="00D4430A" w:rsidRPr="00EC6C19">
        <w:rPr>
          <w:rFonts w:ascii="Times New Roman" w:hAnsi="Times New Roman" w:cs="Times New Roman"/>
          <w:sz w:val="24"/>
          <w:szCs w:val="24"/>
        </w:rPr>
        <w:t xml:space="preserve"> this model confirmed that when the distal pressure sensor was placed at a different height to the proximal sensor, in a completely normal vessel (saline filled tube) with no stenosis, FFR measurements diverged from 1.0. FFR was &gt;1.0 when the distal sensor was moved below</w:t>
      </w:r>
      <w:r w:rsidR="00A40BE1" w:rsidRPr="00EC6C19">
        <w:rPr>
          <w:rFonts w:ascii="Times New Roman" w:hAnsi="Times New Roman" w:cs="Times New Roman"/>
          <w:sz w:val="24"/>
          <w:szCs w:val="24"/>
        </w:rPr>
        <w:t xml:space="preserve"> the proximal sensor</w:t>
      </w:r>
      <w:r w:rsidR="00D4430A" w:rsidRPr="00EC6C19">
        <w:rPr>
          <w:rFonts w:ascii="Times New Roman" w:hAnsi="Times New Roman" w:cs="Times New Roman"/>
          <w:sz w:val="24"/>
          <w:szCs w:val="24"/>
        </w:rPr>
        <w:t xml:space="preserve">, and &lt;1.0 when raised above. </w:t>
      </w:r>
    </w:p>
    <w:p w14:paraId="1E0DC65B" w14:textId="77777777" w:rsidR="00C97165" w:rsidRPr="00EC6C19" w:rsidRDefault="00F43A1B">
      <w:pPr>
        <w:rPr>
          <w:rFonts w:ascii="Times New Roman" w:hAnsi="Times New Roman" w:cs="Times New Roman"/>
          <w:sz w:val="24"/>
          <w:szCs w:val="24"/>
        </w:rPr>
      </w:pPr>
      <w:r w:rsidRPr="00EC6C19">
        <w:rPr>
          <w:rFonts w:ascii="Times New Roman" w:hAnsi="Times New Roman" w:cs="Times New Roman"/>
          <w:sz w:val="24"/>
          <w:szCs w:val="24"/>
        </w:rPr>
        <w:t>No in vivo trials</w:t>
      </w:r>
      <w:r w:rsidR="007A51DB" w:rsidRPr="00EC6C19">
        <w:rPr>
          <w:rFonts w:ascii="Times New Roman" w:hAnsi="Times New Roman" w:cs="Times New Roman"/>
          <w:sz w:val="24"/>
          <w:szCs w:val="24"/>
        </w:rPr>
        <w:t xml:space="preserve"> at </w:t>
      </w:r>
      <w:r w:rsidR="00B127AD">
        <w:rPr>
          <w:rFonts w:ascii="Times New Roman" w:hAnsi="Times New Roman" w:cs="Times New Roman"/>
          <w:sz w:val="24"/>
          <w:szCs w:val="24"/>
        </w:rPr>
        <w:t>study conception have been conducted</w:t>
      </w:r>
      <w:r w:rsidRPr="00EC6C19">
        <w:rPr>
          <w:rFonts w:ascii="Times New Roman" w:hAnsi="Times New Roman" w:cs="Times New Roman"/>
          <w:sz w:val="24"/>
          <w:szCs w:val="24"/>
        </w:rPr>
        <w:t>.</w:t>
      </w:r>
    </w:p>
    <w:p w14:paraId="117F5206" w14:textId="77777777" w:rsidR="00C97165" w:rsidRPr="00EC6C19" w:rsidRDefault="00C97165">
      <w:pPr>
        <w:rPr>
          <w:rFonts w:ascii="Times New Roman" w:hAnsi="Times New Roman" w:cs="Times New Roman"/>
          <w:sz w:val="24"/>
          <w:szCs w:val="24"/>
        </w:rPr>
      </w:pPr>
    </w:p>
    <w:p w14:paraId="5C7A7629" w14:textId="77777777" w:rsidR="00C97165" w:rsidRPr="00A00967" w:rsidRDefault="00A542B2" w:rsidP="00A00967">
      <w:pPr>
        <w:pStyle w:val="Heading2"/>
        <w:rPr>
          <w:rFonts w:ascii="Times New Roman" w:hAnsi="Times New Roman" w:cs="Times New Roman"/>
          <w:b w:val="0"/>
          <w:color w:val="auto"/>
          <w:sz w:val="24"/>
          <w:szCs w:val="24"/>
        </w:rPr>
      </w:pPr>
      <w:bookmarkStart w:id="55" w:name="_Toc80302188"/>
      <w:r>
        <w:rPr>
          <w:rFonts w:ascii="Times New Roman" w:hAnsi="Times New Roman" w:cs="Times New Roman"/>
          <w:color w:val="auto"/>
          <w:sz w:val="24"/>
          <w:szCs w:val="24"/>
        </w:rPr>
        <w:t xml:space="preserve">1.13 - </w:t>
      </w:r>
      <w:r w:rsidR="00F43A1B" w:rsidRPr="00A00967">
        <w:rPr>
          <w:rFonts w:ascii="Times New Roman" w:hAnsi="Times New Roman" w:cs="Times New Roman"/>
          <w:color w:val="auto"/>
          <w:sz w:val="24"/>
          <w:szCs w:val="24"/>
        </w:rPr>
        <w:t>Research Hypotheses</w:t>
      </w:r>
      <w:r w:rsidR="00BB1472" w:rsidRPr="00A00967">
        <w:rPr>
          <w:rFonts w:ascii="Times New Roman" w:hAnsi="Times New Roman" w:cs="Times New Roman"/>
          <w:color w:val="auto"/>
          <w:sz w:val="24"/>
          <w:szCs w:val="24"/>
        </w:rPr>
        <w:t xml:space="preserve"> and Pre-Work</w:t>
      </w:r>
      <w:bookmarkEnd w:id="55"/>
      <w:r w:rsidR="00A00967" w:rsidRPr="00A00967">
        <w:rPr>
          <w:rFonts w:ascii="Times New Roman" w:hAnsi="Times New Roman" w:cs="Times New Roman"/>
          <w:color w:val="auto"/>
          <w:sz w:val="24"/>
          <w:szCs w:val="24"/>
        </w:rPr>
        <w:br/>
      </w:r>
    </w:p>
    <w:p w14:paraId="6113F5C2" w14:textId="77777777" w:rsidR="00F43A1B" w:rsidRPr="00EC6C19" w:rsidRDefault="00F43A1B" w:rsidP="00CA5D03">
      <w:pPr>
        <w:spacing w:line="360" w:lineRule="auto"/>
        <w:rPr>
          <w:rFonts w:ascii="Times New Roman" w:hAnsi="Times New Roman" w:cs="Times New Roman"/>
          <w:sz w:val="24"/>
          <w:szCs w:val="24"/>
        </w:rPr>
      </w:pPr>
    </w:p>
    <w:p w14:paraId="55C7FEC6" w14:textId="77777777" w:rsidR="00495B14" w:rsidRPr="00EC6C19" w:rsidRDefault="004C4E3D" w:rsidP="00CA5D0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To test and build on hydrostatic pressure theory in vivo, I would alter the position of the patient on the angiography table from supine, to prone. Turning the patient on the angiography table would be an ideal way to prove hydrostatic pressure in vivo. Manoeuvring from prone to supine </w:t>
      </w:r>
      <w:r w:rsidRPr="00EC6C19">
        <w:rPr>
          <w:rFonts w:ascii="Times New Roman" w:hAnsi="Times New Roman" w:cs="Times New Roman"/>
          <w:sz w:val="24"/>
          <w:szCs w:val="24"/>
        </w:rPr>
        <w:lastRenderedPageBreak/>
        <w:t xml:space="preserve">keeps the aorta at </w:t>
      </w:r>
      <w:r w:rsidR="007A51DB" w:rsidRPr="00EC6C19">
        <w:rPr>
          <w:rFonts w:ascii="Times New Roman" w:hAnsi="Times New Roman" w:cs="Times New Roman"/>
          <w:sz w:val="24"/>
          <w:szCs w:val="24"/>
        </w:rPr>
        <w:t>an almost identical</w:t>
      </w:r>
      <w:r w:rsidRPr="00EC6C19">
        <w:rPr>
          <w:rFonts w:ascii="Times New Roman" w:hAnsi="Times New Roman" w:cs="Times New Roman"/>
          <w:sz w:val="24"/>
          <w:szCs w:val="24"/>
        </w:rPr>
        <w:t xml:space="preserve"> vertical level, but reverses distal coronary vessel position </w:t>
      </w:r>
      <w:r w:rsidRPr="000E7233">
        <w:rPr>
          <w:rFonts w:ascii="Times New Roman" w:hAnsi="Times New Roman" w:cs="Times New Roman"/>
          <w:sz w:val="24"/>
          <w:szCs w:val="24"/>
        </w:rPr>
        <w:t>completely</w:t>
      </w:r>
      <w:r w:rsidR="007A51DB" w:rsidRPr="000E7233">
        <w:rPr>
          <w:rFonts w:ascii="Times New Roman" w:hAnsi="Times New Roman" w:cs="Times New Roman"/>
          <w:sz w:val="24"/>
          <w:szCs w:val="24"/>
        </w:rPr>
        <w:t xml:space="preserve"> </w:t>
      </w:r>
      <w:r w:rsidR="00EC0152" w:rsidRPr="000E7233">
        <w:rPr>
          <w:rFonts w:ascii="Times New Roman" w:hAnsi="Times New Roman" w:cs="Times New Roman"/>
          <w:sz w:val="24"/>
          <w:szCs w:val="24"/>
        </w:rPr>
        <w:t xml:space="preserve">(Figure </w:t>
      </w:r>
      <w:r w:rsidR="000E7233" w:rsidRPr="000E7233">
        <w:rPr>
          <w:rFonts w:ascii="Times New Roman" w:hAnsi="Times New Roman" w:cs="Times New Roman"/>
          <w:sz w:val="24"/>
          <w:szCs w:val="24"/>
        </w:rPr>
        <w:t>14</w:t>
      </w:r>
      <w:r w:rsidR="00EC0152" w:rsidRPr="000E7233">
        <w:rPr>
          <w:rFonts w:ascii="Times New Roman" w:hAnsi="Times New Roman" w:cs="Times New Roman"/>
          <w:sz w:val="24"/>
          <w:szCs w:val="24"/>
        </w:rPr>
        <w:t>)</w:t>
      </w:r>
      <w:r w:rsidRPr="000E7233">
        <w:rPr>
          <w:rFonts w:ascii="Times New Roman" w:hAnsi="Times New Roman" w:cs="Times New Roman"/>
          <w:sz w:val="24"/>
          <w:szCs w:val="24"/>
        </w:rPr>
        <w:t>.</w:t>
      </w:r>
      <w:r w:rsidR="006D2BB5" w:rsidRPr="000E7233">
        <w:rPr>
          <w:rFonts w:ascii="Times New Roman" w:hAnsi="Times New Roman" w:cs="Times New Roman"/>
          <w:sz w:val="24"/>
          <w:szCs w:val="24"/>
        </w:rPr>
        <w:t xml:space="preserve"> This</w:t>
      </w:r>
      <w:r w:rsidR="006D2BB5" w:rsidRPr="00EC6C19">
        <w:rPr>
          <w:rFonts w:ascii="Times New Roman" w:hAnsi="Times New Roman" w:cs="Times New Roman"/>
          <w:sz w:val="24"/>
          <w:szCs w:val="24"/>
        </w:rPr>
        <w:t xml:space="preserve"> had never been done previously. </w:t>
      </w:r>
      <w:r w:rsidR="007A51DB" w:rsidRPr="00EC6C19">
        <w:rPr>
          <w:rFonts w:ascii="Times New Roman" w:hAnsi="Times New Roman" w:cs="Times New Roman"/>
          <w:sz w:val="24"/>
          <w:szCs w:val="24"/>
        </w:rPr>
        <w:t>Superior</w:t>
      </w:r>
      <w:r w:rsidRPr="00EC6C19">
        <w:rPr>
          <w:rFonts w:ascii="Times New Roman" w:hAnsi="Times New Roman" w:cs="Times New Roman"/>
          <w:sz w:val="24"/>
          <w:szCs w:val="24"/>
        </w:rPr>
        <w:t xml:space="preserve"> vessels become </w:t>
      </w:r>
      <w:r w:rsidR="007A51DB" w:rsidRPr="00EC6C19">
        <w:rPr>
          <w:rFonts w:ascii="Times New Roman" w:hAnsi="Times New Roman" w:cs="Times New Roman"/>
          <w:sz w:val="24"/>
          <w:szCs w:val="24"/>
        </w:rPr>
        <w:t>inferior</w:t>
      </w:r>
      <w:r w:rsidRPr="00EC6C19">
        <w:rPr>
          <w:rFonts w:ascii="Times New Roman" w:hAnsi="Times New Roman" w:cs="Times New Roman"/>
          <w:sz w:val="24"/>
          <w:szCs w:val="24"/>
        </w:rPr>
        <w:t xml:space="preserve"> and vice versa.</w:t>
      </w:r>
      <w:r w:rsidR="00495B14" w:rsidRPr="00EC6C19">
        <w:rPr>
          <w:rFonts w:ascii="Times New Roman" w:hAnsi="Times New Roman" w:cs="Times New Roman"/>
          <w:sz w:val="24"/>
          <w:szCs w:val="24"/>
        </w:rPr>
        <w:t xml:space="preserve"> The delta change </w:t>
      </w:r>
      <w:r w:rsidR="007A51DB" w:rsidRPr="00EC6C19">
        <w:rPr>
          <w:rFonts w:ascii="Times New Roman" w:hAnsi="Times New Roman" w:cs="Times New Roman"/>
          <w:sz w:val="24"/>
          <w:szCs w:val="24"/>
        </w:rPr>
        <w:t>one would see in vivo is</w:t>
      </w:r>
      <w:r w:rsidR="00495B14" w:rsidRPr="00EC6C19">
        <w:rPr>
          <w:rFonts w:ascii="Times New Roman" w:hAnsi="Times New Roman" w:cs="Times New Roman"/>
          <w:sz w:val="24"/>
          <w:szCs w:val="24"/>
        </w:rPr>
        <w:t xml:space="preserve"> therefore equal to the vertical height difference between superior, and inferior position, not solely the height change to the aorta.</w:t>
      </w:r>
      <w:r w:rsidR="007A51DB" w:rsidRPr="00EC6C19">
        <w:rPr>
          <w:rFonts w:ascii="Times New Roman" w:hAnsi="Times New Roman" w:cs="Times New Roman"/>
          <w:sz w:val="24"/>
          <w:szCs w:val="24"/>
        </w:rPr>
        <w:t xml:space="preserve"> The aorta becomes the 'axis' around which superior and inferior measurements are taken</w:t>
      </w:r>
      <w:r w:rsidR="001F391A" w:rsidRPr="00EC6C19">
        <w:rPr>
          <w:rFonts w:ascii="Times New Roman" w:hAnsi="Times New Roman" w:cs="Times New Roman"/>
          <w:sz w:val="24"/>
          <w:szCs w:val="24"/>
        </w:rPr>
        <w:t>.</w:t>
      </w:r>
    </w:p>
    <w:p w14:paraId="7485CFF6" w14:textId="77777777" w:rsidR="00495B14" w:rsidRPr="00EC6C19" w:rsidRDefault="00495B14" w:rsidP="00CA5D03">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70D0CE34" wp14:editId="1583975B">
            <wp:extent cx="5943600" cy="2505075"/>
            <wp:effectExtent l="1905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srcRect/>
                    <a:stretch>
                      <a:fillRect/>
                    </a:stretch>
                  </pic:blipFill>
                  <pic:spPr bwMode="auto">
                    <a:xfrm>
                      <a:off x="0" y="0"/>
                      <a:ext cx="5943600" cy="2505075"/>
                    </a:xfrm>
                    <a:prstGeom prst="rect">
                      <a:avLst/>
                    </a:prstGeom>
                    <a:noFill/>
                    <a:ln w="9525">
                      <a:noFill/>
                      <a:miter lim="800000"/>
                      <a:headEnd/>
                      <a:tailEnd/>
                    </a:ln>
                  </pic:spPr>
                </pic:pic>
              </a:graphicData>
            </a:graphic>
          </wp:inline>
        </w:drawing>
      </w:r>
    </w:p>
    <w:p w14:paraId="4C880EFF" w14:textId="77777777" w:rsidR="00495B14" w:rsidRPr="000E7233" w:rsidRDefault="000E7233" w:rsidP="000E7233">
      <w:pPr>
        <w:pStyle w:val="Caption"/>
        <w:spacing w:line="360" w:lineRule="auto"/>
        <w:rPr>
          <w:rFonts w:ascii="Times New Roman" w:hAnsi="Times New Roman" w:cs="Times New Roman"/>
          <w:b w:val="0"/>
          <w:i/>
          <w:color w:val="auto"/>
          <w:sz w:val="24"/>
          <w:szCs w:val="24"/>
        </w:rPr>
      </w:pPr>
      <w:bookmarkStart w:id="56" w:name="_Toc44684903"/>
      <w:r w:rsidRPr="000E7233">
        <w:rPr>
          <w:rFonts w:ascii="Times New Roman" w:hAnsi="Times New Roman" w:cs="Times New Roman"/>
          <w:b w:val="0"/>
          <w:i/>
          <w:color w:val="auto"/>
          <w:sz w:val="24"/>
          <w:szCs w:val="24"/>
        </w:rPr>
        <w:t xml:space="preserve">Figure </w:t>
      </w:r>
      <w:r w:rsidR="00106A32" w:rsidRPr="000E7233">
        <w:rPr>
          <w:rFonts w:ascii="Times New Roman" w:hAnsi="Times New Roman" w:cs="Times New Roman"/>
          <w:b w:val="0"/>
          <w:i/>
          <w:color w:val="auto"/>
          <w:sz w:val="24"/>
          <w:szCs w:val="24"/>
        </w:rPr>
        <w:fldChar w:fldCharType="begin"/>
      </w:r>
      <w:r w:rsidRPr="000E7233">
        <w:rPr>
          <w:rFonts w:ascii="Times New Roman" w:hAnsi="Times New Roman" w:cs="Times New Roman"/>
          <w:b w:val="0"/>
          <w:i/>
          <w:color w:val="auto"/>
          <w:sz w:val="24"/>
          <w:szCs w:val="24"/>
        </w:rPr>
        <w:instrText xml:space="preserve"> SEQ Figure \* ARABIC </w:instrText>
      </w:r>
      <w:r w:rsidR="00106A32" w:rsidRPr="000E7233">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14</w:t>
      </w:r>
      <w:r w:rsidR="00106A32" w:rsidRPr="000E7233">
        <w:rPr>
          <w:rFonts w:ascii="Times New Roman" w:hAnsi="Times New Roman" w:cs="Times New Roman"/>
          <w:b w:val="0"/>
          <w:i/>
          <w:color w:val="auto"/>
          <w:sz w:val="24"/>
          <w:szCs w:val="24"/>
        </w:rPr>
        <w:fldChar w:fldCharType="end"/>
      </w:r>
      <w:r w:rsidRPr="000E7233">
        <w:rPr>
          <w:rFonts w:ascii="Times New Roman" w:hAnsi="Times New Roman" w:cs="Times New Roman"/>
          <w:b w:val="0"/>
          <w:i/>
          <w:color w:val="auto"/>
          <w:sz w:val="24"/>
          <w:szCs w:val="24"/>
        </w:rPr>
        <w:t xml:space="preserve"> - Superior vs. Inferior Coronary Arteries</w:t>
      </w:r>
      <w:r w:rsidR="00495B14" w:rsidRPr="000E7233">
        <w:rPr>
          <w:rFonts w:ascii="Times New Roman" w:hAnsi="Times New Roman" w:cs="Times New Roman"/>
          <w:b w:val="0"/>
          <w:i/>
          <w:color w:val="auto"/>
          <w:sz w:val="24"/>
          <w:szCs w:val="24"/>
        </w:rPr>
        <w:t>- Illustration of superior and inferior distal pressure points versus aortic pressure. The effect size is dictated via vertical height shown with the arrows.</w:t>
      </w:r>
      <w:bookmarkEnd w:id="56"/>
      <w:r w:rsidR="00495B14" w:rsidRPr="000E7233">
        <w:rPr>
          <w:rFonts w:ascii="Times New Roman" w:hAnsi="Times New Roman" w:cs="Times New Roman"/>
          <w:b w:val="0"/>
          <w:i/>
          <w:color w:val="auto"/>
          <w:sz w:val="24"/>
          <w:szCs w:val="24"/>
        </w:rPr>
        <w:t xml:space="preserve"> </w:t>
      </w:r>
    </w:p>
    <w:p w14:paraId="1AB42594" w14:textId="77777777" w:rsidR="007A51DB" w:rsidRPr="00EC6C19" w:rsidRDefault="007A51DB" w:rsidP="00CA5D03">
      <w:pPr>
        <w:spacing w:line="360" w:lineRule="auto"/>
        <w:rPr>
          <w:rFonts w:ascii="Times New Roman" w:hAnsi="Times New Roman" w:cs="Times New Roman"/>
          <w:i/>
          <w:sz w:val="24"/>
          <w:szCs w:val="24"/>
        </w:rPr>
      </w:pPr>
    </w:p>
    <w:p w14:paraId="0C12698C" w14:textId="77777777" w:rsidR="00706D9B" w:rsidRPr="00EC6C19" w:rsidRDefault="00706D9B" w:rsidP="00CA5D03">
      <w:pPr>
        <w:spacing w:line="360" w:lineRule="auto"/>
        <w:rPr>
          <w:rFonts w:ascii="Times New Roman" w:hAnsi="Times New Roman" w:cs="Times New Roman"/>
          <w:sz w:val="24"/>
          <w:szCs w:val="24"/>
        </w:rPr>
      </w:pPr>
      <w:r w:rsidRPr="00EC6C19">
        <w:rPr>
          <w:rFonts w:ascii="Times New Roman" w:hAnsi="Times New Roman" w:cs="Times New Roman"/>
          <w:sz w:val="24"/>
          <w:szCs w:val="24"/>
        </w:rPr>
        <w:t>In clinical practice, the hydrostatic effect on wire measurement in a superior or inferior artery will be approximately half of the observed change between prone and supine measurement.</w:t>
      </w:r>
    </w:p>
    <w:p w14:paraId="3967DDFA" w14:textId="77777777" w:rsidR="004C4E3D" w:rsidRPr="00EC6C19" w:rsidRDefault="004C4E3D" w:rsidP="00CA5D03">
      <w:pPr>
        <w:spacing w:line="360" w:lineRule="auto"/>
        <w:rPr>
          <w:rFonts w:ascii="Times New Roman" w:hAnsi="Times New Roman" w:cs="Times New Roman"/>
          <w:sz w:val="24"/>
          <w:szCs w:val="24"/>
        </w:rPr>
      </w:pPr>
      <w:r w:rsidRPr="00EC6C19">
        <w:rPr>
          <w:rFonts w:ascii="Times New Roman" w:hAnsi="Times New Roman" w:cs="Times New Roman"/>
          <w:sz w:val="24"/>
          <w:szCs w:val="24"/>
        </w:rPr>
        <w:t>If the wire position is kept constant by strict study protocol, the only variable becomes the vertical height of the artery we are interrogating. Furthermore, the patient acts as their own control, meaning measurements are matched</w:t>
      </w:r>
      <w:r w:rsidR="0063565B" w:rsidRPr="00EC6C19">
        <w:rPr>
          <w:rFonts w:ascii="Times New Roman" w:hAnsi="Times New Roman" w:cs="Times New Roman"/>
          <w:sz w:val="24"/>
          <w:szCs w:val="24"/>
        </w:rPr>
        <w:t xml:space="preserve"> to their specific physiology</w:t>
      </w:r>
      <w:r w:rsidRPr="00EC6C19">
        <w:rPr>
          <w:rFonts w:ascii="Times New Roman" w:hAnsi="Times New Roman" w:cs="Times New Roman"/>
          <w:sz w:val="24"/>
          <w:szCs w:val="24"/>
        </w:rPr>
        <w:t xml:space="preserve"> and directly comparable.</w:t>
      </w:r>
    </w:p>
    <w:p w14:paraId="60BB898C" w14:textId="77777777" w:rsidR="00BB1472" w:rsidRPr="00EC6C19" w:rsidRDefault="00BB1472" w:rsidP="00CA5D03">
      <w:pPr>
        <w:spacing w:line="360" w:lineRule="auto"/>
        <w:rPr>
          <w:rFonts w:ascii="Times New Roman" w:hAnsi="Times New Roman" w:cs="Times New Roman"/>
          <w:sz w:val="24"/>
          <w:szCs w:val="24"/>
        </w:rPr>
      </w:pPr>
    </w:p>
    <w:p w14:paraId="1598B5E0" w14:textId="2BE88CA0" w:rsidR="00CA5D03" w:rsidRPr="00EC6C19" w:rsidRDefault="00CA5D03" w:rsidP="00CA5D03">
      <w:pPr>
        <w:spacing w:line="360" w:lineRule="auto"/>
        <w:rPr>
          <w:rFonts w:ascii="Times New Roman" w:hAnsi="Times New Roman" w:cs="Times New Roman"/>
          <w:sz w:val="24"/>
          <w:szCs w:val="24"/>
        </w:rPr>
      </w:pPr>
      <w:r w:rsidRPr="00EC6C19">
        <w:rPr>
          <w:rFonts w:ascii="Times New Roman" w:hAnsi="Times New Roman" w:cs="Times New Roman"/>
          <w:sz w:val="24"/>
          <w:szCs w:val="24"/>
        </w:rPr>
        <w:t>The study hypothesis is</w:t>
      </w:r>
      <w:r w:rsidR="004C4E3D" w:rsidRPr="00EC6C19">
        <w:rPr>
          <w:rFonts w:ascii="Times New Roman" w:hAnsi="Times New Roman" w:cs="Times New Roman"/>
          <w:sz w:val="24"/>
          <w:szCs w:val="24"/>
        </w:rPr>
        <w:t xml:space="preserve"> then</w:t>
      </w:r>
      <w:r w:rsidRPr="00EC6C19">
        <w:rPr>
          <w:rFonts w:ascii="Times New Roman" w:hAnsi="Times New Roman" w:cs="Times New Roman"/>
          <w:sz w:val="24"/>
          <w:szCs w:val="24"/>
        </w:rPr>
        <w:t xml:space="preserve"> divided into two </w:t>
      </w:r>
      <w:r w:rsidR="007C7D90" w:rsidRPr="00EC6C19">
        <w:rPr>
          <w:rFonts w:ascii="Times New Roman" w:hAnsi="Times New Roman" w:cs="Times New Roman"/>
          <w:sz w:val="24"/>
          <w:szCs w:val="24"/>
        </w:rPr>
        <w:t>separate</w:t>
      </w:r>
      <w:r w:rsidRPr="00EC6C19">
        <w:rPr>
          <w:rFonts w:ascii="Times New Roman" w:hAnsi="Times New Roman" w:cs="Times New Roman"/>
          <w:sz w:val="24"/>
          <w:szCs w:val="24"/>
        </w:rPr>
        <w:t xml:space="preserve"> points</w:t>
      </w:r>
      <w:r w:rsidR="00860681">
        <w:rPr>
          <w:rFonts w:ascii="Times New Roman" w:hAnsi="Times New Roman" w:cs="Times New Roman"/>
          <w:sz w:val="24"/>
          <w:szCs w:val="24"/>
        </w:rPr>
        <w:t>:</w:t>
      </w:r>
    </w:p>
    <w:p w14:paraId="1E860913" w14:textId="1367B0DE" w:rsidR="00CA5D03" w:rsidRPr="00EC6C19" w:rsidRDefault="00CA5D03" w:rsidP="00CA5D03">
      <w:pPr>
        <w:pStyle w:val="ListParagraph"/>
        <w:numPr>
          <w:ilvl w:val="0"/>
          <w:numId w:val="9"/>
        </w:num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Pressure based measurements (FFR</w:t>
      </w:r>
      <w:r w:rsidR="002C1E1F" w:rsidRPr="00EC6C19">
        <w:rPr>
          <w:rFonts w:ascii="Times New Roman" w:hAnsi="Times New Roman" w:cs="Times New Roman"/>
          <w:sz w:val="24"/>
          <w:szCs w:val="24"/>
        </w:rPr>
        <w:t>, iFR, Pd/Pa</w:t>
      </w:r>
      <w:r w:rsidRPr="00EC6C19">
        <w:rPr>
          <w:rFonts w:ascii="Times New Roman" w:hAnsi="Times New Roman" w:cs="Times New Roman"/>
          <w:sz w:val="24"/>
          <w:szCs w:val="24"/>
        </w:rPr>
        <w:t xml:space="preserve">) will significantly differ between supine and prone </w:t>
      </w:r>
      <w:r w:rsidR="00860681" w:rsidRPr="00EC6C19">
        <w:rPr>
          <w:rFonts w:ascii="Times New Roman" w:hAnsi="Times New Roman" w:cs="Times New Roman"/>
          <w:sz w:val="24"/>
          <w:szCs w:val="24"/>
        </w:rPr>
        <w:t>measurements.</w:t>
      </w:r>
    </w:p>
    <w:p w14:paraId="1716E84F" w14:textId="7B9A94D3" w:rsidR="00CA5D03" w:rsidRPr="00EC6C19" w:rsidRDefault="00CA5D03" w:rsidP="00CA5D03">
      <w:pPr>
        <w:pStyle w:val="ListParagraph"/>
        <w:numPr>
          <w:ilvl w:val="0"/>
          <w:numId w:val="9"/>
        </w:numPr>
        <w:spacing w:line="360" w:lineRule="auto"/>
        <w:rPr>
          <w:rFonts w:ascii="Times New Roman" w:hAnsi="Times New Roman" w:cs="Times New Roman"/>
          <w:sz w:val="24"/>
          <w:szCs w:val="24"/>
        </w:rPr>
      </w:pPr>
      <w:r w:rsidRPr="00EC6C19">
        <w:rPr>
          <w:rFonts w:ascii="Times New Roman" w:hAnsi="Times New Roman" w:cs="Times New Roman"/>
          <w:sz w:val="24"/>
          <w:szCs w:val="24"/>
        </w:rPr>
        <w:t>Velocity based measurements will not change between supine and prone measurements</w:t>
      </w:r>
      <w:r w:rsidR="004C4E3D" w:rsidRPr="00EC6C19">
        <w:rPr>
          <w:rFonts w:ascii="Times New Roman" w:hAnsi="Times New Roman" w:cs="Times New Roman"/>
          <w:sz w:val="24"/>
          <w:szCs w:val="24"/>
        </w:rPr>
        <w:t xml:space="preserve"> (due to autoregulation)</w:t>
      </w:r>
      <w:r w:rsidR="00860681">
        <w:rPr>
          <w:rFonts w:ascii="Times New Roman" w:hAnsi="Times New Roman" w:cs="Times New Roman"/>
          <w:sz w:val="24"/>
          <w:szCs w:val="24"/>
        </w:rPr>
        <w:t>.</w:t>
      </w:r>
    </w:p>
    <w:p w14:paraId="64DAE056" w14:textId="77777777" w:rsidR="006D2BB5" w:rsidRPr="00EC6C19" w:rsidRDefault="006D2BB5" w:rsidP="006D2BB5">
      <w:pPr>
        <w:pStyle w:val="ListParagraph"/>
        <w:spacing w:line="360" w:lineRule="auto"/>
        <w:rPr>
          <w:rFonts w:ascii="Times New Roman" w:hAnsi="Times New Roman" w:cs="Times New Roman"/>
          <w:sz w:val="24"/>
          <w:szCs w:val="24"/>
        </w:rPr>
      </w:pPr>
    </w:p>
    <w:p w14:paraId="3BDD2194" w14:textId="77777777" w:rsidR="00662639" w:rsidRPr="00EC6C19" w:rsidRDefault="00662639" w:rsidP="00662639">
      <w:pPr>
        <w:spacing w:line="360" w:lineRule="auto"/>
        <w:rPr>
          <w:rFonts w:ascii="Times New Roman" w:hAnsi="Times New Roman" w:cs="Times New Roman"/>
          <w:sz w:val="24"/>
          <w:szCs w:val="24"/>
        </w:rPr>
      </w:pPr>
      <w:r w:rsidRPr="00EC6C19">
        <w:rPr>
          <w:rFonts w:ascii="Times New Roman" w:hAnsi="Times New Roman" w:cs="Times New Roman"/>
          <w:sz w:val="24"/>
          <w:szCs w:val="24"/>
        </w:rPr>
        <w:t>To elaborate on the latter point, the observed change in pressure I aim to see, should not convert into an increase or decrease in flow through the stenosis. The study group of patients will have an intact autoregulatory system, meaning the change in pressure is compensated for by the physiological mechanisms mediated by the coronary microcirculation. The focus is on the physiological tools that use pressure as their primary measure, and how hydrostatic pressure can impact their results.</w:t>
      </w:r>
    </w:p>
    <w:p w14:paraId="2D5DF88B" w14:textId="77777777" w:rsidR="00662639" w:rsidRPr="00EC6C19" w:rsidRDefault="00662639" w:rsidP="00CA5D03">
      <w:pPr>
        <w:spacing w:line="360" w:lineRule="auto"/>
        <w:rPr>
          <w:rFonts w:ascii="Times New Roman" w:hAnsi="Times New Roman" w:cs="Times New Roman"/>
          <w:sz w:val="24"/>
          <w:szCs w:val="24"/>
        </w:rPr>
      </w:pPr>
    </w:p>
    <w:p w14:paraId="0914B4CE" w14:textId="77777777" w:rsidR="00C97165" w:rsidRPr="00A00967" w:rsidRDefault="00A542B2" w:rsidP="00A00967">
      <w:pPr>
        <w:pStyle w:val="Heading3"/>
        <w:rPr>
          <w:rFonts w:ascii="Times New Roman" w:hAnsi="Times New Roman" w:cs="Times New Roman"/>
          <w:b w:val="0"/>
          <w:i/>
          <w:color w:val="auto"/>
          <w:sz w:val="24"/>
          <w:szCs w:val="24"/>
        </w:rPr>
      </w:pPr>
      <w:bookmarkStart w:id="57" w:name="_Toc80302189"/>
      <w:r>
        <w:rPr>
          <w:rFonts w:ascii="Times New Roman" w:hAnsi="Times New Roman" w:cs="Times New Roman"/>
          <w:b w:val="0"/>
          <w:i/>
          <w:color w:val="auto"/>
          <w:sz w:val="24"/>
          <w:szCs w:val="24"/>
        </w:rPr>
        <w:t xml:space="preserve">1.13.1 - </w:t>
      </w:r>
      <w:r w:rsidR="00CA5D03" w:rsidRPr="00A00967">
        <w:rPr>
          <w:rFonts w:ascii="Times New Roman" w:hAnsi="Times New Roman" w:cs="Times New Roman"/>
          <w:b w:val="0"/>
          <w:i/>
          <w:color w:val="auto"/>
          <w:sz w:val="24"/>
          <w:szCs w:val="24"/>
        </w:rPr>
        <w:t xml:space="preserve">CT Coronary Angiogram </w:t>
      </w:r>
      <w:r w:rsidR="0063565B" w:rsidRPr="00A00967">
        <w:rPr>
          <w:rFonts w:ascii="Times New Roman" w:hAnsi="Times New Roman" w:cs="Times New Roman"/>
          <w:b w:val="0"/>
          <w:i/>
          <w:color w:val="auto"/>
          <w:sz w:val="24"/>
          <w:szCs w:val="24"/>
        </w:rPr>
        <w:t>Pre-work</w:t>
      </w:r>
      <w:bookmarkEnd w:id="57"/>
      <w:r w:rsidR="00A00967" w:rsidRPr="00A00967">
        <w:rPr>
          <w:rFonts w:ascii="Times New Roman" w:hAnsi="Times New Roman" w:cs="Times New Roman"/>
          <w:b w:val="0"/>
          <w:i/>
          <w:color w:val="auto"/>
          <w:sz w:val="24"/>
          <w:szCs w:val="24"/>
        </w:rPr>
        <w:br/>
      </w:r>
    </w:p>
    <w:p w14:paraId="7A69012C" w14:textId="77777777" w:rsidR="00CA5D03" w:rsidRPr="00EC6C19" w:rsidRDefault="00CA5D03" w:rsidP="00CA5D03">
      <w:pPr>
        <w:spacing w:line="360" w:lineRule="auto"/>
        <w:rPr>
          <w:rFonts w:ascii="Times New Roman" w:hAnsi="Times New Roman" w:cs="Times New Roman"/>
          <w:i/>
          <w:sz w:val="24"/>
          <w:szCs w:val="24"/>
        </w:rPr>
      </w:pPr>
    </w:p>
    <w:p w14:paraId="295EF9FC" w14:textId="77777777" w:rsidR="00CA5D03" w:rsidRPr="00EC6C19" w:rsidRDefault="00CA5D03" w:rsidP="00CA5D0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data from CT coronary angiography </w:t>
      </w:r>
      <w:r w:rsidR="0063565B" w:rsidRPr="00EC6C19">
        <w:rPr>
          <w:rFonts w:ascii="Times New Roman" w:hAnsi="Times New Roman" w:cs="Times New Roman"/>
          <w:sz w:val="24"/>
          <w:szCs w:val="24"/>
        </w:rPr>
        <w:t>is critica</w:t>
      </w:r>
      <w:r w:rsidRPr="00EC6C19">
        <w:rPr>
          <w:rFonts w:ascii="Times New Roman" w:hAnsi="Times New Roman" w:cs="Times New Roman"/>
          <w:sz w:val="24"/>
          <w:szCs w:val="24"/>
        </w:rPr>
        <w:t>l</w:t>
      </w:r>
      <w:r w:rsidR="0063565B" w:rsidRPr="00EC6C19">
        <w:rPr>
          <w:rFonts w:ascii="Times New Roman" w:hAnsi="Times New Roman" w:cs="Times New Roman"/>
          <w:sz w:val="24"/>
          <w:szCs w:val="24"/>
        </w:rPr>
        <w:t xml:space="preserve"> to preliminary study work</w:t>
      </w:r>
      <w:r w:rsidRPr="00EC6C19">
        <w:rPr>
          <w:rFonts w:ascii="Times New Roman" w:hAnsi="Times New Roman" w:cs="Times New Roman"/>
          <w:sz w:val="24"/>
          <w:szCs w:val="24"/>
        </w:rPr>
        <w:t xml:space="preserve">. </w:t>
      </w:r>
      <w:r w:rsidR="0063565B" w:rsidRPr="00EC6C19">
        <w:rPr>
          <w:rFonts w:ascii="Times New Roman" w:hAnsi="Times New Roman" w:cs="Times New Roman"/>
          <w:sz w:val="24"/>
          <w:szCs w:val="24"/>
        </w:rPr>
        <w:t xml:space="preserve">It was of great </w:t>
      </w:r>
      <w:r w:rsidRPr="00EC6C19">
        <w:rPr>
          <w:rFonts w:ascii="Times New Roman" w:hAnsi="Times New Roman" w:cs="Times New Roman"/>
          <w:sz w:val="24"/>
          <w:szCs w:val="24"/>
        </w:rPr>
        <w:t xml:space="preserve">importance that I understood the anatomy of </w:t>
      </w:r>
      <w:r w:rsidR="0063565B" w:rsidRPr="00EC6C19">
        <w:rPr>
          <w:rFonts w:ascii="Times New Roman" w:hAnsi="Times New Roman" w:cs="Times New Roman"/>
          <w:sz w:val="24"/>
          <w:szCs w:val="24"/>
        </w:rPr>
        <w:t>each coronary artery, and the</w:t>
      </w:r>
      <w:r w:rsidRPr="00EC6C19">
        <w:rPr>
          <w:rFonts w:ascii="Times New Roman" w:hAnsi="Times New Roman" w:cs="Times New Roman"/>
          <w:sz w:val="24"/>
          <w:szCs w:val="24"/>
        </w:rPr>
        <w:t xml:space="preserve"> </w:t>
      </w:r>
      <w:r w:rsidR="0063565B" w:rsidRPr="00EC6C19">
        <w:rPr>
          <w:rFonts w:ascii="Times New Roman" w:hAnsi="Times New Roman" w:cs="Times New Roman"/>
          <w:sz w:val="24"/>
          <w:szCs w:val="24"/>
        </w:rPr>
        <w:t>vertical pathways they took</w:t>
      </w:r>
      <w:r w:rsidRPr="00EC6C19">
        <w:rPr>
          <w:rFonts w:ascii="Times New Roman" w:hAnsi="Times New Roman" w:cs="Times New Roman"/>
          <w:sz w:val="24"/>
          <w:szCs w:val="24"/>
        </w:rPr>
        <w:t xml:space="preserve">. </w:t>
      </w:r>
      <w:r w:rsidR="00E6147A">
        <w:rPr>
          <w:rFonts w:ascii="Times New Roman" w:hAnsi="Times New Roman" w:cs="Times New Roman"/>
          <w:sz w:val="24"/>
          <w:szCs w:val="24"/>
        </w:rPr>
        <w:t>T</w:t>
      </w:r>
      <w:r w:rsidRPr="00EC6C19">
        <w:rPr>
          <w:rFonts w:ascii="Times New Roman" w:hAnsi="Times New Roman" w:cs="Times New Roman"/>
          <w:sz w:val="24"/>
          <w:szCs w:val="24"/>
        </w:rPr>
        <w:t xml:space="preserve">here are inevitably differences in individual patient's anatomy. However, the knowledge </w:t>
      </w:r>
      <w:r w:rsidR="00255CF9">
        <w:rPr>
          <w:rFonts w:ascii="Times New Roman" w:hAnsi="Times New Roman" w:cs="Times New Roman"/>
          <w:sz w:val="24"/>
          <w:szCs w:val="24"/>
        </w:rPr>
        <w:t xml:space="preserve">of </w:t>
      </w:r>
      <w:r w:rsidR="00E6147A">
        <w:rPr>
          <w:rFonts w:ascii="Times New Roman" w:hAnsi="Times New Roman" w:cs="Times New Roman"/>
          <w:sz w:val="24"/>
          <w:szCs w:val="24"/>
        </w:rPr>
        <w:t>the most common</w:t>
      </w:r>
      <w:r w:rsidRPr="00EC6C19">
        <w:rPr>
          <w:rFonts w:ascii="Times New Roman" w:hAnsi="Times New Roman" w:cs="Times New Roman"/>
          <w:sz w:val="24"/>
          <w:szCs w:val="24"/>
        </w:rPr>
        <w:t xml:space="preserve"> position in the vertical plane was </w:t>
      </w:r>
      <w:r w:rsidR="0063565B" w:rsidRPr="00EC6C19">
        <w:rPr>
          <w:rFonts w:ascii="Times New Roman" w:hAnsi="Times New Roman" w:cs="Times New Roman"/>
          <w:sz w:val="24"/>
          <w:szCs w:val="24"/>
        </w:rPr>
        <w:t>essential</w:t>
      </w:r>
      <w:r w:rsidR="00E6147A">
        <w:rPr>
          <w:rFonts w:ascii="Times New Roman" w:hAnsi="Times New Roman" w:cs="Times New Roman"/>
          <w:sz w:val="24"/>
          <w:szCs w:val="24"/>
        </w:rPr>
        <w:t xml:space="preserve"> for correct placement</w:t>
      </w:r>
      <w:r w:rsidR="0063565B" w:rsidRPr="00EC6C19">
        <w:rPr>
          <w:rFonts w:ascii="Times New Roman" w:hAnsi="Times New Roman" w:cs="Times New Roman"/>
          <w:sz w:val="24"/>
          <w:szCs w:val="24"/>
        </w:rPr>
        <w:t xml:space="preserve"> of the pressure sensor</w:t>
      </w:r>
      <w:r w:rsidR="00CD66E6">
        <w:rPr>
          <w:rFonts w:ascii="Times New Roman" w:hAnsi="Times New Roman" w:cs="Times New Roman"/>
          <w:sz w:val="24"/>
          <w:szCs w:val="24"/>
        </w:rPr>
        <w:t xml:space="preserve"> during angiography</w:t>
      </w:r>
      <w:r w:rsidRPr="00EC6C19">
        <w:rPr>
          <w:rFonts w:ascii="Times New Roman" w:hAnsi="Times New Roman" w:cs="Times New Roman"/>
          <w:sz w:val="24"/>
          <w:szCs w:val="24"/>
        </w:rPr>
        <w:t>.</w:t>
      </w:r>
      <w:r w:rsidR="00CD66E6">
        <w:rPr>
          <w:rFonts w:ascii="Times New Roman" w:hAnsi="Times New Roman" w:cs="Times New Roman"/>
          <w:sz w:val="24"/>
          <w:szCs w:val="24"/>
        </w:rPr>
        <w:t xml:space="preserve"> </w:t>
      </w:r>
    </w:p>
    <w:p w14:paraId="3BA8FBE8" w14:textId="77777777" w:rsidR="00CA5D03" w:rsidRDefault="00EA7887" w:rsidP="004C4E3D">
      <w:pPr>
        <w:spacing w:line="360" w:lineRule="auto"/>
        <w:rPr>
          <w:rFonts w:ascii="Times New Roman" w:hAnsi="Times New Roman" w:cs="Times New Roman"/>
          <w:sz w:val="24"/>
          <w:szCs w:val="24"/>
        </w:rPr>
      </w:pPr>
      <w:r w:rsidRPr="00EC6C19">
        <w:rPr>
          <w:rFonts w:ascii="Times New Roman" w:hAnsi="Times New Roman" w:cs="Times New Roman"/>
          <w:sz w:val="24"/>
          <w:szCs w:val="24"/>
        </w:rPr>
        <w:t>Q</w:t>
      </w:r>
      <w:r w:rsidR="00CA5D03" w:rsidRPr="00EC6C19">
        <w:rPr>
          <w:rFonts w:ascii="Times New Roman" w:hAnsi="Times New Roman" w:cs="Times New Roman"/>
          <w:sz w:val="24"/>
          <w:szCs w:val="24"/>
        </w:rPr>
        <w:t xml:space="preserve">uantitative data was needed to </w:t>
      </w:r>
      <w:r w:rsidRPr="00EC6C19">
        <w:rPr>
          <w:rFonts w:ascii="Times New Roman" w:hAnsi="Times New Roman" w:cs="Times New Roman"/>
          <w:sz w:val="24"/>
          <w:szCs w:val="24"/>
        </w:rPr>
        <w:t>accurately calculate</w:t>
      </w:r>
      <w:r w:rsidR="00CA5D03" w:rsidRPr="00EC6C19">
        <w:rPr>
          <w:rFonts w:ascii="Times New Roman" w:hAnsi="Times New Roman" w:cs="Times New Roman"/>
          <w:sz w:val="24"/>
          <w:szCs w:val="24"/>
        </w:rPr>
        <w:t xml:space="preserve"> the height difference between the distal vessel and the proximal vessel </w:t>
      </w:r>
      <w:r w:rsidRPr="00EC6C19">
        <w:rPr>
          <w:rFonts w:ascii="Times New Roman" w:hAnsi="Times New Roman" w:cs="Times New Roman"/>
          <w:sz w:val="24"/>
          <w:szCs w:val="24"/>
        </w:rPr>
        <w:t>and in turn</w:t>
      </w:r>
      <w:r w:rsidR="00BB1472" w:rsidRPr="00EC6C19">
        <w:rPr>
          <w:rFonts w:ascii="Times New Roman" w:hAnsi="Times New Roman" w:cs="Times New Roman"/>
          <w:sz w:val="24"/>
          <w:szCs w:val="24"/>
        </w:rPr>
        <w:t xml:space="preserve"> the expected effect on FFR. This would</w:t>
      </w:r>
      <w:r w:rsidR="00CA5D03" w:rsidRPr="00EC6C19">
        <w:rPr>
          <w:rFonts w:ascii="Times New Roman" w:hAnsi="Times New Roman" w:cs="Times New Roman"/>
          <w:sz w:val="24"/>
          <w:szCs w:val="24"/>
        </w:rPr>
        <w:t xml:space="preserve"> guide study power calculation</w:t>
      </w:r>
      <w:r w:rsidR="00BB1472" w:rsidRPr="00EC6C19">
        <w:rPr>
          <w:rFonts w:ascii="Times New Roman" w:hAnsi="Times New Roman" w:cs="Times New Roman"/>
          <w:sz w:val="24"/>
          <w:szCs w:val="24"/>
        </w:rPr>
        <w:t xml:space="preserve"> and the number of participants</w:t>
      </w:r>
      <w:r w:rsidRPr="00EC6C19">
        <w:rPr>
          <w:rFonts w:ascii="Times New Roman" w:hAnsi="Times New Roman" w:cs="Times New Roman"/>
          <w:sz w:val="24"/>
          <w:szCs w:val="24"/>
        </w:rPr>
        <w:t xml:space="preserve"> required in vivo</w:t>
      </w:r>
      <w:r w:rsidR="00BB1472" w:rsidRPr="00EC6C19">
        <w:rPr>
          <w:rFonts w:ascii="Times New Roman" w:hAnsi="Times New Roman" w:cs="Times New Roman"/>
          <w:sz w:val="24"/>
          <w:szCs w:val="24"/>
        </w:rPr>
        <w:t>.</w:t>
      </w:r>
      <w:r w:rsidR="00CD66E6">
        <w:rPr>
          <w:rFonts w:ascii="Times New Roman" w:hAnsi="Times New Roman" w:cs="Times New Roman"/>
          <w:sz w:val="24"/>
          <w:szCs w:val="24"/>
        </w:rPr>
        <w:t xml:space="preserve"> Data was collected using CT coronary angiography.</w:t>
      </w:r>
    </w:p>
    <w:p w14:paraId="5CD4D86F" w14:textId="77777777" w:rsidR="0006539A" w:rsidRDefault="0006539A" w:rsidP="004C4E3D">
      <w:pPr>
        <w:spacing w:line="360" w:lineRule="auto"/>
        <w:rPr>
          <w:rFonts w:ascii="Times New Roman" w:hAnsi="Times New Roman" w:cs="Times New Roman"/>
          <w:sz w:val="24"/>
          <w:szCs w:val="24"/>
        </w:rPr>
      </w:pPr>
    </w:p>
    <w:p w14:paraId="6C7FFC67" w14:textId="77777777" w:rsidR="00CD66E6" w:rsidRPr="00EC6C19" w:rsidRDefault="00CD66E6" w:rsidP="004C4E3D">
      <w:pPr>
        <w:spacing w:line="360" w:lineRule="auto"/>
        <w:rPr>
          <w:rFonts w:ascii="Times New Roman" w:hAnsi="Times New Roman" w:cs="Times New Roman"/>
          <w:sz w:val="24"/>
          <w:szCs w:val="24"/>
        </w:rPr>
      </w:pPr>
    </w:p>
    <w:p w14:paraId="0502F2B5" w14:textId="77777777" w:rsidR="0063565B" w:rsidRPr="00A00967" w:rsidRDefault="00A542B2" w:rsidP="00A00967">
      <w:pPr>
        <w:pStyle w:val="Heading2"/>
        <w:rPr>
          <w:rFonts w:ascii="Times New Roman" w:hAnsi="Times New Roman" w:cs="Times New Roman"/>
          <w:b w:val="0"/>
          <w:color w:val="auto"/>
          <w:sz w:val="24"/>
          <w:szCs w:val="24"/>
        </w:rPr>
      </w:pPr>
      <w:bookmarkStart w:id="58" w:name="_Toc80302190"/>
      <w:r>
        <w:rPr>
          <w:rFonts w:ascii="Times New Roman" w:hAnsi="Times New Roman" w:cs="Times New Roman"/>
          <w:color w:val="auto"/>
          <w:sz w:val="24"/>
          <w:szCs w:val="24"/>
        </w:rPr>
        <w:lastRenderedPageBreak/>
        <w:t xml:space="preserve">1.14 - </w:t>
      </w:r>
      <w:r w:rsidR="0063565B" w:rsidRPr="00A00967">
        <w:rPr>
          <w:rFonts w:ascii="Times New Roman" w:hAnsi="Times New Roman" w:cs="Times New Roman"/>
          <w:color w:val="auto"/>
          <w:sz w:val="24"/>
          <w:szCs w:val="24"/>
        </w:rPr>
        <w:t>CT Coronary Angiography (CTCA)</w:t>
      </w:r>
      <w:bookmarkEnd w:id="58"/>
      <w:r w:rsidR="00A00967" w:rsidRPr="00A00967">
        <w:rPr>
          <w:rFonts w:ascii="Times New Roman" w:hAnsi="Times New Roman" w:cs="Times New Roman"/>
          <w:color w:val="auto"/>
          <w:sz w:val="24"/>
          <w:szCs w:val="24"/>
        </w:rPr>
        <w:br/>
      </w:r>
    </w:p>
    <w:p w14:paraId="5D25C3D2" w14:textId="77777777" w:rsidR="0063565B" w:rsidRPr="00EC6C19" w:rsidRDefault="0063565B" w:rsidP="0063565B">
      <w:pPr>
        <w:spacing w:line="360" w:lineRule="auto"/>
        <w:rPr>
          <w:rFonts w:ascii="Times New Roman" w:hAnsi="Times New Roman" w:cs="Times New Roman"/>
          <w:b/>
          <w:sz w:val="24"/>
          <w:szCs w:val="24"/>
        </w:rPr>
      </w:pPr>
    </w:p>
    <w:p w14:paraId="0CD646BA" w14:textId="0BF8E6DB" w:rsidR="0063565B" w:rsidRPr="00EC6C19" w:rsidRDefault="0063565B" w:rsidP="0063565B">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CT coronary angiography builds upon conventional CT scanning to produce a </w:t>
      </w:r>
      <w:r w:rsidR="00860681" w:rsidRPr="00EC6C19">
        <w:rPr>
          <w:rFonts w:ascii="Times New Roman" w:hAnsi="Times New Roman" w:cs="Times New Roman"/>
          <w:sz w:val="24"/>
          <w:szCs w:val="24"/>
        </w:rPr>
        <w:t>non</w:t>
      </w:r>
      <w:r w:rsidR="00860681">
        <w:rPr>
          <w:rFonts w:ascii="Times New Roman" w:hAnsi="Times New Roman" w:cs="Times New Roman"/>
          <w:sz w:val="24"/>
          <w:szCs w:val="24"/>
        </w:rPr>
        <w:t>-</w:t>
      </w:r>
      <w:r w:rsidRPr="00EC6C19">
        <w:rPr>
          <w:rFonts w:ascii="Times New Roman" w:hAnsi="Times New Roman" w:cs="Times New Roman"/>
          <w:sz w:val="24"/>
          <w:szCs w:val="24"/>
        </w:rPr>
        <w:t xml:space="preserve">invasive method of imaging the coronary arteries. The first CT scanner was invented by Godfrey Hounsfield, with the first patient scanned in 1971, visualising the brain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{"citationID":"H50mGFVn","properties":{"formattedCitation":"(Rubin, 2014)","plainCitation":"(Rubin, 2014)","noteIndex":0},"citationItems":[{"id":581,"uris":["http://zotero.org/users/local/k67tNDdX/items/NGMHAFBQ"],"uri":["http://zotero.org/users/local/k67tNDdX/items/NGMHAFBQ"],"itemData":{"id":581,"type":"article-journal","abstract":"Computed tomography (CT) has had a profound effect on the practice of medicine.                     Both the spectrum of clinical applications and the role that CT has played in                     enhancing the depth of our understanding of disease have been profound. Although                     almost 90 000 articles on CT have been published in peer-reviewed journals over                     the past 40 years, fewer than 5% of these have been published in                         Radiology. Nevertheless, these almost 4000 articles have                     provided a basis for many important medical advances. By enabling a deepened                     understanding of anatomy, physiology, and pathology, CT has facilitated key                     advances in the detection and management of disease. This article celebrates                     this breadth of scientific discovery and development by examining the impact                     that CT has had on the diagnosis, characterization, and management of a sampling                     of major health challenges, including stroke, vascular diseases, cancer, trauma,                     acute abdominal pain, and diffuse lung diseases, as related to key technical                     advances in CT and manifested in Radiology.© RSNA, 2014Listen to a discussion of the history of                             radiology.","container-title":"Radiology","DOI":"10.1148/radiol.14141356","ISSN":"0033-8419","issue":"2S","journalAbbreviation":"Radiology","page":"S45-S74","source":"pubs.rsna.org (Atypon)","title":"Computed Tomography: Revolutionizing the Practice of Medicine for 40                     Years","title-short":"Computed Tomography","volume":"273","author":[{"family":"Rubin","given":"Geoffrey                             D."}],"issued":{"date-parts":[["2014",10,23]]}}}],"schema":"https://github.com/citation-style-language/schema/raw/master/csl-citation.json"}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(Rubin, 2014)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CT scanning uses x-ray to take multiple images from differing angles, which are then reconstructed by computer software, to give a final set of images. </w:t>
      </w:r>
    </w:p>
    <w:p w14:paraId="13641594" w14:textId="77777777" w:rsidR="0063565B" w:rsidRPr="00EC6C19" w:rsidRDefault="0063565B" w:rsidP="0063565B">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Imaging of the coronary arteries became technically feasible in the late 90's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{"citationID":"EHvfUCRs","properties":{"formattedCitation":"(Donnelly, Higginson and Hanley, 2005)","plainCitation":"(Donnelly, Higginson and Hanley, 2005)","noteIndex":0},"citationItems":[{"id":584,"uris":["http://zotero.org/users/local/k67tNDdX/items/YPDB4AL5"],"uri":["http://zotero.org/users/local/k67tNDdX/items/YPDB4AL5"],"itemData":{"id":584,"type":"article-journal","abstract":"Is technology about to deliver on the long awaited goal of effective non-invasive methods for visualising and assessing coronary arteries?","container-title":"Heart","DOI":"10.1136/hrt.2004.058164","ISSN":"1355-6037","issue":"11","journalAbbreviation":"Heart","note":"PMID: 16230434\nPMCID: PMC1769157","page":"1385-1388","source":"PubMed Central","title":"Multidetector CT coronary angiography: have we found the holy grail of non-invasive coronary imaging?","title-short":"Multidetector CT coronary angiography","volume":"91","author":[{"family":"Donnelly","given":"P M"},{"family":"Higginson","given":"J D S"},{"family":"Hanley","given":"P D"}],"issued":{"date-parts":[["2005",11]]}}}],"schema":"https://github.com/citation-style-language/schema/raw/master/csl-citation.json"}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(Donnelly, Higginson and Hanley, 2005)</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In current medical practice, cardiac CT can aid diagnosis in multiple clinical scenarios. An example of a cardiac CT scan is </w:t>
      </w:r>
      <w:r w:rsidRPr="000E7233">
        <w:rPr>
          <w:rFonts w:ascii="Times New Roman" w:hAnsi="Times New Roman" w:cs="Times New Roman"/>
          <w:sz w:val="24"/>
          <w:szCs w:val="24"/>
        </w:rPr>
        <w:t xml:space="preserve">shown in </w:t>
      </w:r>
      <w:r w:rsidR="000E7233" w:rsidRPr="000E7233">
        <w:rPr>
          <w:rFonts w:ascii="Times New Roman" w:hAnsi="Times New Roman" w:cs="Times New Roman"/>
          <w:sz w:val="24"/>
          <w:szCs w:val="24"/>
        </w:rPr>
        <w:t>figure 15</w:t>
      </w:r>
      <w:r w:rsidRPr="00EC6C19">
        <w:rPr>
          <w:rFonts w:ascii="Times New Roman" w:hAnsi="Times New Roman" w:cs="Times New Roman"/>
          <w:sz w:val="24"/>
          <w:szCs w:val="24"/>
        </w:rPr>
        <w:t xml:space="preserve">. </w:t>
      </w:r>
    </w:p>
    <w:p w14:paraId="019C979A" w14:textId="77777777" w:rsidR="00CD66E6" w:rsidRDefault="0063565B" w:rsidP="0063565B">
      <w:pPr>
        <w:spacing w:line="360" w:lineRule="auto"/>
        <w:rPr>
          <w:rFonts w:ascii="Times New Roman" w:hAnsi="Times New Roman" w:cs="Times New Roman"/>
          <w:i/>
          <w:sz w:val="24"/>
          <w:szCs w:val="24"/>
        </w:rPr>
      </w:pPr>
      <w:bookmarkStart w:id="59" w:name="CTdata"/>
      <w:bookmarkEnd w:id="59"/>
      <w:r w:rsidRPr="00EC6C19">
        <w:rPr>
          <w:rFonts w:ascii="Times New Roman" w:hAnsi="Times New Roman" w:cs="Times New Roman"/>
          <w:i/>
          <w:noProof/>
          <w:sz w:val="24"/>
          <w:szCs w:val="24"/>
          <w:lang w:eastAsia="en-GB"/>
        </w:rPr>
        <w:drawing>
          <wp:inline distT="0" distB="0" distL="0" distR="0" wp14:anchorId="74523846" wp14:editId="1145DACE">
            <wp:extent cx="5943600" cy="4422655"/>
            <wp:effectExtent l="19050" t="0" r="0" b="0"/>
            <wp:docPr id="1" name="Picture 7" descr="C:\Users\Administrator\Documents\Cardiology\Thesis\Pictures\CT example annot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cuments\Cardiology\Thesis\Pictures\CT example annotated.png"/>
                    <pic:cNvPicPr>
                      <a:picLocks noChangeAspect="1" noChangeArrowheads="1"/>
                    </pic:cNvPicPr>
                  </pic:nvPicPr>
                  <pic:blipFill>
                    <a:blip r:embed="rId33"/>
                    <a:srcRect/>
                    <a:stretch>
                      <a:fillRect/>
                    </a:stretch>
                  </pic:blipFill>
                  <pic:spPr bwMode="auto">
                    <a:xfrm>
                      <a:off x="0" y="0"/>
                      <a:ext cx="5943600" cy="4422655"/>
                    </a:xfrm>
                    <a:prstGeom prst="rect">
                      <a:avLst/>
                    </a:prstGeom>
                    <a:noFill/>
                    <a:ln w="9525">
                      <a:noFill/>
                      <a:miter lim="800000"/>
                      <a:headEnd/>
                      <a:tailEnd/>
                    </a:ln>
                  </pic:spPr>
                </pic:pic>
              </a:graphicData>
            </a:graphic>
          </wp:inline>
        </w:drawing>
      </w:r>
    </w:p>
    <w:p w14:paraId="6F709156" w14:textId="77777777" w:rsidR="0063565B" w:rsidRPr="000E7233" w:rsidRDefault="000E7233" w:rsidP="000E7233">
      <w:pPr>
        <w:pStyle w:val="Caption"/>
        <w:spacing w:line="360" w:lineRule="auto"/>
        <w:rPr>
          <w:rFonts w:ascii="Times New Roman" w:hAnsi="Times New Roman" w:cs="Times New Roman"/>
          <w:b w:val="0"/>
          <w:i/>
          <w:color w:val="auto"/>
          <w:sz w:val="24"/>
          <w:szCs w:val="24"/>
        </w:rPr>
      </w:pPr>
      <w:bookmarkStart w:id="60" w:name="_Toc44684904"/>
      <w:r w:rsidRPr="000E7233">
        <w:rPr>
          <w:rFonts w:ascii="Times New Roman" w:hAnsi="Times New Roman" w:cs="Times New Roman"/>
          <w:b w:val="0"/>
          <w:i/>
          <w:color w:val="auto"/>
          <w:sz w:val="24"/>
          <w:szCs w:val="24"/>
        </w:rPr>
        <w:t xml:space="preserve">Figure </w:t>
      </w:r>
      <w:r w:rsidR="00106A32" w:rsidRPr="000E7233">
        <w:rPr>
          <w:rFonts w:ascii="Times New Roman" w:hAnsi="Times New Roman" w:cs="Times New Roman"/>
          <w:b w:val="0"/>
          <w:i/>
          <w:color w:val="auto"/>
          <w:sz w:val="24"/>
          <w:szCs w:val="24"/>
        </w:rPr>
        <w:fldChar w:fldCharType="begin"/>
      </w:r>
      <w:r w:rsidRPr="000E7233">
        <w:rPr>
          <w:rFonts w:ascii="Times New Roman" w:hAnsi="Times New Roman" w:cs="Times New Roman"/>
          <w:b w:val="0"/>
          <w:i/>
          <w:color w:val="auto"/>
          <w:sz w:val="24"/>
          <w:szCs w:val="24"/>
        </w:rPr>
        <w:instrText xml:space="preserve"> SEQ Figure \* ARABIC </w:instrText>
      </w:r>
      <w:r w:rsidR="00106A32" w:rsidRPr="000E7233">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15</w:t>
      </w:r>
      <w:r w:rsidR="00106A32" w:rsidRPr="000E7233">
        <w:rPr>
          <w:rFonts w:ascii="Times New Roman" w:hAnsi="Times New Roman" w:cs="Times New Roman"/>
          <w:b w:val="0"/>
          <w:i/>
          <w:color w:val="auto"/>
          <w:sz w:val="24"/>
          <w:szCs w:val="24"/>
        </w:rPr>
        <w:fldChar w:fldCharType="end"/>
      </w:r>
      <w:r w:rsidRPr="000E7233">
        <w:rPr>
          <w:rFonts w:ascii="Times New Roman" w:hAnsi="Times New Roman" w:cs="Times New Roman"/>
          <w:b w:val="0"/>
          <w:i/>
          <w:color w:val="auto"/>
          <w:sz w:val="24"/>
          <w:szCs w:val="24"/>
        </w:rPr>
        <w:t xml:space="preserve"> - Cardiac CT Showing Coronary Anatomy</w:t>
      </w:r>
      <w:r>
        <w:rPr>
          <w:rFonts w:ascii="Times New Roman" w:hAnsi="Times New Roman" w:cs="Times New Roman"/>
          <w:b w:val="0"/>
          <w:i/>
          <w:color w:val="auto"/>
          <w:sz w:val="24"/>
          <w:szCs w:val="24"/>
        </w:rPr>
        <w:t xml:space="preserve">. </w:t>
      </w:r>
      <w:r w:rsidR="0063565B" w:rsidRPr="000E7233">
        <w:rPr>
          <w:rFonts w:ascii="Times New Roman" w:hAnsi="Times New Roman" w:cs="Times New Roman"/>
          <w:b w:val="0"/>
          <w:i/>
          <w:color w:val="auto"/>
          <w:sz w:val="24"/>
          <w:szCs w:val="24"/>
        </w:rPr>
        <w:t>LAD = left anterior descending artery. Permission for image use obtained.</w:t>
      </w:r>
      <w:bookmarkEnd w:id="60"/>
    </w:p>
    <w:p w14:paraId="4C847865" w14:textId="77777777" w:rsidR="0063565B" w:rsidRPr="00EC6C19" w:rsidRDefault="0063565B" w:rsidP="0063565B">
      <w:pPr>
        <w:spacing w:line="360" w:lineRule="auto"/>
        <w:rPr>
          <w:rFonts w:ascii="Times New Roman" w:hAnsi="Times New Roman" w:cs="Times New Roman"/>
          <w:sz w:val="24"/>
          <w:szCs w:val="24"/>
        </w:rPr>
      </w:pPr>
    </w:p>
    <w:p w14:paraId="110B8C24" w14:textId="77777777" w:rsidR="0063565B" w:rsidRPr="00EC6C19" w:rsidRDefault="0063565B" w:rsidP="0063565B">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In current NICE (National Institute for Health and Care Excellence) guidelines, coronary CT is the first line diagnostic test for typical and atypical angina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{"citationID":"vgxu9T9q","properties":{"formattedCitation":"(Chest pain of recent onset: assessment and diagnosis | Guidance and guidelines | NICE, 2018)","plainCitation":"(Chest pain of recent onset: assessment and diagnosis | Guidance and guidelines | NICE, 2018)","noteIndex":0},"citationItems":[{"id":587,"uris":["http://zotero.org/users/local/k67tNDdX/items/5E3J6N4P"],"uri":["http://zotero.org/users/local/k67tNDdX/items/5E3J6N4P"],"itemData":{"id":587,"type":"webpage","language":"eng","title":"Chest pain of recent onset: assessment and diagnosis | Guidance and guidelines | NICE","title-short":"Chest pain of recent onset","URL":"https://www.nice.org.uk/guidance/cg95/chapter/Recommendations#people-presenting-with-stable-chest-pain","accessed":{"date-parts":[["2018",6,21]]}}}],"schema":"https://github.com/citation-style-language/schema/raw/master/csl-citation.json"}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(Chest pain of recent onset: assessment and diagnosis | Guidance and guidelines | NICE,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CTCA has a high negative predictive value for the exclusion of significant coronary stenosis in stable coronary artery disease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{"citationID":"rjnaNBh1","properties":{"formattedCitation":"(Budoff et al., 2008a)","plainCitation":"(Budoff et al., 2008a)","dontUpdate":true,"noteIndex":0},"citationItems":[{"id":"Vqvua3Kd/sZHxIqET","uris":["http://zotero.org/users/local/k67tNDdX/items/VSA3A7C6"],"uri":["http://zotero.org/users/local/k67tNDdX/items/VSA3A7C6"],"itemData":{"id":589,"type":"article-journal","abstract":"Objectives\nThe purpose of this study was to evaluate the diagnostic accuracy of electrocardiographically gated 64-multidetector row coronary computed tomographic angiography (CCTA) in individuals without known coronary artery disease (CAD).\nBackground\nCCTA is a promising method for detection and exclusion of obstructive coronary artery stenosis. To date, no prospective multicenter trial has evaluated the diagnostic accuracy of 64-multidetector row CCTA in populations with intermediate prevalence of CAD.\nMethods\nWe prospectively evaluated subjects with chest pain at 16 sites who were clinically referred for invasive coronary angiography (ICA). CCTAs were scored by consensus of 3 independent blinded readers. The ICAs were evaluated for coronary stenosis based on quantitative coronary angiography (QCA). No subjects were excluded for baseline coronary artery calcium score or body mass index.\nResults\nA total of 230 subjects underwent both CCTA and ICA (59.1% male; mean age: 57 ± 10 years). On a patient-based model, the sensitivity, specificity, and positive and negative predictive values to detect ≥50% or ≥70% stenosis were 95%, 83%, 64%, and 99%, respectively, and 94%, 83%, 48%, 99%, respectively. No differences in sensitivity and specificity were noted for nonobese compared with obese subjects or for heart rates ≤65 beats/min compared with &gt;65 beats/min, whereas calcium scores &gt;400 reduced specificity significantly.\nConclusions\nIn this prospective multicenter trial of chest pain patients without known CAD, 64-multidetector row CCTA possesses high diagnostic accuracy for detection of obstructive coronary stenosis at both thresholds of 50% and 70% stenosis. Importantly, the 99% negative predictive value at the patient and vessel level establishes CCTA as an effective noninvasive alternative to ICA to rule out obstructive coronary artery stenosis. (A Study of Computed Tomography [CT] for Evaluation of Coronary Artery Blockages in Typical or Atypical Chest Pain; NCT00348569)","container-title":"Journal of the American College of Cardiology","DOI":"10.1016/j.jacc.2008.07.031","ISSN":"0735-1097","issue":"21","journalAbbreviation":"Journal of the American College of Cardiology","page":"1724-1732","source":"ScienceDirect","title":"Diagnostic Performance of 64-Multidetector Row Coronary Computed Tomographic Angiography for Evaluation of Coronary Artery Stenosis in Individuals Without Known Coronary Artery Disease: Results From the Prospective Multicenter ACCURACY (Assessment by Coronary Computed Tomographic Angiography of Individuals Undergoing Invasive Coronary Angiography) Trial","title-short":"Diagnostic Performance of 64-Multidetector Row Coronary Computed Tomographic Angiography for Evaluation of Coronary Artery Stenosis in Individuals Without Known Coronary Artery Disease","volume":"52","author":[{"family":"Budoff","given":"Matthew J."},{"family":"Dowe","given":"David"},{"family":"Jollis","given":"James G."},{"family":"Gitter","given":"Michael"},{"family":"Sutherland","given":"John"},{"family":"Halamert","given":"Edward"},{"family":"Scherer","given":"Markus"},{"family":"Bellinger","given":"Raye"},{"family":"Martin","given":"Arthur"},{"family":"Benton","given":"Robert"},{"family":"Delago","given":"Augustin"},{"family":"Min","given":"James K."}],"issued":{"date-parts":[["2008",11,18]]}}}],"schema":"https://github.com/citation-style-language/schema/raw/master/csl-citation.json"}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(Budoff et al., 2008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{"citationID":"KY4rfdRT","properties":{"formattedCitation":"(Meijboom et al., 2008)","plainCitation":"(Meijboom et al., 2008)","dontUpdate":true,"noteIndex":0},"citationItems":[{"id":592,"uris":["http://zotero.org/users/local/k67tNDdX/items/LQMCUW6G"],"uri":["http://zotero.org/users/local/k67tNDdX/items/LQMCUW6G"],"itemData":{"id":592,"type":"article-journal","abstract":"Objectives\nThis study sought to determine the diagnostic accuracy of 64-slice computed tomographic coronary angiography (CTCA) to detect or rule out significant coronary artery disease (CAD).\nBackground\nCTCA is emerging as a noninvasive technique to detect coronary atherosclerosis.\nMethods\nWe conducted a prospective, multicenter, multivendor study involving 360 symptomatic patients with acute and stable anginal syndromes who were between 50 and 70 years of age and were referred for diagnostic conventional coronary angiography (CCA) from September 2004 through June 2006. All patients underwent a nonenhanced calcium scan and a CTCA, which was compared with CCA. No patients or segments were excluded because of impaired image quality attributable to either coronary motion or calcifications. Patient-, vessel-, and segment-based sensitivities and specificities were calculated to detect or rule out significant CAD, defined as ≥50% lumen diameter reduction.\nResults\nThe prevalence among patients of having at least 1 significant stenosis was 68%. In a patient-based analysis, the sensitivity for detecting patients with significant CAD was 99% (95% confidence interval [CI]: 98% to 100%), specificity was 64% (95% CI: 55% to 73%), positive predictive value was 86% (95% CI: 82% to 90%), and negative predictive value was 97% (95% CI: 94% to 100%). In a segment-based analysis, the sensitivity was 88% (95% CI: 85% to 91%), specificity was 90% (95% CI: 89% to 92%), positive predictive value was 47% (95% CI: 44% to 51%), and negative predictive value was 99% (95% CI: 98% to 99%).\nConclusions\nAmong patients in whom a decision had already been made to obtain CCA, 64-slice CTCA was reliable for ruling out significant CAD in patients with stable and unstable anginal syndromes. A positive 64-slice CTCA scan often overestimates the severity of atherosclerotic obstructions and requires further testing to guide patient management.","container-title":"Journal of the American College of Cardiology","DOI":"10.1016/j.jacc.2008.08.058","ISSN":"0735-1097","issue":"25","journalAbbreviation":"Journal of the American College of Cardiology","page":"2135-2144","source":"ScienceDirect","title":"Diagnostic Accuracy of 64-Slice Computed Tomography Coronary Angiography: A Prospective, Multicenter, Multivendor Study","title-short":"Diagnostic Accuracy of 64-Slice Computed Tomography Coronary Angiography","volume":"52","author":[{"family":"Meijboom","given":"W. Bob"},{"family":"Meijs","given":"Matthijs F. L."},{"family":"Schuijf","given":"Joanne D."},{"family":"Cramer","given":"Maarten J."},{"family":"Mollet","given":"Nico R."},{"family":"Mieghem","given":"Carlos A. G.","non-dropping-particle":"van"},{"family":"Nieman","given":"Koen"},{"family":"Werkhoven","given":"Jacob M.","non-dropping-particle":"van"},{"family":"Pundziute","given":"Gabija"},{"family":"Weustink","given":"Annick C."},{"family":"Vos","given":"Alexander M.","non-dropping-particle":"de"},{"family":"Pugliese","given":"Francesca"},{"family":"Rensing","given":"Benno"},{"family":"Jukema","given":"J. Wouter"},{"family":"Bax","given":"Jeroen J."},{"family":"Prokop","given":"Mathias"},{"family":"Doevendans","given":"Pieter A."},{"family":"Hunink","given":"Myriam G. M."},{"family":"Krestin","given":"Gabriel P."},{"family":"Feyter","given":"Pim J.","non-dropping-particle":"de"}],"issued":{"date-parts":[["2008",12,16]]}}}],"schema":"https://github.com/citation-style-language/schema/raw/master/csl-citation.json"}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Meijboom et al., 2008)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Studies have also supported the use of CTCA in ACS in lower risk patients, potentially reducing length of stay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{"citationID":"O70jpiQV","properties":{"formattedCitation":"(Hoffmann et al., 2012)","plainCitation":"(Hoffmann et al., 2012)","noteIndex":0},"citationItems":[{"id":595,"uris":["http://zotero.org/users/local/k67tNDdX/items/FDSWLBPS"],"uri":["http://zotero.org/users/local/k67tNDdX/items/FDSWLBPS"],"itemData":{"id":595,"type":"article-journal","abstract":"Coronary CT angiography (CCTA) in the emergency department reduced the length of hospital stay and allowed more patients to be discharged directly from the emergency department. However, CCTA resulted in more downstream testing and higher exposure to radiation.","container-title":"New England Journal of Medicine","DOI":"10.1056/NEJMoa1201161","ISSN":"0028-4793","issue":"4","note":"PMID: 22830462","page":"299-308","source":"Taylor and Francis+NEJM","title":"Coronary CT Angiography versus Standard Evaluation in Acute Chest Pain","volume":"367","author":[{"family":"Hoffmann","given":"Udo"},{"family":"Truong","given":"Quynh A."},{"family":"Schoenfeld","given":"David A."},{"family":"Chou","given":"Eric T."},{"family":"Woodard","given":"Pamela K."},{"family":"Nagurney","given":"John T."},{"family":"Pope","given":"J. Hector"},{"family":"Hauser","given":"Thomas H."},{"family":"White","given":"Charles S."},{"family":"Weiner","given":"Scott G."},{"family":"Kalanjian","given":"Shant"},{"family":"Mullins","given":"Michael E."},{"family":"Mikati","given":"Issam"},{"family":"Peacock","given":"W. Frank"},{"family":"Zakroysky","given":"Pearl"},{"family":"Hayden","given":"Douglas"},{"family":"Goehler","given":"Alexander"},{"family":"Lee","given":"Hang"},{"family":"Gazelle","given":"G. Scott"},{"family":"Wiviott","given":"Stephen D."},{"family":"Fleg","given":"Jerome L."},{"family":"Udelson","given":"James E."}],"issued":{"date-parts":[["2012",7,26]]}}}],"schema":"https://github.com/citation-style-language/schema/raw/master/csl-citation.json"}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(Hoffmann et al., 2012)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.There is also some evidence that CTCA can identify 'vulnerable' plaques, at risk of rupture and causing acute coronary syndrome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{"citationID":"yFfh43Ku","properties":{"formattedCitation":"(Sun and Xu, 2014)","plainCitation":"(Sun and Xu, 2014)","noteIndex":0},"citationItems":[{"id":638,"uris":["http://zotero.org/users/local/k67tNDdX/items/5IXCCNRR"],"uri":["http://zotero.org/users/local/k67tNDdX/items/5IXCCNRR"],"itemData":{"id":638,"type":"article-journal","abstract":"Coronary computed tomography angiography (CCTA) has been recently evaluated for its ability to assess coronary plaque characteristics, including plaque composition. Identification of the relationship between plaque composition by CCTA and patient clinical presentations may provide insight into the pathophysiology of coronary artery plaque, thus assisting identification of vulnerable plaques which are associated with the development of acute coronary syndrome. CCTA-generated 3D visualizations allow evaluation of both coronary lesions and lumen changes, which are considered to enhance the diagnostic performance of CCTA. The purpose of this review is to discuss the recent developments that have occurred in the field of CCTA with regard to its diagnostic accuracy in the quantitative assessment of coronary plaques, with a focus on the characterization of plaque components and identification of vulnerable plaques.","container-title":"BioMed Research International","DOI":"10.1155/2014/346380","ISSN":"2314-6141","journalAbbreviation":"Biomed Res Int","language":"eng","note":"PMID: 25162010\nPMCID: PMC4138793","page":"346380","source":"PubMed","title":"Coronary CT angiography in the quantitative assessment of coronary plaques","volume":"2014","author":[{"family":"Sun","given":"Zhonghua"},{"family":"Xu","given":"Lei"}],"issued":{"date-parts":[["2014"]]}}}],"schema":"https://github.com/citation-style-language/schema/raw/master/csl-citation.json"}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(Sun and Xu, 2014)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There is still some variability in reporting of these plaques, which can make diagnosis challenging.</w:t>
      </w:r>
    </w:p>
    <w:p w14:paraId="030C0591" w14:textId="77777777" w:rsidR="0063565B" w:rsidRPr="00EC6C19" w:rsidRDefault="0063565B" w:rsidP="0063565B">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Although invasive angiography is still regarded as the gold standard for coronary imaging, CTCA may have some subtle advantages. Angiography provides detailed luminal assessment, whereas CTCA highlights coronary anatomy and extra luminal details. This can include non-atherosclerotic abnormalities and incidental findings,  occurring in up to 4.4% of scans in some studies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{"citationID":"WdCZcDAm","properties":{"formattedCitation":"(Knickelbine et al., 2009)","plainCitation":"(Knickelbine et al., 2009)","noteIndex":0},"citationItems":[{"id":598,"uris":["http://zotero.org/users/local/k67tNDdX/items/88J3249L"],"uri":["http://zotero.org/users/local/k67tNDdX/items/88J3249L"],"itemData":{"id":598,"type":"article-journal","abstract":"Objectives\nThe aim of this study was to assess, in a general cardiology cohort screened for obstructive coronary artery disease (CAD), the effectiveness and frequency with which multidetector computed tomography (MDCT) angiography unexpectedly imaged and identified other nonatherosclerotic cardiovascular diseases.\nBackground\nMDCT angiography is a novel imaging strategy employed primarily to diagnose CAD that, in the course of these studies, can also potentially identify other important but previously unrecognized cardiovascular abnormalities.\nMethods\nConsecutive 64-slice MDCT angiography studies were obtained in 4,543 patients with suspected atherosclerotic CAD at the Minneapolis Heart Institute, over a 29-month period (2005 to 2007).\nResults\nNonatherosclerotic-related cardiovascular abnormalities judged to be of potential clinical relevance were identified in 201 patients (4.4%). In 50 of these patients (1.1% of 4,543) the abnormality was previously unrecognized despite other imaging studies performed in 40%. Most common among the 50 patients were: congenital coronary artery anomalies (38%; largely right coronary artery from the left aortic sinus); ascending aortic aneurysms ≥45 mm (22%); hypertrophic cardiomyopathy with apical left ventricular (LV) wall thickening (14%); valvular heart diseases (8%), congenital heart diseases, including ventricular septal defect (6%); pulmonary embolus (6%); as well as LV noncompaction, left atrial myxoma, and LV apical aneurysm (2% each). As a consequence of MDCT angiography findings, new management strategies were instituted in 15 of 50 patients (30%), including surgical correction of coronary artery anomalies of wrong sinus origin, ascending aneurysm graft repair, thrombolytic therapy for pulmonary embolism, and myxoma resection.\nConclusions\nApproximately 1% of patients undergoing MDCT angiography for suspicion of CAD proved to have otherwise unsuspected, but clinically relevant, cardiovascular abnormalities unrelated to coronary atherosclerosis. Almost one-third of these patients had cardiovascular diseases with major clinical implications for subsequent therapy. These findings underscore the value of MDCT angiography and the importance of careful assessment of scans for the recognition of a variety of cardiovascular abnormalities.","container-title":"JACC: Cardiovascular Imaging","DOI":"10.1016/j.jcmg.2009.03.022","ISSN":"1936-878X","issue":"9","journalAbbreviation":"JACC: Cardiovascular Imaging","page":"1085-1092","source":"ScienceDirect","title":"Identification of Unexpected Nonatherosclerotic Cardiovascular Disease With Coronary CT Angiography","volume":"2","author":[{"family":"Knickelbine","given":"Thomas"},{"family":"Lesser","given":"John R."},{"family":"Haas","given":"Tammy S."},{"family":"Brandenburg","given":"Eric R."},{"family":"Gleason-Han","given":"B. Kelly"},{"family":"Flygenring","given":"Björn"},{"family":"Longe","given":"Terrence F."},{"family":"Schwartz","given":"Robert S."},{"family":"Maron","given":"Barry J."}],"issued":{"date-parts":[["2009",9,1]]}}}],"schema":"https://github.com/citation-style-language/schema/raw/master/csl-citation.json"}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(Knickelbine et al., 2009)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Abnormalities detected can include anomalous coronary artery origins, coronary artery fistulas, coronary artery aneurysms, coronary dissection, coronary vasculitis. </w:t>
      </w:r>
    </w:p>
    <w:p w14:paraId="7F3E3FE6" w14:textId="77777777" w:rsidR="0063565B" w:rsidRPr="00EC6C19" w:rsidRDefault="0063565B" w:rsidP="0063565B">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Finally, extra-coronary diagnosis can be made, including aortic stenosis, hypertrophic cardiomyopathy, and pericarditis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{"citationID":"x97Pe1zU","properties":{"formattedCitation":"(Kanaganayagam et al., 2014)","plainCitation":"(Kanaganayagam et al., 2014)","noteIndex":0},"citationItems":[{"id":578,"uris":["http://zotero.org/users/local/k67tNDdX/items/XTX99XCU"],"uri":["http://zotero.org/users/local/k67tNDdX/items/XTX99XCU"],"itemData":{"id":578,"type":"article-journal","abstract":"Obstructive coronary artery disease due to atherosclerosis remains the commonest cause of chest pain, although several other conditions involving the coronary arteries, cardiac and non-cardiac structures can also result in chest pain syndromes. CT coronary angiography (CTCA) provides a non-invasive method for anatomical imaging of coronary artery disease. Whilst it does not replace diagnostic angiography, it provides a reliable ‘rule out’ of significant coronary artery disease in at least low to intermediate risk groups. The ability of CTCA to provide volumetric data with a large field of view also facilitates its use in the diagnosis of patients presenting with chest pain. The purpose of this pictorial review is to describe non-atherosclerotic pathologies which may present with chest pain identifiable on CTCA.","container-title":"International Journal of Cardiology","DOI":"10.1016/j.ijcard.2014.08.035","ISSN":"0167-5273","issue":"3","journalAbbreviation":"International Journal of Cardiology","page":"618-629","source":"ScienceDirect","title":"CT coronary angiography in the investigation of chest pain — Beyond coronary artery atherosclerosis; A pictorial review","volume":"176","author":[{"family":"Kanaganayagam","given":"Gajen Sunthar"},{"family":"Ngo","given":"An Thanh"},{"family":"Alsafi","given":"Ali"},{"family":"Kamanahalli","given":"Raghavendra"},{"family":"Sutaria","given":"Nilesh"},{"family":"Mittal","given":"Tarun"},{"family":"Ariff","given":"Ben"}],"issued":{"date-parts":[["2014",10,20]]}}}],"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(Kanaganayagam et al., 2014)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Overall CTCA can also identify extra-cardiac abnormalities, such as aortic disease, pulmonary emboli and lung disease.</w:t>
      </w:r>
    </w:p>
    <w:p w14:paraId="12264B8D" w14:textId="77777777" w:rsidR="0063565B" w:rsidRPr="00EC6C19" w:rsidRDefault="0063565B" w:rsidP="0063565B">
      <w:pPr>
        <w:spacing w:line="360" w:lineRule="auto"/>
        <w:rPr>
          <w:rFonts w:ascii="Times New Roman" w:hAnsi="Times New Roman" w:cs="Times New Roman"/>
          <w:sz w:val="24"/>
          <w:szCs w:val="24"/>
        </w:rPr>
      </w:pPr>
    </w:p>
    <w:p w14:paraId="622D277A" w14:textId="77777777" w:rsidR="0063565B" w:rsidRPr="00A00967" w:rsidRDefault="00A542B2" w:rsidP="00A00967">
      <w:pPr>
        <w:pStyle w:val="Heading3"/>
        <w:rPr>
          <w:rFonts w:ascii="Times New Roman" w:hAnsi="Times New Roman" w:cs="Times New Roman"/>
          <w:b w:val="0"/>
          <w:i/>
          <w:color w:val="auto"/>
          <w:sz w:val="24"/>
          <w:szCs w:val="24"/>
        </w:rPr>
      </w:pPr>
      <w:bookmarkStart w:id="61" w:name="_Toc80302191"/>
      <w:r>
        <w:rPr>
          <w:rFonts w:ascii="Times New Roman" w:hAnsi="Times New Roman" w:cs="Times New Roman"/>
          <w:b w:val="0"/>
          <w:i/>
          <w:color w:val="auto"/>
          <w:sz w:val="24"/>
          <w:szCs w:val="24"/>
        </w:rPr>
        <w:t xml:space="preserve">1.14.1 - </w:t>
      </w:r>
      <w:r w:rsidR="0063565B" w:rsidRPr="00A00967">
        <w:rPr>
          <w:rFonts w:ascii="Times New Roman" w:hAnsi="Times New Roman" w:cs="Times New Roman"/>
          <w:b w:val="0"/>
          <w:i/>
          <w:color w:val="auto"/>
          <w:sz w:val="24"/>
          <w:szCs w:val="24"/>
        </w:rPr>
        <w:t>Limitations of CT Coronary Angiography</w:t>
      </w:r>
      <w:bookmarkEnd w:id="61"/>
      <w:r w:rsidR="00A00967" w:rsidRPr="00A00967">
        <w:rPr>
          <w:rFonts w:ascii="Times New Roman" w:hAnsi="Times New Roman" w:cs="Times New Roman"/>
          <w:b w:val="0"/>
          <w:i/>
          <w:color w:val="auto"/>
          <w:sz w:val="24"/>
          <w:szCs w:val="24"/>
        </w:rPr>
        <w:br/>
      </w:r>
    </w:p>
    <w:p w14:paraId="7950698E" w14:textId="77777777" w:rsidR="0063565B" w:rsidRPr="00EC6C19" w:rsidRDefault="0063565B" w:rsidP="0063565B">
      <w:pPr>
        <w:spacing w:line="360" w:lineRule="auto"/>
        <w:rPr>
          <w:rFonts w:ascii="Times New Roman" w:hAnsi="Times New Roman" w:cs="Times New Roman"/>
          <w:i/>
          <w:sz w:val="24"/>
          <w:szCs w:val="24"/>
          <w:u w:val="single"/>
        </w:rPr>
      </w:pPr>
    </w:p>
    <w:p w14:paraId="1CEE5E8E" w14:textId="77777777" w:rsidR="0063565B" w:rsidRPr="00EC6C19" w:rsidRDefault="0063565B" w:rsidP="0063565B">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 major limitation of CTCA is the image disruption caused by calcification. Whilst CTCA has a high negative predictive value, calcium deposits within the artery can lead to over estimation of coronary atheroma, in turn reducing positive predictive value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{"citationID":"9bJfNRab","properties":{"formattedCitation":"(Sun, Choo and Ng, 2012)","plainCitation":"(Sun, Choo and Ng, 2012)","noteIndex":0},"citationItems":[{"id":601,"uris":["http://zotero.org/users/local/k67tNDdX/items/RUUPEMK4"],"uri":["http://zotero.org/users/local/k67tNDdX/items/RUUPEMK4"],"itemData":{"id":601,"type":"article-journal","abstract":"Coronary CT angiography has been increasingly used in the diagnosis of coronary artery disease owing to rapid technological developments, which are reflected in the improved spatial and temporal resolution of the images. High diagnostic accuracy has been achieved with multislice CT scanners (64 slice and higher), and in selected patients coronary CT angiography is regarded as a reliable alternative to invasive coronary angiography. With high-quality coronary CT imaging increasingly being performed, patients can benefit from an imaging modality that provides a rapid and accurate diagnosis while avoiding an invasive procedure. Despite the tremendous contributions of coronary CT angiography to cardiac imaging, study results reported in the literature should be interpreted with caution as there are some limitations existing within the study design or related to patient risk factors. In addition, some attention must be given to the potential health risks associated with the ionising radiation received during cardiac CT examinations. Radiation dose associated with coronary CT angiography has raised serious concerns in the literature, as the risk of developing malignancy is not negligible. Various dose-saving strategies have been implemented, with some of the strategies resulting in significant dose reduction. The aim of this review is to present an overview of the role of coronary CT angiography on cardiac imaging, with focus on coronary artery disease in terms of the diagnostic and prognostic value of coronary CT angiography. Various approaches for dose reduction commonly recommended in the literature are discussed. Limitations of coronary CT angiography are identified. Finally, future directions and challenges with the use of coronary CT angiography are highlighted.","container-title":"The British Journal of Radiology","DOI":"10.1259/bjr/15296170","ISSN":"0007-1285","issue":"1013","journalAbbreviation":"Br J Radiol","note":"PMID: 22253353\nPMCID: PMC3479873","page":"495-510","source":"PubMed Central","title":"Coronary CT angiography: current status and continuing challenges","title-short":"Coronary CT angiography","volume":"85","author":[{"family":"Sun","given":"Z"},{"family":"Choo","given":"G H"},{"family":"Ng","given":"K H"}],"issued":{"date-parts":[["2012",5]]}}}],"schema":"https://github.com/citation-style-language/schema/raw/master/csl-citation.json"}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(Sun, Choo and Ng, 2012)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Patients with high calcium score are particularly at risk of such issues, as demonstrated by clinical trials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{"citationID":"RhlDFFug","properties":{"formattedCitation":"(Budoff et al., 2008)","plainCitation":"(Budoff et al., 2008)","noteIndex":0},"citationItems":[{"id":"Vqvua3Kd/sZHxIqET","uris":["http://zotero.org/users/local/k67tNDdX/items/VSA3A7C6"],"uri":["http://zotero.org/users/local/k67tNDdX/items/VSA3A7C6"],"itemData":{"id":589,"type":"article-journal","abstract":"Objectives\nThe purpose of this study was to evaluate the diagnostic accuracy of electrocardiographically gated 64-multidetector row coronary computed tomographic angiography (CCTA) in individuals without known coronary artery disease (CAD).\nBackground\nCCTA is a promising method for detection and exclusion of obstructive coronary artery stenosis. To date, no prospective multicenter trial has evaluated the diagnostic accuracy of 64-multidetector row CCTA in populations with intermediate prevalence of CAD.\nMethods\nWe prospectively evaluated subjects with chest pain at 16 sites who were clinically referred for invasive coronary angiography (ICA). CCTAs were scored by consensus of 3 independent blinded readers. The ICAs were evaluated for coronary stenosis based on quantitative coronary angiography (QCA). No subjects were excluded for baseline coronary artery calcium score or body mass index.\nResults\nA total of 230 subjects underwent both CCTA and ICA (59.1% male; mean age: 57 ± 10 years). On a patient-based model, the sensitivity, specificity, and positive and negative predictive values to detect ≥50% or ≥70% stenosis were 95%, 83%, 64%, and 99%, respectively, and 94%, 83%, 48%, 99%, respectively. No differences in sensitivity and specificity were noted for nonobese compared with obese subjects or for heart rates ≤65 beats/min compared with &gt;65 beats/min, whereas calcium scores &gt;400 reduced specificity significantly.\nConclusions\nIn this prospective multicenter trial of chest pain patients without known CAD, 64-multidetector row CCTA possesses high diagnostic accuracy for detection of obstructive coronary stenosis at both thresholds of 50% and 70% stenosis. Importantly, the 99% negative predictive value at the patient and vessel level establishes CCTA as an effective noninvasive alternative to ICA to rule out obstructive coronary artery stenosis. (A Study of Computed Tomography [CT] for Evaluation of Coronary Artery Blockages in Typical or Atypical Chest Pain; NCT00348569)","container-title":"Journal of the American College of Cardiology","DOI":"10.1016/j.jacc.2008.07.031","ISSN":"0735-1097","issue":"21","journalAbbreviation":"Journal of the American College of Cardiology","page":"1724-1732","source":"ScienceDirect","title":"Diagnostic Performance of 64-Multidetector Row Coronary Computed Tomographic Angiography for Evaluation of Coronary Artery Stenosis in Individuals Without Known Coronary Artery Disease: Results From the Prospective Multicenter ACCURACY (Assessment by Coronary Computed Tomographic Angiography of Individuals Undergoing Invasive Coronary Angiography) Trial","title-short":"Diagnostic Performance of 64-Multidetector Row Coronary Computed Tomographic Angiography for Evaluation of Coronary Artery Stenosis in Individuals Without Known Coronary Artery Disease","volume":"52","author":[{"family":"Budoff","given":"Matthew J."},{"family":"Dowe","given":"David"},{"family":"Jollis","given":"James G."},{"family":"Gitter","given":"Michael"},{"family":"Sutherland","given":"John"},{"family":"Halamert","given":"Edward"},{"family":"Scherer","given":"Markus"},{"family":"Bellinger","given":"Raye"},{"family":"Martin","given":"Arthur"},{"family":"Benton","given":"Robert"},{"family":"Delago","given":"Augustin"},{"family":"Min","given":"James K."}],"issued":{"date-parts":[["2008",11,18]]}}}],"schema":"https://github.com/citation-style-language/schema/raw/master/csl-citation.json"}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(Budoff et al., 2008)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p>
    <w:p w14:paraId="7FAE2BB3" w14:textId="77777777" w:rsidR="0063565B" w:rsidRPr="00EC6C19" w:rsidRDefault="0063565B" w:rsidP="0063565B">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 xml:space="preserve">CT images need to be acquired in a short time frame with minimal motion artefact, meaning adequate heart rate control (&lt;70bpm) for a satisfactory diastolic period, and adequate breath holding from the patient. Obtaining such conditions is sometimes not possible, and can be further compounded by arrhythmias such as atrial fibrillation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{"citationID":"aWMmbae5","properties":{"formattedCitation":"(Clayton, Roobottom and Morgan-Hughes, 2015)","plainCitation":"(Clayton, Roobottom and Morgan-Hughes, 2015)","noteIndex":0},"citationItems":[{"id":606,"uris":["http://zotero.org/users/local/k67tNDdX/items/TID4N9QS"],"uri":["http://zotero.org/users/local/k67tNDdX/items/TID4N9QS"],"itemData":{"id":606,"type":"article-journal","abstract":"OBJECTIVE: To compare unmodulated, retrospective electrocardiographic (ECG) gating to prospective ECG gating with systolic acquisition for CT coronary angiography (CTCA) in patients with atrial fibrillation (AF), considering the radiation dose and the diagnostic confidence achieved with each technique.\nMETHODS: A retrospective service evaluation was conducted before and after prospective gating with systolic acquisition replaced retrospectively gated imaging for patients with AF undergoing CTCA at our institution. 25 consecutive patients were examined in each group. The scan parameters and radiation dose information had been collected in a prospective fashion. The image sets were read by blinded, expert readers who rated their diagnostic confidence using a 5-point Likert scale.\nRESULTS: The radiation dose received by patients was significantly greater in the retrospectively gated group than those being scanned using prospective gating (21 vs 5.9 mSv, p &lt; 0.01). The prospective gating technique was also associated with greater diagnostic confidence (mean, per-patient score 3.09 vs 3.78, p = 0.02).\nCONCLUSION: Prospective gating with systolic acquisition appears to improve diagnostic confidence at a significantly reduced radiation dose compared with retrospective gating in patients with AF.\nADVANCES IN KNOWLEDGE: The use of prospective gating with systolic triggering significantly reduces the radiation exposure to patients in AF undergoing CTCA. The same protocol also appears to improve diagnostic confidence.","container-title":"The British Journal of Radiology","DOI":"10.1259/bjr.20150533","ISSN":"1748-880X","issue":"1055","journalAbbreviation":"Br J Radiol","language":"eng","note":"PMID: 26337604\nPMCID: PMC4743466","page":"20150533","source":"PubMed","title":"CT coronary angiography in atrial fibrillation: a comparison of radiation dose and diagnostic confidence with retrospective gating vs prospective gating with systolic acquisition","title-short":"CT coronary angiography in atrial fibrillation","volume":"88","author":[{"family":"Clayton","given":"Benjamin"},{"family":"Roobottom","given":"Carl"},{"family":"Morgan-Hughes","given":"Gareth"}],"issued":{"date-parts":[["2015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(Clayton, Roobottom and Morgan-Hughes, 2015)</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57CF621E" w14:textId="77777777" w:rsidR="0063565B" w:rsidRPr="00EC6C19" w:rsidRDefault="0063565B" w:rsidP="0063565B">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 Radiation dose has steadily been falling with advances in technology. It is however still a consideration. The average dose can rage widely but a recent study of 1341 CTCA, found an average dose of 5.9mSv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{"citationID":"3lsT3hLC","properties":{"formattedCitation":"(Castellano et al., 2017)","plainCitation":"(Castellano et al., 2017)","noteIndex":0},"citationItems":[{"id":608,"uris":["http://zotero.org/users/local/k67tNDdX/items/CJYXG2QH"],"uri":["http://zotero.org/users/local/k67tNDdX/items/CJYXG2QH"],"itemData":{"id":608,"type":"article-journal","abstract":"Background\nLittle real-world radiation dose data exist for the majority of cardiovascular CT. Some data have been published for coronary CT angiography (coronary CTA) specifically, but they invariably arise from high-volume centres with access to the most recent technology.\nObjective\nThe aim of this study was to document real-world radiation doses for coronary CTA in the United Kingdom, and to establish their relationship to clinical protocol selection, acquisition heart rate, and scanner technology.\nMethods\nA dose survey questionnaire was distributed to members of the British Society of Cardiovascular Imaging and other UK cardiac CT units. All participating centres collected data for consecutive coronary CTA cases over one month. The survey captured information about the exam conducted, patient demographics, pre-scan details such as beta-blocker administration, acquisition heart rate and scan technique, and post-scan dose indicators – series volumetric CT dose index (CTDIvol), series dose-length product (DLP), and exam DLP.\nResults\nFifty centres provided data on a total of 1341 coronary CTA exams. Twenty-nine centres (58%) performed at least 20 coronary CTA scans in the collection period. The median BMI, acquisition heart rate and exam DLP were 28 kg/m2, 60 bpm and 209 mGycm respectively. The corresponding effective dose was estimated as 5.9 mSv using a conversion factor of 0.028 mSv/mGycm. There was no statistically significant difference in radiation dose between low and high-volume centres. Median exam DLP increased with the acquisition heart rate due to the selection of wider temporal windows. The highest exam DLPs were obtained on the older scanner technology.\nConclusion\nThis study provides baseline data for benchmarking practice, optimizing radiation dose and improving service quality locally.","container-title":"Journal of Cardiovascular Computed Tomography","DOI":"10.1016/j.jcct.2017.05.002","ISSN":"1934-5925","issue":"4","journalAbbreviation":"Journal of Cardiovascular Computed Tomography","page":"268-273","source":"ScienceDirect","title":"A prospective national survey of coronary CT angiography radiation doses in the United Kingdom","volume":"11","author":[{"family":"Castellano","given":"Isabel A."},{"family":"Nicol","given":"Edward D."},{"family":"Bull","given":"Russell K."},{"family":"Roobottom","given":"Carl A."},{"family":"Williams","given":"Michelle C."},{"family":"Harden","given":"Stephen P."}],"issued":{"date-parts":[["2017",7,1]]}}}],"schema":"https://github.com/citation-style-language/schema/raw/master/csl-citation.json"}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(Castellano et al., 2017)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This is higher than the standard coronary angiography, which is thought to be approximately 3mSV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{"citationID":"r05Cz7Gm","properties":{"formattedCitation":"(Einstein et al., 2007)","plainCitation":"(Einstein et al., 2007)","noteIndex":0},"citationItems":[{"id":611,"uris":["http://zotero.org/users/local/k67tNDdX/items/SF24FGS8"],"uri":["http://zotero.org/users/local/k67tNDdX/items/SF24FGS8"],"itemData":{"id":611,"type":"article-journal","abstract":"The volume of cardiac diagnostic procedures involving the use of ionizing radiation has increased rapidly in recent years. Whereas in 1990, fewer than 3 million nuclear cardiology studies were performed in the United States, by 2002 this figure more than tripled to 9.9 million.1 Cardiac computed tomographic (CT) volume doubled between 2002 and 2003, to 485 000 cases,2 and has continued to grow since then. The volume of procedures performed in cardiac catheterization labs increased from 2.45 million in 1993 to 3.85 million in 2002.3\n\nThe powerful diagnostic and risk-stratification data provided by these procedures play a central role in clinical cardiology and have contributed to the decrease in morbidity and mortality from coronary heart disease. Nevertheless, performance of any diagnostic test requires a careful assessment of the risks and benefits of the test and optimization of protocols to minimize risks to patients, staff members, and the public. Procedures that utilize ionizing radiation should be performed in accordance with the As Low As Reasonably Achievable (ALARA) philosophy. Thus, physicians ordering and performing cardiac imaging should be very familiar with the dosage of radiation from cardiac diagnostic tests and ways in which dose can be minimized. In this report we discuss the measurement of radiation and the dosimetry of commonly performed cardiac diagnostic imaging tests, including nuclear scintigraphy, CT for calcium scoring and coronary angiography (CTCA), and conventional coronary angiography (CCA). For each modality, we address the terminology and methodology used to quantify radiation received by patients, doses to patients with typical protocols, and dose-reduction techniques.\n\nBiological effects of ionizing radiation can be classified as deterministic or stochastic. Deterministic effects such as skin injuries and cataract formation occur predictably when dose exceeds a certain threshold, whereas stochastic effects such as cancer incidence and germ cell mutations occur with …","container-title":"Circulation","DOI":"10.1161/CIRCULATIONAHA.107.688101","ISSN":"0009-7322, 1524-4539","issue":"11","language":"en","note":"PMID: 17846343","page":"1290-1305","source":"circ.ahajournals.org","title":"Radiation Dose to Patients From Cardiac Diagnostic Imaging","volume":"116","author":[{"family":"Einstein","given":"Andrew J."},{"family":"Moser","given":"Kevin W."},{"family":"Thompson","given":"Randall C."},{"family":"Cerqueira","given":"Manuel D."},{"family":"Henzlova","given":"Milena J."}],"issued":{"date-parts":[["2007",9,11]]}}}],"schema":"https://github.com/citation-style-language/schema/raw/master/csl-citation.json"}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(Einstein et al., 2007)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49F40EE9" w14:textId="77777777" w:rsidR="0063565B" w:rsidRPr="00EC6C19" w:rsidRDefault="0063565B" w:rsidP="0063565B">
      <w:pPr>
        <w:spacing w:line="360" w:lineRule="auto"/>
        <w:rPr>
          <w:rFonts w:ascii="Times New Roman" w:hAnsi="Times New Roman" w:cs="Times New Roman"/>
          <w:sz w:val="24"/>
          <w:szCs w:val="24"/>
        </w:rPr>
      </w:pPr>
      <w:r w:rsidRPr="00EC6C19">
        <w:rPr>
          <w:rFonts w:ascii="Times New Roman" w:hAnsi="Times New Roman" w:cs="Times New Roman"/>
          <w:sz w:val="24"/>
          <w:szCs w:val="24"/>
        </w:rPr>
        <w:t>Intravenous contrast medium is injected during CTCA and there are associated risks with introduction of these agents. The volume of contrast used is</w:t>
      </w:r>
      <w:r w:rsidR="006838B0" w:rsidRPr="00EC6C19">
        <w:rPr>
          <w:rFonts w:ascii="Times New Roman" w:hAnsi="Times New Roman" w:cs="Times New Roman"/>
          <w:sz w:val="24"/>
          <w:szCs w:val="24"/>
        </w:rPr>
        <w:t xml:space="preserve"> less than coronary angiography</w:t>
      </w:r>
      <w:r w:rsidRPr="00EC6C19">
        <w:rPr>
          <w:rFonts w:ascii="Times New Roman" w:hAnsi="Times New Roman" w:cs="Times New Roman"/>
          <w:sz w:val="24"/>
          <w:szCs w:val="24"/>
        </w:rPr>
        <w:t>, but may pose a problem in patients with significant renal impairment.</w:t>
      </w:r>
    </w:p>
    <w:p w14:paraId="32ECDDB5" w14:textId="77777777" w:rsidR="00EA7887" w:rsidRPr="00EC6C19" w:rsidRDefault="00EA7887" w:rsidP="0063565B">
      <w:pPr>
        <w:spacing w:line="360" w:lineRule="auto"/>
        <w:rPr>
          <w:rFonts w:ascii="Times New Roman" w:hAnsi="Times New Roman" w:cs="Times New Roman"/>
          <w:sz w:val="24"/>
          <w:szCs w:val="24"/>
        </w:rPr>
      </w:pPr>
    </w:p>
    <w:p w14:paraId="44023328" w14:textId="77777777" w:rsidR="00EA7887" w:rsidRPr="00A542B2" w:rsidRDefault="00A542B2" w:rsidP="00A542B2">
      <w:pPr>
        <w:pStyle w:val="Heading2"/>
        <w:rPr>
          <w:rFonts w:ascii="Times New Roman" w:hAnsi="Times New Roman" w:cs="Times New Roman"/>
          <w:color w:val="auto"/>
          <w:sz w:val="24"/>
          <w:szCs w:val="24"/>
        </w:rPr>
      </w:pPr>
      <w:bookmarkStart w:id="62" w:name="_Toc80302192"/>
      <w:r w:rsidRPr="00A542B2">
        <w:rPr>
          <w:rFonts w:ascii="Times New Roman" w:hAnsi="Times New Roman" w:cs="Times New Roman"/>
          <w:color w:val="auto"/>
          <w:sz w:val="24"/>
          <w:szCs w:val="24"/>
        </w:rPr>
        <w:t>1.15</w:t>
      </w:r>
      <w:r>
        <w:rPr>
          <w:rFonts w:ascii="Times New Roman" w:hAnsi="Times New Roman" w:cs="Times New Roman"/>
          <w:color w:val="auto"/>
          <w:sz w:val="24"/>
          <w:szCs w:val="24"/>
        </w:rPr>
        <w:t xml:space="preserve"> </w:t>
      </w:r>
      <w:r w:rsidRPr="00A542B2">
        <w:rPr>
          <w:rFonts w:ascii="Times New Roman" w:hAnsi="Times New Roman" w:cs="Times New Roman"/>
          <w:color w:val="auto"/>
          <w:sz w:val="24"/>
          <w:szCs w:val="24"/>
        </w:rPr>
        <w:t xml:space="preserve">- </w:t>
      </w:r>
      <w:r w:rsidR="00EA7887" w:rsidRPr="00A542B2">
        <w:rPr>
          <w:rFonts w:ascii="Times New Roman" w:hAnsi="Times New Roman" w:cs="Times New Roman"/>
          <w:color w:val="auto"/>
          <w:sz w:val="24"/>
          <w:szCs w:val="24"/>
        </w:rPr>
        <w:t>Feasibility of in Vivo Research</w:t>
      </w:r>
      <w:bookmarkEnd w:id="62"/>
      <w:r w:rsidR="00A00967" w:rsidRPr="00A542B2">
        <w:rPr>
          <w:rFonts w:ascii="Times New Roman" w:hAnsi="Times New Roman" w:cs="Times New Roman"/>
          <w:color w:val="auto"/>
          <w:sz w:val="24"/>
          <w:szCs w:val="24"/>
        </w:rPr>
        <w:br/>
      </w:r>
    </w:p>
    <w:p w14:paraId="23716D89" w14:textId="77777777" w:rsidR="00EA7887" w:rsidRPr="00EC6C19" w:rsidRDefault="00EA7887" w:rsidP="00EA7887">
      <w:pPr>
        <w:spacing w:line="360" w:lineRule="auto"/>
        <w:rPr>
          <w:rFonts w:ascii="Times New Roman" w:hAnsi="Times New Roman" w:cs="Times New Roman"/>
          <w:sz w:val="24"/>
          <w:szCs w:val="24"/>
        </w:rPr>
      </w:pPr>
    </w:p>
    <w:p w14:paraId="5183D8BD" w14:textId="66BD077E" w:rsidR="00EA7887" w:rsidRPr="00EC6C19" w:rsidRDefault="00EA7887" w:rsidP="00EA788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function of cardiac CT imaging with relation to this research, was to understand the height differences between certain points within the coronary vasculature and the aorta or ostial vessel. This provides information on the magnitude of hydrostatic pressure, whether an </w:t>
      </w:r>
      <w:r w:rsidRPr="009C2BD2">
        <w:rPr>
          <w:rFonts w:ascii="Times New Roman" w:hAnsi="Times New Roman" w:cs="Times New Roman"/>
          <w:i/>
          <w:iCs/>
          <w:sz w:val="24"/>
          <w:szCs w:val="24"/>
        </w:rPr>
        <w:t>in vivo</w:t>
      </w:r>
      <w:r w:rsidRPr="00EC6C19">
        <w:rPr>
          <w:rFonts w:ascii="Times New Roman" w:hAnsi="Times New Roman" w:cs="Times New Roman"/>
          <w:sz w:val="24"/>
          <w:szCs w:val="24"/>
        </w:rPr>
        <w:t xml:space="preserve"> study is </w:t>
      </w:r>
      <w:r w:rsidR="00860681" w:rsidRPr="00EC6C19">
        <w:rPr>
          <w:rFonts w:ascii="Times New Roman" w:hAnsi="Times New Roman" w:cs="Times New Roman"/>
          <w:sz w:val="24"/>
          <w:szCs w:val="24"/>
        </w:rPr>
        <w:t>feasible,</w:t>
      </w:r>
      <w:r w:rsidRPr="00EC6C19">
        <w:rPr>
          <w:rFonts w:ascii="Times New Roman" w:hAnsi="Times New Roman" w:cs="Times New Roman"/>
          <w:sz w:val="24"/>
          <w:szCs w:val="24"/>
        </w:rPr>
        <w:t xml:space="preserve"> and the sample size needed to support it. </w:t>
      </w:r>
    </w:p>
    <w:p w14:paraId="4A1EBECC" w14:textId="77777777" w:rsidR="00EA7887" w:rsidRPr="00EC6C19" w:rsidRDefault="00EA7887" w:rsidP="00EA7887">
      <w:pPr>
        <w:spacing w:line="360" w:lineRule="auto"/>
        <w:rPr>
          <w:rFonts w:ascii="Times New Roman" w:hAnsi="Times New Roman" w:cs="Times New Roman"/>
          <w:sz w:val="24"/>
          <w:szCs w:val="24"/>
        </w:rPr>
      </w:pPr>
    </w:p>
    <w:p w14:paraId="188A86C8" w14:textId="77777777" w:rsidR="00EA7887" w:rsidRPr="00A00967" w:rsidRDefault="00A542B2" w:rsidP="00A00967">
      <w:pPr>
        <w:pStyle w:val="Heading3"/>
        <w:rPr>
          <w:rFonts w:ascii="Times New Roman" w:hAnsi="Times New Roman" w:cs="Times New Roman"/>
          <w:b w:val="0"/>
          <w:i/>
          <w:color w:val="auto"/>
          <w:sz w:val="24"/>
          <w:szCs w:val="24"/>
        </w:rPr>
      </w:pPr>
      <w:bookmarkStart w:id="63" w:name="_Toc80302193"/>
      <w:r>
        <w:rPr>
          <w:rFonts w:ascii="Times New Roman" w:hAnsi="Times New Roman" w:cs="Times New Roman"/>
          <w:b w:val="0"/>
          <w:i/>
          <w:color w:val="auto"/>
          <w:sz w:val="24"/>
          <w:szCs w:val="24"/>
        </w:rPr>
        <w:t xml:space="preserve">1.15.1 - </w:t>
      </w:r>
      <w:r w:rsidR="00EA7887" w:rsidRPr="00A00967">
        <w:rPr>
          <w:rFonts w:ascii="Times New Roman" w:hAnsi="Times New Roman" w:cs="Times New Roman"/>
          <w:b w:val="0"/>
          <w:i/>
          <w:color w:val="auto"/>
          <w:sz w:val="24"/>
          <w:szCs w:val="24"/>
        </w:rPr>
        <w:t>Current Relevant Literature</w:t>
      </w:r>
      <w:bookmarkEnd w:id="63"/>
      <w:r w:rsidR="00A00967" w:rsidRPr="00A00967">
        <w:rPr>
          <w:rFonts w:ascii="Times New Roman" w:hAnsi="Times New Roman" w:cs="Times New Roman"/>
          <w:b w:val="0"/>
          <w:i/>
          <w:color w:val="auto"/>
          <w:sz w:val="24"/>
          <w:szCs w:val="24"/>
        </w:rPr>
        <w:br/>
      </w:r>
    </w:p>
    <w:p w14:paraId="15616500" w14:textId="77777777" w:rsidR="00EA7887" w:rsidRPr="00EC6C19" w:rsidRDefault="00EA7887" w:rsidP="00EA7887">
      <w:pPr>
        <w:spacing w:line="360" w:lineRule="auto"/>
        <w:rPr>
          <w:rFonts w:ascii="Times New Roman" w:hAnsi="Times New Roman" w:cs="Times New Roman"/>
          <w:i/>
          <w:sz w:val="24"/>
          <w:szCs w:val="24"/>
          <w:u w:val="single"/>
        </w:rPr>
      </w:pPr>
    </w:p>
    <w:p w14:paraId="546C6945" w14:textId="7CD565DB" w:rsidR="00EA7887" w:rsidRPr="00EC6C19" w:rsidRDefault="00EA7887" w:rsidP="00EA788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During the data collection period, a paper by Härle et al was published focusing on the same subject matter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{"citationID":"5WVDxbhp","properties":{"formattedCitation":"(H\\uc0\\u228{}rle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(Härle et al., 2017a)</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This elegant paper used CT coronary angiography to map coronary anatomy, in a group of patients predominantly suffering from severe aortic stenosis, and awaiting TAVI (transcatheter aortic valve implantation). The vertical height variations </w:t>
      </w:r>
      <w:r w:rsidRPr="00EC6C19">
        <w:rPr>
          <w:rFonts w:ascii="Times New Roman" w:hAnsi="Times New Roman" w:cs="Times New Roman"/>
          <w:sz w:val="24"/>
          <w:szCs w:val="24"/>
        </w:rPr>
        <w:lastRenderedPageBreak/>
        <w:t>between various points in the coronary tree were calculated</w:t>
      </w:r>
      <w:r w:rsidR="006838B0" w:rsidRPr="00EC6C19">
        <w:rPr>
          <w:rFonts w:ascii="Times New Roman" w:hAnsi="Times New Roman" w:cs="Times New Roman"/>
          <w:sz w:val="24"/>
          <w:szCs w:val="24"/>
        </w:rPr>
        <w:t>.</w:t>
      </w:r>
      <w:r w:rsidRPr="00EC6C19">
        <w:rPr>
          <w:rFonts w:ascii="Times New Roman" w:hAnsi="Times New Roman" w:cs="Times New Roman"/>
          <w:sz w:val="24"/>
          <w:szCs w:val="24"/>
        </w:rPr>
        <w:t xml:space="preserve"> A dynamic pressure simulator was also used separately, to demonstrate how height variations could alter FFR using 0.9 % saline as the fluid in the circuit.</w:t>
      </w:r>
    </w:p>
    <w:p w14:paraId="0FBDFBAB" w14:textId="489CBEA1" w:rsidR="00EA7887" w:rsidRDefault="00EA7887" w:rsidP="002B1641">
      <w:pPr>
        <w:spacing w:line="360" w:lineRule="auto"/>
        <w:rPr>
          <w:rFonts w:ascii="Times New Roman" w:hAnsi="Times New Roman" w:cs="Times New Roman"/>
          <w:sz w:val="24"/>
          <w:szCs w:val="24"/>
        </w:rPr>
      </w:pPr>
      <w:r w:rsidRPr="00EC6C19">
        <w:rPr>
          <w:rFonts w:ascii="Times New Roman" w:hAnsi="Times New Roman" w:cs="Times New Roman"/>
          <w:sz w:val="24"/>
          <w:szCs w:val="24"/>
        </w:rPr>
        <w:t>Data from Här</w:t>
      </w:r>
      <w:r w:rsidR="006838B0" w:rsidRPr="00EC6C19">
        <w:rPr>
          <w:rFonts w:ascii="Times New Roman" w:hAnsi="Times New Roman" w:cs="Times New Roman"/>
          <w:sz w:val="24"/>
          <w:szCs w:val="24"/>
        </w:rPr>
        <w:t>le is compared with my own</w:t>
      </w:r>
      <w:r w:rsidRPr="00EC6C19">
        <w:rPr>
          <w:rFonts w:ascii="Times New Roman" w:hAnsi="Times New Roman" w:cs="Times New Roman"/>
          <w:sz w:val="24"/>
          <w:szCs w:val="24"/>
        </w:rPr>
        <w:t xml:space="preserve"> in chapter II.</w:t>
      </w:r>
    </w:p>
    <w:p w14:paraId="066C8EF7" w14:textId="77777777" w:rsidR="00A00967" w:rsidRPr="00A00967" w:rsidRDefault="00A00967" w:rsidP="00A00967"/>
    <w:p w14:paraId="0DB543EB" w14:textId="77777777" w:rsidR="00EA7887" w:rsidRPr="00A00967" w:rsidRDefault="00A542B2" w:rsidP="00A00967">
      <w:pPr>
        <w:pStyle w:val="Heading3"/>
        <w:rPr>
          <w:rFonts w:ascii="Times New Roman" w:hAnsi="Times New Roman" w:cs="Times New Roman"/>
          <w:b w:val="0"/>
          <w:i/>
          <w:color w:val="auto"/>
          <w:sz w:val="24"/>
          <w:szCs w:val="24"/>
        </w:rPr>
      </w:pPr>
      <w:bookmarkStart w:id="64" w:name="_Toc80302194"/>
      <w:r>
        <w:rPr>
          <w:rFonts w:ascii="Times New Roman" w:hAnsi="Times New Roman" w:cs="Times New Roman"/>
          <w:b w:val="0"/>
          <w:i/>
          <w:color w:val="auto"/>
          <w:sz w:val="24"/>
          <w:szCs w:val="24"/>
        </w:rPr>
        <w:t xml:space="preserve">1.15.2 - </w:t>
      </w:r>
      <w:r w:rsidR="006838B0" w:rsidRPr="00A00967">
        <w:rPr>
          <w:rFonts w:ascii="Times New Roman" w:hAnsi="Times New Roman" w:cs="Times New Roman"/>
          <w:b w:val="0"/>
          <w:i/>
          <w:color w:val="auto"/>
          <w:sz w:val="24"/>
          <w:szCs w:val="24"/>
        </w:rPr>
        <w:t>Calculating Hydrostatic Effect from Vertical Measurements</w:t>
      </w:r>
      <w:bookmarkEnd w:id="64"/>
      <w:r w:rsidR="00A00967" w:rsidRPr="00A00967">
        <w:rPr>
          <w:rFonts w:ascii="Times New Roman" w:hAnsi="Times New Roman" w:cs="Times New Roman"/>
          <w:b w:val="0"/>
          <w:i/>
          <w:color w:val="auto"/>
          <w:sz w:val="24"/>
          <w:szCs w:val="24"/>
        </w:rPr>
        <w:br/>
      </w:r>
    </w:p>
    <w:p w14:paraId="7DFB4BF5" w14:textId="77777777" w:rsidR="00EA7887" w:rsidRPr="00EC6C19" w:rsidRDefault="00EA7887" w:rsidP="00EA7887">
      <w:pPr>
        <w:spacing w:line="360" w:lineRule="auto"/>
        <w:rPr>
          <w:rFonts w:ascii="Times New Roman" w:hAnsi="Times New Roman" w:cs="Times New Roman"/>
          <w:i/>
          <w:sz w:val="24"/>
          <w:szCs w:val="24"/>
          <w:u w:val="single"/>
        </w:rPr>
      </w:pPr>
    </w:p>
    <w:p w14:paraId="2C9E020C" w14:textId="21B170C8" w:rsidR="00EA7887" w:rsidRPr="00EC6C19" w:rsidRDefault="00EA7887" w:rsidP="00EA7887">
      <w:pPr>
        <w:spacing w:line="360" w:lineRule="auto"/>
        <w:rPr>
          <w:rFonts w:ascii="Times New Roman" w:hAnsi="Times New Roman" w:cs="Times New Roman"/>
          <w:sz w:val="24"/>
          <w:szCs w:val="24"/>
        </w:rPr>
      </w:pPr>
      <w:r w:rsidRPr="00EC6C19">
        <w:rPr>
          <w:rFonts w:ascii="Times New Roman" w:hAnsi="Times New Roman" w:cs="Times New Roman"/>
          <w:sz w:val="24"/>
          <w:szCs w:val="24"/>
        </w:rPr>
        <w:t>The hydrostatic effect has been demonstrated by Härle to be 0.77</w:t>
      </w:r>
      <w:r w:rsidR="00860681">
        <w:rPr>
          <w:rFonts w:ascii="Times New Roman" w:hAnsi="Times New Roman" w:cs="Times New Roman"/>
          <w:sz w:val="24"/>
          <w:szCs w:val="24"/>
        </w:rPr>
        <w:t xml:space="preserve"> </w:t>
      </w:r>
      <w:r w:rsidRPr="00EC6C19">
        <w:rPr>
          <w:rFonts w:ascii="Times New Roman" w:hAnsi="Times New Roman" w:cs="Times New Roman"/>
          <w:sz w:val="24"/>
          <w:szCs w:val="24"/>
        </w:rPr>
        <w:t>mmHg/cm. This was using 0.9% saline solution in a hydrostatic simulator. 0.9% saline is less dense that blood, and the effect is thought to be closer to 0.8</w:t>
      </w:r>
      <w:r w:rsidR="00860681">
        <w:rPr>
          <w:rFonts w:ascii="Times New Roman" w:hAnsi="Times New Roman" w:cs="Times New Roman"/>
          <w:sz w:val="24"/>
          <w:szCs w:val="24"/>
        </w:rPr>
        <w:t xml:space="preserve"> </w:t>
      </w:r>
      <w:r w:rsidR="00860681" w:rsidRPr="00EC6C19">
        <w:rPr>
          <w:rFonts w:ascii="Times New Roman" w:hAnsi="Times New Roman" w:cs="Times New Roman"/>
          <w:sz w:val="24"/>
          <w:szCs w:val="24"/>
        </w:rPr>
        <w:t>mm</w:t>
      </w:r>
      <w:r w:rsidR="00860681">
        <w:rPr>
          <w:rFonts w:ascii="Times New Roman" w:hAnsi="Times New Roman" w:cs="Times New Roman"/>
          <w:sz w:val="24"/>
          <w:szCs w:val="24"/>
        </w:rPr>
        <w:t>H</w:t>
      </w:r>
      <w:r w:rsidR="00860681" w:rsidRPr="00EC6C19">
        <w:rPr>
          <w:rFonts w:ascii="Times New Roman" w:hAnsi="Times New Roman" w:cs="Times New Roman"/>
          <w:sz w:val="24"/>
          <w:szCs w:val="24"/>
        </w:rPr>
        <w:t>g</w:t>
      </w:r>
      <w:r w:rsidRPr="00EC6C19">
        <w:rPr>
          <w:rFonts w:ascii="Times New Roman" w:hAnsi="Times New Roman" w:cs="Times New Roman"/>
          <w:sz w:val="24"/>
          <w:szCs w:val="24"/>
        </w:rPr>
        <w:t>/cm. This will be the conversion rate used herein.</w:t>
      </w:r>
    </w:p>
    <w:p w14:paraId="44C14C91" w14:textId="77777777" w:rsidR="00EA7887" w:rsidRPr="00EC6C19" w:rsidRDefault="00EA7887" w:rsidP="00EA7887">
      <w:pPr>
        <w:spacing w:line="360" w:lineRule="auto"/>
        <w:rPr>
          <w:rFonts w:ascii="Times New Roman" w:hAnsi="Times New Roman" w:cs="Times New Roman"/>
          <w:sz w:val="24"/>
          <w:szCs w:val="24"/>
        </w:rPr>
      </w:pPr>
      <w:r w:rsidRPr="000E7233">
        <w:rPr>
          <w:rFonts w:ascii="Times New Roman" w:hAnsi="Times New Roman" w:cs="Times New Roman"/>
          <w:sz w:val="24"/>
          <w:szCs w:val="24"/>
        </w:rPr>
        <w:t xml:space="preserve">Figure </w:t>
      </w:r>
      <w:r w:rsidR="000E7233" w:rsidRPr="000E7233">
        <w:rPr>
          <w:rFonts w:ascii="Times New Roman" w:hAnsi="Times New Roman" w:cs="Times New Roman"/>
          <w:sz w:val="24"/>
          <w:szCs w:val="24"/>
        </w:rPr>
        <w:t>16</w:t>
      </w:r>
      <w:r w:rsidRPr="000E7233">
        <w:rPr>
          <w:rFonts w:ascii="Times New Roman" w:hAnsi="Times New Roman" w:cs="Times New Roman"/>
          <w:sz w:val="24"/>
          <w:szCs w:val="24"/>
        </w:rPr>
        <w:t xml:space="preserve"> demonstrates</w:t>
      </w:r>
      <w:r w:rsidRPr="00EC6C19">
        <w:rPr>
          <w:rFonts w:ascii="Times New Roman" w:hAnsi="Times New Roman" w:cs="Times New Roman"/>
          <w:sz w:val="24"/>
          <w:szCs w:val="24"/>
        </w:rPr>
        <w:t xml:space="preserve"> how a calculation for hydrostatic pressure effect on a single point in an artery will take place.</w:t>
      </w:r>
    </w:p>
    <w:p w14:paraId="46A33815" w14:textId="77777777" w:rsidR="00EA7887" w:rsidRPr="00EC6C19" w:rsidRDefault="00EA7887" w:rsidP="00EA7887">
      <w:pPr>
        <w:spacing w:line="360" w:lineRule="auto"/>
        <w:rPr>
          <w:rFonts w:ascii="Times New Roman" w:hAnsi="Times New Roman" w:cs="Times New Roman"/>
          <w:i/>
          <w:sz w:val="24"/>
          <w:szCs w:val="24"/>
        </w:rPr>
      </w:pPr>
      <w:r w:rsidRPr="00EC6C19">
        <w:rPr>
          <w:rFonts w:ascii="Times New Roman" w:hAnsi="Times New Roman" w:cs="Times New Roman"/>
          <w:i/>
          <w:noProof/>
          <w:sz w:val="24"/>
          <w:szCs w:val="24"/>
          <w:lang w:eastAsia="en-GB"/>
        </w:rPr>
        <w:drawing>
          <wp:inline distT="0" distB="0" distL="0" distR="0" wp14:anchorId="3FE7D09A" wp14:editId="3B3A6D87">
            <wp:extent cx="5943600" cy="2657475"/>
            <wp:effectExtent l="1905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srcRect/>
                    <a:stretch>
                      <a:fillRect/>
                    </a:stretch>
                  </pic:blipFill>
                  <pic:spPr bwMode="auto">
                    <a:xfrm>
                      <a:off x="0" y="0"/>
                      <a:ext cx="5943600" cy="2657475"/>
                    </a:xfrm>
                    <a:prstGeom prst="rect">
                      <a:avLst/>
                    </a:prstGeom>
                    <a:noFill/>
                    <a:ln w="9525">
                      <a:noFill/>
                      <a:miter lim="800000"/>
                      <a:headEnd/>
                      <a:tailEnd/>
                    </a:ln>
                  </pic:spPr>
                </pic:pic>
              </a:graphicData>
            </a:graphic>
          </wp:inline>
        </w:drawing>
      </w:r>
    </w:p>
    <w:p w14:paraId="7EAB5C8F" w14:textId="77777777" w:rsidR="00EA7887" w:rsidRPr="000E7233" w:rsidRDefault="000E7233" w:rsidP="000E7233">
      <w:pPr>
        <w:pStyle w:val="Caption"/>
        <w:spacing w:line="360" w:lineRule="auto"/>
        <w:rPr>
          <w:rFonts w:ascii="Times New Roman" w:hAnsi="Times New Roman" w:cs="Times New Roman"/>
          <w:b w:val="0"/>
          <w:i/>
          <w:color w:val="auto"/>
          <w:sz w:val="24"/>
          <w:szCs w:val="24"/>
        </w:rPr>
      </w:pPr>
      <w:bookmarkStart w:id="65" w:name="_Toc44684905"/>
      <w:r w:rsidRPr="000E7233">
        <w:rPr>
          <w:rFonts w:ascii="Times New Roman" w:hAnsi="Times New Roman" w:cs="Times New Roman"/>
          <w:b w:val="0"/>
          <w:i/>
          <w:color w:val="auto"/>
          <w:sz w:val="24"/>
          <w:szCs w:val="24"/>
        </w:rPr>
        <w:t xml:space="preserve">Figure </w:t>
      </w:r>
      <w:r w:rsidR="00106A32" w:rsidRPr="000E7233">
        <w:rPr>
          <w:rFonts w:ascii="Times New Roman" w:hAnsi="Times New Roman" w:cs="Times New Roman"/>
          <w:b w:val="0"/>
          <w:i/>
          <w:color w:val="auto"/>
          <w:sz w:val="24"/>
          <w:szCs w:val="24"/>
        </w:rPr>
        <w:fldChar w:fldCharType="begin"/>
      </w:r>
      <w:r w:rsidRPr="000E7233">
        <w:rPr>
          <w:rFonts w:ascii="Times New Roman" w:hAnsi="Times New Roman" w:cs="Times New Roman"/>
          <w:b w:val="0"/>
          <w:i/>
          <w:color w:val="auto"/>
          <w:sz w:val="24"/>
          <w:szCs w:val="24"/>
        </w:rPr>
        <w:instrText xml:space="preserve"> SEQ Figure \* ARABIC </w:instrText>
      </w:r>
      <w:r w:rsidR="00106A32" w:rsidRPr="000E7233">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16</w:t>
      </w:r>
      <w:r w:rsidR="00106A32" w:rsidRPr="000E7233">
        <w:rPr>
          <w:rFonts w:ascii="Times New Roman" w:hAnsi="Times New Roman" w:cs="Times New Roman"/>
          <w:b w:val="0"/>
          <w:i/>
          <w:color w:val="auto"/>
          <w:sz w:val="24"/>
          <w:szCs w:val="24"/>
        </w:rPr>
        <w:fldChar w:fldCharType="end"/>
      </w:r>
      <w:r w:rsidRPr="000E7233">
        <w:rPr>
          <w:rFonts w:ascii="Times New Roman" w:hAnsi="Times New Roman" w:cs="Times New Roman"/>
          <w:b w:val="0"/>
          <w:i/>
          <w:color w:val="auto"/>
          <w:sz w:val="24"/>
          <w:szCs w:val="24"/>
        </w:rPr>
        <w:t xml:space="preserve"> - Estimated Hydrostatic Effect</w:t>
      </w:r>
      <w:r>
        <w:rPr>
          <w:rFonts w:ascii="Times New Roman" w:hAnsi="Times New Roman" w:cs="Times New Roman"/>
          <w:b w:val="0"/>
          <w:i/>
          <w:color w:val="auto"/>
          <w:sz w:val="24"/>
          <w:szCs w:val="24"/>
        </w:rPr>
        <w:t xml:space="preserve"> </w:t>
      </w:r>
      <w:r w:rsidR="00EA7887" w:rsidRPr="000E7233">
        <w:rPr>
          <w:rFonts w:ascii="Times New Roman" w:hAnsi="Times New Roman" w:cs="Times New Roman"/>
          <w:b w:val="0"/>
          <w:i/>
          <w:color w:val="auto"/>
          <w:sz w:val="24"/>
          <w:szCs w:val="24"/>
        </w:rPr>
        <w:t>- example of a superiorly positioned artery and the calculated effect on hydrostatic pressure. Distal red dot shows where the pressure wire will be placed, and the proximal red dot demonstrates the position of proximal pressure measurement.</w:t>
      </w:r>
      <w:bookmarkEnd w:id="65"/>
    </w:p>
    <w:p w14:paraId="0F0ADF7A" w14:textId="77777777" w:rsidR="00EA7887" w:rsidRPr="00EC6C19" w:rsidRDefault="00EA7887" w:rsidP="00EA7887">
      <w:pPr>
        <w:spacing w:line="360" w:lineRule="auto"/>
        <w:rPr>
          <w:rFonts w:ascii="Times New Roman" w:hAnsi="Times New Roman" w:cs="Times New Roman"/>
          <w:sz w:val="24"/>
          <w:szCs w:val="24"/>
        </w:rPr>
      </w:pPr>
    </w:p>
    <w:p w14:paraId="2F2BF2CF" w14:textId="7BABEA0E" w:rsidR="00EA7887" w:rsidRPr="00EC6C19" w:rsidRDefault="000E7233" w:rsidP="00EA7887">
      <w:pPr>
        <w:spacing w:line="360" w:lineRule="auto"/>
        <w:rPr>
          <w:rFonts w:ascii="Times New Roman" w:hAnsi="Times New Roman" w:cs="Times New Roman"/>
          <w:sz w:val="24"/>
          <w:szCs w:val="24"/>
        </w:rPr>
      </w:pPr>
      <w:r w:rsidRPr="000E7233">
        <w:rPr>
          <w:rFonts w:ascii="Times New Roman" w:hAnsi="Times New Roman" w:cs="Times New Roman"/>
          <w:sz w:val="24"/>
          <w:szCs w:val="24"/>
        </w:rPr>
        <w:lastRenderedPageBreak/>
        <w:t>Figure 16</w:t>
      </w:r>
      <w:r w:rsidR="00EA7887" w:rsidRPr="000E7233">
        <w:rPr>
          <w:rFonts w:ascii="Times New Roman" w:hAnsi="Times New Roman" w:cs="Times New Roman"/>
          <w:sz w:val="24"/>
          <w:szCs w:val="24"/>
        </w:rPr>
        <w:t xml:space="preserve"> demonstrates</w:t>
      </w:r>
      <w:r w:rsidR="00EA7887" w:rsidRPr="00EC6C19">
        <w:rPr>
          <w:rFonts w:ascii="Times New Roman" w:hAnsi="Times New Roman" w:cs="Times New Roman"/>
          <w:sz w:val="24"/>
          <w:szCs w:val="24"/>
        </w:rPr>
        <w:t xml:space="preserve"> a scenario where a superiorly positioned artery has a distal point of measurement 4</w:t>
      </w:r>
      <w:r w:rsidR="008F197C">
        <w:rPr>
          <w:rFonts w:ascii="Times New Roman" w:hAnsi="Times New Roman" w:cs="Times New Roman"/>
          <w:sz w:val="24"/>
          <w:szCs w:val="24"/>
        </w:rPr>
        <w:t xml:space="preserve"> </w:t>
      </w:r>
      <w:r w:rsidR="00EA7887" w:rsidRPr="00EC6C19">
        <w:rPr>
          <w:rFonts w:ascii="Times New Roman" w:hAnsi="Times New Roman" w:cs="Times New Roman"/>
          <w:sz w:val="24"/>
          <w:szCs w:val="24"/>
        </w:rPr>
        <w:t>cm higher than the proximal point (in a supine patient). One can assume this is the LAD. The pressure difference due to height alone between the ostium of the artery, and the distal portion of the artery is 3.2</w:t>
      </w:r>
      <w:r w:rsidR="008F197C">
        <w:rPr>
          <w:rFonts w:ascii="Times New Roman" w:hAnsi="Times New Roman" w:cs="Times New Roman"/>
          <w:sz w:val="24"/>
          <w:szCs w:val="24"/>
        </w:rPr>
        <w:t xml:space="preserve"> </w:t>
      </w:r>
      <w:r w:rsidR="00EA7887" w:rsidRPr="00EC6C19">
        <w:rPr>
          <w:rFonts w:ascii="Times New Roman" w:hAnsi="Times New Roman" w:cs="Times New Roman"/>
          <w:sz w:val="24"/>
          <w:szCs w:val="24"/>
        </w:rPr>
        <w:t>mmHg. As the artery is superior, the effect is a reduction in pressure at the distal point in the artery.</w:t>
      </w:r>
    </w:p>
    <w:p w14:paraId="440EBE79" w14:textId="0D3F0F9A" w:rsidR="00EA7887" w:rsidRDefault="00EA7887" w:rsidP="00EA7887">
      <w:pPr>
        <w:spacing w:line="360" w:lineRule="auto"/>
        <w:rPr>
          <w:rFonts w:ascii="Times New Roman" w:hAnsi="Times New Roman" w:cs="Times New Roman"/>
          <w:sz w:val="24"/>
          <w:szCs w:val="24"/>
        </w:rPr>
      </w:pPr>
      <w:r w:rsidRPr="00EC6C19">
        <w:rPr>
          <w:rFonts w:ascii="Times New Roman" w:hAnsi="Times New Roman" w:cs="Times New Roman"/>
          <w:sz w:val="24"/>
          <w:szCs w:val="24"/>
        </w:rPr>
        <w:t>Therefore, if the proximal pressure is 100</w:t>
      </w:r>
      <w:r w:rsidR="008F197C">
        <w:rPr>
          <w:rFonts w:ascii="Times New Roman" w:hAnsi="Times New Roman" w:cs="Times New Roman"/>
          <w:sz w:val="24"/>
          <w:szCs w:val="24"/>
        </w:rPr>
        <w:t xml:space="preserve"> </w:t>
      </w:r>
      <w:r w:rsidRPr="00EC6C19">
        <w:rPr>
          <w:rFonts w:ascii="Times New Roman" w:hAnsi="Times New Roman" w:cs="Times New Roman"/>
          <w:sz w:val="24"/>
          <w:szCs w:val="24"/>
        </w:rPr>
        <w:t>mmHg, the distal artery will have a pressure of 96.8</w:t>
      </w:r>
      <w:r w:rsidR="008F197C">
        <w:rPr>
          <w:rFonts w:ascii="Times New Roman" w:hAnsi="Times New Roman" w:cs="Times New Roman"/>
          <w:sz w:val="24"/>
          <w:szCs w:val="24"/>
        </w:rPr>
        <w:t xml:space="preserve"> </w:t>
      </w:r>
      <w:r w:rsidRPr="00EC6C19">
        <w:rPr>
          <w:rFonts w:ascii="Times New Roman" w:hAnsi="Times New Roman" w:cs="Times New Roman"/>
          <w:sz w:val="24"/>
          <w:szCs w:val="24"/>
        </w:rPr>
        <w:t>mmHg. If this was under hyperaemic conditions, the FFR would be 96.8 / 100, or 0.97 to two decimal places. If this whole scenario is reversed in the case of an inferiorly positioned artery, the resulting FFR would be 1.03.</w:t>
      </w:r>
    </w:p>
    <w:p w14:paraId="04AE088B" w14:textId="77777777" w:rsidR="00A00967" w:rsidRDefault="00A00967" w:rsidP="00EA7887">
      <w:pPr>
        <w:spacing w:line="360" w:lineRule="auto"/>
        <w:rPr>
          <w:rFonts w:ascii="Times New Roman" w:hAnsi="Times New Roman" w:cs="Times New Roman"/>
          <w:sz w:val="24"/>
          <w:szCs w:val="24"/>
        </w:rPr>
      </w:pPr>
    </w:p>
    <w:p w14:paraId="238A7525" w14:textId="77777777" w:rsidR="00786FE5" w:rsidRPr="00A00967" w:rsidRDefault="00A542B2" w:rsidP="00A00967">
      <w:pPr>
        <w:pStyle w:val="Heading3"/>
        <w:rPr>
          <w:rFonts w:ascii="Times New Roman" w:hAnsi="Times New Roman" w:cs="Times New Roman"/>
          <w:b w:val="0"/>
          <w:i/>
          <w:color w:val="auto"/>
          <w:sz w:val="24"/>
          <w:szCs w:val="24"/>
        </w:rPr>
      </w:pPr>
      <w:bookmarkStart w:id="66" w:name="_Toc80302195"/>
      <w:r>
        <w:rPr>
          <w:rFonts w:ascii="Times New Roman" w:hAnsi="Times New Roman" w:cs="Times New Roman"/>
          <w:b w:val="0"/>
          <w:i/>
          <w:color w:val="auto"/>
          <w:sz w:val="24"/>
          <w:szCs w:val="24"/>
        </w:rPr>
        <w:t xml:space="preserve">1.15.3 - </w:t>
      </w:r>
      <w:r w:rsidR="00786FE5" w:rsidRPr="00A00967">
        <w:rPr>
          <w:rFonts w:ascii="Times New Roman" w:hAnsi="Times New Roman" w:cs="Times New Roman"/>
          <w:b w:val="0"/>
          <w:i/>
          <w:color w:val="auto"/>
          <w:sz w:val="24"/>
          <w:szCs w:val="24"/>
        </w:rPr>
        <w:t xml:space="preserve">The </w:t>
      </w:r>
      <w:r w:rsidR="00E6147A" w:rsidRPr="00A00967">
        <w:rPr>
          <w:rFonts w:ascii="Times New Roman" w:hAnsi="Times New Roman" w:cs="Times New Roman"/>
          <w:b w:val="0"/>
          <w:i/>
          <w:color w:val="auto"/>
          <w:sz w:val="24"/>
          <w:szCs w:val="24"/>
        </w:rPr>
        <w:t xml:space="preserve">Clinical </w:t>
      </w:r>
      <w:r w:rsidR="00786FE5" w:rsidRPr="00A00967">
        <w:rPr>
          <w:rFonts w:ascii="Times New Roman" w:hAnsi="Times New Roman" w:cs="Times New Roman"/>
          <w:b w:val="0"/>
          <w:i/>
          <w:color w:val="auto"/>
          <w:sz w:val="24"/>
          <w:szCs w:val="24"/>
        </w:rPr>
        <w:t>Effect on FFR</w:t>
      </w:r>
      <w:bookmarkEnd w:id="66"/>
      <w:r w:rsidR="00A00967" w:rsidRPr="00A00967">
        <w:rPr>
          <w:rFonts w:ascii="Times New Roman" w:hAnsi="Times New Roman" w:cs="Times New Roman"/>
          <w:b w:val="0"/>
          <w:i/>
          <w:color w:val="auto"/>
          <w:sz w:val="24"/>
          <w:szCs w:val="24"/>
        </w:rPr>
        <w:br/>
      </w:r>
    </w:p>
    <w:p w14:paraId="11BCCC35" w14:textId="77777777" w:rsidR="00786FE5" w:rsidRPr="00EC6C19" w:rsidRDefault="00786FE5" w:rsidP="00786FE5">
      <w:pPr>
        <w:spacing w:line="360" w:lineRule="auto"/>
        <w:rPr>
          <w:rFonts w:ascii="Times New Roman" w:hAnsi="Times New Roman" w:cs="Times New Roman"/>
          <w:i/>
          <w:sz w:val="24"/>
          <w:szCs w:val="24"/>
        </w:rPr>
      </w:pPr>
    </w:p>
    <w:p w14:paraId="12F2D6D6" w14:textId="6ED6F4E6" w:rsidR="00786FE5" w:rsidRDefault="00786FE5" w:rsidP="00786FE5">
      <w:pPr>
        <w:spacing w:line="360" w:lineRule="auto"/>
        <w:rPr>
          <w:rFonts w:ascii="Times New Roman" w:hAnsi="Times New Roman" w:cs="Times New Roman"/>
          <w:sz w:val="24"/>
          <w:szCs w:val="24"/>
        </w:rPr>
      </w:pPr>
      <w:r w:rsidRPr="00EC6C19">
        <w:rPr>
          <w:rFonts w:ascii="Times New Roman" w:hAnsi="Times New Roman" w:cs="Times New Roman"/>
          <w:sz w:val="24"/>
          <w:szCs w:val="24"/>
        </w:rPr>
        <w:t>We anticipated the effect on distal pressure (4-6</w:t>
      </w:r>
      <w:r w:rsidR="008F197C">
        <w:rPr>
          <w:rFonts w:ascii="Times New Roman" w:hAnsi="Times New Roman" w:cs="Times New Roman"/>
          <w:sz w:val="24"/>
          <w:szCs w:val="24"/>
        </w:rPr>
        <w:t xml:space="preserve"> </w:t>
      </w:r>
      <w:r w:rsidRPr="00EC6C19">
        <w:rPr>
          <w:rFonts w:ascii="Times New Roman" w:hAnsi="Times New Roman" w:cs="Times New Roman"/>
          <w:sz w:val="24"/>
          <w:szCs w:val="24"/>
        </w:rPr>
        <w:t>cm between origin and distal artery</w:t>
      </w:r>
      <w:r>
        <w:rPr>
          <w:rFonts w:ascii="Times New Roman" w:hAnsi="Times New Roman" w:cs="Times New Roman"/>
          <w:sz w:val="24"/>
          <w:szCs w:val="24"/>
        </w:rPr>
        <w:t xml:space="preserve"> </w:t>
      </w:r>
      <w:r w:rsidR="00E6147A">
        <w:rPr>
          <w:rFonts w:ascii="Times New Roman" w:hAnsi="Times New Roman" w:cs="Times New Roman"/>
          <w:sz w:val="24"/>
          <w:szCs w:val="24"/>
        </w:rPr>
        <w:t>from literature and data</w:t>
      </w:r>
      <w:r>
        <w:rPr>
          <w:rFonts w:ascii="Times New Roman" w:hAnsi="Times New Roman" w:cs="Times New Roman"/>
          <w:sz w:val="24"/>
          <w:szCs w:val="24"/>
        </w:rPr>
        <w:t xml:space="preserve"> in Chapter II</w:t>
      </w:r>
      <w:r w:rsidRPr="00EC6C19">
        <w:rPr>
          <w:rFonts w:ascii="Times New Roman" w:hAnsi="Times New Roman" w:cs="Times New Roman"/>
          <w:sz w:val="24"/>
          <w:szCs w:val="24"/>
        </w:rPr>
        <w:t>) to be 3-5</w:t>
      </w:r>
      <w:r w:rsidR="008F197C">
        <w:rPr>
          <w:rFonts w:ascii="Times New Roman" w:hAnsi="Times New Roman" w:cs="Times New Roman"/>
          <w:sz w:val="24"/>
          <w:szCs w:val="24"/>
        </w:rPr>
        <w:t xml:space="preserve"> </w:t>
      </w:r>
      <w:r w:rsidRPr="00EC6C19">
        <w:rPr>
          <w:rFonts w:ascii="Times New Roman" w:hAnsi="Times New Roman" w:cs="Times New Roman"/>
          <w:sz w:val="24"/>
          <w:szCs w:val="24"/>
        </w:rPr>
        <w:t xml:space="preserve">mmHg, depending on the vessel. This is the change in Pd. However, it is appreciated that FFR is Pd/Pa at maximal hyperaemia, and that Pa can also change for a multitude </w:t>
      </w:r>
      <w:r w:rsidRPr="003E6610">
        <w:rPr>
          <w:rFonts w:ascii="Times New Roman" w:hAnsi="Times New Roman" w:cs="Times New Roman"/>
          <w:sz w:val="24"/>
          <w:szCs w:val="24"/>
        </w:rPr>
        <w:t xml:space="preserve">of reasons. As Pa is the denominator in the FFR equation, a lower Pa may exaggerate the effect Pd has on Pa and vice versa. A table showing this effect is shown in Table </w:t>
      </w:r>
      <w:r w:rsidR="003E6610" w:rsidRPr="003E6610">
        <w:rPr>
          <w:rFonts w:ascii="Times New Roman" w:hAnsi="Times New Roman" w:cs="Times New Roman"/>
          <w:sz w:val="24"/>
          <w:szCs w:val="24"/>
        </w:rPr>
        <w:t>2</w:t>
      </w:r>
      <w:r w:rsidRPr="003E6610">
        <w:rPr>
          <w:rFonts w:ascii="Times New Roman" w:hAnsi="Times New Roman" w:cs="Times New Roman"/>
          <w:sz w:val="24"/>
          <w:szCs w:val="24"/>
        </w:rPr>
        <w:t xml:space="preserve">. In pre-study preparation and study sample size calculation, we assume a Pa pressure of 100mmHg. </w:t>
      </w:r>
    </w:p>
    <w:p w14:paraId="09289175" w14:textId="77777777" w:rsidR="0006539A" w:rsidRDefault="0006539A" w:rsidP="00786FE5">
      <w:pPr>
        <w:spacing w:line="360" w:lineRule="auto"/>
        <w:rPr>
          <w:rFonts w:ascii="Times New Roman" w:hAnsi="Times New Roman" w:cs="Times New Roman"/>
          <w:sz w:val="24"/>
          <w:szCs w:val="24"/>
        </w:rPr>
      </w:pPr>
    </w:p>
    <w:p w14:paraId="7460F471" w14:textId="77777777" w:rsidR="0006539A" w:rsidRDefault="0006539A" w:rsidP="00786FE5">
      <w:pPr>
        <w:spacing w:line="360" w:lineRule="auto"/>
        <w:rPr>
          <w:rFonts w:ascii="Times New Roman" w:hAnsi="Times New Roman" w:cs="Times New Roman"/>
          <w:sz w:val="24"/>
          <w:szCs w:val="24"/>
        </w:rPr>
      </w:pPr>
    </w:p>
    <w:p w14:paraId="468E8312" w14:textId="77777777" w:rsidR="0006539A" w:rsidRDefault="0006539A" w:rsidP="00786FE5">
      <w:pPr>
        <w:spacing w:line="360" w:lineRule="auto"/>
        <w:rPr>
          <w:rFonts w:ascii="Times New Roman" w:hAnsi="Times New Roman" w:cs="Times New Roman"/>
          <w:sz w:val="24"/>
          <w:szCs w:val="24"/>
        </w:rPr>
      </w:pPr>
    </w:p>
    <w:p w14:paraId="6447124B" w14:textId="77777777" w:rsidR="0006539A" w:rsidRDefault="0006539A" w:rsidP="00786FE5">
      <w:pPr>
        <w:spacing w:line="360" w:lineRule="auto"/>
        <w:rPr>
          <w:rFonts w:ascii="Times New Roman" w:hAnsi="Times New Roman" w:cs="Times New Roman"/>
          <w:sz w:val="24"/>
          <w:szCs w:val="24"/>
        </w:rPr>
      </w:pPr>
    </w:p>
    <w:p w14:paraId="1595AF66" w14:textId="77777777" w:rsidR="0006539A" w:rsidRPr="003E6610" w:rsidRDefault="0006539A" w:rsidP="00786FE5">
      <w:pPr>
        <w:spacing w:line="360" w:lineRule="auto"/>
        <w:rPr>
          <w:rFonts w:ascii="Times New Roman" w:hAnsi="Times New Roman" w:cs="Times New Roman"/>
          <w:sz w:val="24"/>
          <w:szCs w:val="24"/>
        </w:rPr>
      </w:pPr>
    </w:p>
    <w:p w14:paraId="2A76A1F7" w14:textId="77777777" w:rsidR="00786FE5" w:rsidRPr="00EC6C19" w:rsidRDefault="00786FE5" w:rsidP="00786FE5">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2047"/>
        <w:gridCol w:w="2046"/>
        <w:gridCol w:w="1769"/>
        <w:gridCol w:w="1893"/>
        <w:gridCol w:w="1605"/>
      </w:tblGrid>
      <w:tr w:rsidR="00786FE5" w:rsidRPr="00EC6C19" w14:paraId="3A2B064E" w14:textId="77777777" w:rsidTr="009962AA">
        <w:tc>
          <w:tcPr>
            <w:tcW w:w="2096" w:type="dxa"/>
            <w:tcBorders>
              <w:bottom w:val="single" w:sz="18" w:space="0" w:color="000000" w:themeColor="text1"/>
            </w:tcBorders>
            <w:shd w:val="clear" w:color="auto" w:fill="F2F2F2" w:themeFill="background1" w:themeFillShade="F2"/>
          </w:tcPr>
          <w:p w14:paraId="24304644"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lastRenderedPageBreak/>
              <w:t>Pa Pressure</w:t>
            </w:r>
          </w:p>
        </w:tc>
        <w:tc>
          <w:tcPr>
            <w:tcW w:w="2096" w:type="dxa"/>
            <w:tcBorders>
              <w:bottom w:val="single" w:sz="18" w:space="0" w:color="000000" w:themeColor="text1"/>
            </w:tcBorders>
            <w:shd w:val="clear" w:color="auto" w:fill="F2F2F2" w:themeFill="background1" w:themeFillShade="F2"/>
          </w:tcPr>
          <w:p w14:paraId="6B0467C2"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Pd Pressure</w:t>
            </w:r>
          </w:p>
        </w:tc>
        <w:tc>
          <w:tcPr>
            <w:tcW w:w="1818" w:type="dxa"/>
            <w:tcBorders>
              <w:bottom w:val="single" w:sz="18" w:space="0" w:color="000000" w:themeColor="text1"/>
            </w:tcBorders>
            <w:shd w:val="clear" w:color="auto" w:fill="F2F2F2" w:themeFill="background1" w:themeFillShade="F2"/>
          </w:tcPr>
          <w:p w14:paraId="230D5B24"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Pd/Pa</w:t>
            </w:r>
          </w:p>
        </w:tc>
        <w:tc>
          <w:tcPr>
            <w:tcW w:w="1929" w:type="dxa"/>
            <w:tcBorders>
              <w:bottom w:val="single" w:sz="18" w:space="0" w:color="000000" w:themeColor="text1"/>
            </w:tcBorders>
            <w:shd w:val="clear" w:color="auto" w:fill="F2F2F2" w:themeFill="background1" w:themeFillShade="F2"/>
          </w:tcPr>
          <w:p w14:paraId="526E29A7"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Corrected Pd/Pa (Pd - 5)</w:t>
            </w:r>
          </w:p>
        </w:tc>
        <w:tc>
          <w:tcPr>
            <w:tcW w:w="1637" w:type="dxa"/>
            <w:tcBorders>
              <w:bottom w:val="single" w:sz="18" w:space="0" w:color="000000" w:themeColor="text1"/>
            </w:tcBorders>
            <w:shd w:val="clear" w:color="auto" w:fill="F2F2F2" w:themeFill="background1" w:themeFillShade="F2"/>
          </w:tcPr>
          <w:p w14:paraId="6740C0A2"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Change in Pd/Pa</w:t>
            </w:r>
          </w:p>
        </w:tc>
      </w:tr>
      <w:tr w:rsidR="00786FE5" w:rsidRPr="00EC6C19" w14:paraId="74377FF4" w14:textId="77777777" w:rsidTr="009962AA">
        <w:tc>
          <w:tcPr>
            <w:tcW w:w="2096" w:type="dxa"/>
            <w:tcBorders>
              <w:top w:val="single" w:sz="18" w:space="0" w:color="000000" w:themeColor="text1"/>
            </w:tcBorders>
            <w:shd w:val="clear" w:color="auto" w:fill="auto"/>
          </w:tcPr>
          <w:p w14:paraId="1F9DB70E"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80</w:t>
            </w:r>
          </w:p>
        </w:tc>
        <w:tc>
          <w:tcPr>
            <w:tcW w:w="2096" w:type="dxa"/>
            <w:vMerge w:val="restart"/>
            <w:tcBorders>
              <w:top w:val="single" w:sz="18" w:space="0" w:color="000000" w:themeColor="text1"/>
            </w:tcBorders>
            <w:shd w:val="clear" w:color="auto" w:fill="auto"/>
          </w:tcPr>
          <w:p w14:paraId="008449F7" w14:textId="77777777" w:rsidR="00786FE5" w:rsidRPr="00EC6C19" w:rsidRDefault="00786FE5" w:rsidP="009962AA">
            <w:pPr>
              <w:spacing w:line="360" w:lineRule="auto"/>
              <w:jc w:val="center"/>
              <w:rPr>
                <w:rFonts w:ascii="Times New Roman" w:hAnsi="Times New Roman" w:cs="Times New Roman"/>
                <w:sz w:val="24"/>
                <w:szCs w:val="24"/>
              </w:rPr>
            </w:pPr>
          </w:p>
          <w:p w14:paraId="6E162CD8" w14:textId="77777777" w:rsidR="00786FE5" w:rsidRPr="00EC6C19" w:rsidRDefault="00786FE5" w:rsidP="009962AA">
            <w:pPr>
              <w:spacing w:line="360" w:lineRule="auto"/>
              <w:jc w:val="center"/>
              <w:rPr>
                <w:rFonts w:ascii="Times New Roman" w:hAnsi="Times New Roman" w:cs="Times New Roman"/>
                <w:sz w:val="24"/>
                <w:szCs w:val="24"/>
              </w:rPr>
            </w:pPr>
          </w:p>
          <w:p w14:paraId="63C34970"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70</w:t>
            </w:r>
          </w:p>
          <w:p w14:paraId="55E53384" w14:textId="77777777" w:rsidR="00786FE5" w:rsidRPr="00EC6C19" w:rsidRDefault="00786FE5" w:rsidP="009962AA">
            <w:pPr>
              <w:spacing w:line="360" w:lineRule="auto"/>
              <w:jc w:val="center"/>
              <w:rPr>
                <w:rFonts w:ascii="Times New Roman" w:hAnsi="Times New Roman" w:cs="Times New Roman"/>
                <w:sz w:val="24"/>
                <w:szCs w:val="24"/>
              </w:rPr>
            </w:pPr>
          </w:p>
        </w:tc>
        <w:tc>
          <w:tcPr>
            <w:tcW w:w="1818" w:type="dxa"/>
            <w:tcBorders>
              <w:top w:val="single" w:sz="18" w:space="0" w:color="000000" w:themeColor="text1"/>
            </w:tcBorders>
            <w:shd w:val="clear" w:color="auto" w:fill="auto"/>
          </w:tcPr>
          <w:p w14:paraId="54F62306"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0.88</w:t>
            </w:r>
          </w:p>
        </w:tc>
        <w:tc>
          <w:tcPr>
            <w:tcW w:w="1929" w:type="dxa"/>
            <w:tcBorders>
              <w:top w:val="single" w:sz="18" w:space="0" w:color="000000" w:themeColor="text1"/>
            </w:tcBorders>
            <w:shd w:val="clear" w:color="auto" w:fill="auto"/>
          </w:tcPr>
          <w:p w14:paraId="01AA6F61"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0.81</w:t>
            </w:r>
          </w:p>
        </w:tc>
        <w:tc>
          <w:tcPr>
            <w:tcW w:w="1637" w:type="dxa"/>
            <w:tcBorders>
              <w:top w:val="single" w:sz="18" w:space="0" w:color="000000" w:themeColor="text1"/>
            </w:tcBorders>
            <w:shd w:val="clear" w:color="auto" w:fill="auto"/>
          </w:tcPr>
          <w:p w14:paraId="027F99AF"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0.07</w:t>
            </w:r>
          </w:p>
        </w:tc>
      </w:tr>
      <w:tr w:rsidR="00786FE5" w:rsidRPr="00EC6C19" w14:paraId="08E3CE47" w14:textId="77777777" w:rsidTr="009962AA">
        <w:tc>
          <w:tcPr>
            <w:tcW w:w="2096" w:type="dxa"/>
            <w:shd w:val="clear" w:color="auto" w:fill="auto"/>
          </w:tcPr>
          <w:p w14:paraId="10349904"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90</w:t>
            </w:r>
          </w:p>
        </w:tc>
        <w:tc>
          <w:tcPr>
            <w:tcW w:w="2096" w:type="dxa"/>
            <w:vMerge/>
            <w:shd w:val="clear" w:color="auto" w:fill="auto"/>
          </w:tcPr>
          <w:p w14:paraId="4CDEF782" w14:textId="77777777" w:rsidR="00786FE5" w:rsidRPr="00EC6C19" w:rsidRDefault="00786FE5" w:rsidP="009962AA">
            <w:pPr>
              <w:spacing w:line="360" w:lineRule="auto"/>
              <w:jc w:val="center"/>
              <w:rPr>
                <w:rFonts w:ascii="Times New Roman" w:hAnsi="Times New Roman" w:cs="Times New Roman"/>
                <w:sz w:val="24"/>
                <w:szCs w:val="24"/>
              </w:rPr>
            </w:pPr>
          </w:p>
        </w:tc>
        <w:tc>
          <w:tcPr>
            <w:tcW w:w="1818" w:type="dxa"/>
            <w:shd w:val="clear" w:color="auto" w:fill="auto"/>
          </w:tcPr>
          <w:p w14:paraId="20CA13E4"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0.78</w:t>
            </w:r>
          </w:p>
        </w:tc>
        <w:tc>
          <w:tcPr>
            <w:tcW w:w="1929" w:type="dxa"/>
            <w:shd w:val="clear" w:color="auto" w:fill="auto"/>
          </w:tcPr>
          <w:p w14:paraId="0369C742"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0.72</w:t>
            </w:r>
          </w:p>
        </w:tc>
        <w:tc>
          <w:tcPr>
            <w:tcW w:w="1637" w:type="dxa"/>
            <w:shd w:val="clear" w:color="auto" w:fill="auto"/>
          </w:tcPr>
          <w:p w14:paraId="0C0DCFA6"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w:t>
            </w:r>
          </w:p>
        </w:tc>
      </w:tr>
      <w:tr w:rsidR="00786FE5" w:rsidRPr="00EC6C19" w14:paraId="5599E118" w14:textId="77777777" w:rsidTr="009962AA">
        <w:tc>
          <w:tcPr>
            <w:tcW w:w="2096" w:type="dxa"/>
            <w:shd w:val="clear" w:color="auto" w:fill="auto"/>
          </w:tcPr>
          <w:p w14:paraId="266D2B66"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100</w:t>
            </w:r>
          </w:p>
        </w:tc>
        <w:tc>
          <w:tcPr>
            <w:tcW w:w="2096" w:type="dxa"/>
            <w:vMerge/>
            <w:shd w:val="clear" w:color="auto" w:fill="auto"/>
          </w:tcPr>
          <w:p w14:paraId="4526A4F9" w14:textId="77777777" w:rsidR="00786FE5" w:rsidRPr="00EC6C19" w:rsidRDefault="00786FE5" w:rsidP="009962AA">
            <w:pPr>
              <w:spacing w:line="360" w:lineRule="auto"/>
              <w:jc w:val="center"/>
              <w:rPr>
                <w:rFonts w:ascii="Times New Roman" w:hAnsi="Times New Roman" w:cs="Times New Roman"/>
                <w:sz w:val="24"/>
                <w:szCs w:val="24"/>
              </w:rPr>
            </w:pPr>
          </w:p>
        </w:tc>
        <w:tc>
          <w:tcPr>
            <w:tcW w:w="1818" w:type="dxa"/>
            <w:shd w:val="clear" w:color="auto" w:fill="auto"/>
          </w:tcPr>
          <w:p w14:paraId="7693B1C8"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0.70</w:t>
            </w:r>
          </w:p>
        </w:tc>
        <w:tc>
          <w:tcPr>
            <w:tcW w:w="1929" w:type="dxa"/>
            <w:shd w:val="clear" w:color="auto" w:fill="auto"/>
          </w:tcPr>
          <w:p w14:paraId="1B1830E2"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0.65</w:t>
            </w:r>
          </w:p>
        </w:tc>
        <w:tc>
          <w:tcPr>
            <w:tcW w:w="1637" w:type="dxa"/>
            <w:shd w:val="clear" w:color="auto" w:fill="auto"/>
          </w:tcPr>
          <w:p w14:paraId="0A17FEE2"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w:t>
            </w:r>
          </w:p>
        </w:tc>
      </w:tr>
      <w:tr w:rsidR="00786FE5" w:rsidRPr="00EC6C19" w14:paraId="0636690F" w14:textId="77777777" w:rsidTr="009962AA">
        <w:tc>
          <w:tcPr>
            <w:tcW w:w="2096" w:type="dxa"/>
            <w:shd w:val="clear" w:color="auto" w:fill="auto"/>
          </w:tcPr>
          <w:p w14:paraId="0B5D2A04"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110</w:t>
            </w:r>
          </w:p>
        </w:tc>
        <w:tc>
          <w:tcPr>
            <w:tcW w:w="2096" w:type="dxa"/>
            <w:vMerge/>
            <w:shd w:val="clear" w:color="auto" w:fill="auto"/>
          </w:tcPr>
          <w:p w14:paraId="10219C32" w14:textId="77777777" w:rsidR="00786FE5" w:rsidRPr="00EC6C19" w:rsidRDefault="00786FE5" w:rsidP="009962AA">
            <w:pPr>
              <w:spacing w:line="360" w:lineRule="auto"/>
              <w:jc w:val="center"/>
              <w:rPr>
                <w:rFonts w:ascii="Times New Roman" w:hAnsi="Times New Roman" w:cs="Times New Roman"/>
                <w:sz w:val="24"/>
                <w:szCs w:val="24"/>
              </w:rPr>
            </w:pPr>
          </w:p>
        </w:tc>
        <w:tc>
          <w:tcPr>
            <w:tcW w:w="1818" w:type="dxa"/>
            <w:shd w:val="clear" w:color="auto" w:fill="auto"/>
          </w:tcPr>
          <w:p w14:paraId="7471DB3D"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0.64</w:t>
            </w:r>
          </w:p>
        </w:tc>
        <w:tc>
          <w:tcPr>
            <w:tcW w:w="1929" w:type="dxa"/>
            <w:shd w:val="clear" w:color="auto" w:fill="auto"/>
          </w:tcPr>
          <w:p w14:paraId="4EF4B263"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0.59</w:t>
            </w:r>
          </w:p>
        </w:tc>
        <w:tc>
          <w:tcPr>
            <w:tcW w:w="1637" w:type="dxa"/>
            <w:shd w:val="clear" w:color="auto" w:fill="auto"/>
          </w:tcPr>
          <w:p w14:paraId="1C6C6A4A"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w:t>
            </w:r>
          </w:p>
        </w:tc>
      </w:tr>
      <w:tr w:rsidR="00786FE5" w:rsidRPr="00EC6C19" w14:paraId="0502B864" w14:textId="77777777" w:rsidTr="009962AA">
        <w:tc>
          <w:tcPr>
            <w:tcW w:w="2096" w:type="dxa"/>
            <w:shd w:val="clear" w:color="auto" w:fill="auto"/>
          </w:tcPr>
          <w:p w14:paraId="7069258F"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120</w:t>
            </w:r>
          </w:p>
        </w:tc>
        <w:tc>
          <w:tcPr>
            <w:tcW w:w="2096" w:type="dxa"/>
            <w:vMerge/>
            <w:shd w:val="clear" w:color="auto" w:fill="auto"/>
          </w:tcPr>
          <w:p w14:paraId="0CD2D93C" w14:textId="77777777" w:rsidR="00786FE5" w:rsidRPr="00EC6C19" w:rsidRDefault="00786FE5" w:rsidP="009962AA">
            <w:pPr>
              <w:spacing w:line="360" w:lineRule="auto"/>
              <w:jc w:val="center"/>
              <w:rPr>
                <w:rFonts w:ascii="Times New Roman" w:hAnsi="Times New Roman" w:cs="Times New Roman"/>
                <w:sz w:val="24"/>
                <w:szCs w:val="24"/>
              </w:rPr>
            </w:pPr>
          </w:p>
        </w:tc>
        <w:tc>
          <w:tcPr>
            <w:tcW w:w="1818" w:type="dxa"/>
            <w:shd w:val="clear" w:color="auto" w:fill="auto"/>
          </w:tcPr>
          <w:p w14:paraId="0FE4970F"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0.58</w:t>
            </w:r>
          </w:p>
        </w:tc>
        <w:tc>
          <w:tcPr>
            <w:tcW w:w="1929" w:type="dxa"/>
            <w:shd w:val="clear" w:color="auto" w:fill="auto"/>
          </w:tcPr>
          <w:p w14:paraId="4F83E022"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0.54</w:t>
            </w:r>
          </w:p>
        </w:tc>
        <w:tc>
          <w:tcPr>
            <w:tcW w:w="1637" w:type="dxa"/>
            <w:shd w:val="clear" w:color="auto" w:fill="auto"/>
          </w:tcPr>
          <w:p w14:paraId="113A4F59" w14:textId="77777777" w:rsidR="00786FE5" w:rsidRPr="00EC6C19" w:rsidRDefault="00786FE5" w:rsidP="009962A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0.04</w:t>
            </w:r>
          </w:p>
        </w:tc>
      </w:tr>
    </w:tbl>
    <w:p w14:paraId="54688A80" w14:textId="77777777" w:rsidR="00786FE5" w:rsidRDefault="00786FE5" w:rsidP="00786FE5">
      <w:pPr>
        <w:spacing w:line="360" w:lineRule="auto"/>
        <w:rPr>
          <w:rFonts w:ascii="Times New Roman" w:hAnsi="Times New Roman" w:cs="Times New Roman"/>
          <w:i/>
          <w:sz w:val="24"/>
          <w:szCs w:val="24"/>
        </w:rPr>
      </w:pPr>
    </w:p>
    <w:p w14:paraId="499636DA" w14:textId="477E1E4E" w:rsidR="00786FE5" w:rsidRPr="003E6610" w:rsidRDefault="003E6610" w:rsidP="003E6610">
      <w:pPr>
        <w:pStyle w:val="Caption"/>
        <w:spacing w:line="360" w:lineRule="auto"/>
        <w:rPr>
          <w:rFonts w:ascii="Times New Roman" w:hAnsi="Times New Roman" w:cs="Times New Roman"/>
          <w:b w:val="0"/>
          <w:i/>
          <w:color w:val="auto"/>
          <w:sz w:val="24"/>
          <w:szCs w:val="24"/>
        </w:rPr>
      </w:pPr>
      <w:bookmarkStart w:id="67" w:name="_Toc44962578"/>
      <w:r w:rsidRPr="003E6610">
        <w:rPr>
          <w:rFonts w:ascii="Times New Roman" w:hAnsi="Times New Roman" w:cs="Times New Roman"/>
          <w:b w:val="0"/>
          <w:i/>
          <w:color w:val="auto"/>
          <w:sz w:val="24"/>
          <w:szCs w:val="24"/>
        </w:rPr>
        <w:t xml:space="preserve">Table </w:t>
      </w:r>
      <w:r w:rsidR="00106A32" w:rsidRPr="003E6610">
        <w:rPr>
          <w:rFonts w:ascii="Times New Roman" w:hAnsi="Times New Roman" w:cs="Times New Roman"/>
          <w:b w:val="0"/>
          <w:i/>
          <w:color w:val="auto"/>
          <w:sz w:val="24"/>
          <w:szCs w:val="24"/>
        </w:rPr>
        <w:fldChar w:fldCharType="begin"/>
      </w:r>
      <w:r w:rsidRPr="003E6610">
        <w:rPr>
          <w:rFonts w:ascii="Times New Roman" w:hAnsi="Times New Roman" w:cs="Times New Roman"/>
          <w:b w:val="0"/>
          <w:i/>
          <w:color w:val="auto"/>
          <w:sz w:val="24"/>
          <w:szCs w:val="24"/>
        </w:rPr>
        <w:instrText xml:space="preserve"> SEQ Table \* ARABIC </w:instrText>
      </w:r>
      <w:r w:rsidR="00106A32" w:rsidRPr="003E6610">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w:t>
      </w:r>
      <w:r w:rsidR="00106A32" w:rsidRPr="003E6610">
        <w:rPr>
          <w:rFonts w:ascii="Times New Roman" w:hAnsi="Times New Roman" w:cs="Times New Roman"/>
          <w:b w:val="0"/>
          <w:i/>
          <w:color w:val="auto"/>
          <w:sz w:val="24"/>
          <w:szCs w:val="24"/>
        </w:rPr>
        <w:fldChar w:fldCharType="end"/>
      </w:r>
      <w:r w:rsidR="007F2FD6">
        <w:rPr>
          <w:rFonts w:ascii="Times New Roman" w:hAnsi="Times New Roman" w:cs="Times New Roman"/>
          <w:b w:val="0"/>
          <w:i/>
          <w:color w:val="auto"/>
          <w:sz w:val="24"/>
          <w:szCs w:val="24"/>
        </w:rPr>
        <w:t xml:space="preserve"> -</w:t>
      </w:r>
      <w:r w:rsidRPr="003E6610">
        <w:rPr>
          <w:rFonts w:ascii="Times New Roman" w:hAnsi="Times New Roman" w:cs="Times New Roman"/>
          <w:b w:val="0"/>
          <w:i/>
          <w:color w:val="auto"/>
          <w:sz w:val="24"/>
          <w:szCs w:val="24"/>
        </w:rPr>
        <w:t xml:space="preserve"> the effect of a change in Pd of -0.05 on Pd/Pa with various systemic/Pa</w:t>
      </w:r>
      <w:r w:rsidR="00786FE5" w:rsidRPr="003E6610">
        <w:rPr>
          <w:rFonts w:ascii="Times New Roman" w:hAnsi="Times New Roman" w:cs="Times New Roman"/>
          <w:b w:val="0"/>
          <w:i/>
          <w:color w:val="auto"/>
          <w:sz w:val="24"/>
          <w:szCs w:val="24"/>
        </w:rPr>
        <w:t>. As Pa pressure rises, the effect a change in Pd has</w:t>
      </w:r>
      <w:r w:rsidR="008F197C">
        <w:rPr>
          <w:rFonts w:ascii="Times New Roman" w:hAnsi="Times New Roman" w:cs="Times New Roman"/>
          <w:b w:val="0"/>
          <w:i/>
          <w:color w:val="auto"/>
          <w:sz w:val="24"/>
          <w:szCs w:val="24"/>
        </w:rPr>
        <w:t xml:space="preserve"> </w:t>
      </w:r>
      <w:r w:rsidR="00786FE5" w:rsidRPr="003E6610">
        <w:rPr>
          <w:rFonts w:ascii="Times New Roman" w:hAnsi="Times New Roman" w:cs="Times New Roman"/>
          <w:b w:val="0"/>
          <w:i/>
          <w:color w:val="auto"/>
          <w:sz w:val="24"/>
          <w:szCs w:val="24"/>
        </w:rPr>
        <w:t>(and in turn hydrostatic pressure), lessens.</w:t>
      </w:r>
      <w:bookmarkEnd w:id="67"/>
    </w:p>
    <w:p w14:paraId="22C327AF" w14:textId="77777777" w:rsidR="00786FE5" w:rsidRPr="00EC6C19" w:rsidRDefault="00786FE5" w:rsidP="00786FE5">
      <w:pPr>
        <w:rPr>
          <w:rFonts w:ascii="Times New Roman" w:hAnsi="Times New Roman" w:cs="Times New Roman"/>
          <w:sz w:val="24"/>
          <w:szCs w:val="24"/>
        </w:rPr>
      </w:pPr>
    </w:p>
    <w:p w14:paraId="33D619ED" w14:textId="77777777" w:rsidR="00786FE5" w:rsidRPr="00EC6C19" w:rsidRDefault="00786FE5" w:rsidP="00786FE5">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This is of clinical relevance when calculating FFR due to the use of adenosine. Adenosine is a necessary step in FFR calculation, as it induces stable state hyperaemia. A side effect however is inevitably a drop in Pa pressure, which may lead to an amplification in the effect of hydrostatic pressure change measured in the distal vessel. </w:t>
      </w:r>
    </w:p>
    <w:p w14:paraId="37AD592A" w14:textId="77777777" w:rsidR="00786FE5" w:rsidRPr="00EC6C19" w:rsidRDefault="00786FE5" w:rsidP="00786FE5">
      <w:pPr>
        <w:spacing w:line="360" w:lineRule="auto"/>
        <w:rPr>
          <w:rFonts w:ascii="Times New Roman" w:hAnsi="Times New Roman" w:cs="Times New Roman"/>
          <w:sz w:val="24"/>
          <w:szCs w:val="24"/>
        </w:rPr>
      </w:pPr>
    </w:p>
    <w:p w14:paraId="10425F5A" w14:textId="77777777" w:rsidR="00786FE5" w:rsidRPr="00A00967" w:rsidRDefault="00A542B2" w:rsidP="00A00967">
      <w:pPr>
        <w:pStyle w:val="Heading3"/>
        <w:rPr>
          <w:rFonts w:ascii="Times New Roman" w:hAnsi="Times New Roman" w:cs="Times New Roman"/>
          <w:b w:val="0"/>
          <w:i/>
          <w:color w:val="auto"/>
          <w:sz w:val="24"/>
          <w:szCs w:val="24"/>
        </w:rPr>
      </w:pPr>
      <w:bookmarkStart w:id="68" w:name="_Toc80302196"/>
      <w:r>
        <w:rPr>
          <w:rFonts w:ascii="Times New Roman" w:hAnsi="Times New Roman" w:cs="Times New Roman"/>
          <w:b w:val="0"/>
          <w:i/>
          <w:color w:val="auto"/>
          <w:sz w:val="24"/>
          <w:szCs w:val="24"/>
        </w:rPr>
        <w:t xml:space="preserve">1.15.4 - </w:t>
      </w:r>
      <w:r w:rsidR="00786FE5" w:rsidRPr="00A00967">
        <w:rPr>
          <w:rFonts w:ascii="Times New Roman" w:hAnsi="Times New Roman" w:cs="Times New Roman"/>
          <w:b w:val="0"/>
          <w:i/>
          <w:color w:val="auto"/>
          <w:sz w:val="24"/>
          <w:szCs w:val="24"/>
        </w:rPr>
        <w:t>The Effect on Resting Indices</w:t>
      </w:r>
      <w:bookmarkEnd w:id="68"/>
      <w:r w:rsidR="00A00967" w:rsidRPr="00A00967">
        <w:rPr>
          <w:rFonts w:ascii="Times New Roman" w:hAnsi="Times New Roman" w:cs="Times New Roman"/>
          <w:b w:val="0"/>
          <w:i/>
          <w:color w:val="auto"/>
          <w:sz w:val="24"/>
          <w:szCs w:val="24"/>
        </w:rPr>
        <w:br/>
      </w:r>
    </w:p>
    <w:p w14:paraId="5D50B0EC" w14:textId="77777777" w:rsidR="00786FE5" w:rsidRPr="00EC6C19" w:rsidRDefault="00786FE5" w:rsidP="00786FE5">
      <w:pPr>
        <w:spacing w:line="360" w:lineRule="auto"/>
        <w:rPr>
          <w:rFonts w:ascii="Times New Roman" w:hAnsi="Times New Roman" w:cs="Times New Roman"/>
          <w:i/>
          <w:sz w:val="24"/>
          <w:szCs w:val="24"/>
        </w:rPr>
      </w:pPr>
    </w:p>
    <w:p w14:paraId="7BA03488" w14:textId="4C5D6ED3" w:rsidR="00786FE5" w:rsidRPr="00EC6C19" w:rsidRDefault="00786FE5" w:rsidP="00786FE5">
      <w:pPr>
        <w:spacing w:line="360" w:lineRule="auto"/>
        <w:rPr>
          <w:rFonts w:ascii="Times New Roman" w:hAnsi="Times New Roman" w:cs="Times New Roman"/>
          <w:sz w:val="24"/>
          <w:szCs w:val="24"/>
        </w:rPr>
      </w:pPr>
      <w:r w:rsidRPr="00EC6C19">
        <w:rPr>
          <w:rFonts w:ascii="Times New Roman" w:hAnsi="Times New Roman" w:cs="Times New Roman"/>
          <w:sz w:val="24"/>
          <w:szCs w:val="24"/>
        </w:rPr>
        <w:t>The transtenotic gradient for hyperaemic indices, must reach 20</w:t>
      </w:r>
      <w:r w:rsidR="008F197C">
        <w:rPr>
          <w:rFonts w:ascii="Times New Roman" w:hAnsi="Times New Roman" w:cs="Times New Roman"/>
          <w:sz w:val="24"/>
          <w:szCs w:val="24"/>
        </w:rPr>
        <w:t xml:space="preserve"> </w:t>
      </w:r>
      <w:r w:rsidRPr="00EC6C19">
        <w:rPr>
          <w:rFonts w:ascii="Times New Roman" w:hAnsi="Times New Roman" w:cs="Times New Roman"/>
          <w:sz w:val="24"/>
          <w:szCs w:val="24"/>
        </w:rPr>
        <w:t xml:space="preserve">mmHg (assuming a Pa of 100) to be classed as significant (FFR &lt;0.8). A change of 5mmHg is therefore 25% of the transtenotic gradient required to class a lesion as significant. The resting indices however (Pd/Pa and iFR), require a transtenotic gradient of less than half of this, with a negative iFR being classed as &gt;0.92 for example. A 5mmHg change here is therefore relatively much larger, accounting for over 50% of the transtenotic gradient. </w:t>
      </w:r>
    </w:p>
    <w:p w14:paraId="4C0C4DB3" w14:textId="77777777" w:rsidR="00786FE5" w:rsidRPr="00EC6C19" w:rsidRDefault="00786FE5" w:rsidP="00786FE5">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In clinical terms therefore, the hydrostatic effect may have a much larger effect on the classification of resting indices, due to the smaller magnitude of transtenotic gradient used in their measurement.</w:t>
      </w:r>
    </w:p>
    <w:p w14:paraId="0F0DB574" w14:textId="77777777" w:rsidR="00786FE5" w:rsidRPr="00EC6C19" w:rsidRDefault="00786FE5" w:rsidP="00EA7887">
      <w:pPr>
        <w:spacing w:line="360" w:lineRule="auto"/>
        <w:rPr>
          <w:rFonts w:ascii="Times New Roman" w:hAnsi="Times New Roman" w:cs="Times New Roman"/>
          <w:sz w:val="24"/>
          <w:szCs w:val="24"/>
        </w:rPr>
      </w:pPr>
    </w:p>
    <w:p w14:paraId="1BF6EC6C" w14:textId="77777777" w:rsidR="00EA7887" w:rsidRPr="00A00967" w:rsidRDefault="00A542B2" w:rsidP="00A00967">
      <w:pPr>
        <w:pStyle w:val="Heading3"/>
        <w:rPr>
          <w:rFonts w:ascii="Times New Roman" w:hAnsi="Times New Roman" w:cs="Times New Roman"/>
          <w:b w:val="0"/>
          <w:i/>
          <w:color w:val="auto"/>
          <w:sz w:val="24"/>
          <w:szCs w:val="24"/>
        </w:rPr>
      </w:pPr>
      <w:bookmarkStart w:id="69" w:name="_Toc80302197"/>
      <w:r>
        <w:rPr>
          <w:rFonts w:ascii="Times New Roman" w:hAnsi="Times New Roman" w:cs="Times New Roman"/>
          <w:b w:val="0"/>
          <w:i/>
          <w:color w:val="auto"/>
          <w:sz w:val="24"/>
          <w:szCs w:val="24"/>
        </w:rPr>
        <w:t xml:space="preserve">1.15.5 - </w:t>
      </w:r>
      <w:r w:rsidR="00EA7887" w:rsidRPr="00A00967">
        <w:rPr>
          <w:rFonts w:ascii="Times New Roman" w:hAnsi="Times New Roman" w:cs="Times New Roman"/>
          <w:b w:val="0"/>
          <w:i/>
          <w:color w:val="auto"/>
          <w:sz w:val="24"/>
          <w:szCs w:val="24"/>
        </w:rPr>
        <w:t>Clinical Relevance and Mathematical Model</w:t>
      </w:r>
      <w:bookmarkEnd w:id="69"/>
      <w:r w:rsidR="00A00967" w:rsidRPr="00A00967">
        <w:rPr>
          <w:rFonts w:ascii="Times New Roman" w:hAnsi="Times New Roman" w:cs="Times New Roman"/>
          <w:b w:val="0"/>
          <w:i/>
          <w:color w:val="auto"/>
          <w:sz w:val="24"/>
          <w:szCs w:val="24"/>
        </w:rPr>
        <w:br/>
      </w:r>
    </w:p>
    <w:p w14:paraId="6AD8B76F" w14:textId="77777777" w:rsidR="00EA7887" w:rsidRPr="00EC6C19" w:rsidRDefault="00EA7887" w:rsidP="00EA7887">
      <w:pPr>
        <w:spacing w:line="360" w:lineRule="auto"/>
        <w:rPr>
          <w:rFonts w:ascii="Times New Roman" w:hAnsi="Times New Roman" w:cs="Times New Roman"/>
          <w:i/>
          <w:sz w:val="24"/>
          <w:szCs w:val="24"/>
          <w:u w:val="single"/>
        </w:rPr>
      </w:pPr>
    </w:p>
    <w:p w14:paraId="1702131D" w14:textId="11F696D1" w:rsidR="00EA7887" w:rsidRDefault="00EA7887" w:rsidP="00EA7887">
      <w:pPr>
        <w:spacing w:line="360" w:lineRule="auto"/>
        <w:rPr>
          <w:rFonts w:ascii="Times New Roman" w:hAnsi="Times New Roman" w:cs="Times New Roman"/>
          <w:sz w:val="24"/>
          <w:szCs w:val="24"/>
        </w:rPr>
      </w:pPr>
      <w:r w:rsidRPr="00EC6C19">
        <w:rPr>
          <w:rFonts w:ascii="Times New Roman" w:hAnsi="Times New Roman" w:cs="Times New Roman"/>
          <w:sz w:val="24"/>
          <w:szCs w:val="24"/>
        </w:rPr>
        <w:t>FFR uses a threshold (0.8) to determine the significance of a coronary lesion. The potential changes that hydrostatic pressure has on FFR may cause some values to 'cross' the threshold once corrected. To demonstrate this phenomenon, we aim to use</w:t>
      </w:r>
      <w:r w:rsidR="00E6147A">
        <w:rPr>
          <w:rFonts w:ascii="Times New Roman" w:hAnsi="Times New Roman" w:cs="Times New Roman"/>
          <w:sz w:val="24"/>
          <w:szCs w:val="24"/>
        </w:rPr>
        <w:t xml:space="preserve"> data from CT coronary angiography to provide</w:t>
      </w:r>
      <w:r w:rsidRPr="00EC6C19">
        <w:rPr>
          <w:rFonts w:ascii="Times New Roman" w:hAnsi="Times New Roman" w:cs="Times New Roman"/>
          <w:sz w:val="24"/>
          <w:szCs w:val="24"/>
        </w:rPr>
        <w:t xml:space="preserve"> a correction factor for hydrostatic pressure</w:t>
      </w:r>
      <w:r w:rsidR="00E6147A">
        <w:rPr>
          <w:rFonts w:ascii="Times New Roman" w:hAnsi="Times New Roman" w:cs="Times New Roman"/>
          <w:sz w:val="24"/>
          <w:szCs w:val="24"/>
        </w:rPr>
        <w:t>. This will be applied</w:t>
      </w:r>
      <w:r w:rsidRPr="00EC6C19">
        <w:rPr>
          <w:rFonts w:ascii="Times New Roman" w:hAnsi="Times New Roman" w:cs="Times New Roman"/>
          <w:sz w:val="24"/>
          <w:szCs w:val="24"/>
        </w:rPr>
        <w:t xml:space="preserve"> to a mathematical model of 200 randomly generated FFR values </w:t>
      </w:r>
      <w:r w:rsidR="00E6147A">
        <w:rPr>
          <w:rFonts w:ascii="Times New Roman" w:hAnsi="Times New Roman" w:cs="Times New Roman"/>
          <w:sz w:val="24"/>
          <w:szCs w:val="24"/>
        </w:rPr>
        <w:t>ranging from 0.75 - 0.85. One may</w:t>
      </w:r>
      <w:r w:rsidRPr="00EC6C19">
        <w:rPr>
          <w:rFonts w:ascii="Times New Roman" w:hAnsi="Times New Roman" w:cs="Times New Roman"/>
          <w:sz w:val="24"/>
          <w:szCs w:val="24"/>
        </w:rPr>
        <w:t xml:space="preserve"> then determine how many of these values cross the threshold of 0.8 and change classification from positive to negative or vice versa</w:t>
      </w:r>
      <w:r w:rsidR="00E6147A">
        <w:rPr>
          <w:rFonts w:ascii="Times New Roman" w:hAnsi="Times New Roman" w:cs="Times New Roman"/>
          <w:sz w:val="24"/>
          <w:szCs w:val="24"/>
        </w:rPr>
        <w:t xml:space="preserve"> due to hydrostatic effect</w:t>
      </w:r>
      <w:r w:rsidRPr="00EC6C19">
        <w:rPr>
          <w:rFonts w:ascii="Times New Roman" w:hAnsi="Times New Roman" w:cs="Times New Roman"/>
          <w:sz w:val="24"/>
          <w:szCs w:val="24"/>
        </w:rPr>
        <w:t>.</w:t>
      </w:r>
    </w:p>
    <w:p w14:paraId="3C047D42" w14:textId="77777777" w:rsidR="00760B40" w:rsidRPr="00EC6C19" w:rsidRDefault="00760B40" w:rsidP="00EA7887">
      <w:pPr>
        <w:spacing w:line="360" w:lineRule="auto"/>
        <w:rPr>
          <w:rFonts w:ascii="Times New Roman" w:hAnsi="Times New Roman" w:cs="Times New Roman"/>
          <w:sz w:val="24"/>
          <w:szCs w:val="24"/>
        </w:rPr>
      </w:pPr>
    </w:p>
    <w:p w14:paraId="6459FEC9" w14:textId="24AFADEC" w:rsidR="009C2BD2" w:rsidRPr="008A7432" w:rsidRDefault="009C2BD2" w:rsidP="008A7432">
      <w:pPr>
        <w:pStyle w:val="Heading3"/>
        <w:rPr>
          <w:rFonts w:ascii="Times New Roman" w:hAnsi="Times New Roman" w:cs="Times New Roman"/>
          <w:b w:val="0"/>
          <w:bCs w:val="0"/>
          <w:i/>
          <w:iCs/>
          <w:color w:val="auto"/>
          <w:sz w:val="24"/>
          <w:szCs w:val="24"/>
        </w:rPr>
      </w:pPr>
      <w:bookmarkStart w:id="70" w:name="_Toc80302198"/>
      <w:r w:rsidRPr="008A7432">
        <w:rPr>
          <w:rFonts w:ascii="Times New Roman" w:hAnsi="Times New Roman" w:cs="Times New Roman"/>
          <w:b w:val="0"/>
          <w:bCs w:val="0"/>
          <w:i/>
          <w:iCs/>
          <w:color w:val="auto"/>
          <w:sz w:val="24"/>
          <w:szCs w:val="24"/>
        </w:rPr>
        <w:t>1.1</w:t>
      </w:r>
      <w:r w:rsidR="00162DAF">
        <w:rPr>
          <w:rFonts w:ascii="Times New Roman" w:hAnsi="Times New Roman" w:cs="Times New Roman"/>
          <w:b w:val="0"/>
          <w:bCs w:val="0"/>
          <w:i/>
          <w:iCs/>
          <w:color w:val="auto"/>
          <w:sz w:val="24"/>
          <w:szCs w:val="24"/>
        </w:rPr>
        <w:t>5.6</w:t>
      </w:r>
      <w:r w:rsidRPr="008A7432">
        <w:rPr>
          <w:rFonts w:ascii="Times New Roman" w:hAnsi="Times New Roman" w:cs="Times New Roman"/>
          <w:b w:val="0"/>
          <w:bCs w:val="0"/>
          <w:i/>
          <w:iCs/>
          <w:color w:val="auto"/>
          <w:sz w:val="24"/>
          <w:szCs w:val="24"/>
        </w:rPr>
        <w:t xml:space="preserve"> – Research Questions, Aims and Objectives</w:t>
      </w:r>
      <w:bookmarkEnd w:id="70"/>
    </w:p>
    <w:p w14:paraId="7B4FC4B4" w14:textId="2B63FBA5" w:rsidR="009C2BD2" w:rsidRDefault="009C2BD2" w:rsidP="009C2BD2">
      <w:pPr>
        <w:rPr>
          <w:rFonts w:ascii="Times New Roman" w:hAnsi="Times New Roman" w:cs="Times New Roman"/>
          <w:sz w:val="24"/>
          <w:szCs w:val="24"/>
        </w:rPr>
      </w:pPr>
    </w:p>
    <w:p w14:paraId="35B9BE49" w14:textId="09A6D073" w:rsidR="00B44090" w:rsidRDefault="00B44090" w:rsidP="009C2BD2">
      <w:pPr>
        <w:rPr>
          <w:rFonts w:ascii="Times New Roman" w:hAnsi="Times New Roman" w:cs="Times New Roman"/>
          <w:sz w:val="24"/>
          <w:szCs w:val="24"/>
        </w:rPr>
      </w:pPr>
      <w:r>
        <w:rPr>
          <w:rFonts w:ascii="Times New Roman" w:hAnsi="Times New Roman" w:cs="Times New Roman"/>
          <w:sz w:val="24"/>
          <w:szCs w:val="24"/>
        </w:rPr>
        <w:t>The main research question is whether hydrostatic effect is significant confounder when using invasive pressure-based measures of stenosis assessment</w:t>
      </w:r>
    </w:p>
    <w:p w14:paraId="5F9785C5" w14:textId="70E506C5" w:rsidR="00B44090" w:rsidRDefault="00B44090" w:rsidP="009C2BD2">
      <w:pPr>
        <w:rPr>
          <w:rFonts w:ascii="Times New Roman" w:hAnsi="Times New Roman" w:cs="Times New Roman"/>
          <w:sz w:val="24"/>
          <w:szCs w:val="24"/>
        </w:rPr>
      </w:pPr>
      <w:r>
        <w:rPr>
          <w:rFonts w:ascii="Times New Roman" w:hAnsi="Times New Roman" w:cs="Times New Roman"/>
          <w:sz w:val="24"/>
          <w:szCs w:val="24"/>
        </w:rPr>
        <w:t>The aim of this research is to quantify the magnitude of effect hydrostatic pressure exerts on the coronary circulation in each coronary artery. Once magnitude is known, one can quantify the extent of clinical inaccuracy when using pressure-based indices to assess the severity of a stenosis.</w:t>
      </w:r>
    </w:p>
    <w:p w14:paraId="1D419EB7" w14:textId="2FD28861" w:rsidR="00B44090" w:rsidRDefault="00B44090" w:rsidP="009C2BD2">
      <w:pPr>
        <w:rPr>
          <w:rFonts w:ascii="Times New Roman" w:hAnsi="Times New Roman" w:cs="Times New Roman"/>
          <w:sz w:val="24"/>
          <w:szCs w:val="24"/>
        </w:rPr>
      </w:pPr>
      <w:r>
        <w:rPr>
          <w:rFonts w:ascii="Times New Roman" w:hAnsi="Times New Roman" w:cs="Times New Roman"/>
          <w:sz w:val="24"/>
          <w:szCs w:val="24"/>
        </w:rPr>
        <w:t>The research objectives are;</w:t>
      </w:r>
    </w:p>
    <w:p w14:paraId="3AC6B127" w14:textId="3A88DFA6" w:rsidR="00B44090" w:rsidRDefault="00B44090" w:rsidP="00B44090">
      <w:pPr>
        <w:pStyle w:val="ListParagraph"/>
        <w:numPr>
          <w:ilvl w:val="0"/>
          <w:numId w:val="46"/>
        </w:numPr>
        <w:rPr>
          <w:rFonts w:ascii="Times New Roman" w:hAnsi="Times New Roman" w:cs="Times New Roman"/>
          <w:sz w:val="24"/>
          <w:szCs w:val="24"/>
        </w:rPr>
      </w:pPr>
      <w:r>
        <w:rPr>
          <w:rFonts w:ascii="Times New Roman" w:hAnsi="Times New Roman" w:cs="Times New Roman"/>
          <w:sz w:val="24"/>
          <w:szCs w:val="24"/>
        </w:rPr>
        <w:t>To map coronary anatomy using CT coronary angiogram and predict hydrostatic effect using coronary height data</w:t>
      </w:r>
    </w:p>
    <w:p w14:paraId="2FF8C95C" w14:textId="2838272D" w:rsidR="00B44090" w:rsidRDefault="00B44090" w:rsidP="00B44090">
      <w:pPr>
        <w:pStyle w:val="ListParagraph"/>
        <w:numPr>
          <w:ilvl w:val="0"/>
          <w:numId w:val="46"/>
        </w:numPr>
        <w:rPr>
          <w:rFonts w:ascii="Times New Roman" w:hAnsi="Times New Roman" w:cs="Times New Roman"/>
          <w:sz w:val="24"/>
          <w:szCs w:val="24"/>
        </w:rPr>
      </w:pPr>
      <w:r>
        <w:rPr>
          <w:rFonts w:ascii="Times New Roman" w:hAnsi="Times New Roman" w:cs="Times New Roman"/>
          <w:sz w:val="24"/>
          <w:szCs w:val="24"/>
        </w:rPr>
        <w:t>To see if CT data is accurate in vivo,</w:t>
      </w:r>
      <w:r w:rsidR="008A7432">
        <w:rPr>
          <w:rFonts w:ascii="Times New Roman" w:hAnsi="Times New Roman" w:cs="Times New Roman"/>
          <w:sz w:val="24"/>
          <w:szCs w:val="24"/>
        </w:rPr>
        <w:t xml:space="preserve"> using a new research protocol comparing prone and supine measures of coronary physiology across the same stenosis</w:t>
      </w:r>
    </w:p>
    <w:p w14:paraId="3EB1C5C3" w14:textId="44EA8FEF" w:rsidR="00A00967" w:rsidRPr="008A7432" w:rsidRDefault="008A7432" w:rsidP="008A7432">
      <w:pPr>
        <w:pStyle w:val="ListParagraph"/>
        <w:numPr>
          <w:ilvl w:val="0"/>
          <w:numId w:val="46"/>
        </w:numPr>
        <w:rPr>
          <w:rFonts w:ascii="Times New Roman" w:hAnsi="Times New Roman" w:cs="Times New Roman"/>
          <w:sz w:val="24"/>
          <w:szCs w:val="24"/>
        </w:rPr>
      </w:pPr>
      <w:r>
        <w:rPr>
          <w:rFonts w:ascii="Times New Roman" w:hAnsi="Times New Roman" w:cs="Times New Roman"/>
          <w:sz w:val="24"/>
          <w:szCs w:val="24"/>
        </w:rPr>
        <w:t>To measure coronary flow in prone and supine patient position and compare it to pressure measurements across the same stenosis</w:t>
      </w:r>
    </w:p>
    <w:p w14:paraId="44FCA75A" w14:textId="77777777" w:rsidR="00D07228" w:rsidRPr="00A00967" w:rsidRDefault="0063565B" w:rsidP="00A00967">
      <w:pPr>
        <w:pStyle w:val="Heading1"/>
        <w:rPr>
          <w:rFonts w:ascii="Times New Roman" w:eastAsiaTheme="minorHAnsi" w:hAnsi="Times New Roman" w:cs="Times New Roman"/>
          <w:bCs w:val="0"/>
          <w:color w:val="auto"/>
          <w:sz w:val="24"/>
          <w:szCs w:val="24"/>
          <w:u w:val="single"/>
        </w:rPr>
      </w:pPr>
      <w:bookmarkStart w:id="71" w:name="_Toc80302199"/>
      <w:r w:rsidRPr="00760B40">
        <w:rPr>
          <w:rFonts w:ascii="Times New Roman" w:hAnsi="Times New Roman" w:cs="Times New Roman"/>
          <w:color w:val="auto"/>
          <w:sz w:val="32"/>
          <w:szCs w:val="32"/>
        </w:rPr>
        <w:lastRenderedPageBreak/>
        <w:t xml:space="preserve">Chapter II - </w:t>
      </w:r>
      <w:r w:rsidR="00E6147A" w:rsidRPr="00760B40">
        <w:rPr>
          <w:rFonts w:ascii="Times New Roman" w:hAnsi="Times New Roman" w:cs="Times New Roman"/>
          <w:color w:val="auto"/>
          <w:sz w:val="32"/>
          <w:szCs w:val="32"/>
        </w:rPr>
        <w:t>Methods,</w:t>
      </w:r>
      <w:r w:rsidR="00EA7887" w:rsidRPr="00760B40">
        <w:rPr>
          <w:rFonts w:ascii="Times New Roman" w:hAnsi="Times New Roman" w:cs="Times New Roman"/>
          <w:color w:val="auto"/>
          <w:sz w:val="32"/>
          <w:szCs w:val="32"/>
        </w:rPr>
        <w:t xml:space="preserve"> Results</w:t>
      </w:r>
      <w:r w:rsidR="00E6147A" w:rsidRPr="00760B40">
        <w:rPr>
          <w:rFonts w:ascii="Times New Roman" w:hAnsi="Times New Roman" w:cs="Times New Roman"/>
          <w:color w:val="auto"/>
          <w:sz w:val="32"/>
          <w:szCs w:val="32"/>
        </w:rPr>
        <w:t xml:space="preserve"> and Interpretation</w:t>
      </w:r>
      <w:r w:rsidR="00EA7887" w:rsidRPr="00760B40">
        <w:rPr>
          <w:rFonts w:ascii="Times New Roman" w:hAnsi="Times New Roman" w:cs="Times New Roman"/>
          <w:color w:val="auto"/>
          <w:sz w:val="32"/>
          <w:szCs w:val="32"/>
        </w:rPr>
        <w:t xml:space="preserve"> from CT Coronary Angiography</w:t>
      </w:r>
      <w:bookmarkEnd w:id="71"/>
      <w:r w:rsidR="00A00967" w:rsidRPr="00760B40">
        <w:rPr>
          <w:rFonts w:ascii="Times New Roman" w:eastAsiaTheme="minorHAnsi" w:hAnsi="Times New Roman" w:cs="Times New Roman"/>
          <w:bCs w:val="0"/>
          <w:color w:val="auto"/>
          <w:sz w:val="32"/>
          <w:szCs w:val="32"/>
          <w:u w:val="single"/>
        </w:rPr>
        <w:br/>
      </w:r>
    </w:p>
    <w:p w14:paraId="2BACF58C" w14:textId="77777777" w:rsidR="00D07228" w:rsidRPr="00EC6C19" w:rsidRDefault="00D07228" w:rsidP="00D07228">
      <w:pPr>
        <w:spacing w:line="360" w:lineRule="auto"/>
        <w:rPr>
          <w:rFonts w:ascii="Times New Roman" w:hAnsi="Times New Roman" w:cs="Times New Roman"/>
          <w:b/>
          <w:sz w:val="24"/>
          <w:szCs w:val="24"/>
          <w:u w:val="single"/>
        </w:rPr>
      </w:pPr>
    </w:p>
    <w:p w14:paraId="2554CB23" w14:textId="77777777" w:rsidR="00D07228" w:rsidRPr="00EC6C19" w:rsidRDefault="00D07228" w:rsidP="00D07228">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Data from this chapter has been published</w:t>
      </w:r>
      <w:r w:rsidR="0046645F" w:rsidRPr="00EC6C19">
        <w:rPr>
          <w:rFonts w:ascii="Times New Roman" w:hAnsi="Times New Roman" w:cs="Times New Roman"/>
          <w:i/>
          <w:sz w:val="24"/>
          <w:szCs w:val="24"/>
        </w:rPr>
        <w:t xml:space="preserve"> in a peer review</w:t>
      </w:r>
      <w:r w:rsidR="00CD66E6">
        <w:rPr>
          <w:rFonts w:ascii="Times New Roman" w:hAnsi="Times New Roman" w:cs="Times New Roman"/>
          <w:i/>
          <w:sz w:val="24"/>
          <w:szCs w:val="24"/>
        </w:rPr>
        <w:t>ed</w:t>
      </w:r>
      <w:r w:rsidR="0046645F" w:rsidRPr="00EC6C19">
        <w:rPr>
          <w:rFonts w:ascii="Times New Roman" w:hAnsi="Times New Roman" w:cs="Times New Roman"/>
          <w:i/>
          <w:sz w:val="24"/>
          <w:szCs w:val="24"/>
        </w:rPr>
        <w:t xml:space="preserve"> journal</w:t>
      </w:r>
      <w:r w:rsidR="00E841E0" w:rsidRPr="00EC6C19">
        <w:rPr>
          <w:rFonts w:ascii="Times New Roman" w:hAnsi="Times New Roman" w:cs="Times New Roman"/>
          <w:i/>
          <w:sz w:val="24"/>
          <w:szCs w:val="24"/>
        </w:rPr>
        <w:t xml:space="preserve"> </w:t>
      </w:r>
      <w:r w:rsidR="00106A32" w:rsidRPr="00EC6C19">
        <w:rPr>
          <w:rFonts w:ascii="Times New Roman" w:hAnsi="Times New Roman" w:cs="Times New Roman"/>
          <w:i/>
          <w:sz w:val="24"/>
          <w:szCs w:val="24"/>
        </w:rPr>
        <w:fldChar w:fldCharType="begin"/>
      </w:r>
      <w:r w:rsidR="00DA1AD3" w:rsidRPr="00EC6C19">
        <w:rPr>
          <w:rFonts w:ascii="Times New Roman" w:hAnsi="Times New Roman" w:cs="Times New Roman"/>
          <w:i/>
          <w:sz w:val="24"/>
          <w:szCs w:val="24"/>
        </w:rPr>
        <w:instrText xml:space="preserve"> ADDIN ZOTERO_ITEM CSL_CITATION {"citationID":"5ynLVhrQ","properties":{"formattedCitation":"(Al-Janabi et al., 2019)","plainCitation":"(Al-Janabi et al., 2019)","noteIndex":0},"citationItems":[{"id":741,"uris":["http://zotero.org/users/local/k67tNDdX/items/R88YLU8F"],"uri":["http://zotero.org/users/local/k67tNDdX/items/R88YLU8F"],"itemData":{"id":741,"type":"article-journal","abstract":"BACKGROUND: Fractional flow reserve (FFR) uses pressure-based measurements to assess the severity of a coronary stenosis. Distal pressure (Pd) is often at a different vertical height to that of the proximal pressure (Pa). The difference in pressure between Pd and Pa due to hydrostatic pressure, may impact FFR calculation.\nMETHODS: One hundred computed tomography coronary angiographies were used to measure height differences between the coronary ostia and points in the coronary tree. Mean heights were used to calculate the hydrostatic pressure effect in each artery, using a correction factor of 0.8 mmHg/cm. This was tested in a simulation of intermediate coronary stenosis to give the \"corrected FFR\" (cFFR) and percentage of values, which crossed a threshold of 0.8.\nRESULTS: The mean height from coronary ostium to distal left anterior descending (LAD) was +5.26 cm, distal circumflex (Cx) -3.35 cm, distal right coronary artery-posterior left ventricular artery (RCA-PLV) -5.74 cm and distal RCA-posterior descending artery (PDA) +1.83 cm. For LAD, correction resulted in a mean change in FFR of +0.042, -0.027 in the Cx, -0.046 in the PLV and +0.015 in the PDA. Using 200 random FFR values between 0.75 and 0.85, the resulting cFFR crossed the clinical treatment threshold of 0.8 in 43% of LAD, 27% of Cx, 47% of PLV and 15% of PDA cases.\nCONCLUSIONS: There are significant vertical height differences between the distal artery (Pd) and its point of normalization (Pa). This is likely to have a modest effect on FFR calculation and the results in values crossing the treatment threshold. Operators should be mindful of this phenomenon when interpreting FFR values.","container-title":"Cardiology Journal","DOI":"10.5603/CJ.a2019.0031","ISSN":"1897-5593","journalAbbreviation":"Cardiol J","language":"eng","note":"PMID: 30912578","source":"PubMed","title":"Coronary artery height differences and their effect on fractional flow reserve","author":[{"family":"Al-Janabi","given":"Firas"},{"family":"Karamasis","given":"Grigoris"},{"family":"Cook","given":"Chritopher M."},{"family":"Kabir","given":"Alamgir M."},{"family":"Jagathesan","given":"Rohan O."},{"family":"Robinson","given":"Nicholas M."},{"family":"Sayer","given":"Jeremy W."},{"family":"Aggarwal","given":"Rajesh K."},{"family":"Clesham","given":"Gerald J."},{"family":"Kelly","given":"Paul R."},{"family":"Gamma","given":"Reto A."},{"family":"Tang","given":"Kare H."},{"family":"Keeble","given":"Thomas R."},{"family":"Davies","given":"John R."}],"issued":{"date-parts":[["2019",3,26]]}}}],"schema":"https://github.com/citation-style-language/schema/raw/master/csl-citation.json"} </w:instrText>
      </w:r>
      <w:r w:rsidR="00106A32" w:rsidRPr="00EC6C19">
        <w:rPr>
          <w:rFonts w:ascii="Times New Roman" w:hAnsi="Times New Roman" w:cs="Times New Roman"/>
          <w:i/>
          <w:sz w:val="24"/>
          <w:szCs w:val="24"/>
        </w:rPr>
        <w:fldChar w:fldCharType="separate"/>
      </w:r>
      <w:r w:rsidR="00D212BB" w:rsidRPr="00EC6C19">
        <w:rPr>
          <w:rFonts w:ascii="Times New Roman" w:hAnsi="Times New Roman" w:cs="Times New Roman"/>
          <w:sz w:val="24"/>
          <w:szCs w:val="24"/>
        </w:rPr>
        <w:t xml:space="preserve">(Al-Janabi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2019)</w:t>
      </w:r>
      <w:r w:rsidR="00106A32" w:rsidRPr="00EC6C19">
        <w:rPr>
          <w:rFonts w:ascii="Times New Roman" w:hAnsi="Times New Roman" w:cs="Times New Roman"/>
          <w:i/>
          <w:sz w:val="24"/>
          <w:szCs w:val="24"/>
        </w:rPr>
        <w:fldChar w:fldCharType="end"/>
      </w:r>
      <w:r w:rsidRPr="00EC6C19">
        <w:rPr>
          <w:rFonts w:ascii="Times New Roman" w:hAnsi="Times New Roman" w:cs="Times New Roman"/>
          <w:i/>
          <w:sz w:val="24"/>
          <w:szCs w:val="24"/>
        </w:rPr>
        <w:t xml:space="preserve">. For the full </w:t>
      </w:r>
      <w:r w:rsidR="00AD18EC" w:rsidRPr="00EC6C19">
        <w:rPr>
          <w:rFonts w:ascii="Times New Roman" w:hAnsi="Times New Roman" w:cs="Times New Roman"/>
          <w:i/>
          <w:sz w:val="24"/>
          <w:szCs w:val="24"/>
        </w:rPr>
        <w:t>manuscript</w:t>
      </w:r>
      <w:r w:rsidRPr="00EC6C19">
        <w:rPr>
          <w:rFonts w:ascii="Times New Roman" w:hAnsi="Times New Roman" w:cs="Times New Roman"/>
          <w:i/>
          <w:sz w:val="24"/>
          <w:szCs w:val="24"/>
        </w:rPr>
        <w:t xml:space="preserve">, </w:t>
      </w:r>
      <w:r w:rsidRPr="00F62485">
        <w:rPr>
          <w:rFonts w:ascii="Times New Roman" w:hAnsi="Times New Roman" w:cs="Times New Roman"/>
          <w:i/>
          <w:sz w:val="24"/>
          <w:szCs w:val="24"/>
        </w:rPr>
        <w:t>please see</w:t>
      </w:r>
      <w:r w:rsidR="00E841E0" w:rsidRPr="00F62485">
        <w:rPr>
          <w:rFonts w:ascii="Times New Roman" w:hAnsi="Times New Roman" w:cs="Times New Roman"/>
          <w:i/>
          <w:sz w:val="24"/>
          <w:szCs w:val="24"/>
        </w:rPr>
        <w:t xml:space="preserve"> </w:t>
      </w:r>
      <w:r w:rsidRPr="00F62485">
        <w:rPr>
          <w:rFonts w:ascii="Times New Roman" w:hAnsi="Times New Roman" w:cs="Times New Roman"/>
          <w:i/>
          <w:sz w:val="24"/>
          <w:szCs w:val="24"/>
        </w:rPr>
        <w:t xml:space="preserve">appendix </w:t>
      </w:r>
      <w:r w:rsidR="00F62485" w:rsidRPr="00F62485">
        <w:rPr>
          <w:rFonts w:ascii="Times New Roman" w:hAnsi="Times New Roman" w:cs="Times New Roman"/>
          <w:i/>
          <w:sz w:val="24"/>
          <w:szCs w:val="24"/>
        </w:rPr>
        <w:t>G</w:t>
      </w:r>
      <w:r w:rsidRPr="00F62485">
        <w:rPr>
          <w:rFonts w:ascii="Times New Roman" w:hAnsi="Times New Roman" w:cs="Times New Roman"/>
          <w:i/>
          <w:sz w:val="24"/>
          <w:szCs w:val="24"/>
        </w:rPr>
        <w:t>.</w:t>
      </w:r>
      <w:r w:rsidR="0046645F" w:rsidRPr="00EC6C19">
        <w:rPr>
          <w:rFonts w:ascii="Times New Roman" w:hAnsi="Times New Roman" w:cs="Times New Roman"/>
          <w:i/>
          <w:sz w:val="24"/>
          <w:szCs w:val="24"/>
        </w:rPr>
        <w:t xml:space="preserve"> </w:t>
      </w:r>
    </w:p>
    <w:p w14:paraId="4101B7EF" w14:textId="77777777" w:rsidR="0046645F" w:rsidRPr="00EC6C19" w:rsidRDefault="0046645F" w:rsidP="00D07228">
      <w:pPr>
        <w:spacing w:line="360" w:lineRule="auto"/>
        <w:rPr>
          <w:rFonts w:ascii="Times New Roman" w:hAnsi="Times New Roman" w:cs="Times New Roman"/>
          <w:sz w:val="24"/>
          <w:szCs w:val="24"/>
        </w:rPr>
      </w:pPr>
    </w:p>
    <w:p w14:paraId="79FA2AD5" w14:textId="77777777" w:rsidR="00D07228" w:rsidRPr="00F72488" w:rsidRDefault="0046645F"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This chapter describes the methodology and corresponding results of data collected from CT coronary angiograms retrospectively. The data was used to inform the research team if the clinical magnitude of hydrostatic effect is measureable and de</w:t>
      </w:r>
      <w:r w:rsidR="00F72488">
        <w:rPr>
          <w:rFonts w:ascii="Times New Roman" w:hAnsi="Times New Roman" w:cs="Times New Roman"/>
          <w:sz w:val="24"/>
          <w:szCs w:val="24"/>
        </w:rPr>
        <w:t xml:space="preserve">monstrable in vivo </w:t>
      </w:r>
      <w:r w:rsidR="00D13085">
        <w:rPr>
          <w:rFonts w:ascii="Times New Roman" w:hAnsi="Times New Roman" w:cs="Times New Roman"/>
          <w:sz w:val="24"/>
          <w:szCs w:val="24"/>
        </w:rPr>
        <w:br/>
      </w:r>
    </w:p>
    <w:p w14:paraId="0D4A1382" w14:textId="77777777" w:rsidR="00B86AC3" w:rsidRPr="00EC6C19" w:rsidRDefault="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Data was retrospectively collected from 100 CT coronary angiograms conducted at the Essex Cardiothoracic Centre from August 2016 to April 2017. </w:t>
      </w:r>
    </w:p>
    <w:p w14:paraId="6DDB2BE1" w14:textId="77777777" w:rsidR="00B86AC3" w:rsidRPr="00EC6C19" w:rsidRDefault="00B86AC3">
      <w:pPr>
        <w:spacing w:line="360" w:lineRule="auto"/>
        <w:rPr>
          <w:rFonts w:ascii="Times New Roman" w:hAnsi="Times New Roman" w:cs="Times New Roman"/>
          <w:sz w:val="24"/>
          <w:szCs w:val="24"/>
        </w:rPr>
      </w:pPr>
    </w:p>
    <w:p w14:paraId="0C2F45C9" w14:textId="77777777" w:rsidR="00D07228" w:rsidRPr="00F72488" w:rsidRDefault="00F72488" w:rsidP="00F72488">
      <w:pPr>
        <w:pStyle w:val="Heading2"/>
        <w:rPr>
          <w:rFonts w:ascii="Times New Roman" w:hAnsi="Times New Roman" w:cs="Times New Roman"/>
          <w:color w:val="auto"/>
          <w:sz w:val="24"/>
          <w:szCs w:val="24"/>
        </w:rPr>
      </w:pPr>
      <w:bookmarkStart w:id="72" w:name="_Toc80302200"/>
      <w:r w:rsidRPr="00F72488">
        <w:rPr>
          <w:rFonts w:ascii="Times New Roman" w:hAnsi="Times New Roman" w:cs="Times New Roman"/>
          <w:color w:val="auto"/>
          <w:sz w:val="24"/>
          <w:szCs w:val="24"/>
        </w:rPr>
        <w:t xml:space="preserve">2.1 - </w:t>
      </w:r>
      <w:r w:rsidR="00D07228" w:rsidRPr="00F72488">
        <w:rPr>
          <w:rFonts w:ascii="Times New Roman" w:hAnsi="Times New Roman" w:cs="Times New Roman"/>
          <w:color w:val="auto"/>
          <w:sz w:val="24"/>
          <w:szCs w:val="24"/>
        </w:rPr>
        <w:t>Inclusion and Exclusion Criteria</w:t>
      </w:r>
      <w:bookmarkEnd w:id="72"/>
      <w:r>
        <w:rPr>
          <w:rFonts w:ascii="Times New Roman" w:hAnsi="Times New Roman" w:cs="Times New Roman"/>
          <w:color w:val="auto"/>
          <w:sz w:val="24"/>
          <w:szCs w:val="24"/>
        </w:rPr>
        <w:br/>
      </w:r>
    </w:p>
    <w:p w14:paraId="0C94EAFE" w14:textId="77777777" w:rsidR="00D07228" w:rsidRPr="00EC6C19" w:rsidRDefault="00D07228" w:rsidP="00D07228">
      <w:pPr>
        <w:spacing w:line="360" w:lineRule="auto"/>
        <w:rPr>
          <w:rFonts w:ascii="Times New Roman" w:hAnsi="Times New Roman" w:cs="Times New Roman"/>
          <w:i/>
          <w:sz w:val="24"/>
          <w:szCs w:val="24"/>
          <w:u w:val="single"/>
        </w:rPr>
      </w:pPr>
    </w:p>
    <w:p w14:paraId="4807C3E0" w14:textId="77777777" w:rsidR="00D07228" w:rsidRPr="00F72488" w:rsidRDefault="00D07228" w:rsidP="0019652D">
      <w:pPr>
        <w:rPr>
          <w:rFonts w:ascii="Times New Roman" w:hAnsi="Times New Roman" w:cs="Times New Roman"/>
          <w:b/>
          <w:i/>
          <w:sz w:val="24"/>
          <w:szCs w:val="24"/>
        </w:rPr>
      </w:pPr>
      <w:r w:rsidRPr="00F72488">
        <w:rPr>
          <w:rFonts w:ascii="Times New Roman" w:hAnsi="Times New Roman" w:cs="Times New Roman"/>
          <w:i/>
          <w:sz w:val="24"/>
          <w:szCs w:val="24"/>
        </w:rPr>
        <w:t>Inclusion Criteria</w:t>
      </w:r>
      <w:r w:rsidR="00F72488" w:rsidRPr="00F72488">
        <w:rPr>
          <w:rFonts w:ascii="Times New Roman" w:hAnsi="Times New Roman" w:cs="Times New Roman"/>
          <w:i/>
          <w:sz w:val="24"/>
          <w:szCs w:val="24"/>
        </w:rPr>
        <w:br/>
      </w:r>
    </w:p>
    <w:p w14:paraId="6CF24BA7" w14:textId="77777777" w:rsidR="00D07228" w:rsidRPr="00EC6C19" w:rsidRDefault="00D07228" w:rsidP="00D07228">
      <w:pPr>
        <w:pStyle w:val="ListParagraph"/>
        <w:numPr>
          <w:ilvl w:val="0"/>
          <w:numId w:val="14"/>
        </w:numPr>
        <w:spacing w:line="360" w:lineRule="auto"/>
        <w:rPr>
          <w:rFonts w:ascii="Times New Roman" w:hAnsi="Times New Roman" w:cs="Times New Roman"/>
          <w:sz w:val="24"/>
          <w:szCs w:val="24"/>
        </w:rPr>
      </w:pPr>
      <w:r w:rsidRPr="00EC6C19">
        <w:rPr>
          <w:rFonts w:ascii="Times New Roman" w:hAnsi="Times New Roman" w:cs="Times New Roman"/>
          <w:sz w:val="24"/>
          <w:szCs w:val="24"/>
        </w:rPr>
        <w:t>Patients referred for assessment of suspected angina</w:t>
      </w:r>
    </w:p>
    <w:p w14:paraId="264D395C" w14:textId="77777777" w:rsidR="00D07228" w:rsidRPr="00EC6C19" w:rsidRDefault="00D07228" w:rsidP="00D07228">
      <w:pPr>
        <w:spacing w:line="360" w:lineRule="auto"/>
        <w:rPr>
          <w:rFonts w:ascii="Times New Roman" w:hAnsi="Times New Roman" w:cs="Times New Roman"/>
          <w:sz w:val="24"/>
          <w:szCs w:val="24"/>
        </w:rPr>
      </w:pPr>
    </w:p>
    <w:p w14:paraId="7B9E4347" w14:textId="77777777" w:rsidR="00D07228" w:rsidRPr="00F72488" w:rsidRDefault="00D07228" w:rsidP="0019652D">
      <w:pPr>
        <w:rPr>
          <w:rFonts w:ascii="Times New Roman" w:hAnsi="Times New Roman" w:cs="Times New Roman"/>
          <w:b/>
          <w:i/>
          <w:sz w:val="24"/>
          <w:szCs w:val="24"/>
        </w:rPr>
      </w:pPr>
      <w:r w:rsidRPr="00F72488">
        <w:rPr>
          <w:rFonts w:ascii="Times New Roman" w:hAnsi="Times New Roman" w:cs="Times New Roman"/>
          <w:i/>
          <w:sz w:val="24"/>
          <w:szCs w:val="24"/>
        </w:rPr>
        <w:t>Exclusion Criteria</w:t>
      </w:r>
      <w:r w:rsidR="00F72488" w:rsidRPr="00F72488">
        <w:rPr>
          <w:rFonts w:ascii="Times New Roman" w:hAnsi="Times New Roman" w:cs="Times New Roman"/>
          <w:i/>
          <w:sz w:val="24"/>
          <w:szCs w:val="24"/>
        </w:rPr>
        <w:br/>
      </w:r>
    </w:p>
    <w:p w14:paraId="0187F83A" w14:textId="77777777" w:rsidR="00D07228" w:rsidRPr="00EC6C19" w:rsidRDefault="00D07228" w:rsidP="00D07228">
      <w:pPr>
        <w:pStyle w:val="ListParagraph"/>
        <w:numPr>
          <w:ilvl w:val="0"/>
          <w:numId w:val="14"/>
        </w:numPr>
        <w:spacing w:line="360" w:lineRule="auto"/>
        <w:rPr>
          <w:rFonts w:ascii="Times New Roman" w:hAnsi="Times New Roman" w:cs="Times New Roman"/>
          <w:sz w:val="24"/>
          <w:szCs w:val="24"/>
        </w:rPr>
      </w:pPr>
      <w:r w:rsidRPr="00EC6C19">
        <w:rPr>
          <w:rFonts w:ascii="Times New Roman" w:hAnsi="Times New Roman" w:cs="Times New Roman"/>
          <w:sz w:val="24"/>
          <w:szCs w:val="24"/>
        </w:rPr>
        <w:t>Previous coronary artery bypass grafting</w:t>
      </w:r>
    </w:p>
    <w:p w14:paraId="584A7F3E" w14:textId="77777777" w:rsidR="00D07228" w:rsidRPr="00EC6C19" w:rsidRDefault="00D07228" w:rsidP="00D07228">
      <w:pPr>
        <w:pStyle w:val="ListParagraph"/>
        <w:numPr>
          <w:ilvl w:val="0"/>
          <w:numId w:val="14"/>
        </w:numPr>
        <w:spacing w:line="360" w:lineRule="auto"/>
        <w:rPr>
          <w:rFonts w:ascii="Times New Roman" w:hAnsi="Times New Roman" w:cs="Times New Roman"/>
          <w:sz w:val="24"/>
          <w:szCs w:val="24"/>
        </w:rPr>
      </w:pPr>
      <w:r w:rsidRPr="00EC6C19">
        <w:rPr>
          <w:rFonts w:ascii="Times New Roman" w:hAnsi="Times New Roman" w:cs="Times New Roman"/>
          <w:sz w:val="24"/>
          <w:szCs w:val="24"/>
        </w:rPr>
        <w:t>Left dominant coronary circulation</w:t>
      </w:r>
    </w:p>
    <w:p w14:paraId="3D0053E1" w14:textId="77777777" w:rsidR="00D07228" w:rsidRPr="00EC6C19" w:rsidRDefault="00D07228" w:rsidP="00D07228">
      <w:pPr>
        <w:pStyle w:val="ListParagraph"/>
        <w:numPr>
          <w:ilvl w:val="0"/>
          <w:numId w:val="14"/>
        </w:numPr>
        <w:spacing w:line="360" w:lineRule="auto"/>
        <w:rPr>
          <w:rFonts w:ascii="Times New Roman" w:hAnsi="Times New Roman" w:cs="Times New Roman"/>
          <w:sz w:val="24"/>
          <w:szCs w:val="24"/>
        </w:rPr>
      </w:pPr>
      <w:r w:rsidRPr="00EC6C19">
        <w:rPr>
          <w:rFonts w:ascii="Times New Roman" w:hAnsi="Times New Roman" w:cs="Times New Roman"/>
          <w:sz w:val="24"/>
          <w:szCs w:val="24"/>
        </w:rPr>
        <w:t>Poor image acquisition or visualisation of the coronary arteries</w:t>
      </w:r>
    </w:p>
    <w:p w14:paraId="1392C99B" w14:textId="668188C6" w:rsidR="00083ABA" w:rsidRPr="002B1641" w:rsidRDefault="000D0D7F" w:rsidP="00F72488">
      <w:pPr>
        <w:pStyle w:val="ListParagraph"/>
        <w:numPr>
          <w:ilvl w:val="0"/>
          <w:numId w:val="14"/>
        </w:numPr>
        <w:spacing w:line="360" w:lineRule="auto"/>
        <w:rPr>
          <w:rFonts w:ascii="Times New Roman" w:hAnsi="Times New Roman" w:cs="Times New Roman"/>
          <w:sz w:val="24"/>
          <w:szCs w:val="24"/>
        </w:rPr>
      </w:pPr>
      <w:r w:rsidRPr="00EC6C19">
        <w:rPr>
          <w:rFonts w:ascii="Times New Roman" w:hAnsi="Times New Roman" w:cs="Times New Roman"/>
          <w:sz w:val="24"/>
          <w:szCs w:val="24"/>
        </w:rPr>
        <w:t>U</w:t>
      </w:r>
      <w:r w:rsidR="00D07228" w:rsidRPr="00EC6C19">
        <w:rPr>
          <w:rFonts w:ascii="Times New Roman" w:hAnsi="Times New Roman" w:cs="Times New Roman"/>
          <w:sz w:val="24"/>
          <w:szCs w:val="24"/>
        </w:rPr>
        <w:t>pper rim of the CT table not visible</w:t>
      </w:r>
      <w:r w:rsidR="00272A36" w:rsidRPr="00EC6C19">
        <w:rPr>
          <w:rFonts w:ascii="Times New Roman" w:hAnsi="Times New Roman" w:cs="Times New Roman"/>
          <w:sz w:val="24"/>
          <w:szCs w:val="24"/>
        </w:rPr>
        <w:t xml:space="preserve"> (reference point for measurement)</w:t>
      </w:r>
      <w:bookmarkStart w:id="73" w:name="_Toc80302201"/>
    </w:p>
    <w:p w14:paraId="7B73E38C" w14:textId="110F5093" w:rsidR="00D07228" w:rsidRPr="00F72488" w:rsidRDefault="00F72488" w:rsidP="00F72488">
      <w:pPr>
        <w:pStyle w:val="Heading2"/>
        <w:rPr>
          <w:rFonts w:ascii="Times New Roman" w:hAnsi="Times New Roman" w:cs="Times New Roman"/>
          <w:color w:val="auto"/>
          <w:sz w:val="24"/>
          <w:szCs w:val="24"/>
        </w:rPr>
      </w:pPr>
      <w:r w:rsidRPr="00F72488">
        <w:rPr>
          <w:rFonts w:ascii="Times New Roman" w:hAnsi="Times New Roman" w:cs="Times New Roman"/>
          <w:color w:val="auto"/>
          <w:sz w:val="24"/>
          <w:szCs w:val="24"/>
        </w:rPr>
        <w:lastRenderedPageBreak/>
        <w:t xml:space="preserve">2.2 - </w:t>
      </w:r>
      <w:r w:rsidR="00D07228" w:rsidRPr="00F72488">
        <w:rPr>
          <w:rFonts w:ascii="Times New Roman" w:hAnsi="Times New Roman" w:cs="Times New Roman"/>
          <w:color w:val="auto"/>
          <w:sz w:val="24"/>
          <w:szCs w:val="24"/>
        </w:rPr>
        <w:t>CT Coronary Angiogram</w:t>
      </w:r>
      <w:bookmarkEnd w:id="73"/>
      <w:r>
        <w:rPr>
          <w:rFonts w:ascii="Times New Roman" w:hAnsi="Times New Roman" w:cs="Times New Roman"/>
          <w:color w:val="auto"/>
          <w:sz w:val="24"/>
          <w:szCs w:val="24"/>
        </w:rPr>
        <w:br/>
      </w:r>
    </w:p>
    <w:p w14:paraId="27ED6A45" w14:textId="77777777" w:rsidR="00D07228" w:rsidRPr="00EC6C19" w:rsidRDefault="00D07228" w:rsidP="00D07228">
      <w:pPr>
        <w:spacing w:line="360" w:lineRule="auto"/>
        <w:rPr>
          <w:rFonts w:ascii="Times New Roman" w:hAnsi="Times New Roman" w:cs="Times New Roman"/>
          <w:sz w:val="24"/>
          <w:szCs w:val="24"/>
        </w:rPr>
      </w:pPr>
    </w:p>
    <w:p w14:paraId="5A12AF02" w14:textId="64148566"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The CT coronary angiogram was conducted by trained radiog</w:t>
      </w:r>
      <w:r w:rsidR="00A63E36" w:rsidRPr="00EC6C19">
        <w:rPr>
          <w:rFonts w:ascii="Times New Roman" w:hAnsi="Times New Roman" w:cs="Times New Roman"/>
          <w:sz w:val="24"/>
          <w:szCs w:val="24"/>
        </w:rPr>
        <w:t>raphers</w:t>
      </w:r>
      <w:r w:rsidRPr="00EC6C19">
        <w:rPr>
          <w:rFonts w:ascii="Times New Roman" w:hAnsi="Times New Roman" w:cs="Times New Roman"/>
          <w:sz w:val="24"/>
          <w:szCs w:val="24"/>
        </w:rPr>
        <w:t xml:space="preserve"> at the Essex Cardiothoracic Centre using a 64 slice CT scanner. All patients had adequate breath holding, with a heart rate of less than 80 beats per minute. Intravenous metoprolol was used to achieve adequate heart rate control if necessary.</w:t>
      </w:r>
    </w:p>
    <w:p w14:paraId="19D0C6AE" w14:textId="77777777" w:rsidR="00D07228" w:rsidRPr="00EC6C19" w:rsidRDefault="00D07228" w:rsidP="00D07228">
      <w:pPr>
        <w:spacing w:line="360" w:lineRule="auto"/>
        <w:rPr>
          <w:rFonts w:ascii="Times New Roman" w:hAnsi="Times New Roman" w:cs="Times New Roman"/>
          <w:i/>
          <w:sz w:val="24"/>
          <w:szCs w:val="24"/>
          <w:u w:val="single"/>
        </w:rPr>
      </w:pPr>
    </w:p>
    <w:p w14:paraId="7962CAB6" w14:textId="77777777" w:rsidR="00D07228" w:rsidRPr="0019652D" w:rsidRDefault="00D07228" w:rsidP="0019652D">
      <w:pPr>
        <w:rPr>
          <w:rFonts w:ascii="Times New Roman" w:hAnsi="Times New Roman" w:cs="Times New Roman"/>
          <w:b/>
          <w:i/>
          <w:sz w:val="24"/>
          <w:szCs w:val="24"/>
        </w:rPr>
      </w:pPr>
      <w:r w:rsidRPr="00F72488">
        <w:rPr>
          <w:rFonts w:ascii="Times New Roman" w:hAnsi="Times New Roman" w:cs="Times New Roman"/>
          <w:i/>
          <w:sz w:val="24"/>
          <w:szCs w:val="24"/>
        </w:rPr>
        <w:t>Vertical Height Measurement</w:t>
      </w:r>
      <w:r w:rsidR="00F72488" w:rsidRPr="00F72488">
        <w:rPr>
          <w:rFonts w:ascii="Times New Roman" w:hAnsi="Times New Roman" w:cs="Times New Roman"/>
          <w:i/>
          <w:sz w:val="24"/>
          <w:szCs w:val="24"/>
        </w:rPr>
        <w:br/>
      </w:r>
      <w:r w:rsidR="0019652D">
        <w:rPr>
          <w:rFonts w:ascii="Times New Roman" w:hAnsi="Times New Roman" w:cs="Times New Roman"/>
          <w:b/>
          <w:i/>
          <w:sz w:val="24"/>
          <w:szCs w:val="24"/>
        </w:rPr>
        <w:br/>
      </w:r>
    </w:p>
    <w:p w14:paraId="5E07AF96"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There were several predefined measurement points in the coronary tree;</w:t>
      </w:r>
    </w:p>
    <w:p w14:paraId="67E7F6EA" w14:textId="77777777" w:rsidR="00D07228" w:rsidRPr="00EC6C19" w:rsidRDefault="00D07228" w:rsidP="00D07228">
      <w:pPr>
        <w:spacing w:line="360" w:lineRule="auto"/>
        <w:rPr>
          <w:rFonts w:ascii="Times New Roman" w:hAnsi="Times New Roman" w:cs="Times New Roman"/>
          <w:sz w:val="24"/>
          <w:szCs w:val="24"/>
        </w:rPr>
      </w:pPr>
    </w:p>
    <w:p w14:paraId="48F85EA7"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i/>
          <w:sz w:val="24"/>
          <w:szCs w:val="24"/>
        </w:rPr>
        <w:t>Left System</w:t>
      </w:r>
    </w:p>
    <w:p w14:paraId="7B53F8DE" w14:textId="77777777" w:rsidR="00D07228" w:rsidRPr="00EC6C19" w:rsidRDefault="00D07228" w:rsidP="00D07228">
      <w:pPr>
        <w:pStyle w:val="ListParagraph"/>
        <w:widowControl w:val="0"/>
        <w:autoSpaceDE w:val="0"/>
        <w:autoSpaceDN w:val="0"/>
        <w:adjustRightInd w:val="0"/>
        <w:spacing w:after="0" w:line="360" w:lineRule="auto"/>
        <w:ind w:left="360"/>
        <w:jc w:val="both"/>
        <w:rPr>
          <w:rFonts w:ascii="Times New Roman" w:hAnsi="Times New Roman" w:cs="Times New Roman"/>
          <w:sz w:val="24"/>
          <w:szCs w:val="24"/>
        </w:rPr>
      </w:pPr>
    </w:p>
    <w:p w14:paraId="5F7F526F" w14:textId="77777777" w:rsidR="00D07228" w:rsidRPr="00EC6C19" w:rsidRDefault="00D07228" w:rsidP="00D07228">
      <w:pPr>
        <w:pStyle w:val="ListParagraph"/>
        <w:widowControl w:val="0"/>
        <w:numPr>
          <w:ilvl w:val="0"/>
          <w:numId w:val="21"/>
        </w:numPr>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Left coronary ostium</w:t>
      </w:r>
    </w:p>
    <w:p w14:paraId="328A5AD8" w14:textId="77777777" w:rsidR="00D07228" w:rsidRPr="00EC6C19" w:rsidRDefault="00D07228" w:rsidP="00D07228">
      <w:pPr>
        <w:pStyle w:val="ListParagraph"/>
        <w:widowControl w:val="0"/>
        <w:numPr>
          <w:ilvl w:val="0"/>
          <w:numId w:val="21"/>
        </w:numPr>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Ostial left anterior descending (LAD)</w:t>
      </w:r>
    </w:p>
    <w:p w14:paraId="00CBE73D" w14:textId="77777777" w:rsidR="00D07228" w:rsidRPr="00EC6C19" w:rsidRDefault="00D07228" w:rsidP="00D07228">
      <w:pPr>
        <w:pStyle w:val="ListParagraph"/>
        <w:widowControl w:val="0"/>
        <w:numPr>
          <w:ilvl w:val="0"/>
          <w:numId w:val="21"/>
        </w:numPr>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Distal LAD - at its highest point</w:t>
      </w:r>
    </w:p>
    <w:p w14:paraId="2972CFAD" w14:textId="77777777" w:rsidR="00D07228" w:rsidRPr="00EC6C19" w:rsidRDefault="00D07228" w:rsidP="00D07228">
      <w:pPr>
        <w:pStyle w:val="ListParagraph"/>
        <w:widowControl w:val="0"/>
        <w:numPr>
          <w:ilvl w:val="0"/>
          <w:numId w:val="21"/>
        </w:numPr>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Distal circumflex (Cx) - at its lowest point</w:t>
      </w:r>
    </w:p>
    <w:p w14:paraId="3495E263" w14:textId="77777777"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sz w:val="24"/>
          <w:szCs w:val="24"/>
        </w:rPr>
      </w:pPr>
    </w:p>
    <w:p w14:paraId="751ABA54" w14:textId="77777777"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i/>
          <w:sz w:val="24"/>
          <w:szCs w:val="24"/>
        </w:rPr>
      </w:pPr>
      <w:r w:rsidRPr="00EC6C19">
        <w:rPr>
          <w:rFonts w:ascii="Times New Roman" w:hAnsi="Times New Roman" w:cs="Times New Roman"/>
          <w:i/>
          <w:sz w:val="24"/>
          <w:szCs w:val="24"/>
        </w:rPr>
        <w:t>Right System</w:t>
      </w:r>
    </w:p>
    <w:p w14:paraId="1D6B2037" w14:textId="77777777" w:rsidR="00D07228" w:rsidRPr="00EC6C19" w:rsidRDefault="00D07228" w:rsidP="00D07228">
      <w:pPr>
        <w:pStyle w:val="ListParagraph"/>
        <w:widowControl w:val="0"/>
        <w:autoSpaceDE w:val="0"/>
        <w:autoSpaceDN w:val="0"/>
        <w:adjustRightInd w:val="0"/>
        <w:spacing w:after="0" w:line="360" w:lineRule="auto"/>
        <w:jc w:val="both"/>
        <w:rPr>
          <w:rFonts w:ascii="Times New Roman" w:hAnsi="Times New Roman" w:cs="Times New Roman"/>
          <w:sz w:val="24"/>
          <w:szCs w:val="24"/>
        </w:rPr>
      </w:pPr>
    </w:p>
    <w:p w14:paraId="31BFAB3C" w14:textId="77777777" w:rsidR="00D07228" w:rsidRPr="00EC6C19" w:rsidRDefault="00D07228" w:rsidP="00D07228">
      <w:pPr>
        <w:pStyle w:val="ListParagraph"/>
        <w:widowControl w:val="0"/>
        <w:numPr>
          <w:ilvl w:val="0"/>
          <w:numId w:val="22"/>
        </w:numPr>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Right coronary ostium</w:t>
      </w:r>
    </w:p>
    <w:p w14:paraId="2118DAB1" w14:textId="77777777" w:rsidR="00D07228" w:rsidRPr="00EC6C19" w:rsidRDefault="00D07228" w:rsidP="00D07228">
      <w:pPr>
        <w:pStyle w:val="ListParagraph"/>
        <w:widowControl w:val="0"/>
        <w:numPr>
          <w:ilvl w:val="0"/>
          <w:numId w:val="22"/>
        </w:numPr>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Right coronary artery bifurcation</w:t>
      </w:r>
    </w:p>
    <w:p w14:paraId="518A6D20" w14:textId="77777777" w:rsidR="00D07228" w:rsidRPr="00EC6C19" w:rsidRDefault="00D07228" w:rsidP="00D07228">
      <w:pPr>
        <w:pStyle w:val="ListParagraph"/>
        <w:widowControl w:val="0"/>
        <w:numPr>
          <w:ilvl w:val="0"/>
          <w:numId w:val="22"/>
        </w:numPr>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Distal posterior descending artery (PDA) - at its highest point</w:t>
      </w:r>
    </w:p>
    <w:p w14:paraId="468940A3" w14:textId="77777777" w:rsidR="00D07228" w:rsidRPr="00EC6C19" w:rsidRDefault="00D07228" w:rsidP="00D07228">
      <w:pPr>
        <w:pStyle w:val="ListParagraph"/>
        <w:widowControl w:val="0"/>
        <w:numPr>
          <w:ilvl w:val="0"/>
          <w:numId w:val="22"/>
        </w:numPr>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Distal posterior left ventricular artery (PLV) - at its lowest point</w:t>
      </w:r>
    </w:p>
    <w:p w14:paraId="1A818928" w14:textId="77777777"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sz w:val="24"/>
          <w:szCs w:val="24"/>
        </w:rPr>
      </w:pPr>
    </w:p>
    <w:p w14:paraId="76777222" w14:textId="77777777"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The upper rim of the CT table was used as a fixed position, by which the vertical height of these points were </w:t>
      </w:r>
      <w:r w:rsidRPr="000E7233">
        <w:rPr>
          <w:rFonts w:ascii="Times New Roman" w:hAnsi="Times New Roman" w:cs="Times New Roman"/>
          <w:sz w:val="24"/>
          <w:szCs w:val="24"/>
        </w:rPr>
        <w:t xml:space="preserve">measured. Figure </w:t>
      </w:r>
      <w:r w:rsidR="000E7233" w:rsidRPr="000E7233">
        <w:rPr>
          <w:rFonts w:ascii="Times New Roman" w:hAnsi="Times New Roman" w:cs="Times New Roman"/>
          <w:sz w:val="24"/>
          <w:szCs w:val="24"/>
        </w:rPr>
        <w:t>17</w:t>
      </w:r>
      <w:r w:rsidRPr="000E7233">
        <w:rPr>
          <w:rFonts w:ascii="Times New Roman" w:hAnsi="Times New Roman" w:cs="Times New Roman"/>
          <w:sz w:val="24"/>
          <w:szCs w:val="24"/>
        </w:rPr>
        <w:t xml:space="preserve"> demonstrates</w:t>
      </w:r>
      <w:r w:rsidRPr="00EC6C19">
        <w:rPr>
          <w:rFonts w:ascii="Times New Roman" w:hAnsi="Times New Roman" w:cs="Times New Roman"/>
          <w:sz w:val="24"/>
          <w:szCs w:val="24"/>
        </w:rPr>
        <w:t xml:space="preserve"> a measurement taken from the left main stem. </w:t>
      </w:r>
      <w:r w:rsidR="000D0D7F" w:rsidRPr="00EC6C19">
        <w:rPr>
          <w:rFonts w:ascii="Times New Roman" w:hAnsi="Times New Roman" w:cs="Times New Roman"/>
          <w:sz w:val="24"/>
          <w:szCs w:val="24"/>
        </w:rPr>
        <w:t xml:space="preserve">The </w:t>
      </w:r>
      <w:r w:rsidRPr="00EC6C19">
        <w:rPr>
          <w:rFonts w:ascii="Times New Roman" w:hAnsi="Times New Roman" w:cs="Times New Roman"/>
          <w:sz w:val="24"/>
          <w:szCs w:val="24"/>
        </w:rPr>
        <w:lastRenderedPageBreak/>
        <w:t xml:space="preserve">CT table is curved, </w:t>
      </w:r>
      <w:r w:rsidR="000D0D7F" w:rsidRPr="00EC6C19">
        <w:rPr>
          <w:rFonts w:ascii="Times New Roman" w:hAnsi="Times New Roman" w:cs="Times New Roman"/>
          <w:sz w:val="24"/>
          <w:szCs w:val="24"/>
        </w:rPr>
        <w:t>so</w:t>
      </w:r>
      <w:r w:rsidRPr="00EC6C19">
        <w:rPr>
          <w:rFonts w:ascii="Times New Roman" w:hAnsi="Times New Roman" w:cs="Times New Roman"/>
          <w:sz w:val="24"/>
          <w:szCs w:val="24"/>
        </w:rPr>
        <w:t xml:space="preserve"> the lowest point </w:t>
      </w:r>
      <w:r w:rsidR="000D0D7F" w:rsidRPr="00EC6C19">
        <w:rPr>
          <w:rFonts w:ascii="Times New Roman" w:hAnsi="Times New Roman" w:cs="Times New Roman"/>
          <w:sz w:val="24"/>
          <w:szCs w:val="24"/>
        </w:rPr>
        <w:t>is the reference point</w:t>
      </w:r>
      <w:r w:rsidRPr="00EC6C19">
        <w:rPr>
          <w:rFonts w:ascii="Times New Roman" w:hAnsi="Times New Roman" w:cs="Times New Roman"/>
          <w:sz w:val="24"/>
          <w:szCs w:val="24"/>
        </w:rPr>
        <w:t xml:space="preserve">. </w:t>
      </w:r>
    </w:p>
    <w:p w14:paraId="5F6281CE" w14:textId="77777777"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sz w:val="24"/>
          <w:szCs w:val="24"/>
        </w:rPr>
      </w:pPr>
    </w:p>
    <w:p w14:paraId="611A94A0" w14:textId="77777777" w:rsidR="00D07228" w:rsidRPr="00EC6C19" w:rsidRDefault="00D07228" w:rsidP="00D07228">
      <w:pPr>
        <w:spacing w:line="360" w:lineRule="auto"/>
        <w:rPr>
          <w:rFonts w:ascii="Times New Roman" w:hAnsi="Times New Roman" w:cs="Times New Roman"/>
          <w:b/>
          <w:sz w:val="24"/>
          <w:szCs w:val="24"/>
        </w:rPr>
      </w:pPr>
      <w:r w:rsidRPr="00EC6C19">
        <w:rPr>
          <w:rFonts w:ascii="Times New Roman" w:hAnsi="Times New Roman" w:cs="Times New Roman"/>
          <w:b/>
          <w:noProof/>
          <w:sz w:val="24"/>
          <w:szCs w:val="24"/>
          <w:lang w:eastAsia="en-GB"/>
        </w:rPr>
        <w:drawing>
          <wp:inline distT="0" distB="0" distL="0" distR="0" wp14:anchorId="4B8895C1" wp14:editId="51E5F26A">
            <wp:extent cx="5943600" cy="4418768"/>
            <wp:effectExtent l="19050" t="0" r="0" b="0"/>
            <wp:docPr id="34" name="Picture 1" descr="C:\Users\Administrator\Documents\Cardiology\GRAVITY\CT Paper\CT measurement illu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Cardiology\GRAVITY\CT Paper\CT measurement illustration.png"/>
                    <pic:cNvPicPr>
                      <a:picLocks noChangeAspect="1" noChangeArrowheads="1"/>
                    </pic:cNvPicPr>
                  </pic:nvPicPr>
                  <pic:blipFill>
                    <a:blip r:embed="rId35"/>
                    <a:srcRect/>
                    <a:stretch>
                      <a:fillRect/>
                    </a:stretch>
                  </pic:blipFill>
                  <pic:spPr bwMode="auto">
                    <a:xfrm>
                      <a:off x="0" y="0"/>
                      <a:ext cx="5943600" cy="4418768"/>
                    </a:xfrm>
                    <a:prstGeom prst="rect">
                      <a:avLst/>
                    </a:prstGeom>
                    <a:noFill/>
                    <a:ln w="9525">
                      <a:noFill/>
                      <a:miter lim="800000"/>
                      <a:headEnd/>
                      <a:tailEnd/>
                    </a:ln>
                  </pic:spPr>
                </pic:pic>
              </a:graphicData>
            </a:graphic>
          </wp:inline>
        </w:drawing>
      </w:r>
    </w:p>
    <w:p w14:paraId="53C4A154" w14:textId="77777777" w:rsidR="00D07228" w:rsidRPr="000E7233" w:rsidRDefault="000E7233" w:rsidP="000E7233">
      <w:pPr>
        <w:pStyle w:val="Caption"/>
        <w:spacing w:line="360" w:lineRule="auto"/>
        <w:rPr>
          <w:rFonts w:ascii="Times New Roman" w:hAnsi="Times New Roman" w:cs="Times New Roman"/>
          <w:b w:val="0"/>
          <w:i/>
          <w:color w:val="auto"/>
          <w:sz w:val="24"/>
          <w:szCs w:val="24"/>
        </w:rPr>
      </w:pPr>
      <w:bookmarkStart w:id="74" w:name="_Toc44684906"/>
      <w:r w:rsidRPr="000E7233">
        <w:rPr>
          <w:rFonts w:ascii="Times New Roman" w:hAnsi="Times New Roman" w:cs="Times New Roman"/>
          <w:b w:val="0"/>
          <w:i/>
          <w:color w:val="auto"/>
          <w:sz w:val="24"/>
          <w:szCs w:val="24"/>
        </w:rPr>
        <w:t xml:space="preserve">Figure </w:t>
      </w:r>
      <w:r w:rsidR="00106A32" w:rsidRPr="000E7233">
        <w:rPr>
          <w:rFonts w:ascii="Times New Roman" w:hAnsi="Times New Roman" w:cs="Times New Roman"/>
          <w:b w:val="0"/>
          <w:i/>
          <w:color w:val="auto"/>
          <w:sz w:val="24"/>
          <w:szCs w:val="24"/>
        </w:rPr>
        <w:fldChar w:fldCharType="begin"/>
      </w:r>
      <w:r w:rsidRPr="000E7233">
        <w:rPr>
          <w:rFonts w:ascii="Times New Roman" w:hAnsi="Times New Roman" w:cs="Times New Roman"/>
          <w:b w:val="0"/>
          <w:i/>
          <w:color w:val="auto"/>
          <w:sz w:val="24"/>
          <w:szCs w:val="24"/>
        </w:rPr>
        <w:instrText xml:space="preserve"> SEQ Figure \* ARABIC </w:instrText>
      </w:r>
      <w:r w:rsidR="00106A32" w:rsidRPr="000E7233">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17</w:t>
      </w:r>
      <w:r w:rsidR="00106A32" w:rsidRPr="000E7233">
        <w:rPr>
          <w:rFonts w:ascii="Times New Roman" w:hAnsi="Times New Roman" w:cs="Times New Roman"/>
          <w:b w:val="0"/>
          <w:i/>
          <w:color w:val="auto"/>
          <w:sz w:val="24"/>
          <w:szCs w:val="24"/>
        </w:rPr>
        <w:fldChar w:fldCharType="end"/>
      </w:r>
      <w:r w:rsidRPr="000E7233">
        <w:rPr>
          <w:rFonts w:ascii="Times New Roman" w:hAnsi="Times New Roman" w:cs="Times New Roman"/>
          <w:b w:val="0"/>
          <w:i/>
          <w:color w:val="auto"/>
          <w:sz w:val="24"/>
          <w:szCs w:val="24"/>
        </w:rPr>
        <w:t xml:space="preserve"> -</w:t>
      </w:r>
      <w:r>
        <w:rPr>
          <w:rFonts w:ascii="Times New Roman" w:hAnsi="Times New Roman" w:cs="Times New Roman"/>
          <w:b w:val="0"/>
          <w:i/>
          <w:color w:val="auto"/>
          <w:sz w:val="24"/>
          <w:szCs w:val="24"/>
        </w:rPr>
        <w:t xml:space="preserve"> </w:t>
      </w:r>
      <w:r w:rsidRPr="000E7233">
        <w:rPr>
          <w:rFonts w:ascii="Times New Roman" w:hAnsi="Times New Roman" w:cs="Times New Roman"/>
          <w:b w:val="0"/>
          <w:i/>
          <w:color w:val="auto"/>
          <w:sz w:val="24"/>
          <w:szCs w:val="24"/>
        </w:rPr>
        <w:t xml:space="preserve">Height Measurement Using Coronary CT </w:t>
      </w:r>
      <w:r w:rsidR="00D07228" w:rsidRPr="000E7233">
        <w:rPr>
          <w:rFonts w:ascii="Times New Roman" w:hAnsi="Times New Roman" w:cs="Times New Roman"/>
          <w:b w:val="0"/>
          <w:i/>
          <w:color w:val="auto"/>
          <w:sz w:val="24"/>
          <w:szCs w:val="24"/>
        </w:rPr>
        <w:t xml:space="preserve">- demonstration of a vertical measurement between the rim of the CT table, and the left main, stem using an electronic measuring </w:t>
      </w:r>
      <w:r w:rsidR="007C7D90" w:rsidRPr="000E7233">
        <w:rPr>
          <w:rFonts w:ascii="Times New Roman" w:hAnsi="Times New Roman" w:cs="Times New Roman"/>
          <w:b w:val="0"/>
          <w:i/>
          <w:color w:val="auto"/>
          <w:sz w:val="24"/>
          <w:szCs w:val="24"/>
        </w:rPr>
        <w:t>calliper</w:t>
      </w:r>
      <w:r w:rsidR="00D07228" w:rsidRPr="000E7233">
        <w:rPr>
          <w:rFonts w:ascii="Times New Roman" w:hAnsi="Times New Roman" w:cs="Times New Roman"/>
          <w:b w:val="0"/>
          <w:i/>
          <w:color w:val="auto"/>
          <w:sz w:val="24"/>
          <w:szCs w:val="24"/>
        </w:rPr>
        <w:t>. The image is a transverse section.</w:t>
      </w:r>
      <w:bookmarkEnd w:id="74"/>
    </w:p>
    <w:p w14:paraId="396E003D" w14:textId="77777777" w:rsidR="00D07228" w:rsidRPr="00EC6C19" w:rsidRDefault="00D07228" w:rsidP="00D07228">
      <w:pPr>
        <w:spacing w:line="360" w:lineRule="auto"/>
        <w:rPr>
          <w:rFonts w:ascii="Times New Roman" w:hAnsi="Times New Roman" w:cs="Times New Roman"/>
          <w:sz w:val="24"/>
          <w:szCs w:val="24"/>
        </w:rPr>
      </w:pPr>
    </w:p>
    <w:p w14:paraId="009554C6" w14:textId="5A1D43E0"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Agfa IMPAX™ was </w:t>
      </w:r>
      <w:r w:rsidR="000D0D7F" w:rsidRPr="00EC6C19">
        <w:rPr>
          <w:rFonts w:ascii="Times New Roman" w:hAnsi="Times New Roman" w:cs="Times New Roman"/>
          <w:sz w:val="24"/>
          <w:szCs w:val="24"/>
        </w:rPr>
        <w:t xml:space="preserve">used to </w:t>
      </w:r>
      <w:r w:rsidRPr="00EC6C19">
        <w:rPr>
          <w:rFonts w:ascii="Times New Roman" w:hAnsi="Times New Roman" w:cs="Times New Roman"/>
          <w:sz w:val="24"/>
          <w:szCs w:val="24"/>
        </w:rPr>
        <w:t xml:space="preserve">view </w:t>
      </w:r>
      <w:r w:rsidR="000D0D7F" w:rsidRPr="00EC6C19">
        <w:rPr>
          <w:rFonts w:ascii="Times New Roman" w:hAnsi="Times New Roman" w:cs="Times New Roman"/>
          <w:sz w:val="24"/>
          <w:szCs w:val="24"/>
        </w:rPr>
        <w:t>and measure distance on a hospital workstation</w:t>
      </w:r>
      <w:r w:rsidRPr="00EC6C19">
        <w:rPr>
          <w:rFonts w:ascii="Times New Roman" w:hAnsi="Times New Roman" w:cs="Times New Roman"/>
          <w:sz w:val="24"/>
          <w:szCs w:val="24"/>
        </w:rPr>
        <w:t xml:space="preserve">. Measurements were taken using a contrast enhanced transverse view of the heart. </w:t>
      </w:r>
      <w:r w:rsidR="000D0D7F" w:rsidRPr="00EC6C19">
        <w:rPr>
          <w:rFonts w:ascii="Times New Roman" w:hAnsi="Times New Roman" w:cs="Times New Roman"/>
          <w:sz w:val="24"/>
          <w:szCs w:val="24"/>
        </w:rPr>
        <w:t>T</w:t>
      </w:r>
      <w:r w:rsidRPr="00EC6C19">
        <w:rPr>
          <w:rFonts w:ascii="Times New Roman" w:hAnsi="Times New Roman" w:cs="Times New Roman"/>
          <w:sz w:val="24"/>
          <w:szCs w:val="24"/>
        </w:rPr>
        <w:t xml:space="preserve">he </w:t>
      </w:r>
      <w:r w:rsidR="008F197C" w:rsidRPr="00EC6C19">
        <w:rPr>
          <w:rFonts w:ascii="Times New Roman" w:hAnsi="Times New Roman" w:cs="Times New Roman"/>
          <w:sz w:val="24"/>
          <w:szCs w:val="24"/>
        </w:rPr>
        <w:t>furthest point</w:t>
      </w:r>
      <w:r w:rsidRPr="00EC6C19">
        <w:rPr>
          <w:rFonts w:ascii="Times New Roman" w:hAnsi="Times New Roman" w:cs="Times New Roman"/>
          <w:sz w:val="24"/>
          <w:szCs w:val="24"/>
        </w:rPr>
        <w:t xml:space="preserve"> where contrast </w:t>
      </w:r>
      <w:r w:rsidR="000D0D7F" w:rsidRPr="00EC6C19">
        <w:rPr>
          <w:rFonts w:ascii="Times New Roman" w:hAnsi="Times New Roman" w:cs="Times New Roman"/>
          <w:sz w:val="24"/>
          <w:szCs w:val="24"/>
        </w:rPr>
        <w:t>penetrated was the measurement point for distal recordings</w:t>
      </w:r>
      <w:r w:rsidRPr="00EC6C19">
        <w:rPr>
          <w:rFonts w:ascii="Times New Roman" w:hAnsi="Times New Roman" w:cs="Times New Roman"/>
          <w:sz w:val="24"/>
          <w:szCs w:val="24"/>
        </w:rPr>
        <w:t xml:space="preserve">. Subtracting height values would then give the height difference two desired points. </w:t>
      </w:r>
    </w:p>
    <w:p w14:paraId="7BE1E979" w14:textId="77777777" w:rsidR="00D07228" w:rsidRPr="0019652D" w:rsidRDefault="0019652D" w:rsidP="0019652D">
      <w:pPr>
        <w:pStyle w:val="Heading2"/>
        <w:rPr>
          <w:rFonts w:ascii="Times New Roman" w:hAnsi="Times New Roman" w:cs="Times New Roman"/>
          <w:color w:val="auto"/>
          <w:sz w:val="24"/>
          <w:szCs w:val="24"/>
        </w:rPr>
      </w:pPr>
      <w:bookmarkStart w:id="75" w:name="_Toc80302202"/>
      <w:r w:rsidRPr="0019652D">
        <w:rPr>
          <w:rFonts w:ascii="Times New Roman" w:hAnsi="Times New Roman" w:cs="Times New Roman"/>
          <w:color w:val="auto"/>
          <w:sz w:val="24"/>
          <w:szCs w:val="24"/>
        </w:rPr>
        <w:t xml:space="preserve">2.3 - </w:t>
      </w:r>
      <w:r w:rsidR="00D07228" w:rsidRPr="0019652D">
        <w:rPr>
          <w:rFonts w:ascii="Times New Roman" w:hAnsi="Times New Roman" w:cs="Times New Roman"/>
          <w:color w:val="auto"/>
          <w:sz w:val="24"/>
          <w:szCs w:val="24"/>
        </w:rPr>
        <w:t>FFR Mathematical Model</w:t>
      </w:r>
      <w:bookmarkEnd w:id="75"/>
      <w:r>
        <w:rPr>
          <w:rFonts w:ascii="Times New Roman" w:hAnsi="Times New Roman" w:cs="Times New Roman"/>
          <w:color w:val="auto"/>
          <w:sz w:val="24"/>
          <w:szCs w:val="24"/>
        </w:rPr>
        <w:br/>
      </w:r>
    </w:p>
    <w:p w14:paraId="24C6B3FB" w14:textId="77777777" w:rsidR="00D07228" w:rsidRPr="00EC6C19" w:rsidRDefault="00D07228" w:rsidP="00D07228">
      <w:pPr>
        <w:spacing w:line="360" w:lineRule="auto"/>
        <w:rPr>
          <w:rFonts w:ascii="Times New Roman" w:hAnsi="Times New Roman" w:cs="Times New Roman"/>
          <w:sz w:val="24"/>
          <w:szCs w:val="24"/>
          <w:u w:val="single"/>
        </w:rPr>
      </w:pPr>
    </w:p>
    <w:p w14:paraId="75F36E49" w14:textId="77777777" w:rsidR="00D07228" w:rsidRPr="00EC6C19" w:rsidRDefault="004657DE"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The height in centimetres</w:t>
      </w:r>
      <w:r w:rsidR="000D0D7F" w:rsidRPr="00EC6C19">
        <w:rPr>
          <w:rFonts w:ascii="Times New Roman" w:hAnsi="Times New Roman" w:cs="Times New Roman"/>
          <w:sz w:val="24"/>
          <w:szCs w:val="24"/>
        </w:rPr>
        <w:t xml:space="preserve"> multiplied by 0.8 provided hydrostatic effect in mmHg</w:t>
      </w:r>
      <w:r w:rsidR="00D07228" w:rsidRPr="00EC6C19">
        <w:rPr>
          <w:rFonts w:ascii="Times New Roman" w:hAnsi="Times New Roman" w:cs="Times New Roman"/>
          <w:sz w:val="24"/>
          <w:szCs w:val="24"/>
        </w:rPr>
        <w:t>. This change for each measureme</w:t>
      </w:r>
      <w:r w:rsidR="0084626E" w:rsidRPr="00EC6C19">
        <w:rPr>
          <w:rFonts w:ascii="Times New Roman" w:hAnsi="Times New Roman" w:cs="Times New Roman"/>
          <w:sz w:val="24"/>
          <w:szCs w:val="24"/>
        </w:rPr>
        <w:t>nt point will be factored into 1</w:t>
      </w:r>
      <w:r w:rsidR="00D07228" w:rsidRPr="00EC6C19">
        <w:rPr>
          <w:rFonts w:ascii="Times New Roman" w:hAnsi="Times New Roman" w:cs="Times New Roman"/>
          <w:sz w:val="24"/>
          <w:szCs w:val="24"/>
        </w:rPr>
        <w:t>00 randomly generated FFR values between 0.75 and 0.85 using Microsoft Excel ™. The resulting corrected FFR (cFFR) will be compared to the original FFR. The percentage of these values above and below the threshold of 0.8 will be compared between FFR and cFFR to</w:t>
      </w:r>
      <w:r w:rsidR="000D0D7F" w:rsidRPr="00EC6C19">
        <w:rPr>
          <w:rFonts w:ascii="Times New Roman" w:hAnsi="Times New Roman" w:cs="Times New Roman"/>
          <w:sz w:val="24"/>
          <w:szCs w:val="24"/>
        </w:rPr>
        <w:t xml:space="preserve"> determine percentage discordance</w:t>
      </w:r>
      <w:r w:rsidR="00D07228" w:rsidRPr="00EC6C19">
        <w:rPr>
          <w:rFonts w:ascii="Times New Roman" w:hAnsi="Times New Roman" w:cs="Times New Roman"/>
          <w:sz w:val="24"/>
          <w:szCs w:val="24"/>
        </w:rPr>
        <w:t>.</w:t>
      </w:r>
    </w:p>
    <w:p w14:paraId="16DAD903" w14:textId="77777777" w:rsidR="00D07228" w:rsidRPr="00EC6C19" w:rsidRDefault="00D07228" w:rsidP="00D07228">
      <w:pPr>
        <w:spacing w:line="360" w:lineRule="auto"/>
        <w:rPr>
          <w:rFonts w:ascii="Times New Roman" w:hAnsi="Times New Roman" w:cs="Times New Roman"/>
          <w:b/>
          <w:sz w:val="24"/>
          <w:szCs w:val="24"/>
        </w:rPr>
      </w:pPr>
    </w:p>
    <w:p w14:paraId="64C4108B" w14:textId="77777777" w:rsidR="00D07228" w:rsidRPr="0019652D" w:rsidRDefault="0019652D" w:rsidP="0019652D">
      <w:pPr>
        <w:pStyle w:val="Heading2"/>
        <w:rPr>
          <w:rFonts w:ascii="Times New Roman" w:hAnsi="Times New Roman" w:cs="Times New Roman"/>
          <w:color w:val="auto"/>
          <w:sz w:val="24"/>
          <w:szCs w:val="24"/>
        </w:rPr>
      </w:pPr>
      <w:bookmarkStart w:id="76" w:name="_Toc80302203"/>
      <w:r w:rsidRPr="0019652D">
        <w:rPr>
          <w:rFonts w:ascii="Times New Roman" w:hAnsi="Times New Roman" w:cs="Times New Roman"/>
          <w:color w:val="auto"/>
          <w:sz w:val="24"/>
          <w:szCs w:val="24"/>
        </w:rPr>
        <w:t xml:space="preserve">2.4 - </w:t>
      </w:r>
      <w:r w:rsidR="00D07228" w:rsidRPr="0019652D">
        <w:rPr>
          <w:rFonts w:ascii="Times New Roman" w:hAnsi="Times New Roman" w:cs="Times New Roman"/>
          <w:color w:val="auto"/>
          <w:sz w:val="24"/>
          <w:szCs w:val="24"/>
        </w:rPr>
        <w:t>Statistical Analysis</w:t>
      </w:r>
      <w:bookmarkEnd w:id="76"/>
      <w:r>
        <w:rPr>
          <w:rFonts w:ascii="Times New Roman" w:hAnsi="Times New Roman" w:cs="Times New Roman"/>
          <w:color w:val="auto"/>
          <w:sz w:val="24"/>
          <w:szCs w:val="24"/>
        </w:rPr>
        <w:br/>
      </w:r>
    </w:p>
    <w:p w14:paraId="50BB9723" w14:textId="77777777" w:rsidR="00D07228" w:rsidRPr="00EC6C19" w:rsidRDefault="00D07228" w:rsidP="00D07228">
      <w:pPr>
        <w:spacing w:line="360" w:lineRule="auto"/>
        <w:rPr>
          <w:rFonts w:ascii="Times New Roman" w:hAnsi="Times New Roman" w:cs="Times New Roman"/>
          <w:i/>
          <w:sz w:val="24"/>
          <w:szCs w:val="24"/>
          <w:u w:val="single"/>
        </w:rPr>
      </w:pPr>
    </w:p>
    <w:p w14:paraId="47A1F01B" w14:textId="62517A38"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Continuous variables are expressed as mean values plus or minus standard deviation. Categorical variables are described as numbers and percentages. Statistical significance of coronary height variations </w:t>
      </w:r>
      <w:r w:rsidR="008F197C" w:rsidRPr="00EC6C19">
        <w:rPr>
          <w:rFonts w:ascii="Times New Roman" w:hAnsi="Times New Roman" w:cs="Times New Roman"/>
          <w:sz w:val="24"/>
          <w:szCs w:val="24"/>
        </w:rPr>
        <w:t>was</w:t>
      </w:r>
      <w:r w:rsidRPr="00EC6C19">
        <w:rPr>
          <w:rFonts w:ascii="Times New Roman" w:hAnsi="Times New Roman" w:cs="Times New Roman"/>
          <w:sz w:val="24"/>
          <w:szCs w:val="24"/>
        </w:rPr>
        <w:t xml:space="preserve"> calculated using the Student t test.</w:t>
      </w:r>
    </w:p>
    <w:p w14:paraId="2A852635" w14:textId="77777777" w:rsidR="00D07228" w:rsidRPr="00EC6C19" w:rsidRDefault="00D07228" w:rsidP="00D07228">
      <w:pPr>
        <w:spacing w:line="360" w:lineRule="auto"/>
        <w:rPr>
          <w:rFonts w:ascii="Times New Roman" w:hAnsi="Times New Roman" w:cs="Times New Roman"/>
          <w:i/>
          <w:sz w:val="24"/>
          <w:szCs w:val="24"/>
          <w:u w:val="single"/>
        </w:rPr>
      </w:pPr>
    </w:p>
    <w:p w14:paraId="51179665" w14:textId="77777777" w:rsidR="00D07228" w:rsidRPr="00EC6C19" w:rsidRDefault="00D07228" w:rsidP="00D07228">
      <w:pPr>
        <w:spacing w:line="360" w:lineRule="auto"/>
        <w:rPr>
          <w:rFonts w:ascii="Times New Roman" w:hAnsi="Times New Roman" w:cs="Times New Roman"/>
          <w:i/>
          <w:sz w:val="24"/>
          <w:szCs w:val="24"/>
          <w:u w:val="single"/>
        </w:rPr>
      </w:pPr>
    </w:p>
    <w:p w14:paraId="10F1840D" w14:textId="77777777" w:rsidR="0019652D" w:rsidRDefault="0019652D" w:rsidP="0019652D">
      <w:pPr>
        <w:pStyle w:val="Heading2"/>
        <w:rPr>
          <w:rFonts w:ascii="Times New Roman" w:hAnsi="Times New Roman" w:cs="Times New Roman"/>
          <w:color w:val="auto"/>
          <w:sz w:val="24"/>
          <w:szCs w:val="24"/>
        </w:rPr>
      </w:pPr>
      <w:bookmarkStart w:id="77" w:name="_Toc80302204"/>
      <w:r w:rsidRPr="0019652D">
        <w:rPr>
          <w:rFonts w:ascii="Times New Roman" w:hAnsi="Times New Roman" w:cs="Times New Roman"/>
          <w:color w:val="auto"/>
          <w:sz w:val="24"/>
          <w:szCs w:val="24"/>
        </w:rPr>
        <w:t xml:space="preserve">2.5 - </w:t>
      </w:r>
      <w:r w:rsidR="00D07228" w:rsidRPr="0019652D">
        <w:rPr>
          <w:rFonts w:ascii="Times New Roman" w:hAnsi="Times New Roman" w:cs="Times New Roman"/>
          <w:color w:val="auto"/>
          <w:sz w:val="24"/>
          <w:szCs w:val="24"/>
        </w:rPr>
        <w:t>Results</w:t>
      </w:r>
      <w:bookmarkEnd w:id="77"/>
      <w:r>
        <w:rPr>
          <w:rFonts w:ascii="Times New Roman" w:hAnsi="Times New Roman" w:cs="Times New Roman"/>
          <w:color w:val="auto"/>
          <w:sz w:val="24"/>
          <w:szCs w:val="24"/>
        </w:rPr>
        <w:br/>
      </w:r>
    </w:p>
    <w:p w14:paraId="1C6394A8" w14:textId="77777777" w:rsidR="0019652D" w:rsidRDefault="0019652D" w:rsidP="0019652D">
      <w:pPr>
        <w:rPr>
          <w:rFonts w:ascii="Times New Roman" w:hAnsi="Times New Roman" w:cs="Times New Roman"/>
          <w:i/>
          <w:sz w:val="24"/>
          <w:szCs w:val="24"/>
        </w:rPr>
      </w:pPr>
    </w:p>
    <w:p w14:paraId="334AB1C5" w14:textId="77777777" w:rsidR="0019652D" w:rsidRPr="0019652D" w:rsidRDefault="0019652D" w:rsidP="0019652D">
      <w:pPr>
        <w:pStyle w:val="Heading3"/>
        <w:rPr>
          <w:rFonts w:ascii="Times New Roman" w:hAnsi="Times New Roman" w:cs="Times New Roman"/>
          <w:b w:val="0"/>
          <w:i/>
          <w:color w:val="auto"/>
          <w:sz w:val="24"/>
          <w:szCs w:val="24"/>
        </w:rPr>
      </w:pPr>
      <w:bookmarkStart w:id="78" w:name="_Toc80302205"/>
      <w:r w:rsidRPr="0019652D">
        <w:rPr>
          <w:rFonts w:ascii="Times New Roman" w:hAnsi="Times New Roman" w:cs="Times New Roman"/>
          <w:b w:val="0"/>
          <w:i/>
          <w:color w:val="auto"/>
          <w:sz w:val="24"/>
          <w:szCs w:val="24"/>
        </w:rPr>
        <w:t>2.5.1 - Patient Demographics</w:t>
      </w:r>
      <w:bookmarkEnd w:id="78"/>
      <w:r>
        <w:rPr>
          <w:rFonts w:ascii="Times New Roman" w:hAnsi="Times New Roman" w:cs="Times New Roman"/>
          <w:b w:val="0"/>
          <w:i/>
          <w:color w:val="auto"/>
          <w:sz w:val="24"/>
          <w:szCs w:val="24"/>
        </w:rPr>
        <w:br/>
      </w:r>
    </w:p>
    <w:p w14:paraId="5392AA02" w14:textId="77777777" w:rsidR="00D07228" w:rsidRPr="00EC6C19" w:rsidRDefault="00D07228" w:rsidP="00D07228">
      <w:pPr>
        <w:spacing w:line="360" w:lineRule="auto"/>
        <w:rPr>
          <w:rFonts w:ascii="Times New Roman" w:hAnsi="Times New Roman" w:cs="Times New Roman"/>
          <w:b/>
          <w:sz w:val="24"/>
          <w:szCs w:val="24"/>
        </w:rPr>
      </w:pPr>
    </w:p>
    <w:p w14:paraId="3C90E798" w14:textId="77777777" w:rsidR="00D07228"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Patient demographics are </w:t>
      </w:r>
      <w:r w:rsidRPr="003E6610">
        <w:rPr>
          <w:rFonts w:ascii="Times New Roman" w:hAnsi="Times New Roman" w:cs="Times New Roman"/>
          <w:sz w:val="24"/>
          <w:szCs w:val="24"/>
        </w:rPr>
        <w:t xml:space="preserve">summarised in Table </w:t>
      </w:r>
      <w:r w:rsidR="003E6610" w:rsidRPr="003E6610">
        <w:rPr>
          <w:rFonts w:ascii="Times New Roman" w:hAnsi="Times New Roman" w:cs="Times New Roman"/>
          <w:sz w:val="24"/>
          <w:szCs w:val="24"/>
        </w:rPr>
        <w:t>3.</w:t>
      </w:r>
    </w:p>
    <w:p w14:paraId="1E117608" w14:textId="77777777" w:rsidR="00FC4967" w:rsidRDefault="00FC4967" w:rsidP="00D07228">
      <w:pPr>
        <w:spacing w:line="360" w:lineRule="auto"/>
        <w:rPr>
          <w:rFonts w:ascii="Times New Roman" w:hAnsi="Times New Roman" w:cs="Times New Roman"/>
          <w:sz w:val="24"/>
          <w:szCs w:val="24"/>
        </w:rPr>
      </w:pPr>
    </w:p>
    <w:p w14:paraId="1EE9D325" w14:textId="77777777" w:rsidR="00FC4967" w:rsidRPr="00EC6C19" w:rsidRDefault="00FC4967" w:rsidP="00D07228">
      <w:pPr>
        <w:spacing w:line="360" w:lineRule="auto"/>
        <w:rPr>
          <w:rFonts w:ascii="Times New Roman" w:hAnsi="Times New Roman" w:cs="Times New Roman"/>
          <w:sz w:val="24"/>
          <w:szCs w:val="24"/>
        </w:rPr>
      </w:pPr>
    </w:p>
    <w:p w14:paraId="0B55FBCD" w14:textId="77777777" w:rsidR="00D07228" w:rsidRPr="00EC6C19" w:rsidRDefault="00D07228" w:rsidP="00D07228">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4709"/>
        <w:gridCol w:w="4651"/>
      </w:tblGrid>
      <w:tr w:rsidR="00D07228" w:rsidRPr="00EC6C19" w14:paraId="3B4F182C" w14:textId="77777777" w:rsidTr="00F31D6C">
        <w:tc>
          <w:tcPr>
            <w:tcW w:w="4788" w:type="dxa"/>
            <w:tcBorders>
              <w:bottom w:val="single" w:sz="18" w:space="0" w:color="000000" w:themeColor="text1"/>
            </w:tcBorders>
            <w:shd w:val="clear" w:color="auto" w:fill="F2F2F2" w:themeFill="background1" w:themeFillShade="F2"/>
          </w:tcPr>
          <w:p w14:paraId="7CA99447"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Characteristic</w:t>
            </w:r>
          </w:p>
          <w:p w14:paraId="10AA5976"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sz w:val="24"/>
                <w:szCs w:val="24"/>
              </w:rPr>
            </w:pPr>
          </w:p>
        </w:tc>
        <w:tc>
          <w:tcPr>
            <w:tcW w:w="4788" w:type="dxa"/>
            <w:tcBorders>
              <w:bottom w:val="single" w:sz="18" w:space="0" w:color="000000" w:themeColor="text1"/>
            </w:tcBorders>
            <w:shd w:val="clear" w:color="auto" w:fill="F2F2F2" w:themeFill="background1" w:themeFillShade="F2"/>
          </w:tcPr>
          <w:p w14:paraId="7236CC78" w14:textId="423E4BAC"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Number</w:t>
            </w:r>
            <w:r w:rsidR="00D570A2">
              <w:rPr>
                <w:rFonts w:ascii="Times New Roman" w:hAnsi="Times New Roman" w:cs="Times New Roman"/>
                <w:sz w:val="24"/>
                <w:szCs w:val="24"/>
              </w:rPr>
              <w:t xml:space="preserve"> (</w:t>
            </w:r>
            <w:r w:rsidR="00FA5AC2">
              <w:rPr>
                <w:rFonts w:ascii="Times New Roman" w:hAnsi="Times New Roman" w:cs="Times New Roman"/>
                <w:sz w:val="24"/>
                <w:szCs w:val="24"/>
              </w:rPr>
              <w:t>±</w:t>
            </w:r>
            <w:r w:rsidR="00D570A2">
              <w:rPr>
                <w:rFonts w:ascii="Times New Roman" w:hAnsi="Times New Roman" w:cs="Times New Roman"/>
                <w:sz w:val="24"/>
                <w:szCs w:val="24"/>
              </w:rPr>
              <w:t xml:space="preserve"> SD)</w:t>
            </w:r>
          </w:p>
        </w:tc>
      </w:tr>
      <w:tr w:rsidR="00D07228" w:rsidRPr="00EC6C19" w14:paraId="7F1E0516" w14:textId="77777777" w:rsidTr="00F31D6C">
        <w:tc>
          <w:tcPr>
            <w:tcW w:w="4788" w:type="dxa"/>
            <w:tcBorders>
              <w:top w:val="single" w:sz="18" w:space="0" w:color="000000" w:themeColor="text1"/>
            </w:tcBorders>
            <w:shd w:val="clear" w:color="auto" w:fill="FFFFFF" w:themeFill="background1"/>
          </w:tcPr>
          <w:p w14:paraId="645F1E22"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lastRenderedPageBreak/>
              <w:t>Age</w:t>
            </w:r>
          </w:p>
          <w:p w14:paraId="3013E980"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4788" w:type="dxa"/>
            <w:tcBorders>
              <w:top w:val="single" w:sz="18" w:space="0" w:color="000000" w:themeColor="text1"/>
            </w:tcBorders>
            <w:shd w:val="clear" w:color="auto" w:fill="FFFFFF" w:themeFill="background1"/>
          </w:tcPr>
          <w:p w14:paraId="06F1A39A" w14:textId="0F3159BF" w:rsidR="00D07228" w:rsidRPr="00EC6C19" w:rsidRDefault="00D07228" w:rsidP="003D1808">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55.9</w:t>
            </w:r>
            <w:r w:rsidR="00D570A2">
              <w:rPr>
                <w:rFonts w:ascii="Times New Roman" w:hAnsi="Times New Roman" w:cs="Times New Roman"/>
                <w:sz w:val="24"/>
                <w:szCs w:val="24"/>
              </w:rPr>
              <w:t xml:space="preserve"> (</w:t>
            </w:r>
            <w:r w:rsidR="00F26419">
              <w:rPr>
                <w:rFonts w:ascii="Times New Roman" w:hAnsi="Times New Roman" w:cs="Times New Roman"/>
                <w:sz w:val="24"/>
                <w:szCs w:val="24"/>
              </w:rPr>
              <w:t>±</w:t>
            </w:r>
            <w:r w:rsidR="00D570A2">
              <w:rPr>
                <w:rFonts w:ascii="Times New Roman" w:hAnsi="Times New Roman" w:cs="Times New Roman"/>
                <w:sz w:val="24"/>
                <w:szCs w:val="24"/>
              </w:rPr>
              <w:t xml:space="preserve"> 11.2)</w:t>
            </w:r>
          </w:p>
        </w:tc>
      </w:tr>
      <w:tr w:rsidR="00D07228" w:rsidRPr="00EC6C19" w14:paraId="58DFC29A" w14:textId="77777777" w:rsidTr="003D1808">
        <w:tc>
          <w:tcPr>
            <w:tcW w:w="4788" w:type="dxa"/>
            <w:shd w:val="clear" w:color="auto" w:fill="FFFFFF" w:themeFill="background1"/>
          </w:tcPr>
          <w:p w14:paraId="3DB61B66"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Female</w:t>
            </w:r>
          </w:p>
          <w:p w14:paraId="0E45DC05"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4788" w:type="dxa"/>
            <w:shd w:val="clear" w:color="auto" w:fill="FFFFFF" w:themeFill="background1"/>
          </w:tcPr>
          <w:p w14:paraId="291655A1"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68</w:t>
            </w:r>
          </w:p>
        </w:tc>
      </w:tr>
      <w:tr w:rsidR="00D07228" w:rsidRPr="00EC6C19" w14:paraId="297F8A82" w14:textId="77777777" w:rsidTr="003D1808">
        <w:tc>
          <w:tcPr>
            <w:tcW w:w="4788" w:type="dxa"/>
            <w:shd w:val="clear" w:color="auto" w:fill="FFFFFF" w:themeFill="background1"/>
          </w:tcPr>
          <w:p w14:paraId="1B3961DE"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Current smoker</w:t>
            </w:r>
          </w:p>
          <w:p w14:paraId="036C45EA"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4788" w:type="dxa"/>
            <w:shd w:val="clear" w:color="auto" w:fill="FFFFFF" w:themeFill="background1"/>
          </w:tcPr>
          <w:p w14:paraId="6BC2C153"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12</w:t>
            </w:r>
          </w:p>
        </w:tc>
      </w:tr>
      <w:tr w:rsidR="00D07228" w:rsidRPr="00EC6C19" w14:paraId="3BA2AB3F" w14:textId="77777777" w:rsidTr="003D1808">
        <w:tc>
          <w:tcPr>
            <w:tcW w:w="4788" w:type="dxa"/>
            <w:shd w:val="clear" w:color="auto" w:fill="FFFFFF" w:themeFill="background1"/>
          </w:tcPr>
          <w:p w14:paraId="1CF172B9"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Ex-smoker</w:t>
            </w:r>
          </w:p>
          <w:p w14:paraId="75CAE058"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4788" w:type="dxa"/>
            <w:shd w:val="clear" w:color="auto" w:fill="FFFFFF" w:themeFill="background1"/>
          </w:tcPr>
          <w:p w14:paraId="030D9891"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19</w:t>
            </w:r>
          </w:p>
        </w:tc>
      </w:tr>
      <w:tr w:rsidR="00D07228" w:rsidRPr="00EC6C19" w14:paraId="4281D710" w14:textId="77777777" w:rsidTr="003D1808">
        <w:tc>
          <w:tcPr>
            <w:tcW w:w="4788" w:type="dxa"/>
            <w:shd w:val="clear" w:color="auto" w:fill="FFFFFF" w:themeFill="background1"/>
          </w:tcPr>
          <w:p w14:paraId="6A906F0C"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Hypertension</w:t>
            </w:r>
          </w:p>
          <w:p w14:paraId="42010410"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4788" w:type="dxa"/>
            <w:shd w:val="clear" w:color="auto" w:fill="FFFFFF" w:themeFill="background1"/>
          </w:tcPr>
          <w:p w14:paraId="3C05B873"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33</w:t>
            </w:r>
          </w:p>
        </w:tc>
      </w:tr>
      <w:tr w:rsidR="00D07228" w:rsidRPr="00EC6C19" w14:paraId="3AA4A49F" w14:textId="77777777" w:rsidTr="003D1808">
        <w:tc>
          <w:tcPr>
            <w:tcW w:w="4788" w:type="dxa"/>
            <w:shd w:val="clear" w:color="auto" w:fill="FFFFFF" w:themeFill="background1"/>
          </w:tcPr>
          <w:p w14:paraId="0A245F00"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Hypercholesterolaemia</w:t>
            </w:r>
          </w:p>
          <w:p w14:paraId="305D42D7"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4788" w:type="dxa"/>
            <w:shd w:val="clear" w:color="auto" w:fill="FFFFFF" w:themeFill="background1"/>
          </w:tcPr>
          <w:p w14:paraId="04DA02A8"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25</w:t>
            </w:r>
          </w:p>
        </w:tc>
      </w:tr>
      <w:tr w:rsidR="00D07228" w:rsidRPr="00EC6C19" w14:paraId="7AF253A4" w14:textId="77777777" w:rsidTr="003D1808">
        <w:tc>
          <w:tcPr>
            <w:tcW w:w="4788" w:type="dxa"/>
            <w:shd w:val="clear" w:color="auto" w:fill="FFFFFF" w:themeFill="background1"/>
          </w:tcPr>
          <w:p w14:paraId="594C4D70"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Family History</w:t>
            </w:r>
          </w:p>
          <w:p w14:paraId="5F43AE2F"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4788" w:type="dxa"/>
            <w:shd w:val="clear" w:color="auto" w:fill="FFFFFF" w:themeFill="background1"/>
          </w:tcPr>
          <w:p w14:paraId="427E1B83"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24</w:t>
            </w:r>
          </w:p>
        </w:tc>
      </w:tr>
      <w:tr w:rsidR="00D07228" w:rsidRPr="00EC6C19" w14:paraId="6E6338C7" w14:textId="77777777" w:rsidTr="003D1808">
        <w:tc>
          <w:tcPr>
            <w:tcW w:w="4788" w:type="dxa"/>
            <w:shd w:val="clear" w:color="auto" w:fill="FFFFFF" w:themeFill="background1"/>
          </w:tcPr>
          <w:p w14:paraId="3D7FBFBA"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Ejection Fraction</w:t>
            </w:r>
          </w:p>
          <w:p w14:paraId="68EB13DE" w14:textId="77777777" w:rsidR="00D07228" w:rsidRPr="00EC6C19" w:rsidRDefault="00D07228" w:rsidP="003D1808">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4788" w:type="dxa"/>
            <w:shd w:val="clear" w:color="auto" w:fill="FFFFFF" w:themeFill="background1"/>
          </w:tcPr>
          <w:p w14:paraId="1D660890" w14:textId="39744DF8" w:rsidR="00D07228" w:rsidRPr="00EC6C19" w:rsidRDefault="00D07228" w:rsidP="003D1808">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54.8%</w:t>
            </w:r>
            <w:r w:rsidR="00D570A2">
              <w:rPr>
                <w:rFonts w:ascii="Times New Roman" w:hAnsi="Times New Roman" w:cs="Times New Roman"/>
                <w:sz w:val="24"/>
                <w:szCs w:val="24"/>
              </w:rPr>
              <w:t xml:space="preserve"> (</w:t>
            </w:r>
            <w:r w:rsidR="00F26419">
              <w:rPr>
                <w:rFonts w:ascii="Times New Roman" w:hAnsi="Times New Roman" w:cs="Times New Roman"/>
                <w:sz w:val="24"/>
                <w:szCs w:val="24"/>
              </w:rPr>
              <w:t>±</w:t>
            </w:r>
            <w:r w:rsidR="00D570A2">
              <w:rPr>
                <w:rFonts w:ascii="Times New Roman" w:hAnsi="Times New Roman" w:cs="Times New Roman"/>
                <w:sz w:val="24"/>
                <w:szCs w:val="24"/>
              </w:rPr>
              <w:t>14.6)</w:t>
            </w:r>
          </w:p>
        </w:tc>
      </w:tr>
    </w:tbl>
    <w:p w14:paraId="6F861A88" w14:textId="77777777" w:rsidR="00A14398" w:rsidRPr="00EC6C19" w:rsidRDefault="00A14398" w:rsidP="00D07228">
      <w:pPr>
        <w:widowControl w:val="0"/>
        <w:autoSpaceDE w:val="0"/>
        <w:autoSpaceDN w:val="0"/>
        <w:adjustRightInd w:val="0"/>
        <w:spacing w:after="0" w:line="240" w:lineRule="auto"/>
        <w:jc w:val="both"/>
        <w:rPr>
          <w:rFonts w:ascii="Times New Roman" w:hAnsi="Times New Roman" w:cs="Times New Roman"/>
          <w:i/>
          <w:sz w:val="24"/>
          <w:szCs w:val="24"/>
        </w:rPr>
      </w:pPr>
    </w:p>
    <w:p w14:paraId="06B4D782" w14:textId="77777777" w:rsidR="00D07228" w:rsidRPr="003E6610" w:rsidRDefault="003E6610" w:rsidP="003E6610">
      <w:pPr>
        <w:pStyle w:val="Caption"/>
        <w:spacing w:line="360" w:lineRule="auto"/>
        <w:rPr>
          <w:rFonts w:ascii="Times New Roman" w:hAnsi="Times New Roman" w:cs="Times New Roman"/>
          <w:b w:val="0"/>
          <w:i/>
          <w:color w:val="auto"/>
          <w:sz w:val="24"/>
          <w:szCs w:val="24"/>
        </w:rPr>
      </w:pPr>
      <w:bookmarkStart w:id="79" w:name="_Toc44962579"/>
      <w:r w:rsidRPr="003E6610">
        <w:rPr>
          <w:rFonts w:ascii="Times New Roman" w:hAnsi="Times New Roman" w:cs="Times New Roman"/>
          <w:b w:val="0"/>
          <w:i/>
          <w:color w:val="auto"/>
          <w:sz w:val="24"/>
          <w:szCs w:val="24"/>
        </w:rPr>
        <w:t xml:space="preserve">Table </w:t>
      </w:r>
      <w:r w:rsidR="00106A32" w:rsidRPr="003E6610">
        <w:rPr>
          <w:rFonts w:ascii="Times New Roman" w:hAnsi="Times New Roman" w:cs="Times New Roman"/>
          <w:b w:val="0"/>
          <w:i/>
          <w:color w:val="auto"/>
          <w:sz w:val="24"/>
          <w:szCs w:val="24"/>
        </w:rPr>
        <w:fldChar w:fldCharType="begin"/>
      </w:r>
      <w:r w:rsidRPr="003E6610">
        <w:rPr>
          <w:rFonts w:ascii="Times New Roman" w:hAnsi="Times New Roman" w:cs="Times New Roman"/>
          <w:b w:val="0"/>
          <w:i/>
          <w:color w:val="auto"/>
          <w:sz w:val="24"/>
          <w:szCs w:val="24"/>
        </w:rPr>
        <w:instrText xml:space="preserve"> SEQ Table \* ARABIC </w:instrText>
      </w:r>
      <w:r w:rsidR="00106A32" w:rsidRPr="003E6610">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w:t>
      </w:r>
      <w:r w:rsidR="00106A32" w:rsidRPr="003E6610">
        <w:rPr>
          <w:rFonts w:ascii="Times New Roman" w:hAnsi="Times New Roman" w:cs="Times New Roman"/>
          <w:b w:val="0"/>
          <w:i/>
          <w:color w:val="auto"/>
          <w:sz w:val="24"/>
          <w:szCs w:val="24"/>
        </w:rPr>
        <w:fldChar w:fldCharType="end"/>
      </w:r>
      <w:r w:rsidRPr="003E6610">
        <w:rPr>
          <w:rFonts w:ascii="Times New Roman" w:hAnsi="Times New Roman" w:cs="Times New Roman"/>
          <w:b w:val="0"/>
          <w:i/>
          <w:color w:val="auto"/>
          <w:sz w:val="24"/>
          <w:szCs w:val="24"/>
        </w:rPr>
        <w:t xml:space="preserve"> - CT Data Patient Demographics</w:t>
      </w:r>
      <w:r w:rsidR="00D07228" w:rsidRPr="003E6610">
        <w:rPr>
          <w:rFonts w:ascii="Times New Roman" w:hAnsi="Times New Roman" w:cs="Times New Roman"/>
          <w:b w:val="0"/>
          <w:i/>
          <w:color w:val="auto"/>
          <w:sz w:val="24"/>
          <w:szCs w:val="24"/>
        </w:rPr>
        <w:t>.</w:t>
      </w:r>
      <w:bookmarkEnd w:id="79"/>
    </w:p>
    <w:p w14:paraId="62BC52B1" w14:textId="77777777" w:rsidR="002B6F51" w:rsidRPr="00EC6C19" w:rsidRDefault="002B6F51" w:rsidP="00D07228">
      <w:pPr>
        <w:widowControl w:val="0"/>
        <w:autoSpaceDE w:val="0"/>
        <w:autoSpaceDN w:val="0"/>
        <w:adjustRightInd w:val="0"/>
        <w:spacing w:after="0" w:line="240" w:lineRule="auto"/>
        <w:jc w:val="both"/>
        <w:rPr>
          <w:rFonts w:ascii="Times New Roman" w:hAnsi="Times New Roman" w:cs="Times New Roman"/>
          <w:i/>
          <w:sz w:val="24"/>
          <w:szCs w:val="24"/>
        </w:rPr>
      </w:pPr>
    </w:p>
    <w:p w14:paraId="6DBD408A" w14:textId="77777777" w:rsidR="002B6F51" w:rsidRPr="00EC6C19" w:rsidRDefault="002B6F51" w:rsidP="00D07228">
      <w:pPr>
        <w:widowControl w:val="0"/>
        <w:autoSpaceDE w:val="0"/>
        <w:autoSpaceDN w:val="0"/>
        <w:adjustRightInd w:val="0"/>
        <w:spacing w:after="0" w:line="240" w:lineRule="auto"/>
        <w:jc w:val="both"/>
        <w:rPr>
          <w:rFonts w:ascii="Times New Roman" w:hAnsi="Times New Roman" w:cs="Times New Roman"/>
          <w:i/>
          <w:sz w:val="24"/>
          <w:szCs w:val="24"/>
        </w:rPr>
      </w:pPr>
    </w:p>
    <w:p w14:paraId="1061F216" w14:textId="77777777" w:rsidR="00D07228" w:rsidRDefault="002B6F51"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Two circumflex measurements and five PLV measurements were un-recordable. 15% of measurements in the PDA were un-recordable due to poor contrast visualisation.</w:t>
      </w:r>
    </w:p>
    <w:p w14:paraId="1890E487" w14:textId="77777777" w:rsidR="0019652D" w:rsidRDefault="0019652D" w:rsidP="00D07228">
      <w:pPr>
        <w:spacing w:line="360" w:lineRule="auto"/>
        <w:rPr>
          <w:rFonts w:ascii="Times New Roman" w:hAnsi="Times New Roman" w:cs="Times New Roman"/>
          <w:sz w:val="24"/>
          <w:szCs w:val="24"/>
        </w:rPr>
      </w:pPr>
    </w:p>
    <w:p w14:paraId="099BBACE" w14:textId="77777777" w:rsidR="0019652D" w:rsidRPr="0019652D" w:rsidRDefault="0019652D" w:rsidP="0019652D">
      <w:pPr>
        <w:pStyle w:val="Heading3"/>
        <w:rPr>
          <w:rFonts w:ascii="Times New Roman" w:hAnsi="Times New Roman" w:cs="Times New Roman"/>
          <w:b w:val="0"/>
          <w:i/>
          <w:color w:val="auto"/>
          <w:sz w:val="24"/>
          <w:szCs w:val="24"/>
        </w:rPr>
      </w:pPr>
      <w:bookmarkStart w:id="80" w:name="_Toc80302206"/>
      <w:r w:rsidRPr="0019652D">
        <w:rPr>
          <w:rFonts w:ascii="Times New Roman" w:hAnsi="Times New Roman" w:cs="Times New Roman"/>
          <w:b w:val="0"/>
          <w:i/>
          <w:color w:val="auto"/>
          <w:sz w:val="24"/>
          <w:szCs w:val="24"/>
        </w:rPr>
        <w:t>2.5.2 - Vertical Height Measurements</w:t>
      </w:r>
      <w:bookmarkEnd w:id="80"/>
      <w:r>
        <w:rPr>
          <w:rFonts w:ascii="Times New Roman" w:hAnsi="Times New Roman" w:cs="Times New Roman"/>
          <w:b w:val="0"/>
          <w:i/>
          <w:color w:val="auto"/>
          <w:sz w:val="24"/>
          <w:szCs w:val="24"/>
        </w:rPr>
        <w:br/>
      </w:r>
    </w:p>
    <w:p w14:paraId="365A274F" w14:textId="77777777" w:rsidR="0019652D" w:rsidRPr="00EC6C19" w:rsidRDefault="0019652D" w:rsidP="00D07228">
      <w:pPr>
        <w:spacing w:line="360" w:lineRule="auto"/>
        <w:rPr>
          <w:rFonts w:ascii="Times New Roman" w:hAnsi="Times New Roman" w:cs="Times New Roman"/>
          <w:sz w:val="24"/>
          <w:szCs w:val="24"/>
        </w:rPr>
      </w:pPr>
    </w:p>
    <w:p w14:paraId="3BA2DD90" w14:textId="77777777"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sz w:val="24"/>
          <w:szCs w:val="24"/>
        </w:rPr>
      </w:pPr>
      <w:r w:rsidRPr="003E6610">
        <w:rPr>
          <w:rFonts w:ascii="Times New Roman" w:hAnsi="Times New Roman" w:cs="Times New Roman"/>
          <w:sz w:val="24"/>
          <w:szCs w:val="24"/>
        </w:rPr>
        <w:t xml:space="preserve">Table </w:t>
      </w:r>
      <w:r w:rsidR="003E6610" w:rsidRPr="003E6610">
        <w:rPr>
          <w:rFonts w:ascii="Times New Roman" w:hAnsi="Times New Roman" w:cs="Times New Roman"/>
          <w:sz w:val="24"/>
          <w:szCs w:val="24"/>
        </w:rPr>
        <w:t>4</w:t>
      </w:r>
      <w:r w:rsidRPr="003E6610">
        <w:rPr>
          <w:rFonts w:ascii="Times New Roman" w:hAnsi="Times New Roman" w:cs="Times New Roman"/>
          <w:sz w:val="24"/>
          <w:szCs w:val="24"/>
        </w:rPr>
        <w:t xml:space="preserve"> summarises</w:t>
      </w:r>
      <w:r w:rsidRPr="00EC6C19">
        <w:rPr>
          <w:rFonts w:ascii="Times New Roman" w:hAnsi="Times New Roman" w:cs="Times New Roman"/>
          <w:sz w:val="24"/>
          <w:szCs w:val="24"/>
        </w:rPr>
        <w:t xml:space="preserve"> the distance from the upper rim of the CT table to the specific point in the </w:t>
      </w:r>
      <w:r w:rsidRPr="00EC6C19">
        <w:rPr>
          <w:rFonts w:ascii="Times New Roman" w:hAnsi="Times New Roman" w:cs="Times New Roman"/>
          <w:sz w:val="24"/>
          <w:szCs w:val="24"/>
        </w:rPr>
        <w:lastRenderedPageBreak/>
        <w:t>artery.</w:t>
      </w:r>
      <w:r w:rsidR="003D1808" w:rsidRPr="00EC6C19">
        <w:rPr>
          <w:rFonts w:ascii="Times New Roman" w:hAnsi="Times New Roman" w:cs="Times New Roman"/>
          <w:sz w:val="24"/>
          <w:szCs w:val="24"/>
        </w:rPr>
        <w:t xml:space="preserve"> After the LCA and RCA ostium, each subsequent measurement in the left or right system is compared to the respective ostium for statistical significance.</w:t>
      </w:r>
      <w:r w:rsidRPr="00EC6C19">
        <w:rPr>
          <w:rFonts w:ascii="Times New Roman" w:hAnsi="Times New Roman" w:cs="Times New Roman"/>
          <w:sz w:val="24"/>
          <w:szCs w:val="24"/>
        </w:rPr>
        <w:t xml:space="preserve"> The only non significant measurement was ostial LAD, when compared to left main stem / LCA ostium.</w:t>
      </w:r>
    </w:p>
    <w:p w14:paraId="721AAB4F" w14:textId="77777777"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sz w:val="24"/>
          <w:szCs w:val="24"/>
        </w:rPr>
      </w:pPr>
    </w:p>
    <w:tbl>
      <w:tblPr>
        <w:tblW w:w="0" w:type="auto"/>
        <w:tblLook w:val="04A0" w:firstRow="1" w:lastRow="0" w:firstColumn="1" w:lastColumn="0" w:noHBand="0" w:noVBand="1"/>
      </w:tblPr>
      <w:tblGrid>
        <w:gridCol w:w="3353"/>
        <w:gridCol w:w="4082"/>
        <w:gridCol w:w="1925"/>
      </w:tblGrid>
      <w:tr w:rsidR="00D07228" w:rsidRPr="00EC6C19" w14:paraId="53029CA2" w14:textId="77777777" w:rsidTr="00F31D6C">
        <w:tc>
          <w:tcPr>
            <w:tcW w:w="3425" w:type="dxa"/>
            <w:tcBorders>
              <w:bottom w:val="single" w:sz="18" w:space="0" w:color="000000" w:themeColor="text1"/>
            </w:tcBorders>
            <w:shd w:val="clear" w:color="auto" w:fill="F2F2F2" w:themeFill="background1" w:themeFillShade="F2"/>
          </w:tcPr>
          <w:p w14:paraId="042AF947" w14:textId="77777777"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Measurement Point</w:t>
            </w:r>
          </w:p>
          <w:p w14:paraId="7FA9CAC4" w14:textId="77777777"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tc>
        <w:tc>
          <w:tcPr>
            <w:tcW w:w="4196" w:type="dxa"/>
            <w:tcBorders>
              <w:bottom w:val="single" w:sz="18" w:space="0" w:color="000000" w:themeColor="text1"/>
            </w:tcBorders>
            <w:shd w:val="clear" w:color="auto" w:fill="F2F2F2" w:themeFill="background1" w:themeFillShade="F2"/>
          </w:tcPr>
          <w:p w14:paraId="2FD4C753" w14:textId="77777777"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Mean height from Upper Rim of CT Table (mm) (Standard Deviation in mm)</w:t>
            </w:r>
          </w:p>
        </w:tc>
        <w:tc>
          <w:tcPr>
            <w:tcW w:w="1955" w:type="dxa"/>
            <w:tcBorders>
              <w:bottom w:val="single" w:sz="18" w:space="0" w:color="000000" w:themeColor="text1"/>
            </w:tcBorders>
            <w:shd w:val="clear" w:color="auto" w:fill="F2F2F2" w:themeFill="background1" w:themeFillShade="F2"/>
          </w:tcPr>
          <w:p w14:paraId="10EF9A64" w14:textId="77777777" w:rsidR="00D07228" w:rsidRPr="00EC6C19" w:rsidRDefault="00D07228" w:rsidP="00F31D6C">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 Value compared to vessel ostium</w:t>
            </w:r>
          </w:p>
        </w:tc>
      </w:tr>
      <w:tr w:rsidR="00D07228" w:rsidRPr="00EC6C19" w14:paraId="1BFA3D7F" w14:textId="77777777" w:rsidTr="00F31D6C">
        <w:tc>
          <w:tcPr>
            <w:tcW w:w="3425" w:type="dxa"/>
            <w:tcBorders>
              <w:top w:val="single" w:sz="18" w:space="0" w:color="000000" w:themeColor="text1"/>
            </w:tcBorders>
            <w:shd w:val="clear" w:color="auto" w:fill="FFFFFF" w:themeFill="background1"/>
          </w:tcPr>
          <w:p w14:paraId="263FD66F" w14:textId="77777777"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4196" w:type="dxa"/>
            <w:tcBorders>
              <w:top w:val="single" w:sz="18" w:space="0" w:color="000000" w:themeColor="text1"/>
            </w:tcBorders>
            <w:shd w:val="clear" w:color="auto" w:fill="FFFFFF" w:themeFill="background1"/>
          </w:tcPr>
          <w:p w14:paraId="7A122328" w14:textId="77777777"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955" w:type="dxa"/>
            <w:tcBorders>
              <w:top w:val="single" w:sz="18" w:space="0" w:color="000000" w:themeColor="text1"/>
            </w:tcBorders>
            <w:shd w:val="clear" w:color="auto" w:fill="FFFFFF" w:themeFill="background1"/>
          </w:tcPr>
          <w:p w14:paraId="24DBB6A2" w14:textId="77777777"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r>
      <w:tr w:rsidR="00D07228" w:rsidRPr="00EC6C19" w14:paraId="036D3E4D" w14:textId="77777777" w:rsidTr="003D1808">
        <w:tc>
          <w:tcPr>
            <w:tcW w:w="3425" w:type="dxa"/>
            <w:shd w:val="clear" w:color="auto" w:fill="FFFFFF" w:themeFill="background1"/>
          </w:tcPr>
          <w:p w14:paraId="6A15E00A" w14:textId="77777777" w:rsidR="00D07228" w:rsidRPr="00FC4967"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LCA Ostium</w:t>
            </w:r>
          </w:p>
        </w:tc>
        <w:tc>
          <w:tcPr>
            <w:tcW w:w="4196" w:type="dxa"/>
            <w:shd w:val="clear" w:color="auto" w:fill="FFFFFF" w:themeFill="background1"/>
          </w:tcPr>
          <w:p w14:paraId="6440D498" w14:textId="7BECBFFF"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 xml:space="preserve">170.0  </w:t>
            </w:r>
            <w:r w:rsidR="008F197C">
              <w:rPr>
                <w:rFonts w:ascii="Times New Roman" w:hAnsi="Times New Roman" w:cs="Times New Roman"/>
                <w:sz w:val="24"/>
                <w:szCs w:val="24"/>
              </w:rPr>
              <w:t>±</w:t>
            </w:r>
            <w:r w:rsidRPr="00EC6C19">
              <w:rPr>
                <w:rFonts w:ascii="Times New Roman" w:hAnsi="Times New Roman" w:cs="Times New Roman"/>
                <w:sz w:val="24"/>
                <w:szCs w:val="24"/>
              </w:rPr>
              <w:t>19.6</w:t>
            </w:r>
          </w:p>
        </w:tc>
        <w:tc>
          <w:tcPr>
            <w:tcW w:w="1955" w:type="dxa"/>
            <w:shd w:val="clear" w:color="auto" w:fill="FFFFFF" w:themeFill="background1"/>
          </w:tcPr>
          <w:p w14:paraId="2628B9D1" w14:textId="77777777" w:rsidR="00D07228" w:rsidRPr="00EC6C19" w:rsidRDefault="00D07228" w:rsidP="00F31D6C">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N/A</w:t>
            </w:r>
          </w:p>
        </w:tc>
      </w:tr>
      <w:tr w:rsidR="00D07228" w:rsidRPr="00EC6C19" w14:paraId="600C2CF9" w14:textId="77777777" w:rsidTr="003D1808">
        <w:tc>
          <w:tcPr>
            <w:tcW w:w="3425" w:type="dxa"/>
            <w:shd w:val="clear" w:color="auto" w:fill="FFFFFF" w:themeFill="background1"/>
          </w:tcPr>
          <w:p w14:paraId="10FBCC5E" w14:textId="77777777" w:rsidR="00D07228" w:rsidRPr="00FC4967"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LAD Ostium</w:t>
            </w:r>
          </w:p>
        </w:tc>
        <w:tc>
          <w:tcPr>
            <w:tcW w:w="4196" w:type="dxa"/>
            <w:shd w:val="clear" w:color="auto" w:fill="FFFFFF" w:themeFill="background1"/>
          </w:tcPr>
          <w:p w14:paraId="26DBF510" w14:textId="6884527A"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167.9    (</w:t>
            </w:r>
            <w:r w:rsidR="00760B40">
              <w:rPr>
                <w:rFonts w:ascii="Times New Roman" w:hAnsi="Times New Roman" w:cs="Times New Roman"/>
                <w:sz w:val="24"/>
                <w:szCs w:val="24"/>
              </w:rPr>
              <w:t>±</w:t>
            </w:r>
            <w:r w:rsidRPr="00EC6C19">
              <w:rPr>
                <w:rFonts w:ascii="Times New Roman" w:hAnsi="Times New Roman" w:cs="Times New Roman"/>
                <w:sz w:val="24"/>
                <w:szCs w:val="24"/>
              </w:rPr>
              <w:t>19.6)</w:t>
            </w:r>
          </w:p>
        </w:tc>
        <w:tc>
          <w:tcPr>
            <w:tcW w:w="1955" w:type="dxa"/>
            <w:shd w:val="clear" w:color="auto" w:fill="FFFFFF" w:themeFill="background1"/>
          </w:tcPr>
          <w:p w14:paraId="5F552227" w14:textId="77777777" w:rsidR="00D07228" w:rsidRPr="00EC6C19" w:rsidRDefault="00D07228" w:rsidP="00F31D6C">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w:t>
            </w:r>
          </w:p>
        </w:tc>
      </w:tr>
      <w:tr w:rsidR="00D07228" w:rsidRPr="00EC6C19" w14:paraId="78B114B0" w14:textId="77777777" w:rsidTr="003D1808">
        <w:tc>
          <w:tcPr>
            <w:tcW w:w="3425" w:type="dxa"/>
            <w:shd w:val="clear" w:color="auto" w:fill="FFFFFF" w:themeFill="background1"/>
          </w:tcPr>
          <w:p w14:paraId="4E26417F" w14:textId="77777777" w:rsidR="00D07228" w:rsidRPr="00FC4967"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Distal LAD</w:t>
            </w:r>
          </w:p>
        </w:tc>
        <w:tc>
          <w:tcPr>
            <w:tcW w:w="4196" w:type="dxa"/>
            <w:shd w:val="clear" w:color="auto" w:fill="FFFFFF" w:themeFill="background1"/>
          </w:tcPr>
          <w:p w14:paraId="2CAB7456" w14:textId="6BF30429"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222.5    (</w:t>
            </w:r>
            <w:r w:rsidR="00760B40">
              <w:rPr>
                <w:rFonts w:ascii="Times New Roman" w:hAnsi="Times New Roman" w:cs="Times New Roman"/>
                <w:sz w:val="24"/>
                <w:szCs w:val="24"/>
              </w:rPr>
              <w:t>±</w:t>
            </w:r>
            <w:r w:rsidRPr="00EC6C19">
              <w:rPr>
                <w:rFonts w:ascii="Times New Roman" w:hAnsi="Times New Roman" w:cs="Times New Roman"/>
                <w:sz w:val="24"/>
                <w:szCs w:val="24"/>
              </w:rPr>
              <w:t xml:space="preserve"> 28.3)</w:t>
            </w:r>
          </w:p>
        </w:tc>
        <w:tc>
          <w:tcPr>
            <w:tcW w:w="1955" w:type="dxa"/>
            <w:shd w:val="clear" w:color="auto" w:fill="FFFFFF" w:themeFill="background1"/>
          </w:tcPr>
          <w:p w14:paraId="489AE0DB" w14:textId="77777777" w:rsidR="00D07228" w:rsidRPr="00EC6C19" w:rsidRDefault="00D07228" w:rsidP="00F31D6C">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&lt;0.0001</w:t>
            </w:r>
          </w:p>
        </w:tc>
      </w:tr>
      <w:tr w:rsidR="00D07228" w:rsidRPr="00EC6C19" w14:paraId="26A9CC83" w14:textId="77777777" w:rsidTr="003D1808">
        <w:tc>
          <w:tcPr>
            <w:tcW w:w="3425" w:type="dxa"/>
            <w:shd w:val="clear" w:color="auto" w:fill="FFFFFF" w:themeFill="background1"/>
          </w:tcPr>
          <w:p w14:paraId="3C7389B1" w14:textId="77777777" w:rsidR="00D07228" w:rsidRPr="00FC4967"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Distal Cx</w:t>
            </w:r>
          </w:p>
        </w:tc>
        <w:tc>
          <w:tcPr>
            <w:tcW w:w="4196" w:type="dxa"/>
            <w:shd w:val="clear" w:color="auto" w:fill="FFFFFF" w:themeFill="background1"/>
          </w:tcPr>
          <w:p w14:paraId="3776188D" w14:textId="6756F3F9"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136.4    (</w:t>
            </w:r>
            <w:r w:rsidR="00760B40">
              <w:rPr>
                <w:rFonts w:ascii="Times New Roman" w:hAnsi="Times New Roman" w:cs="Times New Roman"/>
                <w:sz w:val="24"/>
                <w:szCs w:val="24"/>
              </w:rPr>
              <w:t>±</w:t>
            </w:r>
            <w:r w:rsidRPr="00EC6C19">
              <w:rPr>
                <w:rFonts w:ascii="Times New Roman" w:hAnsi="Times New Roman" w:cs="Times New Roman"/>
                <w:sz w:val="24"/>
                <w:szCs w:val="24"/>
              </w:rPr>
              <w:t xml:space="preserve"> 20.4)</w:t>
            </w:r>
          </w:p>
        </w:tc>
        <w:tc>
          <w:tcPr>
            <w:tcW w:w="1955" w:type="dxa"/>
            <w:shd w:val="clear" w:color="auto" w:fill="FFFFFF" w:themeFill="background1"/>
          </w:tcPr>
          <w:p w14:paraId="4898BD7A" w14:textId="77777777" w:rsidR="00D07228" w:rsidRPr="00EC6C19" w:rsidRDefault="00D07228" w:rsidP="00F31D6C">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&lt;0.0001</w:t>
            </w:r>
          </w:p>
        </w:tc>
      </w:tr>
      <w:tr w:rsidR="00D07228" w:rsidRPr="00EC6C19" w14:paraId="4A9FCED0" w14:textId="77777777" w:rsidTr="003D1808">
        <w:tc>
          <w:tcPr>
            <w:tcW w:w="3425" w:type="dxa"/>
            <w:shd w:val="clear" w:color="auto" w:fill="FFFFFF" w:themeFill="background1"/>
          </w:tcPr>
          <w:p w14:paraId="5B17733D" w14:textId="77777777" w:rsidR="00FC4967" w:rsidRPr="00EC6C19" w:rsidRDefault="00FC4967" w:rsidP="00F31D6C">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4196" w:type="dxa"/>
            <w:shd w:val="clear" w:color="auto" w:fill="FFFFFF" w:themeFill="background1"/>
          </w:tcPr>
          <w:p w14:paraId="2DACC719" w14:textId="77777777"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955" w:type="dxa"/>
            <w:shd w:val="clear" w:color="auto" w:fill="FFFFFF" w:themeFill="background1"/>
          </w:tcPr>
          <w:p w14:paraId="585EDF0D" w14:textId="77777777"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r>
      <w:tr w:rsidR="00D07228" w:rsidRPr="00EC6C19" w14:paraId="510A2971" w14:textId="77777777" w:rsidTr="003D1808">
        <w:tc>
          <w:tcPr>
            <w:tcW w:w="3425" w:type="dxa"/>
            <w:shd w:val="clear" w:color="auto" w:fill="FFFFFF" w:themeFill="background1"/>
          </w:tcPr>
          <w:p w14:paraId="6FCDDA46" w14:textId="77777777" w:rsidR="00FC4967" w:rsidRPr="00FC4967"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RCA Ostium</w:t>
            </w:r>
          </w:p>
        </w:tc>
        <w:tc>
          <w:tcPr>
            <w:tcW w:w="4196" w:type="dxa"/>
            <w:shd w:val="clear" w:color="auto" w:fill="FFFFFF" w:themeFill="background1"/>
          </w:tcPr>
          <w:p w14:paraId="473BB208" w14:textId="26A57778"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193.8    (</w:t>
            </w:r>
            <w:r w:rsidR="00760B40">
              <w:rPr>
                <w:rFonts w:ascii="Times New Roman" w:hAnsi="Times New Roman" w:cs="Times New Roman"/>
                <w:sz w:val="24"/>
                <w:szCs w:val="24"/>
              </w:rPr>
              <w:t>±</w:t>
            </w:r>
            <w:r w:rsidRPr="00EC6C19">
              <w:rPr>
                <w:rFonts w:ascii="Times New Roman" w:hAnsi="Times New Roman" w:cs="Times New Roman"/>
                <w:sz w:val="24"/>
                <w:szCs w:val="24"/>
              </w:rPr>
              <w:t xml:space="preserve"> 21.1)</w:t>
            </w:r>
          </w:p>
        </w:tc>
        <w:tc>
          <w:tcPr>
            <w:tcW w:w="1955" w:type="dxa"/>
            <w:shd w:val="clear" w:color="auto" w:fill="FFFFFF" w:themeFill="background1"/>
          </w:tcPr>
          <w:p w14:paraId="5829A775" w14:textId="77777777" w:rsidR="00D07228" w:rsidRPr="00EC6C19" w:rsidRDefault="00D07228" w:rsidP="00F31D6C">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N/A</w:t>
            </w:r>
          </w:p>
        </w:tc>
      </w:tr>
      <w:tr w:rsidR="00D07228" w:rsidRPr="00EC6C19" w14:paraId="218316EB" w14:textId="77777777" w:rsidTr="003D1808">
        <w:tc>
          <w:tcPr>
            <w:tcW w:w="3425" w:type="dxa"/>
            <w:shd w:val="clear" w:color="auto" w:fill="FFFFFF" w:themeFill="background1"/>
          </w:tcPr>
          <w:p w14:paraId="0DE4AA26" w14:textId="77777777" w:rsidR="00D07228" w:rsidRPr="00FC4967"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RCA bifurcation</w:t>
            </w:r>
          </w:p>
        </w:tc>
        <w:tc>
          <w:tcPr>
            <w:tcW w:w="4196" w:type="dxa"/>
            <w:shd w:val="clear" w:color="auto" w:fill="FFFFFF" w:themeFill="background1"/>
          </w:tcPr>
          <w:p w14:paraId="18601BF8" w14:textId="526FAA31"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175.6    (</w:t>
            </w:r>
            <w:r w:rsidR="00760B40">
              <w:rPr>
                <w:rFonts w:ascii="Times New Roman" w:hAnsi="Times New Roman" w:cs="Times New Roman"/>
                <w:sz w:val="24"/>
                <w:szCs w:val="24"/>
              </w:rPr>
              <w:t>±</w:t>
            </w:r>
            <w:r w:rsidRPr="00EC6C19">
              <w:rPr>
                <w:rFonts w:ascii="Times New Roman" w:hAnsi="Times New Roman" w:cs="Times New Roman"/>
                <w:sz w:val="24"/>
                <w:szCs w:val="24"/>
              </w:rPr>
              <w:t xml:space="preserve"> 28.3)</w:t>
            </w:r>
          </w:p>
        </w:tc>
        <w:tc>
          <w:tcPr>
            <w:tcW w:w="1955" w:type="dxa"/>
            <w:shd w:val="clear" w:color="auto" w:fill="FFFFFF" w:themeFill="background1"/>
          </w:tcPr>
          <w:p w14:paraId="3A1DBA5B" w14:textId="77777777" w:rsidR="00D07228" w:rsidRPr="00EC6C19" w:rsidRDefault="00D07228" w:rsidP="00F31D6C">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&lt;0.0001</w:t>
            </w:r>
          </w:p>
        </w:tc>
      </w:tr>
      <w:tr w:rsidR="00D07228" w:rsidRPr="00EC6C19" w14:paraId="5C4C06F4" w14:textId="77777777" w:rsidTr="003D1808">
        <w:tc>
          <w:tcPr>
            <w:tcW w:w="3425" w:type="dxa"/>
            <w:shd w:val="clear" w:color="auto" w:fill="FFFFFF" w:themeFill="background1"/>
          </w:tcPr>
          <w:p w14:paraId="3D12F164" w14:textId="77777777" w:rsidR="00D07228" w:rsidRPr="00FC4967"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Distal PDA</w:t>
            </w:r>
          </w:p>
        </w:tc>
        <w:tc>
          <w:tcPr>
            <w:tcW w:w="4196" w:type="dxa"/>
            <w:shd w:val="clear" w:color="auto" w:fill="FFFFFF" w:themeFill="background1"/>
          </w:tcPr>
          <w:p w14:paraId="1AC34FC3" w14:textId="0E30BE15"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212.1    (</w:t>
            </w:r>
            <w:r w:rsidR="00760B40">
              <w:rPr>
                <w:rFonts w:ascii="Times New Roman" w:hAnsi="Times New Roman" w:cs="Times New Roman"/>
                <w:sz w:val="24"/>
                <w:szCs w:val="24"/>
              </w:rPr>
              <w:t>±</w:t>
            </w:r>
            <w:r w:rsidRPr="00EC6C19">
              <w:rPr>
                <w:rFonts w:ascii="Times New Roman" w:hAnsi="Times New Roman" w:cs="Times New Roman"/>
                <w:sz w:val="24"/>
                <w:szCs w:val="24"/>
              </w:rPr>
              <w:t>-30.7)</w:t>
            </w:r>
          </w:p>
        </w:tc>
        <w:tc>
          <w:tcPr>
            <w:tcW w:w="1955" w:type="dxa"/>
            <w:shd w:val="clear" w:color="auto" w:fill="FFFFFF" w:themeFill="background1"/>
          </w:tcPr>
          <w:p w14:paraId="51D7BBCA" w14:textId="77777777" w:rsidR="00D07228" w:rsidRPr="00EC6C19" w:rsidRDefault="00D07228" w:rsidP="00F31D6C">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&lt;0.0001</w:t>
            </w:r>
          </w:p>
        </w:tc>
      </w:tr>
      <w:tr w:rsidR="00D07228" w:rsidRPr="00EC6C19" w14:paraId="4CD33F71" w14:textId="77777777" w:rsidTr="003D1808">
        <w:tc>
          <w:tcPr>
            <w:tcW w:w="3425" w:type="dxa"/>
            <w:shd w:val="clear" w:color="auto" w:fill="FFFFFF" w:themeFill="background1"/>
          </w:tcPr>
          <w:p w14:paraId="6BB39EEC" w14:textId="77777777" w:rsidR="00D07228" w:rsidRPr="00FC4967" w:rsidRDefault="00D07228" w:rsidP="00F31D6C">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Distal PLV</w:t>
            </w:r>
          </w:p>
        </w:tc>
        <w:tc>
          <w:tcPr>
            <w:tcW w:w="4196" w:type="dxa"/>
            <w:shd w:val="clear" w:color="auto" w:fill="FFFFFF" w:themeFill="background1"/>
          </w:tcPr>
          <w:p w14:paraId="64E4AD3B" w14:textId="24400C1D" w:rsidR="00D07228" w:rsidRPr="00EC6C19" w:rsidRDefault="00D07228" w:rsidP="00F31D6C">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136.4    (</w:t>
            </w:r>
            <w:r w:rsidR="00760B40">
              <w:rPr>
                <w:rFonts w:ascii="Times New Roman" w:hAnsi="Times New Roman" w:cs="Times New Roman"/>
                <w:sz w:val="24"/>
                <w:szCs w:val="24"/>
              </w:rPr>
              <w:t>±</w:t>
            </w:r>
            <w:r w:rsidRPr="00EC6C19">
              <w:rPr>
                <w:rFonts w:ascii="Times New Roman" w:hAnsi="Times New Roman" w:cs="Times New Roman"/>
                <w:sz w:val="24"/>
                <w:szCs w:val="24"/>
              </w:rPr>
              <w:t>-26.1)</w:t>
            </w:r>
          </w:p>
        </w:tc>
        <w:tc>
          <w:tcPr>
            <w:tcW w:w="1955" w:type="dxa"/>
            <w:shd w:val="clear" w:color="auto" w:fill="FFFFFF" w:themeFill="background1"/>
          </w:tcPr>
          <w:p w14:paraId="33D6A70C" w14:textId="77777777" w:rsidR="00D07228" w:rsidRPr="00EC6C19" w:rsidRDefault="00D07228" w:rsidP="00F31D6C">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&lt;0.0001</w:t>
            </w:r>
          </w:p>
        </w:tc>
      </w:tr>
    </w:tbl>
    <w:p w14:paraId="5F35A1D9" w14:textId="77777777" w:rsidR="00A14398" w:rsidRPr="00EC6C19" w:rsidRDefault="00A14398" w:rsidP="00D07228">
      <w:pPr>
        <w:widowControl w:val="0"/>
        <w:autoSpaceDE w:val="0"/>
        <w:autoSpaceDN w:val="0"/>
        <w:adjustRightInd w:val="0"/>
        <w:spacing w:after="0" w:line="360" w:lineRule="auto"/>
        <w:jc w:val="both"/>
        <w:rPr>
          <w:rFonts w:ascii="Times New Roman" w:hAnsi="Times New Roman" w:cs="Times New Roman"/>
          <w:i/>
          <w:sz w:val="24"/>
          <w:szCs w:val="24"/>
        </w:rPr>
      </w:pPr>
    </w:p>
    <w:p w14:paraId="278EECD5" w14:textId="2BE1249E" w:rsidR="00D07228" w:rsidRPr="00816506" w:rsidRDefault="003E6610" w:rsidP="00816506">
      <w:pPr>
        <w:pStyle w:val="Caption"/>
        <w:spacing w:line="360" w:lineRule="auto"/>
        <w:rPr>
          <w:rFonts w:ascii="Times New Roman" w:hAnsi="Times New Roman" w:cs="Times New Roman"/>
          <w:b w:val="0"/>
          <w:i/>
          <w:color w:val="auto"/>
          <w:sz w:val="24"/>
          <w:szCs w:val="24"/>
        </w:rPr>
      </w:pPr>
      <w:bookmarkStart w:id="81" w:name="_Toc44962580"/>
      <w:r w:rsidRPr="003E6610">
        <w:rPr>
          <w:rFonts w:ascii="Times New Roman" w:hAnsi="Times New Roman" w:cs="Times New Roman"/>
          <w:b w:val="0"/>
          <w:i/>
          <w:color w:val="auto"/>
          <w:sz w:val="24"/>
          <w:szCs w:val="24"/>
        </w:rPr>
        <w:t xml:space="preserve">Table </w:t>
      </w:r>
      <w:r w:rsidR="00106A32" w:rsidRPr="003E6610">
        <w:rPr>
          <w:rFonts w:ascii="Times New Roman" w:hAnsi="Times New Roman" w:cs="Times New Roman"/>
          <w:b w:val="0"/>
          <w:i/>
          <w:color w:val="auto"/>
          <w:sz w:val="24"/>
          <w:szCs w:val="24"/>
        </w:rPr>
        <w:fldChar w:fldCharType="begin"/>
      </w:r>
      <w:r w:rsidRPr="003E6610">
        <w:rPr>
          <w:rFonts w:ascii="Times New Roman" w:hAnsi="Times New Roman" w:cs="Times New Roman"/>
          <w:b w:val="0"/>
          <w:i/>
          <w:color w:val="auto"/>
          <w:sz w:val="24"/>
          <w:szCs w:val="24"/>
        </w:rPr>
        <w:instrText xml:space="preserve"> SEQ Table \* ARABIC </w:instrText>
      </w:r>
      <w:r w:rsidR="00106A32" w:rsidRPr="003E6610">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w:t>
      </w:r>
      <w:r w:rsidR="00106A32" w:rsidRPr="003E6610">
        <w:rPr>
          <w:rFonts w:ascii="Times New Roman" w:hAnsi="Times New Roman" w:cs="Times New Roman"/>
          <w:b w:val="0"/>
          <w:i/>
          <w:color w:val="auto"/>
          <w:sz w:val="24"/>
          <w:szCs w:val="24"/>
        </w:rPr>
        <w:fldChar w:fldCharType="end"/>
      </w:r>
      <w:r w:rsidRPr="003E6610">
        <w:rPr>
          <w:rFonts w:ascii="Times New Roman" w:hAnsi="Times New Roman" w:cs="Times New Roman"/>
          <w:b w:val="0"/>
          <w:i/>
          <w:color w:val="auto"/>
          <w:sz w:val="24"/>
          <w:szCs w:val="24"/>
        </w:rPr>
        <w:t xml:space="preserve"> - CT Height Data. </w:t>
      </w:r>
      <w:r w:rsidR="00D07228" w:rsidRPr="003E6610">
        <w:rPr>
          <w:rFonts w:ascii="Times New Roman" w:hAnsi="Times New Roman" w:cs="Times New Roman"/>
          <w:b w:val="0"/>
          <w:i/>
          <w:color w:val="auto"/>
          <w:sz w:val="24"/>
          <w:szCs w:val="24"/>
        </w:rPr>
        <w:t xml:space="preserve">Multiple measurement points referenced from the upper rim of the CT table in millimetres. LCA - Left coronary artery, LAD - left anterior descending artery, Cx - Circumflex artery, RCA - right coronary artery, PDA - posterior descending artery, PLV - posterior left ventricular artery. </w:t>
      </w:r>
      <w:r w:rsidR="004D0BFB">
        <w:rPr>
          <w:rFonts w:ascii="Times New Roman" w:hAnsi="Times New Roman" w:cs="Times New Roman"/>
          <w:b w:val="0"/>
          <w:i/>
          <w:color w:val="auto"/>
          <w:sz w:val="24"/>
          <w:szCs w:val="24"/>
        </w:rPr>
        <w:t xml:space="preserve">The results are presented as mean </w:t>
      </w:r>
      <w:r w:rsidR="004D0BFB">
        <w:rPr>
          <w:rFonts w:ascii="Times New Roman" w:hAnsi="Times New Roman" w:cs="Times New Roman"/>
          <w:sz w:val="24"/>
          <w:szCs w:val="24"/>
        </w:rPr>
        <w:t xml:space="preserve">± </w:t>
      </w:r>
      <w:r w:rsidR="004D0BFB">
        <w:rPr>
          <w:rFonts w:ascii="Times New Roman" w:hAnsi="Times New Roman" w:cs="Times New Roman"/>
          <w:b w:val="0"/>
          <w:i/>
          <w:color w:val="auto"/>
          <w:sz w:val="24"/>
          <w:szCs w:val="24"/>
        </w:rPr>
        <w:t>s</w:t>
      </w:r>
      <w:r w:rsidR="00D07228" w:rsidRPr="003E6610">
        <w:rPr>
          <w:rFonts w:ascii="Times New Roman" w:hAnsi="Times New Roman" w:cs="Times New Roman"/>
          <w:b w:val="0"/>
          <w:i/>
          <w:color w:val="auto"/>
          <w:sz w:val="24"/>
          <w:szCs w:val="24"/>
        </w:rPr>
        <w:t>tandard deviation in mm.</w:t>
      </w:r>
      <w:bookmarkEnd w:id="81"/>
    </w:p>
    <w:p w14:paraId="3120698B" w14:textId="7E084483" w:rsidR="00D07228" w:rsidRPr="00F62485" w:rsidRDefault="00D07228" w:rsidP="00D07228">
      <w:pPr>
        <w:widowControl w:val="0"/>
        <w:autoSpaceDE w:val="0"/>
        <w:autoSpaceDN w:val="0"/>
        <w:adjustRightInd w:val="0"/>
        <w:spacing w:after="0" w:line="360" w:lineRule="auto"/>
        <w:jc w:val="both"/>
        <w:rPr>
          <w:rFonts w:ascii="Times New Roman" w:hAnsi="Times New Roman" w:cs="Times New Roman"/>
          <w:sz w:val="24"/>
          <w:szCs w:val="24"/>
        </w:rPr>
      </w:pPr>
      <w:r w:rsidRPr="00F62485">
        <w:rPr>
          <w:rFonts w:ascii="Times New Roman" w:hAnsi="Times New Roman" w:cs="Times New Roman"/>
          <w:sz w:val="24"/>
          <w:szCs w:val="24"/>
        </w:rPr>
        <w:t xml:space="preserve">Figure </w:t>
      </w:r>
      <w:r w:rsidR="00F62485" w:rsidRPr="00F62485">
        <w:rPr>
          <w:rFonts w:ascii="Times New Roman" w:hAnsi="Times New Roman" w:cs="Times New Roman"/>
          <w:sz w:val="24"/>
          <w:szCs w:val="24"/>
        </w:rPr>
        <w:t>18</w:t>
      </w:r>
      <w:r w:rsidRPr="00F62485">
        <w:rPr>
          <w:rFonts w:ascii="Times New Roman" w:hAnsi="Times New Roman" w:cs="Times New Roman"/>
          <w:sz w:val="24"/>
          <w:szCs w:val="24"/>
        </w:rPr>
        <w:t xml:space="preserve"> demonstrates the height from the respective ostium, to the measurement point. For LAD ostium, distal LAD and distal Cx, this is the left coronary artery ostium or left main stem. For RCA bifurcation, distal PDA and distal PLV, this is the right coronary artery ostium</w:t>
      </w:r>
      <w:r w:rsidR="000A5EFF">
        <w:rPr>
          <w:rFonts w:ascii="Times New Roman" w:hAnsi="Times New Roman" w:cs="Times New Roman"/>
          <w:sz w:val="24"/>
          <w:szCs w:val="24"/>
        </w:rPr>
        <w:t>.</w:t>
      </w:r>
    </w:p>
    <w:p w14:paraId="437DBBE2" w14:textId="77777777"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i/>
          <w:sz w:val="24"/>
          <w:szCs w:val="24"/>
        </w:rPr>
      </w:pPr>
    </w:p>
    <w:p w14:paraId="499DA465" w14:textId="77777777" w:rsidR="00D07228" w:rsidRPr="00EC6C19" w:rsidRDefault="00D07228" w:rsidP="00D07228">
      <w:pPr>
        <w:widowControl w:val="0"/>
        <w:autoSpaceDE w:val="0"/>
        <w:autoSpaceDN w:val="0"/>
        <w:adjustRightInd w:val="0"/>
        <w:spacing w:after="0" w:line="360" w:lineRule="auto"/>
        <w:jc w:val="both"/>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7D91BC86" wp14:editId="5AFA4FB9">
            <wp:extent cx="5943600" cy="4457700"/>
            <wp:effectExtent l="0" t="0" r="0" b="0"/>
            <wp:docPr id="3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FB8819F" w14:textId="77777777" w:rsidR="00A14398" w:rsidRPr="00EC6C19" w:rsidRDefault="00A14398" w:rsidP="00D07228">
      <w:pPr>
        <w:spacing w:line="360" w:lineRule="auto"/>
        <w:rPr>
          <w:rFonts w:ascii="Times New Roman" w:hAnsi="Times New Roman" w:cs="Times New Roman"/>
          <w:i/>
          <w:sz w:val="24"/>
          <w:szCs w:val="24"/>
        </w:rPr>
      </w:pPr>
    </w:p>
    <w:p w14:paraId="24517CD1" w14:textId="0DE16C90" w:rsidR="00D07228" w:rsidRPr="00F62485" w:rsidRDefault="00F62485" w:rsidP="00F62485">
      <w:pPr>
        <w:pStyle w:val="Caption"/>
        <w:spacing w:line="360" w:lineRule="auto"/>
        <w:rPr>
          <w:rFonts w:ascii="Times New Roman" w:hAnsi="Times New Roman" w:cs="Times New Roman"/>
          <w:b w:val="0"/>
          <w:i/>
          <w:color w:val="auto"/>
          <w:sz w:val="24"/>
          <w:szCs w:val="24"/>
        </w:rPr>
      </w:pPr>
      <w:bookmarkStart w:id="82" w:name="_Toc44684907"/>
      <w:r w:rsidRPr="00F62485">
        <w:rPr>
          <w:rFonts w:ascii="Times New Roman" w:hAnsi="Times New Roman" w:cs="Times New Roman"/>
          <w:b w:val="0"/>
          <w:i/>
          <w:color w:val="auto"/>
          <w:sz w:val="24"/>
          <w:szCs w:val="24"/>
        </w:rPr>
        <w:t xml:space="preserve">Figure </w:t>
      </w:r>
      <w:r w:rsidR="00106A32" w:rsidRPr="00F62485">
        <w:rPr>
          <w:rFonts w:ascii="Times New Roman" w:hAnsi="Times New Roman" w:cs="Times New Roman"/>
          <w:b w:val="0"/>
          <w:i/>
          <w:color w:val="auto"/>
          <w:sz w:val="24"/>
          <w:szCs w:val="24"/>
        </w:rPr>
        <w:fldChar w:fldCharType="begin"/>
      </w:r>
      <w:r w:rsidRPr="00F62485">
        <w:rPr>
          <w:rFonts w:ascii="Times New Roman" w:hAnsi="Times New Roman" w:cs="Times New Roman"/>
          <w:b w:val="0"/>
          <w:i/>
          <w:color w:val="auto"/>
          <w:sz w:val="24"/>
          <w:szCs w:val="24"/>
        </w:rPr>
        <w:instrText xml:space="preserve"> SEQ Figure \* ARABIC </w:instrText>
      </w:r>
      <w:r w:rsidR="00106A32" w:rsidRPr="00F62485">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18</w:t>
      </w:r>
      <w:r w:rsidR="00106A32" w:rsidRPr="00F62485">
        <w:rPr>
          <w:rFonts w:ascii="Times New Roman" w:hAnsi="Times New Roman" w:cs="Times New Roman"/>
          <w:b w:val="0"/>
          <w:i/>
          <w:color w:val="auto"/>
          <w:sz w:val="24"/>
          <w:szCs w:val="24"/>
        </w:rPr>
        <w:fldChar w:fldCharType="end"/>
      </w:r>
      <w:r w:rsidRPr="00F62485">
        <w:rPr>
          <w:rFonts w:ascii="Times New Roman" w:hAnsi="Times New Roman" w:cs="Times New Roman"/>
          <w:b w:val="0"/>
          <w:i/>
          <w:color w:val="auto"/>
          <w:sz w:val="24"/>
          <w:szCs w:val="24"/>
        </w:rPr>
        <w:t xml:space="preserve"> - </w:t>
      </w:r>
      <w:r w:rsidR="000A5EFF" w:rsidRPr="00F62485">
        <w:rPr>
          <w:rFonts w:ascii="Times New Roman" w:hAnsi="Times New Roman" w:cs="Times New Roman"/>
          <w:b w:val="0"/>
          <w:i/>
          <w:color w:val="auto"/>
          <w:sz w:val="24"/>
          <w:szCs w:val="24"/>
        </w:rPr>
        <w:t>Coronary</w:t>
      </w:r>
      <w:r w:rsidRPr="00F62485">
        <w:rPr>
          <w:rFonts w:ascii="Times New Roman" w:hAnsi="Times New Roman" w:cs="Times New Roman"/>
          <w:b w:val="0"/>
          <w:i/>
          <w:color w:val="auto"/>
          <w:sz w:val="24"/>
          <w:szCs w:val="24"/>
        </w:rPr>
        <w:t xml:space="preserve"> Height Data</w:t>
      </w:r>
      <w:r w:rsidR="00D07228" w:rsidRPr="00F62485">
        <w:rPr>
          <w:rFonts w:ascii="Times New Roman" w:hAnsi="Times New Roman" w:cs="Times New Roman"/>
          <w:b w:val="0"/>
          <w:i/>
          <w:color w:val="auto"/>
          <w:sz w:val="24"/>
          <w:szCs w:val="24"/>
        </w:rPr>
        <w:t xml:space="preserve"> - Graphical presentation of specific measurement points to their respective ostium. LAD = left anterior descending artery, Cx = circumflex, RCA = right coronary artery, PDA = posterior descending artery, PLV = posterior left ventricular.</w:t>
      </w:r>
      <w:bookmarkEnd w:id="82"/>
    </w:p>
    <w:p w14:paraId="652E1F69" w14:textId="77777777" w:rsidR="00D07228" w:rsidRDefault="00D07228" w:rsidP="00D07228">
      <w:pPr>
        <w:spacing w:line="360" w:lineRule="auto"/>
        <w:rPr>
          <w:rFonts w:ascii="Times New Roman" w:hAnsi="Times New Roman" w:cs="Times New Roman"/>
          <w:i/>
          <w:sz w:val="24"/>
          <w:szCs w:val="24"/>
        </w:rPr>
      </w:pPr>
    </w:p>
    <w:p w14:paraId="3577F5E8" w14:textId="77777777" w:rsidR="0019652D" w:rsidRPr="0019652D" w:rsidRDefault="0019652D" w:rsidP="0019652D">
      <w:pPr>
        <w:pStyle w:val="Heading3"/>
        <w:rPr>
          <w:rFonts w:ascii="Times New Roman" w:hAnsi="Times New Roman" w:cs="Times New Roman"/>
          <w:b w:val="0"/>
          <w:i/>
          <w:color w:val="auto"/>
          <w:sz w:val="24"/>
          <w:szCs w:val="24"/>
        </w:rPr>
      </w:pPr>
      <w:bookmarkStart w:id="83" w:name="_Toc80302207"/>
      <w:r w:rsidRPr="0019652D">
        <w:rPr>
          <w:rFonts w:ascii="Times New Roman" w:hAnsi="Times New Roman" w:cs="Times New Roman"/>
          <w:b w:val="0"/>
          <w:i/>
          <w:color w:val="auto"/>
          <w:sz w:val="24"/>
          <w:szCs w:val="24"/>
        </w:rPr>
        <w:t>2.5.3 - Effect on FFR</w:t>
      </w:r>
      <w:bookmarkEnd w:id="83"/>
      <w:r>
        <w:rPr>
          <w:rFonts w:ascii="Times New Roman" w:hAnsi="Times New Roman" w:cs="Times New Roman"/>
          <w:b w:val="0"/>
          <w:i/>
          <w:color w:val="auto"/>
          <w:sz w:val="24"/>
          <w:szCs w:val="24"/>
        </w:rPr>
        <w:br/>
      </w:r>
      <w:r w:rsidRPr="0019652D">
        <w:rPr>
          <w:rFonts w:ascii="Times New Roman" w:hAnsi="Times New Roman" w:cs="Times New Roman"/>
          <w:b w:val="0"/>
          <w:i/>
          <w:color w:val="auto"/>
          <w:sz w:val="24"/>
          <w:szCs w:val="24"/>
        </w:rPr>
        <w:br/>
      </w:r>
    </w:p>
    <w:p w14:paraId="56219B4C" w14:textId="77777777" w:rsidR="00D07228" w:rsidRDefault="00D07228" w:rsidP="00D07228">
      <w:pPr>
        <w:spacing w:line="360" w:lineRule="auto"/>
        <w:rPr>
          <w:rFonts w:ascii="Times New Roman" w:hAnsi="Times New Roman" w:cs="Times New Roman"/>
          <w:sz w:val="24"/>
          <w:szCs w:val="24"/>
        </w:rPr>
      </w:pPr>
      <w:r w:rsidRPr="003E6610">
        <w:rPr>
          <w:rFonts w:ascii="Times New Roman" w:hAnsi="Times New Roman" w:cs="Times New Roman"/>
          <w:sz w:val="24"/>
          <w:szCs w:val="24"/>
        </w:rPr>
        <w:t xml:space="preserve">Table </w:t>
      </w:r>
      <w:r w:rsidR="003E6610" w:rsidRPr="003E6610">
        <w:rPr>
          <w:rFonts w:ascii="Times New Roman" w:hAnsi="Times New Roman" w:cs="Times New Roman"/>
          <w:sz w:val="24"/>
          <w:szCs w:val="24"/>
        </w:rPr>
        <w:t>5</w:t>
      </w:r>
      <w:r w:rsidRPr="003E6610">
        <w:rPr>
          <w:rFonts w:ascii="Times New Roman" w:hAnsi="Times New Roman" w:cs="Times New Roman"/>
          <w:sz w:val="24"/>
          <w:szCs w:val="24"/>
        </w:rPr>
        <w:t xml:space="preserve"> below shows the height variation converted into pressure difference using a 0.8mmHg/cm conversion factor for each measurement point. The resulting change in FFR or cFFR is demonstrated in the far right column as compared with an FFR of 1.0</w:t>
      </w:r>
      <w:r w:rsidRPr="00EC6C19">
        <w:rPr>
          <w:rFonts w:ascii="Times New Roman" w:hAnsi="Times New Roman" w:cs="Times New Roman"/>
          <w:sz w:val="24"/>
          <w:szCs w:val="24"/>
        </w:rPr>
        <w:t>.</w:t>
      </w:r>
    </w:p>
    <w:p w14:paraId="624FA087" w14:textId="77777777" w:rsidR="00CE002A" w:rsidRDefault="00CE002A" w:rsidP="00D07228">
      <w:pPr>
        <w:spacing w:line="360" w:lineRule="auto"/>
        <w:rPr>
          <w:rFonts w:ascii="Times New Roman" w:hAnsi="Times New Roman" w:cs="Times New Roman"/>
          <w:sz w:val="24"/>
          <w:szCs w:val="24"/>
        </w:rPr>
      </w:pPr>
    </w:p>
    <w:p w14:paraId="23CE46CB" w14:textId="77777777" w:rsidR="00CE002A" w:rsidRDefault="00CE002A" w:rsidP="00D07228">
      <w:pPr>
        <w:spacing w:line="360" w:lineRule="auto"/>
        <w:rPr>
          <w:rFonts w:ascii="Times New Roman" w:hAnsi="Times New Roman" w:cs="Times New Roman"/>
          <w:sz w:val="24"/>
          <w:szCs w:val="24"/>
        </w:rPr>
      </w:pPr>
    </w:p>
    <w:p w14:paraId="3B7E94DD" w14:textId="77777777" w:rsidR="00CE002A" w:rsidRDefault="00CE002A" w:rsidP="00D07228">
      <w:pPr>
        <w:spacing w:line="360" w:lineRule="auto"/>
        <w:rPr>
          <w:rFonts w:ascii="Times New Roman" w:hAnsi="Times New Roman" w:cs="Times New Roman"/>
          <w:sz w:val="24"/>
          <w:szCs w:val="24"/>
        </w:rPr>
      </w:pPr>
    </w:p>
    <w:p w14:paraId="0221C831" w14:textId="77777777" w:rsidR="00CE002A" w:rsidRDefault="00CE002A" w:rsidP="00D07228">
      <w:pPr>
        <w:spacing w:line="360" w:lineRule="auto"/>
        <w:rPr>
          <w:rFonts w:ascii="Times New Roman" w:hAnsi="Times New Roman" w:cs="Times New Roman"/>
          <w:sz w:val="24"/>
          <w:szCs w:val="24"/>
        </w:rPr>
      </w:pPr>
    </w:p>
    <w:p w14:paraId="6509B479" w14:textId="77777777" w:rsidR="00CE002A" w:rsidRDefault="00CE002A" w:rsidP="00D07228">
      <w:pPr>
        <w:spacing w:line="360" w:lineRule="auto"/>
        <w:rPr>
          <w:rFonts w:ascii="Times New Roman" w:hAnsi="Times New Roman" w:cs="Times New Roman"/>
          <w:sz w:val="24"/>
          <w:szCs w:val="24"/>
        </w:rPr>
      </w:pPr>
    </w:p>
    <w:p w14:paraId="405D7A66" w14:textId="77777777" w:rsidR="00CE002A" w:rsidRDefault="00CE002A" w:rsidP="00D07228">
      <w:pPr>
        <w:spacing w:line="360" w:lineRule="auto"/>
        <w:rPr>
          <w:rFonts w:ascii="Times New Roman" w:hAnsi="Times New Roman" w:cs="Times New Roman"/>
          <w:sz w:val="24"/>
          <w:szCs w:val="24"/>
        </w:rPr>
      </w:pPr>
    </w:p>
    <w:p w14:paraId="5D2D6FDF" w14:textId="77777777" w:rsidR="00CE002A" w:rsidRDefault="00CE002A" w:rsidP="00D07228">
      <w:pPr>
        <w:spacing w:line="360" w:lineRule="auto"/>
        <w:rPr>
          <w:rFonts w:ascii="Times New Roman" w:hAnsi="Times New Roman" w:cs="Times New Roman"/>
          <w:sz w:val="24"/>
          <w:szCs w:val="24"/>
        </w:rPr>
      </w:pPr>
    </w:p>
    <w:p w14:paraId="3329AF87" w14:textId="77777777" w:rsidR="00CE002A" w:rsidRDefault="00CE002A" w:rsidP="00D07228">
      <w:pPr>
        <w:spacing w:line="360" w:lineRule="auto"/>
        <w:rPr>
          <w:rFonts w:ascii="Times New Roman" w:hAnsi="Times New Roman" w:cs="Times New Roman"/>
          <w:sz w:val="24"/>
          <w:szCs w:val="24"/>
        </w:rPr>
      </w:pPr>
    </w:p>
    <w:p w14:paraId="613FAF00" w14:textId="77777777" w:rsidR="00CE002A" w:rsidRDefault="00CE002A" w:rsidP="00D07228">
      <w:pPr>
        <w:spacing w:line="360" w:lineRule="auto"/>
        <w:rPr>
          <w:rFonts w:ascii="Times New Roman" w:hAnsi="Times New Roman" w:cs="Times New Roman"/>
          <w:sz w:val="24"/>
          <w:szCs w:val="24"/>
        </w:rPr>
      </w:pPr>
    </w:p>
    <w:p w14:paraId="63296E7C" w14:textId="77777777" w:rsidR="00CE002A" w:rsidRDefault="00CE002A" w:rsidP="00D07228">
      <w:pPr>
        <w:spacing w:line="360" w:lineRule="auto"/>
        <w:rPr>
          <w:rFonts w:ascii="Times New Roman" w:hAnsi="Times New Roman" w:cs="Times New Roman"/>
          <w:sz w:val="24"/>
          <w:szCs w:val="24"/>
        </w:rPr>
      </w:pPr>
    </w:p>
    <w:p w14:paraId="478082EF" w14:textId="77777777" w:rsidR="00CE002A" w:rsidRDefault="00CE002A" w:rsidP="00D07228">
      <w:pPr>
        <w:spacing w:line="360" w:lineRule="auto"/>
        <w:rPr>
          <w:rFonts w:ascii="Times New Roman" w:hAnsi="Times New Roman" w:cs="Times New Roman"/>
          <w:sz w:val="24"/>
          <w:szCs w:val="24"/>
        </w:rPr>
      </w:pPr>
    </w:p>
    <w:p w14:paraId="282BD647" w14:textId="77777777" w:rsidR="00CE002A" w:rsidRDefault="00CE002A" w:rsidP="00D07228">
      <w:pPr>
        <w:spacing w:line="360" w:lineRule="auto"/>
        <w:rPr>
          <w:rFonts w:ascii="Times New Roman" w:hAnsi="Times New Roman" w:cs="Times New Roman"/>
          <w:sz w:val="24"/>
          <w:szCs w:val="24"/>
        </w:rPr>
      </w:pPr>
    </w:p>
    <w:p w14:paraId="34C83843" w14:textId="77777777" w:rsidR="00CE002A" w:rsidRDefault="00CE002A" w:rsidP="00D07228">
      <w:pPr>
        <w:spacing w:line="360" w:lineRule="auto"/>
        <w:rPr>
          <w:rFonts w:ascii="Times New Roman" w:hAnsi="Times New Roman" w:cs="Times New Roman"/>
          <w:sz w:val="24"/>
          <w:szCs w:val="24"/>
        </w:rPr>
      </w:pPr>
    </w:p>
    <w:p w14:paraId="00232D59" w14:textId="77777777" w:rsidR="00CE002A" w:rsidRDefault="00CE002A" w:rsidP="00D07228">
      <w:pPr>
        <w:spacing w:line="360" w:lineRule="auto"/>
        <w:rPr>
          <w:rFonts w:ascii="Times New Roman" w:hAnsi="Times New Roman" w:cs="Times New Roman"/>
          <w:sz w:val="24"/>
          <w:szCs w:val="24"/>
        </w:rPr>
      </w:pPr>
    </w:p>
    <w:p w14:paraId="608F5BFD" w14:textId="77777777" w:rsidR="00CE002A" w:rsidRDefault="00CE002A" w:rsidP="00D07228">
      <w:pPr>
        <w:spacing w:line="360" w:lineRule="auto"/>
        <w:rPr>
          <w:rFonts w:ascii="Times New Roman" w:hAnsi="Times New Roman" w:cs="Times New Roman"/>
          <w:sz w:val="24"/>
          <w:szCs w:val="24"/>
        </w:rPr>
      </w:pPr>
    </w:p>
    <w:p w14:paraId="76C8DCA3" w14:textId="77777777" w:rsidR="00CE002A" w:rsidRDefault="00CE002A" w:rsidP="00D07228">
      <w:pPr>
        <w:spacing w:line="360" w:lineRule="auto"/>
        <w:rPr>
          <w:rFonts w:ascii="Times New Roman" w:hAnsi="Times New Roman" w:cs="Times New Roman"/>
          <w:sz w:val="24"/>
          <w:szCs w:val="24"/>
        </w:rPr>
      </w:pPr>
    </w:p>
    <w:p w14:paraId="12C55EBD" w14:textId="77777777" w:rsidR="00CE002A" w:rsidRPr="00EC6C19" w:rsidRDefault="00CE002A" w:rsidP="00D07228">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2075"/>
        <w:gridCol w:w="1747"/>
        <w:gridCol w:w="1567"/>
        <w:gridCol w:w="1243"/>
        <w:gridCol w:w="1237"/>
        <w:gridCol w:w="1491"/>
      </w:tblGrid>
      <w:tr w:rsidR="00D07228" w:rsidRPr="00EC6C19" w14:paraId="22B05E36" w14:textId="77777777" w:rsidTr="00F31D6C">
        <w:tc>
          <w:tcPr>
            <w:tcW w:w="2147" w:type="dxa"/>
            <w:tcBorders>
              <w:bottom w:val="single" w:sz="18" w:space="0" w:color="000000" w:themeColor="text1"/>
            </w:tcBorders>
            <w:shd w:val="clear" w:color="auto" w:fill="F2F2F2" w:themeFill="background1" w:themeFillShade="F2"/>
          </w:tcPr>
          <w:p w14:paraId="38D04683"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Cs/>
                <w:sz w:val="24"/>
                <w:szCs w:val="24"/>
              </w:rPr>
            </w:pPr>
            <w:r w:rsidRPr="00EC6C19">
              <w:rPr>
                <w:rFonts w:ascii="Times New Roman" w:hAnsi="Times New Roman" w:cs="Times New Roman"/>
                <w:sz w:val="24"/>
                <w:szCs w:val="24"/>
              </w:rPr>
              <w:t>Measurement Point</w:t>
            </w:r>
          </w:p>
          <w:p w14:paraId="292DDEDE"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Cs/>
                <w:sz w:val="24"/>
                <w:szCs w:val="24"/>
              </w:rPr>
            </w:pPr>
          </w:p>
        </w:tc>
        <w:tc>
          <w:tcPr>
            <w:tcW w:w="1821" w:type="dxa"/>
            <w:tcBorders>
              <w:bottom w:val="single" w:sz="18" w:space="0" w:color="000000" w:themeColor="text1"/>
            </w:tcBorders>
            <w:shd w:val="clear" w:color="auto" w:fill="F2F2F2" w:themeFill="background1" w:themeFillShade="F2"/>
          </w:tcPr>
          <w:p w14:paraId="5FCBA4DE"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Cs/>
                <w:sz w:val="24"/>
                <w:szCs w:val="24"/>
              </w:rPr>
            </w:pPr>
            <w:r w:rsidRPr="00EC6C19">
              <w:rPr>
                <w:rFonts w:ascii="Times New Roman" w:hAnsi="Times New Roman" w:cs="Times New Roman"/>
                <w:sz w:val="24"/>
                <w:szCs w:val="24"/>
              </w:rPr>
              <w:t>Height from respective coronary ostium (mm)</w:t>
            </w:r>
          </w:p>
        </w:tc>
        <w:tc>
          <w:tcPr>
            <w:tcW w:w="1640" w:type="dxa"/>
            <w:tcBorders>
              <w:bottom w:val="single" w:sz="18" w:space="0" w:color="000000" w:themeColor="text1"/>
            </w:tcBorders>
            <w:shd w:val="clear" w:color="auto" w:fill="F2F2F2" w:themeFill="background1" w:themeFillShade="F2"/>
          </w:tcPr>
          <w:p w14:paraId="2280B7A9"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Cs/>
                <w:sz w:val="24"/>
                <w:szCs w:val="24"/>
              </w:rPr>
            </w:pPr>
            <w:r w:rsidRPr="00EC6C19">
              <w:rPr>
                <w:rFonts w:ascii="Times New Roman" w:hAnsi="Times New Roman" w:cs="Times New Roman"/>
                <w:sz w:val="24"/>
                <w:szCs w:val="24"/>
              </w:rPr>
              <w:t>Height effect on distal pressure (Pd) - mmHg</w:t>
            </w:r>
          </w:p>
        </w:tc>
        <w:tc>
          <w:tcPr>
            <w:tcW w:w="1112" w:type="dxa"/>
            <w:tcBorders>
              <w:bottom w:val="single" w:sz="18" w:space="0" w:color="000000" w:themeColor="text1"/>
            </w:tcBorders>
            <w:shd w:val="clear" w:color="auto" w:fill="F2F2F2" w:themeFill="background1" w:themeFillShade="F2"/>
          </w:tcPr>
          <w:p w14:paraId="3F128E29"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Correction Factor</w:t>
            </w:r>
          </w:p>
        </w:tc>
        <w:tc>
          <w:tcPr>
            <w:tcW w:w="1316" w:type="dxa"/>
            <w:tcBorders>
              <w:bottom w:val="single" w:sz="18" w:space="0" w:color="000000" w:themeColor="text1"/>
            </w:tcBorders>
            <w:shd w:val="clear" w:color="auto" w:fill="F2F2F2" w:themeFill="background1" w:themeFillShade="F2"/>
          </w:tcPr>
          <w:p w14:paraId="45E48479"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FFR</w:t>
            </w:r>
          </w:p>
        </w:tc>
        <w:tc>
          <w:tcPr>
            <w:tcW w:w="1540" w:type="dxa"/>
            <w:tcBorders>
              <w:bottom w:val="single" w:sz="18" w:space="0" w:color="000000" w:themeColor="text1"/>
            </w:tcBorders>
            <w:shd w:val="clear" w:color="auto" w:fill="F2F2F2" w:themeFill="background1" w:themeFillShade="F2"/>
          </w:tcPr>
          <w:p w14:paraId="6ABAFE08"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Cs/>
                <w:sz w:val="24"/>
                <w:szCs w:val="24"/>
              </w:rPr>
            </w:pPr>
            <w:r w:rsidRPr="00EC6C19">
              <w:rPr>
                <w:rFonts w:ascii="Times New Roman" w:hAnsi="Times New Roman" w:cs="Times New Roman"/>
                <w:sz w:val="24"/>
                <w:szCs w:val="24"/>
              </w:rPr>
              <w:t>cFFR assuming Pa of 100</w:t>
            </w:r>
          </w:p>
        </w:tc>
      </w:tr>
      <w:tr w:rsidR="00D07228" w:rsidRPr="00EC6C19" w14:paraId="6ED12140" w14:textId="77777777" w:rsidTr="00F31D6C">
        <w:tc>
          <w:tcPr>
            <w:tcW w:w="2147" w:type="dxa"/>
            <w:tcBorders>
              <w:top w:val="single" w:sz="18" w:space="0" w:color="000000" w:themeColor="text1"/>
            </w:tcBorders>
            <w:shd w:val="clear" w:color="auto" w:fill="FFFFFF" w:themeFill="background1"/>
          </w:tcPr>
          <w:p w14:paraId="631B0745"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821" w:type="dxa"/>
            <w:tcBorders>
              <w:top w:val="single" w:sz="18" w:space="0" w:color="000000" w:themeColor="text1"/>
            </w:tcBorders>
            <w:shd w:val="clear" w:color="auto" w:fill="FFFFFF" w:themeFill="background1"/>
          </w:tcPr>
          <w:p w14:paraId="1EF2D11D"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640" w:type="dxa"/>
            <w:tcBorders>
              <w:top w:val="single" w:sz="18" w:space="0" w:color="000000" w:themeColor="text1"/>
            </w:tcBorders>
            <w:shd w:val="clear" w:color="auto" w:fill="FFFFFF" w:themeFill="background1"/>
          </w:tcPr>
          <w:p w14:paraId="644D005A"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112" w:type="dxa"/>
            <w:tcBorders>
              <w:top w:val="single" w:sz="18" w:space="0" w:color="000000" w:themeColor="text1"/>
            </w:tcBorders>
            <w:shd w:val="clear" w:color="auto" w:fill="FFFFFF" w:themeFill="background1"/>
          </w:tcPr>
          <w:p w14:paraId="79136D16"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316" w:type="dxa"/>
            <w:tcBorders>
              <w:top w:val="single" w:sz="18" w:space="0" w:color="000000" w:themeColor="text1"/>
            </w:tcBorders>
            <w:shd w:val="clear" w:color="auto" w:fill="FFFFFF" w:themeFill="background1"/>
          </w:tcPr>
          <w:p w14:paraId="794CD083"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540" w:type="dxa"/>
            <w:tcBorders>
              <w:top w:val="single" w:sz="18" w:space="0" w:color="000000" w:themeColor="text1"/>
            </w:tcBorders>
            <w:shd w:val="clear" w:color="auto" w:fill="FFFFFF" w:themeFill="background1"/>
          </w:tcPr>
          <w:p w14:paraId="12E8249C"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r>
      <w:tr w:rsidR="00D07228" w:rsidRPr="00EC6C19" w14:paraId="7B814481" w14:textId="77777777" w:rsidTr="00A14398">
        <w:tc>
          <w:tcPr>
            <w:tcW w:w="2147" w:type="dxa"/>
            <w:shd w:val="clear" w:color="auto" w:fill="FFFFFF" w:themeFill="background1"/>
          </w:tcPr>
          <w:p w14:paraId="67F5975F"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LAD Ostium</w:t>
            </w:r>
          </w:p>
          <w:p w14:paraId="53BD12EB"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821" w:type="dxa"/>
            <w:shd w:val="clear" w:color="auto" w:fill="FFFFFF" w:themeFill="background1"/>
          </w:tcPr>
          <w:p w14:paraId="178BA16F"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lastRenderedPageBreak/>
              <w:t>+2.1</w:t>
            </w:r>
          </w:p>
          <w:p w14:paraId="62BCCD8E"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640" w:type="dxa"/>
            <w:shd w:val="clear" w:color="auto" w:fill="FFFFFF" w:themeFill="background1"/>
          </w:tcPr>
          <w:p w14:paraId="00269D34"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lastRenderedPageBreak/>
              <w:t>-0.2</w:t>
            </w:r>
          </w:p>
        </w:tc>
        <w:tc>
          <w:tcPr>
            <w:tcW w:w="1112" w:type="dxa"/>
            <w:shd w:val="clear" w:color="auto" w:fill="FFFFFF" w:themeFill="background1"/>
          </w:tcPr>
          <w:p w14:paraId="6469747C"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+0.002</w:t>
            </w:r>
          </w:p>
        </w:tc>
        <w:tc>
          <w:tcPr>
            <w:tcW w:w="1316" w:type="dxa"/>
            <w:shd w:val="clear" w:color="auto" w:fill="FFFFFF" w:themeFill="background1"/>
          </w:tcPr>
          <w:p w14:paraId="3CA6936A"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540" w:type="dxa"/>
            <w:shd w:val="clear" w:color="auto" w:fill="FFFFFF" w:themeFill="background1"/>
          </w:tcPr>
          <w:p w14:paraId="5D720D9E"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hAnsi="Times New Roman" w:cs="Times New Roman"/>
                <w:b/>
                <w:sz w:val="24"/>
                <w:szCs w:val="24"/>
              </w:rPr>
              <w:t>1.0</w:t>
            </w:r>
          </w:p>
        </w:tc>
      </w:tr>
      <w:tr w:rsidR="00D07228" w:rsidRPr="00EC6C19" w14:paraId="48808D6B" w14:textId="77777777" w:rsidTr="00A14398">
        <w:tc>
          <w:tcPr>
            <w:tcW w:w="2147" w:type="dxa"/>
            <w:shd w:val="clear" w:color="auto" w:fill="FFFFFF" w:themeFill="background1"/>
          </w:tcPr>
          <w:p w14:paraId="292E0E76"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Distal LAD</w:t>
            </w:r>
          </w:p>
          <w:p w14:paraId="66ED999C"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821" w:type="dxa"/>
            <w:shd w:val="clear" w:color="auto" w:fill="FFFFFF" w:themeFill="background1"/>
          </w:tcPr>
          <w:p w14:paraId="442AE038"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+52.5</w:t>
            </w:r>
          </w:p>
        </w:tc>
        <w:tc>
          <w:tcPr>
            <w:tcW w:w="1640" w:type="dxa"/>
            <w:shd w:val="clear" w:color="auto" w:fill="FFFFFF" w:themeFill="background1"/>
          </w:tcPr>
          <w:p w14:paraId="3BE8A96C"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-4.2</w:t>
            </w:r>
          </w:p>
        </w:tc>
        <w:tc>
          <w:tcPr>
            <w:tcW w:w="1112" w:type="dxa"/>
            <w:shd w:val="clear" w:color="auto" w:fill="FFFFFF" w:themeFill="background1"/>
          </w:tcPr>
          <w:p w14:paraId="67B86F58"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+0.04</w:t>
            </w:r>
          </w:p>
        </w:tc>
        <w:tc>
          <w:tcPr>
            <w:tcW w:w="1316" w:type="dxa"/>
            <w:shd w:val="clear" w:color="auto" w:fill="FFFFFF" w:themeFill="background1"/>
          </w:tcPr>
          <w:p w14:paraId="29947E61"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540" w:type="dxa"/>
            <w:shd w:val="clear" w:color="auto" w:fill="FFFFFF" w:themeFill="background1"/>
          </w:tcPr>
          <w:p w14:paraId="40C108EF"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hAnsi="Times New Roman" w:cs="Times New Roman"/>
                <w:b/>
                <w:sz w:val="24"/>
                <w:szCs w:val="24"/>
              </w:rPr>
              <w:t>1.04</w:t>
            </w:r>
          </w:p>
        </w:tc>
      </w:tr>
      <w:tr w:rsidR="00D07228" w:rsidRPr="00EC6C19" w14:paraId="6C5C7B5C" w14:textId="77777777" w:rsidTr="00A14398">
        <w:tc>
          <w:tcPr>
            <w:tcW w:w="2147" w:type="dxa"/>
            <w:shd w:val="clear" w:color="auto" w:fill="FFFFFF" w:themeFill="background1"/>
          </w:tcPr>
          <w:p w14:paraId="06BE1E7C"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Distal Cx</w:t>
            </w:r>
          </w:p>
          <w:p w14:paraId="46A44201"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821" w:type="dxa"/>
            <w:shd w:val="clear" w:color="auto" w:fill="FFFFFF" w:themeFill="background1"/>
          </w:tcPr>
          <w:p w14:paraId="2684FABB"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-33.6</w:t>
            </w:r>
          </w:p>
        </w:tc>
        <w:tc>
          <w:tcPr>
            <w:tcW w:w="1640" w:type="dxa"/>
            <w:shd w:val="clear" w:color="auto" w:fill="FFFFFF" w:themeFill="background1"/>
          </w:tcPr>
          <w:p w14:paraId="56938DA8"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+2.7</w:t>
            </w:r>
          </w:p>
        </w:tc>
        <w:tc>
          <w:tcPr>
            <w:tcW w:w="1112" w:type="dxa"/>
            <w:shd w:val="clear" w:color="auto" w:fill="FFFFFF" w:themeFill="background1"/>
          </w:tcPr>
          <w:p w14:paraId="75AE48EF"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-0.3</w:t>
            </w:r>
          </w:p>
        </w:tc>
        <w:tc>
          <w:tcPr>
            <w:tcW w:w="1316" w:type="dxa"/>
            <w:shd w:val="clear" w:color="auto" w:fill="FFFFFF" w:themeFill="background1"/>
          </w:tcPr>
          <w:p w14:paraId="3A30F009"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540" w:type="dxa"/>
            <w:shd w:val="clear" w:color="auto" w:fill="FFFFFF" w:themeFill="background1"/>
          </w:tcPr>
          <w:p w14:paraId="027562D0"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hAnsi="Times New Roman" w:cs="Times New Roman"/>
                <w:b/>
                <w:sz w:val="24"/>
                <w:szCs w:val="24"/>
              </w:rPr>
              <w:t>0.97</w:t>
            </w:r>
          </w:p>
        </w:tc>
      </w:tr>
      <w:tr w:rsidR="00D07228" w:rsidRPr="00EC6C19" w14:paraId="4F685E1E" w14:textId="77777777" w:rsidTr="00A14398">
        <w:tc>
          <w:tcPr>
            <w:tcW w:w="2147" w:type="dxa"/>
            <w:shd w:val="clear" w:color="auto" w:fill="FFFFFF" w:themeFill="background1"/>
          </w:tcPr>
          <w:p w14:paraId="32F5624D"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821" w:type="dxa"/>
            <w:shd w:val="clear" w:color="auto" w:fill="FFFFFF" w:themeFill="background1"/>
          </w:tcPr>
          <w:p w14:paraId="0AC8E158"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640" w:type="dxa"/>
            <w:shd w:val="clear" w:color="auto" w:fill="FFFFFF" w:themeFill="background1"/>
          </w:tcPr>
          <w:p w14:paraId="57799761"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112" w:type="dxa"/>
            <w:shd w:val="clear" w:color="auto" w:fill="FFFFFF" w:themeFill="background1"/>
          </w:tcPr>
          <w:p w14:paraId="6EB136BB"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Cs/>
                <w:sz w:val="24"/>
                <w:szCs w:val="24"/>
              </w:rPr>
            </w:pPr>
          </w:p>
        </w:tc>
        <w:tc>
          <w:tcPr>
            <w:tcW w:w="1316" w:type="dxa"/>
            <w:shd w:val="clear" w:color="auto" w:fill="FFFFFF" w:themeFill="background1"/>
          </w:tcPr>
          <w:p w14:paraId="1F8DA39D"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Cs/>
                <w:sz w:val="24"/>
                <w:szCs w:val="24"/>
              </w:rPr>
            </w:pPr>
          </w:p>
        </w:tc>
        <w:tc>
          <w:tcPr>
            <w:tcW w:w="1540" w:type="dxa"/>
            <w:shd w:val="clear" w:color="auto" w:fill="FFFFFF" w:themeFill="background1"/>
          </w:tcPr>
          <w:p w14:paraId="17CA854B"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tc>
      </w:tr>
      <w:tr w:rsidR="00D07228" w:rsidRPr="00EC6C19" w14:paraId="27E9673A" w14:textId="77777777" w:rsidTr="00A14398">
        <w:tc>
          <w:tcPr>
            <w:tcW w:w="2147" w:type="dxa"/>
            <w:shd w:val="clear" w:color="auto" w:fill="FFFFFF" w:themeFill="background1"/>
          </w:tcPr>
          <w:p w14:paraId="71EF96DD"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RCA bifurcation</w:t>
            </w:r>
          </w:p>
          <w:p w14:paraId="0F7B80B1"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821" w:type="dxa"/>
            <w:shd w:val="clear" w:color="auto" w:fill="FFFFFF" w:themeFill="background1"/>
          </w:tcPr>
          <w:p w14:paraId="1004C911"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-18.2</w:t>
            </w:r>
          </w:p>
        </w:tc>
        <w:tc>
          <w:tcPr>
            <w:tcW w:w="1640" w:type="dxa"/>
            <w:shd w:val="clear" w:color="auto" w:fill="FFFFFF" w:themeFill="background1"/>
          </w:tcPr>
          <w:p w14:paraId="22A23E96"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+1.5</w:t>
            </w:r>
          </w:p>
        </w:tc>
        <w:tc>
          <w:tcPr>
            <w:tcW w:w="1112" w:type="dxa"/>
            <w:shd w:val="clear" w:color="auto" w:fill="FFFFFF" w:themeFill="background1"/>
          </w:tcPr>
          <w:p w14:paraId="4547B6D1"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316" w:type="dxa"/>
            <w:shd w:val="clear" w:color="auto" w:fill="FFFFFF" w:themeFill="background1"/>
          </w:tcPr>
          <w:p w14:paraId="6B3D3DD9"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540" w:type="dxa"/>
            <w:shd w:val="clear" w:color="auto" w:fill="FFFFFF" w:themeFill="background1"/>
          </w:tcPr>
          <w:p w14:paraId="277AAA71"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eastAsiaTheme="majorEastAsia" w:hAnsi="Times New Roman" w:cs="Times New Roman"/>
                <w:b/>
                <w:sz w:val="24"/>
                <w:szCs w:val="24"/>
              </w:rPr>
              <w:t>0.98</w:t>
            </w:r>
          </w:p>
        </w:tc>
      </w:tr>
      <w:tr w:rsidR="00D07228" w:rsidRPr="00EC6C19" w14:paraId="2DA715EC" w14:textId="77777777" w:rsidTr="00A14398">
        <w:trPr>
          <w:trHeight w:val="455"/>
        </w:trPr>
        <w:tc>
          <w:tcPr>
            <w:tcW w:w="2147" w:type="dxa"/>
            <w:shd w:val="clear" w:color="auto" w:fill="FFFFFF" w:themeFill="background1"/>
          </w:tcPr>
          <w:p w14:paraId="4029DC0F"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Distal PDA</w:t>
            </w:r>
          </w:p>
          <w:p w14:paraId="20EC09F0"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F81BD" w:themeColor="accent1"/>
                <w:sz w:val="24"/>
                <w:szCs w:val="24"/>
              </w:rPr>
            </w:pPr>
          </w:p>
        </w:tc>
        <w:tc>
          <w:tcPr>
            <w:tcW w:w="1821" w:type="dxa"/>
            <w:shd w:val="clear" w:color="auto" w:fill="FFFFFF" w:themeFill="background1"/>
          </w:tcPr>
          <w:p w14:paraId="1A45F18A"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+18.3</w:t>
            </w:r>
          </w:p>
        </w:tc>
        <w:tc>
          <w:tcPr>
            <w:tcW w:w="1640" w:type="dxa"/>
            <w:shd w:val="clear" w:color="auto" w:fill="FFFFFF" w:themeFill="background1"/>
          </w:tcPr>
          <w:p w14:paraId="084FFB33"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-1.5</w:t>
            </w:r>
          </w:p>
        </w:tc>
        <w:tc>
          <w:tcPr>
            <w:tcW w:w="1112" w:type="dxa"/>
            <w:shd w:val="clear" w:color="auto" w:fill="FFFFFF" w:themeFill="background1"/>
          </w:tcPr>
          <w:p w14:paraId="7F64929D"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316" w:type="dxa"/>
            <w:shd w:val="clear" w:color="auto" w:fill="FFFFFF" w:themeFill="background1"/>
          </w:tcPr>
          <w:p w14:paraId="50598EFD"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540" w:type="dxa"/>
            <w:shd w:val="clear" w:color="auto" w:fill="FFFFFF" w:themeFill="background1"/>
          </w:tcPr>
          <w:p w14:paraId="16CF66CA"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hAnsi="Times New Roman" w:cs="Times New Roman"/>
                <w:b/>
                <w:sz w:val="24"/>
                <w:szCs w:val="24"/>
              </w:rPr>
              <w:t>1.02</w:t>
            </w:r>
          </w:p>
        </w:tc>
      </w:tr>
      <w:tr w:rsidR="00D07228" w:rsidRPr="00EC6C19" w14:paraId="4D9E65F0" w14:textId="77777777" w:rsidTr="00A14398">
        <w:tc>
          <w:tcPr>
            <w:tcW w:w="2147" w:type="dxa"/>
            <w:shd w:val="clear" w:color="auto" w:fill="FFFFFF" w:themeFill="background1"/>
          </w:tcPr>
          <w:p w14:paraId="7E00BD99"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b/>
                <w:sz w:val="24"/>
                <w:szCs w:val="24"/>
              </w:rPr>
              <w:t>Distal PLV</w:t>
            </w:r>
          </w:p>
        </w:tc>
        <w:tc>
          <w:tcPr>
            <w:tcW w:w="1821" w:type="dxa"/>
            <w:shd w:val="clear" w:color="auto" w:fill="FFFFFF" w:themeFill="background1"/>
          </w:tcPr>
          <w:p w14:paraId="7D767FA1"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-57.4</w:t>
            </w:r>
          </w:p>
        </w:tc>
        <w:tc>
          <w:tcPr>
            <w:tcW w:w="1640" w:type="dxa"/>
            <w:shd w:val="clear" w:color="auto" w:fill="FFFFFF" w:themeFill="background1"/>
          </w:tcPr>
          <w:p w14:paraId="460B36CE"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+4.6</w:t>
            </w:r>
          </w:p>
        </w:tc>
        <w:tc>
          <w:tcPr>
            <w:tcW w:w="1112" w:type="dxa"/>
            <w:shd w:val="clear" w:color="auto" w:fill="FFFFFF" w:themeFill="background1"/>
          </w:tcPr>
          <w:p w14:paraId="3742454B"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w:t>
            </w:r>
          </w:p>
        </w:tc>
        <w:tc>
          <w:tcPr>
            <w:tcW w:w="1316" w:type="dxa"/>
            <w:shd w:val="clear" w:color="auto" w:fill="FFFFFF" w:themeFill="background1"/>
          </w:tcPr>
          <w:p w14:paraId="04691A87" w14:textId="77777777" w:rsidR="00D07228" w:rsidRPr="00EC6C19" w:rsidRDefault="00D07228" w:rsidP="00A14398">
            <w:pPr>
              <w:widowControl w:val="0"/>
              <w:autoSpaceDE w:val="0"/>
              <w:autoSpaceDN w:val="0"/>
              <w:adjustRightInd w:val="0"/>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540" w:type="dxa"/>
            <w:shd w:val="clear" w:color="auto" w:fill="FFFFFF" w:themeFill="background1"/>
          </w:tcPr>
          <w:p w14:paraId="4F2B5D12" w14:textId="77777777" w:rsidR="00D07228" w:rsidRPr="00EC6C19" w:rsidRDefault="00D07228" w:rsidP="00A14398">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hAnsi="Times New Roman" w:cs="Times New Roman"/>
                <w:b/>
                <w:sz w:val="24"/>
                <w:szCs w:val="24"/>
              </w:rPr>
              <w:t>0.95</w:t>
            </w:r>
          </w:p>
        </w:tc>
      </w:tr>
    </w:tbl>
    <w:p w14:paraId="50B97F54" w14:textId="77777777" w:rsidR="00A14398" w:rsidRPr="00EC6C19" w:rsidRDefault="00A14398" w:rsidP="00D07228">
      <w:pPr>
        <w:widowControl w:val="0"/>
        <w:autoSpaceDE w:val="0"/>
        <w:autoSpaceDN w:val="0"/>
        <w:adjustRightInd w:val="0"/>
        <w:spacing w:after="0" w:line="360" w:lineRule="auto"/>
        <w:jc w:val="both"/>
        <w:rPr>
          <w:rFonts w:ascii="Times New Roman" w:hAnsi="Times New Roman" w:cs="Times New Roman"/>
          <w:i/>
          <w:sz w:val="24"/>
          <w:szCs w:val="24"/>
        </w:rPr>
      </w:pPr>
    </w:p>
    <w:p w14:paraId="77569CDE" w14:textId="77777777" w:rsidR="00D07228" w:rsidRPr="003E6610" w:rsidRDefault="003E6610" w:rsidP="003E6610">
      <w:pPr>
        <w:pStyle w:val="Caption"/>
        <w:spacing w:line="360" w:lineRule="auto"/>
        <w:rPr>
          <w:rFonts w:ascii="Times New Roman" w:hAnsi="Times New Roman" w:cs="Times New Roman"/>
          <w:b w:val="0"/>
          <w:i/>
          <w:color w:val="auto"/>
          <w:sz w:val="24"/>
          <w:szCs w:val="24"/>
        </w:rPr>
      </w:pPr>
      <w:bookmarkStart w:id="84" w:name="_Toc44962581"/>
      <w:r w:rsidRPr="003E6610">
        <w:rPr>
          <w:rFonts w:ascii="Times New Roman" w:hAnsi="Times New Roman" w:cs="Times New Roman"/>
          <w:b w:val="0"/>
          <w:i/>
          <w:color w:val="auto"/>
          <w:sz w:val="24"/>
          <w:szCs w:val="24"/>
        </w:rPr>
        <w:t xml:space="preserve">Table </w:t>
      </w:r>
      <w:r w:rsidR="00106A32" w:rsidRPr="003E6610">
        <w:rPr>
          <w:rFonts w:ascii="Times New Roman" w:hAnsi="Times New Roman" w:cs="Times New Roman"/>
          <w:b w:val="0"/>
          <w:i/>
          <w:color w:val="auto"/>
          <w:sz w:val="24"/>
          <w:szCs w:val="24"/>
        </w:rPr>
        <w:fldChar w:fldCharType="begin"/>
      </w:r>
      <w:r w:rsidRPr="003E6610">
        <w:rPr>
          <w:rFonts w:ascii="Times New Roman" w:hAnsi="Times New Roman" w:cs="Times New Roman"/>
          <w:b w:val="0"/>
          <w:i/>
          <w:color w:val="auto"/>
          <w:sz w:val="24"/>
          <w:szCs w:val="24"/>
        </w:rPr>
        <w:instrText xml:space="preserve"> SEQ Table \* ARABIC </w:instrText>
      </w:r>
      <w:r w:rsidR="00106A32" w:rsidRPr="003E6610">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5</w:t>
      </w:r>
      <w:r w:rsidR="00106A32" w:rsidRPr="003E6610">
        <w:rPr>
          <w:rFonts w:ascii="Times New Roman" w:hAnsi="Times New Roman" w:cs="Times New Roman"/>
          <w:b w:val="0"/>
          <w:i/>
          <w:color w:val="auto"/>
          <w:sz w:val="24"/>
          <w:szCs w:val="24"/>
        </w:rPr>
        <w:fldChar w:fldCharType="end"/>
      </w:r>
      <w:r w:rsidRPr="003E6610">
        <w:rPr>
          <w:rFonts w:ascii="Times New Roman" w:hAnsi="Times New Roman" w:cs="Times New Roman"/>
          <w:b w:val="0"/>
          <w:i/>
          <w:color w:val="auto"/>
          <w:sz w:val="24"/>
          <w:szCs w:val="24"/>
        </w:rPr>
        <w:t xml:space="preserve"> - </w:t>
      </w:r>
      <w:r w:rsidR="007F2FD6">
        <w:rPr>
          <w:rFonts w:ascii="Times New Roman" w:hAnsi="Times New Roman" w:cs="Times New Roman"/>
          <w:b w:val="0"/>
          <w:i/>
          <w:color w:val="auto"/>
          <w:sz w:val="24"/>
          <w:szCs w:val="24"/>
        </w:rPr>
        <w:t xml:space="preserve">CT </w:t>
      </w:r>
      <w:r w:rsidRPr="003E6610">
        <w:rPr>
          <w:rFonts w:ascii="Times New Roman" w:hAnsi="Times New Roman" w:cs="Times New Roman"/>
          <w:b w:val="0"/>
          <w:i/>
          <w:color w:val="auto"/>
          <w:sz w:val="24"/>
          <w:szCs w:val="24"/>
        </w:rPr>
        <w:t xml:space="preserve">Heights to Ostium and Effect On Pressure </w:t>
      </w:r>
      <w:r w:rsidR="00D07228" w:rsidRPr="003E6610">
        <w:rPr>
          <w:rFonts w:ascii="Times New Roman" w:hAnsi="Times New Roman" w:cs="Times New Roman"/>
          <w:b w:val="0"/>
          <w:i/>
          <w:color w:val="auto"/>
          <w:sz w:val="24"/>
          <w:szCs w:val="24"/>
        </w:rPr>
        <w:t>- The height of measurement points within a coronary artery, in relation to their respective coronary ostium and in turn the hydrostatic pressure effect. The two columns on the right dictates from physical principles, the effect of this height difference on the Pd pressure sensor and FFR given a Pa of 100. The resulting is the corrected FFR (cFFR).</w:t>
      </w:r>
      <w:bookmarkEnd w:id="84"/>
    </w:p>
    <w:p w14:paraId="50CCEB4E" w14:textId="77777777" w:rsidR="00D07228" w:rsidRPr="0019652D" w:rsidRDefault="0019652D" w:rsidP="0019652D">
      <w:pPr>
        <w:pStyle w:val="Heading3"/>
        <w:rPr>
          <w:rFonts w:ascii="Times New Roman" w:hAnsi="Times New Roman" w:cs="Times New Roman"/>
          <w:b w:val="0"/>
          <w:i/>
          <w:color w:val="auto"/>
          <w:sz w:val="24"/>
          <w:szCs w:val="24"/>
        </w:rPr>
      </w:pPr>
      <w:bookmarkStart w:id="85" w:name="_Toc80302208"/>
      <w:r w:rsidRPr="0019652D">
        <w:rPr>
          <w:rFonts w:ascii="Times New Roman" w:hAnsi="Times New Roman" w:cs="Times New Roman"/>
          <w:b w:val="0"/>
          <w:i/>
          <w:color w:val="auto"/>
          <w:sz w:val="24"/>
          <w:szCs w:val="24"/>
        </w:rPr>
        <w:t xml:space="preserve">2.5.4 - </w:t>
      </w:r>
      <w:r w:rsidR="00D07228" w:rsidRPr="0019652D">
        <w:rPr>
          <w:rFonts w:ascii="Times New Roman" w:hAnsi="Times New Roman" w:cs="Times New Roman"/>
          <w:b w:val="0"/>
          <w:i/>
          <w:color w:val="auto"/>
          <w:sz w:val="24"/>
          <w:szCs w:val="24"/>
        </w:rPr>
        <w:t xml:space="preserve">FFR </w:t>
      </w:r>
      <w:r w:rsidR="00B87EF8" w:rsidRPr="0019652D">
        <w:rPr>
          <w:rFonts w:ascii="Times New Roman" w:hAnsi="Times New Roman" w:cs="Times New Roman"/>
          <w:b w:val="0"/>
          <w:i/>
          <w:color w:val="auto"/>
          <w:sz w:val="24"/>
          <w:szCs w:val="24"/>
        </w:rPr>
        <w:t>and cFFR</w:t>
      </w:r>
      <w:r w:rsidR="005965C8" w:rsidRPr="0019652D">
        <w:rPr>
          <w:rFonts w:ascii="Times New Roman" w:hAnsi="Times New Roman" w:cs="Times New Roman"/>
          <w:b w:val="0"/>
          <w:i/>
          <w:color w:val="auto"/>
          <w:sz w:val="24"/>
          <w:szCs w:val="24"/>
        </w:rPr>
        <w:t xml:space="preserve"> Discordance</w:t>
      </w:r>
      <w:bookmarkEnd w:id="85"/>
    </w:p>
    <w:p w14:paraId="606BF683" w14:textId="77777777" w:rsidR="00D07228" w:rsidRDefault="0019652D" w:rsidP="00D07228">
      <w:pPr>
        <w:widowControl w:val="0"/>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i/>
          <w:sz w:val="24"/>
          <w:szCs w:val="24"/>
        </w:rPr>
        <w:br/>
      </w:r>
      <w:r w:rsidR="0084626E" w:rsidRPr="00EC6C19">
        <w:rPr>
          <w:rFonts w:ascii="Times New Roman" w:hAnsi="Times New Roman" w:cs="Times New Roman"/>
          <w:sz w:val="24"/>
          <w:szCs w:val="24"/>
        </w:rPr>
        <w:t xml:space="preserve">Table </w:t>
      </w:r>
      <w:r w:rsidR="007F2FD6">
        <w:rPr>
          <w:rFonts w:ascii="Times New Roman" w:hAnsi="Times New Roman" w:cs="Times New Roman"/>
          <w:sz w:val="24"/>
          <w:szCs w:val="24"/>
        </w:rPr>
        <w:t>6</w:t>
      </w:r>
      <w:r w:rsidR="0084626E" w:rsidRPr="00EC6C19">
        <w:rPr>
          <w:rFonts w:ascii="Times New Roman" w:hAnsi="Times New Roman" w:cs="Times New Roman"/>
          <w:sz w:val="24"/>
          <w:szCs w:val="24"/>
        </w:rPr>
        <w:t xml:space="preserve"> shows discordance between FFR and cFFR with regards to values crossing a threshold of </w:t>
      </w:r>
      <w:r w:rsidR="004B28C5" w:rsidRPr="00EC6C19">
        <w:rPr>
          <w:rFonts w:ascii="Times New Roman" w:hAnsi="Times New Roman" w:cs="Times New Roman"/>
          <w:sz w:val="24"/>
          <w:szCs w:val="24"/>
        </w:rPr>
        <w:t>0.8</w:t>
      </w:r>
      <w:r w:rsidR="00B87EF8" w:rsidRPr="00EC6C19">
        <w:rPr>
          <w:rFonts w:ascii="Times New Roman" w:hAnsi="Times New Roman" w:cs="Times New Roman"/>
          <w:sz w:val="24"/>
          <w:szCs w:val="24"/>
        </w:rPr>
        <w:t>.</w:t>
      </w:r>
    </w:p>
    <w:p w14:paraId="28DCDE00" w14:textId="77777777" w:rsidR="00CE002A" w:rsidRPr="00FC4967" w:rsidRDefault="00CE002A" w:rsidP="00D07228">
      <w:pPr>
        <w:widowControl w:val="0"/>
        <w:autoSpaceDE w:val="0"/>
        <w:autoSpaceDN w:val="0"/>
        <w:adjustRightInd w:val="0"/>
        <w:spacing w:after="0" w:line="360" w:lineRule="auto"/>
        <w:jc w:val="both"/>
        <w:rPr>
          <w:rFonts w:ascii="Times New Roman" w:hAnsi="Times New Roman" w:cs="Times New Roman"/>
          <w:i/>
          <w:sz w:val="24"/>
          <w:szCs w:val="24"/>
        </w:rPr>
      </w:pPr>
    </w:p>
    <w:tbl>
      <w:tblPr>
        <w:tblW w:w="0" w:type="auto"/>
        <w:tblLook w:val="04A0" w:firstRow="1" w:lastRow="0" w:firstColumn="1" w:lastColumn="0" w:noHBand="0" w:noVBand="1"/>
      </w:tblPr>
      <w:tblGrid>
        <w:gridCol w:w="1692"/>
        <w:gridCol w:w="1670"/>
        <w:gridCol w:w="1669"/>
        <w:gridCol w:w="1485"/>
        <w:gridCol w:w="1484"/>
        <w:gridCol w:w="1360"/>
      </w:tblGrid>
      <w:tr w:rsidR="00D07228" w:rsidRPr="00EC6C19" w14:paraId="36A78863" w14:textId="77777777" w:rsidTr="00F31D6C">
        <w:tc>
          <w:tcPr>
            <w:tcW w:w="1721" w:type="dxa"/>
            <w:tcBorders>
              <w:bottom w:val="single" w:sz="18" w:space="0" w:color="000000" w:themeColor="text1"/>
            </w:tcBorders>
            <w:shd w:val="clear" w:color="auto" w:fill="F2F2F2" w:themeFill="background1" w:themeFillShade="F2"/>
          </w:tcPr>
          <w:p w14:paraId="3C3D7ABF"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Vessel point</w:t>
            </w:r>
          </w:p>
          <w:p w14:paraId="1D9AB593"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 xml:space="preserve">(+cFFR </w:t>
            </w:r>
            <w:r w:rsidRPr="00EC6C19">
              <w:rPr>
                <w:rFonts w:ascii="Times New Roman" w:hAnsi="Times New Roman" w:cs="Times New Roman"/>
                <w:sz w:val="24"/>
                <w:szCs w:val="24"/>
              </w:rPr>
              <w:lastRenderedPageBreak/>
              <w:t>correction)</w:t>
            </w:r>
          </w:p>
        </w:tc>
        <w:tc>
          <w:tcPr>
            <w:tcW w:w="1729" w:type="dxa"/>
            <w:tcBorders>
              <w:bottom w:val="single" w:sz="18" w:space="0" w:color="000000" w:themeColor="text1"/>
            </w:tcBorders>
            <w:shd w:val="clear" w:color="auto" w:fill="F2F2F2" w:themeFill="background1" w:themeFillShade="F2"/>
          </w:tcPr>
          <w:p w14:paraId="5334871E"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lastRenderedPageBreak/>
              <w:t>% FFR below 0.8</w:t>
            </w:r>
            <w:r w:rsidR="004B28C5" w:rsidRPr="00EC6C19">
              <w:rPr>
                <w:rFonts w:ascii="Times New Roman" w:hAnsi="Times New Roman" w:cs="Times New Roman"/>
                <w:sz w:val="24"/>
                <w:szCs w:val="24"/>
              </w:rPr>
              <w:t xml:space="preserve"> </w:t>
            </w:r>
          </w:p>
        </w:tc>
        <w:tc>
          <w:tcPr>
            <w:tcW w:w="1728" w:type="dxa"/>
            <w:tcBorders>
              <w:bottom w:val="single" w:sz="18" w:space="0" w:color="000000" w:themeColor="text1"/>
            </w:tcBorders>
            <w:shd w:val="clear" w:color="auto" w:fill="F2F2F2" w:themeFill="background1" w:themeFillShade="F2"/>
          </w:tcPr>
          <w:p w14:paraId="21306503" w14:textId="77467D5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 FFR above 0.8</w:t>
            </w:r>
            <w:r w:rsidR="004B28C5" w:rsidRPr="00EC6C19">
              <w:rPr>
                <w:rFonts w:ascii="Times New Roman" w:hAnsi="Times New Roman" w:cs="Times New Roman"/>
                <w:sz w:val="24"/>
                <w:szCs w:val="24"/>
              </w:rPr>
              <w:t xml:space="preserve"> </w:t>
            </w:r>
          </w:p>
        </w:tc>
        <w:tc>
          <w:tcPr>
            <w:tcW w:w="1510" w:type="dxa"/>
            <w:tcBorders>
              <w:bottom w:val="single" w:sz="18" w:space="0" w:color="000000" w:themeColor="text1"/>
            </w:tcBorders>
            <w:shd w:val="clear" w:color="auto" w:fill="F2F2F2" w:themeFill="background1" w:themeFillShade="F2"/>
          </w:tcPr>
          <w:p w14:paraId="589FF922"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 c</w:t>
            </w:r>
            <w:r w:rsidR="004B28C5" w:rsidRPr="00EC6C19">
              <w:rPr>
                <w:rFonts w:ascii="Times New Roman" w:hAnsi="Times New Roman" w:cs="Times New Roman"/>
                <w:sz w:val="24"/>
                <w:szCs w:val="24"/>
              </w:rPr>
              <w:t xml:space="preserve">orrected </w:t>
            </w:r>
            <w:r w:rsidRPr="00EC6C19">
              <w:rPr>
                <w:rFonts w:ascii="Times New Roman" w:hAnsi="Times New Roman" w:cs="Times New Roman"/>
                <w:sz w:val="24"/>
                <w:szCs w:val="24"/>
              </w:rPr>
              <w:t>FFR below 0.8</w:t>
            </w:r>
          </w:p>
        </w:tc>
        <w:tc>
          <w:tcPr>
            <w:tcW w:w="1509" w:type="dxa"/>
            <w:tcBorders>
              <w:bottom w:val="single" w:sz="18" w:space="0" w:color="000000" w:themeColor="text1"/>
            </w:tcBorders>
            <w:shd w:val="clear" w:color="auto" w:fill="F2F2F2" w:themeFill="background1" w:themeFillShade="F2"/>
          </w:tcPr>
          <w:p w14:paraId="0C256D6A"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 c</w:t>
            </w:r>
            <w:r w:rsidR="004B28C5" w:rsidRPr="00EC6C19">
              <w:rPr>
                <w:rFonts w:ascii="Times New Roman" w:hAnsi="Times New Roman" w:cs="Times New Roman"/>
                <w:sz w:val="24"/>
                <w:szCs w:val="24"/>
              </w:rPr>
              <w:t xml:space="preserve">orrected </w:t>
            </w:r>
            <w:r w:rsidRPr="00EC6C19">
              <w:rPr>
                <w:rFonts w:ascii="Times New Roman" w:hAnsi="Times New Roman" w:cs="Times New Roman"/>
                <w:sz w:val="24"/>
                <w:szCs w:val="24"/>
              </w:rPr>
              <w:t>FFR above 0.8</w:t>
            </w:r>
          </w:p>
        </w:tc>
        <w:tc>
          <w:tcPr>
            <w:tcW w:w="1379" w:type="dxa"/>
            <w:tcBorders>
              <w:bottom w:val="single" w:sz="18" w:space="0" w:color="000000" w:themeColor="text1"/>
            </w:tcBorders>
            <w:shd w:val="clear" w:color="auto" w:fill="F2F2F2" w:themeFill="background1" w:themeFillShade="F2"/>
          </w:tcPr>
          <w:p w14:paraId="12E329BE" w14:textId="77777777" w:rsidR="00D07228" w:rsidRPr="00EC6C19" w:rsidRDefault="004B28C5" w:rsidP="0084626E">
            <w:pPr>
              <w:widowControl w:val="0"/>
              <w:autoSpaceDE w:val="0"/>
              <w:autoSpaceDN w:val="0"/>
              <w:adjustRightInd w:val="0"/>
              <w:spacing w:line="360" w:lineRule="auto"/>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 xml:space="preserve">% </w:t>
            </w:r>
            <w:r w:rsidR="00D07228" w:rsidRPr="00EC6C19">
              <w:rPr>
                <w:rFonts w:ascii="Times New Roman" w:hAnsi="Times New Roman" w:cs="Times New Roman"/>
                <w:sz w:val="24"/>
                <w:szCs w:val="24"/>
              </w:rPr>
              <w:t>Crossing 0.8</w:t>
            </w:r>
          </w:p>
          <w:p w14:paraId="2FC51446"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tc>
      </w:tr>
      <w:tr w:rsidR="00D07228" w:rsidRPr="00EC6C19" w14:paraId="3251F664" w14:textId="77777777" w:rsidTr="00F31D6C">
        <w:tc>
          <w:tcPr>
            <w:tcW w:w="1721" w:type="dxa"/>
            <w:tcBorders>
              <w:top w:val="single" w:sz="18" w:space="0" w:color="000000" w:themeColor="text1"/>
            </w:tcBorders>
            <w:shd w:val="clear" w:color="auto" w:fill="FFFFFF" w:themeFill="background1"/>
          </w:tcPr>
          <w:p w14:paraId="54281854"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r w:rsidRPr="00EC6C19">
              <w:rPr>
                <w:rFonts w:ascii="Times New Roman" w:hAnsi="Times New Roman" w:cs="Times New Roman"/>
                <w:sz w:val="24"/>
                <w:szCs w:val="24"/>
              </w:rPr>
              <w:lastRenderedPageBreak/>
              <w:t>Distal LAD</w:t>
            </w:r>
          </w:p>
          <w:p w14:paraId="213A2A9B"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r w:rsidRPr="00EC6C19">
              <w:rPr>
                <w:rFonts w:ascii="Times New Roman" w:hAnsi="Times New Roman" w:cs="Times New Roman"/>
                <w:sz w:val="24"/>
                <w:szCs w:val="24"/>
              </w:rPr>
              <w:t>(+0.04)</w:t>
            </w:r>
          </w:p>
        </w:tc>
        <w:tc>
          <w:tcPr>
            <w:tcW w:w="1729" w:type="dxa"/>
            <w:vMerge w:val="restart"/>
            <w:tcBorders>
              <w:top w:val="single" w:sz="18" w:space="0" w:color="000000" w:themeColor="text1"/>
            </w:tcBorders>
            <w:shd w:val="clear" w:color="auto" w:fill="FFFFFF" w:themeFill="background1"/>
          </w:tcPr>
          <w:p w14:paraId="4F8138DA"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2B6ED40B"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55C98376"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2EC51B10"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5AABFC71"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13006DC5"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45.5</w:t>
            </w:r>
          </w:p>
        </w:tc>
        <w:tc>
          <w:tcPr>
            <w:tcW w:w="1728" w:type="dxa"/>
            <w:vMerge w:val="restart"/>
            <w:tcBorders>
              <w:top w:val="single" w:sz="18" w:space="0" w:color="000000" w:themeColor="text1"/>
            </w:tcBorders>
            <w:shd w:val="clear" w:color="auto" w:fill="FFFFFF" w:themeFill="background1"/>
          </w:tcPr>
          <w:p w14:paraId="127FD591"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4D30DB97"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6665075F"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4CD8A758"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2E98C106"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p w14:paraId="3531C5CB"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55.5</w:t>
            </w:r>
          </w:p>
        </w:tc>
        <w:tc>
          <w:tcPr>
            <w:tcW w:w="1510" w:type="dxa"/>
            <w:tcBorders>
              <w:top w:val="single" w:sz="18" w:space="0" w:color="000000" w:themeColor="text1"/>
            </w:tcBorders>
            <w:shd w:val="clear" w:color="auto" w:fill="FFFFFF" w:themeFill="background1"/>
          </w:tcPr>
          <w:p w14:paraId="517DC294"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6</w:t>
            </w:r>
          </w:p>
        </w:tc>
        <w:tc>
          <w:tcPr>
            <w:tcW w:w="1509" w:type="dxa"/>
            <w:tcBorders>
              <w:top w:val="single" w:sz="18" w:space="0" w:color="000000" w:themeColor="text1"/>
            </w:tcBorders>
            <w:shd w:val="clear" w:color="auto" w:fill="FFFFFF" w:themeFill="background1"/>
          </w:tcPr>
          <w:p w14:paraId="609E8CB1"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94</w:t>
            </w:r>
          </w:p>
        </w:tc>
        <w:tc>
          <w:tcPr>
            <w:tcW w:w="1379" w:type="dxa"/>
            <w:tcBorders>
              <w:top w:val="single" w:sz="18" w:space="0" w:color="000000" w:themeColor="text1"/>
            </w:tcBorders>
            <w:shd w:val="clear" w:color="auto" w:fill="FFFFFF" w:themeFill="background1"/>
          </w:tcPr>
          <w:p w14:paraId="3D8855D7"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hAnsi="Times New Roman" w:cs="Times New Roman"/>
                <w:b/>
                <w:sz w:val="24"/>
                <w:szCs w:val="24"/>
              </w:rPr>
              <w:t>42.5%</w:t>
            </w:r>
          </w:p>
        </w:tc>
      </w:tr>
      <w:tr w:rsidR="00D07228" w:rsidRPr="00EC6C19" w14:paraId="5D640951" w14:textId="77777777" w:rsidTr="0084626E">
        <w:tc>
          <w:tcPr>
            <w:tcW w:w="1721" w:type="dxa"/>
            <w:shd w:val="clear" w:color="auto" w:fill="FFFFFF" w:themeFill="background1"/>
          </w:tcPr>
          <w:p w14:paraId="0D6639A4"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r w:rsidRPr="00EC6C19">
              <w:rPr>
                <w:rFonts w:ascii="Times New Roman" w:hAnsi="Times New Roman" w:cs="Times New Roman"/>
                <w:sz w:val="24"/>
                <w:szCs w:val="24"/>
              </w:rPr>
              <w:t>Distal Cx</w:t>
            </w:r>
          </w:p>
          <w:p w14:paraId="25BDFDDB"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r w:rsidRPr="00EC6C19">
              <w:rPr>
                <w:rFonts w:ascii="Times New Roman" w:hAnsi="Times New Roman" w:cs="Times New Roman"/>
                <w:sz w:val="24"/>
                <w:szCs w:val="24"/>
              </w:rPr>
              <w:t>(-0.03)</w:t>
            </w:r>
          </w:p>
        </w:tc>
        <w:tc>
          <w:tcPr>
            <w:tcW w:w="1729" w:type="dxa"/>
            <w:vMerge/>
            <w:shd w:val="clear" w:color="auto" w:fill="FFFFFF" w:themeFill="background1"/>
          </w:tcPr>
          <w:p w14:paraId="04C073A8"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tc>
        <w:tc>
          <w:tcPr>
            <w:tcW w:w="1728" w:type="dxa"/>
            <w:vMerge/>
            <w:shd w:val="clear" w:color="auto" w:fill="FFFFFF" w:themeFill="background1"/>
          </w:tcPr>
          <w:p w14:paraId="6621B73D"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tc>
        <w:tc>
          <w:tcPr>
            <w:tcW w:w="1510" w:type="dxa"/>
            <w:shd w:val="clear" w:color="auto" w:fill="FFFFFF" w:themeFill="background1"/>
          </w:tcPr>
          <w:p w14:paraId="367F9CBE"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72</w:t>
            </w:r>
          </w:p>
        </w:tc>
        <w:tc>
          <w:tcPr>
            <w:tcW w:w="1509" w:type="dxa"/>
            <w:shd w:val="clear" w:color="auto" w:fill="FFFFFF" w:themeFill="background1"/>
          </w:tcPr>
          <w:p w14:paraId="58ACE8FB"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28</w:t>
            </w:r>
          </w:p>
        </w:tc>
        <w:tc>
          <w:tcPr>
            <w:tcW w:w="1379" w:type="dxa"/>
            <w:shd w:val="clear" w:color="auto" w:fill="FFFFFF" w:themeFill="background1"/>
          </w:tcPr>
          <w:p w14:paraId="7C72DBB7"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hAnsi="Times New Roman" w:cs="Times New Roman"/>
                <w:b/>
                <w:sz w:val="24"/>
                <w:szCs w:val="24"/>
              </w:rPr>
              <w:t>26.5%</w:t>
            </w:r>
          </w:p>
        </w:tc>
      </w:tr>
      <w:tr w:rsidR="00D07228" w:rsidRPr="00EC6C19" w14:paraId="5439C19C" w14:textId="77777777" w:rsidTr="0084626E">
        <w:tc>
          <w:tcPr>
            <w:tcW w:w="1721" w:type="dxa"/>
            <w:shd w:val="clear" w:color="auto" w:fill="FFFFFF" w:themeFill="background1"/>
          </w:tcPr>
          <w:p w14:paraId="61C662C8"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r w:rsidRPr="00EC6C19">
              <w:rPr>
                <w:rFonts w:ascii="Times New Roman" w:hAnsi="Times New Roman" w:cs="Times New Roman"/>
                <w:sz w:val="24"/>
                <w:szCs w:val="24"/>
              </w:rPr>
              <w:t>Distal PLV</w:t>
            </w:r>
          </w:p>
          <w:p w14:paraId="12C88440"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r w:rsidRPr="00EC6C19">
              <w:rPr>
                <w:rFonts w:ascii="Times New Roman" w:hAnsi="Times New Roman" w:cs="Times New Roman"/>
                <w:sz w:val="24"/>
                <w:szCs w:val="24"/>
              </w:rPr>
              <w:t>(-0.05)</w:t>
            </w:r>
          </w:p>
        </w:tc>
        <w:tc>
          <w:tcPr>
            <w:tcW w:w="1729" w:type="dxa"/>
            <w:vMerge/>
            <w:shd w:val="clear" w:color="auto" w:fill="FFFFFF" w:themeFill="background1"/>
          </w:tcPr>
          <w:p w14:paraId="31864CD0"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tc>
        <w:tc>
          <w:tcPr>
            <w:tcW w:w="1728" w:type="dxa"/>
            <w:vMerge/>
            <w:shd w:val="clear" w:color="auto" w:fill="FFFFFF" w:themeFill="background1"/>
          </w:tcPr>
          <w:p w14:paraId="083D9EEF"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tc>
        <w:tc>
          <w:tcPr>
            <w:tcW w:w="1510" w:type="dxa"/>
            <w:shd w:val="clear" w:color="auto" w:fill="FFFFFF" w:themeFill="background1"/>
          </w:tcPr>
          <w:p w14:paraId="3F06E25C"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92</w:t>
            </w:r>
          </w:p>
        </w:tc>
        <w:tc>
          <w:tcPr>
            <w:tcW w:w="1509" w:type="dxa"/>
            <w:shd w:val="clear" w:color="auto" w:fill="FFFFFF" w:themeFill="background1"/>
          </w:tcPr>
          <w:p w14:paraId="0626AB5B"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8</w:t>
            </w:r>
          </w:p>
        </w:tc>
        <w:tc>
          <w:tcPr>
            <w:tcW w:w="1379" w:type="dxa"/>
            <w:shd w:val="clear" w:color="auto" w:fill="FFFFFF" w:themeFill="background1"/>
          </w:tcPr>
          <w:p w14:paraId="148883EC"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hAnsi="Times New Roman" w:cs="Times New Roman"/>
                <w:b/>
                <w:sz w:val="24"/>
                <w:szCs w:val="24"/>
              </w:rPr>
              <w:t>46.5%</w:t>
            </w:r>
          </w:p>
        </w:tc>
      </w:tr>
      <w:tr w:rsidR="00D07228" w:rsidRPr="00EC6C19" w14:paraId="54056BD9" w14:textId="77777777" w:rsidTr="0084626E">
        <w:tc>
          <w:tcPr>
            <w:tcW w:w="1721" w:type="dxa"/>
            <w:shd w:val="clear" w:color="auto" w:fill="FFFFFF" w:themeFill="background1"/>
          </w:tcPr>
          <w:p w14:paraId="46C56573"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r w:rsidRPr="00EC6C19">
              <w:rPr>
                <w:rFonts w:ascii="Times New Roman" w:hAnsi="Times New Roman" w:cs="Times New Roman"/>
                <w:sz w:val="24"/>
                <w:szCs w:val="24"/>
              </w:rPr>
              <w:t>Distal PDA</w:t>
            </w:r>
          </w:p>
          <w:p w14:paraId="1DD1B636"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r w:rsidRPr="00EC6C19">
              <w:rPr>
                <w:rFonts w:ascii="Times New Roman" w:hAnsi="Times New Roman" w:cs="Times New Roman"/>
                <w:sz w:val="24"/>
                <w:szCs w:val="24"/>
              </w:rPr>
              <w:t>(+0.02)</w:t>
            </w:r>
          </w:p>
        </w:tc>
        <w:tc>
          <w:tcPr>
            <w:tcW w:w="1729" w:type="dxa"/>
            <w:vMerge/>
            <w:shd w:val="clear" w:color="auto" w:fill="FFFFFF" w:themeFill="background1"/>
          </w:tcPr>
          <w:p w14:paraId="1147E965"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tc>
        <w:tc>
          <w:tcPr>
            <w:tcW w:w="1728" w:type="dxa"/>
            <w:vMerge/>
            <w:shd w:val="clear" w:color="auto" w:fill="FFFFFF" w:themeFill="background1"/>
          </w:tcPr>
          <w:p w14:paraId="0ED18EE0"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bCs/>
                <w:sz w:val="24"/>
                <w:szCs w:val="24"/>
              </w:rPr>
            </w:pPr>
          </w:p>
        </w:tc>
        <w:tc>
          <w:tcPr>
            <w:tcW w:w="1510" w:type="dxa"/>
            <w:shd w:val="clear" w:color="auto" w:fill="FFFFFF" w:themeFill="background1"/>
          </w:tcPr>
          <w:p w14:paraId="1862F048"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30.5</w:t>
            </w:r>
          </w:p>
        </w:tc>
        <w:tc>
          <w:tcPr>
            <w:tcW w:w="1509" w:type="dxa"/>
            <w:shd w:val="clear" w:color="auto" w:fill="FFFFFF" w:themeFill="background1"/>
          </w:tcPr>
          <w:p w14:paraId="26A8C9E2"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sz w:val="24"/>
                <w:szCs w:val="24"/>
              </w:rPr>
            </w:pPr>
            <w:r w:rsidRPr="00EC6C19">
              <w:rPr>
                <w:rFonts w:ascii="Times New Roman" w:hAnsi="Times New Roman" w:cs="Times New Roman"/>
                <w:sz w:val="24"/>
                <w:szCs w:val="24"/>
              </w:rPr>
              <w:t>69.5</w:t>
            </w:r>
          </w:p>
        </w:tc>
        <w:tc>
          <w:tcPr>
            <w:tcW w:w="1379" w:type="dxa"/>
            <w:shd w:val="clear" w:color="auto" w:fill="FFFFFF" w:themeFill="background1"/>
          </w:tcPr>
          <w:p w14:paraId="3455A0C5" w14:textId="77777777" w:rsidR="00D07228" w:rsidRPr="00EC6C19" w:rsidRDefault="00D07228" w:rsidP="0084626E">
            <w:pPr>
              <w:widowControl w:val="0"/>
              <w:autoSpaceDE w:val="0"/>
              <w:autoSpaceDN w:val="0"/>
              <w:adjustRightInd w:val="0"/>
              <w:spacing w:line="360" w:lineRule="auto"/>
              <w:jc w:val="center"/>
              <w:rPr>
                <w:rFonts w:ascii="Times New Roman" w:eastAsiaTheme="majorEastAsia" w:hAnsi="Times New Roman" w:cs="Times New Roman"/>
                <w:b/>
                <w:sz w:val="24"/>
                <w:szCs w:val="24"/>
              </w:rPr>
            </w:pPr>
            <w:r w:rsidRPr="00EC6C19">
              <w:rPr>
                <w:rFonts w:ascii="Times New Roman" w:hAnsi="Times New Roman" w:cs="Times New Roman"/>
                <w:b/>
                <w:sz w:val="24"/>
                <w:szCs w:val="24"/>
              </w:rPr>
              <w:t>15%</w:t>
            </w:r>
          </w:p>
        </w:tc>
      </w:tr>
    </w:tbl>
    <w:p w14:paraId="6F074C34" w14:textId="77777777" w:rsidR="0084626E" w:rsidRPr="00EC6C19" w:rsidRDefault="0084626E" w:rsidP="00D07228">
      <w:pPr>
        <w:widowControl w:val="0"/>
        <w:autoSpaceDE w:val="0"/>
        <w:autoSpaceDN w:val="0"/>
        <w:adjustRightInd w:val="0"/>
        <w:spacing w:after="0" w:line="360" w:lineRule="auto"/>
        <w:jc w:val="both"/>
        <w:rPr>
          <w:rFonts w:ascii="Times New Roman" w:hAnsi="Times New Roman" w:cs="Times New Roman"/>
          <w:i/>
          <w:sz w:val="24"/>
          <w:szCs w:val="24"/>
        </w:rPr>
      </w:pPr>
    </w:p>
    <w:p w14:paraId="06036812" w14:textId="77777777" w:rsidR="00D07228" w:rsidRPr="007F2FD6" w:rsidRDefault="007F2FD6" w:rsidP="007F2FD6">
      <w:pPr>
        <w:pStyle w:val="Caption"/>
        <w:spacing w:line="360" w:lineRule="auto"/>
        <w:rPr>
          <w:rFonts w:ascii="Times New Roman" w:hAnsi="Times New Roman" w:cs="Times New Roman"/>
          <w:b w:val="0"/>
          <w:i/>
          <w:color w:val="auto"/>
          <w:sz w:val="24"/>
          <w:szCs w:val="24"/>
        </w:rPr>
      </w:pPr>
      <w:bookmarkStart w:id="86" w:name="_Toc44962582"/>
      <w:r w:rsidRPr="007F2FD6">
        <w:rPr>
          <w:rFonts w:ascii="Times New Roman" w:hAnsi="Times New Roman" w:cs="Times New Roman"/>
          <w:b w:val="0"/>
          <w:i/>
          <w:color w:val="auto"/>
          <w:sz w:val="24"/>
          <w:szCs w:val="24"/>
        </w:rPr>
        <w:t xml:space="preserve">Table </w:t>
      </w:r>
      <w:r w:rsidR="00106A32" w:rsidRPr="007F2FD6">
        <w:rPr>
          <w:rFonts w:ascii="Times New Roman" w:hAnsi="Times New Roman" w:cs="Times New Roman"/>
          <w:b w:val="0"/>
          <w:i/>
          <w:color w:val="auto"/>
          <w:sz w:val="24"/>
          <w:szCs w:val="24"/>
        </w:rPr>
        <w:fldChar w:fldCharType="begin"/>
      </w:r>
      <w:r w:rsidRPr="007F2FD6">
        <w:rPr>
          <w:rFonts w:ascii="Times New Roman" w:hAnsi="Times New Roman" w:cs="Times New Roman"/>
          <w:b w:val="0"/>
          <w:i/>
          <w:color w:val="auto"/>
          <w:sz w:val="24"/>
          <w:szCs w:val="24"/>
        </w:rPr>
        <w:instrText xml:space="preserve"> SEQ Table \* ARABIC </w:instrText>
      </w:r>
      <w:r w:rsidR="00106A32" w:rsidRPr="007F2FD6">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6</w:t>
      </w:r>
      <w:r w:rsidR="00106A32" w:rsidRPr="007F2FD6">
        <w:rPr>
          <w:rFonts w:ascii="Times New Roman" w:hAnsi="Times New Roman" w:cs="Times New Roman"/>
          <w:b w:val="0"/>
          <w:i/>
          <w:color w:val="auto"/>
          <w:sz w:val="24"/>
          <w:szCs w:val="24"/>
        </w:rPr>
        <w:fldChar w:fldCharType="end"/>
      </w:r>
      <w:r w:rsidRPr="007F2FD6">
        <w:rPr>
          <w:rFonts w:ascii="Times New Roman" w:hAnsi="Times New Roman" w:cs="Times New Roman"/>
          <w:b w:val="0"/>
          <w:i/>
          <w:color w:val="auto"/>
          <w:sz w:val="24"/>
          <w:szCs w:val="24"/>
        </w:rPr>
        <w:t xml:space="preserve"> - cFFR Values Crossing Ischaemic Threshold. </w:t>
      </w:r>
      <w:r w:rsidR="00D07228" w:rsidRPr="007F2FD6">
        <w:rPr>
          <w:rFonts w:ascii="Times New Roman" w:hAnsi="Times New Roman" w:cs="Times New Roman"/>
          <w:b w:val="0"/>
          <w:i/>
          <w:color w:val="auto"/>
          <w:sz w:val="24"/>
          <w:szCs w:val="24"/>
        </w:rPr>
        <w:t>The percentage of patients with 'negative' or 'positive' FFR results before and a</w:t>
      </w:r>
      <w:r w:rsidR="0084626E" w:rsidRPr="007F2FD6">
        <w:rPr>
          <w:rFonts w:ascii="Times New Roman" w:hAnsi="Times New Roman" w:cs="Times New Roman"/>
          <w:b w:val="0"/>
          <w:i/>
          <w:color w:val="auto"/>
          <w:sz w:val="24"/>
          <w:szCs w:val="24"/>
        </w:rPr>
        <w:t>fter hydrostatic correction in 1</w:t>
      </w:r>
      <w:r w:rsidR="00D07228" w:rsidRPr="007F2FD6">
        <w:rPr>
          <w:rFonts w:ascii="Times New Roman" w:hAnsi="Times New Roman" w:cs="Times New Roman"/>
          <w:b w:val="0"/>
          <w:i/>
          <w:color w:val="auto"/>
          <w:sz w:val="24"/>
          <w:szCs w:val="24"/>
        </w:rPr>
        <w:t>00 random FFR values between 0.75 and 0.85. Substantial change occurs when hydrostatic pressure is corrected for. The furthest column on the right shows the percentage of FFR values that cross from positive to negative, or vice versa.</w:t>
      </w:r>
      <w:bookmarkEnd w:id="86"/>
    </w:p>
    <w:p w14:paraId="4BBC33B5" w14:textId="77777777" w:rsidR="00D07228" w:rsidRPr="00EC6C19" w:rsidRDefault="00D07228" w:rsidP="00D07228">
      <w:pPr>
        <w:spacing w:line="360" w:lineRule="auto"/>
        <w:rPr>
          <w:rFonts w:ascii="Times New Roman" w:hAnsi="Times New Roman" w:cs="Times New Roman"/>
          <w:sz w:val="24"/>
          <w:szCs w:val="24"/>
        </w:rPr>
      </w:pPr>
    </w:p>
    <w:p w14:paraId="0E18974D" w14:textId="77777777" w:rsidR="00D07228" w:rsidRPr="00EC6C19" w:rsidRDefault="00D07228" w:rsidP="00D07228">
      <w:pPr>
        <w:spacing w:line="360" w:lineRule="auto"/>
        <w:rPr>
          <w:rFonts w:ascii="Times New Roman" w:hAnsi="Times New Roman" w:cs="Times New Roman"/>
          <w:b/>
          <w:sz w:val="24"/>
          <w:szCs w:val="24"/>
        </w:rPr>
      </w:pPr>
    </w:p>
    <w:p w14:paraId="607111B4" w14:textId="77777777" w:rsidR="00D07228" w:rsidRPr="0019652D" w:rsidRDefault="0019652D" w:rsidP="0019652D">
      <w:pPr>
        <w:pStyle w:val="Heading2"/>
        <w:rPr>
          <w:rFonts w:ascii="Times New Roman" w:hAnsi="Times New Roman" w:cs="Times New Roman"/>
          <w:color w:val="auto"/>
          <w:sz w:val="24"/>
          <w:szCs w:val="24"/>
        </w:rPr>
      </w:pPr>
      <w:bookmarkStart w:id="87" w:name="_Toc80302209"/>
      <w:r w:rsidRPr="0019652D">
        <w:rPr>
          <w:rFonts w:ascii="Times New Roman" w:hAnsi="Times New Roman" w:cs="Times New Roman"/>
          <w:color w:val="auto"/>
          <w:sz w:val="24"/>
          <w:szCs w:val="24"/>
        </w:rPr>
        <w:t xml:space="preserve">2.6 - </w:t>
      </w:r>
      <w:r w:rsidR="00D07228" w:rsidRPr="0019652D">
        <w:rPr>
          <w:rFonts w:ascii="Times New Roman" w:hAnsi="Times New Roman" w:cs="Times New Roman"/>
          <w:color w:val="auto"/>
          <w:sz w:val="24"/>
          <w:szCs w:val="24"/>
        </w:rPr>
        <w:t>Discussion and Interpretation</w:t>
      </w:r>
      <w:bookmarkEnd w:id="87"/>
      <w:r w:rsidR="00D07228" w:rsidRPr="0019652D">
        <w:rPr>
          <w:rFonts w:ascii="Times New Roman" w:hAnsi="Times New Roman" w:cs="Times New Roman"/>
          <w:color w:val="auto"/>
          <w:sz w:val="24"/>
          <w:szCs w:val="24"/>
        </w:rPr>
        <w:t xml:space="preserve"> </w:t>
      </w:r>
      <w:r>
        <w:rPr>
          <w:rFonts w:ascii="Times New Roman" w:hAnsi="Times New Roman" w:cs="Times New Roman"/>
          <w:color w:val="auto"/>
          <w:sz w:val="24"/>
          <w:szCs w:val="24"/>
        </w:rPr>
        <w:br/>
      </w:r>
    </w:p>
    <w:p w14:paraId="6CC11116" w14:textId="77777777" w:rsidR="00D07228" w:rsidRPr="00EC6C19" w:rsidRDefault="00D07228" w:rsidP="00D07228">
      <w:pPr>
        <w:spacing w:line="360" w:lineRule="auto"/>
        <w:rPr>
          <w:rFonts w:ascii="Times New Roman" w:hAnsi="Times New Roman" w:cs="Times New Roman"/>
          <w:b/>
          <w:sz w:val="24"/>
          <w:szCs w:val="24"/>
        </w:rPr>
      </w:pPr>
    </w:p>
    <w:p w14:paraId="45B96C02"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The findings can be summarised into t</w:t>
      </w:r>
      <w:r w:rsidR="00700137" w:rsidRPr="00EC6C19">
        <w:rPr>
          <w:rFonts w:ascii="Times New Roman" w:hAnsi="Times New Roman" w:cs="Times New Roman"/>
          <w:sz w:val="24"/>
          <w:szCs w:val="24"/>
        </w:rPr>
        <w:t>hree</w:t>
      </w:r>
      <w:r w:rsidRPr="00EC6C19">
        <w:rPr>
          <w:rFonts w:ascii="Times New Roman" w:hAnsi="Times New Roman" w:cs="Times New Roman"/>
          <w:sz w:val="24"/>
          <w:szCs w:val="24"/>
        </w:rPr>
        <w:t xml:space="preserve"> points;</w:t>
      </w:r>
    </w:p>
    <w:p w14:paraId="75715BAB" w14:textId="6643586E" w:rsidR="00D07228" w:rsidRPr="00EC6C19" w:rsidRDefault="00D07228" w:rsidP="00D07228">
      <w:pPr>
        <w:pStyle w:val="ListParagraph"/>
        <w:numPr>
          <w:ilvl w:val="0"/>
          <w:numId w:val="23"/>
        </w:num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There </w:t>
      </w:r>
      <w:r w:rsidR="001000E7">
        <w:rPr>
          <w:rFonts w:ascii="Times New Roman" w:hAnsi="Times New Roman" w:cs="Times New Roman"/>
          <w:sz w:val="24"/>
          <w:szCs w:val="24"/>
        </w:rPr>
        <w:t>are</w:t>
      </w:r>
      <w:r w:rsidR="001000E7" w:rsidRPr="00EC6C19">
        <w:rPr>
          <w:rFonts w:ascii="Times New Roman" w:hAnsi="Times New Roman" w:cs="Times New Roman"/>
          <w:sz w:val="24"/>
          <w:szCs w:val="24"/>
        </w:rPr>
        <w:t xml:space="preserve"> </w:t>
      </w:r>
      <w:r w:rsidRPr="00EC6C19">
        <w:rPr>
          <w:rFonts w:ascii="Times New Roman" w:hAnsi="Times New Roman" w:cs="Times New Roman"/>
          <w:sz w:val="24"/>
          <w:szCs w:val="24"/>
        </w:rPr>
        <w:t>statistically significant height variations between distal coronary vessels and their respective ostium.</w:t>
      </w:r>
    </w:p>
    <w:p w14:paraId="18D6B240" w14:textId="77777777" w:rsidR="00D07228" w:rsidRPr="00EC6C19" w:rsidRDefault="00D07228" w:rsidP="00D07228">
      <w:pPr>
        <w:pStyle w:val="ListParagraph"/>
        <w:spacing w:line="360" w:lineRule="auto"/>
        <w:ind w:left="360"/>
        <w:rPr>
          <w:rFonts w:ascii="Times New Roman" w:hAnsi="Times New Roman" w:cs="Times New Roman"/>
          <w:sz w:val="24"/>
          <w:szCs w:val="24"/>
        </w:rPr>
      </w:pPr>
    </w:p>
    <w:p w14:paraId="7F80EFED" w14:textId="77777777" w:rsidR="00D07228" w:rsidRPr="00EC6C19" w:rsidRDefault="00D07228" w:rsidP="00D07228">
      <w:pPr>
        <w:pStyle w:val="ListParagraph"/>
        <w:numPr>
          <w:ilvl w:val="0"/>
          <w:numId w:val="23"/>
        </w:num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Depending on the point of measurement, there is a potential change in FFR of 0.02-0.05, when hydrostatic pressure is corrected for.</w:t>
      </w:r>
    </w:p>
    <w:p w14:paraId="10815D86" w14:textId="77777777" w:rsidR="0084626E" w:rsidRPr="00EC6C19" w:rsidRDefault="0084626E" w:rsidP="0084626E">
      <w:pPr>
        <w:pStyle w:val="ListParagraph"/>
        <w:spacing w:line="360" w:lineRule="auto"/>
        <w:ind w:left="360"/>
        <w:rPr>
          <w:rFonts w:ascii="Times New Roman" w:hAnsi="Times New Roman" w:cs="Times New Roman"/>
          <w:sz w:val="24"/>
          <w:szCs w:val="24"/>
        </w:rPr>
      </w:pPr>
    </w:p>
    <w:p w14:paraId="4DED8C0F" w14:textId="22599262" w:rsidR="00700137" w:rsidRPr="00EC6C19" w:rsidRDefault="00700137" w:rsidP="00D07228">
      <w:pPr>
        <w:pStyle w:val="ListParagraph"/>
        <w:numPr>
          <w:ilvl w:val="0"/>
          <w:numId w:val="23"/>
        </w:numPr>
        <w:spacing w:line="360" w:lineRule="auto"/>
        <w:rPr>
          <w:rFonts w:ascii="Times New Roman" w:hAnsi="Times New Roman" w:cs="Times New Roman"/>
          <w:sz w:val="24"/>
          <w:szCs w:val="24"/>
        </w:rPr>
      </w:pPr>
      <w:r w:rsidRPr="00EC6C19">
        <w:rPr>
          <w:rFonts w:ascii="Times New Roman" w:hAnsi="Times New Roman" w:cs="Times New Roman"/>
          <w:sz w:val="24"/>
          <w:szCs w:val="24"/>
        </w:rPr>
        <w:t>15% to 46.5% of FFR values</w:t>
      </w:r>
      <w:r w:rsidR="0084626E" w:rsidRPr="00EC6C19">
        <w:rPr>
          <w:rFonts w:ascii="Times New Roman" w:hAnsi="Times New Roman" w:cs="Times New Roman"/>
          <w:sz w:val="24"/>
          <w:szCs w:val="24"/>
        </w:rPr>
        <w:t xml:space="preserve"> between 0.75 and 0.85</w:t>
      </w:r>
      <w:r w:rsidRPr="00EC6C19">
        <w:rPr>
          <w:rFonts w:ascii="Times New Roman" w:hAnsi="Times New Roman" w:cs="Times New Roman"/>
          <w:sz w:val="24"/>
          <w:szCs w:val="24"/>
        </w:rPr>
        <w:t xml:space="preserve"> re-classified across a treatment threshold of 0.8 when correcting for hydrostatic pressure effect</w:t>
      </w:r>
      <w:r w:rsidR="001000E7">
        <w:rPr>
          <w:rFonts w:ascii="Times New Roman" w:hAnsi="Times New Roman" w:cs="Times New Roman"/>
          <w:sz w:val="24"/>
          <w:szCs w:val="24"/>
        </w:rPr>
        <w:t>.</w:t>
      </w:r>
    </w:p>
    <w:p w14:paraId="2D230600" w14:textId="77777777" w:rsidR="00D07228" w:rsidRPr="00EC6C19" w:rsidRDefault="00D07228" w:rsidP="00D07228">
      <w:pPr>
        <w:pStyle w:val="ListParagraph"/>
        <w:spacing w:line="360" w:lineRule="auto"/>
        <w:ind w:left="360"/>
        <w:rPr>
          <w:rFonts w:ascii="Times New Roman" w:hAnsi="Times New Roman" w:cs="Times New Roman"/>
          <w:sz w:val="24"/>
          <w:szCs w:val="24"/>
        </w:rPr>
      </w:pPr>
    </w:p>
    <w:p w14:paraId="33A9ECB7" w14:textId="77777777" w:rsidR="00D07228" w:rsidRPr="00EC6C19" w:rsidRDefault="00D07228" w:rsidP="00D07228">
      <w:pPr>
        <w:spacing w:line="360" w:lineRule="auto"/>
        <w:rPr>
          <w:rFonts w:ascii="Times New Roman" w:hAnsi="Times New Roman" w:cs="Times New Roman"/>
          <w:i/>
          <w:sz w:val="24"/>
          <w:szCs w:val="24"/>
          <w:u w:val="single"/>
        </w:rPr>
      </w:pPr>
    </w:p>
    <w:p w14:paraId="18EB0399" w14:textId="77777777" w:rsidR="00D07228"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Our patient demographic consisted of younger female patients. 33% of patients had an echocardiogram at the time of </w:t>
      </w:r>
      <w:r w:rsidR="007C7D90" w:rsidRPr="00EC6C19">
        <w:rPr>
          <w:rFonts w:ascii="Times New Roman" w:hAnsi="Times New Roman" w:cs="Times New Roman"/>
          <w:sz w:val="24"/>
          <w:szCs w:val="24"/>
        </w:rPr>
        <w:t>scanning</w:t>
      </w:r>
      <w:r w:rsidRPr="00EC6C19">
        <w:rPr>
          <w:rFonts w:ascii="Times New Roman" w:hAnsi="Times New Roman" w:cs="Times New Roman"/>
          <w:sz w:val="24"/>
          <w:szCs w:val="24"/>
        </w:rPr>
        <w:t xml:space="preserve">, with preserved ejection fractions on average (54.8%). Before the introduction of updated NICE guidelines in stable chest pain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{"citationID":"Jryv6JwH","properties":{"formattedCitation":"(Chest pain of recent onset: assessment and diagnosis | Guidance and guidelines | NICE, 2018)","plainCitation":"(Chest pain of recent onset: assessment and diagnosis | Guidance and guidelines | NICE, 2018)","noteIndex":0},"citationItems":[{"id":587,"uris":["http://zotero.org/users/local/k67tNDdX/items/5E3J6N4P"],"uri":["http://zotero.org/users/local/k67tNDdX/items/5E3J6N4P"],"itemData":{"id":587,"type":"webpage","language":"eng","title":"Chest pain of recent onset: assessment and diagnosis | Guidance and guidelines | NICE","title-short":"Chest pain of recent onset","URL":"https://www.nice.org.uk/guidance/cg95/chapter/Recommendations#people-presenting-with-stable-chest-pain","accessed":{"date-parts":[["2018",6,21]]}}}],"schema":"https://github.com/citation-style-language/schema/raw/master/csl-citation.json"}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(Chest pain of recent onset: assessment and diagnosis | Guidance and guidelines | NICE,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CT coronary angiography was used in patients with low to intermediate risk of having coronary artery disease.</w:t>
      </w:r>
      <w:r w:rsidR="00B2719C" w:rsidRPr="00EC6C19">
        <w:rPr>
          <w:rFonts w:ascii="Times New Roman" w:hAnsi="Times New Roman" w:cs="Times New Roman"/>
          <w:sz w:val="24"/>
          <w:szCs w:val="24"/>
        </w:rPr>
        <w:t xml:space="preserve"> This may explain the trend in demographic toward younger female patients.</w:t>
      </w:r>
    </w:p>
    <w:p w14:paraId="0AF5B344" w14:textId="77777777" w:rsidR="00FC4967" w:rsidRPr="00EC6C19" w:rsidRDefault="00FC4967" w:rsidP="00D07228">
      <w:pPr>
        <w:spacing w:line="360" w:lineRule="auto"/>
        <w:rPr>
          <w:rFonts w:ascii="Times New Roman" w:hAnsi="Times New Roman" w:cs="Times New Roman"/>
          <w:sz w:val="24"/>
          <w:szCs w:val="24"/>
        </w:rPr>
      </w:pPr>
    </w:p>
    <w:p w14:paraId="0EEAF167" w14:textId="77777777" w:rsidR="002B6F51" w:rsidRPr="00EC6C19" w:rsidRDefault="002B6F51" w:rsidP="00D07228">
      <w:pPr>
        <w:spacing w:line="360" w:lineRule="auto"/>
        <w:rPr>
          <w:rFonts w:ascii="Times New Roman" w:hAnsi="Times New Roman" w:cs="Times New Roman"/>
          <w:sz w:val="24"/>
          <w:szCs w:val="24"/>
        </w:rPr>
      </w:pPr>
    </w:p>
    <w:p w14:paraId="663BAAA6" w14:textId="77777777" w:rsidR="002B6F51" w:rsidRPr="0019652D" w:rsidRDefault="0019652D" w:rsidP="0019652D">
      <w:pPr>
        <w:pStyle w:val="Heading3"/>
        <w:rPr>
          <w:rFonts w:ascii="Times New Roman" w:hAnsi="Times New Roman" w:cs="Times New Roman"/>
          <w:b w:val="0"/>
          <w:i/>
          <w:color w:val="auto"/>
          <w:sz w:val="24"/>
          <w:szCs w:val="24"/>
        </w:rPr>
      </w:pPr>
      <w:bookmarkStart w:id="88" w:name="_Toc80302210"/>
      <w:r w:rsidRPr="0019652D">
        <w:rPr>
          <w:rFonts w:ascii="Times New Roman" w:hAnsi="Times New Roman" w:cs="Times New Roman"/>
          <w:b w:val="0"/>
          <w:i/>
          <w:color w:val="auto"/>
          <w:sz w:val="24"/>
          <w:szCs w:val="24"/>
        </w:rPr>
        <w:t xml:space="preserve">2.6.1 - </w:t>
      </w:r>
      <w:r w:rsidR="002B6F51" w:rsidRPr="0019652D">
        <w:rPr>
          <w:rFonts w:ascii="Times New Roman" w:hAnsi="Times New Roman" w:cs="Times New Roman"/>
          <w:b w:val="0"/>
          <w:i/>
          <w:color w:val="auto"/>
          <w:sz w:val="24"/>
          <w:szCs w:val="24"/>
        </w:rPr>
        <w:t>Height Variations</w:t>
      </w:r>
      <w:bookmarkEnd w:id="88"/>
      <w:r>
        <w:rPr>
          <w:rFonts w:ascii="Times New Roman" w:hAnsi="Times New Roman" w:cs="Times New Roman"/>
          <w:b w:val="0"/>
          <w:i/>
          <w:color w:val="auto"/>
          <w:sz w:val="24"/>
          <w:szCs w:val="24"/>
        </w:rPr>
        <w:br/>
      </w:r>
    </w:p>
    <w:p w14:paraId="1A0E7EEB" w14:textId="77777777" w:rsidR="002B6F51" w:rsidRPr="00EC6C19" w:rsidRDefault="002B6F51" w:rsidP="00D07228">
      <w:pPr>
        <w:spacing w:line="360" w:lineRule="auto"/>
        <w:rPr>
          <w:rFonts w:ascii="Times New Roman" w:hAnsi="Times New Roman" w:cs="Times New Roman"/>
          <w:sz w:val="24"/>
          <w:szCs w:val="24"/>
        </w:rPr>
      </w:pPr>
    </w:p>
    <w:p w14:paraId="3927C454"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All measured points were statistically significant when compared to their respective ostium, </w:t>
      </w:r>
      <w:r w:rsidR="009E0E31" w:rsidRPr="00EC6C19">
        <w:rPr>
          <w:rFonts w:ascii="Times New Roman" w:hAnsi="Times New Roman" w:cs="Times New Roman"/>
          <w:sz w:val="24"/>
          <w:szCs w:val="24"/>
        </w:rPr>
        <w:t>except</w:t>
      </w:r>
      <w:r w:rsidRPr="00EC6C19">
        <w:rPr>
          <w:rFonts w:ascii="Times New Roman" w:hAnsi="Times New Roman" w:cs="Times New Roman"/>
          <w:sz w:val="24"/>
          <w:szCs w:val="24"/>
        </w:rPr>
        <w:t xml:space="preserve"> f</w:t>
      </w:r>
      <w:r w:rsidR="009E0E31" w:rsidRPr="00EC6C19">
        <w:rPr>
          <w:rFonts w:ascii="Times New Roman" w:hAnsi="Times New Roman" w:cs="Times New Roman"/>
          <w:sz w:val="24"/>
          <w:szCs w:val="24"/>
        </w:rPr>
        <w:t>or</w:t>
      </w:r>
      <w:r w:rsidRPr="00EC6C19">
        <w:rPr>
          <w:rFonts w:ascii="Times New Roman" w:hAnsi="Times New Roman" w:cs="Times New Roman"/>
          <w:sz w:val="24"/>
          <w:szCs w:val="24"/>
        </w:rPr>
        <w:t xml:space="preserve"> the ostial LAD.</w:t>
      </w:r>
    </w:p>
    <w:p w14:paraId="45A3A4E1" w14:textId="40A46E78" w:rsidR="00B2719C"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vertical course of arteries followed expected patterns from known coronary anatomy in all cases. No patient was found to have anomalous coronary anatomy. </w:t>
      </w:r>
      <w:r w:rsidR="009E0E31" w:rsidRPr="00EC6C19">
        <w:rPr>
          <w:rFonts w:ascii="Times New Roman" w:hAnsi="Times New Roman" w:cs="Times New Roman"/>
          <w:sz w:val="24"/>
          <w:szCs w:val="24"/>
        </w:rPr>
        <w:t>T</w:t>
      </w:r>
      <w:r w:rsidRPr="00EC6C19">
        <w:rPr>
          <w:rFonts w:ascii="Times New Roman" w:hAnsi="Times New Roman" w:cs="Times New Roman"/>
          <w:sz w:val="24"/>
          <w:szCs w:val="24"/>
        </w:rPr>
        <w:t xml:space="preserve">he LCA ostium was 23.8mm lower than the RCA ostium. The average height measurements from the CT table to the distal PLV and distal Cx were equal. </w:t>
      </w:r>
      <w:r w:rsidR="009E0E31" w:rsidRPr="00EC6C19">
        <w:rPr>
          <w:rFonts w:ascii="Times New Roman" w:hAnsi="Times New Roman" w:cs="Times New Roman"/>
          <w:sz w:val="24"/>
          <w:szCs w:val="24"/>
        </w:rPr>
        <w:t>Compared to the</w:t>
      </w:r>
      <w:r w:rsidRPr="00EC6C19">
        <w:rPr>
          <w:rFonts w:ascii="Times New Roman" w:hAnsi="Times New Roman" w:cs="Times New Roman"/>
          <w:sz w:val="24"/>
          <w:szCs w:val="24"/>
        </w:rPr>
        <w:t xml:space="preserve"> respective ostium however, the PLV had a greater </w:t>
      </w:r>
      <w:r w:rsidR="009E0E31" w:rsidRPr="00EC6C19">
        <w:rPr>
          <w:rFonts w:ascii="Times New Roman" w:hAnsi="Times New Roman" w:cs="Times New Roman"/>
          <w:sz w:val="24"/>
          <w:szCs w:val="24"/>
        </w:rPr>
        <w:t>distance</w:t>
      </w:r>
      <w:r w:rsidRPr="00EC6C19">
        <w:rPr>
          <w:rFonts w:ascii="Times New Roman" w:hAnsi="Times New Roman" w:cs="Times New Roman"/>
          <w:sz w:val="24"/>
          <w:szCs w:val="24"/>
        </w:rPr>
        <w:t>, due to the more superior position of the RCA ostium</w:t>
      </w:r>
      <w:r w:rsidR="00B2719C" w:rsidRPr="00EC6C19">
        <w:rPr>
          <w:rFonts w:ascii="Times New Roman" w:hAnsi="Times New Roman" w:cs="Times New Roman"/>
          <w:sz w:val="24"/>
          <w:szCs w:val="24"/>
        </w:rPr>
        <w:t>.</w:t>
      </w:r>
    </w:p>
    <w:p w14:paraId="31F927D4"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It is important to note tha</w:t>
      </w:r>
      <w:r w:rsidR="00647D16" w:rsidRPr="00EC6C19">
        <w:rPr>
          <w:rFonts w:ascii="Times New Roman" w:hAnsi="Times New Roman" w:cs="Times New Roman"/>
          <w:sz w:val="24"/>
          <w:szCs w:val="24"/>
        </w:rPr>
        <w:t>t</w:t>
      </w:r>
      <w:r w:rsidRPr="00EC6C19">
        <w:rPr>
          <w:rFonts w:ascii="Times New Roman" w:hAnsi="Times New Roman" w:cs="Times New Roman"/>
          <w:sz w:val="24"/>
          <w:szCs w:val="24"/>
        </w:rPr>
        <w:t xml:space="preserve"> the most distal point in the artery is not always the most superior or inferior. An example of this would be in patients who have a 'wrap around' LAD. Here, the LAD reaches the left ventricular apex, and the most superior point in its course, before wrapping </w:t>
      </w:r>
      <w:r w:rsidRPr="00EC6C19">
        <w:rPr>
          <w:rFonts w:ascii="Times New Roman" w:hAnsi="Times New Roman" w:cs="Times New Roman"/>
          <w:sz w:val="24"/>
          <w:szCs w:val="24"/>
        </w:rPr>
        <w:lastRenderedPageBreak/>
        <w:t xml:space="preserve">around the apex and travelling inferiorly for a distance. This has been described in medical literature and can occur in up to half of patients </w:t>
      </w:r>
      <w:r w:rsidR="00106A32" w:rsidRPr="00EC6C19">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{"citationID":"S9wNvm5s","properties":{"formattedCitation":"(Kobayashi et al., 2015a)","plainCitation":"(Kobayashi et al., 2015a)","noteIndex":0},"citationItems":[{"id":619,"uris":["http://zotero.org/users/local/k67tNDdX/items/3PA72MTI"],"uri":["http://zotero.org/users/local/k67tNDdX/items/3PA72MTI"],"itemData":{"id":619,"type":"article-journal","container-title":"American Journal of Cardiology","DOI":"10.1016/j.amjcard.2015.09.004","ISSN":"0002-9149, 1879-1913","issue":"11","journalAbbreviation":"American Journal of Cardiology","language":"English","page":"1658-1665","source":"www.ajconline.org","title":"Usefulness of the Left Anterior Descending Coronary Artery Wrapping Around the Left Ventricular Apex to Predict Adverse Clinical Outcomes in Patients With Anterior Wall ST-Segment Elevation Myocardial Infarction (from the Harmonizing Outcomes With Revascularization and Stents in Acute Myocardial Infarction Trial)","volume":"116","author":[{"family":"Kobayashi","given":"Nobuaki"},{"family":"Maehara","given":"Akiko"},{"family":"Brener","given":"Sorin J."},{"family":"Généreux","given":"Philippe"},{"family":"Witzenbichler","given":"Bernhard"},{"family":"Guagliumi","given":"Giulio"},{"family":"Peruga","given":"Jan Z."},{"family":"Mehran","given":"Roxana"},{"family":"Mintz","given":"Gary S."},{"family":"Stone","given":"Gregg W."}],"issued":{"date-parts":[["2015",12,1]]}}}],"schema":"https://github.com/citation-style-language/schema/raw/master/csl-citation.json"} </w:instrText>
      </w:r>
      <w:r w:rsidR="00106A32" w:rsidRPr="00EC6C19">
        <w:rPr>
          <w:rFonts w:ascii="Times New Roman" w:hAnsi="Times New Roman" w:cs="Times New Roman"/>
          <w:sz w:val="24"/>
          <w:szCs w:val="24"/>
        </w:rPr>
        <w:fldChar w:fldCharType="separate"/>
      </w:r>
      <w:r w:rsidR="004A32A5" w:rsidRPr="004A32A5">
        <w:rPr>
          <w:rFonts w:ascii="Times New Roman" w:hAnsi="Times New Roman" w:cs="Times New Roman"/>
          <w:sz w:val="24"/>
        </w:rPr>
        <w:t>(Kobayashi et al., 2015a)</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3E79AC8F" w14:textId="7F2ECAC1"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Although not measured specifically, side branches </w:t>
      </w:r>
      <w:r w:rsidR="00647D16" w:rsidRPr="00EC6C19">
        <w:rPr>
          <w:rFonts w:ascii="Times New Roman" w:hAnsi="Times New Roman" w:cs="Times New Roman"/>
          <w:sz w:val="24"/>
          <w:szCs w:val="24"/>
        </w:rPr>
        <w:t xml:space="preserve">tended </w:t>
      </w:r>
      <w:r w:rsidRPr="00EC6C19">
        <w:rPr>
          <w:rFonts w:ascii="Times New Roman" w:hAnsi="Times New Roman" w:cs="Times New Roman"/>
          <w:sz w:val="24"/>
          <w:szCs w:val="24"/>
        </w:rPr>
        <w:t xml:space="preserve">to follow the same vertical course as the main vessel they branched from. An example would be the obtuse marginal branches of the circumflex (OM). These would bifurcate and often became as inferior as the main branch, albeit in a more medial horizontal plane. This is </w:t>
      </w:r>
      <w:r w:rsidRPr="00A60EED">
        <w:rPr>
          <w:rFonts w:ascii="Times New Roman" w:hAnsi="Times New Roman" w:cs="Times New Roman"/>
          <w:sz w:val="24"/>
          <w:szCs w:val="24"/>
        </w:rPr>
        <w:t xml:space="preserve">demonstrated in </w:t>
      </w:r>
      <w:r w:rsidR="001000E7">
        <w:rPr>
          <w:rFonts w:ascii="Times New Roman" w:hAnsi="Times New Roman" w:cs="Times New Roman"/>
          <w:sz w:val="24"/>
          <w:szCs w:val="24"/>
        </w:rPr>
        <w:t>F</w:t>
      </w:r>
      <w:r w:rsidR="001000E7" w:rsidRPr="00A60EED">
        <w:rPr>
          <w:rFonts w:ascii="Times New Roman" w:hAnsi="Times New Roman" w:cs="Times New Roman"/>
          <w:sz w:val="24"/>
          <w:szCs w:val="24"/>
        </w:rPr>
        <w:t xml:space="preserve">igure </w:t>
      </w:r>
      <w:r w:rsidR="00A60EED" w:rsidRPr="00A60EED">
        <w:rPr>
          <w:rFonts w:ascii="Times New Roman" w:hAnsi="Times New Roman" w:cs="Times New Roman"/>
          <w:sz w:val="24"/>
          <w:szCs w:val="24"/>
        </w:rPr>
        <w:t>19</w:t>
      </w:r>
      <w:r w:rsidRPr="00A60EED">
        <w:rPr>
          <w:rFonts w:ascii="Times New Roman" w:hAnsi="Times New Roman" w:cs="Times New Roman"/>
          <w:sz w:val="24"/>
          <w:szCs w:val="24"/>
        </w:rPr>
        <w:t>.</w:t>
      </w:r>
      <w:r w:rsidR="00D852FC" w:rsidRPr="00A60EED">
        <w:rPr>
          <w:rFonts w:ascii="Times New Roman" w:hAnsi="Times New Roman" w:cs="Times New Roman"/>
          <w:sz w:val="24"/>
          <w:szCs w:val="24"/>
        </w:rPr>
        <w:t xml:space="preserve"> </w:t>
      </w:r>
      <w:r w:rsidRPr="00A60EED">
        <w:rPr>
          <w:rFonts w:ascii="Times New Roman" w:hAnsi="Times New Roman" w:cs="Times New Roman"/>
          <w:sz w:val="24"/>
          <w:szCs w:val="24"/>
        </w:rPr>
        <w:t>The</w:t>
      </w:r>
      <w:r w:rsidRPr="00EC6C19">
        <w:rPr>
          <w:rFonts w:ascii="Times New Roman" w:hAnsi="Times New Roman" w:cs="Times New Roman"/>
          <w:sz w:val="24"/>
          <w:szCs w:val="24"/>
        </w:rPr>
        <w:t xml:space="preserve"> same applies to the diagonal branches of the LAD</w:t>
      </w:r>
      <w:r w:rsidR="00201C71">
        <w:rPr>
          <w:rFonts w:ascii="Times New Roman" w:hAnsi="Times New Roman" w:cs="Times New Roman"/>
          <w:sz w:val="24"/>
          <w:szCs w:val="24"/>
        </w:rPr>
        <w:t>.</w:t>
      </w:r>
    </w:p>
    <w:p w14:paraId="5CDDBACC"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4FD14D8A" wp14:editId="2B987F1A">
            <wp:extent cx="5943600" cy="4124325"/>
            <wp:effectExtent l="19050" t="0" r="0" b="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srcRect/>
                    <a:stretch>
                      <a:fillRect/>
                    </a:stretch>
                  </pic:blipFill>
                  <pic:spPr bwMode="auto">
                    <a:xfrm>
                      <a:off x="0" y="0"/>
                      <a:ext cx="5943600" cy="4124325"/>
                    </a:xfrm>
                    <a:prstGeom prst="rect">
                      <a:avLst/>
                    </a:prstGeom>
                    <a:noFill/>
                    <a:ln w="9525">
                      <a:noFill/>
                      <a:miter lim="800000"/>
                      <a:headEnd/>
                      <a:tailEnd/>
                    </a:ln>
                  </pic:spPr>
                </pic:pic>
              </a:graphicData>
            </a:graphic>
          </wp:inline>
        </w:drawing>
      </w:r>
    </w:p>
    <w:p w14:paraId="4153FD93" w14:textId="77777777" w:rsidR="002B6F51" w:rsidRPr="00EC6C19" w:rsidRDefault="002B6F51" w:rsidP="00D07228">
      <w:pPr>
        <w:spacing w:line="360" w:lineRule="auto"/>
        <w:rPr>
          <w:rFonts w:ascii="Times New Roman" w:hAnsi="Times New Roman" w:cs="Times New Roman"/>
          <w:i/>
          <w:sz w:val="24"/>
          <w:szCs w:val="24"/>
        </w:rPr>
      </w:pPr>
    </w:p>
    <w:p w14:paraId="4E33C598" w14:textId="77777777" w:rsidR="00D07228" w:rsidRPr="00A60EED" w:rsidRDefault="00A60EED" w:rsidP="00A60EED">
      <w:pPr>
        <w:pStyle w:val="Caption"/>
        <w:spacing w:line="360" w:lineRule="auto"/>
        <w:rPr>
          <w:rFonts w:ascii="Times New Roman" w:hAnsi="Times New Roman" w:cs="Times New Roman"/>
          <w:b w:val="0"/>
          <w:i/>
          <w:color w:val="auto"/>
          <w:sz w:val="24"/>
          <w:szCs w:val="24"/>
        </w:rPr>
      </w:pPr>
      <w:bookmarkStart w:id="89" w:name="_Toc44684908"/>
      <w:r w:rsidRPr="00A60EED">
        <w:rPr>
          <w:rFonts w:ascii="Times New Roman" w:hAnsi="Times New Roman" w:cs="Times New Roman"/>
          <w:b w:val="0"/>
          <w:i/>
          <w:color w:val="auto"/>
          <w:sz w:val="24"/>
          <w:szCs w:val="24"/>
        </w:rPr>
        <w:t xml:space="preserve">Figure </w:t>
      </w:r>
      <w:r w:rsidR="00106A32" w:rsidRPr="00A60EED">
        <w:rPr>
          <w:rFonts w:ascii="Times New Roman" w:hAnsi="Times New Roman" w:cs="Times New Roman"/>
          <w:b w:val="0"/>
          <w:i/>
          <w:color w:val="auto"/>
          <w:sz w:val="24"/>
          <w:szCs w:val="24"/>
        </w:rPr>
        <w:fldChar w:fldCharType="begin"/>
      </w:r>
      <w:r w:rsidRPr="00A60EED">
        <w:rPr>
          <w:rFonts w:ascii="Times New Roman" w:hAnsi="Times New Roman" w:cs="Times New Roman"/>
          <w:b w:val="0"/>
          <w:i/>
          <w:color w:val="auto"/>
          <w:sz w:val="24"/>
          <w:szCs w:val="24"/>
        </w:rPr>
        <w:instrText xml:space="preserve"> SEQ Figure \* ARABIC </w:instrText>
      </w:r>
      <w:r w:rsidR="00106A32" w:rsidRPr="00A60EE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19</w:t>
      </w:r>
      <w:r w:rsidR="00106A32" w:rsidRPr="00A60EED">
        <w:rPr>
          <w:rFonts w:ascii="Times New Roman" w:hAnsi="Times New Roman" w:cs="Times New Roman"/>
          <w:b w:val="0"/>
          <w:i/>
          <w:color w:val="auto"/>
          <w:sz w:val="24"/>
          <w:szCs w:val="24"/>
        </w:rPr>
        <w:fldChar w:fldCharType="end"/>
      </w:r>
      <w:r w:rsidRPr="00A60EED">
        <w:rPr>
          <w:rFonts w:ascii="Times New Roman" w:hAnsi="Times New Roman" w:cs="Times New Roman"/>
          <w:b w:val="0"/>
          <w:i/>
          <w:color w:val="auto"/>
          <w:sz w:val="24"/>
          <w:szCs w:val="24"/>
        </w:rPr>
        <w:t xml:space="preserve"> - Coronary Branch Points</w:t>
      </w:r>
      <w:r w:rsidR="00D07228" w:rsidRPr="00A60EED">
        <w:rPr>
          <w:rFonts w:ascii="Times New Roman" w:hAnsi="Times New Roman" w:cs="Times New Roman"/>
          <w:b w:val="0"/>
          <w:i/>
          <w:color w:val="auto"/>
          <w:sz w:val="24"/>
          <w:szCs w:val="24"/>
        </w:rPr>
        <w:t xml:space="preserve"> - Illustration of branching points of the circumflex (Cx) and left anterior descending artery (LAD). The obtuse marginal (OM) branches of the circumflex would often end as inferiorly as the circumflex AV (atrioventricular) branch, meaning equal distal measurements in each branch, and potentially hydrostatic effect. The diagonal branches of </w:t>
      </w:r>
      <w:r w:rsidR="00D07228" w:rsidRPr="00A60EED">
        <w:rPr>
          <w:rFonts w:ascii="Times New Roman" w:hAnsi="Times New Roman" w:cs="Times New Roman"/>
          <w:b w:val="0"/>
          <w:i/>
          <w:color w:val="auto"/>
          <w:sz w:val="24"/>
          <w:szCs w:val="24"/>
        </w:rPr>
        <w:lastRenderedPageBreak/>
        <w:t>the LAD would take a more horizontal course, and not reach the same vertical distance as the LAD itself.</w:t>
      </w:r>
      <w:bookmarkEnd w:id="89"/>
      <w:r w:rsidR="00D07228" w:rsidRPr="00A60EED">
        <w:rPr>
          <w:rFonts w:ascii="Times New Roman" w:hAnsi="Times New Roman" w:cs="Times New Roman"/>
          <w:b w:val="0"/>
          <w:i/>
          <w:color w:val="auto"/>
          <w:sz w:val="24"/>
          <w:szCs w:val="24"/>
        </w:rPr>
        <w:t xml:space="preserve">  </w:t>
      </w:r>
    </w:p>
    <w:p w14:paraId="33304637" w14:textId="77777777" w:rsidR="002B6F51" w:rsidRPr="00EC6C19" w:rsidRDefault="002B6F51" w:rsidP="00D07228">
      <w:pPr>
        <w:spacing w:line="360" w:lineRule="auto"/>
        <w:rPr>
          <w:rFonts w:ascii="Times New Roman" w:hAnsi="Times New Roman" w:cs="Times New Roman"/>
          <w:i/>
          <w:sz w:val="24"/>
          <w:szCs w:val="24"/>
        </w:rPr>
      </w:pPr>
    </w:p>
    <w:p w14:paraId="5E027855" w14:textId="77777777" w:rsidR="00D07228" w:rsidRPr="0019652D" w:rsidRDefault="0019652D" w:rsidP="0019652D">
      <w:pPr>
        <w:pStyle w:val="Heading3"/>
        <w:rPr>
          <w:rFonts w:ascii="Times New Roman" w:hAnsi="Times New Roman" w:cs="Times New Roman"/>
          <w:b w:val="0"/>
          <w:i/>
          <w:color w:val="auto"/>
          <w:sz w:val="24"/>
          <w:szCs w:val="24"/>
        </w:rPr>
      </w:pPr>
      <w:bookmarkStart w:id="90" w:name="_Toc80302211"/>
      <w:r w:rsidRPr="0019652D">
        <w:rPr>
          <w:rFonts w:ascii="Times New Roman" w:hAnsi="Times New Roman" w:cs="Times New Roman"/>
          <w:b w:val="0"/>
          <w:i/>
          <w:color w:val="auto"/>
          <w:sz w:val="24"/>
          <w:szCs w:val="24"/>
        </w:rPr>
        <w:t xml:space="preserve">2.6.2 - </w:t>
      </w:r>
      <w:r w:rsidR="00420CF9" w:rsidRPr="0019652D">
        <w:rPr>
          <w:rFonts w:ascii="Times New Roman" w:hAnsi="Times New Roman" w:cs="Times New Roman"/>
          <w:b w:val="0"/>
          <w:i/>
          <w:color w:val="auto"/>
          <w:sz w:val="24"/>
          <w:szCs w:val="24"/>
        </w:rPr>
        <w:t>Al-Janabi  vs.Härle Data</w:t>
      </w:r>
      <w:bookmarkEnd w:id="90"/>
      <w:r w:rsidRPr="0019652D">
        <w:rPr>
          <w:rFonts w:ascii="Times New Roman" w:hAnsi="Times New Roman" w:cs="Times New Roman"/>
          <w:b w:val="0"/>
          <w:i/>
          <w:color w:val="auto"/>
          <w:sz w:val="24"/>
          <w:szCs w:val="24"/>
        </w:rPr>
        <w:br/>
      </w:r>
    </w:p>
    <w:p w14:paraId="1FCF323E" w14:textId="77777777" w:rsidR="00700137" w:rsidRPr="00EC6C19" w:rsidRDefault="00700137" w:rsidP="00D07228">
      <w:pPr>
        <w:spacing w:line="360" w:lineRule="auto"/>
        <w:rPr>
          <w:rFonts w:ascii="Times New Roman" w:hAnsi="Times New Roman" w:cs="Times New Roman"/>
          <w:i/>
          <w:sz w:val="24"/>
          <w:szCs w:val="24"/>
          <w:u w:val="single"/>
        </w:rPr>
      </w:pPr>
    </w:p>
    <w:p w14:paraId="6AC7346F" w14:textId="77777777" w:rsidR="002B6F51" w:rsidRPr="00EC6C19" w:rsidRDefault="00B2719C" w:rsidP="0070013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Härle et al published similar CT data recently in an older cohort of patient awaiting TAVI. </w:t>
      </w:r>
      <w:r w:rsidR="009E0E31" w:rsidRPr="00EC6C19">
        <w:rPr>
          <w:rFonts w:ascii="Times New Roman" w:hAnsi="Times New Roman" w:cs="Times New Roman"/>
          <w:sz w:val="24"/>
          <w:szCs w:val="24"/>
        </w:rPr>
        <w:t xml:space="preserve">A comparison of the two data sets are </w:t>
      </w:r>
      <w:r w:rsidR="00700137" w:rsidRPr="007F2FD6">
        <w:rPr>
          <w:rFonts w:ascii="Times New Roman" w:hAnsi="Times New Roman" w:cs="Times New Roman"/>
          <w:sz w:val="24"/>
          <w:szCs w:val="24"/>
        </w:rPr>
        <w:t xml:space="preserve">summarised in Table </w:t>
      </w:r>
      <w:r w:rsidR="007F2FD6" w:rsidRPr="007F2FD6">
        <w:rPr>
          <w:rFonts w:ascii="Times New Roman" w:hAnsi="Times New Roman" w:cs="Times New Roman"/>
          <w:sz w:val="24"/>
          <w:szCs w:val="24"/>
        </w:rPr>
        <w:t>7</w:t>
      </w:r>
      <w:r w:rsidR="00700137" w:rsidRPr="007F2FD6">
        <w:rPr>
          <w:rFonts w:ascii="Times New Roman" w:hAnsi="Times New Roman" w:cs="Times New Roman"/>
          <w:sz w:val="24"/>
          <w:szCs w:val="24"/>
        </w:rPr>
        <w:t xml:space="preserve"> below</w:t>
      </w:r>
      <w:r w:rsidR="00700137" w:rsidRPr="00EC6C19">
        <w:rPr>
          <w:rFonts w:ascii="Times New Roman" w:hAnsi="Times New Roman" w:cs="Times New Roman"/>
          <w:sz w:val="24"/>
          <w:szCs w:val="24"/>
        </w:rPr>
        <w:t>.</w:t>
      </w:r>
    </w:p>
    <w:tbl>
      <w:tblPr>
        <w:tblW w:w="0" w:type="auto"/>
        <w:tblLook w:val="04A0" w:firstRow="1" w:lastRow="0" w:firstColumn="1" w:lastColumn="0" w:noHBand="0" w:noVBand="1"/>
      </w:tblPr>
      <w:tblGrid>
        <w:gridCol w:w="2359"/>
        <w:gridCol w:w="2329"/>
        <w:gridCol w:w="2326"/>
        <w:gridCol w:w="2346"/>
      </w:tblGrid>
      <w:tr w:rsidR="00700137" w:rsidRPr="00EC6C19" w14:paraId="1BAE31C6" w14:textId="77777777" w:rsidTr="00F31D6C">
        <w:tc>
          <w:tcPr>
            <w:tcW w:w="2394" w:type="dxa"/>
            <w:tcBorders>
              <w:bottom w:val="single" w:sz="18" w:space="0" w:color="000000" w:themeColor="text1"/>
            </w:tcBorders>
            <w:shd w:val="clear" w:color="auto" w:fill="F2F2F2" w:themeFill="background1" w:themeFillShade="F2"/>
          </w:tcPr>
          <w:p w14:paraId="77338433" w14:textId="77777777"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Measurement Point</w:t>
            </w:r>
          </w:p>
          <w:p w14:paraId="0E639EBA" w14:textId="77777777" w:rsidR="00700137" w:rsidRPr="00EC6C19" w:rsidRDefault="00700137" w:rsidP="00F31D6C">
            <w:pPr>
              <w:spacing w:line="360" w:lineRule="auto"/>
              <w:jc w:val="center"/>
              <w:rPr>
                <w:rFonts w:ascii="Times New Roman" w:hAnsi="Times New Roman" w:cs="Times New Roman"/>
                <w:sz w:val="24"/>
                <w:szCs w:val="24"/>
              </w:rPr>
            </w:pPr>
          </w:p>
        </w:tc>
        <w:tc>
          <w:tcPr>
            <w:tcW w:w="2394" w:type="dxa"/>
            <w:tcBorders>
              <w:bottom w:val="single" w:sz="18" w:space="0" w:color="000000" w:themeColor="text1"/>
            </w:tcBorders>
            <w:shd w:val="clear" w:color="auto" w:fill="F2F2F2" w:themeFill="background1" w:themeFillShade="F2"/>
          </w:tcPr>
          <w:p w14:paraId="1ECD0556" w14:textId="77777777"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Al-Janabi Data</w:t>
            </w:r>
          </w:p>
          <w:p w14:paraId="3A527DD3" w14:textId="77777777" w:rsidR="00700137" w:rsidRPr="00EC6C19" w:rsidRDefault="00700137" w:rsidP="00F31D6C">
            <w:pPr>
              <w:spacing w:line="360" w:lineRule="auto"/>
              <w:jc w:val="center"/>
              <w:rPr>
                <w:rFonts w:ascii="Times New Roman" w:hAnsi="Times New Roman" w:cs="Times New Roman"/>
                <w:sz w:val="24"/>
                <w:szCs w:val="24"/>
              </w:rPr>
            </w:pPr>
          </w:p>
        </w:tc>
        <w:tc>
          <w:tcPr>
            <w:tcW w:w="2394" w:type="dxa"/>
            <w:tcBorders>
              <w:bottom w:val="single" w:sz="18" w:space="0" w:color="000000" w:themeColor="text1"/>
            </w:tcBorders>
            <w:shd w:val="clear" w:color="auto" w:fill="F2F2F2" w:themeFill="background1" w:themeFillShade="F2"/>
          </w:tcPr>
          <w:p w14:paraId="09B1C95E" w14:textId="77777777"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Härle Data</w:t>
            </w:r>
          </w:p>
          <w:p w14:paraId="0486DA18" w14:textId="77777777" w:rsidR="00700137" w:rsidRPr="00EC6C19" w:rsidRDefault="00700137" w:rsidP="00F31D6C">
            <w:pPr>
              <w:spacing w:line="360" w:lineRule="auto"/>
              <w:jc w:val="center"/>
              <w:rPr>
                <w:rFonts w:ascii="Times New Roman" w:hAnsi="Times New Roman" w:cs="Times New Roman"/>
                <w:sz w:val="24"/>
                <w:szCs w:val="24"/>
              </w:rPr>
            </w:pPr>
          </w:p>
        </w:tc>
        <w:tc>
          <w:tcPr>
            <w:tcW w:w="2394" w:type="dxa"/>
            <w:tcBorders>
              <w:bottom w:val="single" w:sz="18" w:space="0" w:color="000000" w:themeColor="text1"/>
            </w:tcBorders>
            <w:shd w:val="clear" w:color="auto" w:fill="F2F2F2" w:themeFill="background1" w:themeFillShade="F2"/>
          </w:tcPr>
          <w:p w14:paraId="44696E03" w14:textId="77777777"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Difference</w:t>
            </w:r>
          </w:p>
        </w:tc>
      </w:tr>
      <w:tr w:rsidR="00700137" w:rsidRPr="00EC6C19" w14:paraId="270E6A05" w14:textId="77777777" w:rsidTr="00F31D6C">
        <w:tc>
          <w:tcPr>
            <w:tcW w:w="2394" w:type="dxa"/>
            <w:tcBorders>
              <w:top w:val="single" w:sz="18" w:space="0" w:color="000000" w:themeColor="text1"/>
            </w:tcBorders>
            <w:shd w:val="clear" w:color="auto" w:fill="FFFFFF" w:themeFill="background1"/>
          </w:tcPr>
          <w:p w14:paraId="04B833C1" w14:textId="77777777" w:rsidR="00700137" w:rsidRPr="00EC6C19" w:rsidRDefault="00700137" w:rsidP="00F31D6C">
            <w:pPr>
              <w:spacing w:line="360" w:lineRule="auto"/>
              <w:jc w:val="center"/>
              <w:rPr>
                <w:rFonts w:ascii="Times New Roman" w:hAnsi="Times New Roman" w:cs="Times New Roman"/>
                <w:b/>
                <w:sz w:val="24"/>
                <w:szCs w:val="24"/>
              </w:rPr>
            </w:pPr>
          </w:p>
          <w:p w14:paraId="29A616C8" w14:textId="77777777" w:rsidR="00700137" w:rsidRPr="00EC6C19" w:rsidRDefault="00700137" w:rsidP="00F31D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LMS to RCA Ostium</w:t>
            </w:r>
          </w:p>
        </w:tc>
        <w:tc>
          <w:tcPr>
            <w:tcW w:w="2394" w:type="dxa"/>
            <w:tcBorders>
              <w:top w:val="single" w:sz="18" w:space="0" w:color="000000" w:themeColor="text1"/>
            </w:tcBorders>
            <w:shd w:val="clear" w:color="auto" w:fill="FFFFFF" w:themeFill="background1"/>
          </w:tcPr>
          <w:p w14:paraId="63C4BBD0" w14:textId="77777777" w:rsidR="00700137" w:rsidRPr="00EC6C19" w:rsidRDefault="00700137" w:rsidP="00F31D6C">
            <w:pPr>
              <w:spacing w:line="360" w:lineRule="auto"/>
              <w:jc w:val="center"/>
              <w:rPr>
                <w:rFonts w:ascii="Times New Roman" w:hAnsi="Times New Roman" w:cs="Times New Roman"/>
                <w:sz w:val="24"/>
                <w:szCs w:val="24"/>
              </w:rPr>
            </w:pPr>
          </w:p>
          <w:p w14:paraId="0D660D82" w14:textId="75A5F728"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23.8</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tcBorders>
              <w:top w:val="single" w:sz="18" w:space="0" w:color="000000" w:themeColor="text1"/>
            </w:tcBorders>
            <w:shd w:val="clear" w:color="auto" w:fill="FFFFFF" w:themeFill="background1"/>
          </w:tcPr>
          <w:p w14:paraId="1F20D9C5" w14:textId="77777777" w:rsidR="00700137" w:rsidRPr="00EC6C19" w:rsidRDefault="00700137" w:rsidP="00F31D6C">
            <w:pPr>
              <w:spacing w:line="360" w:lineRule="auto"/>
              <w:jc w:val="center"/>
              <w:rPr>
                <w:rFonts w:ascii="Times New Roman" w:hAnsi="Times New Roman" w:cs="Times New Roman"/>
                <w:sz w:val="24"/>
                <w:szCs w:val="24"/>
              </w:rPr>
            </w:pPr>
          </w:p>
          <w:p w14:paraId="4A4F0E1E" w14:textId="7B07A9B2"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25</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tcBorders>
              <w:top w:val="single" w:sz="18" w:space="0" w:color="000000" w:themeColor="text1"/>
            </w:tcBorders>
            <w:shd w:val="clear" w:color="auto" w:fill="FFFFFF" w:themeFill="background1"/>
          </w:tcPr>
          <w:p w14:paraId="55DD6D8A" w14:textId="77777777" w:rsidR="00700137" w:rsidRPr="00EC6C19" w:rsidRDefault="00700137" w:rsidP="00F31D6C">
            <w:pPr>
              <w:spacing w:line="360" w:lineRule="auto"/>
              <w:jc w:val="center"/>
              <w:rPr>
                <w:rFonts w:ascii="Times New Roman" w:hAnsi="Times New Roman" w:cs="Times New Roman"/>
                <w:sz w:val="24"/>
                <w:szCs w:val="24"/>
              </w:rPr>
            </w:pPr>
          </w:p>
          <w:p w14:paraId="2AC01C67" w14:textId="70060EB7"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1.2</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r>
      <w:tr w:rsidR="00700137" w:rsidRPr="00EC6C19" w14:paraId="7EBA06F2" w14:textId="77777777" w:rsidTr="002B6F51">
        <w:tc>
          <w:tcPr>
            <w:tcW w:w="2394" w:type="dxa"/>
            <w:shd w:val="clear" w:color="auto" w:fill="FFFFFF" w:themeFill="background1"/>
          </w:tcPr>
          <w:p w14:paraId="6F060A0B" w14:textId="77777777" w:rsidR="00700137" w:rsidRPr="00EC6C19" w:rsidRDefault="00700137" w:rsidP="00F31D6C">
            <w:pPr>
              <w:spacing w:line="360" w:lineRule="auto"/>
              <w:jc w:val="center"/>
              <w:rPr>
                <w:rFonts w:ascii="Times New Roman" w:hAnsi="Times New Roman" w:cs="Times New Roman"/>
                <w:b/>
                <w:sz w:val="24"/>
                <w:szCs w:val="24"/>
              </w:rPr>
            </w:pPr>
          </w:p>
          <w:p w14:paraId="55BC4C18" w14:textId="77777777" w:rsidR="00700137" w:rsidRPr="00EC6C19" w:rsidRDefault="00700137" w:rsidP="00F31D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LMS to Distal LAD</w:t>
            </w:r>
          </w:p>
        </w:tc>
        <w:tc>
          <w:tcPr>
            <w:tcW w:w="2394" w:type="dxa"/>
            <w:shd w:val="clear" w:color="auto" w:fill="FFFFFF" w:themeFill="background1"/>
          </w:tcPr>
          <w:p w14:paraId="33C0178D" w14:textId="77777777" w:rsidR="00700137" w:rsidRPr="00EC6C19" w:rsidRDefault="00700137" w:rsidP="00F31D6C">
            <w:pPr>
              <w:spacing w:line="360" w:lineRule="auto"/>
              <w:jc w:val="center"/>
              <w:rPr>
                <w:rFonts w:ascii="Times New Roman" w:hAnsi="Times New Roman" w:cs="Times New Roman"/>
                <w:sz w:val="24"/>
                <w:szCs w:val="24"/>
              </w:rPr>
            </w:pPr>
          </w:p>
          <w:p w14:paraId="6B54461A" w14:textId="336F88D4"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52.5</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1B123109" w14:textId="77777777" w:rsidR="00700137" w:rsidRPr="00EC6C19" w:rsidRDefault="00700137" w:rsidP="00F31D6C">
            <w:pPr>
              <w:spacing w:line="360" w:lineRule="auto"/>
              <w:jc w:val="center"/>
              <w:rPr>
                <w:rFonts w:ascii="Times New Roman" w:hAnsi="Times New Roman" w:cs="Times New Roman"/>
                <w:sz w:val="24"/>
                <w:szCs w:val="24"/>
              </w:rPr>
            </w:pPr>
          </w:p>
          <w:p w14:paraId="23EFD4CD" w14:textId="58E0FAB7"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49</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42C38E98" w14:textId="77777777" w:rsidR="00700137" w:rsidRPr="00EC6C19" w:rsidRDefault="00700137" w:rsidP="00F31D6C">
            <w:pPr>
              <w:spacing w:line="360" w:lineRule="auto"/>
              <w:jc w:val="center"/>
              <w:rPr>
                <w:rFonts w:ascii="Times New Roman" w:hAnsi="Times New Roman" w:cs="Times New Roman"/>
                <w:sz w:val="24"/>
                <w:szCs w:val="24"/>
              </w:rPr>
            </w:pPr>
          </w:p>
          <w:p w14:paraId="63423A0E" w14:textId="49FF262E"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3.5</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r>
      <w:tr w:rsidR="00700137" w:rsidRPr="00EC6C19" w14:paraId="30531C0D" w14:textId="77777777" w:rsidTr="002B6F51">
        <w:tc>
          <w:tcPr>
            <w:tcW w:w="2394" w:type="dxa"/>
            <w:shd w:val="clear" w:color="auto" w:fill="FFFFFF" w:themeFill="background1"/>
          </w:tcPr>
          <w:p w14:paraId="41A96647" w14:textId="77777777" w:rsidR="00700137" w:rsidRPr="00EC6C19" w:rsidRDefault="00700137" w:rsidP="00F31D6C">
            <w:pPr>
              <w:spacing w:line="360" w:lineRule="auto"/>
              <w:jc w:val="center"/>
              <w:rPr>
                <w:rFonts w:ascii="Times New Roman" w:hAnsi="Times New Roman" w:cs="Times New Roman"/>
                <w:b/>
                <w:sz w:val="24"/>
                <w:szCs w:val="24"/>
              </w:rPr>
            </w:pPr>
          </w:p>
          <w:p w14:paraId="1AC58F15" w14:textId="77777777" w:rsidR="00700137" w:rsidRPr="00EC6C19" w:rsidRDefault="00700137" w:rsidP="00F31D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LMS to Distal Cx</w:t>
            </w:r>
          </w:p>
        </w:tc>
        <w:tc>
          <w:tcPr>
            <w:tcW w:w="2394" w:type="dxa"/>
            <w:shd w:val="clear" w:color="auto" w:fill="FFFFFF" w:themeFill="background1"/>
          </w:tcPr>
          <w:p w14:paraId="280ED194" w14:textId="77777777" w:rsidR="00700137" w:rsidRPr="00EC6C19" w:rsidRDefault="00700137" w:rsidP="00F31D6C">
            <w:pPr>
              <w:spacing w:line="360" w:lineRule="auto"/>
              <w:jc w:val="center"/>
              <w:rPr>
                <w:rFonts w:ascii="Times New Roman" w:hAnsi="Times New Roman" w:cs="Times New Roman"/>
                <w:sz w:val="24"/>
                <w:szCs w:val="24"/>
              </w:rPr>
            </w:pPr>
          </w:p>
          <w:p w14:paraId="5B8AD00A" w14:textId="5C689B89"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33.6</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775BEF17" w14:textId="77777777" w:rsidR="00700137" w:rsidRPr="00EC6C19" w:rsidRDefault="00700137" w:rsidP="00F31D6C">
            <w:pPr>
              <w:spacing w:line="360" w:lineRule="auto"/>
              <w:jc w:val="center"/>
              <w:rPr>
                <w:rFonts w:ascii="Times New Roman" w:hAnsi="Times New Roman" w:cs="Times New Roman"/>
                <w:sz w:val="24"/>
                <w:szCs w:val="24"/>
              </w:rPr>
            </w:pPr>
          </w:p>
          <w:p w14:paraId="1CF02EEF" w14:textId="3423B508"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39</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454537C1" w14:textId="77777777" w:rsidR="00700137" w:rsidRPr="00EC6C19" w:rsidRDefault="00700137" w:rsidP="00F31D6C">
            <w:pPr>
              <w:spacing w:line="360" w:lineRule="auto"/>
              <w:jc w:val="center"/>
              <w:rPr>
                <w:rFonts w:ascii="Times New Roman" w:hAnsi="Times New Roman" w:cs="Times New Roman"/>
                <w:sz w:val="24"/>
                <w:szCs w:val="24"/>
              </w:rPr>
            </w:pPr>
          </w:p>
          <w:p w14:paraId="0B78B20C" w14:textId="58E4BAB6"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5.4</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r>
      <w:tr w:rsidR="00700137" w:rsidRPr="00EC6C19" w14:paraId="32A8EB0D" w14:textId="77777777" w:rsidTr="002B6F51">
        <w:tc>
          <w:tcPr>
            <w:tcW w:w="2394" w:type="dxa"/>
            <w:shd w:val="clear" w:color="auto" w:fill="FFFFFF" w:themeFill="background1"/>
          </w:tcPr>
          <w:p w14:paraId="7F67E035" w14:textId="77777777" w:rsidR="00700137" w:rsidRPr="00EC6C19" w:rsidRDefault="00700137" w:rsidP="00F31D6C">
            <w:pPr>
              <w:spacing w:line="360" w:lineRule="auto"/>
              <w:jc w:val="center"/>
              <w:rPr>
                <w:rFonts w:ascii="Times New Roman" w:hAnsi="Times New Roman" w:cs="Times New Roman"/>
                <w:b/>
                <w:sz w:val="24"/>
                <w:szCs w:val="24"/>
              </w:rPr>
            </w:pPr>
          </w:p>
          <w:p w14:paraId="4F114804" w14:textId="77777777" w:rsidR="00700137" w:rsidRPr="00EC6C19" w:rsidRDefault="00700137" w:rsidP="00F31D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Ostial RCA to Distal PLV</w:t>
            </w:r>
          </w:p>
        </w:tc>
        <w:tc>
          <w:tcPr>
            <w:tcW w:w="2394" w:type="dxa"/>
            <w:shd w:val="clear" w:color="auto" w:fill="FFFFFF" w:themeFill="background1"/>
          </w:tcPr>
          <w:p w14:paraId="6504978B" w14:textId="77777777" w:rsidR="00700137" w:rsidRPr="00EC6C19" w:rsidRDefault="00700137" w:rsidP="00F31D6C">
            <w:pPr>
              <w:spacing w:line="360" w:lineRule="auto"/>
              <w:jc w:val="center"/>
              <w:rPr>
                <w:rFonts w:ascii="Times New Roman" w:hAnsi="Times New Roman" w:cs="Times New Roman"/>
                <w:sz w:val="24"/>
                <w:szCs w:val="24"/>
              </w:rPr>
            </w:pPr>
          </w:p>
          <w:p w14:paraId="7C36A462" w14:textId="59DBCAE8"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57.4</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574D2B3A" w14:textId="77777777" w:rsidR="00700137" w:rsidRPr="00EC6C19" w:rsidRDefault="00700137" w:rsidP="00F31D6C">
            <w:pPr>
              <w:spacing w:line="360" w:lineRule="auto"/>
              <w:jc w:val="center"/>
              <w:rPr>
                <w:rFonts w:ascii="Times New Roman" w:hAnsi="Times New Roman" w:cs="Times New Roman"/>
                <w:sz w:val="24"/>
                <w:szCs w:val="24"/>
              </w:rPr>
            </w:pPr>
          </w:p>
          <w:p w14:paraId="46803200" w14:textId="60040A9C"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26</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3F0B1359" w14:textId="77777777" w:rsidR="00700137" w:rsidRPr="00EC6C19" w:rsidRDefault="00700137" w:rsidP="00F31D6C">
            <w:pPr>
              <w:spacing w:line="360" w:lineRule="auto"/>
              <w:jc w:val="center"/>
              <w:rPr>
                <w:rFonts w:ascii="Times New Roman" w:hAnsi="Times New Roman" w:cs="Times New Roman"/>
                <w:sz w:val="24"/>
                <w:szCs w:val="24"/>
              </w:rPr>
            </w:pPr>
          </w:p>
          <w:p w14:paraId="26F22602" w14:textId="1617E4D5"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31.4</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r>
      <w:tr w:rsidR="00700137" w:rsidRPr="00EC6C19" w14:paraId="6071140B" w14:textId="77777777" w:rsidTr="002B6F51">
        <w:tc>
          <w:tcPr>
            <w:tcW w:w="2394" w:type="dxa"/>
            <w:shd w:val="clear" w:color="auto" w:fill="FFFFFF" w:themeFill="background1"/>
          </w:tcPr>
          <w:p w14:paraId="154E20C6" w14:textId="77777777" w:rsidR="00700137" w:rsidRPr="00EC6C19" w:rsidRDefault="00700137" w:rsidP="00F31D6C">
            <w:pPr>
              <w:spacing w:line="360" w:lineRule="auto"/>
              <w:jc w:val="center"/>
              <w:rPr>
                <w:rFonts w:ascii="Times New Roman" w:hAnsi="Times New Roman" w:cs="Times New Roman"/>
                <w:b/>
                <w:sz w:val="24"/>
                <w:szCs w:val="24"/>
              </w:rPr>
            </w:pPr>
          </w:p>
          <w:p w14:paraId="714C179B" w14:textId="77777777" w:rsidR="00700137" w:rsidRPr="00EC6C19" w:rsidRDefault="00700137" w:rsidP="00F31D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Ostial RCA to Distal PDA</w:t>
            </w:r>
          </w:p>
        </w:tc>
        <w:tc>
          <w:tcPr>
            <w:tcW w:w="2394" w:type="dxa"/>
            <w:shd w:val="clear" w:color="auto" w:fill="FFFFFF" w:themeFill="background1"/>
          </w:tcPr>
          <w:p w14:paraId="0F3280AF" w14:textId="77777777" w:rsidR="00700137" w:rsidRPr="00EC6C19" w:rsidRDefault="00700137" w:rsidP="00F31D6C">
            <w:pPr>
              <w:spacing w:line="360" w:lineRule="auto"/>
              <w:jc w:val="center"/>
              <w:rPr>
                <w:rFonts w:ascii="Times New Roman" w:hAnsi="Times New Roman" w:cs="Times New Roman"/>
                <w:sz w:val="24"/>
                <w:szCs w:val="24"/>
              </w:rPr>
            </w:pPr>
          </w:p>
          <w:p w14:paraId="1F7F784B" w14:textId="2DB270E8"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18.3</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783689FE" w14:textId="77777777" w:rsidR="00700137" w:rsidRPr="00EC6C19" w:rsidRDefault="00700137" w:rsidP="00F31D6C">
            <w:pPr>
              <w:spacing w:line="360" w:lineRule="auto"/>
              <w:jc w:val="center"/>
              <w:rPr>
                <w:rFonts w:ascii="Times New Roman" w:hAnsi="Times New Roman" w:cs="Times New Roman"/>
                <w:sz w:val="24"/>
                <w:szCs w:val="24"/>
              </w:rPr>
            </w:pPr>
          </w:p>
          <w:p w14:paraId="5F58D0AE" w14:textId="31A25098"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38</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6D4A8357" w14:textId="77777777" w:rsidR="00700137" w:rsidRPr="00EC6C19" w:rsidRDefault="00700137" w:rsidP="00F31D6C">
            <w:pPr>
              <w:spacing w:line="360" w:lineRule="auto"/>
              <w:jc w:val="center"/>
              <w:rPr>
                <w:rFonts w:ascii="Times New Roman" w:hAnsi="Times New Roman" w:cs="Times New Roman"/>
                <w:sz w:val="24"/>
                <w:szCs w:val="24"/>
              </w:rPr>
            </w:pPr>
          </w:p>
          <w:p w14:paraId="5E9DA288" w14:textId="3AFAA8AB"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19.7</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r>
      <w:tr w:rsidR="00700137" w:rsidRPr="00EC6C19" w14:paraId="4071EB80" w14:textId="77777777" w:rsidTr="002B6F51">
        <w:tc>
          <w:tcPr>
            <w:tcW w:w="2394" w:type="dxa"/>
            <w:shd w:val="clear" w:color="auto" w:fill="FFFFFF" w:themeFill="background1"/>
          </w:tcPr>
          <w:p w14:paraId="6D1AE5A0" w14:textId="77777777" w:rsidR="00700137" w:rsidRPr="00EC6C19" w:rsidRDefault="00700137" w:rsidP="00F31D6C">
            <w:pPr>
              <w:spacing w:line="360" w:lineRule="auto"/>
              <w:jc w:val="center"/>
              <w:rPr>
                <w:rFonts w:ascii="Times New Roman" w:hAnsi="Times New Roman" w:cs="Times New Roman"/>
                <w:b/>
                <w:sz w:val="24"/>
                <w:szCs w:val="24"/>
              </w:rPr>
            </w:pPr>
          </w:p>
          <w:p w14:paraId="3BE82017" w14:textId="77777777" w:rsidR="00700137" w:rsidRPr="00EC6C19" w:rsidRDefault="00700137" w:rsidP="00F31D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Distal PDA to Distal PLV</w:t>
            </w:r>
          </w:p>
          <w:p w14:paraId="5323DAA9" w14:textId="77777777" w:rsidR="00700137" w:rsidRPr="00EC6C19" w:rsidRDefault="00700137" w:rsidP="00F31D6C">
            <w:pPr>
              <w:spacing w:line="360" w:lineRule="auto"/>
              <w:jc w:val="center"/>
              <w:rPr>
                <w:rFonts w:ascii="Times New Roman" w:hAnsi="Times New Roman" w:cs="Times New Roman"/>
                <w:b/>
                <w:sz w:val="24"/>
                <w:szCs w:val="24"/>
              </w:rPr>
            </w:pPr>
          </w:p>
        </w:tc>
        <w:tc>
          <w:tcPr>
            <w:tcW w:w="2394" w:type="dxa"/>
            <w:shd w:val="clear" w:color="auto" w:fill="FFFFFF" w:themeFill="background1"/>
          </w:tcPr>
          <w:p w14:paraId="21886A1A" w14:textId="77777777" w:rsidR="00700137" w:rsidRPr="00EC6C19" w:rsidRDefault="00700137" w:rsidP="00F31D6C">
            <w:pPr>
              <w:spacing w:line="360" w:lineRule="auto"/>
              <w:jc w:val="center"/>
              <w:rPr>
                <w:rFonts w:ascii="Times New Roman" w:hAnsi="Times New Roman" w:cs="Times New Roman"/>
                <w:sz w:val="24"/>
                <w:szCs w:val="24"/>
              </w:rPr>
            </w:pPr>
          </w:p>
          <w:p w14:paraId="095B1FB8" w14:textId="3D256C9B"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75.7</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07DC9922" w14:textId="77777777" w:rsidR="00700137" w:rsidRPr="00EC6C19" w:rsidRDefault="00700137" w:rsidP="00F31D6C">
            <w:pPr>
              <w:spacing w:line="360" w:lineRule="auto"/>
              <w:jc w:val="center"/>
              <w:rPr>
                <w:rFonts w:ascii="Times New Roman" w:hAnsi="Times New Roman" w:cs="Times New Roman"/>
                <w:sz w:val="24"/>
                <w:szCs w:val="24"/>
              </w:rPr>
            </w:pPr>
          </w:p>
          <w:p w14:paraId="34EB652D" w14:textId="5FC450E5"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65</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c>
          <w:tcPr>
            <w:tcW w:w="2394" w:type="dxa"/>
            <w:shd w:val="clear" w:color="auto" w:fill="FFFFFF" w:themeFill="background1"/>
          </w:tcPr>
          <w:p w14:paraId="45952F30" w14:textId="77777777" w:rsidR="00700137" w:rsidRPr="00EC6C19" w:rsidRDefault="00700137" w:rsidP="00F31D6C">
            <w:pPr>
              <w:spacing w:line="360" w:lineRule="auto"/>
              <w:jc w:val="center"/>
              <w:rPr>
                <w:rFonts w:ascii="Times New Roman" w:hAnsi="Times New Roman" w:cs="Times New Roman"/>
                <w:sz w:val="24"/>
                <w:szCs w:val="24"/>
              </w:rPr>
            </w:pPr>
          </w:p>
          <w:p w14:paraId="074014FD" w14:textId="09605230" w:rsidR="00700137" w:rsidRPr="00EC6C19" w:rsidRDefault="00700137"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10.7</w:t>
            </w:r>
            <w:r w:rsidR="001000E7">
              <w:rPr>
                <w:rFonts w:ascii="Times New Roman" w:hAnsi="Times New Roman" w:cs="Times New Roman"/>
                <w:sz w:val="24"/>
                <w:szCs w:val="24"/>
              </w:rPr>
              <w:t xml:space="preserve"> </w:t>
            </w:r>
            <w:r w:rsidRPr="00EC6C19">
              <w:rPr>
                <w:rFonts w:ascii="Times New Roman" w:hAnsi="Times New Roman" w:cs="Times New Roman"/>
                <w:sz w:val="24"/>
                <w:szCs w:val="24"/>
              </w:rPr>
              <w:t>mm</w:t>
            </w:r>
          </w:p>
        </w:tc>
      </w:tr>
    </w:tbl>
    <w:p w14:paraId="6D64732D" w14:textId="77777777" w:rsidR="00541FAC" w:rsidRPr="00EC6C19" w:rsidRDefault="00541FAC" w:rsidP="00700137">
      <w:pPr>
        <w:spacing w:line="360" w:lineRule="auto"/>
        <w:rPr>
          <w:rFonts w:ascii="Times New Roman" w:hAnsi="Times New Roman" w:cs="Times New Roman"/>
          <w:i/>
          <w:sz w:val="24"/>
          <w:szCs w:val="24"/>
        </w:rPr>
      </w:pPr>
    </w:p>
    <w:p w14:paraId="41A371D8" w14:textId="77777777" w:rsidR="00700137" w:rsidRPr="007F2FD6" w:rsidRDefault="007F2FD6" w:rsidP="007F2FD6">
      <w:pPr>
        <w:pStyle w:val="Caption"/>
        <w:spacing w:line="360" w:lineRule="auto"/>
        <w:rPr>
          <w:rFonts w:ascii="Times New Roman" w:hAnsi="Times New Roman" w:cs="Times New Roman"/>
          <w:b w:val="0"/>
          <w:i/>
          <w:color w:val="auto"/>
          <w:sz w:val="24"/>
          <w:szCs w:val="24"/>
        </w:rPr>
      </w:pPr>
      <w:bookmarkStart w:id="91" w:name="_Toc44962583"/>
      <w:r w:rsidRPr="007F2FD6">
        <w:rPr>
          <w:rFonts w:ascii="Times New Roman" w:hAnsi="Times New Roman" w:cs="Times New Roman"/>
          <w:b w:val="0"/>
          <w:i/>
          <w:color w:val="auto"/>
          <w:sz w:val="24"/>
          <w:szCs w:val="24"/>
        </w:rPr>
        <w:t xml:space="preserve">Table </w:t>
      </w:r>
      <w:r w:rsidR="00106A32" w:rsidRPr="007F2FD6">
        <w:rPr>
          <w:rFonts w:ascii="Times New Roman" w:hAnsi="Times New Roman" w:cs="Times New Roman"/>
          <w:b w:val="0"/>
          <w:i/>
          <w:color w:val="auto"/>
          <w:sz w:val="24"/>
          <w:szCs w:val="24"/>
        </w:rPr>
        <w:fldChar w:fldCharType="begin"/>
      </w:r>
      <w:r w:rsidRPr="007F2FD6">
        <w:rPr>
          <w:rFonts w:ascii="Times New Roman" w:hAnsi="Times New Roman" w:cs="Times New Roman"/>
          <w:b w:val="0"/>
          <w:i/>
          <w:color w:val="auto"/>
          <w:sz w:val="24"/>
          <w:szCs w:val="24"/>
        </w:rPr>
        <w:instrText xml:space="preserve"> SEQ Table \* ARABIC </w:instrText>
      </w:r>
      <w:r w:rsidR="00106A32" w:rsidRPr="007F2FD6">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7</w:t>
      </w:r>
      <w:r w:rsidR="00106A32" w:rsidRPr="007F2FD6">
        <w:rPr>
          <w:rFonts w:ascii="Times New Roman" w:hAnsi="Times New Roman" w:cs="Times New Roman"/>
          <w:b w:val="0"/>
          <w:i/>
          <w:color w:val="auto"/>
          <w:sz w:val="24"/>
          <w:szCs w:val="24"/>
        </w:rPr>
        <w:fldChar w:fldCharType="end"/>
      </w:r>
      <w:r w:rsidRPr="007F2FD6">
        <w:rPr>
          <w:rFonts w:ascii="Times New Roman" w:hAnsi="Times New Roman" w:cs="Times New Roman"/>
          <w:b w:val="0"/>
          <w:i/>
          <w:color w:val="auto"/>
          <w:sz w:val="24"/>
          <w:szCs w:val="24"/>
        </w:rPr>
        <w:t xml:space="preserve"> - Al-Janabi vs. Härle CT data. </w:t>
      </w:r>
      <w:r w:rsidR="00700137" w:rsidRPr="007F2FD6">
        <w:rPr>
          <w:rFonts w:ascii="Times New Roman" w:hAnsi="Times New Roman" w:cs="Times New Roman"/>
          <w:b w:val="0"/>
          <w:i/>
          <w:color w:val="auto"/>
          <w:sz w:val="24"/>
          <w:szCs w:val="24"/>
        </w:rPr>
        <w:t>Height difference between various coronary points calculated using CT coronary angiography</w:t>
      </w:r>
      <w:r w:rsidRPr="007F2FD6">
        <w:rPr>
          <w:rFonts w:ascii="Times New Roman" w:hAnsi="Times New Roman" w:cs="Times New Roman"/>
          <w:b w:val="0"/>
          <w:i/>
          <w:color w:val="auto"/>
          <w:sz w:val="24"/>
          <w:szCs w:val="24"/>
        </w:rPr>
        <w:t>.</w:t>
      </w:r>
      <w:bookmarkEnd w:id="91"/>
    </w:p>
    <w:p w14:paraId="365345E8" w14:textId="77777777" w:rsidR="00700137" w:rsidRPr="00EC6C19" w:rsidRDefault="00700137" w:rsidP="00700137">
      <w:pPr>
        <w:spacing w:line="360" w:lineRule="auto"/>
        <w:rPr>
          <w:rFonts w:ascii="Times New Roman" w:hAnsi="Times New Roman" w:cs="Times New Roman"/>
          <w:sz w:val="24"/>
          <w:szCs w:val="24"/>
        </w:rPr>
      </w:pPr>
    </w:p>
    <w:p w14:paraId="33ADB856" w14:textId="77777777" w:rsidR="009E0E31" w:rsidRPr="00EC6C19" w:rsidRDefault="00700137" w:rsidP="00700137">
      <w:pPr>
        <w:spacing w:line="360" w:lineRule="auto"/>
        <w:rPr>
          <w:rFonts w:ascii="Times New Roman" w:hAnsi="Times New Roman" w:cs="Times New Roman"/>
          <w:sz w:val="24"/>
          <w:szCs w:val="24"/>
        </w:rPr>
      </w:pPr>
      <w:r w:rsidRPr="00EC6C19">
        <w:rPr>
          <w:rFonts w:ascii="Times New Roman" w:hAnsi="Times New Roman" w:cs="Times New Roman"/>
          <w:sz w:val="24"/>
          <w:szCs w:val="24"/>
        </w:rPr>
        <w:t>The measurements between LMS and RCA ostium, LMS to distal LAD and LMS to distal Cx were largely similar. There were however more pronounced differences in measurements between ostial RCA and distal PLV, and ostial RCA to distal PDA. There could be several reasons for this.</w:t>
      </w:r>
    </w:p>
    <w:p w14:paraId="2A859A07" w14:textId="41255429" w:rsidR="00700137" w:rsidRPr="00EC6C19" w:rsidRDefault="00700137" w:rsidP="0070013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 Firstly, inter-observer measurement variation could play a role in part of the difference seen. Secondly, contrast penetration to the distal PDA was not clearly seen in 15% of our CT scans, meaning an underestimation of the height variation in our dat</w:t>
      </w:r>
      <w:r w:rsidR="009E0E31" w:rsidRPr="00EC6C19">
        <w:rPr>
          <w:rFonts w:ascii="Times New Roman" w:hAnsi="Times New Roman" w:cs="Times New Roman"/>
          <w:sz w:val="24"/>
          <w:szCs w:val="24"/>
        </w:rPr>
        <w:t>a for this artery. Finally, our</w:t>
      </w:r>
      <w:r w:rsidRPr="00EC6C19">
        <w:rPr>
          <w:rFonts w:ascii="Times New Roman" w:hAnsi="Times New Roman" w:cs="Times New Roman"/>
          <w:sz w:val="24"/>
          <w:szCs w:val="24"/>
        </w:rPr>
        <w:t xml:space="preserve"> study demographic consisted of predominantly young female patients with normal aortic valves. The demographic of Härle's group, consisted predominantly of elderly patients with severe aortic stenosis. The calcification of the aortic valve </w:t>
      </w:r>
      <w:r w:rsidR="0072257F" w:rsidRPr="00EC6C19">
        <w:rPr>
          <w:rFonts w:ascii="Times New Roman" w:hAnsi="Times New Roman" w:cs="Times New Roman"/>
          <w:sz w:val="24"/>
          <w:szCs w:val="24"/>
        </w:rPr>
        <w:t xml:space="preserve">may </w:t>
      </w:r>
      <w:r w:rsidR="00B2719C" w:rsidRPr="00EC6C19">
        <w:rPr>
          <w:rFonts w:ascii="Times New Roman" w:hAnsi="Times New Roman" w:cs="Times New Roman"/>
          <w:sz w:val="24"/>
          <w:szCs w:val="24"/>
        </w:rPr>
        <w:t xml:space="preserve">alter coronary </w:t>
      </w:r>
      <w:r w:rsidR="0072257F" w:rsidRPr="00EC6C19">
        <w:rPr>
          <w:rFonts w:ascii="Times New Roman" w:hAnsi="Times New Roman" w:cs="Times New Roman"/>
          <w:sz w:val="24"/>
          <w:szCs w:val="24"/>
        </w:rPr>
        <w:t>position</w:t>
      </w:r>
      <w:r w:rsidRPr="00EC6C19">
        <w:rPr>
          <w:rFonts w:ascii="Times New Roman" w:hAnsi="Times New Roman" w:cs="Times New Roman"/>
          <w:sz w:val="24"/>
          <w:szCs w:val="24"/>
        </w:rPr>
        <w:t xml:space="preserve"> in these patients. One may also take into consideration </w:t>
      </w:r>
      <w:r w:rsidR="009E0E31" w:rsidRPr="00EC6C19">
        <w:rPr>
          <w:rFonts w:ascii="Times New Roman" w:hAnsi="Times New Roman" w:cs="Times New Roman"/>
          <w:sz w:val="24"/>
          <w:szCs w:val="24"/>
        </w:rPr>
        <w:t xml:space="preserve">other </w:t>
      </w:r>
      <w:r w:rsidRPr="00EC6C19">
        <w:rPr>
          <w:rFonts w:ascii="Times New Roman" w:hAnsi="Times New Roman" w:cs="Times New Roman"/>
          <w:sz w:val="24"/>
          <w:szCs w:val="24"/>
        </w:rPr>
        <w:t>factor</w:t>
      </w:r>
      <w:r w:rsidR="009E0E31" w:rsidRPr="00EC6C19">
        <w:rPr>
          <w:rFonts w:ascii="Times New Roman" w:hAnsi="Times New Roman" w:cs="Times New Roman"/>
          <w:sz w:val="24"/>
          <w:szCs w:val="24"/>
        </w:rPr>
        <w:t>s</w:t>
      </w:r>
      <w:r w:rsidRPr="00EC6C19">
        <w:rPr>
          <w:rFonts w:ascii="Times New Roman" w:hAnsi="Times New Roman" w:cs="Times New Roman"/>
          <w:sz w:val="24"/>
          <w:szCs w:val="24"/>
        </w:rPr>
        <w:t xml:space="preserve"> such as patient height, which may have </w:t>
      </w:r>
      <w:r w:rsidR="009E0E31" w:rsidRPr="00EC6C19">
        <w:rPr>
          <w:rFonts w:ascii="Times New Roman" w:hAnsi="Times New Roman" w:cs="Times New Roman"/>
          <w:sz w:val="24"/>
          <w:szCs w:val="24"/>
        </w:rPr>
        <w:t>varied</w:t>
      </w:r>
      <w:r w:rsidRPr="00EC6C19">
        <w:rPr>
          <w:rFonts w:ascii="Times New Roman" w:hAnsi="Times New Roman" w:cs="Times New Roman"/>
          <w:sz w:val="24"/>
          <w:szCs w:val="24"/>
        </w:rPr>
        <w:t xml:space="preserve"> between the two groups. </w:t>
      </w:r>
      <w:r w:rsidR="0071334B" w:rsidRPr="00EC6C19">
        <w:rPr>
          <w:rFonts w:ascii="Times New Roman" w:hAnsi="Times New Roman" w:cs="Times New Roman"/>
          <w:sz w:val="24"/>
          <w:szCs w:val="24"/>
        </w:rPr>
        <w:t>Unfortunately,</w:t>
      </w:r>
      <w:r w:rsidRPr="00EC6C19">
        <w:rPr>
          <w:rFonts w:ascii="Times New Roman" w:hAnsi="Times New Roman" w:cs="Times New Roman"/>
          <w:sz w:val="24"/>
          <w:szCs w:val="24"/>
        </w:rPr>
        <w:t xml:space="preserve"> this was not available for me to collect retrospectively</w:t>
      </w:r>
      <w:r w:rsidR="009E0E31" w:rsidRPr="00EC6C19">
        <w:rPr>
          <w:rFonts w:ascii="Times New Roman" w:hAnsi="Times New Roman" w:cs="Times New Roman"/>
          <w:sz w:val="24"/>
          <w:szCs w:val="24"/>
        </w:rPr>
        <w:t>.</w:t>
      </w:r>
    </w:p>
    <w:p w14:paraId="6272CFC3" w14:textId="501A8116" w:rsidR="009E0E31" w:rsidRPr="00EC6C19" w:rsidRDefault="00700137" w:rsidP="009E0E31">
      <w:pPr>
        <w:spacing w:line="360" w:lineRule="auto"/>
        <w:rPr>
          <w:rFonts w:ascii="Times New Roman" w:hAnsi="Times New Roman" w:cs="Times New Roman"/>
          <w:sz w:val="24"/>
          <w:szCs w:val="24"/>
        </w:rPr>
      </w:pPr>
      <w:r w:rsidRPr="00EC6C19">
        <w:rPr>
          <w:rFonts w:ascii="Times New Roman" w:hAnsi="Times New Roman" w:cs="Times New Roman"/>
          <w:sz w:val="24"/>
          <w:szCs w:val="24"/>
        </w:rPr>
        <w:t>Data from the dynamic pressure simulator in Härle's study also supported the predicted effect of changing Pa pressures. As Pa pressure fell below 100mmHg, there was a greater effect on Pd/Pa when altering Pd pressure (by changing vertical height in the simulator). The opposite was true when Pa pressure was above 100mmHg, with the same change in vertical height resulting in a lesser effec</w:t>
      </w:r>
      <w:r w:rsidR="00595D2F" w:rsidRPr="00EC6C19">
        <w:rPr>
          <w:rFonts w:ascii="Times New Roman" w:hAnsi="Times New Roman" w:cs="Times New Roman"/>
          <w:sz w:val="24"/>
          <w:szCs w:val="24"/>
        </w:rPr>
        <w:t xml:space="preserve">t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{"citationID":"5wpM14x7","properties":{"formattedCitation":"(H\\uc0\\u228{}rle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00D852FC" w:rsidRPr="00EC6C19">
        <w:rPr>
          <w:rFonts w:ascii="Times New Roman" w:hAnsi="Times New Roman" w:cs="Times New Roman"/>
          <w:sz w:val="24"/>
          <w:szCs w:val="24"/>
        </w:rPr>
        <w:t xml:space="preserve">(Härle </w:t>
      </w:r>
      <w:r w:rsidR="00B22321" w:rsidRPr="00EC6C19">
        <w:rPr>
          <w:rFonts w:ascii="Times New Roman" w:hAnsi="Times New Roman" w:cs="Times New Roman"/>
          <w:sz w:val="24"/>
          <w:szCs w:val="24"/>
        </w:rPr>
        <w:t>et al.,</w:t>
      </w:r>
      <w:r w:rsidR="00D852FC" w:rsidRPr="00EC6C19">
        <w:rPr>
          <w:rFonts w:ascii="Times New Roman" w:hAnsi="Times New Roman" w:cs="Times New Roman"/>
          <w:sz w:val="24"/>
          <w:szCs w:val="24"/>
        </w:rPr>
        <w:t xml:space="preserve"> 2017</w:t>
      </w:r>
      <w:r w:rsidR="00756A5E" w:rsidRPr="00EC6C19">
        <w:rPr>
          <w:rFonts w:ascii="Times New Roman" w:hAnsi="Times New Roman" w:cs="Times New Roman"/>
          <w:sz w:val="24"/>
          <w:szCs w:val="24"/>
        </w:rPr>
        <w:t>a</w:t>
      </w:r>
      <w:r w:rsidR="00D212BB"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authors state that the effect of hydrostatic pressure on FFR or Pd/Pa is inversely proportional to aortic pressure. </w:t>
      </w:r>
    </w:p>
    <w:p w14:paraId="69996825" w14:textId="77777777" w:rsidR="009E0E31" w:rsidRPr="00EC6C19" w:rsidRDefault="009E0E31" w:rsidP="009E0E31">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The mathematical model assumes a Pa pressure of 100, essentially meaning a change in Pd pressure cause the FFR to change by the same amount. A drop in distal pressure by 4mmHg, equates to a drop in FFR by 0.04, a drop in pressure by 2mmHg equates to a drop in FFR by 0.02.</w:t>
      </w:r>
    </w:p>
    <w:p w14:paraId="3D3D3A65" w14:textId="77777777" w:rsidR="007F2FD6" w:rsidRPr="007F2FD6" w:rsidRDefault="009E0E31" w:rsidP="009E0E31">
      <w:pPr>
        <w:spacing w:line="360" w:lineRule="auto"/>
        <w:rPr>
          <w:rFonts w:ascii="Times New Roman" w:hAnsi="Times New Roman" w:cs="Times New Roman"/>
          <w:sz w:val="24"/>
          <w:szCs w:val="24"/>
        </w:rPr>
      </w:pPr>
      <w:r w:rsidRPr="007F2FD6">
        <w:rPr>
          <w:rFonts w:ascii="Times New Roman" w:hAnsi="Times New Roman" w:cs="Times New Roman"/>
          <w:sz w:val="24"/>
          <w:szCs w:val="24"/>
        </w:rPr>
        <w:t xml:space="preserve">Table </w:t>
      </w:r>
      <w:r w:rsidR="007F2FD6" w:rsidRPr="007F2FD6">
        <w:rPr>
          <w:rFonts w:ascii="Times New Roman" w:hAnsi="Times New Roman" w:cs="Times New Roman"/>
          <w:sz w:val="24"/>
          <w:szCs w:val="24"/>
        </w:rPr>
        <w:t>2</w:t>
      </w:r>
      <w:r w:rsidRPr="007F2FD6">
        <w:rPr>
          <w:rFonts w:ascii="Times New Roman" w:hAnsi="Times New Roman" w:cs="Times New Roman"/>
          <w:sz w:val="24"/>
          <w:szCs w:val="24"/>
        </w:rPr>
        <w:t xml:space="preserve"> from section </w:t>
      </w:r>
      <w:r w:rsidR="007F2FD6" w:rsidRPr="007F2FD6">
        <w:rPr>
          <w:rFonts w:ascii="Times New Roman" w:hAnsi="Times New Roman" w:cs="Times New Roman"/>
          <w:sz w:val="24"/>
          <w:szCs w:val="24"/>
        </w:rPr>
        <w:t>1.15.3</w:t>
      </w:r>
      <w:r w:rsidR="00D852FC" w:rsidRPr="007F2FD6">
        <w:rPr>
          <w:rFonts w:ascii="Times New Roman" w:hAnsi="Times New Roman" w:cs="Times New Roman"/>
          <w:sz w:val="24"/>
          <w:szCs w:val="24"/>
        </w:rPr>
        <w:t xml:space="preserve"> </w:t>
      </w:r>
      <w:r w:rsidRPr="007F2FD6">
        <w:rPr>
          <w:rFonts w:ascii="Times New Roman" w:hAnsi="Times New Roman" w:cs="Times New Roman"/>
          <w:sz w:val="24"/>
          <w:szCs w:val="24"/>
        </w:rPr>
        <w:t>highlighted</w:t>
      </w:r>
      <w:r w:rsidRPr="00EC6C19">
        <w:rPr>
          <w:rFonts w:ascii="Times New Roman" w:hAnsi="Times New Roman" w:cs="Times New Roman"/>
          <w:sz w:val="24"/>
          <w:szCs w:val="24"/>
        </w:rPr>
        <w:t xml:space="preserve"> the importance of Pa pressure variation. The lower the Pa, the greater the change in Pd will affect FFR. </w:t>
      </w:r>
    </w:p>
    <w:p w14:paraId="70F5FE32" w14:textId="77777777" w:rsidR="00700137" w:rsidRPr="00EC6C19" w:rsidRDefault="009E0E31"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This has relevance to the study protocol, as resting measurements will also be collected. There may indeed be a difference between hydrostatic pressure </w:t>
      </w:r>
      <w:r w:rsidR="00B2719C" w:rsidRPr="00EC6C19">
        <w:rPr>
          <w:rFonts w:ascii="Times New Roman" w:hAnsi="Times New Roman" w:cs="Times New Roman"/>
          <w:sz w:val="24"/>
          <w:szCs w:val="24"/>
        </w:rPr>
        <w:t xml:space="preserve">effect </w:t>
      </w:r>
      <w:r w:rsidRPr="00EC6C19">
        <w:rPr>
          <w:rFonts w:ascii="Times New Roman" w:hAnsi="Times New Roman" w:cs="Times New Roman"/>
          <w:sz w:val="24"/>
          <w:szCs w:val="24"/>
        </w:rPr>
        <w:t>in resting indices (i.e. resting Pd/Pa</w:t>
      </w:r>
      <w:r w:rsidR="00D7215A" w:rsidRPr="00EC6C19">
        <w:rPr>
          <w:rFonts w:ascii="Times New Roman" w:hAnsi="Times New Roman" w:cs="Times New Roman"/>
          <w:sz w:val="24"/>
          <w:szCs w:val="24"/>
        </w:rPr>
        <w:t>/iFR</w:t>
      </w:r>
      <w:r w:rsidRPr="00EC6C19">
        <w:rPr>
          <w:rFonts w:ascii="Times New Roman" w:hAnsi="Times New Roman" w:cs="Times New Roman"/>
          <w:sz w:val="24"/>
          <w:szCs w:val="24"/>
        </w:rPr>
        <w:t>) and FFR, as resting indices will not have the effect of adenosine reducing blood pressure</w:t>
      </w:r>
      <w:r w:rsidR="00B2719C" w:rsidRPr="00EC6C19">
        <w:rPr>
          <w:rFonts w:ascii="Times New Roman" w:hAnsi="Times New Roman" w:cs="Times New Roman"/>
          <w:sz w:val="24"/>
          <w:szCs w:val="24"/>
        </w:rPr>
        <w:t xml:space="preserve"> and </w:t>
      </w:r>
      <w:r w:rsidR="00D7215A" w:rsidRPr="00EC6C19">
        <w:rPr>
          <w:rFonts w:ascii="Times New Roman" w:hAnsi="Times New Roman" w:cs="Times New Roman"/>
          <w:sz w:val="24"/>
          <w:szCs w:val="24"/>
        </w:rPr>
        <w:t xml:space="preserve">therefore </w:t>
      </w:r>
      <w:r w:rsidR="00B2719C" w:rsidRPr="00EC6C19">
        <w:rPr>
          <w:rFonts w:ascii="Times New Roman" w:hAnsi="Times New Roman" w:cs="Times New Roman"/>
          <w:sz w:val="24"/>
          <w:szCs w:val="24"/>
        </w:rPr>
        <w:t>a higher Pa value</w:t>
      </w:r>
      <w:r w:rsidRPr="00EC6C19">
        <w:rPr>
          <w:rFonts w:ascii="Times New Roman" w:hAnsi="Times New Roman" w:cs="Times New Roman"/>
          <w:sz w:val="24"/>
          <w:szCs w:val="24"/>
        </w:rPr>
        <w:t>.</w:t>
      </w:r>
    </w:p>
    <w:p w14:paraId="2825A546" w14:textId="77777777" w:rsidR="00D07228" w:rsidRPr="0019652D" w:rsidRDefault="0019652D" w:rsidP="0019652D">
      <w:pPr>
        <w:pStyle w:val="Heading3"/>
        <w:rPr>
          <w:rFonts w:ascii="Times New Roman" w:hAnsi="Times New Roman" w:cs="Times New Roman"/>
          <w:b w:val="0"/>
          <w:i/>
          <w:color w:val="auto"/>
          <w:sz w:val="24"/>
          <w:szCs w:val="24"/>
        </w:rPr>
      </w:pPr>
      <w:bookmarkStart w:id="92" w:name="_Toc80302212"/>
      <w:r w:rsidRPr="0019652D">
        <w:rPr>
          <w:rFonts w:ascii="Times New Roman" w:hAnsi="Times New Roman" w:cs="Times New Roman"/>
          <w:b w:val="0"/>
          <w:i/>
          <w:color w:val="auto"/>
          <w:sz w:val="24"/>
          <w:szCs w:val="24"/>
        </w:rPr>
        <w:t xml:space="preserve">2.6.3 - </w:t>
      </w:r>
      <w:r w:rsidR="00D7215A" w:rsidRPr="0019652D">
        <w:rPr>
          <w:rFonts w:ascii="Times New Roman" w:hAnsi="Times New Roman" w:cs="Times New Roman"/>
          <w:b w:val="0"/>
          <w:i/>
          <w:color w:val="auto"/>
          <w:sz w:val="24"/>
          <w:szCs w:val="24"/>
        </w:rPr>
        <w:t>FFR Magnitude of E</w:t>
      </w:r>
      <w:r w:rsidR="00D07228" w:rsidRPr="0019652D">
        <w:rPr>
          <w:rFonts w:ascii="Times New Roman" w:hAnsi="Times New Roman" w:cs="Times New Roman"/>
          <w:b w:val="0"/>
          <w:i/>
          <w:color w:val="auto"/>
          <w:sz w:val="24"/>
          <w:szCs w:val="24"/>
        </w:rPr>
        <w:t>ffect</w:t>
      </w:r>
      <w:bookmarkEnd w:id="92"/>
      <w:r>
        <w:rPr>
          <w:rFonts w:ascii="Times New Roman" w:hAnsi="Times New Roman" w:cs="Times New Roman"/>
          <w:b w:val="0"/>
          <w:i/>
          <w:color w:val="auto"/>
          <w:sz w:val="24"/>
          <w:szCs w:val="24"/>
        </w:rPr>
        <w:br/>
      </w:r>
    </w:p>
    <w:p w14:paraId="4742317E" w14:textId="77777777" w:rsidR="00D7215A" w:rsidRPr="00EC6C19" w:rsidRDefault="00D7215A" w:rsidP="00D07228">
      <w:pPr>
        <w:spacing w:line="360" w:lineRule="auto"/>
        <w:rPr>
          <w:rFonts w:ascii="Times New Roman" w:hAnsi="Times New Roman" w:cs="Times New Roman"/>
          <w:sz w:val="24"/>
          <w:szCs w:val="24"/>
        </w:rPr>
      </w:pPr>
    </w:p>
    <w:p w14:paraId="5171780D"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The magnitude of change (0.02-0.05) may seem small in relation to a possible FFR reading of 0-1.0. However, lesions can frequently circle the threshold of treatment (currently accepted as 0.8</w:t>
      </w:r>
      <w:r w:rsidR="00D7215A" w:rsidRPr="00EC6C19">
        <w:rPr>
          <w:rFonts w:ascii="Times New Roman" w:hAnsi="Times New Roman" w:cs="Times New Roman"/>
          <w:sz w:val="24"/>
          <w:szCs w:val="24"/>
        </w:rPr>
        <w:t xml:space="preserve"> for FFR</w:t>
      </w:r>
      <w:r w:rsidRPr="00EC6C19">
        <w:rPr>
          <w:rFonts w:ascii="Times New Roman" w:hAnsi="Times New Roman" w:cs="Times New Roman"/>
          <w:sz w:val="24"/>
          <w:szCs w:val="24"/>
        </w:rPr>
        <w:t>), meaning slight variations may impact clinical decision making</w:t>
      </w:r>
      <w:r w:rsidR="00D852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{"citationID":"5G3JjWI6","properties":{"formattedCitation":"(Montalescot et al., 2013)","plainCitation":"(Montalescot et al., 2013)","noteIndex":0},"citationItems":[{"id":397,"uris":["http://zotero.org/users/local/k67tNDdX/items/867NWPPL"],"uri":["http://zotero.org/users/local/k67tNDdX/items/867NWPPL"],"itemData":{"id":397,"type":"article-journal","abstract":"© The European Society of Cardiology 2013. All rights reserved. For permissions please email: journals.permissions@oup.comGuidelines, Angina pectoris, Myocardial ischaemia, Stable coronary artery disease, Risk factors, anti-ischaemic drugs, Coronary revascularization...Guidelines summarize and evaluate all evidence available, at the time of the writing process, on a particular issue with the aim of assisting physicians in selecting the best management strategies for an individual patient with a given condition, taking into account the impact on outcome, as well as the risk–benefit ratio of particular diagnostic or therapeutic means. Guidelines are not substitutes but are complements for textbooks, and cover the ESC Core Curriculum topics. Guidelines and recommendations should help physicians to make decisions in their daily practice: however, the final decisions concerning an individual patient must be made by the responsible physician(s).A great number of Guidelines have been issued in recent years by the...","container-title":"European Heart Journal","DOI":"10.1093/eurheartj/eht296","ISSN":"0195-668X","issue":"38","journalAbbreviation":"Eur Heart J","language":"en","page":"2949-3003","source":"academic.oup.com","title":"2013 ESC guidelines on the management of stable coronary artery diseaseThe Task Force on the management of stable coronary artery disease of the European Society of Cardiology","volume":"34","author":[{"family":"Montalescot","given":"Gilles"},{"family":"Sechtem","given":"Udo"},{"family":"Achenbach","given":"Stephan"},{"family":"Andreotti","given":"Felicita"},{"family":"Arden","given":"Chris"},{"family":"Budaj","given":"Andrzej"},{"family":"Bugiardini","given":"Raffaele"},{"family":"Crea","given":"Filippo"},{"family":"Cuisset","given":"Thomas"},{"family":"Di Mario","given":"Carlo"},{"family":"Ferreira","given":"J. Rafael"},{"family":"Gersh","given":"Bernard J."},{"family":"Gitt","given":"Anselm K."},{"family":"Hulot","given":"Jean-Sebastien"},{"family":"Marx","given":"Nikolaus"},{"family":"Opie","given":"Lionel H."},{"family":"Pfisterer","given":"Matthias"},{"family":"Prescott","given":"Eva"},{"family":"Ruschitzka","given":"Frank"},{"family":"Sabaté","given":"Manel"},{"family":"Senior","given":"Roxy"},{"family":"Taggart","given":"David Paul"},{"family":"Wall","given":"Van Der"},{"family":"E","given":"Ernst"},{"family":"Vrints","given":"Christiaan J. M."},{"family":"Zamorano","given":"Jose Luis"},{"family":"Achenbach","given":"Stephan"},{"family":"Baumgartner","given":"Helmut"},{"family":"Bax","given":"Jeroen J."},{"family":"Bueno","given":"Héctor"},{"family":"Dean","given":"Veronica"},{"family":"Deaton","given":"Christi"},{"family":"Erol","given":"Cetin"},{"family":"Fagard","given":"Robert"},{"family":"Ferrari","given":"Roberto"},{"family":"Hasdai","given":"David"},{"family":"Hoes","given":"Arno W."},{"family":"Kirchhof","given":"Paulus"},{"family":"Knuuti","given":"Juhani"},{"family":"Kolh","given":"Philippe"},{"family":"Lancellotti","given":"Patrizio"},{"family":"Linhart","given":"Ales"},{"family":"Nihoyannopoulos","given":"Petros"},{"family":"Piepoli","given":"Massimo F."},{"family":"Ponikowski","given":"Piotr"},{"family":"Sirnes","given":"Per Anton"},{"family":"Tamargo","given":"Juan Luis"},{"family":"Tendera","given":"Michal"},{"family":"Torbicki","given":"Adam"},{"family":"Wijns","given":"William"},{"family":"Windecker","given":"Stephan"},{"family":"Knuuti","given":"Juhani"},{"family":"Valgimigli","given":"Marco"},{"family":"Bueno","given":"Héctor"},{"family":"Claeys","given":"Marc J."},{"family":"Donner-Banzhoff","given":"Norbert"},{"family":"Erol","given":"Cetin"},{"family":"Frank","given":"Herbert"},{"family":"Funck-Brentano","given":"Christian"},{"family":"Gaemperli","given":"Oliver"},{"family":"Gonzalez-Juanatey","given":"José R."},{"family":"Hamilos","given":"Michalis"},{"family":"Hasdai","given":"David"},{"family":"Husted","given":"Steen"},{"family":"James","given":"Stefan K."},{"family":"Kervinen","given":"Kari"},{"family":"Kolh","given":"Philippe"},{"family":"Kristensen","given":"Steen Dalby"},{"family":"Lancellotti","given":"Patrizio"},{"family":"Maggioni","given":"Aldo Pietro"},{"family":"Piepoli","given":"Massimo F."},{"family":"Pries","given":"Axel R."},{"family":"Romeo","given":"Francesco"},{"family":"Rydén","given":"Lars"},{"family":"Simoons","given":"Maarten L."},{"family":"Sirnes","given":"Per Anton"},{"family":"Steg","given":"Ph Gabriel"},{"family":"Timmis","given":"Adam"},{"family":"Wijns","given":"William"},{"family":"Windecker","given":"Stephan"},{"family":"Yildirir","given":"Aylin"},{"family":"Zamorano","given":"Jose Luis"}],"issued":{"date-parts":[["2013",10,7]]}}}],"schema":"https://github.com/citation-style-language/schema/raw/master/csl-citation.json"}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 xml:space="preserve">(Montalescot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If one accepts a binary cut-off point, applying correction factors for height seen a substantial number of values change their classification from positive FFR values (&lt;0.8) to negative, and vice versa</w:t>
      </w:r>
      <w:r w:rsidR="00D7215A" w:rsidRPr="00EC6C19">
        <w:rPr>
          <w:rFonts w:ascii="Times New Roman" w:hAnsi="Times New Roman" w:cs="Times New Roman"/>
          <w:sz w:val="24"/>
          <w:szCs w:val="24"/>
        </w:rPr>
        <w:t xml:space="preserve">. </w:t>
      </w:r>
      <w:r w:rsidRPr="00EC6C19">
        <w:rPr>
          <w:rFonts w:ascii="Times New Roman" w:hAnsi="Times New Roman" w:cs="Times New Roman"/>
          <w:sz w:val="24"/>
          <w:szCs w:val="24"/>
        </w:rPr>
        <w:t>This alone could lead to a significant change in treatment for patients.</w:t>
      </w:r>
    </w:p>
    <w:p w14:paraId="09177D4B" w14:textId="23D6FAD1"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Many operators agree that treatment of a coronary stenosis is not a binary </w:t>
      </w:r>
      <w:r w:rsidR="0071334B" w:rsidRPr="00EC6C19">
        <w:rPr>
          <w:rFonts w:ascii="Times New Roman" w:hAnsi="Times New Roman" w:cs="Times New Roman"/>
          <w:sz w:val="24"/>
          <w:szCs w:val="24"/>
        </w:rPr>
        <w:t>decision and</w:t>
      </w:r>
      <w:r w:rsidRPr="00EC6C19">
        <w:rPr>
          <w:rFonts w:ascii="Times New Roman" w:hAnsi="Times New Roman" w:cs="Times New Roman"/>
          <w:sz w:val="24"/>
          <w:szCs w:val="24"/>
        </w:rPr>
        <w:t xml:space="preserve"> takes into account other clinical factors. The effect of hydrostatic effect on an artery, may need to be one of these identifiable factors.</w:t>
      </w:r>
    </w:p>
    <w:p w14:paraId="652E4F4E" w14:textId="77777777" w:rsidR="00D07228" w:rsidRPr="00EC6C19" w:rsidRDefault="00D07228" w:rsidP="00D07228">
      <w:pPr>
        <w:spacing w:line="360" w:lineRule="auto"/>
        <w:rPr>
          <w:rFonts w:ascii="Times New Roman" w:hAnsi="Times New Roman" w:cs="Times New Roman"/>
          <w:sz w:val="24"/>
          <w:szCs w:val="24"/>
        </w:rPr>
      </w:pPr>
    </w:p>
    <w:p w14:paraId="3CA551DB" w14:textId="77777777" w:rsidR="00D07228" w:rsidRPr="0019652D" w:rsidRDefault="0019652D" w:rsidP="0019652D">
      <w:pPr>
        <w:pStyle w:val="Heading3"/>
        <w:rPr>
          <w:rFonts w:ascii="Times New Roman" w:hAnsi="Times New Roman" w:cs="Times New Roman"/>
          <w:b w:val="0"/>
          <w:i/>
          <w:color w:val="auto"/>
          <w:sz w:val="24"/>
          <w:szCs w:val="24"/>
        </w:rPr>
      </w:pPr>
      <w:bookmarkStart w:id="93" w:name="_Toc80302213"/>
      <w:r w:rsidRPr="0019652D">
        <w:rPr>
          <w:rFonts w:ascii="Times New Roman" w:hAnsi="Times New Roman" w:cs="Times New Roman"/>
          <w:b w:val="0"/>
          <w:i/>
          <w:color w:val="auto"/>
          <w:sz w:val="24"/>
          <w:szCs w:val="24"/>
        </w:rPr>
        <w:t xml:space="preserve">2.6.4 - </w:t>
      </w:r>
      <w:r w:rsidR="00D7215A" w:rsidRPr="0019652D">
        <w:rPr>
          <w:rFonts w:ascii="Times New Roman" w:hAnsi="Times New Roman" w:cs="Times New Roman"/>
          <w:b w:val="0"/>
          <w:i/>
          <w:color w:val="auto"/>
          <w:sz w:val="24"/>
          <w:szCs w:val="24"/>
        </w:rPr>
        <w:t>Potential Impact on</w:t>
      </w:r>
      <w:r w:rsidR="00D07228" w:rsidRPr="0019652D">
        <w:rPr>
          <w:rFonts w:ascii="Times New Roman" w:hAnsi="Times New Roman" w:cs="Times New Roman"/>
          <w:b w:val="0"/>
          <w:i/>
          <w:color w:val="auto"/>
          <w:sz w:val="24"/>
          <w:szCs w:val="24"/>
        </w:rPr>
        <w:t xml:space="preserve"> Clinical Practice</w:t>
      </w:r>
      <w:bookmarkEnd w:id="93"/>
      <w:r>
        <w:rPr>
          <w:rFonts w:ascii="Times New Roman" w:hAnsi="Times New Roman" w:cs="Times New Roman"/>
          <w:b w:val="0"/>
          <w:i/>
          <w:color w:val="auto"/>
          <w:sz w:val="24"/>
          <w:szCs w:val="24"/>
        </w:rPr>
        <w:br/>
      </w:r>
    </w:p>
    <w:p w14:paraId="2D421554" w14:textId="77777777" w:rsidR="00700137" w:rsidRPr="00EC6C19" w:rsidRDefault="00700137" w:rsidP="00D07228">
      <w:pPr>
        <w:spacing w:line="360" w:lineRule="auto"/>
        <w:rPr>
          <w:rFonts w:ascii="Times New Roman" w:hAnsi="Times New Roman" w:cs="Times New Roman"/>
          <w:i/>
          <w:sz w:val="24"/>
          <w:szCs w:val="24"/>
          <w:u w:val="single"/>
        </w:rPr>
      </w:pPr>
    </w:p>
    <w:p w14:paraId="5B38F807" w14:textId="77777777" w:rsidR="00D07228" w:rsidRPr="00EC6C19" w:rsidRDefault="00D7215A"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A Pd/Pa above 1.0</w:t>
      </w:r>
      <w:r w:rsidR="00D07228" w:rsidRPr="00EC6C19">
        <w:rPr>
          <w:rFonts w:ascii="Times New Roman" w:hAnsi="Times New Roman" w:cs="Times New Roman"/>
          <w:sz w:val="24"/>
          <w:szCs w:val="24"/>
        </w:rPr>
        <w:t xml:space="preserve"> </w:t>
      </w:r>
      <w:r w:rsidRPr="00EC6C19">
        <w:rPr>
          <w:rFonts w:ascii="Times New Roman" w:hAnsi="Times New Roman" w:cs="Times New Roman"/>
          <w:sz w:val="24"/>
          <w:szCs w:val="24"/>
        </w:rPr>
        <w:t>has anecdotally been noticed at our institution by multiple operators, usually in the circumflex artery</w:t>
      </w:r>
      <w:r w:rsidR="00D07228" w:rsidRPr="00EC6C19">
        <w:rPr>
          <w:rFonts w:ascii="Times New Roman" w:hAnsi="Times New Roman" w:cs="Times New Roman"/>
          <w:sz w:val="24"/>
          <w:szCs w:val="24"/>
        </w:rPr>
        <w:t xml:space="preserve">. This observation is also described in the medical literature, especially in </w:t>
      </w:r>
      <w:r w:rsidR="00D07228" w:rsidRPr="00EC6C19">
        <w:rPr>
          <w:rFonts w:ascii="Times New Roman" w:hAnsi="Times New Roman" w:cs="Times New Roman"/>
          <w:sz w:val="24"/>
          <w:szCs w:val="24"/>
        </w:rPr>
        <w:lastRenderedPageBreak/>
        <w:t xml:space="preserve">mildly diseased or normal arteries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{"citationID":"jWmEjNv8","properties":{"formattedCitation":"(Nijjer et al., 2016)","plainCitation":"(Nijjer et al., 2016)","noteIndex":0},"citationItems":[{"id":522,"uris":["http://zotero.org/users/local/k67tNDdX/items/6Y6IR4GQ"],"uri":["http://zotero.org/users/local/k67tNDdX/items/6Y6IR4GQ"],"itemData":{"id":522,"type":"article-journal","abstract":"BACKGROUND: Our understanding of human coronary physiological behaviour is derived from animal models. We sought to describe physiological behaviour across a large collection of invasive pressure and flow velocity measurements, to provide a better understanding of the relationships between these physiological parameters and to evaluate the rationale for resting stenosis assessment.\nMETHODS AND RESULTS: Five hundred and sixty-seven simultaneous intracoronary pressure and flow velocity assessments from 301 patients were analysed for coronary flow velocity, trans-stenotic pressure gradient (TG), and microvascular resistance (MVR). Measurements were made during baseline and hyperaemic conditions. The whole cardiac cycle and the diastolic wave-free period were assessed. Stenoses were assessed according to fractional flow reserve (FFR) and quantitative coronary angiography DS%. With progressive worsening of stenoses, from unobstructed angiographic normal vessels to those with FFR ≤ 0.50, hyperaemic flow falls significantly from 45 to 19 cm/s, Ptrend &lt; 0.001 in a curvilinear pattern. Resting flow was unaffected by stenosis severity and was consistent across all strata of stenosis (Ptrend &gt; 0.05 for all). Trans-stenotic pressure gradient rose with stenosis severity for both rest and hyperaemic measures (Ptrend &lt; 0.001 for both). Microvascular resistance declines with stenosis severity under resting conditions (Ptrend &lt; 0.001), but was unchanged at hyperaemia (2.3 ± 1.1 mmHg/cm/s; Ptrend = 0.19).\nCONCLUSIONS: With progressive stenosis severity, TG rises. However, while hyperaemic flow falls significantly, resting coronary flow is maintained by compensatory reduction of MVR, demonstrating coronary auto-regulation. These data support the translation of coronary physiological concepts derived from animals to patients with coronary artery disease and furthermore, suggest that resting pressure indices can be used to detect the haemodynamic significance of coronary artery stenoses.","container-title":"European Heart Journal","DOI":"10.1093/eurheartj/ehv626","ISSN":"1522-9645","issue":"26","journalAbbreviation":"Eur. Heart J.","language":"eng","note":"PMID: 26612582\nPMCID: PMC4940452","page":"2069-2080","source":"PubMed","title":"Coronary pressure and flow relationships in humans: phasic analysis of normal and pathological vessels and the implications for stenosis assessment: a report from the Iberian-Dutch-English (IDEAL) collaborators","title-short":"Coronary pressure and flow relationships in humans","volume":"37","author":[{"family":"Nijjer","given":"Sukhjinder S."},{"family":"Waard","given":"Guus A.","non-dropping-particle":"de"},{"family":"Sen","given":"Sayan"},{"family":"Hoef","given":"Tim P.","non-dropping-particle":"van de"},{"family":"Petraco","given":"Ricardo"},{"family":"Echavarría-Pinto","given":"Mauro"},{"family":"Lavieren","given":"Martijn A.","non-dropping-particle":"van"},{"family":"Meuwissen","given":"Martijn"},{"family":"Danad","given":"Ibrahim"},{"family":"Knaapen","given":"Paul"},{"family":"Escaned","given":"Javier"},{"family":"Piek","given":"Jan J."},{"family":"Davies","given":"Justin E."},{"family":"Royen","given":"Niels","non-dropping-particle":"van"}],"issued":{"date-parts":[["2016",7,7]]}}}],"schema":"https://github.com/citation-style-language/schema/raw/master/csl-citation.json"}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(Nijjer et al., 2016)</w:t>
      </w:r>
      <w:r w:rsidR="00106A32" w:rsidRPr="00EC6C19">
        <w:rPr>
          <w:rFonts w:ascii="Times New Roman" w:hAnsi="Times New Roman" w:cs="Times New Roman"/>
          <w:sz w:val="24"/>
          <w:szCs w:val="24"/>
        </w:rPr>
        <w:fldChar w:fldCharType="end"/>
      </w:r>
      <w:r w:rsidR="00D07228" w:rsidRPr="00EC6C19">
        <w:rPr>
          <w:rFonts w:ascii="Times New Roman" w:hAnsi="Times New Roman" w:cs="Times New Roman"/>
          <w:sz w:val="24"/>
          <w:szCs w:val="24"/>
        </w:rPr>
        <w:t>. This is the result of the pressure sensor on the wire, lying inferiorly to the proximal pressure sensor. Pd is therefore greater than Pa, and the resulting value is greater than 1.0.</w:t>
      </w:r>
    </w:p>
    <w:p w14:paraId="33900D72" w14:textId="77777777" w:rsidR="00D07228"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Furthermore, the effect of hydrostatic pressure is seen</w:t>
      </w:r>
      <w:r w:rsidR="00D7215A" w:rsidRPr="00EC6C19">
        <w:rPr>
          <w:rFonts w:ascii="Times New Roman" w:hAnsi="Times New Roman" w:cs="Times New Roman"/>
          <w:sz w:val="24"/>
          <w:szCs w:val="24"/>
        </w:rPr>
        <w:t xml:space="preserve"> when comparing similar stenoses in superior and inferior arteries</w:t>
      </w:r>
      <w:r w:rsidRPr="00EC6C19">
        <w:rPr>
          <w:rFonts w:ascii="Times New Roman" w:hAnsi="Times New Roman" w:cs="Times New Roman"/>
          <w:sz w:val="24"/>
          <w:szCs w:val="24"/>
        </w:rPr>
        <w:t xml:space="preserve">. </w:t>
      </w:r>
      <w:r w:rsidR="00541FAC" w:rsidRPr="00EC6C19">
        <w:rPr>
          <w:rFonts w:ascii="Times New Roman" w:hAnsi="Times New Roman" w:cs="Times New Roman"/>
          <w:sz w:val="24"/>
          <w:szCs w:val="24"/>
        </w:rPr>
        <w:t>A</w:t>
      </w:r>
      <w:r w:rsidRPr="00EC6C19">
        <w:rPr>
          <w:rFonts w:ascii="Times New Roman" w:hAnsi="Times New Roman" w:cs="Times New Roman"/>
          <w:sz w:val="24"/>
          <w:szCs w:val="24"/>
        </w:rPr>
        <w:t xml:space="preserve">rteries that are positioned inferiorly </w:t>
      </w:r>
      <w:r w:rsidR="00541FAC" w:rsidRPr="00EC6C19">
        <w:rPr>
          <w:rFonts w:ascii="Times New Roman" w:hAnsi="Times New Roman" w:cs="Times New Roman"/>
          <w:sz w:val="24"/>
          <w:szCs w:val="24"/>
        </w:rPr>
        <w:t xml:space="preserve">had higher average FFR and iFR </w:t>
      </w:r>
      <w:r w:rsidRPr="00EC6C19">
        <w:rPr>
          <w:rFonts w:ascii="Times New Roman" w:hAnsi="Times New Roman" w:cs="Times New Roman"/>
          <w:sz w:val="24"/>
          <w:szCs w:val="24"/>
        </w:rPr>
        <w:t xml:space="preserve">values than those positioned superiorly, despite similar stenosis severities between the two groups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{"citationID":"GvSBOwu2","properties":{"formattedCitation":"(H\\uc0\\u228{}rle et al., 2017b)","plainCitation":"(Härle et al., 2017b)","dontUpdate":true,"noteIndex":0},"citationItems":[{"id":"Vqvua3Kd/FPBYDrpy","uris":["http://zotero.org/users/local/k67tNDdX/items/N52W2WNW"],"uri":["http://zotero.org/users/local/k67tNDdX/items/N52W2WNW"],"itemData":{"id":570,"type":"article-journal","abstract":"INTRODUCTION: Intracoronary pressure measurements have improved assessment of angiographic intermediate coronary stenoses. Methodically, pressure equalization and actual measurements are frequently performed at different height levels, depending on the particular coronary territory analyzed. Considering a hypothetical influence of hydrostatic pressure and the supine position of the patient, differences in the results of intracoronary measurements between anterior and posterior vessels seem likely. The purpose of this study was to compare the results of intracoronary pressure measurements between anterior and posterior coronary territories.\nMETHODS: Intracoronary pressure measurements of 214 coronary stenoses in 158 patients were analyzed. Fractional flow reserve (FFR) was measured in all stenosis and instantaneous wave-free ratio (iFR) in 197 stenoses in 144 patients.\nRESULTS: Both FFR (0.79 vs. 0.87, p &lt; 0.001) and iFR values (0.86 vs. 0.94, p &lt; 0.001) were significantly higher in posterior compared to anterior coronary vessels. Patients with only anterior or posterior lesions did not differ regarding clinical or lesion characteristics, in particular coronary stenosis severity (62.5 vs. 61.6 %, p = 0.27).\nCONCLUSIONS: Results of intracoronary measurements were systematically higher in the posterior coronary vessels when compared with anterior vessels. This phenomenon was independent of coronary stenosis severity or any clinical characteristics in our study population.","container-title":"Herz","DOI":"10.1007/s00059-016-4471-z","ISSN":"1615-6692","issue":"4","journalAbbreviation":"Herz","language":"eng","note":"PMID: 27582367","page":"395-402","source":"PubMed","title":"Intracoronary pressure measurement differences between anter</w:instrText>
      </w:r>
      <w:r w:rsidR="00E66794">
        <w:rPr>
          <w:rFonts w:ascii="Tahoma" w:hAnsi="Tahoma" w:cs="Tahoma"/>
          <w:sz w:val="24"/>
          <w:szCs w:val="24"/>
        </w:rPr>
        <w:instrText>﻿</w:instrText>
      </w:r>
      <w:r w:rsidR="00E66794">
        <w:rPr>
          <w:rFonts w:ascii="Times New Roman" w:hAnsi="Times New Roman" w:cs="Times New Roman"/>
          <w:sz w:val="24"/>
          <w:szCs w:val="24"/>
        </w:rPr>
        <w:instrText xml:space="preserve">ior and posterior coronary territories","volume":"42","author":[{"family":"Härle","given":"T."},{"family":"Meyer","given":"S."},{"family":"Bojara","given":"W."},{"family":"Vahldiek","given":"F."},{"family":"Elsässer","given":"A."}],"issued":{"date-parts":[["2017",6]]}}}],"schema":"https://github.com/citation-style-language/schema/raw/master/csl-citation.json"} </w:instrText>
      </w:r>
      <w:r w:rsidR="00106A32" w:rsidRPr="00EC6C19">
        <w:rPr>
          <w:rFonts w:ascii="Times New Roman" w:hAnsi="Times New Roman" w:cs="Times New Roman"/>
          <w:sz w:val="24"/>
          <w:szCs w:val="24"/>
        </w:rPr>
        <w:fldChar w:fldCharType="separate"/>
      </w:r>
      <w:r w:rsidR="001D685D" w:rsidRPr="00EC6C19">
        <w:rPr>
          <w:rFonts w:ascii="Times New Roman" w:hAnsi="Times New Roman" w:cs="Times New Roman"/>
          <w:sz w:val="24"/>
          <w:szCs w:val="24"/>
        </w:rPr>
        <w:t>(Härle et al., 2017</w:t>
      </w:r>
      <w:r w:rsidR="00106A32" w:rsidRPr="00EC6C19">
        <w:rPr>
          <w:rFonts w:ascii="Times New Roman" w:hAnsi="Times New Roman" w:cs="Times New Roman"/>
          <w:sz w:val="24"/>
          <w:szCs w:val="24"/>
        </w:rPr>
        <w:fldChar w:fldCharType="end"/>
      </w:r>
      <w:r w:rsidR="00DA1C73">
        <w:rPr>
          <w:rFonts w:ascii="Times New Roman" w:hAnsi="Times New Roman" w:cs="Times New Roman"/>
          <w:sz w:val="24"/>
          <w:szCs w:val="24"/>
        </w:rPr>
        <w:t>a</w:t>
      </w:r>
      <w:r w:rsidR="001D685D" w:rsidRPr="00EC6C19">
        <w:rPr>
          <w:rFonts w:ascii="Times New Roman" w:hAnsi="Times New Roman" w:cs="Times New Roman"/>
          <w:sz w:val="24"/>
          <w:szCs w:val="24"/>
        </w:rPr>
        <w:t>;</w:t>
      </w:r>
      <w:r w:rsidR="00DB1737"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600A1C">
        <w:rPr>
          <w:rFonts w:ascii="Times New Roman" w:hAnsi="Times New Roman" w:cs="Times New Roman"/>
          <w:sz w:val="24"/>
          <w:szCs w:val="24"/>
        </w:rPr>
        <w:instrText xml:space="preserve"> ADDIN ZOTERO_ITEM CSL_CITATION {"citationID":"ODIfgQPt","properties":{"formattedCitation":"(Davies et al., 2017)","plainCitation":"(Davies et al., 2017)","dontUpdate":true,"noteIndex":0},"citationItems":[{"id":712,"uris":["http://zotero.org/users/local/k67tNDdX/items/4LTV4UQP"],"uri":["http://zotero.org/users/local/k67tNDdX/items/4LTV4UQP"],"itemData":{"id":712,"type":"article-journal","abstract":"BACKGROUND: Coronary revascularization guided by fractional flow reserve (FFR) is associated with better patient outcomes after the procedure than revascularization guided by angiography alone. It is unknown whether the instantaneous wave-free ratio (iFR), an alternative measure that does not require the administration of adenosine, will offer benefits similar to those of FFR.\nMETHODS: We randomly assigned 2492 patients with coronary artery disease, in a 1:1 ratio, to undergo either iFR-guided or FFR-guided coronary revascularization. The primary end point was the 1-year risk of major adverse cardiac events, which were a composite of death from any cause, nonfatal myocardial infarction, or unplanned revascularization. The trial was designed to show the noninferiority of iFR to FFR, with a margin of 3.4 percentage points for the difference in risk.\nRESULTS: At 1 year, the primary end point had occurred in 78 of 1148 patients (6.8%) in the iFR group and in 83 of 1182 patients (7.0%) in the FFR group (difference in risk, -0.2 percentage points; 95% confidence interval [CI], -2.3 to 1.8; P&lt;0.001 for noninferiority; hazard ratio, 0.95; 95% CI, 0.68 to 1.33; P=0.78). The risk of each component of the primary end point and of death from cardiovascular or noncardiovascular causes did not differ significantly between the groups. The number of patients who had adverse procedural symptoms and clinical signs was significantly lower in the iFR group than in the FFR group (39 patients [3.1%] vs. 385 patients [30.8%], P&lt;0.001), and the median procedural time was significantly shorter (40.5 minutes vs. 45.0 minutes, P=0.001).\nCONCLUSIONS: Coronary revascularization guided by iFR was noninferior to revascularization guided by FFR with respect to the risk of major adverse cardiac events at 1 year. The rate of adverse procedural signs and symptoms was lower and the procedural time was shorter with iFR than with FFR. (Funded by Philips Volcano; DEFINE-FLAIR ClinicalTrials.gov number, NCT02053038 .).","container-title":"The New England Journal of Medicine","DOI":"10.1056/NEJMoa1700445","ISSN":"1533-4406","issue":"19","journalAbbreviation":"N. Engl. J. Med.","language":"eng","note":"PMID: 28317458","page":"1824-1834","source":"PubMed","title":"Use of the Instantaneous Wave-free Ratio or Fractional Flow Reserve in PCI","volume":"376","author":[{"family":"Davies","given":"Justin E."},{"family":"Sen","given":"Sayan"},{"family":"Dehbi","given":"Hakim-Moulay"},{"family":"Al-Lamee","given":"Rasha"},{"family":"Petraco","given":"Ricardo"},{"family":"Nijjer","given":"Sukhjinder S."},{"family":"Bhindi","given":"Ravinay"},{"family":"Lehman","given":"Sam J."},{"family":"Walters","given":"Darren"},{"family":"Sapontis","given":"James"},{"family":"Janssens","given":"Luc"},{"family":"Vrints","given":"Christiaan J."},{"family":"Khashaba","given":"Ahmed"},{"family":"Laine","given":"Mika"},{"family":"Van Belle","given":"Eric"},{"family":"Krackhardt","given":"Florian"},{"family":"Bojara","given":"Waldemar"},{"family":"Going","given":"Olaf"},{"family":"Härle","given":"Tobias"},{"family":"Indolfi","given":"Ciro"},{"family":"Niccoli","given":"Giampaolo"},{"family":"Ribichini","given":"Flavo"},{"family":"Tanaka","given":"Nobuhiro"},{"family":"Yokoi","given":"Hiroyoshi"},{"family":"Takashima","given":"Hiroaki"},{"family":"Kikuta","given":"Yuetsu"},{"family":"Erglis","given":"Andrejs"},{"family":"Vinhas","given":"Hugo"},{"family":"Canas Silva","given":"Pedro"},{"family":"Baptista","given":"Sérgio B."},{"family":"Alghamdi","given":"Ali"},{"family":"Hellig","given":"Farrel"},{"family":"Koo","given":"Bon-Kwon"},{"family":"Nam","given":"Chang-Wook"},{"family":"Shin","given":"Eun-Seok"},{"family":"Doh","given":"Joon-Hyung"},{"family":"Brugaletta","given":"Salvatore"},{"family":"Alegria-Barrero","given":"Eduardo"},{"family":"Meuwissen","given":"Martijin"},{"family":"Piek","given":"Jan J."},{"family":"Royen","given":"Niels","non-dropping-particle":"van"},{"family":"Sezer","given":"Murat"},{"family":"Di Mario","given":"Carlo"},{"family":"Gerber","given":"Robert T."},{"family":"Malik","given":"Iqbal S."},{"family":"Sharp","given":"Andrew S. P."},{"family":"Talwar","given":"Suneel"},{"family":"Tang","given":"Kare"},{"family":"Samady","given":"Habib"},{"family":"Altman","given":"John"},{"family":"Seto","given":"Arnold H."},{"family":"Singh","given":"Jasvindar"},{"family":"Jeremias","given":"Allen"},{"family":"Matsuo","given":"Hitoshi"},{"family":"Kharbanda","given":"Rajesh K."},{"family":"Patel","given":"Manesh R."},{"family":"Serruys","given":"Patrick"},{"family":"Escaned","given":"Javier"}],"issued":{"date-parts":[["2017"]],"season":"11"}}}],"schema":"https://github.com/citation-style-language/schema/raw/master/csl-citation.json"} </w:instrText>
      </w:r>
      <w:r w:rsidR="00106A32" w:rsidRPr="00EC6C19">
        <w:rPr>
          <w:rFonts w:ascii="Times New Roman" w:hAnsi="Times New Roman" w:cs="Times New Roman"/>
          <w:sz w:val="24"/>
          <w:szCs w:val="24"/>
        </w:rPr>
        <w:fldChar w:fldCharType="separate"/>
      </w:r>
      <w:r w:rsidR="004A32A5" w:rsidRPr="004A32A5">
        <w:rPr>
          <w:rFonts w:ascii="Times New Roman" w:hAnsi="Times New Roman" w:cs="Times New Roman"/>
          <w:sz w:val="24"/>
        </w:rPr>
        <w:t>Davies et al., 2017)</w:t>
      </w:r>
      <w:r w:rsidR="00106A32" w:rsidRPr="00EC6C19">
        <w:rPr>
          <w:rFonts w:ascii="Times New Roman" w:hAnsi="Times New Roman" w:cs="Times New Roman"/>
          <w:sz w:val="24"/>
          <w:szCs w:val="24"/>
        </w:rPr>
        <w:fldChar w:fldCharType="end"/>
      </w:r>
      <w:r w:rsidR="00D7215A"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B1737" w:rsidRPr="00EC6C19">
        <w:rPr>
          <w:rFonts w:ascii="Times New Roman" w:hAnsi="Times New Roman" w:cs="Times New Roman"/>
          <w:sz w:val="24"/>
          <w:szCs w:val="24"/>
        </w:rPr>
        <w:instrText xml:space="preserve"> ADDIN ZOTERO_ITEM CSL_CITATION {"citationID":"ylqKl6wT","properties":{"formattedCitation":"(Davies et al., 2017b)","plainCitation":"(Davies et al., 2017b)","dontUpdate":true,"noteIndex":0},"citationItems":[{"id":712,"uris":["http://zotero.org/users/local/k67tNDdX/items/4LTV4UQP"],"uri":["http://zotero.org/users/local/k67tNDdX/items/4LTV4UQP"],"itemData":{"id":712,"type":"article-journal","abstract":"BACKGROUND: Coronary revascularization guided by fractional flow reserve (FFR) is associated with better patient outcomes after the procedure than revascularization guided by angiography alone. It is unknown whether the instantaneous wave-free ratio (iFR), an alternative measure that does not require the administration of adenosine, will offer benefits similar to those of FFR.\nMETHODS: We randomly assigned 2492 patients with coronary artery disease, in a 1:1 ratio, to undergo either iFR-guided or FFR-guided coronary revascularization. The primary end point was the 1-year risk of major adverse cardiac events, which were a composite of death from any cause, nonfatal myocardial infarction, or unplanned revascularization. The trial was designed to show the noninferiority of iFR to FFR, with a margin of 3.4 percentage points for the difference in risk.\nRESULTS: At 1 year, the primary end point had occurred in 78 of 1148 patients (6.8%) in the iFR group and in 83 of 1182 patients (7.0%) in the FFR group (difference in risk, -0.2 percentage points; 95% confidence interval [CI], -2.3 to 1.8; P&lt;0.001 for noninferiority; hazard ratio, 0.95; 95% CI, 0.68 to 1.33; P=0.78). The risk of each component of the primary end point and of death from cardiovascular or noncardiovascular causes did not differ significantly between the groups. The number of patients who had adverse procedural symptoms and clinical signs was significantly lower in the iFR group than in the FFR group (39 patients [3.1%] vs. 385 patients [30.8%], P&lt;0.001), and the median procedural time was significantly shorter (40.5 minutes vs. 45.0 minutes, P=0.001).\nCONCLUSIONS: Coronary revascularization guided by iFR was noninferior to revascularization guided by FFR with respect to the risk of major adverse cardiac events at 1 year. The rate of adverse procedural signs and symptoms was lower and the procedural time was shorter with iFR than with FFR. (Funded by Philips Volcano; DEFINE-FLAIR ClinicalTrials.gov number, NCT02053038 .).","container-title":"The New England Journal of Medicine","DOI":"10.1056/NEJMoa1700445","ISSN":"1533-4406","issue":"19","journalAbbreviation":"N. Engl. J. Med.","language":"eng","note":"PMID: 28317458","page":"1824-1834","source":"PubMed","title":"Use of the Instantaneous Wave-free Ratio or Fractional Flow Reserve in PCI","volume":"376","author":[{"family":"Davies","given":"Justin E."},{"family":"Sen","given":"Sayan"},{"family":"Dehbi","given":"Hakim-Moulay"},{"family":"Al-Lamee","given":"Rasha"},{"family":"Petraco","given":"Ricardo"},{"family":"Nijjer","given":"Sukhjinder S."},{"family":"Bhindi","given":"Ravinay"},{"family":"Lehman","given":"Sam J."},{"family":"Walters","given":"Darren"},{"family":"Sapontis","given":"James"},{"family":"Janssens","given":"Luc"},{"family":"Vrints","given":"Christiaan J."},{"family":"Khashaba","given":"Ahmed"},{"family":"Laine","given":"Mika"},{"family":"Van Belle","given":"Eric"},{"family":"Krackhardt","given":"Florian"},{"family":"Bojara","given":"Waldemar"},{"family":"Going","given":"Olaf"},{"family":"Härle","given":"Tobias"},{"family":"Indolfi","given":"Ciro"},{"family":"Niccoli","given":"Giampaolo"},{"family":"Ribichini","given":"Flavo"},{"family":"Tanaka","given":"Nobuhiro"},{"family":"Yokoi","given":"Hiroyoshi"},{"family":"Takashima","given":"Hiroaki"},{"family":"Kikuta","given":"Yuetsu"},{"family":"Erglis","given":"Andrejs"},{"family":"Vinhas","given":"Hugo"},{"family":"Canas Silva","given":"Pedro"},{"family":"Baptista","given":"Sérgio B."},{"family":"Alghamdi","given":"Ali"},{"family":"Hellig","given":"Farrel"},{"family":"Koo","given":"Bon-Kwon"},{"family":"Nam","given":"Chang-Wook"},{"family":"Shin","given":"Eun-Seok"},{"family":"Doh","given":"Joon-Hyung"},{"family":"Brugaletta","given":"Salvatore"},{"family":"Alegria-Barrero","given":"Eduardo"},{"family":"Meuwissen","given":"Martijin"},{"family":"Piek","given":"Jan J."},{"family":"Royen","given":"Niels","non-dropping-particle":"van"},{"family":"Sezer","given":"Murat"},{"family":"Di Mario","given":"Carlo"},{"family":"Gerber","given":"Robert T."},{"family":"Malik","given":"Iqbal S."},{"family":"Sharp","given":"Andrew S. P."},{"family":"Talwar","given":"Suneel"},{"family":"Tang","given":"Kare"},{"family":"Samady","given":"Habib"},{"family":"Altman","given":"John"},{"family":"Seto","given":"Arnold H."},{"family":"Singh","given":"Jasvindar"},{"family":"Jeremias","given":"Allen"},{"family":"Matsuo","given":"Hitoshi"},{"family":"Kharbanda","given":"Rajesh K."},{"family":"Patel","given":"Manesh R."},{"family":"Serruys","given":"Patrick"},{"family":"Escaned","given":"Javier"}],"issued":{"date-parts":[["2017"]],"season":"11"}}}],"schema":"https://github.com/citation-style-language/schema/raw/master/csl-citation.json"} </w:instrTex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r w:rsidRPr="007F2FD6">
        <w:rPr>
          <w:rFonts w:ascii="Times New Roman" w:hAnsi="Times New Roman" w:cs="Times New Roman"/>
          <w:sz w:val="24"/>
          <w:szCs w:val="24"/>
        </w:rPr>
        <w:t xml:space="preserve">This is </w:t>
      </w:r>
      <w:r w:rsidR="00E4420D" w:rsidRPr="007F2FD6">
        <w:rPr>
          <w:rFonts w:ascii="Times New Roman" w:hAnsi="Times New Roman" w:cs="Times New Roman"/>
          <w:sz w:val="24"/>
          <w:szCs w:val="24"/>
        </w:rPr>
        <w:t>shown</w:t>
      </w:r>
      <w:r w:rsidRPr="007F2FD6">
        <w:rPr>
          <w:rFonts w:ascii="Times New Roman" w:hAnsi="Times New Roman" w:cs="Times New Roman"/>
          <w:sz w:val="24"/>
          <w:szCs w:val="24"/>
        </w:rPr>
        <w:t xml:space="preserve"> below (Table </w:t>
      </w:r>
      <w:r w:rsidR="007F2FD6" w:rsidRPr="007F2FD6">
        <w:rPr>
          <w:rFonts w:ascii="Times New Roman" w:hAnsi="Times New Roman" w:cs="Times New Roman"/>
          <w:sz w:val="24"/>
          <w:szCs w:val="24"/>
        </w:rPr>
        <w:t>8</w:t>
      </w:r>
      <w:r w:rsidRPr="007F2FD6">
        <w:rPr>
          <w:rFonts w:ascii="Times New Roman" w:hAnsi="Times New Roman" w:cs="Times New Roman"/>
          <w:sz w:val="24"/>
          <w:szCs w:val="24"/>
        </w:rPr>
        <w:t>).</w:t>
      </w:r>
      <w:r w:rsidRPr="00EC6C19">
        <w:rPr>
          <w:rFonts w:ascii="Times New Roman" w:hAnsi="Times New Roman" w:cs="Times New Roman"/>
          <w:sz w:val="24"/>
          <w:szCs w:val="24"/>
        </w:rPr>
        <w:t xml:space="preserve">  </w:t>
      </w:r>
    </w:p>
    <w:p w14:paraId="38608D48" w14:textId="77777777" w:rsidR="00816506" w:rsidRPr="00EC6C19" w:rsidRDefault="00816506" w:rsidP="00D07228">
      <w:pPr>
        <w:spacing w:line="360" w:lineRule="auto"/>
        <w:rPr>
          <w:rFonts w:ascii="Times New Roman" w:hAnsi="Times New Roman" w:cs="Times New Roman"/>
          <w:sz w:val="24"/>
          <w:szCs w:val="24"/>
        </w:rPr>
      </w:pPr>
    </w:p>
    <w:p w14:paraId="6B18C5D7" w14:textId="77777777" w:rsidR="00541FAC" w:rsidRPr="00EC6C19" w:rsidRDefault="00541FAC" w:rsidP="00D07228">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2346"/>
        <w:gridCol w:w="2344"/>
        <w:gridCol w:w="2335"/>
        <w:gridCol w:w="2335"/>
      </w:tblGrid>
      <w:tr w:rsidR="00D07228" w:rsidRPr="00EC6C19" w14:paraId="59DB5F44" w14:textId="77777777" w:rsidTr="00F31D6C">
        <w:tc>
          <w:tcPr>
            <w:tcW w:w="2394" w:type="dxa"/>
            <w:tcBorders>
              <w:bottom w:val="single" w:sz="18" w:space="0" w:color="000000" w:themeColor="text1"/>
            </w:tcBorders>
            <w:shd w:val="clear" w:color="auto" w:fill="F2F2F2" w:themeFill="background1" w:themeFillShade="F2"/>
          </w:tcPr>
          <w:p w14:paraId="306ABC46"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Artery Position When Supine</w:t>
            </w:r>
          </w:p>
        </w:tc>
        <w:tc>
          <w:tcPr>
            <w:tcW w:w="2394" w:type="dxa"/>
            <w:tcBorders>
              <w:bottom w:val="single" w:sz="18" w:space="0" w:color="000000" w:themeColor="text1"/>
            </w:tcBorders>
            <w:shd w:val="clear" w:color="auto" w:fill="F2F2F2" w:themeFill="background1" w:themeFillShade="F2"/>
          </w:tcPr>
          <w:p w14:paraId="09C583F4"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Stenosis %</w:t>
            </w:r>
          </w:p>
        </w:tc>
        <w:tc>
          <w:tcPr>
            <w:tcW w:w="2394" w:type="dxa"/>
            <w:tcBorders>
              <w:bottom w:val="single" w:sz="18" w:space="0" w:color="000000" w:themeColor="text1"/>
            </w:tcBorders>
            <w:shd w:val="clear" w:color="auto" w:fill="F2F2F2" w:themeFill="background1" w:themeFillShade="F2"/>
          </w:tcPr>
          <w:p w14:paraId="7963D5CB"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FFR</w:t>
            </w:r>
          </w:p>
        </w:tc>
        <w:tc>
          <w:tcPr>
            <w:tcW w:w="2394" w:type="dxa"/>
            <w:tcBorders>
              <w:bottom w:val="single" w:sz="18" w:space="0" w:color="000000" w:themeColor="text1"/>
            </w:tcBorders>
            <w:shd w:val="clear" w:color="auto" w:fill="F2F2F2" w:themeFill="background1" w:themeFillShade="F2"/>
          </w:tcPr>
          <w:p w14:paraId="060DC8C2"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iFR</w:t>
            </w:r>
          </w:p>
        </w:tc>
      </w:tr>
      <w:tr w:rsidR="00D07228" w:rsidRPr="00EC6C19" w14:paraId="35DE2AEA" w14:textId="77777777" w:rsidTr="00F31D6C">
        <w:tc>
          <w:tcPr>
            <w:tcW w:w="2394" w:type="dxa"/>
            <w:tcBorders>
              <w:top w:val="single" w:sz="18" w:space="0" w:color="000000" w:themeColor="text1"/>
            </w:tcBorders>
            <w:shd w:val="clear" w:color="auto" w:fill="FFFFFF" w:themeFill="background1"/>
          </w:tcPr>
          <w:p w14:paraId="4FE294A9" w14:textId="77777777" w:rsidR="00D07228" w:rsidRPr="00EC6C19" w:rsidRDefault="00D07228" w:rsidP="00F31D6C">
            <w:pPr>
              <w:spacing w:line="360" w:lineRule="auto"/>
              <w:jc w:val="center"/>
              <w:rPr>
                <w:rFonts w:ascii="Times New Roman" w:hAnsi="Times New Roman" w:cs="Times New Roman"/>
                <w:sz w:val="24"/>
                <w:szCs w:val="24"/>
              </w:rPr>
            </w:pPr>
          </w:p>
          <w:p w14:paraId="426DF2E2"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Superior</w:t>
            </w:r>
          </w:p>
          <w:p w14:paraId="0F0B99A0" w14:textId="77777777" w:rsidR="00D07228" w:rsidRPr="00EC6C19" w:rsidRDefault="00D07228" w:rsidP="00F31D6C">
            <w:pPr>
              <w:spacing w:line="360" w:lineRule="auto"/>
              <w:jc w:val="center"/>
              <w:rPr>
                <w:rFonts w:ascii="Times New Roman" w:hAnsi="Times New Roman" w:cs="Times New Roman"/>
                <w:sz w:val="24"/>
                <w:szCs w:val="24"/>
              </w:rPr>
            </w:pPr>
          </w:p>
        </w:tc>
        <w:tc>
          <w:tcPr>
            <w:tcW w:w="2394" w:type="dxa"/>
            <w:tcBorders>
              <w:top w:val="single" w:sz="18" w:space="0" w:color="000000" w:themeColor="text1"/>
            </w:tcBorders>
            <w:shd w:val="clear" w:color="auto" w:fill="FFFFFF" w:themeFill="background1"/>
          </w:tcPr>
          <w:p w14:paraId="4B115A94" w14:textId="77777777" w:rsidR="00D07228" w:rsidRPr="00EC6C19" w:rsidRDefault="00D07228" w:rsidP="00F31D6C">
            <w:pPr>
              <w:spacing w:line="360" w:lineRule="auto"/>
              <w:jc w:val="center"/>
              <w:rPr>
                <w:rFonts w:ascii="Times New Roman" w:hAnsi="Times New Roman" w:cs="Times New Roman"/>
                <w:sz w:val="24"/>
                <w:szCs w:val="24"/>
              </w:rPr>
            </w:pPr>
          </w:p>
          <w:p w14:paraId="73CCB63B"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61.6</w:t>
            </w:r>
          </w:p>
        </w:tc>
        <w:tc>
          <w:tcPr>
            <w:tcW w:w="2394" w:type="dxa"/>
            <w:tcBorders>
              <w:top w:val="single" w:sz="18" w:space="0" w:color="000000" w:themeColor="text1"/>
            </w:tcBorders>
            <w:shd w:val="clear" w:color="auto" w:fill="FFFFFF" w:themeFill="background1"/>
          </w:tcPr>
          <w:p w14:paraId="0F77E6CE" w14:textId="77777777" w:rsidR="00D07228" w:rsidRPr="00EC6C19" w:rsidRDefault="00D07228" w:rsidP="00F31D6C">
            <w:pPr>
              <w:spacing w:line="360" w:lineRule="auto"/>
              <w:jc w:val="center"/>
              <w:rPr>
                <w:rFonts w:ascii="Times New Roman" w:hAnsi="Times New Roman" w:cs="Times New Roman"/>
                <w:sz w:val="24"/>
                <w:szCs w:val="24"/>
              </w:rPr>
            </w:pPr>
          </w:p>
          <w:p w14:paraId="05DE1992"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0.79*</w:t>
            </w:r>
          </w:p>
        </w:tc>
        <w:tc>
          <w:tcPr>
            <w:tcW w:w="2394" w:type="dxa"/>
            <w:tcBorders>
              <w:top w:val="single" w:sz="18" w:space="0" w:color="000000" w:themeColor="text1"/>
            </w:tcBorders>
            <w:shd w:val="clear" w:color="auto" w:fill="FFFFFF" w:themeFill="background1"/>
          </w:tcPr>
          <w:p w14:paraId="3487BA60" w14:textId="77777777" w:rsidR="00D07228" w:rsidRPr="00EC6C19" w:rsidRDefault="00D07228" w:rsidP="00F31D6C">
            <w:pPr>
              <w:spacing w:line="360" w:lineRule="auto"/>
              <w:jc w:val="center"/>
              <w:rPr>
                <w:rFonts w:ascii="Times New Roman" w:hAnsi="Times New Roman" w:cs="Times New Roman"/>
                <w:sz w:val="24"/>
                <w:szCs w:val="24"/>
              </w:rPr>
            </w:pPr>
          </w:p>
          <w:p w14:paraId="5605C187"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w:t>
            </w:r>
          </w:p>
        </w:tc>
      </w:tr>
      <w:tr w:rsidR="00D07228" w:rsidRPr="00EC6C19" w14:paraId="64154E24" w14:textId="77777777" w:rsidTr="00541FAC">
        <w:tc>
          <w:tcPr>
            <w:tcW w:w="2394" w:type="dxa"/>
            <w:shd w:val="clear" w:color="auto" w:fill="FFFFFF" w:themeFill="background1"/>
          </w:tcPr>
          <w:p w14:paraId="272128CD" w14:textId="77777777" w:rsidR="00D07228" w:rsidRPr="00EC6C19" w:rsidRDefault="00D07228" w:rsidP="00F31D6C">
            <w:pPr>
              <w:spacing w:line="360" w:lineRule="auto"/>
              <w:jc w:val="center"/>
              <w:rPr>
                <w:rFonts w:ascii="Times New Roman" w:hAnsi="Times New Roman" w:cs="Times New Roman"/>
                <w:sz w:val="24"/>
                <w:szCs w:val="24"/>
              </w:rPr>
            </w:pPr>
          </w:p>
          <w:p w14:paraId="3E27197D"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Inferior</w:t>
            </w:r>
          </w:p>
          <w:p w14:paraId="7D09A227" w14:textId="77777777" w:rsidR="00D07228" w:rsidRPr="00EC6C19" w:rsidRDefault="00D07228" w:rsidP="00F31D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759EB8E3" w14:textId="77777777" w:rsidR="00D07228" w:rsidRPr="00EC6C19" w:rsidRDefault="00D07228" w:rsidP="00F31D6C">
            <w:pPr>
              <w:spacing w:line="360" w:lineRule="auto"/>
              <w:jc w:val="center"/>
              <w:rPr>
                <w:rFonts w:ascii="Times New Roman" w:hAnsi="Times New Roman" w:cs="Times New Roman"/>
                <w:sz w:val="24"/>
                <w:szCs w:val="24"/>
              </w:rPr>
            </w:pPr>
          </w:p>
          <w:p w14:paraId="6527CD15"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62.5</w:t>
            </w:r>
          </w:p>
        </w:tc>
        <w:tc>
          <w:tcPr>
            <w:tcW w:w="2394" w:type="dxa"/>
            <w:shd w:val="clear" w:color="auto" w:fill="FFFFFF" w:themeFill="background1"/>
          </w:tcPr>
          <w:p w14:paraId="42F378C5" w14:textId="77777777" w:rsidR="00D07228" w:rsidRPr="00EC6C19" w:rsidRDefault="00D07228" w:rsidP="00F31D6C">
            <w:pPr>
              <w:spacing w:line="360" w:lineRule="auto"/>
              <w:jc w:val="center"/>
              <w:rPr>
                <w:rFonts w:ascii="Times New Roman" w:hAnsi="Times New Roman" w:cs="Times New Roman"/>
                <w:sz w:val="24"/>
                <w:szCs w:val="24"/>
              </w:rPr>
            </w:pPr>
          </w:p>
          <w:p w14:paraId="116CE4C0"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0.87*</w:t>
            </w:r>
          </w:p>
        </w:tc>
        <w:tc>
          <w:tcPr>
            <w:tcW w:w="2394" w:type="dxa"/>
            <w:shd w:val="clear" w:color="auto" w:fill="FFFFFF" w:themeFill="background1"/>
          </w:tcPr>
          <w:p w14:paraId="199062A8" w14:textId="77777777" w:rsidR="00D07228" w:rsidRPr="00EC6C19" w:rsidRDefault="00D07228" w:rsidP="00F31D6C">
            <w:pPr>
              <w:spacing w:line="360" w:lineRule="auto"/>
              <w:jc w:val="center"/>
              <w:rPr>
                <w:rFonts w:ascii="Times New Roman" w:hAnsi="Times New Roman" w:cs="Times New Roman"/>
                <w:sz w:val="24"/>
                <w:szCs w:val="24"/>
              </w:rPr>
            </w:pPr>
          </w:p>
          <w:p w14:paraId="532596C1" w14:textId="77777777" w:rsidR="00D07228" w:rsidRPr="00EC6C19" w:rsidRDefault="00D07228" w:rsidP="00F31D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0.94*</w:t>
            </w:r>
          </w:p>
        </w:tc>
      </w:tr>
    </w:tbl>
    <w:p w14:paraId="2063A7BA" w14:textId="77777777" w:rsidR="00541FAC" w:rsidRPr="00EC6C19" w:rsidRDefault="00541FAC" w:rsidP="00D07228">
      <w:pPr>
        <w:spacing w:line="360" w:lineRule="auto"/>
        <w:rPr>
          <w:rFonts w:ascii="Times New Roman" w:hAnsi="Times New Roman" w:cs="Times New Roman"/>
          <w:i/>
          <w:sz w:val="24"/>
          <w:szCs w:val="24"/>
        </w:rPr>
      </w:pPr>
    </w:p>
    <w:p w14:paraId="2A264C95" w14:textId="77777777" w:rsidR="00D07228" w:rsidRPr="007F2FD6" w:rsidRDefault="007F2FD6" w:rsidP="007F2FD6">
      <w:pPr>
        <w:pStyle w:val="Caption"/>
        <w:spacing w:line="360" w:lineRule="auto"/>
        <w:rPr>
          <w:rFonts w:ascii="Times New Roman" w:hAnsi="Times New Roman" w:cs="Times New Roman"/>
          <w:b w:val="0"/>
          <w:i/>
          <w:color w:val="auto"/>
          <w:sz w:val="24"/>
          <w:szCs w:val="24"/>
        </w:rPr>
      </w:pPr>
      <w:bookmarkStart w:id="94" w:name="_Toc44962584"/>
      <w:r w:rsidRPr="007F2FD6">
        <w:rPr>
          <w:rFonts w:ascii="Times New Roman" w:hAnsi="Times New Roman" w:cs="Times New Roman"/>
          <w:b w:val="0"/>
          <w:i/>
          <w:color w:val="auto"/>
          <w:sz w:val="24"/>
          <w:szCs w:val="24"/>
        </w:rPr>
        <w:t xml:space="preserve">Table </w:t>
      </w:r>
      <w:r w:rsidR="00106A32" w:rsidRPr="007F2FD6">
        <w:rPr>
          <w:rFonts w:ascii="Times New Roman" w:hAnsi="Times New Roman" w:cs="Times New Roman"/>
          <w:b w:val="0"/>
          <w:i/>
          <w:color w:val="auto"/>
          <w:sz w:val="24"/>
          <w:szCs w:val="24"/>
        </w:rPr>
        <w:fldChar w:fldCharType="begin"/>
      </w:r>
      <w:r w:rsidRPr="007F2FD6">
        <w:rPr>
          <w:rFonts w:ascii="Times New Roman" w:hAnsi="Times New Roman" w:cs="Times New Roman"/>
          <w:b w:val="0"/>
          <w:i/>
          <w:color w:val="auto"/>
          <w:sz w:val="24"/>
          <w:szCs w:val="24"/>
        </w:rPr>
        <w:instrText xml:space="preserve"> SEQ Table \* ARABIC </w:instrText>
      </w:r>
      <w:r w:rsidR="00106A32" w:rsidRPr="007F2FD6">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8</w:t>
      </w:r>
      <w:r w:rsidR="00106A32" w:rsidRPr="007F2FD6">
        <w:rPr>
          <w:rFonts w:ascii="Times New Roman" w:hAnsi="Times New Roman" w:cs="Times New Roman"/>
          <w:b w:val="0"/>
          <w:i/>
          <w:color w:val="auto"/>
          <w:sz w:val="24"/>
          <w:szCs w:val="24"/>
        </w:rPr>
        <w:fldChar w:fldCharType="end"/>
      </w:r>
      <w:r w:rsidRPr="007F2FD6">
        <w:rPr>
          <w:rFonts w:ascii="Times New Roman" w:hAnsi="Times New Roman" w:cs="Times New Roman"/>
          <w:b w:val="0"/>
          <w:i/>
          <w:color w:val="auto"/>
          <w:sz w:val="24"/>
          <w:szCs w:val="24"/>
        </w:rPr>
        <w:t xml:space="preserve"> - Superior vs. Inferior Stenosis Position - effect on iFR and FFR. </w:t>
      </w:r>
      <w:r w:rsidR="00D07228" w:rsidRPr="007F2FD6">
        <w:rPr>
          <w:rFonts w:ascii="Times New Roman" w:hAnsi="Times New Roman" w:cs="Times New Roman"/>
          <w:b w:val="0"/>
          <w:i/>
          <w:color w:val="auto"/>
          <w:sz w:val="24"/>
          <w:szCs w:val="24"/>
        </w:rPr>
        <w:t>Superior vs. Inferior anatomically positioned arteries in a group of 214 coronary stenoses. The % stenoses were very similar but FFR and iFR measurements were significantly higher in those arteries positioned inferiorly, supporting the theory of hydrostatic pressure effects.</w:t>
      </w:r>
      <w:bookmarkEnd w:id="94"/>
    </w:p>
    <w:p w14:paraId="1A54CAF2" w14:textId="77777777" w:rsidR="00D07228" w:rsidRPr="00EC6C19" w:rsidRDefault="00D07228" w:rsidP="00D07228">
      <w:pPr>
        <w:spacing w:line="360" w:lineRule="auto"/>
        <w:rPr>
          <w:rFonts w:ascii="Times New Roman" w:hAnsi="Times New Roman" w:cs="Times New Roman"/>
          <w:i/>
          <w:sz w:val="24"/>
          <w:szCs w:val="24"/>
        </w:rPr>
      </w:pPr>
    </w:p>
    <w:p w14:paraId="41FA5F16"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 xml:space="preserve">In daily practice therefore, the position of the wire in the distal coronary artery may have clinical importance, and potentially affect the FFR by up to 0.05, assuming a Pa pressure of 100. </w:t>
      </w:r>
    </w:p>
    <w:p w14:paraId="3D1E992C" w14:textId="77777777" w:rsidR="00D07228" w:rsidRPr="00EC6C19" w:rsidRDefault="00D07228" w:rsidP="00D07228">
      <w:pPr>
        <w:spacing w:line="360" w:lineRule="auto"/>
        <w:rPr>
          <w:rFonts w:ascii="Times New Roman" w:hAnsi="Times New Roman" w:cs="Times New Roman"/>
          <w:sz w:val="24"/>
          <w:szCs w:val="24"/>
        </w:rPr>
      </w:pPr>
    </w:p>
    <w:p w14:paraId="59E70014" w14:textId="77777777" w:rsidR="00D07228" w:rsidRPr="0019652D" w:rsidRDefault="0019652D" w:rsidP="0019652D">
      <w:pPr>
        <w:pStyle w:val="Heading3"/>
        <w:rPr>
          <w:rFonts w:ascii="Times New Roman" w:hAnsi="Times New Roman" w:cs="Times New Roman"/>
          <w:b w:val="0"/>
          <w:i/>
          <w:color w:val="auto"/>
          <w:sz w:val="24"/>
          <w:szCs w:val="24"/>
        </w:rPr>
      </w:pPr>
      <w:bookmarkStart w:id="95" w:name="_Toc80302214"/>
      <w:r w:rsidRPr="0019652D">
        <w:rPr>
          <w:rFonts w:ascii="Times New Roman" w:hAnsi="Times New Roman" w:cs="Times New Roman"/>
          <w:b w:val="0"/>
          <w:i/>
          <w:color w:val="auto"/>
          <w:sz w:val="24"/>
          <w:szCs w:val="24"/>
        </w:rPr>
        <w:t xml:space="preserve">2.6.5 - </w:t>
      </w:r>
      <w:r w:rsidR="00D07228" w:rsidRPr="0019652D">
        <w:rPr>
          <w:rFonts w:ascii="Times New Roman" w:hAnsi="Times New Roman" w:cs="Times New Roman"/>
          <w:b w:val="0"/>
          <w:i/>
          <w:color w:val="auto"/>
          <w:sz w:val="24"/>
          <w:szCs w:val="24"/>
        </w:rPr>
        <w:t>PDA vs. PLV Wire Placement - A Clinical Case Example</w:t>
      </w:r>
      <w:bookmarkEnd w:id="95"/>
      <w:r>
        <w:rPr>
          <w:rFonts w:ascii="Times New Roman" w:hAnsi="Times New Roman" w:cs="Times New Roman"/>
          <w:b w:val="0"/>
          <w:i/>
          <w:color w:val="auto"/>
          <w:sz w:val="24"/>
          <w:szCs w:val="24"/>
        </w:rPr>
        <w:br/>
      </w:r>
    </w:p>
    <w:p w14:paraId="0DFAE9F8" w14:textId="77777777" w:rsidR="006565A1" w:rsidRPr="00EC6C19" w:rsidRDefault="006565A1" w:rsidP="00D07228">
      <w:pPr>
        <w:spacing w:line="360" w:lineRule="auto"/>
        <w:rPr>
          <w:rFonts w:ascii="Times New Roman" w:hAnsi="Times New Roman" w:cs="Times New Roman"/>
          <w:i/>
          <w:sz w:val="24"/>
          <w:szCs w:val="24"/>
          <w:u w:val="single"/>
        </w:rPr>
      </w:pPr>
    </w:p>
    <w:p w14:paraId="6DEE7561" w14:textId="77777777" w:rsidR="00E4420D" w:rsidRPr="00EC6C19" w:rsidRDefault="00E4420D" w:rsidP="00E4420D">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PDA to PLV distance was shown to be relatively large in both Härle's data and my own (65mm and 75.7mm respectively). These branches bifurcate from the main RCA at the crux. Wire position in either branch is usually an arbitrary decision in a stenosis at or proximal to the crux. </w:t>
      </w:r>
      <w:r w:rsidR="005E08FD" w:rsidRPr="00EC6C19">
        <w:rPr>
          <w:rFonts w:ascii="Times New Roman" w:hAnsi="Times New Roman" w:cs="Times New Roman"/>
          <w:sz w:val="24"/>
          <w:szCs w:val="24"/>
        </w:rPr>
        <w:t>Pressure recordings</w:t>
      </w:r>
      <w:r w:rsidRPr="00EC6C19">
        <w:rPr>
          <w:rFonts w:ascii="Times New Roman" w:hAnsi="Times New Roman" w:cs="Times New Roman"/>
          <w:sz w:val="24"/>
          <w:szCs w:val="24"/>
        </w:rPr>
        <w:t xml:space="preserve"> may </w:t>
      </w:r>
      <w:r w:rsidR="005E08FD" w:rsidRPr="00EC6C19">
        <w:rPr>
          <w:rFonts w:ascii="Times New Roman" w:hAnsi="Times New Roman" w:cs="Times New Roman"/>
          <w:sz w:val="24"/>
          <w:szCs w:val="24"/>
        </w:rPr>
        <w:t xml:space="preserve">therefore </w:t>
      </w:r>
      <w:r w:rsidRPr="00EC6C19">
        <w:rPr>
          <w:rFonts w:ascii="Times New Roman" w:hAnsi="Times New Roman" w:cs="Times New Roman"/>
          <w:sz w:val="24"/>
          <w:szCs w:val="24"/>
        </w:rPr>
        <w:t xml:space="preserve">differ based on the branch chosen due to hydrostatic </w:t>
      </w:r>
      <w:r w:rsidR="005E08FD" w:rsidRPr="00EC6C19">
        <w:rPr>
          <w:rFonts w:ascii="Times New Roman" w:hAnsi="Times New Roman" w:cs="Times New Roman"/>
          <w:sz w:val="24"/>
          <w:szCs w:val="24"/>
        </w:rPr>
        <w:t>pressure</w:t>
      </w:r>
      <w:r w:rsidRPr="00EC6C19">
        <w:rPr>
          <w:rFonts w:ascii="Times New Roman" w:hAnsi="Times New Roman" w:cs="Times New Roman"/>
          <w:sz w:val="24"/>
          <w:szCs w:val="24"/>
        </w:rPr>
        <w:t xml:space="preserve"> effect</w:t>
      </w:r>
      <w:r w:rsidR="005E08FD" w:rsidRPr="00EC6C19">
        <w:rPr>
          <w:rFonts w:ascii="Times New Roman" w:hAnsi="Times New Roman" w:cs="Times New Roman"/>
          <w:sz w:val="24"/>
          <w:szCs w:val="24"/>
        </w:rPr>
        <w:t xml:space="preserve"> across the same stenosis</w:t>
      </w:r>
      <w:r w:rsidRPr="00EC6C19">
        <w:rPr>
          <w:rFonts w:ascii="Times New Roman" w:hAnsi="Times New Roman" w:cs="Times New Roman"/>
          <w:sz w:val="24"/>
          <w:szCs w:val="24"/>
        </w:rPr>
        <w:t>.  A procedure that follows was conducted at the Essex Cardiothoracic Centre, and demonstrates such a scenario.</w:t>
      </w:r>
    </w:p>
    <w:p w14:paraId="701A0378" w14:textId="262FEE09"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A 73 year old man presents with exertional</w:t>
      </w:r>
      <w:r w:rsidR="00953E9B">
        <w:rPr>
          <w:rFonts w:ascii="Times New Roman" w:hAnsi="Times New Roman" w:cs="Times New Roman"/>
          <w:sz w:val="24"/>
          <w:szCs w:val="24"/>
        </w:rPr>
        <w:t xml:space="preserve"> angina</w:t>
      </w:r>
      <w:r w:rsidRPr="00EC6C19">
        <w:rPr>
          <w:rFonts w:ascii="Times New Roman" w:hAnsi="Times New Roman" w:cs="Times New Roman"/>
          <w:sz w:val="24"/>
          <w:szCs w:val="24"/>
        </w:rPr>
        <w:t xml:space="preserve">. His angiogram is </w:t>
      </w:r>
      <w:r w:rsidRPr="00A60EED">
        <w:rPr>
          <w:rFonts w:ascii="Times New Roman" w:hAnsi="Times New Roman" w:cs="Times New Roman"/>
          <w:sz w:val="24"/>
          <w:szCs w:val="24"/>
        </w:rPr>
        <w:t xml:space="preserve">shown below in figure </w:t>
      </w:r>
      <w:r w:rsidR="00A60EED" w:rsidRPr="00A60EED">
        <w:rPr>
          <w:rFonts w:ascii="Times New Roman" w:hAnsi="Times New Roman" w:cs="Times New Roman"/>
          <w:sz w:val="24"/>
          <w:szCs w:val="24"/>
        </w:rPr>
        <w:t>20</w:t>
      </w:r>
      <w:r w:rsidRPr="00A60EED">
        <w:rPr>
          <w:rFonts w:ascii="Times New Roman" w:hAnsi="Times New Roman" w:cs="Times New Roman"/>
          <w:sz w:val="24"/>
          <w:szCs w:val="24"/>
        </w:rPr>
        <w:t>.</w:t>
      </w:r>
    </w:p>
    <w:p w14:paraId="31040EE7" w14:textId="77777777" w:rsidR="00A60EED" w:rsidRDefault="00D07228" w:rsidP="00A60EED">
      <w:pPr>
        <w:pStyle w:val="Caption"/>
        <w:spacing w:line="360" w:lineRule="auto"/>
        <w:rPr>
          <w:rFonts w:ascii="Times New Roman" w:hAnsi="Times New Roman" w:cs="Times New Roman"/>
          <w:b w:val="0"/>
          <w:i/>
          <w:color w:val="auto"/>
          <w:sz w:val="24"/>
          <w:szCs w:val="24"/>
        </w:rPr>
      </w:pPr>
      <w:r w:rsidRPr="00EC6C19">
        <w:rPr>
          <w:rFonts w:ascii="Times New Roman" w:hAnsi="Times New Roman" w:cs="Times New Roman"/>
          <w:noProof/>
          <w:sz w:val="24"/>
          <w:szCs w:val="24"/>
          <w:lang w:eastAsia="en-GB"/>
        </w:rPr>
        <w:lastRenderedPageBreak/>
        <w:drawing>
          <wp:inline distT="0" distB="0" distL="0" distR="0" wp14:anchorId="1450C55D" wp14:editId="79B04E1C">
            <wp:extent cx="5943600" cy="5734050"/>
            <wp:effectExtent l="1905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srcRect/>
                    <a:stretch>
                      <a:fillRect/>
                    </a:stretch>
                  </pic:blipFill>
                  <pic:spPr bwMode="auto">
                    <a:xfrm>
                      <a:off x="0" y="0"/>
                      <a:ext cx="5943600" cy="5734050"/>
                    </a:xfrm>
                    <a:prstGeom prst="rect">
                      <a:avLst/>
                    </a:prstGeom>
                    <a:noFill/>
                    <a:ln w="9525">
                      <a:noFill/>
                      <a:miter lim="800000"/>
                      <a:headEnd/>
                      <a:tailEnd/>
                    </a:ln>
                  </pic:spPr>
                </pic:pic>
              </a:graphicData>
            </a:graphic>
          </wp:inline>
        </w:drawing>
      </w:r>
    </w:p>
    <w:p w14:paraId="03BC7496" w14:textId="77777777" w:rsidR="00D07228" w:rsidRPr="00EC6C19" w:rsidRDefault="00A60EED" w:rsidP="00A60EED">
      <w:pPr>
        <w:pStyle w:val="Caption"/>
        <w:spacing w:line="360" w:lineRule="auto"/>
        <w:rPr>
          <w:rFonts w:ascii="Times New Roman" w:hAnsi="Times New Roman" w:cs="Times New Roman"/>
          <w:i/>
          <w:sz w:val="24"/>
          <w:szCs w:val="24"/>
        </w:rPr>
      </w:pPr>
      <w:bookmarkStart w:id="96" w:name="_Toc44684909"/>
      <w:r w:rsidRPr="00A60EED">
        <w:rPr>
          <w:rFonts w:ascii="Times New Roman" w:hAnsi="Times New Roman" w:cs="Times New Roman"/>
          <w:b w:val="0"/>
          <w:i/>
          <w:color w:val="auto"/>
          <w:sz w:val="24"/>
          <w:szCs w:val="24"/>
        </w:rPr>
        <w:t xml:space="preserve">Figure </w:t>
      </w:r>
      <w:r w:rsidR="00106A32" w:rsidRPr="00A60EED">
        <w:rPr>
          <w:rFonts w:ascii="Times New Roman" w:hAnsi="Times New Roman" w:cs="Times New Roman"/>
          <w:b w:val="0"/>
          <w:i/>
          <w:color w:val="auto"/>
          <w:sz w:val="24"/>
          <w:szCs w:val="24"/>
        </w:rPr>
        <w:fldChar w:fldCharType="begin"/>
      </w:r>
      <w:r w:rsidRPr="00A60EED">
        <w:rPr>
          <w:rFonts w:ascii="Times New Roman" w:hAnsi="Times New Roman" w:cs="Times New Roman"/>
          <w:b w:val="0"/>
          <w:i/>
          <w:color w:val="auto"/>
          <w:sz w:val="24"/>
          <w:szCs w:val="24"/>
        </w:rPr>
        <w:instrText xml:space="preserve"> SEQ Figure \* ARABIC </w:instrText>
      </w:r>
      <w:r w:rsidR="00106A32" w:rsidRPr="00A60EE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20</w:t>
      </w:r>
      <w:r w:rsidR="00106A32" w:rsidRPr="00A60EED">
        <w:rPr>
          <w:rFonts w:ascii="Times New Roman" w:hAnsi="Times New Roman" w:cs="Times New Roman"/>
          <w:b w:val="0"/>
          <w:i/>
          <w:color w:val="auto"/>
          <w:sz w:val="24"/>
          <w:szCs w:val="24"/>
        </w:rPr>
        <w:fldChar w:fldCharType="end"/>
      </w:r>
      <w:r w:rsidRPr="00A60EED">
        <w:rPr>
          <w:rFonts w:ascii="Times New Roman" w:hAnsi="Times New Roman" w:cs="Times New Roman"/>
          <w:b w:val="0"/>
          <w:i/>
          <w:color w:val="auto"/>
          <w:sz w:val="24"/>
          <w:szCs w:val="24"/>
        </w:rPr>
        <w:t xml:space="preserve"> - Case Study</w:t>
      </w:r>
      <w:r w:rsidR="00D07228" w:rsidRPr="00A60EED">
        <w:rPr>
          <w:rFonts w:ascii="Times New Roman" w:hAnsi="Times New Roman" w:cs="Times New Roman"/>
          <w:b w:val="0"/>
          <w:i/>
          <w:color w:val="auto"/>
          <w:sz w:val="24"/>
          <w:szCs w:val="24"/>
        </w:rPr>
        <w:t xml:space="preserve"> - mid RCA lesion in a 73 year old male with exertional angina. The stenosis, PLV (posterior left ventricular artery) and PDA (posterior descending artery) are marked with arrows.</w:t>
      </w:r>
      <w:bookmarkEnd w:id="96"/>
    </w:p>
    <w:p w14:paraId="6FD14899" w14:textId="77777777" w:rsidR="00D07228" w:rsidRPr="00EC6C19" w:rsidRDefault="00D07228" w:rsidP="00D07228">
      <w:pPr>
        <w:spacing w:line="360" w:lineRule="auto"/>
        <w:rPr>
          <w:rFonts w:ascii="Times New Roman" w:hAnsi="Times New Roman" w:cs="Times New Roman"/>
          <w:sz w:val="24"/>
          <w:szCs w:val="24"/>
        </w:rPr>
      </w:pPr>
    </w:p>
    <w:p w14:paraId="4ADB18EE" w14:textId="17CB9DF2" w:rsidR="00D07228" w:rsidRPr="007F2FD6"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The stenosis is situated approximately 30</w:t>
      </w:r>
      <w:r w:rsidR="00953E9B">
        <w:rPr>
          <w:rFonts w:ascii="Times New Roman" w:hAnsi="Times New Roman" w:cs="Times New Roman"/>
          <w:sz w:val="24"/>
          <w:szCs w:val="24"/>
        </w:rPr>
        <w:t xml:space="preserve"> </w:t>
      </w:r>
      <w:r w:rsidRPr="00EC6C19">
        <w:rPr>
          <w:rFonts w:ascii="Times New Roman" w:hAnsi="Times New Roman" w:cs="Times New Roman"/>
          <w:sz w:val="24"/>
          <w:szCs w:val="24"/>
        </w:rPr>
        <w:t xml:space="preserve">mm </w:t>
      </w:r>
      <w:r w:rsidR="00B90FC2" w:rsidRPr="00EC6C19">
        <w:rPr>
          <w:rFonts w:ascii="Times New Roman" w:hAnsi="Times New Roman" w:cs="Times New Roman"/>
          <w:sz w:val="24"/>
          <w:szCs w:val="24"/>
        </w:rPr>
        <w:t>f</w:t>
      </w:r>
      <w:r w:rsidRPr="00EC6C19">
        <w:rPr>
          <w:rFonts w:ascii="Times New Roman" w:hAnsi="Times New Roman" w:cs="Times New Roman"/>
          <w:sz w:val="24"/>
          <w:szCs w:val="24"/>
        </w:rPr>
        <w:t xml:space="preserve">rom the </w:t>
      </w:r>
      <w:r w:rsidR="00B90FC2" w:rsidRPr="00EC6C19">
        <w:rPr>
          <w:rFonts w:ascii="Times New Roman" w:hAnsi="Times New Roman" w:cs="Times New Roman"/>
          <w:sz w:val="24"/>
          <w:szCs w:val="24"/>
        </w:rPr>
        <w:t>crux/bifurcation</w:t>
      </w:r>
      <w:r w:rsidRPr="00EC6C19">
        <w:rPr>
          <w:rFonts w:ascii="Times New Roman" w:hAnsi="Times New Roman" w:cs="Times New Roman"/>
          <w:sz w:val="24"/>
          <w:szCs w:val="24"/>
        </w:rPr>
        <w:t xml:space="preserve">. The pressure wire could be placed in either </w:t>
      </w:r>
      <w:r w:rsidR="00B90FC2" w:rsidRPr="00EC6C19">
        <w:rPr>
          <w:rFonts w:ascii="Times New Roman" w:hAnsi="Times New Roman" w:cs="Times New Roman"/>
          <w:sz w:val="24"/>
          <w:szCs w:val="24"/>
        </w:rPr>
        <w:t>PLV or PDA</w:t>
      </w:r>
      <w:r w:rsidRPr="00EC6C19">
        <w:rPr>
          <w:rFonts w:ascii="Times New Roman" w:hAnsi="Times New Roman" w:cs="Times New Roman"/>
          <w:sz w:val="24"/>
          <w:szCs w:val="24"/>
        </w:rPr>
        <w:t xml:space="preserve">. For </w:t>
      </w:r>
      <w:r w:rsidRPr="007F2FD6">
        <w:rPr>
          <w:rFonts w:ascii="Times New Roman" w:hAnsi="Times New Roman" w:cs="Times New Roman"/>
          <w:sz w:val="24"/>
          <w:szCs w:val="24"/>
        </w:rPr>
        <w:t xml:space="preserve">clinical clarification, FFR and doppler velocity measurements were taken in the distal PLV, and distal PDA and subsequently compared. Table </w:t>
      </w:r>
      <w:r w:rsidR="007F2FD6" w:rsidRPr="007F2FD6">
        <w:rPr>
          <w:rFonts w:ascii="Times New Roman" w:hAnsi="Times New Roman" w:cs="Times New Roman"/>
          <w:sz w:val="24"/>
          <w:szCs w:val="24"/>
        </w:rPr>
        <w:t>9</w:t>
      </w:r>
      <w:r w:rsidRPr="007F2FD6">
        <w:rPr>
          <w:rFonts w:ascii="Times New Roman" w:hAnsi="Times New Roman" w:cs="Times New Roman"/>
          <w:sz w:val="24"/>
          <w:szCs w:val="24"/>
        </w:rPr>
        <w:t xml:space="preserve"> summarises the results below.</w:t>
      </w:r>
    </w:p>
    <w:tbl>
      <w:tblPr>
        <w:tblW w:w="0" w:type="auto"/>
        <w:tblLook w:val="04A0" w:firstRow="1" w:lastRow="0" w:firstColumn="1" w:lastColumn="0" w:noHBand="0" w:noVBand="1"/>
      </w:tblPr>
      <w:tblGrid>
        <w:gridCol w:w="3132"/>
        <w:gridCol w:w="3101"/>
        <w:gridCol w:w="3127"/>
      </w:tblGrid>
      <w:tr w:rsidR="00D07228" w:rsidRPr="00EC6C19" w14:paraId="4D348D87" w14:textId="77777777" w:rsidTr="00F31D6C">
        <w:tc>
          <w:tcPr>
            <w:tcW w:w="3192" w:type="dxa"/>
            <w:tcBorders>
              <w:bottom w:val="single" w:sz="18" w:space="0" w:color="000000" w:themeColor="text1"/>
            </w:tcBorders>
            <w:shd w:val="clear" w:color="auto" w:fill="F2F2F2" w:themeFill="background1" w:themeFillShade="F2"/>
          </w:tcPr>
          <w:p w14:paraId="52584C55"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lastRenderedPageBreak/>
              <w:t>Measurement point</w:t>
            </w:r>
          </w:p>
          <w:p w14:paraId="20754BF9"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b/>
                <w:bCs/>
                <w:sz w:val="24"/>
                <w:szCs w:val="24"/>
              </w:rPr>
            </w:pPr>
          </w:p>
        </w:tc>
        <w:tc>
          <w:tcPr>
            <w:tcW w:w="3192" w:type="dxa"/>
            <w:tcBorders>
              <w:bottom w:val="single" w:sz="18" w:space="0" w:color="000000" w:themeColor="text1"/>
            </w:tcBorders>
            <w:shd w:val="clear" w:color="auto" w:fill="F2F2F2" w:themeFill="background1" w:themeFillShade="F2"/>
          </w:tcPr>
          <w:p w14:paraId="4EF042EF"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FFR</w:t>
            </w:r>
          </w:p>
        </w:tc>
        <w:tc>
          <w:tcPr>
            <w:tcW w:w="3192" w:type="dxa"/>
            <w:tcBorders>
              <w:bottom w:val="single" w:sz="18" w:space="0" w:color="000000" w:themeColor="text1"/>
            </w:tcBorders>
            <w:shd w:val="clear" w:color="auto" w:fill="F2F2F2" w:themeFill="background1" w:themeFillShade="F2"/>
          </w:tcPr>
          <w:p w14:paraId="72449C7E" w14:textId="77777777" w:rsidR="00D07228" w:rsidRPr="00EC6C19" w:rsidRDefault="003B779E" w:rsidP="00F31D6C">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 xml:space="preserve">Hyperaemic </w:t>
            </w:r>
            <w:r w:rsidR="00D07228" w:rsidRPr="00EC6C19">
              <w:rPr>
                <w:rFonts w:ascii="Times New Roman" w:hAnsi="Times New Roman" w:cs="Times New Roman"/>
                <w:sz w:val="24"/>
                <w:szCs w:val="24"/>
              </w:rPr>
              <w:t>Flow (cm/s)</w:t>
            </w:r>
          </w:p>
        </w:tc>
      </w:tr>
      <w:tr w:rsidR="00D07228" w:rsidRPr="00EC6C19" w14:paraId="3D712354" w14:textId="77777777" w:rsidTr="00F31D6C">
        <w:tc>
          <w:tcPr>
            <w:tcW w:w="3192" w:type="dxa"/>
            <w:tcBorders>
              <w:top w:val="single" w:sz="18" w:space="0" w:color="000000" w:themeColor="text1"/>
            </w:tcBorders>
            <w:shd w:val="clear" w:color="auto" w:fill="FFFFFF" w:themeFill="background1"/>
          </w:tcPr>
          <w:p w14:paraId="74264257"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PDA</w:t>
            </w:r>
          </w:p>
          <w:p w14:paraId="7ACBFCB0"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3192" w:type="dxa"/>
            <w:tcBorders>
              <w:top w:val="single" w:sz="18" w:space="0" w:color="000000" w:themeColor="text1"/>
            </w:tcBorders>
            <w:shd w:val="clear" w:color="auto" w:fill="FFFFFF" w:themeFill="background1"/>
          </w:tcPr>
          <w:p w14:paraId="7EA9DA27"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0.75</w:t>
            </w:r>
          </w:p>
        </w:tc>
        <w:tc>
          <w:tcPr>
            <w:tcW w:w="3192" w:type="dxa"/>
            <w:tcBorders>
              <w:top w:val="single" w:sz="18" w:space="0" w:color="000000" w:themeColor="text1"/>
            </w:tcBorders>
            <w:shd w:val="clear" w:color="auto" w:fill="FFFFFF" w:themeFill="background1"/>
          </w:tcPr>
          <w:p w14:paraId="552311DD"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17.1</w:t>
            </w:r>
          </w:p>
        </w:tc>
      </w:tr>
      <w:tr w:rsidR="00D07228" w:rsidRPr="00EC6C19" w14:paraId="68888DDF" w14:textId="77777777" w:rsidTr="003B779E">
        <w:tc>
          <w:tcPr>
            <w:tcW w:w="3192" w:type="dxa"/>
            <w:shd w:val="clear" w:color="auto" w:fill="FFFFFF" w:themeFill="background1"/>
          </w:tcPr>
          <w:p w14:paraId="38651167"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b/>
                <w:bCs/>
                <w:color w:val="404040" w:themeColor="text1" w:themeTint="BF"/>
                <w:sz w:val="24"/>
                <w:szCs w:val="24"/>
              </w:rPr>
            </w:pPr>
            <w:r w:rsidRPr="00EC6C19">
              <w:rPr>
                <w:rFonts w:ascii="Times New Roman" w:hAnsi="Times New Roman" w:cs="Times New Roman"/>
                <w:sz w:val="24"/>
                <w:szCs w:val="24"/>
              </w:rPr>
              <w:t>PLV</w:t>
            </w:r>
          </w:p>
          <w:p w14:paraId="185965A0"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b/>
                <w:bCs/>
                <w:color w:val="4F81BD" w:themeColor="accent1"/>
                <w:sz w:val="24"/>
                <w:szCs w:val="24"/>
              </w:rPr>
            </w:pPr>
          </w:p>
        </w:tc>
        <w:tc>
          <w:tcPr>
            <w:tcW w:w="3192" w:type="dxa"/>
            <w:shd w:val="clear" w:color="auto" w:fill="FFFFFF" w:themeFill="background1"/>
          </w:tcPr>
          <w:p w14:paraId="389C705C"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0.8</w:t>
            </w:r>
          </w:p>
        </w:tc>
        <w:tc>
          <w:tcPr>
            <w:tcW w:w="3192" w:type="dxa"/>
            <w:shd w:val="clear" w:color="auto" w:fill="FFFFFF" w:themeFill="background1"/>
          </w:tcPr>
          <w:p w14:paraId="648F4CF7" w14:textId="77777777" w:rsidR="00D07228" w:rsidRPr="00EC6C19" w:rsidRDefault="00D07228" w:rsidP="00F31D6C">
            <w:pPr>
              <w:widowControl w:val="0"/>
              <w:autoSpaceDE w:val="0"/>
              <w:autoSpaceDN w:val="0"/>
              <w:adjustRightInd w:val="0"/>
              <w:jc w:val="center"/>
              <w:rPr>
                <w:rFonts w:ascii="Times New Roman" w:eastAsiaTheme="majorEastAsia" w:hAnsi="Times New Roman" w:cs="Times New Roman"/>
                <w:color w:val="404040" w:themeColor="text1" w:themeTint="BF"/>
                <w:sz w:val="24"/>
                <w:szCs w:val="24"/>
              </w:rPr>
            </w:pPr>
            <w:r w:rsidRPr="00EC6C19">
              <w:rPr>
                <w:rFonts w:ascii="Times New Roman" w:hAnsi="Times New Roman" w:cs="Times New Roman"/>
                <w:sz w:val="24"/>
                <w:szCs w:val="24"/>
              </w:rPr>
              <w:t>19.1</w:t>
            </w:r>
          </w:p>
        </w:tc>
      </w:tr>
    </w:tbl>
    <w:p w14:paraId="59B7A4AA" w14:textId="77777777" w:rsidR="003B779E" w:rsidRPr="00EC6C19" w:rsidRDefault="003B779E" w:rsidP="00D07228">
      <w:pPr>
        <w:spacing w:line="360" w:lineRule="auto"/>
        <w:rPr>
          <w:rFonts w:ascii="Times New Roman" w:hAnsi="Times New Roman" w:cs="Times New Roman"/>
          <w:i/>
          <w:sz w:val="24"/>
          <w:szCs w:val="24"/>
        </w:rPr>
      </w:pPr>
    </w:p>
    <w:p w14:paraId="7534E2E0" w14:textId="77777777" w:rsidR="00D07228" w:rsidRPr="007F2FD6" w:rsidRDefault="007F2FD6" w:rsidP="007F2FD6">
      <w:pPr>
        <w:pStyle w:val="Caption"/>
        <w:spacing w:line="360" w:lineRule="auto"/>
        <w:rPr>
          <w:rFonts w:ascii="Times New Roman" w:hAnsi="Times New Roman" w:cs="Times New Roman"/>
          <w:b w:val="0"/>
          <w:i/>
          <w:color w:val="auto"/>
          <w:sz w:val="24"/>
          <w:szCs w:val="24"/>
        </w:rPr>
      </w:pPr>
      <w:bookmarkStart w:id="97" w:name="_Toc44962585"/>
      <w:r w:rsidRPr="007F2FD6">
        <w:rPr>
          <w:rFonts w:ascii="Times New Roman" w:hAnsi="Times New Roman" w:cs="Times New Roman"/>
          <w:b w:val="0"/>
          <w:i/>
          <w:color w:val="auto"/>
          <w:sz w:val="24"/>
          <w:szCs w:val="24"/>
        </w:rPr>
        <w:t xml:space="preserve">Table </w:t>
      </w:r>
      <w:r w:rsidR="00106A32" w:rsidRPr="007F2FD6">
        <w:rPr>
          <w:rFonts w:ascii="Times New Roman" w:hAnsi="Times New Roman" w:cs="Times New Roman"/>
          <w:b w:val="0"/>
          <w:i/>
          <w:color w:val="auto"/>
          <w:sz w:val="24"/>
          <w:szCs w:val="24"/>
        </w:rPr>
        <w:fldChar w:fldCharType="begin"/>
      </w:r>
      <w:r w:rsidRPr="007F2FD6">
        <w:rPr>
          <w:rFonts w:ascii="Times New Roman" w:hAnsi="Times New Roman" w:cs="Times New Roman"/>
          <w:b w:val="0"/>
          <w:i/>
          <w:color w:val="auto"/>
          <w:sz w:val="24"/>
          <w:szCs w:val="24"/>
        </w:rPr>
        <w:instrText xml:space="preserve"> SEQ Table \* ARABIC </w:instrText>
      </w:r>
      <w:r w:rsidR="00106A32" w:rsidRPr="007F2FD6">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9</w:t>
      </w:r>
      <w:r w:rsidR="00106A32" w:rsidRPr="007F2FD6">
        <w:rPr>
          <w:rFonts w:ascii="Times New Roman" w:hAnsi="Times New Roman" w:cs="Times New Roman"/>
          <w:b w:val="0"/>
          <w:i/>
          <w:color w:val="auto"/>
          <w:sz w:val="24"/>
          <w:szCs w:val="24"/>
        </w:rPr>
        <w:fldChar w:fldCharType="end"/>
      </w:r>
      <w:r w:rsidRPr="007F2FD6">
        <w:rPr>
          <w:rFonts w:ascii="Times New Roman" w:hAnsi="Times New Roman" w:cs="Times New Roman"/>
          <w:b w:val="0"/>
          <w:i/>
          <w:color w:val="auto"/>
          <w:sz w:val="24"/>
          <w:szCs w:val="24"/>
        </w:rPr>
        <w:t xml:space="preserve"> - Pressure and Flow Case Study Data. </w:t>
      </w:r>
      <w:r w:rsidR="00D07228" w:rsidRPr="007F2FD6">
        <w:rPr>
          <w:rFonts w:ascii="Times New Roman" w:hAnsi="Times New Roman" w:cs="Times New Roman"/>
          <w:b w:val="0"/>
          <w:i/>
          <w:color w:val="auto"/>
          <w:sz w:val="24"/>
          <w:szCs w:val="24"/>
        </w:rPr>
        <w:t>FFR (fractional flow reserve) and doppler flow measurements across the right coronary artery stenosis, with the physiology wire placed in the PDA (posterior descending artery) and PLV (posterior left ventricular artery).</w:t>
      </w:r>
      <w:bookmarkEnd w:id="97"/>
    </w:p>
    <w:p w14:paraId="08F09268" w14:textId="77777777" w:rsidR="00D07228" w:rsidRPr="00EC6C19" w:rsidRDefault="00D07228" w:rsidP="00D07228">
      <w:pPr>
        <w:spacing w:line="360" w:lineRule="auto"/>
        <w:rPr>
          <w:rFonts w:ascii="Times New Roman" w:hAnsi="Times New Roman" w:cs="Times New Roman"/>
          <w:sz w:val="24"/>
          <w:szCs w:val="24"/>
        </w:rPr>
      </w:pPr>
    </w:p>
    <w:p w14:paraId="102D49F8" w14:textId="77777777" w:rsidR="00B90FC2"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FFR was technically negative when the wire is positioned in the PLV (0.8). When moved to the PDA, the FFR </w:t>
      </w:r>
      <w:r w:rsidR="00B90FC2" w:rsidRPr="00EC6C19">
        <w:rPr>
          <w:rFonts w:ascii="Times New Roman" w:hAnsi="Times New Roman" w:cs="Times New Roman"/>
          <w:sz w:val="24"/>
          <w:szCs w:val="24"/>
        </w:rPr>
        <w:t>is positive</w:t>
      </w:r>
      <w:r w:rsidR="003B779E" w:rsidRPr="00EC6C19">
        <w:rPr>
          <w:rFonts w:ascii="Times New Roman" w:hAnsi="Times New Roman" w:cs="Times New Roman"/>
          <w:sz w:val="24"/>
          <w:szCs w:val="24"/>
        </w:rPr>
        <w:t xml:space="preserve"> </w:t>
      </w:r>
      <w:r w:rsidRPr="00EC6C19">
        <w:rPr>
          <w:rFonts w:ascii="Times New Roman" w:hAnsi="Times New Roman" w:cs="Times New Roman"/>
          <w:sz w:val="24"/>
          <w:szCs w:val="24"/>
        </w:rPr>
        <w:t>(0.75)</w:t>
      </w:r>
      <w:r w:rsidR="00B90FC2" w:rsidRPr="00EC6C19">
        <w:rPr>
          <w:rFonts w:ascii="Times New Roman" w:hAnsi="Times New Roman" w:cs="Times New Roman"/>
          <w:sz w:val="24"/>
          <w:szCs w:val="24"/>
        </w:rPr>
        <w:t xml:space="preserve"> suggesting the need for treatment</w:t>
      </w:r>
      <w:r w:rsidRPr="00EC6C19">
        <w:rPr>
          <w:rFonts w:ascii="Times New Roman" w:hAnsi="Times New Roman" w:cs="Times New Roman"/>
          <w:sz w:val="24"/>
          <w:szCs w:val="24"/>
        </w:rPr>
        <w:t xml:space="preserve">. The PDA is superior to the PLV, </w:t>
      </w:r>
      <w:r w:rsidR="00B90FC2" w:rsidRPr="00EC6C19">
        <w:rPr>
          <w:rFonts w:ascii="Times New Roman" w:hAnsi="Times New Roman" w:cs="Times New Roman"/>
          <w:sz w:val="24"/>
          <w:szCs w:val="24"/>
        </w:rPr>
        <w:t xml:space="preserve">giving </w:t>
      </w:r>
      <w:r w:rsidRPr="00EC6C19">
        <w:rPr>
          <w:rFonts w:ascii="Times New Roman" w:hAnsi="Times New Roman" w:cs="Times New Roman"/>
          <w:sz w:val="24"/>
          <w:szCs w:val="24"/>
        </w:rPr>
        <w:t xml:space="preserve">a lower distal pressure and in turn a lower FFR value. </w:t>
      </w:r>
      <w:r w:rsidR="00B90FC2" w:rsidRPr="00EC6C19">
        <w:rPr>
          <w:rFonts w:ascii="Times New Roman" w:hAnsi="Times New Roman" w:cs="Times New Roman"/>
          <w:sz w:val="24"/>
          <w:szCs w:val="24"/>
        </w:rPr>
        <w:t>Doppler</w:t>
      </w:r>
      <w:r w:rsidRPr="00EC6C19">
        <w:rPr>
          <w:rFonts w:ascii="Times New Roman" w:hAnsi="Times New Roman" w:cs="Times New Roman"/>
          <w:sz w:val="24"/>
          <w:szCs w:val="24"/>
        </w:rPr>
        <w:t xml:space="preserve"> flow </w:t>
      </w:r>
      <w:r w:rsidR="00B90FC2" w:rsidRPr="00EC6C19">
        <w:rPr>
          <w:rFonts w:ascii="Times New Roman" w:hAnsi="Times New Roman" w:cs="Times New Roman"/>
          <w:sz w:val="24"/>
          <w:szCs w:val="24"/>
        </w:rPr>
        <w:t xml:space="preserve">did not change significantly and </w:t>
      </w:r>
      <w:r w:rsidRPr="00EC6C19">
        <w:rPr>
          <w:rFonts w:ascii="Times New Roman" w:hAnsi="Times New Roman" w:cs="Times New Roman"/>
          <w:sz w:val="24"/>
          <w:szCs w:val="24"/>
        </w:rPr>
        <w:t xml:space="preserve">falls within the error rate of the doppler measuring technology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{"citationID":"VWK3CPX2","properties":{"formattedCitation":"(Davies et al., 2006)","plainCitation":"(Davies et al., 2006)","noteIndex":0},"citationItems":[{"id":49,"uris":["http://zotero.org/users/local/k67tNDdX/items/CRHL2D67"],"uri":["http://zotero.org/users/local/k67tNDdX/items/CRHL2D67"],"itemData":{"id":49,"type":"article-journal","abstract":"BACKGROUND: Coronary blood flow peaks in diastole when aortic blood pressure has fallen. Current models fail to completely explain this phenomenon. We present a new approach-using wave intensity analysis-to explain this phenomenon in normal subjects and to evaluate the effects of left ventricular hypertrophy (LVH).\nMETHOD AND RESULTS: We measured simultaneous pressure and Doppler velocity with intracoronary wires in the left main stem, left anterior descending, and circumflex arteries of 20 subjects after a normal coronary arteriogram. Wave intensity analysis was used to identify and quantify individual pressure and velocity waves within the coronary artery circulation. A consistent pattern of 6 predominating waves was identified. Ninety-four percent of wave energy, accelerating blood forward along the coronary artery, came from 2 waves: first a pushing wave caused by left ventricular ejection-the dominant forward-traveling pushing wave; and later a suction wave caused by relief of myocardial microcirculatory compression-the dominant backward-traveling suction wave. The dominant backward-traveling suction wave (18.2+/-13.7 x 10(3) W m(-2)s(-1), 30%) was larger than the dominant forward-traveling pushing wave (14.3+/-17.6 x 10(3) W m(-2) s(-1), 22.3%, P =0.001) and was associated with a substantially larger increment in coronary blood flow velocity (0.51 versus 0.14 m/s, P &lt;0.001). In LVH, the dominant backward-traveling suction wave percentage was significantly decreased (33.1% versus 26.9%, P =0.01) and inversely correlated with left ventricular septal wall thickness (r =-0.52, P &lt;0.02).\nCONCLUSIONS: Six waves predominantly drive human coronary blood flow. Coronary flow peaks in diastole because of the dominance of a \"suction\" wave generated by myocardial microcirculatory decompression. This is significantly reduced in LVH.","container-title":"Circulation","DOI":"10.1161/CIRCULATIONAHA.105.603050","ISSN":"1524-4539","issue":"14","journalAbbreviation":"Circulation","language":"eng","note":"PMID: 16585389","page":"1768-1778","source":"PubMed","title":"Evidence of a dominant backward-propagating \"suction\" wave responsible for diastolic coronary filling in humans, attenuated in left ventricular hypertrophy","volume":"113","author":[{"family":"Davies","given":"Justin E."},{"family":"Whinnett","given":"Zachary I."},{"family":"Francis","given":"Darrel P."},{"family":"Manisty","given":"Charlotte H."},{"family":"Aguado-Sierra","given":"Jazmin"},{"family":"Willson","given":"Keith"},{"family":"Foale","given":"Rodney A."},{"family":"Malik","given":"Iqbal S."},{"family":"Hughes","given":"Alun D."},{"family":"Parker","given":"Kim H."},{"family":"Mayet","given":"Jamil"}],"issued":{"date-parts":[["2006",4,11]]}}}],"schema":"https://github.com/citation-style-language/schema/raw/master/csl-citation.json"}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(Davies et al.,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347B6CB0" w14:textId="77777777" w:rsidR="00D07228" w:rsidRPr="00EC6C19" w:rsidRDefault="00D07228" w:rsidP="00D07228">
      <w:pPr>
        <w:spacing w:line="360" w:lineRule="auto"/>
        <w:rPr>
          <w:rFonts w:ascii="Times New Roman" w:hAnsi="Times New Roman" w:cs="Times New Roman"/>
          <w:sz w:val="24"/>
          <w:szCs w:val="24"/>
        </w:rPr>
      </w:pPr>
    </w:p>
    <w:p w14:paraId="7E055B40" w14:textId="77777777" w:rsidR="00D07228" w:rsidRPr="0019652D" w:rsidRDefault="0019652D" w:rsidP="0019652D">
      <w:pPr>
        <w:pStyle w:val="Heading2"/>
        <w:rPr>
          <w:rFonts w:ascii="Times New Roman" w:hAnsi="Times New Roman" w:cs="Times New Roman"/>
          <w:color w:val="auto"/>
          <w:sz w:val="24"/>
          <w:szCs w:val="24"/>
        </w:rPr>
      </w:pPr>
      <w:bookmarkStart w:id="98" w:name="_Toc80302215"/>
      <w:r w:rsidRPr="0019652D">
        <w:rPr>
          <w:rFonts w:ascii="Times New Roman" w:hAnsi="Times New Roman" w:cs="Times New Roman"/>
          <w:color w:val="auto"/>
          <w:sz w:val="24"/>
          <w:szCs w:val="24"/>
        </w:rPr>
        <w:t xml:space="preserve">2.7 - </w:t>
      </w:r>
      <w:r w:rsidR="00D07228" w:rsidRPr="0019652D">
        <w:rPr>
          <w:rFonts w:ascii="Times New Roman" w:hAnsi="Times New Roman" w:cs="Times New Roman"/>
          <w:color w:val="auto"/>
          <w:sz w:val="24"/>
          <w:szCs w:val="24"/>
        </w:rPr>
        <w:t>Limitations</w:t>
      </w:r>
      <w:bookmarkEnd w:id="98"/>
      <w:r>
        <w:rPr>
          <w:rFonts w:ascii="Times New Roman" w:hAnsi="Times New Roman" w:cs="Times New Roman"/>
          <w:color w:val="auto"/>
          <w:sz w:val="24"/>
          <w:szCs w:val="24"/>
        </w:rPr>
        <w:br/>
      </w:r>
    </w:p>
    <w:p w14:paraId="2E8A92BF" w14:textId="77777777" w:rsidR="00D07228" w:rsidRPr="00EC6C19" w:rsidRDefault="00D07228" w:rsidP="00D07228">
      <w:pPr>
        <w:spacing w:line="360" w:lineRule="auto"/>
        <w:rPr>
          <w:rFonts w:ascii="Times New Roman" w:hAnsi="Times New Roman" w:cs="Times New Roman"/>
          <w:sz w:val="24"/>
          <w:szCs w:val="24"/>
        </w:rPr>
      </w:pPr>
    </w:p>
    <w:p w14:paraId="152C83D4" w14:textId="77777777" w:rsidR="00D07228" w:rsidRPr="0019652D" w:rsidRDefault="0019652D" w:rsidP="0019652D">
      <w:pPr>
        <w:pStyle w:val="Heading3"/>
        <w:rPr>
          <w:rFonts w:ascii="Times New Roman" w:hAnsi="Times New Roman" w:cs="Times New Roman"/>
          <w:b w:val="0"/>
          <w:i/>
          <w:color w:val="auto"/>
          <w:sz w:val="24"/>
          <w:szCs w:val="24"/>
        </w:rPr>
      </w:pPr>
      <w:bookmarkStart w:id="99" w:name="_Toc80302216"/>
      <w:r w:rsidRPr="0019652D">
        <w:rPr>
          <w:rFonts w:ascii="Times New Roman" w:hAnsi="Times New Roman" w:cs="Times New Roman"/>
          <w:b w:val="0"/>
          <w:i/>
          <w:color w:val="auto"/>
          <w:sz w:val="24"/>
          <w:szCs w:val="24"/>
        </w:rPr>
        <w:t xml:space="preserve">2.7.1 - </w:t>
      </w:r>
      <w:r w:rsidR="00D07228" w:rsidRPr="0019652D">
        <w:rPr>
          <w:rFonts w:ascii="Times New Roman" w:hAnsi="Times New Roman" w:cs="Times New Roman"/>
          <w:b w:val="0"/>
          <w:i/>
          <w:color w:val="auto"/>
          <w:sz w:val="24"/>
          <w:szCs w:val="24"/>
        </w:rPr>
        <w:t>Patient Demographic</w:t>
      </w:r>
      <w:bookmarkEnd w:id="99"/>
      <w:r>
        <w:rPr>
          <w:rFonts w:ascii="Times New Roman" w:hAnsi="Times New Roman" w:cs="Times New Roman"/>
          <w:b w:val="0"/>
          <w:i/>
          <w:color w:val="auto"/>
          <w:sz w:val="24"/>
          <w:szCs w:val="24"/>
        </w:rPr>
        <w:br/>
      </w:r>
    </w:p>
    <w:p w14:paraId="67CA18B5" w14:textId="77777777" w:rsidR="00D07228" w:rsidRPr="00EC6C19" w:rsidRDefault="00D07228" w:rsidP="00D07228">
      <w:pPr>
        <w:spacing w:line="360" w:lineRule="auto"/>
        <w:rPr>
          <w:rFonts w:ascii="Times New Roman" w:hAnsi="Times New Roman" w:cs="Times New Roman"/>
          <w:i/>
          <w:sz w:val="24"/>
          <w:szCs w:val="24"/>
          <w:u w:val="single"/>
        </w:rPr>
      </w:pPr>
    </w:p>
    <w:p w14:paraId="4F22B68A" w14:textId="0960E4E4"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The patient demographic</w:t>
      </w:r>
      <w:r w:rsidR="00306912">
        <w:rPr>
          <w:rFonts w:ascii="Times New Roman" w:hAnsi="Times New Roman" w:cs="Times New Roman"/>
          <w:sz w:val="24"/>
          <w:szCs w:val="24"/>
        </w:rPr>
        <w:t>s</w:t>
      </w:r>
      <w:r w:rsidRPr="00EC6C19">
        <w:rPr>
          <w:rFonts w:ascii="Times New Roman" w:hAnsi="Times New Roman" w:cs="Times New Roman"/>
          <w:sz w:val="24"/>
          <w:szCs w:val="24"/>
        </w:rPr>
        <w:t xml:space="preserve"> were clearly of a specific group. The average age was 56 with 68% being female. This represents selection bias regarding those patients put forward for a CT coronary angiogram in the first instance. Before the update from NICE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{"citationID":"JzWwwvPu","properties":{"formattedCitation":"(Stable angina: management | Guidance and guidelines | NICE, 2018)","plainCitation":"(Stable angina: management | Guidance and guidelines | NICE, 2018)","noteIndex":0},"citationItems":[{"id":395,"uris":["http://zotero.org/users/local/k67tNDdX/items/6ACXF5LU"],"uri":["http://zotero.org/users/local/k67tNDdX/items/6ACXF5LU"],"itemData":{"id":395,"type":"webpage","language":"eng","title":"Stable angina: management | Guidance and guidelines | NICE","title-short":"Stable angina","URL":"https://www.nice.org.uk/guidance/CG126","accessed":{"date-parts":[["2018",5,1]]}}}],"schema":"https://github.com/citation-style-language/schema/raw/master/csl-citation.json"}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(Stable angina: management | Guidance and guidelines | NICE,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CT coronary angiography was used in </w:t>
      </w:r>
      <w:r w:rsidRPr="00EC6C19">
        <w:rPr>
          <w:rFonts w:ascii="Times New Roman" w:hAnsi="Times New Roman" w:cs="Times New Roman"/>
          <w:sz w:val="24"/>
          <w:szCs w:val="24"/>
        </w:rPr>
        <w:lastRenderedPageBreak/>
        <w:t xml:space="preserve">predominantly low to intermediate risk patients, as shown </w:t>
      </w:r>
      <w:r w:rsidRPr="00A60EED">
        <w:rPr>
          <w:rFonts w:ascii="Times New Roman" w:hAnsi="Times New Roman" w:cs="Times New Roman"/>
          <w:sz w:val="24"/>
          <w:szCs w:val="24"/>
        </w:rPr>
        <w:t xml:space="preserve">in </w:t>
      </w:r>
      <w:r w:rsidR="00306912">
        <w:rPr>
          <w:rFonts w:ascii="Times New Roman" w:hAnsi="Times New Roman" w:cs="Times New Roman"/>
          <w:sz w:val="24"/>
          <w:szCs w:val="24"/>
        </w:rPr>
        <w:t>F</w:t>
      </w:r>
      <w:r w:rsidR="00306912" w:rsidRPr="00A60EED">
        <w:rPr>
          <w:rFonts w:ascii="Times New Roman" w:hAnsi="Times New Roman" w:cs="Times New Roman"/>
          <w:sz w:val="24"/>
          <w:szCs w:val="24"/>
        </w:rPr>
        <w:t xml:space="preserve">igure </w:t>
      </w:r>
      <w:r w:rsidR="00A60EED" w:rsidRPr="00A60EED">
        <w:rPr>
          <w:rFonts w:ascii="Times New Roman" w:hAnsi="Times New Roman" w:cs="Times New Roman"/>
          <w:sz w:val="24"/>
          <w:szCs w:val="24"/>
        </w:rPr>
        <w:t>21</w:t>
      </w:r>
      <w:r w:rsidRPr="00A60EED">
        <w:rPr>
          <w:rFonts w:ascii="Times New Roman" w:hAnsi="Times New Roman" w:cs="Times New Roman"/>
          <w:sz w:val="24"/>
          <w:szCs w:val="24"/>
        </w:rPr>
        <w:t xml:space="preserve"> below</w:t>
      </w:r>
      <w:r w:rsidRPr="00EC6C19">
        <w:rPr>
          <w:rFonts w:ascii="Times New Roman" w:hAnsi="Times New Roman" w:cs="Times New Roman"/>
          <w:color w:val="FF0000"/>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{"citationID":"QlEeRsp8","properties":{"formattedCitation":"(BrJCardiol, 2018)","plainCitation":"(BrJCardiol, 2018)","noteIndex":0},"citationItems":[{"id":631,"uris":["http://zotero.org/users/local/k67tNDdX/items/JLJVY3BZ"],"uri":["http://zotero.org/users/local/k67tNDdX/items/JLJVY3BZ"],"itemData":{"id":631,"type":"webpage","abstract":"&lt;h2&gt;Introduction&lt;/h2&gt;\n&lt;p&gt;Stable angina is the most common manifestation of coronary heart disease. While considered relatively benign in terms of progn ...","container-title":"The British Journal of Cardiology","language":"en-GB","title":"Chronic stable angina guidelines – is there an emerging international consensus?","URL":"https://bjcardio.co.uk/2012/08/chronic-stable-angina-guidelines-is-there-an-emerging-international-consensus/","author":[{"family":"BrJCardiol","given":""}],"accessed":{"date-parts":[["2018",7,2]]}}}],"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(BrJCardiol,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01C19D5C"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7BB17364" wp14:editId="61A4C0D5">
            <wp:extent cx="5934075" cy="3406159"/>
            <wp:effectExtent l="19050" t="0" r="9525" b="0"/>
            <wp:docPr id="38" name="Picture 5" descr="Image result for nice guidelines chest pain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nice guidelines chest pain risk"/>
                    <pic:cNvPicPr>
                      <a:picLocks noChangeAspect="1" noChangeArrowheads="1"/>
                    </pic:cNvPicPr>
                  </pic:nvPicPr>
                  <pic:blipFill>
                    <a:blip r:embed="rId39"/>
                    <a:srcRect/>
                    <a:stretch>
                      <a:fillRect/>
                    </a:stretch>
                  </pic:blipFill>
                  <pic:spPr bwMode="auto">
                    <a:xfrm>
                      <a:off x="0" y="0"/>
                      <a:ext cx="5934075" cy="3406159"/>
                    </a:xfrm>
                    <a:prstGeom prst="rect">
                      <a:avLst/>
                    </a:prstGeom>
                    <a:noFill/>
                    <a:ln w="9525">
                      <a:noFill/>
                      <a:miter lim="800000"/>
                      <a:headEnd/>
                      <a:tailEnd/>
                    </a:ln>
                  </pic:spPr>
                </pic:pic>
              </a:graphicData>
            </a:graphic>
          </wp:inline>
        </w:drawing>
      </w:r>
    </w:p>
    <w:p w14:paraId="7BBE81FF" w14:textId="77777777" w:rsidR="00D07228" w:rsidRPr="00A60EED" w:rsidRDefault="00A60EED" w:rsidP="00A60EED">
      <w:pPr>
        <w:pStyle w:val="Caption"/>
        <w:spacing w:line="360" w:lineRule="auto"/>
        <w:rPr>
          <w:rFonts w:ascii="Times New Roman" w:hAnsi="Times New Roman" w:cs="Times New Roman"/>
          <w:b w:val="0"/>
          <w:i/>
          <w:color w:val="auto"/>
          <w:sz w:val="24"/>
          <w:szCs w:val="24"/>
        </w:rPr>
      </w:pPr>
      <w:bookmarkStart w:id="100" w:name="_Toc44684910"/>
      <w:r w:rsidRPr="00A60EED">
        <w:rPr>
          <w:rFonts w:ascii="Times New Roman" w:hAnsi="Times New Roman" w:cs="Times New Roman"/>
          <w:b w:val="0"/>
          <w:i/>
          <w:color w:val="auto"/>
          <w:sz w:val="24"/>
          <w:szCs w:val="24"/>
        </w:rPr>
        <w:t xml:space="preserve">Figure </w:t>
      </w:r>
      <w:r w:rsidR="00106A32" w:rsidRPr="00A60EED">
        <w:rPr>
          <w:rFonts w:ascii="Times New Roman" w:hAnsi="Times New Roman" w:cs="Times New Roman"/>
          <w:b w:val="0"/>
          <w:i/>
          <w:color w:val="auto"/>
          <w:sz w:val="24"/>
          <w:szCs w:val="24"/>
        </w:rPr>
        <w:fldChar w:fldCharType="begin"/>
      </w:r>
      <w:r w:rsidRPr="00A60EED">
        <w:rPr>
          <w:rFonts w:ascii="Times New Roman" w:hAnsi="Times New Roman" w:cs="Times New Roman"/>
          <w:b w:val="0"/>
          <w:i/>
          <w:color w:val="auto"/>
          <w:sz w:val="24"/>
          <w:szCs w:val="24"/>
        </w:rPr>
        <w:instrText xml:space="preserve"> SEQ Figure \* ARABIC </w:instrText>
      </w:r>
      <w:r w:rsidR="00106A32" w:rsidRPr="00A60EE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21</w:t>
      </w:r>
      <w:r w:rsidR="00106A32" w:rsidRPr="00A60EED">
        <w:rPr>
          <w:rFonts w:ascii="Times New Roman" w:hAnsi="Times New Roman" w:cs="Times New Roman"/>
          <w:b w:val="0"/>
          <w:i/>
          <w:color w:val="auto"/>
          <w:sz w:val="24"/>
          <w:szCs w:val="24"/>
        </w:rPr>
        <w:fldChar w:fldCharType="end"/>
      </w:r>
      <w:r w:rsidRPr="00A60EED">
        <w:rPr>
          <w:rFonts w:ascii="Times New Roman" w:hAnsi="Times New Roman" w:cs="Times New Roman"/>
          <w:b w:val="0"/>
          <w:i/>
          <w:color w:val="auto"/>
          <w:sz w:val="24"/>
          <w:szCs w:val="24"/>
        </w:rPr>
        <w:t xml:space="preserve">- 2018 NICE Guidelines for Stable Angina </w:t>
      </w:r>
      <w:r w:rsidR="00D07228" w:rsidRPr="00A60EED">
        <w:rPr>
          <w:rFonts w:ascii="Times New Roman" w:hAnsi="Times New Roman" w:cs="Times New Roman"/>
          <w:b w:val="0"/>
          <w:i/>
          <w:color w:val="auto"/>
          <w:sz w:val="24"/>
          <w:szCs w:val="24"/>
        </w:rPr>
        <w:t>- the likelihood of CAD versus investigation modality. As show, patients scoring low for coronary artery disease risk, were often investigated w</w:t>
      </w:r>
      <w:r w:rsidR="00190490" w:rsidRPr="00A60EED">
        <w:rPr>
          <w:rFonts w:ascii="Times New Roman" w:hAnsi="Times New Roman" w:cs="Times New Roman"/>
          <w:b w:val="0"/>
          <w:i/>
          <w:color w:val="auto"/>
          <w:sz w:val="24"/>
          <w:szCs w:val="24"/>
        </w:rPr>
        <w:t>ith CT coronary angiography (</w:t>
      </w:r>
      <w:r w:rsidR="00D07228" w:rsidRPr="00A60EED">
        <w:rPr>
          <w:rFonts w:ascii="Times New Roman" w:hAnsi="Times New Roman" w:cs="Times New Roman"/>
          <w:b w:val="0"/>
          <w:i/>
          <w:color w:val="auto"/>
          <w:sz w:val="24"/>
          <w:szCs w:val="24"/>
        </w:rPr>
        <w:t>from NICE guidelines CG95).</w:t>
      </w:r>
      <w:bookmarkEnd w:id="100"/>
    </w:p>
    <w:p w14:paraId="568E20F4" w14:textId="77777777" w:rsidR="00D07228" w:rsidRPr="00EC6C19" w:rsidRDefault="00D07228" w:rsidP="00D07228">
      <w:pPr>
        <w:spacing w:line="360" w:lineRule="auto"/>
        <w:rPr>
          <w:rFonts w:ascii="Times New Roman" w:hAnsi="Times New Roman" w:cs="Times New Roman"/>
          <w:sz w:val="24"/>
          <w:szCs w:val="24"/>
        </w:rPr>
      </w:pPr>
    </w:p>
    <w:p w14:paraId="2593113A"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It is expected the group of patients in the study will be a different demographic with more coronary artery disease, and predominantly male. This may have an effect on coronary height variations, as </w:t>
      </w:r>
      <w:r w:rsidR="007C7D90" w:rsidRPr="00EC6C19">
        <w:rPr>
          <w:rFonts w:ascii="Times New Roman" w:hAnsi="Times New Roman" w:cs="Times New Roman"/>
          <w:sz w:val="24"/>
          <w:szCs w:val="24"/>
        </w:rPr>
        <w:t>Härle</w:t>
      </w:r>
      <w:r w:rsidRPr="00EC6C19">
        <w:rPr>
          <w:rFonts w:ascii="Times New Roman" w:hAnsi="Times New Roman" w:cs="Times New Roman"/>
          <w:sz w:val="24"/>
          <w:szCs w:val="24"/>
        </w:rPr>
        <w:t xml:space="preserve"> et al showed sex was a predictor of distance between maximal height measurements in the coronary tree</w:t>
      </w:r>
      <w:r w:rsidR="00756A5E"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{"citationID":"NAwF9xCe","properties":{"formattedCitation":"(H\\uc0\\u228{}rle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00D852FC" w:rsidRPr="00EC6C19">
        <w:rPr>
          <w:rFonts w:ascii="Times New Roman" w:hAnsi="Times New Roman" w:cs="Times New Roman"/>
          <w:sz w:val="24"/>
          <w:szCs w:val="24"/>
        </w:rPr>
        <w:t xml:space="preserve">(Härle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2017a)</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 maximum measured height difference was greater in men, and interestingly also in those with reduced ejection fractions. This may be associated with ventricular dilation, although this was not specifically commented upon. In our demographic, composed predominantly of women, the average height variations may be somewhat underestimated.</w:t>
      </w:r>
    </w:p>
    <w:p w14:paraId="160896B8" w14:textId="77777777" w:rsidR="00D07228" w:rsidRPr="00EC6C19" w:rsidRDefault="00D07228" w:rsidP="00D07228">
      <w:pPr>
        <w:spacing w:line="360" w:lineRule="auto"/>
        <w:rPr>
          <w:rFonts w:ascii="Times New Roman" w:hAnsi="Times New Roman" w:cs="Times New Roman"/>
          <w:sz w:val="24"/>
          <w:szCs w:val="24"/>
        </w:rPr>
      </w:pPr>
    </w:p>
    <w:p w14:paraId="628AD09B" w14:textId="77777777" w:rsidR="00D07228" w:rsidRPr="0019652D" w:rsidRDefault="0019652D" w:rsidP="0019652D">
      <w:pPr>
        <w:pStyle w:val="Heading3"/>
        <w:rPr>
          <w:rFonts w:ascii="Times New Roman" w:hAnsi="Times New Roman" w:cs="Times New Roman"/>
          <w:b w:val="0"/>
          <w:i/>
          <w:color w:val="auto"/>
          <w:sz w:val="24"/>
          <w:szCs w:val="24"/>
        </w:rPr>
      </w:pPr>
      <w:bookmarkStart w:id="101" w:name="_Toc80302217"/>
      <w:r w:rsidRPr="0019652D">
        <w:rPr>
          <w:rFonts w:ascii="Times New Roman" w:hAnsi="Times New Roman" w:cs="Times New Roman"/>
          <w:b w:val="0"/>
          <w:i/>
          <w:color w:val="auto"/>
          <w:sz w:val="24"/>
          <w:szCs w:val="24"/>
        </w:rPr>
        <w:lastRenderedPageBreak/>
        <w:t xml:space="preserve">2.7.2 - </w:t>
      </w:r>
      <w:r w:rsidR="00D07228" w:rsidRPr="0019652D">
        <w:rPr>
          <w:rFonts w:ascii="Times New Roman" w:hAnsi="Times New Roman" w:cs="Times New Roman"/>
          <w:b w:val="0"/>
          <w:i/>
          <w:color w:val="auto"/>
          <w:sz w:val="24"/>
          <w:szCs w:val="24"/>
        </w:rPr>
        <w:t>Coronary Visualisation</w:t>
      </w:r>
      <w:bookmarkEnd w:id="101"/>
    </w:p>
    <w:p w14:paraId="0271BA41" w14:textId="77777777" w:rsidR="00D07228" w:rsidRPr="00EC6C19" w:rsidRDefault="0019652D" w:rsidP="00D07228">
      <w:pPr>
        <w:spacing w:line="360" w:lineRule="auto"/>
        <w:rPr>
          <w:rFonts w:ascii="Times New Roman" w:hAnsi="Times New Roman" w:cs="Times New Roman"/>
          <w:i/>
          <w:sz w:val="24"/>
          <w:szCs w:val="24"/>
          <w:u w:val="single"/>
        </w:rPr>
      </w:pPr>
      <w:r>
        <w:rPr>
          <w:rFonts w:ascii="Times New Roman" w:hAnsi="Times New Roman" w:cs="Times New Roman"/>
          <w:i/>
          <w:sz w:val="24"/>
          <w:szCs w:val="24"/>
          <w:u w:val="single"/>
        </w:rPr>
        <w:br/>
      </w:r>
    </w:p>
    <w:p w14:paraId="60031153"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A proportion of CT scans in the data acquisition period could not be analysed due to poor coronary visualisation. The predominant reason for this was inadequate contrast penetration to all distal vessels. This may lead to underestimation of the maximal height difference. It must be noted that in clinical practice, the distal vessel seen on CT scan may be too distal for wire placement, and therefore</w:t>
      </w:r>
      <w:r w:rsidR="003B779E" w:rsidRPr="00EC6C19">
        <w:rPr>
          <w:rFonts w:ascii="Times New Roman" w:hAnsi="Times New Roman" w:cs="Times New Roman"/>
          <w:sz w:val="24"/>
          <w:szCs w:val="24"/>
        </w:rPr>
        <w:t xml:space="preserve"> is</w:t>
      </w:r>
      <w:r w:rsidRPr="00EC6C19">
        <w:rPr>
          <w:rFonts w:ascii="Times New Roman" w:hAnsi="Times New Roman" w:cs="Times New Roman"/>
          <w:sz w:val="24"/>
          <w:szCs w:val="24"/>
        </w:rPr>
        <w:t xml:space="preserve"> less important.</w:t>
      </w:r>
    </w:p>
    <w:p w14:paraId="70BC8275"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Coronary ca</w:t>
      </w:r>
      <w:r w:rsidR="003B779E" w:rsidRPr="00EC6C19">
        <w:rPr>
          <w:rFonts w:ascii="Times New Roman" w:hAnsi="Times New Roman" w:cs="Times New Roman"/>
          <w:sz w:val="24"/>
          <w:szCs w:val="24"/>
        </w:rPr>
        <w:t xml:space="preserve">lcification </w:t>
      </w:r>
      <w:r w:rsidRPr="00EC6C19">
        <w:rPr>
          <w:rFonts w:ascii="Times New Roman" w:hAnsi="Times New Roman" w:cs="Times New Roman"/>
          <w:sz w:val="24"/>
          <w:szCs w:val="24"/>
        </w:rPr>
        <w:t>did not affect measurement of distal vessel height</w:t>
      </w:r>
      <w:r w:rsidR="003B779E" w:rsidRPr="00EC6C19">
        <w:rPr>
          <w:rFonts w:ascii="Times New Roman" w:hAnsi="Times New Roman" w:cs="Times New Roman"/>
          <w:sz w:val="24"/>
          <w:szCs w:val="24"/>
        </w:rPr>
        <w:t xml:space="preserve"> in this study population</w:t>
      </w:r>
      <w:r w:rsidRPr="00EC6C19">
        <w:rPr>
          <w:rFonts w:ascii="Times New Roman" w:hAnsi="Times New Roman" w:cs="Times New Roman"/>
          <w:sz w:val="24"/>
          <w:szCs w:val="24"/>
        </w:rPr>
        <w:t>.</w:t>
      </w:r>
    </w:p>
    <w:p w14:paraId="0AE5A32A" w14:textId="77777777" w:rsidR="00D07228" w:rsidRPr="00EC6C19" w:rsidRDefault="00D07228" w:rsidP="00D07228">
      <w:pPr>
        <w:spacing w:line="360" w:lineRule="auto"/>
        <w:rPr>
          <w:rFonts w:ascii="Times New Roman" w:hAnsi="Times New Roman" w:cs="Times New Roman"/>
          <w:sz w:val="24"/>
          <w:szCs w:val="24"/>
        </w:rPr>
      </w:pPr>
    </w:p>
    <w:p w14:paraId="26B14206" w14:textId="77777777" w:rsidR="00D07228" w:rsidRPr="0019652D" w:rsidRDefault="0019652D" w:rsidP="0019652D">
      <w:pPr>
        <w:pStyle w:val="Heading3"/>
        <w:rPr>
          <w:rFonts w:ascii="Times New Roman" w:hAnsi="Times New Roman" w:cs="Times New Roman"/>
          <w:b w:val="0"/>
          <w:i/>
          <w:color w:val="auto"/>
          <w:sz w:val="24"/>
          <w:szCs w:val="24"/>
        </w:rPr>
      </w:pPr>
      <w:bookmarkStart w:id="102" w:name="_Toc80302218"/>
      <w:r w:rsidRPr="0019652D">
        <w:rPr>
          <w:rFonts w:ascii="Times New Roman" w:hAnsi="Times New Roman" w:cs="Times New Roman"/>
          <w:b w:val="0"/>
          <w:i/>
          <w:color w:val="auto"/>
          <w:sz w:val="24"/>
          <w:szCs w:val="24"/>
        </w:rPr>
        <w:t xml:space="preserve">2.7.3 - </w:t>
      </w:r>
      <w:r w:rsidR="00D07228" w:rsidRPr="0019652D">
        <w:rPr>
          <w:rFonts w:ascii="Times New Roman" w:hAnsi="Times New Roman" w:cs="Times New Roman"/>
          <w:b w:val="0"/>
          <w:i/>
          <w:color w:val="auto"/>
          <w:sz w:val="24"/>
          <w:szCs w:val="24"/>
        </w:rPr>
        <w:t>Measurement Point</w:t>
      </w:r>
      <w:bookmarkEnd w:id="102"/>
    </w:p>
    <w:p w14:paraId="793EA9C2" w14:textId="77777777" w:rsidR="00D07228" w:rsidRPr="00EC6C19" w:rsidRDefault="0019652D" w:rsidP="00D07228">
      <w:pPr>
        <w:spacing w:line="360" w:lineRule="auto"/>
        <w:rPr>
          <w:rFonts w:ascii="Times New Roman" w:hAnsi="Times New Roman" w:cs="Times New Roman"/>
          <w:i/>
          <w:sz w:val="24"/>
          <w:szCs w:val="24"/>
          <w:u w:val="single"/>
        </w:rPr>
      </w:pPr>
      <w:r>
        <w:rPr>
          <w:rFonts w:ascii="Times New Roman" w:hAnsi="Times New Roman" w:cs="Times New Roman"/>
          <w:i/>
          <w:sz w:val="24"/>
          <w:szCs w:val="24"/>
          <w:u w:val="single"/>
        </w:rPr>
        <w:br/>
      </w:r>
    </w:p>
    <w:p w14:paraId="74035F8D"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Measurement</w:t>
      </w:r>
      <w:r w:rsidR="005E08FD" w:rsidRPr="00EC6C19">
        <w:rPr>
          <w:rFonts w:ascii="Times New Roman" w:hAnsi="Times New Roman" w:cs="Times New Roman"/>
          <w:sz w:val="24"/>
          <w:szCs w:val="24"/>
        </w:rPr>
        <w:t>s</w:t>
      </w:r>
      <w:r w:rsidRPr="00EC6C19">
        <w:rPr>
          <w:rFonts w:ascii="Times New Roman" w:hAnsi="Times New Roman" w:cs="Times New Roman"/>
          <w:sz w:val="24"/>
          <w:szCs w:val="24"/>
        </w:rPr>
        <w:t xml:space="preserve"> w</w:t>
      </w:r>
      <w:r w:rsidR="005E08FD" w:rsidRPr="00EC6C19">
        <w:rPr>
          <w:rFonts w:ascii="Times New Roman" w:hAnsi="Times New Roman" w:cs="Times New Roman"/>
          <w:sz w:val="24"/>
          <w:szCs w:val="24"/>
        </w:rPr>
        <w:t>ere</w:t>
      </w:r>
      <w:r w:rsidRPr="00EC6C19">
        <w:rPr>
          <w:rFonts w:ascii="Times New Roman" w:hAnsi="Times New Roman" w:cs="Times New Roman"/>
          <w:sz w:val="24"/>
          <w:szCs w:val="24"/>
        </w:rPr>
        <w:t xml:space="preserve"> taken at the most distally visualised point in the artery.</w:t>
      </w:r>
      <w:r w:rsidR="00D852FC" w:rsidRPr="00EC6C19">
        <w:rPr>
          <w:rFonts w:ascii="Times New Roman" w:hAnsi="Times New Roman" w:cs="Times New Roman"/>
          <w:sz w:val="24"/>
          <w:szCs w:val="24"/>
        </w:rPr>
        <w:t xml:space="preserve"> </w:t>
      </w:r>
      <w:r w:rsidR="005E08FD" w:rsidRPr="00EC6C19">
        <w:rPr>
          <w:rFonts w:ascii="Times New Roman" w:hAnsi="Times New Roman" w:cs="Times New Roman"/>
          <w:sz w:val="24"/>
          <w:szCs w:val="24"/>
        </w:rPr>
        <w:t>In clinical practice, the wire may not be placed as distally due to operator preference.</w:t>
      </w:r>
    </w:p>
    <w:p w14:paraId="4075899A" w14:textId="5D14AC44" w:rsidR="00D07228"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Human error may also lead to </w:t>
      </w:r>
      <w:r w:rsidR="003B779E" w:rsidRPr="00EC6C19">
        <w:rPr>
          <w:rFonts w:ascii="Times New Roman" w:hAnsi="Times New Roman" w:cs="Times New Roman"/>
          <w:sz w:val="24"/>
          <w:szCs w:val="24"/>
        </w:rPr>
        <w:t>variations</w:t>
      </w:r>
      <w:r w:rsidRPr="00EC6C19">
        <w:rPr>
          <w:rFonts w:ascii="Times New Roman" w:hAnsi="Times New Roman" w:cs="Times New Roman"/>
          <w:sz w:val="24"/>
          <w:szCs w:val="24"/>
        </w:rPr>
        <w:t xml:space="preserve"> in the maximal height measurements. Despite the greatest care, it is not unreasonable that two separate researchers may have obtained slightly different </w:t>
      </w:r>
      <w:r w:rsidR="005E08FD" w:rsidRPr="00EC6C19">
        <w:rPr>
          <w:rFonts w:ascii="Times New Roman" w:hAnsi="Times New Roman" w:cs="Times New Roman"/>
          <w:sz w:val="24"/>
          <w:szCs w:val="24"/>
        </w:rPr>
        <w:t>results</w:t>
      </w:r>
      <w:r w:rsidRPr="00EC6C19">
        <w:rPr>
          <w:rFonts w:ascii="Times New Roman" w:hAnsi="Times New Roman" w:cs="Times New Roman"/>
          <w:sz w:val="24"/>
          <w:szCs w:val="24"/>
        </w:rPr>
        <w:t>, using the same scans. The CT table is also slightly curved, meaning great care had to be taken to use the correct reference point each time when measuring the coronary arteries. Furthermore, the measurement point in the coronary artery was the central point in the lumen, which may lead to small reproducibility errors</w:t>
      </w:r>
      <w:r w:rsidR="00306912">
        <w:rPr>
          <w:rFonts w:ascii="Times New Roman" w:hAnsi="Times New Roman" w:cs="Times New Roman"/>
          <w:sz w:val="24"/>
          <w:szCs w:val="24"/>
        </w:rPr>
        <w:t>.</w:t>
      </w:r>
    </w:p>
    <w:p w14:paraId="782CA9A4" w14:textId="77777777" w:rsidR="00052F81" w:rsidRPr="00EC6C19" w:rsidRDefault="00052F81"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Whilst the vertical height deviation of a coronary artery from its ostium are gradual, it would have been useful to map the rate of change in height, with the horizontal distance from the ostium. </w:t>
      </w:r>
      <w:r>
        <w:rPr>
          <w:rFonts w:ascii="Times New Roman" w:hAnsi="Times New Roman" w:cs="Times New Roman"/>
          <w:sz w:val="24"/>
          <w:szCs w:val="24"/>
        </w:rPr>
        <w:t>Further data points to incorporate this would have been useful in retrospect.</w:t>
      </w:r>
    </w:p>
    <w:p w14:paraId="6474EA78" w14:textId="77777777" w:rsidR="00D07228" w:rsidRPr="00EC6C19" w:rsidRDefault="00D07228" w:rsidP="00D07228">
      <w:pPr>
        <w:spacing w:line="360" w:lineRule="auto"/>
        <w:rPr>
          <w:rFonts w:ascii="Times New Roman" w:hAnsi="Times New Roman" w:cs="Times New Roman"/>
          <w:sz w:val="24"/>
          <w:szCs w:val="24"/>
        </w:rPr>
      </w:pPr>
    </w:p>
    <w:p w14:paraId="7453DB07" w14:textId="77777777" w:rsidR="00D07228" w:rsidRPr="0019652D" w:rsidRDefault="0019652D" w:rsidP="0019652D">
      <w:pPr>
        <w:pStyle w:val="Heading3"/>
        <w:rPr>
          <w:rFonts w:ascii="Times New Roman" w:hAnsi="Times New Roman" w:cs="Times New Roman"/>
          <w:b w:val="0"/>
          <w:i/>
          <w:color w:val="auto"/>
          <w:sz w:val="24"/>
          <w:szCs w:val="24"/>
        </w:rPr>
      </w:pPr>
      <w:bookmarkStart w:id="103" w:name="_Toc80302219"/>
      <w:r w:rsidRPr="0019652D">
        <w:rPr>
          <w:rFonts w:ascii="Times New Roman" w:hAnsi="Times New Roman" w:cs="Times New Roman"/>
          <w:b w:val="0"/>
          <w:i/>
          <w:color w:val="auto"/>
          <w:sz w:val="24"/>
          <w:szCs w:val="24"/>
        </w:rPr>
        <w:lastRenderedPageBreak/>
        <w:t xml:space="preserve">2.7.4 - </w:t>
      </w:r>
      <w:r w:rsidR="00D07228" w:rsidRPr="0019652D">
        <w:rPr>
          <w:rFonts w:ascii="Times New Roman" w:hAnsi="Times New Roman" w:cs="Times New Roman"/>
          <w:b w:val="0"/>
          <w:i/>
          <w:color w:val="auto"/>
          <w:sz w:val="24"/>
          <w:szCs w:val="24"/>
        </w:rPr>
        <w:t>Mathematical Model</w:t>
      </w:r>
      <w:bookmarkEnd w:id="103"/>
    </w:p>
    <w:p w14:paraId="500688CA" w14:textId="77777777" w:rsidR="00D07228" w:rsidRPr="00EC6C19" w:rsidRDefault="0019652D" w:rsidP="00D07228">
      <w:pPr>
        <w:spacing w:line="360" w:lineRule="auto"/>
        <w:rPr>
          <w:rFonts w:ascii="Times New Roman" w:hAnsi="Times New Roman" w:cs="Times New Roman"/>
          <w:sz w:val="24"/>
          <w:szCs w:val="24"/>
        </w:rPr>
      </w:pPr>
      <w:r>
        <w:rPr>
          <w:rFonts w:ascii="Times New Roman" w:hAnsi="Times New Roman" w:cs="Times New Roman"/>
          <w:sz w:val="24"/>
          <w:szCs w:val="24"/>
        </w:rPr>
        <w:br/>
      </w:r>
    </w:p>
    <w:p w14:paraId="25BA80EE" w14:textId="6539C4CF"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Microsoft Excel™ was used to generate 200 random numbers between 0.75 and 0.85. 45.5% were below 0.8, and 55.5% were above. </w:t>
      </w:r>
      <w:r w:rsidR="005E08FD" w:rsidRPr="00EC6C19">
        <w:rPr>
          <w:rFonts w:ascii="Times New Roman" w:hAnsi="Times New Roman" w:cs="Times New Roman"/>
          <w:sz w:val="24"/>
          <w:szCs w:val="24"/>
        </w:rPr>
        <w:t xml:space="preserve">The distribution was not </w:t>
      </w:r>
      <w:r w:rsidR="003B779E" w:rsidRPr="00EC6C19">
        <w:rPr>
          <w:rFonts w:ascii="Times New Roman" w:hAnsi="Times New Roman" w:cs="Times New Roman"/>
          <w:sz w:val="24"/>
          <w:szCs w:val="24"/>
        </w:rPr>
        <w:t>equal</w:t>
      </w:r>
      <w:r w:rsidR="005E08FD" w:rsidRPr="00EC6C19">
        <w:rPr>
          <w:rFonts w:ascii="Times New Roman" w:hAnsi="Times New Roman" w:cs="Times New Roman"/>
          <w:sz w:val="24"/>
          <w:szCs w:val="24"/>
        </w:rPr>
        <w:t xml:space="preserve"> purely due to chance.</w:t>
      </w:r>
    </w:p>
    <w:p w14:paraId="7EF0F23D" w14:textId="77777777"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The model only factors in a single variable to a change in FFR, when in reality, hydrostatic pressure is a single potential variable. Whilst independent of stenosis severity, and position in the artery, hydrostatic pressure effects may be affected by patient factors such as heart rate and systemic blood pressure. This is also the case for FFR measurements in general.</w:t>
      </w:r>
    </w:p>
    <w:p w14:paraId="7C8A0ECF" w14:textId="6D7EE2FA" w:rsidR="00D07228" w:rsidRPr="00EC6C19" w:rsidRDefault="005E08FD"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Hydrostatic pressure </w:t>
      </w:r>
      <w:r w:rsidR="00D07228" w:rsidRPr="00EC6C19">
        <w:rPr>
          <w:rFonts w:ascii="Times New Roman" w:hAnsi="Times New Roman" w:cs="Times New Roman"/>
          <w:sz w:val="24"/>
          <w:szCs w:val="24"/>
        </w:rPr>
        <w:t>calculation uses a conversion factor of 0.8</w:t>
      </w:r>
      <w:r w:rsidR="00241D61">
        <w:rPr>
          <w:rFonts w:ascii="Times New Roman" w:hAnsi="Times New Roman" w:cs="Times New Roman"/>
          <w:sz w:val="24"/>
          <w:szCs w:val="24"/>
        </w:rPr>
        <w:t xml:space="preserve"> </w:t>
      </w:r>
      <w:r w:rsidR="00D07228" w:rsidRPr="00EC6C19">
        <w:rPr>
          <w:rFonts w:ascii="Times New Roman" w:hAnsi="Times New Roman" w:cs="Times New Roman"/>
          <w:sz w:val="24"/>
          <w:szCs w:val="24"/>
        </w:rPr>
        <w:t xml:space="preserve">mmHg/cm of vertical height. This is extrapolated from </w:t>
      </w:r>
      <w:r w:rsidR="007C7D90" w:rsidRPr="00EC6C19">
        <w:rPr>
          <w:rFonts w:ascii="Times New Roman" w:hAnsi="Times New Roman" w:cs="Times New Roman"/>
          <w:sz w:val="24"/>
          <w:szCs w:val="24"/>
        </w:rPr>
        <w:t>Härle's</w:t>
      </w:r>
      <w:r w:rsidR="00D07228" w:rsidRPr="00EC6C19">
        <w:rPr>
          <w:rFonts w:ascii="Times New Roman" w:hAnsi="Times New Roman" w:cs="Times New Roman"/>
          <w:sz w:val="24"/>
          <w:szCs w:val="24"/>
        </w:rPr>
        <w:t xml:space="preserve"> paper</w:t>
      </w:r>
      <w:r w:rsidR="00D852FC" w:rsidRPr="00EC6C19">
        <w:rPr>
          <w:rFonts w:ascii="Times New Roman" w:hAnsi="Times New Roman" w:cs="Times New Roman"/>
          <w:sz w:val="24"/>
          <w:szCs w:val="24"/>
        </w:rPr>
        <w:t xml:space="preserve"> </w:t>
      </w:r>
      <w:r w:rsidR="00D07228" w:rsidRPr="00EC6C19">
        <w:rPr>
          <w:rFonts w:ascii="Times New Roman" w:hAnsi="Times New Roman" w:cs="Times New Roman"/>
          <w:sz w:val="24"/>
          <w:szCs w:val="24"/>
        </w:rPr>
        <w:t>where a dynamic pressure simulator found the conversion rate to be 0.77</w:t>
      </w:r>
      <w:r w:rsidR="00241D61">
        <w:rPr>
          <w:rFonts w:ascii="Times New Roman" w:hAnsi="Times New Roman" w:cs="Times New Roman"/>
          <w:sz w:val="24"/>
          <w:szCs w:val="24"/>
        </w:rPr>
        <w:t xml:space="preserve"> </w:t>
      </w:r>
      <w:r w:rsidR="00D07228" w:rsidRPr="00EC6C19">
        <w:rPr>
          <w:rFonts w:ascii="Times New Roman" w:hAnsi="Times New Roman" w:cs="Times New Roman"/>
          <w:sz w:val="24"/>
          <w:szCs w:val="24"/>
        </w:rPr>
        <w:t xml:space="preserve">mmHg/cm using 0.9% saline. </w:t>
      </w:r>
      <w:r w:rsidR="00D07228" w:rsidRPr="00760B40">
        <w:rPr>
          <w:rFonts w:ascii="Times New Roman" w:hAnsi="Times New Roman" w:cs="Times New Roman"/>
          <w:i/>
          <w:iCs/>
          <w:sz w:val="24"/>
          <w:szCs w:val="24"/>
        </w:rPr>
        <w:t>In vivo</w:t>
      </w:r>
      <w:r w:rsidR="00D07228" w:rsidRPr="00EC6C19">
        <w:rPr>
          <w:rFonts w:ascii="Times New Roman" w:hAnsi="Times New Roman" w:cs="Times New Roman"/>
          <w:sz w:val="24"/>
          <w:szCs w:val="24"/>
        </w:rPr>
        <w:t>, where blood is the fluid, the assumed conversion rate will be higher, owing to blood's higher density, hence 0.8</w:t>
      </w:r>
      <w:r w:rsidR="00241D61">
        <w:rPr>
          <w:rFonts w:ascii="Times New Roman" w:hAnsi="Times New Roman" w:cs="Times New Roman"/>
          <w:sz w:val="24"/>
          <w:szCs w:val="24"/>
        </w:rPr>
        <w:t xml:space="preserve"> </w:t>
      </w:r>
      <w:r w:rsidR="00D07228" w:rsidRPr="00EC6C19">
        <w:rPr>
          <w:rFonts w:ascii="Times New Roman" w:hAnsi="Times New Roman" w:cs="Times New Roman"/>
          <w:sz w:val="24"/>
          <w:szCs w:val="24"/>
        </w:rPr>
        <w:t>mmHg is used in the model. This is the best estimate known at this time, and hence could be subject to change, potentially affecting the calculations within the model.</w:t>
      </w:r>
    </w:p>
    <w:p w14:paraId="576716C1" w14:textId="650A9556" w:rsidR="00D07228" w:rsidRPr="00EC6C19" w:rsidRDefault="00D07228" w:rsidP="00D07228">
      <w:pPr>
        <w:spacing w:line="360" w:lineRule="auto"/>
        <w:rPr>
          <w:rFonts w:ascii="Times New Roman" w:hAnsi="Times New Roman" w:cs="Times New Roman"/>
          <w:sz w:val="24"/>
          <w:szCs w:val="24"/>
        </w:rPr>
      </w:pPr>
      <w:r w:rsidRPr="00EC6C19">
        <w:rPr>
          <w:rFonts w:ascii="Times New Roman" w:hAnsi="Times New Roman" w:cs="Times New Roman"/>
          <w:sz w:val="24"/>
          <w:szCs w:val="24"/>
        </w:rPr>
        <w:t>Finally, the Pa pressure for all calculations is assumed to be 100</w:t>
      </w:r>
      <w:r w:rsidR="00FD0E8F">
        <w:rPr>
          <w:rFonts w:ascii="Times New Roman" w:hAnsi="Times New Roman" w:cs="Times New Roman"/>
          <w:sz w:val="24"/>
          <w:szCs w:val="24"/>
        </w:rPr>
        <w:t xml:space="preserve"> </w:t>
      </w:r>
      <w:r w:rsidRPr="00EC6C19">
        <w:rPr>
          <w:rFonts w:ascii="Times New Roman" w:hAnsi="Times New Roman" w:cs="Times New Roman"/>
          <w:sz w:val="24"/>
          <w:szCs w:val="24"/>
        </w:rPr>
        <w:t>mmHg. At maximal hyperaemia, Pa pressure will undoubtedly fall, possibly below 100</w:t>
      </w:r>
      <w:r w:rsidR="00FD0E8F">
        <w:rPr>
          <w:rFonts w:ascii="Times New Roman" w:hAnsi="Times New Roman" w:cs="Times New Roman"/>
          <w:sz w:val="24"/>
          <w:szCs w:val="24"/>
        </w:rPr>
        <w:t xml:space="preserve"> </w:t>
      </w:r>
      <w:r w:rsidRPr="00EC6C19">
        <w:rPr>
          <w:rFonts w:ascii="Times New Roman" w:hAnsi="Times New Roman" w:cs="Times New Roman"/>
          <w:sz w:val="24"/>
          <w:szCs w:val="24"/>
        </w:rPr>
        <w:t>mmHg, meaning a greater effect when Pd is altered or corrected for due to hydrostatic pressure. The opposite is true if Pa pressure is above 100</w:t>
      </w:r>
      <w:r w:rsidR="00241D61">
        <w:rPr>
          <w:rFonts w:ascii="Times New Roman" w:hAnsi="Times New Roman" w:cs="Times New Roman"/>
          <w:sz w:val="24"/>
          <w:szCs w:val="24"/>
        </w:rPr>
        <w:t xml:space="preserve"> </w:t>
      </w:r>
      <w:r w:rsidRPr="00EC6C19">
        <w:rPr>
          <w:rFonts w:ascii="Times New Roman" w:hAnsi="Times New Roman" w:cs="Times New Roman"/>
          <w:sz w:val="24"/>
          <w:szCs w:val="24"/>
        </w:rPr>
        <w:t>mmHg, with a lesser effect from hydrostatic pressure altering Pd.</w:t>
      </w:r>
    </w:p>
    <w:p w14:paraId="28E0D82F" w14:textId="77777777" w:rsidR="00D07228" w:rsidRPr="00EC6C19" w:rsidRDefault="00D07228" w:rsidP="00D07228">
      <w:pPr>
        <w:spacing w:line="360" w:lineRule="auto"/>
        <w:rPr>
          <w:rFonts w:ascii="Times New Roman" w:hAnsi="Times New Roman" w:cs="Times New Roman"/>
          <w:sz w:val="24"/>
          <w:szCs w:val="24"/>
        </w:rPr>
      </w:pPr>
    </w:p>
    <w:p w14:paraId="54D25665" w14:textId="77777777" w:rsidR="00D07228" w:rsidRPr="0019652D" w:rsidRDefault="0019652D" w:rsidP="0019652D">
      <w:pPr>
        <w:pStyle w:val="Heading2"/>
        <w:rPr>
          <w:rFonts w:ascii="Times New Roman" w:hAnsi="Times New Roman" w:cs="Times New Roman"/>
          <w:color w:val="auto"/>
          <w:sz w:val="24"/>
          <w:szCs w:val="24"/>
        </w:rPr>
      </w:pPr>
      <w:bookmarkStart w:id="104" w:name="_Toc80302220"/>
      <w:r w:rsidRPr="0019652D">
        <w:rPr>
          <w:rFonts w:ascii="Times New Roman" w:hAnsi="Times New Roman" w:cs="Times New Roman"/>
          <w:color w:val="auto"/>
          <w:sz w:val="24"/>
          <w:szCs w:val="24"/>
        </w:rPr>
        <w:t xml:space="preserve">2.8 - </w:t>
      </w:r>
      <w:r w:rsidR="007C7D90" w:rsidRPr="0019652D">
        <w:rPr>
          <w:rFonts w:ascii="Times New Roman" w:hAnsi="Times New Roman" w:cs="Times New Roman"/>
          <w:color w:val="auto"/>
          <w:sz w:val="24"/>
          <w:szCs w:val="24"/>
        </w:rPr>
        <w:t>Conclusions</w:t>
      </w:r>
      <w:bookmarkEnd w:id="104"/>
    </w:p>
    <w:p w14:paraId="244939EF" w14:textId="77777777" w:rsidR="00D07228" w:rsidRPr="00EC6C19" w:rsidRDefault="0019652D" w:rsidP="00D07228">
      <w:pPr>
        <w:spacing w:line="360" w:lineRule="auto"/>
        <w:rPr>
          <w:rFonts w:ascii="Times New Roman" w:hAnsi="Times New Roman" w:cs="Times New Roman"/>
          <w:b/>
          <w:sz w:val="24"/>
          <w:szCs w:val="24"/>
        </w:rPr>
      </w:pPr>
      <w:r>
        <w:rPr>
          <w:rFonts w:ascii="Times New Roman" w:hAnsi="Times New Roman" w:cs="Times New Roman"/>
          <w:b/>
          <w:sz w:val="24"/>
          <w:szCs w:val="24"/>
        </w:rPr>
        <w:br/>
      </w:r>
    </w:p>
    <w:p w14:paraId="2840461D" w14:textId="30860935" w:rsidR="00D07228" w:rsidRPr="00EC6C19" w:rsidRDefault="00D07228" w:rsidP="0045277C">
      <w:pPr>
        <w:spacing w:line="360" w:lineRule="auto"/>
        <w:rPr>
          <w:rFonts w:ascii="Times New Roman" w:hAnsi="Times New Roman" w:cs="Times New Roman"/>
          <w:sz w:val="24"/>
          <w:szCs w:val="24"/>
        </w:rPr>
      </w:pPr>
      <w:r w:rsidRPr="00EC6C19">
        <w:rPr>
          <w:rFonts w:ascii="Times New Roman" w:hAnsi="Times New Roman" w:cs="Times New Roman"/>
          <w:sz w:val="24"/>
          <w:szCs w:val="24"/>
        </w:rPr>
        <w:t>The distal point in all coronary arteries vary significantly in vertic</w:t>
      </w:r>
      <w:r w:rsidR="003B779E" w:rsidRPr="00EC6C19">
        <w:rPr>
          <w:rFonts w:ascii="Times New Roman" w:hAnsi="Times New Roman" w:cs="Times New Roman"/>
          <w:sz w:val="24"/>
          <w:szCs w:val="24"/>
        </w:rPr>
        <w:t>al height from their ostium, yet in clinical practice they are assumed to be 'level'</w:t>
      </w:r>
      <w:r w:rsidRPr="00EC6C19">
        <w:rPr>
          <w:rFonts w:ascii="Times New Roman" w:hAnsi="Times New Roman" w:cs="Times New Roman"/>
          <w:sz w:val="24"/>
          <w:szCs w:val="24"/>
        </w:rPr>
        <w:t>. The effect of this height variation is a difference in intracoronary pressure between the ostium and distal vessel d</w:t>
      </w:r>
      <w:r w:rsidR="003B779E" w:rsidRPr="00EC6C19">
        <w:rPr>
          <w:rFonts w:ascii="Times New Roman" w:hAnsi="Times New Roman" w:cs="Times New Roman"/>
          <w:sz w:val="24"/>
          <w:szCs w:val="24"/>
        </w:rPr>
        <w:t>ue to hydrostatic forces. Alterations in distal pressure lead</w:t>
      </w:r>
      <w:r w:rsidRPr="00EC6C19">
        <w:rPr>
          <w:rFonts w:ascii="Times New Roman" w:hAnsi="Times New Roman" w:cs="Times New Roman"/>
          <w:sz w:val="24"/>
          <w:szCs w:val="24"/>
        </w:rPr>
        <w:t xml:space="preserve"> to a change in FFR of 0.02 - 0.05 (assuming a Pa pressure of 100mmHg). Using a mathematical model</w:t>
      </w:r>
      <w:r w:rsidR="003B779E" w:rsidRPr="00EC6C19">
        <w:rPr>
          <w:rFonts w:ascii="Times New Roman" w:hAnsi="Times New Roman" w:cs="Times New Roman"/>
          <w:sz w:val="24"/>
          <w:szCs w:val="24"/>
        </w:rPr>
        <w:t xml:space="preserve"> and correcting for hydrostatic effect</w:t>
      </w:r>
      <w:r w:rsidRPr="00EC6C19">
        <w:rPr>
          <w:rFonts w:ascii="Times New Roman" w:hAnsi="Times New Roman" w:cs="Times New Roman"/>
          <w:sz w:val="24"/>
          <w:szCs w:val="24"/>
        </w:rPr>
        <w:t xml:space="preserve"> </w:t>
      </w:r>
      <w:r w:rsidR="003B779E" w:rsidRPr="00EC6C19">
        <w:rPr>
          <w:rFonts w:ascii="Times New Roman" w:hAnsi="Times New Roman" w:cs="Times New Roman"/>
          <w:sz w:val="24"/>
          <w:szCs w:val="24"/>
        </w:rPr>
        <w:t xml:space="preserve"> </w:t>
      </w:r>
      <w:r w:rsidRPr="00EC6C19">
        <w:rPr>
          <w:rFonts w:ascii="Times New Roman" w:hAnsi="Times New Roman" w:cs="Times New Roman"/>
          <w:sz w:val="24"/>
          <w:szCs w:val="24"/>
        </w:rPr>
        <w:t xml:space="preserve">46.5% </w:t>
      </w:r>
      <w:r w:rsidRPr="00EC6C19">
        <w:rPr>
          <w:rFonts w:ascii="Times New Roman" w:hAnsi="Times New Roman" w:cs="Times New Roman"/>
          <w:sz w:val="24"/>
          <w:szCs w:val="24"/>
        </w:rPr>
        <w:lastRenderedPageBreak/>
        <w:t xml:space="preserve">of </w:t>
      </w:r>
      <w:r w:rsidR="003B779E" w:rsidRPr="00EC6C19">
        <w:rPr>
          <w:rFonts w:ascii="Times New Roman" w:hAnsi="Times New Roman" w:cs="Times New Roman"/>
          <w:sz w:val="24"/>
          <w:szCs w:val="24"/>
        </w:rPr>
        <w:t xml:space="preserve"> FFR </w:t>
      </w:r>
      <w:r w:rsidRPr="00EC6C19">
        <w:rPr>
          <w:rFonts w:ascii="Times New Roman" w:hAnsi="Times New Roman" w:cs="Times New Roman"/>
          <w:sz w:val="24"/>
          <w:szCs w:val="24"/>
        </w:rPr>
        <w:t>measurements bet</w:t>
      </w:r>
      <w:r w:rsidR="003B779E" w:rsidRPr="00EC6C19">
        <w:rPr>
          <w:rFonts w:ascii="Times New Roman" w:hAnsi="Times New Roman" w:cs="Times New Roman"/>
          <w:sz w:val="24"/>
          <w:szCs w:val="24"/>
        </w:rPr>
        <w:t>ween 0.75 and 0.85 re-classify</w:t>
      </w:r>
      <w:r w:rsidRPr="00EC6C19">
        <w:rPr>
          <w:rFonts w:ascii="Times New Roman" w:hAnsi="Times New Roman" w:cs="Times New Roman"/>
          <w:sz w:val="24"/>
          <w:szCs w:val="24"/>
        </w:rPr>
        <w:t xml:space="preserve"> (from positive to negative, or vice versa) across a given treatment threshold of 0.8.</w:t>
      </w:r>
    </w:p>
    <w:p w14:paraId="44CE9A88" w14:textId="77777777" w:rsidR="00835EE7" w:rsidRPr="0019652D" w:rsidRDefault="003B779E" w:rsidP="0019652D">
      <w:pPr>
        <w:pStyle w:val="Heading1"/>
        <w:rPr>
          <w:rFonts w:ascii="Times New Roman" w:hAnsi="Times New Roman" w:cs="Times New Roman"/>
          <w:b w:val="0"/>
          <w:color w:val="auto"/>
          <w:sz w:val="24"/>
          <w:szCs w:val="24"/>
        </w:rPr>
      </w:pPr>
      <w:bookmarkStart w:id="105" w:name="_Toc80302221"/>
      <w:r w:rsidRPr="0019652D">
        <w:rPr>
          <w:rFonts w:ascii="Times New Roman" w:hAnsi="Times New Roman" w:cs="Times New Roman"/>
          <w:color w:val="auto"/>
          <w:sz w:val="24"/>
          <w:szCs w:val="24"/>
        </w:rPr>
        <w:t>Chapter III - Methods and Results from Invasive Physiology</w:t>
      </w:r>
      <w:bookmarkEnd w:id="105"/>
      <w:r w:rsidR="0019652D">
        <w:rPr>
          <w:rFonts w:ascii="Times New Roman" w:hAnsi="Times New Roman" w:cs="Times New Roman"/>
          <w:color w:val="auto"/>
          <w:sz w:val="24"/>
          <w:szCs w:val="24"/>
        </w:rPr>
        <w:br/>
      </w:r>
    </w:p>
    <w:p w14:paraId="450B1EA2" w14:textId="77777777" w:rsidR="002E67B8" w:rsidRPr="00EC6C19" w:rsidRDefault="002E67B8" w:rsidP="00835EE7">
      <w:pPr>
        <w:spacing w:line="360" w:lineRule="auto"/>
        <w:rPr>
          <w:rFonts w:ascii="Times New Roman" w:hAnsi="Times New Roman" w:cs="Times New Roman"/>
          <w:b/>
          <w:sz w:val="24"/>
          <w:szCs w:val="24"/>
          <w:u w:val="single"/>
        </w:rPr>
      </w:pPr>
    </w:p>
    <w:p w14:paraId="56A314C7" w14:textId="77777777" w:rsidR="00835EE7" w:rsidRPr="00357600" w:rsidRDefault="00357600" w:rsidP="00357600">
      <w:pPr>
        <w:pStyle w:val="Heading2"/>
        <w:rPr>
          <w:rFonts w:ascii="Times New Roman" w:hAnsi="Times New Roman" w:cs="Times New Roman"/>
          <w:color w:val="auto"/>
          <w:sz w:val="24"/>
          <w:szCs w:val="24"/>
        </w:rPr>
      </w:pPr>
      <w:bookmarkStart w:id="106" w:name="_Toc80302222"/>
      <w:r w:rsidRPr="00357600">
        <w:rPr>
          <w:rFonts w:ascii="Times New Roman" w:hAnsi="Times New Roman" w:cs="Times New Roman"/>
          <w:color w:val="auto"/>
          <w:sz w:val="24"/>
          <w:szCs w:val="24"/>
        </w:rPr>
        <w:t xml:space="preserve">3.1 - </w:t>
      </w:r>
      <w:r w:rsidR="009D00D7">
        <w:rPr>
          <w:rFonts w:ascii="Times New Roman" w:hAnsi="Times New Roman" w:cs="Times New Roman"/>
          <w:color w:val="auto"/>
          <w:sz w:val="24"/>
          <w:szCs w:val="24"/>
        </w:rPr>
        <w:t xml:space="preserve">Method </w:t>
      </w:r>
      <w:r w:rsidR="00835EE7" w:rsidRPr="00357600">
        <w:rPr>
          <w:rFonts w:ascii="Times New Roman" w:hAnsi="Times New Roman" w:cs="Times New Roman"/>
          <w:color w:val="auto"/>
          <w:sz w:val="24"/>
          <w:szCs w:val="24"/>
        </w:rPr>
        <w:t>Overview</w:t>
      </w:r>
      <w:bookmarkEnd w:id="106"/>
      <w:r>
        <w:rPr>
          <w:rFonts w:ascii="Times New Roman" w:hAnsi="Times New Roman" w:cs="Times New Roman"/>
          <w:color w:val="auto"/>
          <w:sz w:val="24"/>
          <w:szCs w:val="24"/>
        </w:rPr>
        <w:br/>
      </w:r>
    </w:p>
    <w:p w14:paraId="4960EDA9" w14:textId="77777777" w:rsidR="00835EE7" w:rsidRPr="00EC6C19" w:rsidRDefault="00835EE7" w:rsidP="00835EE7">
      <w:pPr>
        <w:spacing w:line="360" w:lineRule="auto"/>
        <w:rPr>
          <w:rFonts w:ascii="Times New Roman" w:hAnsi="Times New Roman" w:cs="Times New Roman"/>
          <w:b/>
          <w:sz w:val="24"/>
          <w:szCs w:val="24"/>
          <w:u w:val="single"/>
        </w:rPr>
      </w:pPr>
    </w:p>
    <w:p w14:paraId="268A3E4B" w14:textId="77777777" w:rsidR="00B840B0" w:rsidRPr="00EC6C19" w:rsidRDefault="00275950" w:rsidP="00D501BC">
      <w:pPr>
        <w:spacing w:line="360" w:lineRule="auto"/>
        <w:rPr>
          <w:rFonts w:ascii="Times New Roman" w:hAnsi="Times New Roman" w:cs="Times New Roman"/>
          <w:sz w:val="24"/>
          <w:szCs w:val="24"/>
        </w:rPr>
      </w:pPr>
      <w:r w:rsidRPr="00EC6C19">
        <w:rPr>
          <w:rFonts w:ascii="Times New Roman" w:hAnsi="Times New Roman" w:cs="Times New Roman"/>
          <w:sz w:val="24"/>
          <w:szCs w:val="24"/>
        </w:rPr>
        <w:t>GRAVITY is a prospective</w:t>
      </w:r>
      <w:r w:rsidR="001F68B8" w:rsidRPr="00EC6C19">
        <w:rPr>
          <w:rFonts w:ascii="Times New Roman" w:hAnsi="Times New Roman" w:cs="Times New Roman"/>
          <w:sz w:val="24"/>
          <w:szCs w:val="24"/>
        </w:rPr>
        <w:t xml:space="preserve"> observational</w:t>
      </w:r>
      <w:r w:rsidRPr="00EC6C19">
        <w:rPr>
          <w:rFonts w:ascii="Times New Roman" w:hAnsi="Times New Roman" w:cs="Times New Roman"/>
          <w:sz w:val="24"/>
          <w:szCs w:val="24"/>
        </w:rPr>
        <w:t xml:space="preserve"> study</w:t>
      </w:r>
      <w:r w:rsidR="001F68B8" w:rsidRPr="00EC6C19">
        <w:rPr>
          <w:rFonts w:ascii="Times New Roman" w:hAnsi="Times New Roman" w:cs="Times New Roman"/>
          <w:sz w:val="24"/>
          <w:szCs w:val="24"/>
        </w:rPr>
        <w:t xml:space="preserve"> conducted at the Essex Cardiothoracic Centre, Basildon and Thurrock University Hospitals NHS Foundation Trust comparing supine and prone invasive coronary physiology</w:t>
      </w:r>
      <w:r w:rsidRPr="00EC6C19">
        <w:rPr>
          <w:rFonts w:ascii="Times New Roman" w:hAnsi="Times New Roman" w:cs="Times New Roman"/>
          <w:sz w:val="24"/>
          <w:szCs w:val="24"/>
        </w:rPr>
        <w:t xml:space="preserve">. </w:t>
      </w:r>
    </w:p>
    <w:p w14:paraId="20848B2E" w14:textId="77777777" w:rsidR="00B840B0" w:rsidRPr="00EC6C19" w:rsidRDefault="00B86AC3" w:rsidP="00D501BC">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Prone patient position during invasive coronary angiography is a novel concept, with no previous guidance in the medical literature. </w:t>
      </w:r>
      <w:r w:rsidR="00E959DB" w:rsidRPr="00EC6C19">
        <w:rPr>
          <w:rFonts w:ascii="Times New Roman" w:hAnsi="Times New Roman" w:cs="Times New Roman"/>
          <w:sz w:val="24"/>
          <w:szCs w:val="24"/>
        </w:rPr>
        <w:t>At the time of writing, n</w:t>
      </w:r>
      <w:r w:rsidR="00D501BC" w:rsidRPr="00EC6C19">
        <w:rPr>
          <w:rFonts w:ascii="Times New Roman" w:hAnsi="Times New Roman" w:cs="Times New Roman"/>
          <w:sz w:val="24"/>
          <w:szCs w:val="24"/>
        </w:rPr>
        <w:t xml:space="preserve">o evidence existed of instrumentation of an artery </w:t>
      </w:r>
      <w:r w:rsidR="00E959DB" w:rsidRPr="00EC6C19">
        <w:rPr>
          <w:rFonts w:ascii="Times New Roman" w:hAnsi="Times New Roman" w:cs="Times New Roman"/>
          <w:sz w:val="24"/>
          <w:szCs w:val="24"/>
        </w:rPr>
        <w:t>in a prone patient</w:t>
      </w:r>
      <w:r w:rsidR="00D501BC" w:rsidRPr="00EC6C19">
        <w:rPr>
          <w:rFonts w:ascii="Times New Roman" w:hAnsi="Times New Roman" w:cs="Times New Roman"/>
          <w:sz w:val="24"/>
          <w:szCs w:val="24"/>
        </w:rPr>
        <w:t>.</w:t>
      </w:r>
      <w:r w:rsidR="001F68B8" w:rsidRPr="00EC6C19">
        <w:rPr>
          <w:rFonts w:ascii="Times New Roman" w:hAnsi="Times New Roman" w:cs="Times New Roman"/>
          <w:sz w:val="24"/>
          <w:szCs w:val="24"/>
        </w:rPr>
        <w:t xml:space="preserve"> I </w:t>
      </w:r>
      <w:r w:rsidR="00D65CDB" w:rsidRPr="00EC6C19">
        <w:rPr>
          <w:rFonts w:ascii="Times New Roman" w:hAnsi="Times New Roman" w:cs="Times New Roman"/>
          <w:sz w:val="24"/>
          <w:szCs w:val="24"/>
        </w:rPr>
        <w:t>designed the study and wrote the</w:t>
      </w:r>
      <w:r w:rsidR="001F68B8" w:rsidRPr="00EC6C19">
        <w:rPr>
          <w:rFonts w:ascii="Times New Roman" w:hAnsi="Times New Roman" w:cs="Times New Roman"/>
          <w:sz w:val="24"/>
          <w:szCs w:val="24"/>
        </w:rPr>
        <w:t xml:space="preserve"> protocol and </w:t>
      </w:r>
      <w:r w:rsidR="00D65CDB" w:rsidRPr="00EC6C19">
        <w:rPr>
          <w:rFonts w:ascii="Times New Roman" w:hAnsi="Times New Roman" w:cs="Times New Roman"/>
          <w:sz w:val="24"/>
          <w:szCs w:val="24"/>
        </w:rPr>
        <w:t xml:space="preserve">supporting </w:t>
      </w:r>
      <w:r w:rsidR="001F68B8" w:rsidRPr="00EC6C19">
        <w:rPr>
          <w:rFonts w:ascii="Times New Roman" w:hAnsi="Times New Roman" w:cs="Times New Roman"/>
          <w:sz w:val="24"/>
          <w:szCs w:val="24"/>
        </w:rPr>
        <w:t>documents, obtained ethical permission</w:t>
      </w:r>
      <w:r w:rsidR="00D65CDB" w:rsidRPr="00EC6C19">
        <w:rPr>
          <w:rFonts w:ascii="Times New Roman" w:hAnsi="Times New Roman" w:cs="Times New Roman"/>
          <w:sz w:val="24"/>
          <w:szCs w:val="24"/>
        </w:rPr>
        <w:t xml:space="preserve"> and</w:t>
      </w:r>
      <w:r w:rsidR="001F68B8" w:rsidRPr="00EC6C19">
        <w:rPr>
          <w:rFonts w:ascii="Times New Roman" w:hAnsi="Times New Roman" w:cs="Times New Roman"/>
          <w:sz w:val="24"/>
          <w:szCs w:val="24"/>
        </w:rPr>
        <w:t xml:space="preserve"> screened and recruited all patients.</w:t>
      </w:r>
      <w:r w:rsidR="00D65CDB" w:rsidRPr="00EC6C19">
        <w:rPr>
          <w:rFonts w:ascii="Times New Roman" w:hAnsi="Times New Roman" w:cs="Times New Roman"/>
          <w:sz w:val="24"/>
          <w:szCs w:val="24"/>
        </w:rPr>
        <w:t xml:space="preserve"> I collected all physiological data during angiography and performed subsequent analysis.</w:t>
      </w:r>
      <w:r w:rsidR="00D501BC" w:rsidRPr="00EC6C19">
        <w:rPr>
          <w:rFonts w:ascii="Times New Roman" w:hAnsi="Times New Roman" w:cs="Times New Roman"/>
          <w:sz w:val="24"/>
          <w:szCs w:val="24"/>
        </w:rPr>
        <w:t xml:space="preserve"> The first patient </w:t>
      </w:r>
      <w:r w:rsidR="00E959DB" w:rsidRPr="00EC6C19">
        <w:rPr>
          <w:rFonts w:ascii="Times New Roman" w:hAnsi="Times New Roman" w:cs="Times New Roman"/>
          <w:sz w:val="24"/>
          <w:szCs w:val="24"/>
        </w:rPr>
        <w:t>was successfully studied</w:t>
      </w:r>
      <w:r w:rsidR="00D501BC" w:rsidRPr="00EC6C19">
        <w:rPr>
          <w:rFonts w:ascii="Times New Roman" w:hAnsi="Times New Roman" w:cs="Times New Roman"/>
          <w:sz w:val="24"/>
          <w:szCs w:val="24"/>
        </w:rPr>
        <w:t xml:space="preserve"> at the Essex Cardiothoracic </w:t>
      </w:r>
      <w:r w:rsidR="00E959DB" w:rsidRPr="00EC6C19">
        <w:rPr>
          <w:rFonts w:ascii="Times New Roman" w:hAnsi="Times New Roman" w:cs="Times New Roman"/>
          <w:sz w:val="24"/>
          <w:szCs w:val="24"/>
        </w:rPr>
        <w:t>Centre in July 2017.</w:t>
      </w:r>
    </w:p>
    <w:p w14:paraId="17DC2593" w14:textId="77777777" w:rsidR="00835EE7" w:rsidRPr="00EC6C19" w:rsidRDefault="00275950"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There were many technical, </w:t>
      </w:r>
      <w:r w:rsidR="00675BAF" w:rsidRPr="00EC6C19">
        <w:rPr>
          <w:rFonts w:ascii="Times New Roman" w:hAnsi="Times New Roman" w:cs="Times New Roman"/>
          <w:sz w:val="24"/>
          <w:szCs w:val="24"/>
        </w:rPr>
        <w:t>safety</w:t>
      </w:r>
      <w:r w:rsidRPr="00EC6C19">
        <w:rPr>
          <w:rFonts w:ascii="Times New Roman" w:hAnsi="Times New Roman" w:cs="Times New Roman"/>
          <w:sz w:val="24"/>
          <w:szCs w:val="24"/>
        </w:rPr>
        <w:t xml:space="preserve"> and ethical</w:t>
      </w:r>
      <w:r w:rsidR="00675BAF" w:rsidRPr="00EC6C19">
        <w:rPr>
          <w:rFonts w:ascii="Times New Roman" w:hAnsi="Times New Roman" w:cs="Times New Roman"/>
          <w:sz w:val="24"/>
          <w:szCs w:val="24"/>
        </w:rPr>
        <w:t xml:space="preserve"> considerations which were addressed with careful planning and multiple trial runs using staff as practice patients.</w:t>
      </w:r>
    </w:p>
    <w:p w14:paraId="739A4547" w14:textId="77777777" w:rsidR="00D501BC" w:rsidRPr="00EC6C19" w:rsidRDefault="00D501BC" w:rsidP="00835EE7">
      <w:pPr>
        <w:spacing w:line="360" w:lineRule="auto"/>
        <w:rPr>
          <w:rFonts w:ascii="Times New Roman" w:hAnsi="Times New Roman" w:cs="Times New Roman"/>
          <w:sz w:val="24"/>
          <w:szCs w:val="24"/>
        </w:rPr>
      </w:pPr>
    </w:p>
    <w:p w14:paraId="00609C93" w14:textId="77777777" w:rsidR="00835EE7" w:rsidRPr="00357600" w:rsidRDefault="00357600" w:rsidP="00357600">
      <w:pPr>
        <w:pStyle w:val="Heading2"/>
        <w:rPr>
          <w:rFonts w:ascii="Times New Roman" w:hAnsi="Times New Roman" w:cs="Times New Roman"/>
          <w:color w:val="auto"/>
          <w:sz w:val="24"/>
          <w:szCs w:val="24"/>
        </w:rPr>
      </w:pPr>
      <w:bookmarkStart w:id="107" w:name="_Toc80302223"/>
      <w:r w:rsidRPr="00357600">
        <w:rPr>
          <w:rFonts w:ascii="Times New Roman" w:hAnsi="Times New Roman" w:cs="Times New Roman"/>
          <w:color w:val="auto"/>
          <w:sz w:val="24"/>
          <w:szCs w:val="24"/>
        </w:rPr>
        <w:t xml:space="preserve">3.2 - </w:t>
      </w:r>
      <w:r w:rsidR="00835EE7" w:rsidRPr="00357600">
        <w:rPr>
          <w:rFonts w:ascii="Times New Roman" w:hAnsi="Times New Roman" w:cs="Times New Roman"/>
          <w:color w:val="auto"/>
          <w:sz w:val="24"/>
          <w:szCs w:val="24"/>
        </w:rPr>
        <w:t>Primary and Secondary Endpoints</w:t>
      </w:r>
      <w:bookmarkEnd w:id="107"/>
      <w:r>
        <w:rPr>
          <w:rFonts w:ascii="Times New Roman" w:hAnsi="Times New Roman" w:cs="Times New Roman"/>
          <w:color w:val="auto"/>
          <w:sz w:val="24"/>
          <w:szCs w:val="24"/>
        </w:rPr>
        <w:br/>
      </w:r>
    </w:p>
    <w:p w14:paraId="1563568C" w14:textId="77777777" w:rsidR="00835EE7" w:rsidRPr="00EC6C19" w:rsidRDefault="00835EE7" w:rsidP="00835EE7">
      <w:pPr>
        <w:spacing w:line="360" w:lineRule="auto"/>
        <w:rPr>
          <w:rFonts w:ascii="Times New Roman" w:hAnsi="Times New Roman" w:cs="Times New Roman"/>
          <w:sz w:val="24"/>
          <w:szCs w:val="24"/>
        </w:rPr>
      </w:pPr>
    </w:p>
    <w:p w14:paraId="1EFBF39B" w14:textId="77777777" w:rsidR="00675BAF" w:rsidRPr="00EC6C19" w:rsidRDefault="00675BAF"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aim of the methodology is to capture data required to prove or disprove the end-points of the study. </w:t>
      </w:r>
    </w:p>
    <w:p w14:paraId="42BD52BD" w14:textId="77777777" w:rsidR="00675BAF" w:rsidRPr="00EC6C19" w:rsidRDefault="00675BAF" w:rsidP="00835EE7">
      <w:pPr>
        <w:spacing w:line="360" w:lineRule="auto"/>
        <w:rPr>
          <w:rFonts w:ascii="Times New Roman" w:hAnsi="Times New Roman" w:cs="Times New Roman"/>
          <w:sz w:val="24"/>
          <w:szCs w:val="24"/>
        </w:rPr>
      </w:pPr>
    </w:p>
    <w:p w14:paraId="741BE902" w14:textId="77777777" w:rsidR="00835EE7" w:rsidRPr="002822FA" w:rsidRDefault="00835EE7" w:rsidP="00835EE7">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Primary Endpoint</w:t>
      </w:r>
    </w:p>
    <w:p w14:paraId="6DC6F573" w14:textId="77777777" w:rsidR="00835EE7" w:rsidRDefault="00835EE7" w:rsidP="00835EE7">
      <w:pPr>
        <w:pStyle w:val="ListParagraph"/>
        <w:numPr>
          <w:ilvl w:val="0"/>
          <w:numId w:val="14"/>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The delta change in</w:t>
      </w:r>
      <w:r w:rsidR="00D852FC" w:rsidRPr="00EC6C19">
        <w:rPr>
          <w:rFonts w:ascii="Times New Roman" w:hAnsi="Times New Roman" w:cs="Times New Roman"/>
          <w:sz w:val="24"/>
          <w:szCs w:val="24"/>
        </w:rPr>
        <w:t xml:space="preserve"> </w:t>
      </w:r>
      <w:r w:rsidR="00342B56" w:rsidRPr="00EC6C19">
        <w:rPr>
          <w:rFonts w:ascii="Times New Roman" w:hAnsi="Times New Roman" w:cs="Times New Roman"/>
          <w:sz w:val="24"/>
          <w:szCs w:val="24"/>
        </w:rPr>
        <w:t>pressure based measurements</w:t>
      </w:r>
      <w:r w:rsidRPr="00EC6C19">
        <w:rPr>
          <w:rFonts w:ascii="Times New Roman" w:hAnsi="Times New Roman" w:cs="Times New Roman"/>
          <w:sz w:val="24"/>
          <w:szCs w:val="24"/>
        </w:rPr>
        <w:t xml:space="preserve"> between supine and prone measurements</w:t>
      </w:r>
    </w:p>
    <w:p w14:paraId="04C32335" w14:textId="77777777" w:rsidR="002822FA" w:rsidRDefault="002822FA" w:rsidP="002822FA">
      <w:pPr>
        <w:spacing w:after="0" w:line="360" w:lineRule="auto"/>
        <w:rPr>
          <w:rFonts w:ascii="Times New Roman" w:hAnsi="Times New Roman" w:cs="Times New Roman"/>
          <w:sz w:val="24"/>
          <w:szCs w:val="24"/>
        </w:rPr>
      </w:pPr>
    </w:p>
    <w:p w14:paraId="4D2A676B" w14:textId="77777777" w:rsidR="002822FA" w:rsidRPr="002822FA" w:rsidRDefault="002822FA" w:rsidP="002822FA">
      <w:pPr>
        <w:spacing w:after="0" w:line="360" w:lineRule="auto"/>
        <w:rPr>
          <w:rFonts w:ascii="Times New Roman" w:hAnsi="Times New Roman" w:cs="Times New Roman"/>
          <w:sz w:val="24"/>
          <w:szCs w:val="24"/>
        </w:rPr>
      </w:pPr>
    </w:p>
    <w:p w14:paraId="6ECE526E" w14:textId="77777777" w:rsidR="00835EE7" w:rsidRPr="002822FA" w:rsidRDefault="00835EE7" w:rsidP="00835EE7">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Secondary Endpoint</w:t>
      </w:r>
    </w:p>
    <w:p w14:paraId="7C3D28A3" w14:textId="77777777" w:rsidR="00835EE7" w:rsidRPr="00EC6C19" w:rsidRDefault="00835EE7" w:rsidP="00835EE7">
      <w:pPr>
        <w:pStyle w:val="ListParagraph"/>
        <w:numPr>
          <w:ilvl w:val="0"/>
          <w:numId w:val="14"/>
        </w:numPr>
        <w:spacing w:after="0" w:line="360" w:lineRule="auto"/>
        <w:rPr>
          <w:rFonts w:ascii="Times New Roman" w:hAnsi="Times New Roman" w:cs="Times New Roman"/>
          <w:sz w:val="24"/>
          <w:szCs w:val="24"/>
          <w:u w:val="single"/>
        </w:rPr>
      </w:pPr>
      <w:r w:rsidRPr="00EC6C19">
        <w:rPr>
          <w:rFonts w:ascii="Times New Roman" w:hAnsi="Times New Roman" w:cs="Times New Roman"/>
          <w:sz w:val="24"/>
          <w:szCs w:val="24"/>
        </w:rPr>
        <w:t>The delta change in velocity recordings, between supine and prone measurements</w:t>
      </w:r>
    </w:p>
    <w:p w14:paraId="514CFDF5" w14:textId="77777777" w:rsidR="00977CA6" w:rsidRPr="00EC6C19" w:rsidRDefault="00977CA6">
      <w:pPr>
        <w:spacing w:line="360" w:lineRule="auto"/>
        <w:rPr>
          <w:rFonts w:ascii="Times New Roman" w:hAnsi="Times New Roman" w:cs="Times New Roman"/>
          <w:sz w:val="24"/>
          <w:szCs w:val="24"/>
        </w:rPr>
      </w:pPr>
      <w:bookmarkStart w:id="108" w:name="Methods"/>
      <w:bookmarkEnd w:id="108"/>
    </w:p>
    <w:p w14:paraId="11B78CE1" w14:textId="77777777" w:rsidR="00835EE7" w:rsidRPr="00EC6C19" w:rsidRDefault="00835EE7" w:rsidP="00835EE7">
      <w:pPr>
        <w:spacing w:line="360" w:lineRule="auto"/>
        <w:rPr>
          <w:rFonts w:ascii="Times New Roman" w:hAnsi="Times New Roman" w:cs="Times New Roman"/>
          <w:sz w:val="24"/>
          <w:szCs w:val="24"/>
        </w:rPr>
      </w:pPr>
    </w:p>
    <w:p w14:paraId="49A4444B" w14:textId="77777777" w:rsidR="00835EE7" w:rsidRPr="002822FA" w:rsidRDefault="002822FA" w:rsidP="002822FA">
      <w:pPr>
        <w:pStyle w:val="Heading2"/>
        <w:rPr>
          <w:rFonts w:ascii="Times New Roman" w:hAnsi="Times New Roman" w:cs="Times New Roman"/>
          <w:color w:val="auto"/>
          <w:sz w:val="24"/>
          <w:szCs w:val="24"/>
        </w:rPr>
      </w:pPr>
      <w:bookmarkStart w:id="109" w:name="_Toc80302224"/>
      <w:r w:rsidRPr="002822FA">
        <w:rPr>
          <w:rFonts w:ascii="Times New Roman" w:hAnsi="Times New Roman" w:cs="Times New Roman"/>
          <w:color w:val="auto"/>
          <w:sz w:val="24"/>
          <w:szCs w:val="24"/>
        </w:rPr>
        <w:t xml:space="preserve">3.3 - </w:t>
      </w:r>
      <w:r>
        <w:rPr>
          <w:rFonts w:ascii="Times New Roman" w:hAnsi="Times New Roman" w:cs="Times New Roman"/>
          <w:color w:val="auto"/>
          <w:sz w:val="24"/>
          <w:szCs w:val="24"/>
        </w:rPr>
        <w:t>Ethical Approval and Study Population</w:t>
      </w:r>
      <w:bookmarkEnd w:id="109"/>
    </w:p>
    <w:p w14:paraId="3DDCBFB2" w14:textId="77777777" w:rsidR="00835EE7" w:rsidRPr="00EC6C19" w:rsidRDefault="002822FA" w:rsidP="00835EE7">
      <w:pPr>
        <w:spacing w:line="360" w:lineRule="auto"/>
        <w:rPr>
          <w:rFonts w:ascii="Times New Roman" w:hAnsi="Times New Roman" w:cs="Times New Roman"/>
          <w:i/>
          <w:sz w:val="24"/>
          <w:szCs w:val="24"/>
        </w:rPr>
      </w:pPr>
      <w:r>
        <w:rPr>
          <w:rFonts w:ascii="Times New Roman" w:hAnsi="Times New Roman" w:cs="Times New Roman"/>
          <w:i/>
          <w:sz w:val="24"/>
          <w:szCs w:val="24"/>
        </w:rPr>
        <w:br/>
      </w:r>
    </w:p>
    <w:p w14:paraId="58B2F052" w14:textId="77777777" w:rsidR="00835EE7" w:rsidRPr="002822FA" w:rsidRDefault="002822FA" w:rsidP="002822FA">
      <w:pPr>
        <w:pStyle w:val="Heading3"/>
        <w:rPr>
          <w:rFonts w:ascii="Times New Roman" w:hAnsi="Times New Roman" w:cs="Times New Roman"/>
          <w:b w:val="0"/>
          <w:i/>
          <w:color w:val="auto"/>
          <w:sz w:val="24"/>
          <w:szCs w:val="24"/>
        </w:rPr>
      </w:pPr>
      <w:bookmarkStart w:id="110" w:name="_Toc80302225"/>
      <w:r w:rsidRPr="002822FA">
        <w:rPr>
          <w:rFonts w:ascii="Times New Roman" w:hAnsi="Times New Roman" w:cs="Times New Roman"/>
          <w:b w:val="0"/>
          <w:i/>
          <w:color w:val="auto"/>
          <w:sz w:val="24"/>
          <w:szCs w:val="24"/>
        </w:rPr>
        <w:t xml:space="preserve">3.3.1 - </w:t>
      </w:r>
      <w:r w:rsidR="00835EE7" w:rsidRPr="002822FA">
        <w:rPr>
          <w:rFonts w:ascii="Times New Roman" w:hAnsi="Times New Roman" w:cs="Times New Roman"/>
          <w:b w:val="0"/>
          <w:i/>
          <w:color w:val="auto"/>
          <w:sz w:val="24"/>
          <w:szCs w:val="24"/>
        </w:rPr>
        <w:t>Ethical Approval</w:t>
      </w:r>
      <w:bookmarkEnd w:id="110"/>
      <w:r>
        <w:rPr>
          <w:rFonts w:ascii="Times New Roman" w:hAnsi="Times New Roman" w:cs="Times New Roman"/>
          <w:b w:val="0"/>
          <w:i/>
          <w:color w:val="auto"/>
          <w:sz w:val="24"/>
          <w:szCs w:val="24"/>
        </w:rPr>
        <w:br/>
      </w:r>
    </w:p>
    <w:p w14:paraId="63BA5FC4" w14:textId="77777777" w:rsidR="00027594" w:rsidRPr="00EC6C19" w:rsidRDefault="00027594" w:rsidP="00835EE7">
      <w:pPr>
        <w:spacing w:line="360" w:lineRule="auto"/>
        <w:rPr>
          <w:rFonts w:ascii="Times New Roman" w:hAnsi="Times New Roman" w:cs="Times New Roman"/>
          <w:i/>
          <w:sz w:val="24"/>
          <w:szCs w:val="24"/>
          <w:u w:val="single"/>
        </w:rPr>
      </w:pPr>
    </w:p>
    <w:p w14:paraId="7FF8C435" w14:textId="77777777"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The study protocol was given a favourable opinion by the East of England - Cambridge South Research Ethics Committee on 16th of March 2017.</w:t>
      </w:r>
    </w:p>
    <w:p w14:paraId="058C1593" w14:textId="77777777" w:rsidR="00835EE7" w:rsidRPr="00EC6C19" w:rsidRDefault="00835EE7" w:rsidP="00835EE7">
      <w:pPr>
        <w:spacing w:line="360" w:lineRule="auto"/>
        <w:rPr>
          <w:rFonts w:ascii="Times New Roman" w:hAnsi="Times New Roman" w:cs="Times New Roman"/>
          <w:i/>
          <w:sz w:val="24"/>
          <w:szCs w:val="24"/>
        </w:rPr>
      </w:pPr>
    </w:p>
    <w:p w14:paraId="6A2466AA" w14:textId="77777777" w:rsidR="00D65CDB" w:rsidRPr="002822FA" w:rsidRDefault="002822FA" w:rsidP="002822FA">
      <w:pPr>
        <w:pStyle w:val="Heading3"/>
        <w:rPr>
          <w:rFonts w:ascii="Times New Roman" w:hAnsi="Times New Roman" w:cs="Times New Roman"/>
          <w:b w:val="0"/>
          <w:i/>
          <w:color w:val="auto"/>
          <w:sz w:val="24"/>
          <w:szCs w:val="24"/>
        </w:rPr>
      </w:pPr>
      <w:bookmarkStart w:id="111" w:name="_Toc80302226"/>
      <w:r w:rsidRPr="002822FA">
        <w:rPr>
          <w:rFonts w:ascii="Times New Roman" w:hAnsi="Times New Roman" w:cs="Times New Roman"/>
          <w:b w:val="0"/>
          <w:i/>
          <w:color w:val="auto"/>
          <w:sz w:val="24"/>
          <w:szCs w:val="24"/>
        </w:rPr>
        <w:t xml:space="preserve">3.3.2 - </w:t>
      </w:r>
      <w:r w:rsidR="00D65CDB" w:rsidRPr="002822FA">
        <w:rPr>
          <w:rFonts w:ascii="Times New Roman" w:hAnsi="Times New Roman" w:cs="Times New Roman"/>
          <w:b w:val="0"/>
          <w:i/>
          <w:color w:val="auto"/>
          <w:sz w:val="24"/>
          <w:szCs w:val="24"/>
        </w:rPr>
        <w:t>Clinical Study Registration</w:t>
      </w:r>
      <w:bookmarkEnd w:id="111"/>
      <w:r>
        <w:rPr>
          <w:rFonts w:ascii="Times New Roman" w:hAnsi="Times New Roman" w:cs="Times New Roman"/>
          <w:b w:val="0"/>
          <w:i/>
          <w:color w:val="auto"/>
          <w:sz w:val="24"/>
          <w:szCs w:val="24"/>
        </w:rPr>
        <w:br/>
      </w:r>
    </w:p>
    <w:p w14:paraId="118385CA" w14:textId="77777777" w:rsidR="002F075A" w:rsidRPr="00EC6C19" w:rsidRDefault="002F075A" w:rsidP="00835EE7">
      <w:pPr>
        <w:spacing w:line="360" w:lineRule="auto"/>
        <w:rPr>
          <w:rFonts w:ascii="Times New Roman" w:hAnsi="Times New Roman" w:cs="Times New Roman"/>
          <w:i/>
          <w:sz w:val="24"/>
          <w:szCs w:val="24"/>
        </w:rPr>
      </w:pPr>
    </w:p>
    <w:p w14:paraId="7DB05DC9" w14:textId="77777777" w:rsidR="00D65CDB" w:rsidRPr="00EC6C19" w:rsidRDefault="002F075A"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GRAVITY study is registered on the clinical database website ClinicalTrials.gov (identifier: </w:t>
      </w:r>
      <w:r w:rsidRPr="00EC6C19">
        <w:rPr>
          <w:rFonts w:ascii="Times New Roman" w:hAnsi="Times New Roman" w:cs="Times New Roman"/>
          <w:color w:val="000000"/>
          <w:sz w:val="24"/>
          <w:szCs w:val="24"/>
          <w:shd w:val="clear" w:color="auto" w:fill="FFFFFF"/>
        </w:rPr>
        <w:t>NCT03097172)</w:t>
      </w:r>
      <w:r w:rsidRPr="00EC6C19">
        <w:rPr>
          <w:rFonts w:ascii="Times New Roman" w:hAnsi="Times New Roman" w:cs="Times New Roman"/>
          <w:sz w:val="24"/>
          <w:szCs w:val="24"/>
        </w:rPr>
        <w:t>.</w:t>
      </w:r>
    </w:p>
    <w:p w14:paraId="720AEC31" w14:textId="77777777" w:rsidR="00D65CDB" w:rsidRDefault="00D65CDB" w:rsidP="00835EE7">
      <w:pPr>
        <w:spacing w:line="360" w:lineRule="auto"/>
        <w:rPr>
          <w:rFonts w:ascii="Times New Roman" w:hAnsi="Times New Roman" w:cs="Times New Roman"/>
          <w:sz w:val="24"/>
          <w:szCs w:val="24"/>
        </w:rPr>
      </w:pPr>
    </w:p>
    <w:p w14:paraId="2813FD87" w14:textId="77777777" w:rsidR="00CE002A" w:rsidRPr="00EC6C19" w:rsidRDefault="00CE002A" w:rsidP="00835EE7">
      <w:pPr>
        <w:spacing w:line="360" w:lineRule="auto"/>
        <w:rPr>
          <w:rFonts w:ascii="Times New Roman" w:hAnsi="Times New Roman" w:cs="Times New Roman"/>
          <w:sz w:val="24"/>
          <w:szCs w:val="24"/>
        </w:rPr>
      </w:pPr>
    </w:p>
    <w:p w14:paraId="21F1E2E9" w14:textId="77777777" w:rsidR="00835EE7" w:rsidRPr="002822FA" w:rsidRDefault="002822FA" w:rsidP="002822FA">
      <w:pPr>
        <w:pStyle w:val="Heading3"/>
        <w:rPr>
          <w:rFonts w:ascii="Times New Roman" w:hAnsi="Times New Roman" w:cs="Times New Roman"/>
          <w:b w:val="0"/>
          <w:i/>
          <w:color w:val="auto"/>
          <w:sz w:val="24"/>
          <w:szCs w:val="24"/>
        </w:rPr>
      </w:pPr>
      <w:bookmarkStart w:id="112" w:name="_Toc80302227"/>
      <w:r w:rsidRPr="002822FA">
        <w:rPr>
          <w:rFonts w:ascii="Times New Roman" w:hAnsi="Times New Roman" w:cs="Times New Roman"/>
          <w:b w:val="0"/>
          <w:i/>
          <w:color w:val="auto"/>
          <w:sz w:val="24"/>
          <w:szCs w:val="24"/>
        </w:rPr>
        <w:t xml:space="preserve">3.3.3 - </w:t>
      </w:r>
      <w:r w:rsidR="002F075A" w:rsidRPr="002822FA">
        <w:rPr>
          <w:rFonts w:ascii="Times New Roman" w:hAnsi="Times New Roman" w:cs="Times New Roman"/>
          <w:b w:val="0"/>
          <w:i/>
          <w:color w:val="auto"/>
          <w:sz w:val="24"/>
          <w:szCs w:val="24"/>
        </w:rPr>
        <w:t>Study Population</w:t>
      </w:r>
      <w:bookmarkEnd w:id="112"/>
      <w:r>
        <w:rPr>
          <w:rFonts w:ascii="Times New Roman" w:hAnsi="Times New Roman" w:cs="Times New Roman"/>
          <w:b w:val="0"/>
          <w:i/>
          <w:color w:val="auto"/>
          <w:sz w:val="24"/>
          <w:szCs w:val="24"/>
        </w:rPr>
        <w:br/>
      </w:r>
    </w:p>
    <w:p w14:paraId="579AC754" w14:textId="77777777" w:rsidR="00835EE7" w:rsidRPr="00EC6C19" w:rsidRDefault="00835EE7" w:rsidP="00835EE7">
      <w:pPr>
        <w:spacing w:line="360" w:lineRule="auto"/>
        <w:rPr>
          <w:rFonts w:ascii="Times New Roman" w:hAnsi="Times New Roman" w:cs="Times New Roman"/>
          <w:i/>
          <w:sz w:val="24"/>
          <w:szCs w:val="24"/>
          <w:u w:val="single"/>
        </w:rPr>
      </w:pPr>
    </w:p>
    <w:p w14:paraId="67DDD4AE" w14:textId="77777777"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 xml:space="preserve">The </w:t>
      </w:r>
      <w:r w:rsidR="00FA3F3A" w:rsidRPr="00EC6C19">
        <w:rPr>
          <w:rFonts w:ascii="Times New Roman" w:hAnsi="Times New Roman" w:cs="Times New Roman"/>
          <w:sz w:val="24"/>
          <w:szCs w:val="24"/>
        </w:rPr>
        <w:t>study population</w:t>
      </w:r>
      <w:r w:rsidRPr="00EC6C19">
        <w:rPr>
          <w:rFonts w:ascii="Times New Roman" w:hAnsi="Times New Roman" w:cs="Times New Roman"/>
          <w:sz w:val="24"/>
          <w:szCs w:val="24"/>
        </w:rPr>
        <w:t xml:space="preserve"> consisted of patients with coronary artery disease of 'moderate severity' referred to our institution for further assessment of coronary artery severity in the form of a </w:t>
      </w:r>
      <w:r w:rsidR="00994FFE" w:rsidRPr="00EC6C19">
        <w:rPr>
          <w:rFonts w:ascii="Times New Roman" w:hAnsi="Times New Roman" w:cs="Times New Roman"/>
          <w:sz w:val="24"/>
          <w:szCs w:val="24"/>
        </w:rPr>
        <w:t xml:space="preserve">'pressure wire'. All were </w:t>
      </w:r>
      <w:r w:rsidRPr="00EC6C19">
        <w:rPr>
          <w:rFonts w:ascii="Times New Roman" w:hAnsi="Times New Roman" w:cs="Times New Roman"/>
          <w:sz w:val="24"/>
          <w:szCs w:val="24"/>
        </w:rPr>
        <w:t>elective</w:t>
      </w:r>
      <w:r w:rsidR="00994FFE" w:rsidRPr="00EC6C19">
        <w:rPr>
          <w:rFonts w:ascii="Times New Roman" w:hAnsi="Times New Roman" w:cs="Times New Roman"/>
          <w:sz w:val="24"/>
          <w:szCs w:val="24"/>
        </w:rPr>
        <w:t xml:space="preserve"> day case</w:t>
      </w:r>
      <w:r w:rsidRPr="00EC6C19">
        <w:rPr>
          <w:rFonts w:ascii="Times New Roman" w:hAnsi="Times New Roman" w:cs="Times New Roman"/>
          <w:sz w:val="24"/>
          <w:szCs w:val="24"/>
        </w:rPr>
        <w:t xml:space="preserve"> patients</w:t>
      </w:r>
      <w:r w:rsidR="00994FFE" w:rsidRPr="00EC6C19">
        <w:rPr>
          <w:rFonts w:ascii="Times New Roman" w:hAnsi="Times New Roman" w:cs="Times New Roman"/>
          <w:sz w:val="24"/>
          <w:szCs w:val="24"/>
        </w:rPr>
        <w:t xml:space="preserve"> loaded with aspirin and clopidogrel in preparation for possible stent implantation</w:t>
      </w:r>
      <w:r w:rsidRPr="00EC6C19">
        <w:rPr>
          <w:rFonts w:ascii="Times New Roman" w:hAnsi="Times New Roman" w:cs="Times New Roman"/>
          <w:sz w:val="24"/>
          <w:szCs w:val="24"/>
        </w:rPr>
        <w:t>.</w:t>
      </w:r>
      <w:r w:rsidR="00994FFE" w:rsidRPr="00EC6C19">
        <w:rPr>
          <w:rFonts w:ascii="Times New Roman" w:hAnsi="Times New Roman" w:cs="Times New Roman"/>
          <w:sz w:val="24"/>
          <w:szCs w:val="24"/>
        </w:rPr>
        <w:t xml:space="preserve"> </w:t>
      </w:r>
      <w:r w:rsidR="00FA3F3A" w:rsidRPr="00EC6C19">
        <w:rPr>
          <w:rFonts w:ascii="Times New Roman" w:hAnsi="Times New Roman" w:cs="Times New Roman"/>
          <w:sz w:val="24"/>
          <w:szCs w:val="24"/>
        </w:rPr>
        <w:t>All patients were provided with written study information and the chance to ask any questions before giving written consent.</w:t>
      </w:r>
      <w:r w:rsidR="00D478C8" w:rsidRPr="00EC6C19">
        <w:rPr>
          <w:rFonts w:ascii="Times New Roman" w:hAnsi="Times New Roman" w:cs="Times New Roman"/>
          <w:sz w:val="24"/>
          <w:szCs w:val="24"/>
        </w:rPr>
        <w:t xml:space="preserve"> They were also involved of their right to withdraw at any time, without affecting their medical care.</w:t>
      </w:r>
    </w:p>
    <w:p w14:paraId="4434F805" w14:textId="77777777" w:rsidR="007648C0" w:rsidRPr="00A60EED"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Inclusion and exclusion criteria are given </w:t>
      </w:r>
      <w:r w:rsidRPr="007F2FD6">
        <w:rPr>
          <w:rFonts w:ascii="Times New Roman" w:hAnsi="Times New Roman" w:cs="Times New Roman"/>
          <w:sz w:val="24"/>
          <w:szCs w:val="24"/>
        </w:rPr>
        <w:t xml:space="preserve">below (Table </w:t>
      </w:r>
      <w:r w:rsidR="007F2FD6" w:rsidRPr="007F2FD6">
        <w:rPr>
          <w:rFonts w:ascii="Times New Roman" w:hAnsi="Times New Roman" w:cs="Times New Roman"/>
          <w:sz w:val="24"/>
          <w:szCs w:val="24"/>
        </w:rPr>
        <w:t>10</w:t>
      </w:r>
      <w:r w:rsidRPr="007F2FD6">
        <w:rPr>
          <w:rFonts w:ascii="Times New Roman" w:hAnsi="Times New Roman" w:cs="Times New Roman"/>
          <w:sz w:val="24"/>
          <w:szCs w:val="24"/>
        </w:rPr>
        <w:t>), as</w:t>
      </w:r>
      <w:r w:rsidRPr="00EC6C19">
        <w:rPr>
          <w:rFonts w:ascii="Times New Roman" w:hAnsi="Times New Roman" w:cs="Times New Roman"/>
          <w:sz w:val="24"/>
          <w:szCs w:val="24"/>
        </w:rPr>
        <w:t xml:space="preserve"> well as a flowchart summarising the </w:t>
      </w:r>
      <w:r w:rsidRPr="00A60EED">
        <w:rPr>
          <w:rFonts w:ascii="Times New Roman" w:hAnsi="Times New Roman" w:cs="Times New Roman"/>
          <w:sz w:val="24"/>
          <w:szCs w:val="24"/>
        </w:rPr>
        <w:t>procedure (F</w:t>
      </w:r>
      <w:r w:rsidR="00A60EED" w:rsidRPr="00A60EED">
        <w:rPr>
          <w:rFonts w:ascii="Times New Roman" w:hAnsi="Times New Roman" w:cs="Times New Roman"/>
          <w:sz w:val="24"/>
          <w:szCs w:val="24"/>
        </w:rPr>
        <w:t>igure 22</w:t>
      </w:r>
      <w:r w:rsidR="003D0808" w:rsidRPr="00A60EED">
        <w:rPr>
          <w:rFonts w:ascii="Times New Roman" w:hAnsi="Times New Roman" w:cs="Times New Roman"/>
          <w:sz w:val="24"/>
          <w:szCs w:val="24"/>
        </w:rPr>
        <w:t>)</w:t>
      </w:r>
    </w:p>
    <w:p w14:paraId="3F1BA55E" w14:textId="77777777" w:rsidR="007648C0" w:rsidRPr="00EC6C19" w:rsidRDefault="007648C0" w:rsidP="00835EE7">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4248"/>
        <w:gridCol w:w="4248"/>
      </w:tblGrid>
      <w:tr w:rsidR="00835EE7" w:rsidRPr="00EC6C19" w14:paraId="5460F856" w14:textId="77777777" w:rsidTr="00F31D6C">
        <w:tc>
          <w:tcPr>
            <w:tcW w:w="4248" w:type="dxa"/>
            <w:tcBorders>
              <w:bottom w:val="single" w:sz="18" w:space="0" w:color="000000" w:themeColor="text1"/>
            </w:tcBorders>
            <w:shd w:val="clear" w:color="auto" w:fill="F2F2F2" w:themeFill="background1" w:themeFillShade="F2"/>
          </w:tcPr>
          <w:p w14:paraId="22A3E0EA" w14:textId="77777777" w:rsidR="00835EE7" w:rsidRPr="00EC6C19" w:rsidRDefault="00835EE7" w:rsidP="00863799">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Inclusion Criteria</w:t>
            </w:r>
          </w:p>
          <w:p w14:paraId="03F83BB7" w14:textId="77777777" w:rsidR="00835EE7" w:rsidRPr="00EC6C19" w:rsidRDefault="00835EE7" w:rsidP="00863799">
            <w:pPr>
              <w:spacing w:line="360" w:lineRule="auto"/>
              <w:jc w:val="center"/>
              <w:rPr>
                <w:rFonts w:ascii="Times New Roman" w:hAnsi="Times New Roman" w:cs="Times New Roman"/>
                <w:sz w:val="24"/>
                <w:szCs w:val="24"/>
              </w:rPr>
            </w:pPr>
          </w:p>
        </w:tc>
        <w:tc>
          <w:tcPr>
            <w:tcW w:w="4248" w:type="dxa"/>
            <w:tcBorders>
              <w:bottom w:val="single" w:sz="18" w:space="0" w:color="000000" w:themeColor="text1"/>
            </w:tcBorders>
            <w:shd w:val="clear" w:color="auto" w:fill="F2F2F2" w:themeFill="background1" w:themeFillShade="F2"/>
          </w:tcPr>
          <w:p w14:paraId="651792A0" w14:textId="77777777" w:rsidR="00835EE7" w:rsidRPr="00EC6C19" w:rsidRDefault="00835EE7" w:rsidP="00863799">
            <w:pPr>
              <w:spacing w:line="360" w:lineRule="auto"/>
              <w:jc w:val="center"/>
              <w:rPr>
                <w:rFonts w:ascii="Times New Roman" w:hAnsi="Times New Roman" w:cs="Times New Roman"/>
                <w:b/>
                <w:sz w:val="24"/>
                <w:szCs w:val="24"/>
              </w:rPr>
            </w:pPr>
            <w:r w:rsidRPr="00EC6C19">
              <w:rPr>
                <w:rFonts w:ascii="Times New Roman" w:hAnsi="Times New Roman" w:cs="Times New Roman"/>
                <w:sz w:val="24"/>
                <w:szCs w:val="24"/>
              </w:rPr>
              <w:t>Exclusion Criteria</w:t>
            </w:r>
          </w:p>
        </w:tc>
      </w:tr>
      <w:tr w:rsidR="00835EE7" w:rsidRPr="00EC6C19" w14:paraId="3F88D5BD" w14:textId="77777777" w:rsidTr="00F31D6C">
        <w:tc>
          <w:tcPr>
            <w:tcW w:w="4248" w:type="dxa"/>
            <w:tcBorders>
              <w:top w:val="single" w:sz="18" w:space="0" w:color="000000" w:themeColor="text1"/>
            </w:tcBorders>
            <w:shd w:val="clear" w:color="auto" w:fill="FFFFFF" w:themeFill="background1"/>
          </w:tcPr>
          <w:p w14:paraId="2723F0E2" w14:textId="77777777" w:rsidR="00835EE7" w:rsidRPr="00EC6C19" w:rsidRDefault="00835EE7" w:rsidP="00835EE7">
            <w:pPr>
              <w:pStyle w:val="ListParagraph"/>
              <w:numPr>
                <w:ilvl w:val="0"/>
                <w:numId w:val="10"/>
              </w:numPr>
              <w:spacing w:line="360" w:lineRule="auto"/>
              <w:rPr>
                <w:rFonts w:ascii="Times New Roman" w:hAnsi="Times New Roman" w:cs="Times New Roman"/>
                <w:sz w:val="24"/>
                <w:szCs w:val="24"/>
              </w:rPr>
            </w:pPr>
            <w:r w:rsidRPr="00EC6C19">
              <w:rPr>
                <w:rFonts w:ascii="Times New Roman" w:hAnsi="Times New Roman" w:cs="Times New Roman"/>
                <w:sz w:val="24"/>
                <w:szCs w:val="24"/>
              </w:rPr>
              <w:t>Age &gt; 18 years of age</w:t>
            </w:r>
          </w:p>
          <w:p w14:paraId="28DCC853" w14:textId="77777777" w:rsidR="00835EE7" w:rsidRPr="00EC6C19" w:rsidRDefault="00835EE7" w:rsidP="00863799">
            <w:pPr>
              <w:spacing w:line="360" w:lineRule="auto"/>
              <w:rPr>
                <w:rFonts w:ascii="Times New Roman" w:hAnsi="Times New Roman" w:cs="Times New Roman"/>
                <w:sz w:val="24"/>
                <w:szCs w:val="24"/>
              </w:rPr>
            </w:pPr>
          </w:p>
        </w:tc>
        <w:tc>
          <w:tcPr>
            <w:tcW w:w="4248" w:type="dxa"/>
            <w:tcBorders>
              <w:top w:val="single" w:sz="18" w:space="0" w:color="000000" w:themeColor="text1"/>
            </w:tcBorders>
            <w:shd w:val="clear" w:color="auto" w:fill="FFFFFF" w:themeFill="background1"/>
          </w:tcPr>
          <w:p w14:paraId="38FDD0CD" w14:textId="77777777" w:rsidR="00835EE7" w:rsidRPr="00EC6C19" w:rsidRDefault="00835EE7" w:rsidP="00835EE7">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Previous CABG with any patent grafts</w:t>
            </w:r>
          </w:p>
          <w:p w14:paraId="7C40083C" w14:textId="77777777" w:rsidR="00835EE7" w:rsidRPr="00EC6C19" w:rsidRDefault="00835EE7" w:rsidP="00863799">
            <w:pPr>
              <w:spacing w:line="360" w:lineRule="auto"/>
              <w:rPr>
                <w:rFonts w:ascii="Times New Roman" w:hAnsi="Times New Roman" w:cs="Times New Roman"/>
                <w:sz w:val="24"/>
                <w:szCs w:val="24"/>
              </w:rPr>
            </w:pPr>
          </w:p>
        </w:tc>
      </w:tr>
      <w:tr w:rsidR="00835EE7" w:rsidRPr="00EC6C19" w14:paraId="1720AED4" w14:textId="77777777" w:rsidTr="00FA3F3A">
        <w:tc>
          <w:tcPr>
            <w:tcW w:w="4248" w:type="dxa"/>
            <w:shd w:val="clear" w:color="auto" w:fill="FFFFFF" w:themeFill="background1"/>
          </w:tcPr>
          <w:p w14:paraId="7F7C9BE2" w14:textId="77777777" w:rsidR="00835EE7" w:rsidRPr="00EC6C19" w:rsidRDefault="00835EE7" w:rsidP="00835EE7">
            <w:pPr>
              <w:pStyle w:val="ListParagraph"/>
              <w:numPr>
                <w:ilvl w:val="0"/>
                <w:numId w:val="10"/>
              </w:numPr>
              <w:spacing w:line="360" w:lineRule="auto"/>
              <w:rPr>
                <w:rFonts w:ascii="Times New Roman" w:hAnsi="Times New Roman" w:cs="Times New Roman"/>
                <w:sz w:val="24"/>
                <w:szCs w:val="24"/>
              </w:rPr>
            </w:pPr>
            <w:r w:rsidRPr="00EC6C19">
              <w:rPr>
                <w:rFonts w:ascii="Times New Roman" w:hAnsi="Times New Roman" w:cs="Times New Roman"/>
                <w:sz w:val="24"/>
                <w:szCs w:val="24"/>
              </w:rPr>
              <w:t>Angina</w:t>
            </w:r>
            <w:r w:rsidR="00991E00" w:rsidRPr="00EC6C19">
              <w:rPr>
                <w:rFonts w:ascii="Times New Roman" w:hAnsi="Times New Roman" w:cs="Times New Roman"/>
                <w:sz w:val="24"/>
                <w:szCs w:val="24"/>
              </w:rPr>
              <w:t>l</w:t>
            </w:r>
            <w:r w:rsidRPr="00EC6C19">
              <w:rPr>
                <w:rFonts w:ascii="Times New Roman" w:hAnsi="Times New Roman" w:cs="Times New Roman"/>
                <w:sz w:val="24"/>
                <w:szCs w:val="24"/>
              </w:rPr>
              <w:t xml:space="preserve"> symptoms or evidence of myocardial ischaemia</w:t>
            </w:r>
          </w:p>
          <w:p w14:paraId="6A752057" w14:textId="77777777" w:rsidR="00835EE7" w:rsidRPr="00EC6C19" w:rsidRDefault="00835EE7" w:rsidP="00863799">
            <w:pPr>
              <w:spacing w:line="360" w:lineRule="auto"/>
              <w:rPr>
                <w:rFonts w:ascii="Times New Roman" w:hAnsi="Times New Roman" w:cs="Times New Roman"/>
                <w:sz w:val="24"/>
                <w:szCs w:val="24"/>
              </w:rPr>
            </w:pPr>
          </w:p>
        </w:tc>
        <w:tc>
          <w:tcPr>
            <w:tcW w:w="4248" w:type="dxa"/>
            <w:shd w:val="clear" w:color="auto" w:fill="FFFFFF" w:themeFill="background1"/>
          </w:tcPr>
          <w:p w14:paraId="2A669188" w14:textId="77777777" w:rsidR="00835EE7" w:rsidRPr="00EC6C19" w:rsidRDefault="00835EE7" w:rsidP="00835EE7">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Significant left main stem stenosis</w:t>
            </w:r>
          </w:p>
          <w:p w14:paraId="3BE9E5C6" w14:textId="77777777" w:rsidR="00835EE7" w:rsidRPr="00EC6C19" w:rsidRDefault="00835EE7" w:rsidP="00863799">
            <w:pPr>
              <w:spacing w:line="360" w:lineRule="auto"/>
              <w:rPr>
                <w:rFonts w:ascii="Times New Roman" w:hAnsi="Times New Roman" w:cs="Times New Roman"/>
                <w:sz w:val="24"/>
                <w:szCs w:val="24"/>
              </w:rPr>
            </w:pPr>
          </w:p>
        </w:tc>
      </w:tr>
      <w:tr w:rsidR="00835EE7" w:rsidRPr="00EC6C19" w14:paraId="20199B6B" w14:textId="77777777" w:rsidTr="00FA3F3A">
        <w:tc>
          <w:tcPr>
            <w:tcW w:w="4248" w:type="dxa"/>
            <w:shd w:val="clear" w:color="auto" w:fill="FFFFFF" w:themeFill="background1"/>
          </w:tcPr>
          <w:p w14:paraId="5BDFC2F2" w14:textId="77777777" w:rsidR="00835EE7" w:rsidRPr="00EC6C19" w:rsidRDefault="00835EE7" w:rsidP="00863799">
            <w:pPr>
              <w:pStyle w:val="ListParagraph"/>
              <w:numPr>
                <w:ilvl w:val="0"/>
                <w:numId w:val="10"/>
              </w:numPr>
              <w:spacing w:line="360" w:lineRule="auto"/>
              <w:rPr>
                <w:rFonts w:ascii="Times New Roman" w:hAnsi="Times New Roman" w:cs="Times New Roman"/>
                <w:sz w:val="24"/>
                <w:szCs w:val="24"/>
              </w:rPr>
            </w:pPr>
            <w:r w:rsidRPr="00EC6C19">
              <w:rPr>
                <w:rFonts w:ascii="Times New Roman" w:hAnsi="Times New Roman" w:cs="Times New Roman"/>
                <w:sz w:val="24"/>
                <w:szCs w:val="24"/>
              </w:rPr>
              <w:t>Stenosis &gt;50% on coronary angiogram or CT coronary angiogram</w:t>
            </w:r>
          </w:p>
        </w:tc>
        <w:tc>
          <w:tcPr>
            <w:tcW w:w="4248" w:type="dxa"/>
            <w:shd w:val="clear" w:color="auto" w:fill="FFFFFF" w:themeFill="background1"/>
          </w:tcPr>
          <w:p w14:paraId="3246A624" w14:textId="77777777" w:rsidR="00835EE7" w:rsidRPr="00EC6C19" w:rsidRDefault="00835EE7" w:rsidP="00835EE7">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Haemodynamic Instability</w:t>
            </w:r>
          </w:p>
          <w:p w14:paraId="5B607FF4" w14:textId="77777777" w:rsidR="00835EE7" w:rsidRPr="00EC6C19" w:rsidRDefault="00835EE7" w:rsidP="00863799">
            <w:pPr>
              <w:spacing w:line="360" w:lineRule="auto"/>
              <w:rPr>
                <w:rFonts w:ascii="Times New Roman" w:hAnsi="Times New Roman" w:cs="Times New Roman"/>
                <w:sz w:val="24"/>
                <w:szCs w:val="24"/>
              </w:rPr>
            </w:pPr>
          </w:p>
        </w:tc>
      </w:tr>
      <w:tr w:rsidR="00835EE7" w:rsidRPr="00EC6C19" w14:paraId="33085CB8" w14:textId="77777777" w:rsidTr="00FA3F3A">
        <w:tc>
          <w:tcPr>
            <w:tcW w:w="4248" w:type="dxa"/>
            <w:shd w:val="clear" w:color="auto" w:fill="FFFFFF" w:themeFill="background1"/>
          </w:tcPr>
          <w:p w14:paraId="116C214E" w14:textId="77777777" w:rsidR="00835EE7" w:rsidRPr="00EC6C19" w:rsidRDefault="00835EE7" w:rsidP="00863799">
            <w:pPr>
              <w:pStyle w:val="ListParagraph"/>
              <w:numPr>
                <w:ilvl w:val="0"/>
                <w:numId w:val="10"/>
              </w:numPr>
              <w:spacing w:line="360" w:lineRule="auto"/>
              <w:rPr>
                <w:rFonts w:ascii="Times New Roman" w:hAnsi="Times New Roman" w:cs="Times New Roman"/>
                <w:sz w:val="24"/>
                <w:szCs w:val="24"/>
              </w:rPr>
            </w:pPr>
            <w:r w:rsidRPr="00EC6C19">
              <w:rPr>
                <w:rFonts w:ascii="Times New Roman" w:hAnsi="Times New Roman" w:cs="Times New Roman"/>
                <w:sz w:val="24"/>
                <w:szCs w:val="24"/>
              </w:rPr>
              <w:t>Participant is willing and able to give informed consent</w:t>
            </w:r>
          </w:p>
        </w:tc>
        <w:tc>
          <w:tcPr>
            <w:tcW w:w="4248" w:type="dxa"/>
            <w:shd w:val="clear" w:color="auto" w:fill="FFFFFF" w:themeFill="background1"/>
          </w:tcPr>
          <w:p w14:paraId="7C46611C" w14:textId="77777777" w:rsidR="00835EE7" w:rsidRPr="00EC6C19" w:rsidRDefault="00835EE7" w:rsidP="00835EE7">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Unable to consent</w:t>
            </w:r>
          </w:p>
        </w:tc>
      </w:tr>
      <w:tr w:rsidR="00835EE7" w:rsidRPr="00EC6C19" w14:paraId="5F2E0199" w14:textId="77777777" w:rsidTr="00FA3F3A">
        <w:tc>
          <w:tcPr>
            <w:tcW w:w="4248" w:type="dxa"/>
            <w:shd w:val="clear" w:color="auto" w:fill="FFFFFF" w:themeFill="background1"/>
          </w:tcPr>
          <w:p w14:paraId="62D9C7E6" w14:textId="77777777" w:rsidR="00835EE7" w:rsidRPr="00EC6C19" w:rsidRDefault="00835EE7" w:rsidP="00835EE7">
            <w:pPr>
              <w:pStyle w:val="ListParagraph"/>
              <w:numPr>
                <w:ilvl w:val="0"/>
                <w:numId w:val="10"/>
              </w:numPr>
              <w:spacing w:line="360" w:lineRule="auto"/>
              <w:rPr>
                <w:rFonts w:ascii="Times New Roman" w:hAnsi="Times New Roman" w:cs="Times New Roman"/>
                <w:sz w:val="24"/>
                <w:szCs w:val="24"/>
              </w:rPr>
            </w:pPr>
            <w:r w:rsidRPr="00EC6C19">
              <w:rPr>
                <w:rFonts w:ascii="Times New Roman" w:hAnsi="Times New Roman" w:cs="Times New Roman"/>
                <w:sz w:val="24"/>
                <w:szCs w:val="24"/>
              </w:rPr>
              <w:t>Eligible for PCI</w:t>
            </w:r>
          </w:p>
          <w:p w14:paraId="57D6A037" w14:textId="77777777" w:rsidR="00835EE7" w:rsidRPr="00EC6C19" w:rsidRDefault="00835EE7" w:rsidP="00863799">
            <w:pPr>
              <w:spacing w:line="360" w:lineRule="auto"/>
              <w:rPr>
                <w:rFonts w:ascii="Times New Roman" w:hAnsi="Times New Roman" w:cs="Times New Roman"/>
                <w:sz w:val="24"/>
                <w:szCs w:val="24"/>
              </w:rPr>
            </w:pPr>
          </w:p>
        </w:tc>
        <w:tc>
          <w:tcPr>
            <w:tcW w:w="4248" w:type="dxa"/>
            <w:shd w:val="clear" w:color="auto" w:fill="FFFFFF" w:themeFill="background1"/>
          </w:tcPr>
          <w:p w14:paraId="5FCD39C4" w14:textId="77777777" w:rsidR="00835EE7" w:rsidRPr="00EC6C19" w:rsidRDefault="00835EE7" w:rsidP="00863799">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Unable to receive dual antiplatelet therapy</w:t>
            </w:r>
          </w:p>
        </w:tc>
      </w:tr>
      <w:tr w:rsidR="00835EE7" w:rsidRPr="00EC6C19" w14:paraId="6075BCFD" w14:textId="77777777" w:rsidTr="00FA3F3A">
        <w:tc>
          <w:tcPr>
            <w:tcW w:w="4248" w:type="dxa"/>
            <w:shd w:val="clear" w:color="auto" w:fill="FFFFFF" w:themeFill="background1"/>
          </w:tcPr>
          <w:p w14:paraId="03002BEB" w14:textId="77777777" w:rsidR="00835EE7" w:rsidRPr="00EC6C19" w:rsidRDefault="00835EE7" w:rsidP="00863799">
            <w:pPr>
              <w:spacing w:line="360" w:lineRule="auto"/>
              <w:rPr>
                <w:rFonts w:ascii="Times New Roman" w:hAnsi="Times New Roman" w:cs="Times New Roman"/>
                <w:sz w:val="24"/>
                <w:szCs w:val="24"/>
              </w:rPr>
            </w:pPr>
          </w:p>
        </w:tc>
        <w:tc>
          <w:tcPr>
            <w:tcW w:w="4248" w:type="dxa"/>
            <w:shd w:val="clear" w:color="auto" w:fill="FFFFFF" w:themeFill="background1"/>
          </w:tcPr>
          <w:p w14:paraId="38A187F9" w14:textId="77777777" w:rsidR="00835EE7" w:rsidRPr="00EC6C19" w:rsidRDefault="00835EE7" w:rsidP="00835EE7">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Contraindication to adenosine</w:t>
            </w:r>
          </w:p>
          <w:p w14:paraId="27EA3EBE" w14:textId="77777777" w:rsidR="00835EE7" w:rsidRPr="00EC6C19" w:rsidRDefault="00835EE7" w:rsidP="00863799">
            <w:pPr>
              <w:spacing w:line="360" w:lineRule="auto"/>
              <w:rPr>
                <w:rFonts w:ascii="Times New Roman" w:hAnsi="Times New Roman" w:cs="Times New Roman"/>
                <w:sz w:val="24"/>
                <w:szCs w:val="24"/>
              </w:rPr>
            </w:pPr>
          </w:p>
        </w:tc>
      </w:tr>
      <w:tr w:rsidR="00835EE7" w:rsidRPr="00EC6C19" w14:paraId="1929947D" w14:textId="77777777" w:rsidTr="00FA3F3A">
        <w:tc>
          <w:tcPr>
            <w:tcW w:w="4248" w:type="dxa"/>
            <w:shd w:val="clear" w:color="auto" w:fill="FFFFFF" w:themeFill="background1"/>
          </w:tcPr>
          <w:p w14:paraId="1FE01812" w14:textId="77777777" w:rsidR="00835EE7" w:rsidRPr="00EC6C19" w:rsidRDefault="00835EE7" w:rsidP="00863799">
            <w:pPr>
              <w:spacing w:line="360" w:lineRule="auto"/>
              <w:rPr>
                <w:rFonts w:ascii="Times New Roman" w:hAnsi="Times New Roman" w:cs="Times New Roman"/>
                <w:sz w:val="24"/>
                <w:szCs w:val="24"/>
              </w:rPr>
            </w:pPr>
          </w:p>
        </w:tc>
        <w:tc>
          <w:tcPr>
            <w:tcW w:w="4248" w:type="dxa"/>
            <w:shd w:val="clear" w:color="auto" w:fill="FFFFFF" w:themeFill="background1"/>
          </w:tcPr>
          <w:p w14:paraId="73081C10" w14:textId="77777777" w:rsidR="00835EE7" w:rsidRPr="00EC6C19" w:rsidRDefault="00835EE7" w:rsidP="00863799">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Recent acute coronary syndrome (ACS) (&lt;48 hours)</w:t>
            </w:r>
          </w:p>
        </w:tc>
      </w:tr>
      <w:tr w:rsidR="00835EE7" w:rsidRPr="00EC6C19" w14:paraId="6245A2E1" w14:textId="77777777" w:rsidTr="00FA3F3A">
        <w:trPr>
          <w:trHeight w:val="480"/>
        </w:trPr>
        <w:tc>
          <w:tcPr>
            <w:tcW w:w="4248" w:type="dxa"/>
            <w:shd w:val="clear" w:color="auto" w:fill="FFFFFF" w:themeFill="background1"/>
          </w:tcPr>
          <w:p w14:paraId="6B3250DB" w14:textId="77777777" w:rsidR="00835EE7" w:rsidRPr="00EC6C19" w:rsidRDefault="00835EE7" w:rsidP="00863799">
            <w:pPr>
              <w:spacing w:line="360" w:lineRule="auto"/>
              <w:rPr>
                <w:rFonts w:ascii="Times New Roman" w:hAnsi="Times New Roman" w:cs="Times New Roman"/>
                <w:sz w:val="24"/>
                <w:szCs w:val="24"/>
              </w:rPr>
            </w:pPr>
          </w:p>
        </w:tc>
        <w:tc>
          <w:tcPr>
            <w:tcW w:w="4248" w:type="dxa"/>
            <w:shd w:val="clear" w:color="auto" w:fill="FFFFFF" w:themeFill="background1"/>
          </w:tcPr>
          <w:p w14:paraId="0454CC69" w14:textId="77777777" w:rsidR="00835EE7" w:rsidRPr="00EC6C19" w:rsidRDefault="00835EE7" w:rsidP="00835EE7">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Pregnancy</w:t>
            </w:r>
          </w:p>
          <w:p w14:paraId="44328C85" w14:textId="77777777" w:rsidR="00835EE7" w:rsidRPr="00EC6C19" w:rsidRDefault="00835EE7" w:rsidP="00863799">
            <w:pPr>
              <w:pStyle w:val="ListParagraph"/>
              <w:spacing w:line="360" w:lineRule="auto"/>
              <w:ind w:left="1080"/>
              <w:rPr>
                <w:rFonts w:ascii="Times New Roman" w:hAnsi="Times New Roman" w:cs="Times New Roman"/>
                <w:sz w:val="24"/>
                <w:szCs w:val="24"/>
              </w:rPr>
            </w:pPr>
          </w:p>
        </w:tc>
      </w:tr>
      <w:tr w:rsidR="00835EE7" w:rsidRPr="00EC6C19" w14:paraId="488D1E15" w14:textId="77777777" w:rsidTr="00FA3F3A">
        <w:tc>
          <w:tcPr>
            <w:tcW w:w="4248" w:type="dxa"/>
            <w:shd w:val="clear" w:color="auto" w:fill="FFFFFF" w:themeFill="background1"/>
          </w:tcPr>
          <w:p w14:paraId="24868667" w14:textId="77777777" w:rsidR="00835EE7" w:rsidRPr="00EC6C19" w:rsidRDefault="00835EE7" w:rsidP="00863799">
            <w:pPr>
              <w:spacing w:line="360" w:lineRule="auto"/>
              <w:rPr>
                <w:rFonts w:ascii="Times New Roman" w:hAnsi="Times New Roman" w:cs="Times New Roman"/>
                <w:sz w:val="24"/>
                <w:szCs w:val="24"/>
              </w:rPr>
            </w:pPr>
          </w:p>
        </w:tc>
        <w:tc>
          <w:tcPr>
            <w:tcW w:w="4248" w:type="dxa"/>
            <w:shd w:val="clear" w:color="auto" w:fill="FFFFFF" w:themeFill="background1"/>
          </w:tcPr>
          <w:p w14:paraId="57DEF023" w14:textId="77777777" w:rsidR="00835EE7" w:rsidRPr="00EC6C19" w:rsidRDefault="00835EE7" w:rsidP="00863799">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Unable to lie prone</w:t>
            </w:r>
          </w:p>
          <w:p w14:paraId="1EAF5CF0" w14:textId="77777777" w:rsidR="007648C0" w:rsidRPr="00EC6C19" w:rsidRDefault="007648C0" w:rsidP="007648C0">
            <w:pPr>
              <w:pStyle w:val="ListParagraph"/>
              <w:spacing w:line="360" w:lineRule="auto"/>
              <w:ind w:left="1080"/>
              <w:rPr>
                <w:rFonts w:ascii="Times New Roman" w:hAnsi="Times New Roman" w:cs="Times New Roman"/>
                <w:sz w:val="24"/>
                <w:szCs w:val="24"/>
              </w:rPr>
            </w:pPr>
          </w:p>
        </w:tc>
      </w:tr>
      <w:tr w:rsidR="00835EE7" w:rsidRPr="00EC6C19" w14:paraId="674480FE" w14:textId="77777777" w:rsidTr="00FA3F3A">
        <w:tc>
          <w:tcPr>
            <w:tcW w:w="4248" w:type="dxa"/>
            <w:shd w:val="clear" w:color="auto" w:fill="FFFFFF" w:themeFill="background1"/>
          </w:tcPr>
          <w:p w14:paraId="68C7DCA0" w14:textId="77777777" w:rsidR="00835EE7" w:rsidRPr="00EC6C19" w:rsidRDefault="00835EE7" w:rsidP="00863799">
            <w:pPr>
              <w:spacing w:line="360" w:lineRule="auto"/>
              <w:rPr>
                <w:rFonts w:ascii="Times New Roman" w:hAnsi="Times New Roman" w:cs="Times New Roman"/>
                <w:sz w:val="24"/>
                <w:szCs w:val="24"/>
              </w:rPr>
            </w:pPr>
          </w:p>
        </w:tc>
        <w:tc>
          <w:tcPr>
            <w:tcW w:w="4248" w:type="dxa"/>
            <w:shd w:val="clear" w:color="auto" w:fill="FFFFFF" w:themeFill="background1"/>
          </w:tcPr>
          <w:p w14:paraId="5667CD86" w14:textId="77777777" w:rsidR="00835EE7" w:rsidRPr="00EC6C19" w:rsidRDefault="00835EE7" w:rsidP="00835EE7">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Severe valvular heart disease or cardiomyopathy</w:t>
            </w:r>
          </w:p>
        </w:tc>
      </w:tr>
      <w:tr w:rsidR="001A1CC7" w:rsidRPr="00EC6C19" w14:paraId="6D915EBC" w14:textId="77777777" w:rsidTr="00FA3F3A">
        <w:tc>
          <w:tcPr>
            <w:tcW w:w="4248" w:type="dxa"/>
            <w:shd w:val="clear" w:color="auto" w:fill="FFFFFF" w:themeFill="background1"/>
          </w:tcPr>
          <w:p w14:paraId="4A157F04" w14:textId="77777777" w:rsidR="001A1CC7" w:rsidRPr="00EC6C19" w:rsidRDefault="001A1CC7" w:rsidP="00863799">
            <w:pPr>
              <w:spacing w:line="360" w:lineRule="auto"/>
              <w:rPr>
                <w:rFonts w:ascii="Times New Roman" w:hAnsi="Times New Roman" w:cs="Times New Roman"/>
                <w:sz w:val="24"/>
                <w:szCs w:val="24"/>
              </w:rPr>
            </w:pPr>
          </w:p>
          <w:p w14:paraId="35B6A820" w14:textId="77777777" w:rsidR="001A1CC7" w:rsidRPr="00EC6C19" w:rsidRDefault="001A1CC7" w:rsidP="00863799">
            <w:pPr>
              <w:spacing w:line="360" w:lineRule="auto"/>
              <w:rPr>
                <w:rFonts w:ascii="Times New Roman" w:hAnsi="Times New Roman" w:cs="Times New Roman"/>
                <w:sz w:val="24"/>
                <w:szCs w:val="24"/>
              </w:rPr>
            </w:pPr>
          </w:p>
        </w:tc>
        <w:tc>
          <w:tcPr>
            <w:tcW w:w="4248" w:type="dxa"/>
            <w:shd w:val="clear" w:color="auto" w:fill="FFFFFF" w:themeFill="background1"/>
          </w:tcPr>
          <w:p w14:paraId="3B5CAE24" w14:textId="77777777" w:rsidR="001A1CC7" w:rsidRPr="00EC6C19" w:rsidRDefault="001A1CC7" w:rsidP="00835EE7">
            <w:pPr>
              <w:pStyle w:val="ListParagraph"/>
              <w:numPr>
                <w:ilvl w:val="0"/>
                <w:numId w:val="11"/>
              </w:num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 Severe renal dysfunction (eGFR &lt;30mls/min)</w:t>
            </w:r>
          </w:p>
        </w:tc>
      </w:tr>
    </w:tbl>
    <w:p w14:paraId="7CEC5352" w14:textId="77777777" w:rsidR="00FA3F3A" w:rsidRPr="00EC6C19" w:rsidRDefault="00FA3F3A" w:rsidP="007648C0">
      <w:pPr>
        <w:spacing w:line="360" w:lineRule="auto"/>
        <w:rPr>
          <w:rFonts w:ascii="Times New Roman" w:hAnsi="Times New Roman" w:cs="Times New Roman"/>
          <w:i/>
          <w:sz w:val="24"/>
          <w:szCs w:val="24"/>
        </w:rPr>
      </w:pPr>
    </w:p>
    <w:p w14:paraId="114568E7" w14:textId="77777777" w:rsidR="007648C0" w:rsidRPr="007F2FD6" w:rsidRDefault="007F2FD6" w:rsidP="007F2FD6">
      <w:pPr>
        <w:pStyle w:val="Caption"/>
        <w:spacing w:line="360" w:lineRule="auto"/>
        <w:rPr>
          <w:rFonts w:ascii="Times New Roman" w:hAnsi="Times New Roman" w:cs="Times New Roman"/>
          <w:b w:val="0"/>
          <w:i/>
          <w:color w:val="auto"/>
          <w:sz w:val="24"/>
          <w:szCs w:val="24"/>
        </w:rPr>
      </w:pPr>
      <w:bookmarkStart w:id="113" w:name="_Toc44962586"/>
      <w:r w:rsidRPr="007F2FD6">
        <w:rPr>
          <w:rFonts w:ascii="Times New Roman" w:hAnsi="Times New Roman" w:cs="Times New Roman"/>
          <w:b w:val="0"/>
          <w:i/>
          <w:color w:val="auto"/>
          <w:sz w:val="24"/>
          <w:szCs w:val="24"/>
        </w:rPr>
        <w:t xml:space="preserve">Table </w:t>
      </w:r>
      <w:r w:rsidR="00106A32" w:rsidRPr="007F2FD6">
        <w:rPr>
          <w:rFonts w:ascii="Times New Roman" w:hAnsi="Times New Roman" w:cs="Times New Roman"/>
          <w:b w:val="0"/>
          <w:i/>
          <w:color w:val="auto"/>
          <w:sz w:val="24"/>
          <w:szCs w:val="24"/>
        </w:rPr>
        <w:fldChar w:fldCharType="begin"/>
      </w:r>
      <w:r w:rsidRPr="007F2FD6">
        <w:rPr>
          <w:rFonts w:ascii="Times New Roman" w:hAnsi="Times New Roman" w:cs="Times New Roman"/>
          <w:b w:val="0"/>
          <w:i/>
          <w:color w:val="auto"/>
          <w:sz w:val="24"/>
          <w:szCs w:val="24"/>
        </w:rPr>
        <w:instrText xml:space="preserve"> SEQ Table \* ARABIC </w:instrText>
      </w:r>
      <w:r w:rsidR="00106A32" w:rsidRPr="007F2FD6">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10</w:t>
      </w:r>
      <w:r w:rsidR="00106A32" w:rsidRPr="007F2FD6">
        <w:rPr>
          <w:rFonts w:ascii="Times New Roman" w:hAnsi="Times New Roman" w:cs="Times New Roman"/>
          <w:b w:val="0"/>
          <w:i/>
          <w:color w:val="auto"/>
          <w:sz w:val="24"/>
          <w:szCs w:val="24"/>
        </w:rPr>
        <w:fldChar w:fldCharType="end"/>
      </w:r>
      <w:r w:rsidRPr="007F2FD6">
        <w:rPr>
          <w:rFonts w:ascii="Times New Roman" w:hAnsi="Times New Roman" w:cs="Times New Roman"/>
          <w:b w:val="0"/>
          <w:i/>
          <w:color w:val="auto"/>
          <w:sz w:val="24"/>
          <w:szCs w:val="24"/>
        </w:rPr>
        <w:t xml:space="preserve"> - Inclusion and exclusion criteria. </w:t>
      </w:r>
      <w:r w:rsidR="007648C0" w:rsidRPr="007F2FD6">
        <w:rPr>
          <w:rFonts w:ascii="Times New Roman" w:hAnsi="Times New Roman" w:cs="Times New Roman"/>
          <w:b w:val="0"/>
          <w:i/>
          <w:color w:val="auto"/>
          <w:sz w:val="24"/>
          <w:szCs w:val="24"/>
        </w:rPr>
        <w:t>PCI = percutaneous coronary intervention, CABG = coronary artery bypass grafting, ACS = acute coronary syndrome, CT = computed tomography.</w:t>
      </w:r>
      <w:bookmarkEnd w:id="113"/>
    </w:p>
    <w:p w14:paraId="2ED61FFD" w14:textId="77777777" w:rsidR="007648C0" w:rsidRPr="00EC6C19" w:rsidRDefault="007648C0" w:rsidP="007648C0">
      <w:pPr>
        <w:spacing w:line="360" w:lineRule="auto"/>
        <w:rPr>
          <w:rFonts w:ascii="Times New Roman" w:hAnsi="Times New Roman" w:cs="Times New Roman"/>
          <w:i/>
          <w:sz w:val="24"/>
          <w:szCs w:val="24"/>
        </w:rPr>
      </w:pPr>
    </w:p>
    <w:p w14:paraId="6795FDFB" w14:textId="4106C115" w:rsidR="00835EE7" w:rsidRPr="00A60EED" w:rsidRDefault="00AA7419" w:rsidP="00991E00">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en-GB"/>
        </w:rPr>
        <w:lastRenderedPageBreak/>
        <mc:AlternateContent>
          <mc:Choice Requires="wpg">
            <w:drawing>
              <wp:anchor distT="0" distB="0" distL="114300" distR="114300" simplePos="0" relativeHeight="251658240" behindDoc="0" locked="0" layoutInCell="1" allowOverlap="1" wp14:anchorId="08868ED0" wp14:editId="0EA58707">
                <wp:simplePos x="0" y="0"/>
                <wp:positionH relativeFrom="margin">
                  <wp:posOffset>-542925</wp:posOffset>
                </wp:positionH>
                <wp:positionV relativeFrom="margin">
                  <wp:posOffset>-561975</wp:posOffset>
                </wp:positionV>
                <wp:extent cx="7034530" cy="7000240"/>
                <wp:effectExtent l="0" t="0" r="0" b="0"/>
                <wp:wrapSquare wrapText="bothSides"/>
                <wp:docPr id="88"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34530" cy="7000240"/>
                          <a:chOff x="2534" y="9781"/>
                          <a:chExt cx="7385" cy="7268"/>
                        </a:xfrm>
                      </wpg:grpSpPr>
                      <wps:wsp>
                        <wps:cNvPr id="89" name="AutoShape 48"/>
                        <wps:cNvSpPr>
                          <a:spLocks/>
                        </wps:cNvSpPr>
                        <wps:spPr bwMode="auto">
                          <a:xfrm>
                            <a:off x="2534" y="9781"/>
                            <a:ext cx="7385" cy="7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9"/>
                        <wps:cNvSpPr>
                          <a:spLocks/>
                        </wps:cNvSpPr>
                        <wps:spPr bwMode="auto">
                          <a:xfrm>
                            <a:off x="2989" y="9901"/>
                            <a:ext cx="4014" cy="586"/>
                          </a:xfrm>
                          <a:prstGeom prst="rect">
                            <a:avLst/>
                          </a:prstGeom>
                          <a:solidFill>
                            <a:schemeClr val="tx2">
                              <a:lumMod val="75000"/>
                              <a:lumOff val="0"/>
                            </a:schemeClr>
                          </a:solidFill>
                          <a:ln w="6350">
                            <a:solidFill>
                              <a:schemeClr val="tx1">
                                <a:lumMod val="100000"/>
                                <a:lumOff val="0"/>
                              </a:schemeClr>
                            </a:solidFill>
                            <a:miter lim="800000"/>
                            <a:headEnd/>
                            <a:tailEnd/>
                          </a:ln>
                          <a:effectLst>
                            <a:outerShdw dist="35921" dir="2700000" algn="ctr" rotWithShape="0">
                              <a:schemeClr val="accent3">
                                <a:lumMod val="50000"/>
                                <a:lumOff val="0"/>
                                <a:alpha val="50000"/>
                              </a:schemeClr>
                            </a:outerShdw>
                          </a:effectLst>
                        </wps:spPr>
                        <wps:txbx>
                          <w:txbxContent>
                            <w:p w14:paraId="4A6B7E34" w14:textId="77777777" w:rsidR="00D35073" w:rsidRDefault="00D35073" w:rsidP="00991E00">
                              <w:pPr>
                                <w:jc w:val="center"/>
                              </w:pPr>
                              <w:r>
                                <w:t>Recruitment based on finding of stenosis &gt;50% and symptoms of ischaemia</w:t>
                              </w:r>
                            </w:p>
                          </w:txbxContent>
                        </wps:txbx>
                        <wps:bodyPr rot="0" vert="horz" wrap="square" lIns="91440" tIns="45720" rIns="91440" bIns="45720" anchor="t" anchorCtr="0" upright="1">
                          <a:noAutofit/>
                        </wps:bodyPr>
                      </wps:wsp>
                      <wps:wsp>
                        <wps:cNvPr id="91" name="Rectangle 50"/>
                        <wps:cNvSpPr>
                          <a:spLocks/>
                        </wps:cNvSpPr>
                        <wps:spPr bwMode="auto">
                          <a:xfrm>
                            <a:off x="3841" y="10861"/>
                            <a:ext cx="2294" cy="722"/>
                          </a:xfrm>
                          <a:prstGeom prst="rect">
                            <a:avLst/>
                          </a:prstGeom>
                          <a:solidFill>
                            <a:schemeClr val="tx2">
                              <a:lumMod val="75000"/>
                              <a:lumOff val="0"/>
                            </a:schemeClr>
                          </a:solidFill>
                          <a:ln w="6350">
                            <a:solidFill>
                              <a:schemeClr val="tx1">
                                <a:lumMod val="100000"/>
                                <a:lumOff val="0"/>
                              </a:schemeClr>
                            </a:solidFill>
                            <a:miter lim="800000"/>
                            <a:headEnd/>
                            <a:tailEnd/>
                          </a:ln>
                          <a:effectLst>
                            <a:outerShdw dist="35921" dir="2700000" algn="ctr" rotWithShape="0">
                              <a:srgbClr val="808080"/>
                            </a:outerShdw>
                          </a:effectLst>
                        </wps:spPr>
                        <wps:txbx>
                          <w:txbxContent>
                            <w:p w14:paraId="4BFF758A" w14:textId="77777777" w:rsidR="00D35073" w:rsidRDefault="00D35073" w:rsidP="00991E00">
                              <w:pPr>
                                <w:jc w:val="center"/>
                              </w:pPr>
                              <w:r>
                                <w:t>Inclusion and exclusion criteria satisfied</w:t>
                              </w:r>
                            </w:p>
                          </w:txbxContent>
                        </wps:txbx>
                        <wps:bodyPr rot="0" vert="horz" wrap="square" lIns="91440" tIns="45720" rIns="91440" bIns="45720" anchor="t" anchorCtr="0" upright="1">
                          <a:noAutofit/>
                        </wps:bodyPr>
                      </wps:wsp>
                      <wps:wsp>
                        <wps:cNvPr id="92" name="Rectangle 51"/>
                        <wps:cNvSpPr>
                          <a:spLocks/>
                        </wps:cNvSpPr>
                        <wps:spPr bwMode="auto">
                          <a:xfrm>
                            <a:off x="3824" y="11938"/>
                            <a:ext cx="2282" cy="861"/>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0177BD76" w14:textId="77777777" w:rsidR="00D35073" w:rsidRDefault="00D35073" w:rsidP="00991E00">
                              <w:pPr>
                                <w:jc w:val="center"/>
                              </w:pPr>
                              <w:r>
                                <w:t>Study Information given. Informed consent obtained?</w:t>
                              </w:r>
                            </w:p>
                          </w:txbxContent>
                        </wps:txbx>
                        <wps:bodyPr rot="0" vert="horz" wrap="square" lIns="91440" tIns="45720" rIns="91440" bIns="45720" anchor="t" anchorCtr="0" upright="1">
                          <a:noAutofit/>
                        </wps:bodyPr>
                      </wps:wsp>
                      <wps:wsp>
                        <wps:cNvPr id="93" name="AutoShape 52"/>
                        <wps:cNvCnPr>
                          <a:cxnSpLocks/>
                        </wps:cNvCnPr>
                        <wps:spPr bwMode="auto">
                          <a:xfrm>
                            <a:off x="4759" y="12799"/>
                            <a:ext cx="6" cy="53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 name="Rectangle 53"/>
                        <wps:cNvSpPr>
                          <a:spLocks/>
                        </wps:cNvSpPr>
                        <wps:spPr bwMode="auto">
                          <a:xfrm>
                            <a:off x="4833" y="12923"/>
                            <a:ext cx="748" cy="326"/>
                          </a:xfrm>
                          <a:prstGeom prst="rect">
                            <a:avLst/>
                          </a:prstGeom>
                          <a:solidFill>
                            <a:srgbClr val="00B050"/>
                          </a:solidFill>
                          <a:ln w="19050">
                            <a:solidFill>
                              <a:schemeClr val="tx1">
                                <a:lumMod val="95000"/>
                                <a:lumOff val="5000"/>
                              </a:schemeClr>
                            </a:solidFill>
                            <a:miter lim="800000"/>
                            <a:headEnd/>
                            <a:tailEnd/>
                          </a:ln>
                        </wps:spPr>
                        <wps:txbx>
                          <w:txbxContent>
                            <w:p w14:paraId="0522A457" w14:textId="77777777" w:rsidR="00D35073" w:rsidRDefault="00D35073" w:rsidP="00991E00">
                              <w:pPr>
                                <w:jc w:val="center"/>
                              </w:pPr>
                              <w:r>
                                <w:t>Yes</w:t>
                              </w:r>
                            </w:p>
                          </w:txbxContent>
                        </wps:txbx>
                        <wps:bodyPr rot="0" vert="horz" wrap="square" lIns="91440" tIns="45720" rIns="91440" bIns="45720" anchor="t" anchorCtr="0" upright="1">
                          <a:noAutofit/>
                        </wps:bodyPr>
                      </wps:wsp>
                      <wps:wsp>
                        <wps:cNvPr id="95" name="AutoShape 54"/>
                        <wps:cNvCnPr>
                          <a:cxnSpLocks/>
                        </wps:cNvCnPr>
                        <wps:spPr bwMode="auto">
                          <a:xfrm>
                            <a:off x="6106" y="12449"/>
                            <a:ext cx="1531" cy="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Rectangle 55"/>
                        <wps:cNvSpPr>
                          <a:spLocks/>
                        </wps:cNvSpPr>
                        <wps:spPr bwMode="auto">
                          <a:xfrm>
                            <a:off x="6465" y="12275"/>
                            <a:ext cx="748" cy="325"/>
                          </a:xfrm>
                          <a:prstGeom prst="rect">
                            <a:avLst/>
                          </a:prstGeom>
                          <a:solidFill>
                            <a:srgbClr val="FF0000"/>
                          </a:solidFill>
                          <a:ln w="9525">
                            <a:solidFill>
                              <a:srgbClr val="000000"/>
                            </a:solidFill>
                            <a:miter lim="800000"/>
                            <a:headEnd/>
                            <a:tailEnd/>
                          </a:ln>
                        </wps:spPr>
                        <wps:txbx>
                          <w:txbxContent>
                            <w:p w14:paraId="3C5F8892" w14:textId="77777777" w:rsidR="00D35073" w:rsidRDefault="00D35073" w:rsidP="00991E00">
                              <w:pPr>
                                <w:jc w:val="center"/>
                              </w:pPr>
                              <w:r>
                                <w:t>No</w:t>
                              </w:r>
                            </w:p>
                            <w:p w14:paraId="380710F9" w14:textId="77777777" w:rsidR="00D35073" w:rsidRDefault="00D35073" w:rsidP="00991E00"/>
                          </w:txbxContent>
                        </wps:txbx>
                        <wps:bodyPr rot="0" vert="horz" wrap="square" lIns="91440" tIns="45720" rIns="91440" bIns="45720" anchor="t" anchorCtr="0" upright="1">
                          <a:noAutofit/>
                        </wps:bodyPr>
                      </wps:wsp>
                      <wps:wsp>
                        <wps:cNvPr id="97" name="Rectangle 56"/>
                        <wps:cNvSpPr>
                          <a:spLocks/>
                        </wps:cNvSpPr>
                        <wps:spPr bwMode="auto">
                          <a:xfrm>
                            <a:off x="7637" y="12039"/>
                            <a:ext cx="1548" cy="960"/>
                          </a:xfrm>
                          <a:prstGeom prst="rect">
                            <a:avLst/>
                          </a:prstGeom>
                          <a:solidFill>
                            <a:schemeClr val="tx2">
                              <a:lumMod val="20000"/>
                              <a:lumOff val="80000"/>
                            </a:schemeClr>
                          </a:solidFill>
                          <a:ln w="9525">
                            <a:solidFill>
                              <a:srgbClr val="000000"/>
                            </a:solidFill>
                            <a:miter lim="800000"/>
                            <a:headEnd/>
                            <a:tailEnd/>
                          </a:ln>
                          <a:effectLst>
                            <a:outerShdw dist="35921" dir="2700000" algn="ctr" rotWithShape="0">
                              <a:srgbClr val="808080"/>
                            </a:outerShdw>
                          </a:effectLst>
                        </wps:spPr>
                        <wps:txbx>
                          <w:txbxContent>
                            <w:p w14:paraId="0F5130AB" w14:textId="77777777" w:rsidR="00D35073" w:rsidRDefault="00D35073" w:rsidP="00991E00">
                              <w:pPr>
                                <w:jc w:val="center"/>
                              </w:pPr>
                              <w:r>
                                <w:t>For continuing care as per Essex CTC</w:t>
                              </w:r>
                            </w:p>
                          </w:txbxContent>
                        </wps:txbx>
                        <wps:bodyPr rot="0" vert="horz" wrap="square" lIns="91440" tIns="45720" rIns="91440" bIns="45720" anchor="t" anchorCtr="0" upright="1">
                          <a:noAutofit/>
                        </wps:bodyPr>
                      </wps:wsp>
                      <wps:wsp>
                        <wps:cNvPr id="98" name="Rectangle 57"/>
                        <wps:cNvSpPr>
                          <a:spLocks/>
                        </wps:cNvSpPr>
                        <wps:spPr bwMode="auto">
                          <a:xfrm>
                            <a:off x="3467" y="13381"/>
                            <a:ext cx="3051" cy="831"/>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71A75533" w14:textId="77777777" w:rsidR="00D35073" w:rsidRDefault="00D35073" w:rsidP="00991E00">
                              <w:pPr>
                                <w:jc w:val="center"/>
                              </w:pPr>
                              <w:r>
                                <w:t>***Patient starts Prone***</w:t>
                              </w:r>
                              <w:r>
                                <w:br/>
                              </w:r>
                            </w:p>
                          </w:txbxContent>
                        </wps:txbx>
                        <wps:bodyPr rot="0" vert="horz" wrap="square" lIns="91440" tIns="45720" rIns="91440" bIns="45720" anchor="t" anchorCtr="0" upright="1">
                          <a:noAutofit/>
                        </wps:bodyPr>
                      </wps:wsp>
                      <wps:wsp>
                        <wps:cNvPr id="99" name="AutoShape 58"/>
                        <wps:cNvCnPr>
                          <a:cxnSpLocks/>
                        </wps:cNvCnPr>
                        <wps:spPr bwMode="auto">
                          <a:xfrm>
                            <a:off x="4982" y="11614"/>
                            <a:ext cx="6" cy="32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Rectangle 59"/>
                        <wps:cNvSpPr>
                          <a:spLocks/>
                        </wps:cNvSpPr>
                        <wps:spPr bwMode="auto">
                          <a:xfrm>
                            <a:off x="3788" y="14427"/>
                            <a:ext cx="2430" cy="600"/>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31D2D7E3" w14:textId="77777777" w:rsidR="00D35073" w:rsidRDefault="00D35073" w:rsidP="00991E00">
                              <w:pPr>
                                <w:jc w:val="center"/>
                              </w:pPr>
                              <w:r>
                                <w:t>Measure physiology</w:t>
                              </w:r>
                            </w:p>
                          </w:txbxContent>
                        </wps:txbx>
                        <wps:bodyPr rot="0" vert="horz" wrap="square" lIns="91440" tIns="45720" rIns="91440" bIns="45720" anchor="t" anchorCtr="0" upright="1">
                          <a:noAutofit/>
                        </wps:bodyPr>
                      </wps:wsp>
                      <wps:wsp>
                        <wps:cNvPr id="101" name="Rectangle 60"/>
                        <wps:cNvSpPr>
                          <a:spLocks/>
                        </wps:cNvSpPr>
                        <wps:spPr bwMode="auto">
                          <a:xfrm>
                            <a:off x="3788" y="15242"/>
                            <a:ext cx="2430" cy="562"/>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1FE31C50" w14:textId="77777777" w:rsidR="00D35073" w:rsidRDefault="00D35073" w:rsidP="00991E00">
                              <w:pPr>
                                <w:jc w:val="center"/>
                              </w:pPr>
                              <w:r>
                                <w:t>Turn patient supine and measure physiology.</w:t>
                              </w:r>
                            </w:p>
                          </w:txbxContent>
                        </wps:txbx>
                        <wps:bodyPr rot="0" vert="horz" wrap="square" lIns="91440" tIns="45720" rIns="91440" bIns="45720" anchor="t" anchorCtr="0" upright="1">
                          <a:noAutofit/>
                        </wps:bodyPr>
                      </wps:wsp>
                      <wps:wsp>
                        <wps:cNvPr id="102" name="Rectangle 61"/>
                        <wps:cNvSpPr>
                          <a:spLocks/>
                        </wps:cNvSpPr>
                        <wps:spPr bwMode="auto">
                          <a:xfrm>
                            <a:off x="3841" y="16214"/>
                            <a:ext cx="2346" cy="610"/>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38783D50" w14:textId="67E60E9C" w:rsidR="00D35073" w:rsidRDefault="00D35073" w:rsidP="00991E00">
                              <w:pPr>
                                <w:jc w:val="center"/>
                              </w:pPr>
                              <w:r>
                                <w:t xml:space="preserve">Complete procedure as per operator </w:t>
                              </w:r>
                              <w:r>
                                <w:rPr>
                                  <w:rFonts w:ascii="Times New Roman" w:hAnsi="Times New Roman" w:cs="Times New Roman"/>
                                  <w:sz w:val="24"/>
                                  <w:szCs w:val="24"/>
                                </w:rPr>
                                <w:t>±</w:t>
                              </w:r>
                              <w:r>
                                <w:t xml:space="preserve"> PCI</w:t>
                              </w:r>
                            </w:p>
                          </w:txbxContent>
                        </wps:txbx>
                        <wps:bodyPr rot="0" vert="horz" wrap="square" lIns="91440" tIns="45720" rIns="91440" bIns="45720" anchor="t" anchorCtr="0" upright="1">
                          <a:noAutofit/>
                        </wps:bodyPr>
                      </wps:wsp>
                      <wps:wsp>
                        <wps:cNvPr id="103" name="AutoShape 62"/>
                        <wps:cNvCnPr>
                          <a:cxnSpLocks/>
                        </wps:cNvCnPr>
                        <wps:spPr bwMode="auto">
                          <a:xfrm>
                            <a:off x="4993" y="14212"/>
                            <a:ext cx="10" cy="2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 name="AutoShape 63"/>
                        <wps:cNvCnPr>
                          <a:cxnSpLocks/>
                        </wps:cNvCnPr>
                        <wps:spPr bwMode="auto">
                          <a:xfrm>
                            <a:off x="5003" y="15027"/>
                            <a:ext cx="1" cy="2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5" name="AutoShape 64"/>
                        <wps:cNvCnPr>
                          <a:cxnSpLocks/>
                        </wps:cNvCnPr>
                        <wps:spPr bwMode="auto">
                          <a:xfrm>
                            <a:off x="5003" y="15804"/>
                            <a:ext cx="12" cy="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 name="AutoShape 65"/>
                        <wps:cNvCnPr>
                          <a:cxnSpLocks/>
                        </wps:cNvCnPr>
                        <wps:spPr bwMode="auto">
                          <a:xfrm flipH="1">
                            <a:off x="4989" y="10487"/>
                            <a:ext cx="8" cy="37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7" name="Text Box 66"/>
                        <wps:cNvSpPr txBox="1">
                          <a:spLocks/>
                        </wps:cNvSpPr>
                        <wps:spPr bwMode="auto">
                          <a:xfrm>
                            <a:off x="7353" y="9901"/>
                            <a:ext cx="2495" cy="960"/>
                          </a:xfrm>
                          <a:prstGeom prst="rect">
                            <a:avLst/>
                          </a:prstGeom>
                          <a:solidFill>
                            <a:schemeClr val="lt1">
                              <a:lumMod val="100000"/>
                              <a:lumOff val="0"/>
                            </a:schemeClr>
                          </a:solidFill>
                          <a:ln w="63500" cmpd="thickThin">
                            <a:solidFill>
                              <a:schemeClr val="accent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0254134" w14:textId="77777777" w:rsidR="00D35073" w:rsidRDefault="00D35073" w:rsidP="00991E00">
                              <w:pPr>
                                <w:jc w:val="center"/>
                                <w:rPr>
                                  <w:b/>
                                </w:rPr>
                              </w:pPr>
                              <w:r w:rsidRPr="009C41EF">
                                <w:rPr>
                                  <w:b/>
                                </w:rPr>
                                <w:t>GRAVITY Study</w:t>
                              </w:r>
                            </w:p>
                            <w:p w14:paraId="704346AC" w14:textId="77777777" w:rsidR="00D35073" w:rsidRDefault="00D35073" w:rsidP="00991E00">
                              <w:pPr>
                                <w:jc w:val="center"/>
                                <w:rPr>
                                  <w:b/>
                                </w:rPr>
                              </w:pPr>
                              <w:r>
                                <w:rPr>
                                  <w:b/>
                                </w:rPr>
                                <w:t>Physiology Data Collection Pathway</w:t>
                              </w:r>
                            </w:p>
                            <w:p w14:paraId="5FFB2C11" w14:textId="77777777" w:rsidR="00D35073" w:rsidRPr="009C41EF" w:rsidRDefault="00D35073" w:rsidP="00991E00">
                              <w:pPr>
                                <w:jc w:val="center"/>
                                <w:rPr>
                                  <w:b/>
                                </w:rPr>
                              </w:pPr>
                            </w:p>
                          </w:txbxContent>
                        </wps:txbx>
                        <wps:bodyPr rot="0" vert="horz" wrap="square" lIns="91440" tIns="45720" rIns="91440" bIns="45720" anchor="t" anchorCtr="0" upright="1">
                          <a:noAutofit/>
                        </wps:bodyPr>
                      </wps:wsp>
                      <wps:wsp>
                        <wps:cNvPr id="109" name="Text Box 68"/>
                        <wps:cNvSpPr txBox="1">
                          <a:spLocks/>
                        </wps:cNvSpPr>
                        <wps:spPr bwMode="auto">
                          <a:xfrm>
                            <a:off x="7074" y="13249"/>
                            <a:ext cx="2655" cy="677"/>
                          </a:xfrm>
                          <a:prstGeom prst="rect">
                            <a:avLst/>
                          </a:prstGeom>
                          <a:solidFill>
                            <a:schemeClr val="accent2">
                              <a:lumMod val="100000"/>
                              <a:lumOff val="0"/>
                            </a:schemeClr>
                          </a:solidFill>
                          <a:ln w="38100">
                            <a:solidFill>
                              <a:schemeClr val="lt1">
                                <a:lumMod val="95000"/>
                                <a:lumOff val="0"/>
                              </a:schemeClr>
                            </a:solidFill>
                            <a:miter lim="800000"/>
                            <a:headEnd/>
                            <a:tailEnd/>
                          </a:ln>
                          <a:effectLst>
                            <a:outerShdw dist="28398" dir="3806097" algn="ctr" rotWithShape="0">
                              <a:schemeClr val="accent2">
                                <a:lumMod val="50000"/>
                                <a:lumOff val="0"/>
                                <a:alpha val="50000"/>
                              </a:schemeClr>
                            </a:outerShdw>
                          </a:effectLst>
                        </wps:spPr>
                        <wps:txbx>
                          <w:txbxContent>
                            <w:p w14:paraId="025C62F4" w14:textId="77777777" w:rsidR="00D35073" w:rsidRPr="009C4793" w:rsidRDefault="00D35073" w:rsidP="00991E00">
                              <w:pPr>
                                <w:jc w:val="center"/>
                                <w:rPr>
                                  <w:b/>
                                  <w:sz w:val="32"/>
                                  <w:szCs w:val="32"/>
                                  <w:u w:val="single"/>
                                </w:rPr>
                              </w:pPr>
                              <w:r>
                                <w:rPr>
                                  <w:b/>
                                  <w:sz w:val="32"/>
                                  <w:szCs w:val="32"/>
                                  <w:u w:val="single"/>
                                </w:rPr>
                                <w:t>ACCESS MUST BE LEFT RADIAL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868ED0" id="Group 47" o:spid="_x0000_s1026" style="position:absolute;margin-left:-42.75pt;margin-top:-44.25pt;width:553.9pt;height:551.2pt;z-index:251658240;mso-position-horizontal-relative:margin;mso-position-vertical-relative:margin" coordorigin="2534,9781" coordsize="7385,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">
                <v:rect id="AutoShape 48" o:spid="_x0000_s1027" style="position:absolute;left:2534;top:9781;width:7385;height:7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" filled="f" stroked="f">
                  <v:path arrowok="t"/>
                </v:rect>
                <v:rect id="Rectangle 49" o:spid="_x0000_s1028" style="position:absolute;left:2989;top:9901;width:4014;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" fillcolor="#17365d [2415]" strokecolor="black [3213]" strokeweight=".5pt">
                  <v:shadow on="t" color="#4e6128 [1606]" opacity=".5"/>
                  <v:path arrowok="t"/>
                  <v:textbox>
                    <w:txbxContent>
                      <w:p w14:paraId="4A6B7E34" w14:textId="77777777" w:rsidR="00D35073" w:rsidRDefault="00D35073" w:rsidP="00991E00">
                        <w:pPr>
                          <w:jc w:val="center"/>
                        </w:pPr>
                        <w:r>
                          <w:t>Recruitment based on finding of stenosis &gt;50% and symptoms of ischaemia</w:t>
                        </w:r>
                      </w:p>
                    </w:txbxContent>
                  </v:textbox>
                </v:rect>
                <v:rect id="Rectangle 50" o:spid="_x0000_s1029" style="position:absolute;left:3841;top:10861;width:2294;height: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" fillcolor="#17365d [2415]" strokecolor="black [3213]" strokeweight=".5pt">
                  <v:shadow on="t"/>
                  <v:path arrowok="t"/>
                  <v:textbox>
                    <w:txbxContent>
                      <w:p w14:paraId="4BFF758A" w14:textId="77777777" w:rsidR="00D35073" w:rsidRDefault="00D35073" w:rsidP="00991E00">
                        <w:pPr>
                          <w:jc w:val="center"/>
                        </w:pPr>
                        <w:r>
                          <w:t>Inclusion and exclusion criteria satisfied</w:t>
                        </w:r>
                      </w:p>
                    </w:txbxContent>
                  </v:textbox>
                </v:rect>
                <v:rect id="Rectangle 51" o:spid="_x0000_s1030" style="position:absolute;left:3824;top:11938;width:2282;height: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" fillcolor="#17365d [2415]">
                  <v:shadow on="t"/>
                  <v:path arrowok="t"/>
                  <v:textbox>
                    <w:txbxContent>
                      <w:p w14:paraId="0177BD76" w14:textId="77777777" w:rsidR="00D35073" w:rsidRDefault="00D35073" w:rsidP="00991E00">
                        <w:pPr>
                          <w:jc w:val="center"/>
                        </w:pPr>
                        <w:r>
                          <w:t>Study Information given. Informed consent obtained?</w:t>
                        </w:r>
                      </w:p>
                    </w:txbxContent>
                  </v:textbox>
                </v:rect>
                <v:shapetype id="_x0000_t32" coordsize="21600,21600" o:spt="32" o:oned="t" path="m,l21600,21600e" filled="f">
                  <v:path arrowok="t" fillok="f" o:connecttype="none"/>
                  <o:lock v:ext="edit" shapetype="t"/>
                </v:shapetype>
                <v:shape id="AutoShape 52" o:spid="_x0000_s1031" type="#_x0000_t32" style="position:absolute;left:4759;top:12799;width:6;height:5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">
                  <v:stroke endarrow="block"/>
                  <o:lock v:ext="edit" shapetype="f"/>
                </v:shape>
                <v:rect id="Rectangle 53" o:spid="_x0000_s1032" style="position:absolute;left:4833;top:12923;width:748;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" fillcolor="#00b050" strokecolor="#0d0d0d [3069]" strokeweight="1.5pt">
                  <v:path arrowok="t"/>
                  <v:textbox>
                    <w:txbxContent>
                      <w:p w14:paraId="0522A457" w14:textId="77777777" w:rsidR="00D35073" w:rsidRDefault="00D35073" w:rsidP="00991E00">
                        <w:pPr>
                          <w:jc w:val="center"/>
                        </w:pPr>
                        <w:r>
                          <w:t>Yes</w:t>
                        </w:r>
                      </w:p>
                    </w:txbxContent>
                  </v:textbox>
                </v:rect>
                <v:shape id="AutoShape 54" o:spid="_x0000_s1033" type="#_x0000_t32" style="position:absolute;left:6106;top:12449;width:1531;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">
                  <v:stroke endarrow="block"/>
                  <o:lock v:ext="edit" shapetype="f"/>
                </v:shape>
                <v:rect id="Rectangle 55" o:spid="_x0000_s1034" style="position:absolute;left:6465;top:12275;width:748;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" fillcolor="red">
                  <v:path arrowok="t"/>
                  <v:textbox>
                    <w:txbxContent>
                      <w:p w14:paraId="3C5F8892" w14:textId="77777777" w:rsidR="00D35073" w:rsidRDefault="00D35073" w:rsidP="00991E00">
                        <w:pPr>
                          <w:jc w:val="center"/>
                        </w:pPr>
                        <w:r>
                          <w:t>No</w:t>
                        </w:r>
                      </w:p>
                      <w:p w14:paraId="380710F9" w14:textId="77777777" w:rsidR="00D35073" w:rsidRDefault="00D35073" w:rsidP="00991E00"/>
                    </w:txbxContent>
                  </v:textbox>
                </v:rect>
                <v:rect id="Rectangle 56" o:spid="_x0000_s1035" style="position:absolute;left:7637;top:12039;width:1548;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" fillcolor="#c6d9f1 [671]">
                  <v:shadow on="t"/>
                  <v:path arrowok="t"/>
                  <v:textbox>
                    <w:txbxContent>
                      <w:p w14:paraId="0F5130AB" w14:textId="77777777" w:rsidR="00D35073" w:rsidRDefault="00D35073" w:rsidP="00991E00">
                        <w:pPr>
                          <w:jc w:val="center"/>
                        </w:pPr>
                        <w:r>
                          <w:t>For continuing care as per Essex CTC</w:t>
                        </w:r>
                      </w:p>
                    </w:txbxContent>
                  </v:textbox>
                </v:rect>
                <v:rect id="Rectangle 57" o:spid="_x0000_s1036" style="position:absolute;left:3467;top:13381;width:3051;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" fillcolor="#17365d [2415]">
                  <v:shadow on="t"/>
                  <v:path arrowok="t"/>
                  <v:textbox>
                    <w:txbxContent>
                      <w:p w14:paraId="71A75533" w14:textId="77777777" w:rsidR="00D35073" w:rsidRDefault="00D35073" w:rsidP="00991E00">
                        <w:pPr>
                          <w:jc w:val="center"/>
                        </w:pPr>
                        <w:r>
                          <w:t>***Patient starts Prone***</w:t>
                        </w:r>
                        <w:r>
                          <w:br/>
                        </w:r>
                      </w:p>
                    </w:txbxContent>
                  </v:textbox>
                </v:rect>
                <v:shape id="AutoShape 58" o:spid="_x0000_s1037" type="#_x0000_t32" style="position:absolute;left:4982;top:11614;width:6;height: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">
                  <v:stroke endarrow="block"/>
                  <o:lock v:ext="edit" shapetype="f"/>
                </v:shape>
                <v:rect id="Rectangle 59" o:spid="_x0000_s1038" style="position:absolute;left:3788;top:14427;width:243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" fillcolor="#17365d [2415]">
                  <v:shadow on="t"/>
                  <v:path arrowok="t"/>
                  <v:textbox>
                    <w:txbxContent>
                      <w:p w14:paraId="31D2D7E3" w14:textId="77777777" w:rsidR="00D35073" w:rsidRDefault="00D35073" w:rsidP="00991E00">
                        <w:pPr>
                          <w:jc w:val="center"/>
                        </w:pPr>
                        <w:r>
                          <w:t>Measure physiology</w:t>
                        </w:r>
                      </w:p>
                    </w:txbxContent>
                  </v:textbox>
                </v:rect>
                <v:rect id="Rectangle 60" o:spid="_x0000_s1039" style="position:absolute;left:3788;top:15242;width:2430;height: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" fillcolor="#17365d [2415]">
                  <v:shadow on="t"/>
                  <v:path arrowok="t"/>
                  <v:textbox>
                    <w:txbxContent>
                      <w:p w14:paraId="1FE31C50" w14:textId="77777777" w:rsidR="00D35073" w:rsidRDefault="00D35073" w:rsidP="00991E00">
                        <w:pPr>
                          <w:jc w:val="center"/>
                        </w:pPr>
                        <w:r>
                          <w:t>Turn patient supine and measure physiology.</w:t>
                        </w:r>
                      </w:p>
                    </w:txbxContent>
                  </v:textbox>
                </v:rect>
                <v:rect id="Rectangle 61" o:spid="_x0000_s1040" style="position:absolute;left:3841;top:16214;width:234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" fillcolor="#17365d [2415]">
                  <v:shadow on="t"/>
                  <v:path arrowok="t"/>
                  <v:textbox>
                    <w:txbxContent>
                      <w:p w14:paraId="38783D50" w14:textId="67E60E9C" w:rsidR="00D35073" w:rsidRDefault="00D35073" w:rsidP="00991E00">
                        <w:pPr>
                          <w:jc w:val="center"/>
                        </w:pPr>
                        <w:r>
                          <w:t xml:space="preserve">Complete procedure as per operator </w:t>
                        </w:r>
                        <w:r>
                          <w:rPr>
                            <w:rFonts w:ascii="Times New Roman" w:hAnsi="Times New Roman" w:cs="Times New Roman"/>
                            <w:sz w:val="24"/>
                            <w:szCs w:val="24"/>
                          </w:rPr>
                          <w:t>±</w:t>
                        </w:r>
                        <w:r>
                          <w:t xml:space="preserve"> PCI</w:t>
                        </w:r>
                      </w:p>
                    </w:txbxContent>
                  </v:textbox>
                </v:rect>
                <v:shape id="AutoShape 62" o:spid="_x0000_s1041" type="#_x0000_t32" style="position:absolute;left:4993;top:14212;width:1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">
                  <v:stroke endarrow="block"/>
                  <o:lock v:ext="edit" shapetype="f"/>
                </v:shape>
                <v:shape id="AutoShape 63" o:spid="_x0000_s1042" type="#_x0000_t32" style="position:absolute;left:5003;top:15027;width:1;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">
                  <v:stroke endarrow="block"/>
                  <o:lock v:ext="edit" shapetype="f"/>
                </v:shape>
                <v:shape id="AutoShape 64" o:spid="_x0000_s1043" type="#_x0000_t32" style="position:absolute;left:5003;top:15804;width:12;height:4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">
                  <v:stroke endarrow="block"/>
                  <o:lock v:ext="edit" shapetype="f"/>
                </v:shape>
                <v:shape id="AutoShape 65" o:spid="_x0000_s1044" type="#_x0000_t32" style="position:absolute;left:4989;top:10487;width:8;height: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">
                  <v:stroke endarrow="block"/>
                  <o:lock v:ext="edit" shapetype="f"/>
                </v:shape>
                <v:shapetype id="_x0000_t202" coordsize="21600,21600" o:spt="202" path="m,l,21600r21600,l21600,xe">
                  <v:stroke joinstyle="miter"/>
                  <v:path gradientshapeok="t" o:connecttype="rect"/>
                </v:shapetype>
                <v:shape id="Text Box 66" o:spid="_x0000_s1045" type="#_x0000_t202" style="position:absolute;left:7353;top:9901;width:2495;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" fillcolor="white [3201]" strokecolor="#4f81bd [3204]" strokeweight="5pt">
                  <v:stroke linestyle="thickThin"/>
                  <v:shadow color="#868686"/>
                  <v:path arrowok="t"/>
                  <v:textbox>
                    <w:txbxContent>
                      <w:p w14:paraId="40254134" w14:textId="77777777" w:rsidR="00D35073" w:rsidRDefault="00D35073" w:rsidP="00991E00">
                        <w:pPr>
                          <w:jc w:val="center"/>
                          <w:rPr>
                            <w:b/>
                          </w:rPr>
                        </w:pPr>
                        <w:r w:rsidRPr="009C41EF">
                          <w:rPr>
                            <w:b/>
                          </w:rPr>
                          <w:t>GRAVITY Study</w:t>
                        </w:r>
                      </w:p>
                      <w:p w14:paraId="704346AC" w14:textId="77777777" w:rsidR="00D35073" w:rsidRDefault="00D35073" w:rsidP="00991E00">
                        <w:pPr>
                          <w:jc w:val="center"/>
                          <w:rPr>
                            <w:b/>
                          </w:rPr>
                        </w:pPr>
                        <w:r>
                          <w:rPr>
                            <w:b/>
                          </w:rPr>
                          <w:t>Physiology Data Collection Pathway</w:t>
                        </w:r>
                      </w:p>
                      <w:p w14:paraId="5FFB2C11" w14:textId="77777777" w:rsidR="00D35073" w:rsidRPr="009C41EF" w:rsidRDefault="00D35073" w:rsidP="00991E00">
                        <w:pPr>
                          <w:jc w:val="center"/>
                          <w:rPr>
                            <w:b/>
                          </w:rPr>
                        </w:pPr>
                      </w:p>
                    </w:txbxContent>
                  </v:textbox>
                </v:shape>
                <v:shape id="Text Box 68" o:spid="_x0000_s1046" type="#_x0000_t202" style="position:absolute;left:7074;top:13249;width:2655;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" fillcolor="#c0504d [3205]" strokecolor="#f2f2f2 [3041]" strokeweight="3pt">
                  <v:shadow on="t" color="#622423 [1605]" opacity=".5" offset="1pt"/>
                  <v:path arrowok="t"/>
                  <v:textbox>
                    <w:txbxContent>
                      <w:p w14:paraId="025C62F4" w14:textId="77777777" w:rsidR="00D35073" w:rsidRPr="009C4793" w:rsidRDefault="00D35073" w:rsidP="00991E00">
                        <w:pPr>
                          <w:jc w:val="center"/>
                          <w:rPr>
                            <w:b/>
                            <w:sz w:val="32"/>
                            <w:szCs w:val="32"/>
                            <w:u w:val="single"/>
                          </w:rPr>
                        </w:pPr>
                        <w:r>
                          <w:rPr>
                            <w:b/>
                            <w:sz w:val="32"/>
                            <w:szCs w:val="32"/>
                            <w:u w:val="single"/>
                          </w:rPr>
                          <w:t>ACCESS MUST BE LEFT RADIAL</w:t>
                        </w:r>
                      </w:p>
                    </w:txbxContent>
                  </v:textbox>
                </v:shape>
                <w10:wrap type="square" anchorx="margin" anchory="margin"/>
              </v:group>
            </w:pict>
          </mc:Fallback>
        </mc:AlternateContent>
      </w:r>
    </w:p>
    <w:p w14:paraId="003D748F" w14:textId="36856F9E" w:rsidR="005D50E2" w:rsidRPr="00A60EED" w:rsidRDefault="00A60EED" w:rsidP="00A60EED">
      <w:pPr>
        <w:pStyle w:val="Caption"/>
        <w:spacing w:line="360" w:lineRule="auto"/>
        <w:rPr>
          <w:rFonts w:ascii="Times New Roman" w:hAnsi="Times New Roman" w:cs="Times New Roman"/>
          <w:b w:val="0"/>
          <w:i/>
          <w:color w:val="auto"/>
          <w:sz w:val="24"/>
          <w:szCs w:val="24"/>
        </w:rPr>
      </w:pPr>
      <w:bookmarkStart w:id="114" w:name="_Toc44684911"/>
      <w:r w:rsidRPr="00A60EED">
        <w:rPr>
          <w:rFonts w:ascii="Times New Roman" w:hAnsi="Times New Roman" w:cs="Times New Roman"/>
          <w:b w:val="0"/>
          <w:i/>
          <w:color w:val="auto"/>
          <w:sz w:val="24"/>
          <w:szCs w:val="24"/>
        </w:rPr>
        <w:t xml:space="preserve">Figure </w:t>
      </w:r>
      <w:r w:rsidR="00106A32" w:rsidRPr="00A60EED">
        <w:rPr>
          <w:rFonts w:ascii="Times New Roman" w:hAnsi="Times New Roman" w:cs="Times New Roman"/>
          <w:b w:val="0"/>
          <w:i/>
          <w:color w:val="auto"/>
          <w:sz w:val="24"/>
          <w:szCs w:val="24"/>
        </w:rPr>
        <w:fldChar w:fldCharType="begin"/>
      </w:r>
      <w:r w:rsidRPr="00A60EED">
        <w:rPr>
          <w:rFonts w:ascii="Times New Roman" w:hAnsi="Times New Roman" w:cs="Times New Roman"/>
          <w:b w:val="0"/>
          <w:i/>
          <w:color w:val="auto"/>
          <w:sz w:val="24"/>
          <w:szCs w:val="24"/>
        </w:rPr>
        <w:instrText xml:space="preserve"> SEQ Figure \* ARABIC </w:instrText>
      </w:r>
      <w:r w:rsidR="00106A32" w:rsidRPr="00A60EE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22</w:t>
      </w:r>
      <w:r w:rsidR="00106A32" w:rsidRPr="00A60EED">
        <w:rPr>
          <w:rFonts w:ascii="Times New Roman" w:hAnsi="Times New Roman" w:cs="Times New Roman"/>
          <w:b w:val="0"/>
          <w:i/>
          <w:color w:val="auto"/>
          <w:sz w:val="24"/>
          <w:szCs w:val="24"/>
        </w:rPr>
        <w:fldChar w:fldCharType="end"/>
      </w:r>
      <w:r w:rsidRPr="00A60EED">
        <w:rPr>
          <w:rFonts w:ascii="Times New Roman" w:hAnsi="Times New Roman" w:cs="Times New Roman"/>
          <w:b w:val="0"/>
          <w:i/>
          <w:color w:val="auto"/>
          <w:sz w:val="24"/>
          <w:szCs w:val="24"/>
        </w:rPr>
        <w:t xml:space="preserve"> - Patient Flowchart</w:t>
      </w:r>
      <w:bookmarkEnd w:id="114"/>
    </w:p>
    <w:p w14:paraId="50AD346A" w14:textId="77777777" w:rsidR="00991E00" w:rsidRPr="00EC6C19" w:rsidRDefault="00991E00" w:rsidP="00835EE7">
      <w:pPr>
        <w:spacing w:line="360" w:lineRule="auto"/>
        <w:rPr>
          <w:rFonts w:ascii="Times New Roman" w:hAnsi="Times New Roman" w:cs="Times New Roman"/>
          <w:i/>
          <w:sz w:val="24"/>
          <w:szCs w:val="24"/>
          <w:u w:val="single"/>
        </w:rPr>
      </w:pPr>
    </w:p>
    <w:p w14:paraId="1FC0B5A1" w14:textId="77777777" w:rsidR="00991E00" w:rsidRPr="00EC6C19" w:rsidRDefault="00991E00" w:rsidP="00835EE7">
      <w:pPr>
        <w:spacing w:line="360" w:lineRule="auto"/>
        <w:rPr>
          <w:rFonts w:ascii="Times New Roman" w:hAnsi="Times New Roman" w:cs="Times New Roman"/>
          <w:i/>
          <w:sz w:val="24"/>
          <w:szCs w:val="24"/>
          <w:u w:val="single"/>
        </w:rPr>
      </w:pPr>
    </w:p>
    <w:p w14:paraId="3F04B1A9" w14:textId="77777777" w:rsidR="00D478C8" w:rsidRPr="00EC6C19" w:rsidRDefault="00D478C8" w:rsidP="00835EE7">
      <w:pPr>
        <w:spacing w:line="360" w:lineRule="auto"/>
        <w:rPr>
          <w:rFonts w:ascii="Times New Roman" w:hAnsi="Times New Roman" w:cs="Times New Roman"/>
          <w:i/>
          <w:sz w:val="24"/>
          <w:szCs w:val="24"/>
          <w:u w:val="single"/>
        </w:rPr>
      </w:pPr>
    </w:p>
    <w:p w14:paraId="322087DF" w14:textId="77777777" w:rsidR="00835EE7" w:rsidRPr="002822FA" w:rsidRDefault="002822FA" w:rsidP="002822FA">
      <w:pPr>
        <w:pStyle w:val="Heading2"/>
        <w:rPr>
          <w:rFonts w:ascii="Times New Roman" w:hAnsi="Times New Roman" w:cs="Times New Roman"/>
          <w:color w:val="auto"/>
          <w:sz w:val="24"/>
          <w:szCs w:val="24"/>
        </w:rPr>
      </w:pPr>
      <w:bookmarkStart w:id="115" w:name="_Toc80302228"/>
      <w:r w:rsidRPr="002822FA">
        <w:rPr>
          <w:rFonts w:ascii="Times New Roman" w:hAnsi="Times New Roman" w:cs="Times New Roman"/>
          <w:color w:val="auto"/>
          <w:sz w:val="24"/>
          <w:szCs w:val="24"/>
        </w:rPr>
        <w:lastRenderedPageBreak/>
        <w:t xml:space="preserve">3.4 - </w:t>
      </w:r>
      <w:r w:rsidR="00835EE7" w:rsidRPr="002822FA">
        <w:rPr>
          <w:rFonts w:ascii="Times New Roman" w:hAnsi="Times New Roman" w:cs="Times New Roman"/>
          <w:color w:val="auto"/>
          <w:sz w:val="24"/>
          <w:szCs w:val="24"/>
        </w:rPr>
        <w:t>Sample Size Calculation</w:t>
      </w:r>
      <w:r w:rsidR="002C5EA9">
        <w:rPr>
          <w:rFonts w:ascii="Times New Roman" w:hAnsi="Times New Roman" w:cs="Times New Roman"/>
          <w:color w:val="auto"/>
          <w:sz w:val="24"/>
          <w:szCs w:val="24"/>
        </w:rPr>
        <w:t xml:space="preserve"> and Statistical Analysis</w:t>
      </w:r>
      <w:bookmarkEnd w:id="115"/>
      <w:r>
        <w:rPr>
          <w:rFonts w:ascii="Times New Roman" w:hAnsi="Times New Roman" w:cs="Times New Roman"/>
          <w:color w:val="auto"/>
          <w:sz w:val="24"/>
          <w:szCs w:val="24"/>
        </w:rPr>
        <w:br/>
      </w:r>
    </w:p>
    <w:p w14:paraId="250949EF" w14:textId="77777777" w:rsidR="00835EE7" w:rsidRPr="00EC6C19" w:rsidRDefault="00835EE7" w:rsidP="00835EE7">
      <w:pPr>
        <w:pStyle w:val="ListParagraph"/>
        <w:spacing w:line="360" w:lineRule="auto"/>
        <w:ind w:left="360"/>
        <w:rPr>
          <w:rFonts w:ascii="Times New Roman" w:hAnsi="Times New Roman" w:cs="Times New Roman"/>
          <w:sz w:val="24"/>
          <w:szCs w:val="24"/>
        </w:rPr>
      </w:pPr>
    </w:p>
    <w:p w14:paraId="70661A15" w14:textId="77777777" w:rsidR="00B840B0"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Sample size was calculated for 80% power, and for a p value of &lt;0.05, using a paired T-test to meet the primary endpoint. </w:t>
      </w:r>
      <w:r w:rsidR="00B87EF8" w:rsidRPr="00EC6C19">
        <w:rPr>
          <w:rFonts w:ascii="Times New Roman" w:hAnsi="Times New Roman" w:cs="Times New Roman"/>
          <w:sz w:val="24"/>
          <w:szCs w:val="24"/>
        </w:rPr>
        <w:t xml:space="preserve">GPower3™ statistical software calculator was used for the power calculation </w:t>
      </w:r>
      <w:r w:rsidR="00106A32" w:rsidRPr="00EC6C19">
        <w:rPr>
          <w:rFonts w:ascii="Times New Roman" w:hAnsi="Times New Roman" w:cs="Times New Roman"/>
          <w:sz w:val="24"/>
          <w:szCs w:val="24"/>
        </w:rPr>
        <w:fldChar w:fldCharType="begin"/>
      </w:r>
      <w:r w:rsidR="00B87EF8" w:rsidRPr="00EC6C19">
        <w:rPr>
          <w:rFonts w:ascii="Times New Roman" w:hAnsi="Times New Roman" w:cs="Times New Roman"/>
          <w:sz w:val="24"/>
          <w:szCs w:val="24"/>
        </w:rPr>
        <w:instrText xml:space="preserve"> ADDIN ZOTERO_ITEM CSL_CITATION {"citationID":"J33kWLhN","properties":{"formattedCitation":"(Faul et al., 2007)","plainCitation":"(Faul et al., 2007)","noteIndex":0},"citationItems":[{"id":258,"uris":["http://zotero.org/users/local/k67tNDdX/items/9YPVX4SS"],"uri":["http://zotero.org/users/local/k67tNDdX/items/9YPVX4SS"],"itemData":{"id":258,"type":"article-journal","container-title":"Behavior Research Methods","DOI":"10.3758/BF03193146","ISSN":"1554-351X, 1554-3528","issue":"2","language":"en","page":"175-191","source":"Crossref","title":"G*Power 3: A flexible statistical power analysis program for the social, behavioral, and biomedical sciences","title-short":"G*Power 3","volume":"39","author":[{"family":"Faul","given":"Franz"},{"family":"Erdfelder","given":"Edgar"},{"family":"Lang","given":"Albert-Georg"},{"family":"Buchner","given":"Axel"}],"issued":{"date-parts":[["2007",5]]}}}],"schema":"https://github.com/citation-style-language/schema/raw/master/csl-citation.json"} </w:instrText>
      </w:r>
      <w:r w:rsidR="00106A32" w:rsidRPr="00EC6C19">
        <w:rPr>
          <w:rFonts w:ascii="Times New Roman" w:hAnsi="Times New Roman" w:cs="Times New Roman"/>
          <w:sz w:val="24"/>
          <w:szCs w:val="24"/>
        </w:rPr>
        <w:fldChar w:fldCharType="separate"/>
      </w:r>
      <w:r w:rsidR="00B87EF8" w:rsidRPr="00EC6C19">
        <w:rPr>
          <w:rFonts w:ascii="Times New Roman" w:hAnsi="Times New Roman" w:cs="Times New Roman"/>
          <w:sz w:val="24"/>
          <w:szCs w:val="24"/>
        </w:rPr>
        <w:t xml:space="preserve">(Faul </w:t>
      </w:r>
      <w:r w:rsidR="00B22321" w:rsidRPr="00EC6C19">
        <w:rPr>
          <w:rFonts w:ascii="Times New Roman" w:hAnsi="Times New Roman" w:cs="Times New Roman"/>
          <w:sz w:val="24"/>
          <w:szCs w:val="24"/>
        </w:rPr>
        <w:t>et al.,</w:t>
      </w:r>
      <w:r w:rsidR="00B87EF8" w:rsidRPr="00EC6C19">
        <w:rPr>
          <w:rFonts w:ascii="Times New Roman" w:hAnsi="Times New Roman" w:cs="Times New Roman"/>
          <w:sz w:val="24"/>
          <w:szCs w:val="24"/>
        </w:rPr>
        <w:t xml:space="preserve"> 2007)</w:t>
      </w:r>
      <w:r w:rsidR="00106A32" w:rsidRPr="00EC6C19">
        <w:rPr>
          <w:rFonts w:ascii="Times New Roman" w:hAnsi="Times New Roman" w:cs="Times New Roman"/>
          <w:sz w:val="24"/>
          <w:szCs w:val="24"/>
        </w:rPr>
        <w:fldChar w:fldCharType="end"/>
      </w:r>
      <w:r w:rsidR="00B87EF8" w:rsidRPr="00EC6C19">
        <w:rPr>
          <w:rFonts w:ascii="Times New Roman" w:hAnsi="Times New Roman" w:cs="Times New Roman"/>
          <w:sz w:val="24"/>
          <w:szCs w:val="24"/>
        </w:rPr>
        <w:t xml:space="preserve">. </w:t>
      </w:r>
    </w:p>
    <w:p w14:paraId="180383AE" w14:textId="77777777" w:rsidR="00B840B0"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In our study, a standard deviation of the </w:t>
      </w:r>
      <w:r w:rsidR="00D478C8" w:rsidRPr="00EC6C19">
        <w:rPr>
          <w:rFonts w:ascii="Times New Roman" w:hAnsi="Times New Roman" w:cs="Times New Roman"/>
          <w:sz w:val="24"/>
          <w:szCs w:val="24"/>
        </w:rPr>
        <w:t>difference in the mean</w:t>
      </w:r>
      <w:r w:rsidRPr="00EC6C19">
        <w:rPr>
          <w:rFonts w:ascii="Times New Roman" w:hAnsi="Times New Roman" w:cs="Times New Roman"/>
          <w:sz w:val="24"/>
          <w:szCs w:val="24"/>
        </w:rPr>
        <w:t xml:space="preserve"> of 0.04 is used for FFR</w:t>
      </w:r>
      <w:r w:rsidR="00D478C8" w:rsidRPr="00EC6C19">
        <w:rPr>
          <w:rFonts w:ascii="Times New Roman" w:hAnsi="Times New Roman" w:cs="Times New Roman"/>
          <w:sz w:val="24"/>
          <w:szCs w:val="24"/>
        </w:rPr>
        <w:t>,</w:t>
      </w:r>
      <w:r w:rsidRPr="00EC6C19">
        <w:rPr>
          <w:rFonts w:ascii="Times New Roman" w:hAnsi="Times New Roman" w:cs="Times New Roman"/>
          <w:sz w:val="24"/>
          <w:szCs w:val="24"/>
        </w:rPr>
        <w:t xml:space="preserve"> as has been for previous studies assessing change in coronary artery physiology</w:t>
      </w:r>
      <w:r w:rsidR="00D852FC" w:rsidRPr="00EC6C19">
        <w:rPr>
          <w:rFonts w:ascii="Times New Roman" w:hAnsi="Times New Roman" w:cs="Times New Roman"/>
          <w:sz w:val="24"/>
          <w:szCs w:val="24"/>
        </w:rPr>
        <w:t xml:space="preserve"> </w:t>
      </w:r>
      <w:r w:rsidR="00106A32" w:rsidRPr="00EC6C19">
        <w:rPr>
          <w:rFonts w:ascii="Times New Roman" w:hAnsi="Times New Roman" w:cs="Times New Roman"/>
          <w:color w:val="FF0000"/>
          <w:sz w:val="24"/>
          <w:szCs w:val="24"/>
        </w:rPr>
        <w:fldChar w:fldCharType="begin"/>
      </w:r>
      <w:r w:rsidR="00DA1AD3" w:rsidRPr="00EC6C19">
        <w:rPr>
          <w:rFonts w:ascii="Times New Roman" w:hAnsi="Times New Roman" w:cs="Times New Roman"/>
          <w:color w:val="FF0000"/>
          <w:sz w:val="24"/>
          <w:szCs w:val="24"/>
        </w:rPr>
        <w:instrText xml:space="preserve"> ADDIN ZOTERO_ITEM CSL_CITATION {"citationID":"xHmq8mTq","properties":{"formattedCitation":"(Ladwiniec et al., 2015)","plainCitation":"(Ladwiniec et al., 2015)","noteIndex":0},"citationItems":[{"id":259,"uris":["http://zotero.org/users/local/k67tNDdX/items/D2GV7XEE"],"uri":["http://zotero.org/users/local/k67tNDdX/items/D2GV7XEE"],"itemData":{"id":259,"type":"article-journal","abstract":"BACKGROUND: The presence of a concomitant chronic total coronary occlusion (CTO) and a large collateral contribution might alter the fractional flow reserve (FFR) of an interrogated vessel, rendering the FFR unreliable at predicting ischemia should the CTO vessel be revascularized and potentially affecting the decision on optimal revascularization strategy. We tested the hypothesis that donor vessel FFR would significantly change after percutaneous coronary intervention of a concomitant CTO.\nMETHODS AND RESULTS: In consecutive patients undergoing percutaneous coronary intervention of a CTO, coronary pressure and flow velocity were measured at baseline and hyperemia in proximal and distal segments of both nontarget vessels, before and after percutaneous coronary intervention. Hemodynamics including FFR, absolute coronary flow, and the coronary flow velocity-pressure gradient relation were calculated. After successful percutaneous coronary intervention in 34 of 46 patients, FFR in the predominant donor vessel increased from 0.782 to 0.810 (difference, 0.028 [0.012 to 0.044]; P=0.001). Mean decrease in baseline donor vessel absolute flow adjusted for rate pressure product: 177.5 to 139.9 mL/min (difference -37.6 [-62.6 to -12.6]; P=0.005), mean decrease in hyperemic flow: 306.5 to 272.9 mL/min (difference, -33.5 [-58.7 to -8.3]; P=0.011). Change in predominant donor vessel FFR correlated with angiographic (%) diameter stenosis severity (r=0.44; P=0.009) and was strongly related to stenosis severity measured by the coronary flow velocity-pressure gradient relation (r=0.69; P&lt;0.001).\nCONCLUSIONS: Recanalization of a CTO results in a modest increase in the FFR of the predominant collateral donor vessel associated with a reduction in coronary flow. A larger increase in FFR is associated with greater coronary stenosis severity.","container-title":"Circulation. Cardiovascular Interventions","DOI":"10.1161/CIRCINTERVENTIONS.114.002219","ISSN":"1941-7632","issue":"4","journalAbbreviation":"Circ Cardiovasc Interv","language":"eng","note":"PMID: 25805570","source":"PubMed","title":"Collateral donor artery physiology and the influence of a chronic total occlusion on fractional flow reserve","volume":"8","author":[{"family":"Ladwiniec","given":"Andrew"},{"family":"Cunnington","given":"Michael S."},{"family":"Rossington","given":"Jennifer"},{"family":"Mather","given":"Adam N."},{"family":"Alahmar","given":"Albert"},{"family":"Oliver","given":"Richard M."},{"family":"Nijjer","given":"Sukhjinder S."},{"family":"Davies","given":"Justin E."},{"family":"Thackray","given":"Simon"},{"family":"Alamgir","given":"Farquad"},{"family":"Hoye","given":"Angela"}],"issued":{"date-parts":[["2015",4]]}}}],"schema":"https://github.com/citation-style-language/schema/raw/master/csl-citation.json"} </w:instrText>
      </w:r>
      <w:r w:rsidR="00106A32" w:rsidRPr="00EC6C19">
        <w:rPr>
          <w:rFonts w:ascii="Times New Roman" w:hAnsi="Times New Roman" w:cs="Times New Roman"/>
          <w:color w:val="FF0000"/>
          <w:sz w:val="24"/>
          <w:szCs w:val="24"/>
        </w:rPr>
        <w:fldChar w:fldCharType="separate"/>
      </w:r>
      <w:r w:rsidR="00D212BB" w:rsidRPr="00EC6C19">
        <w:rPr>
          <w:rFonts w:ascii="Times New Roman" w:hAnsi="Times New Roman" w:cs="Times New Roman"/>
          <w:sz w:val="24"/>
          <w:szCs w:val="24"/>
        </w:rPr>
        <w:t xml:space="preserve">(Ladwiniec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2015)</w:t>
      </w:r>
      <w:r w:rsidR="00106A32" w:rsidRPr="00EC6C19">
        <w:rPr>
          <w:rFonts w:ascii="Times New Roman" w:hAnsi="Times New Roman" w:cs="Times New Roman"/>
          <w:color w:val="FF0000"/>
          <w:sz w:val="24"/>
          <w:szCs w:val="24"/>
        </w:rPr>
        <w:fldChar w:fldCharType="end"/>
      </w:r>
      <w:r w:rsidRPr="00EC6C19">
        <w:rPr>
          <w:rFonts w:ascii="Times New Roman" w:hAnsi="Times New Roman" w:cs="Times New Roman"/>
          <w:color w:val="FF0000"/>
          <w:sz w:val="24"/>
          <w:szCs w:val="24"/>
        </w:rPr>
        <w:t xml:space="preserve">. </w:t>
      </w:r>
      <w:r w:rsidRPr="00EC6C19">
        <w:rPr>
          <w:rFonts w:ascii="Times New Roman" w:hAnsi="Times New Roman" w:cs="Times New Roman"/>
          <w:sz w:val="24"/>
          <w:szCs w:val="24"/>
        </w:rPr>
        <w:t xml:space="preserve">The minimum difference we expect to see between prone and supine physiology measurements using the mean is 0.06. This calculated minimum difference is extrapolated from CT coronary </w:t>
      </w:r>
      <w:r w:rsidRPr="00A60EED">
        <w:rPr>
          <w:rFonts w:ascii="Times New Roman" w:hAnsi="Times New Roman" w:cs="Times New Roman"/>
          <w:sz w:val="24"/>
          <w:szCs w:val="24"/>
        </w:rPr>
        <w:t>data</w:t>
      </w:r>
      <w:r w:rsidR="00D852FC" w:rsidRPr="00A60EED">
        <w:rPr>
          <w:rFonts w:ascii="Times New Roman" w:hAnsi="Times New Roman" w:cs="Times New Roman"/>
          <w:sz w:val="24"/>
          <w:szCs w:val="24"/>
        </w:rPr>
        <w:t xml:space="preserve"> </w:t>
      </w:r>
      <w:r w:rsidR="007540EE" w:rsidRPr="00A60EED">
        <w:rPr>
          <w:rFonts w:ascii="Times New Roman" w:hAnsi="Times New Roman" w:cs="Times New Roman"/>
          <w:sz w:val="24"/>
          <w:szCs w:val="24"/>
        </w:rPr>
        <w:t xml:space="preserve">(See Data from </w:t>
      </w:r>
      <w:r w:rsidR="007648C0" w:rsidRPr="00A60EED">
        <w:rPr>
          <w:rFonts w:ascii="Times New Roman" w:hAnsi="Times New Roman" w:cs="Times New Roman"/>
          <w:sz w:val="24"/>
          <w:szCs w:val="24"/>
        </w:rPr>
        <w:t>Chapter II</w:t>
      </w:r>
      <w:r w:rsidR="007540EE" w:rsidRPr="00A60EED">
        <w:rPr>
          <w:rFonts w:ascii="Times New Roman" w:hAnsi="Times New Roman" w:cs="Times New Roman"/>
          <w:sz w:val="24"/>
          <w:szCs w:val="24"/>
        </w:rPr>
        <w:t>)</w:t>
      </w:r>
      <w:r w:rsidRPr="00A60EED">
        <w:rPr>
          <w:rFonts w:ascii="Times New Roman" w:hAnsi="Times New Roman" w:cs="Times New Roman"/>
          <w:sz w:val="24"/>
          <w:szCs w:val="24"/>
        </w:rPr>
        <w:t>,</w:t>
      </w:r>
      <w:r w:rsidRPr="00EC6C19">
        <w:rPr>
          <w:rFonts w:ascii="Times New Roman" w:hAnsi="Times New Roman" w:cs="Times New Roman"/>
          <w:color w:val="FF0000"/>
          <w:sz w:val="24"/>
          <w:szCs w:val="24"/>
        </w:rPr>
        <w:t xml:space="preserve"> </w:t>
      </w:r>
      <w:r w:rsidRPr="00EC6C19">
        <w:rPr>
          <w:rFonts w:ascii="Times New Roman" w:hAnsi="Times New Roman" w:cs="Times New Roman"/>
          <w:sz w:val="24"/>
          <w:szCs w:val="24"/>
        </w:rPr>
        <w:t>where the smallest height difference (Circumflex artery) equates to a 0.03 change in one position. When the patient is turned from prone to supine, this number will in theory double, meaning a total change of 0.06.</w:t>
      </w:r>
    </w:p>
    <w:p w14:paraId="59DF5AFD" w14:textId="77777777" w:rsidR="00835EE7" w:rsidRPr="00A60EED" w:rsidRDefault="007648C0"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Using</w:t>
      </w:r>
      <w:r w:rsidR="00835EE7" w:rsidRPr="00EC6C19">
        <w:rPr>
          <w:rFonts w:ascii="Times New Roman" w:hAnsi="Times New Roman" w:cs="Times New Roman"/>
          <w:sz w:val="24"/>
          <w:szCs w:val="24"/>
        </w:rPr>
        <w:t xml:space="preserve">GPower3™, for a two tailed, matched T-test, with 80% power and a 5% error rate, the </w:t>
      </w:r>
      <w:r w:rsidR="0081313C" w:rsidRPr="00EC6C19">
        <w:rPr>
          <w:rFonts w:ascii="Times New Roman" w:hAnsi="Times New Roman" w:cs="Times New Roman"/>
          <w:sz w:val="24"/>
          <w:szCs w:val="24"/>
        </w:rPr>
        <w:t xml:space="preserve">minimum </w:t>
      </w:r>
      <w:r w:rsidR="00835EE7" w:rsidRPr="00EC6C19">
        <w:rPr>
          <w:rFonts w:ascii="Times New Roman" w:hAnsi="Times New Roman" w:cs="Times New Roman"/>
          <w:sz w:val="24"/>
          <w:szCs w:val="24"/>
        </w:rPr>
        <w:t>sample size required is 6. As three coronary arteries are being included, 6 measurements per artery, equates to 18 patients overall</w:t>
      </w:r>
      <w:r w:rsidR="00027594" w:rsidRPr="00EC6C19">
        <w:rPr>
          <w:rFonts w:ascii="Times New Roman" w:hAnsi="Times New Roman" w:cs="Times New Roman"/>
          <w:sz w:val="24"/>
          <w:szCs w:val="24"/>
        </w:rPr>
        <w:t xml:space="preserve"> as a minimum</w:t>
      </w:r>
      <w:r w:rsidR="00835EE7" w:rsidRPr="00EC6C19">
        <w:rPr>
          <w:rFonts w:ascii="Times New Roman" w:hAnsi="Times New Roman" w:cs="Times New Roman"/>
          <w:sz w:val="24"/>
          <w:szCs w:val="24"/>
        </w:rPr>
        <w:t>.</w:t>
      </w:r>
      <w:r w:rsidR="00027594" w:rsidRPr="00EC6C19">
        <w:rPr>
          <w:rFonts w:ascii="Times New Roman" w:hAnsi="Times New Roman" w:cs="Times New Roman"/>
          <w:sz w:val="24"/>
          <w:szCs w:val="24"/>
        </w:rPr>
        <w:t xml:space="preserve"> Ethical approval was obtained for 30 patients in total, with regular data review during recruitment.</w:t>
      </w:r>
      <w:r w:rsidR="00835EE7" w:rsidRPr="00EC6C19">
        <w:rPr>
          <w:rFonts w:ascii="Times New Roman" w:hAnsi="Times New Roman" w:cs="Times New Roman"/>
          <w:sz w:val="24"/>
          <w:szCs w:val="24"/>
        </w:rPr>
        <w:t xml:space="preserve"> The calculation from GPower3™ is shown below </w:t>
      </w:r>
      <w:r w:rsidR="00835EE7" w:rsidRPr="00A60EED">
        <w:rPr>
          <w:rFonts w:ascii="Times New Roman" w:hAnsi="Times New Roman" w:cs="Times New Roman"/>
          <w:sz w:val="24"/>
          <w:szCs w:val="24"/>
        </w:rPr>
        <w:t xml:space="preserve">in Figure </w:t>
      </w:r>
      <w:r w:rsidR="00A60EED" w:rsidRPr="00A60EED">
        <w:rPr>
          <w:rFonts w:ascii="Times New Roman" w:hAnsi="Times New Roman" w:cs="Times New Roman"/>
          <w:sz w:val="24"/>
          <w:szCs w:val="24"/>
        </w:rPr>
        <w:t>23</w:t>
      </w:r>
      <w:r w:rsidR="00835EE7" w:rsidRPr="00A60EED">
        <w:rPr>
          <w:rFonts w:ascii="Times New Roman" w:hAnsi="Times New Roman" w:cs="Times New Roman"/>
          <w:sz w:val="24"/>
          <w:szCs w:val="24"/>
        </w:rPr>
        <w:t>.</w:t>
      </w:r>
    </w:p>
    <w:p w14:paraId="68B27F43" w14:textId="77777777" w:rsidR="00835EE7" w:rsidRPr="00EC6C19" w:rsidRDefault="00835EE7" w:rsidP="00835EE7">
      <w:pPr>
        <w:spacing w:line="360" w:lineRule="auto"/>
        <w:rPr>
          <w:rFonts w:ascii="Times New Roman" w:hAnsi="Times New Roman" w:cs="Times New Roman"/>
          <w:sz w:val="24"/>
          <w:szCs w:val="24"/>
        </w:rPr>
      </w:pPr>
    </w:p>
    <w:p w14:paraId="22C92800" w14:textId="77777777" w:rsidR="00835EE7" w:rsidRPr="00EC6C19" w:rsidRDefault="00F9668D" w:rsidP="00835EE7">
      <w:pPr>
        <w:spacing w:line="360" w:lineRule="auto"/>
        <w:jc w:val="center"/>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2D217677" wp14:editId="77CA6FD8">
            <wp:extent cx="5591175" cy="1781175"/>
            <wp:effectExtent l="19050" t="0" r="9525" b="0"/>
            <wp:docPr id="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srcRect/>
                    <a:stretch>
                      <a:fillRect/>
                    </a:stretch>
                  </pic:blipFill>
                  <pic:spPr bwMode="auto">
                    <a:xfrm>
                      <a:off x="0" y="0"/>
                      <a:ext cx="5591175" cy="1781175"/>
                    </a:xfrm>
                    <a:prstGeom prst="rect">
                      <a:avLst/>
                    </a:prstGeom>
                    <a:noFill/>
                    <a:ln w="9525">
                      <a:noFill/>
                      <a:miter lim="800000"/>
                      <a:headEnd/>
                      <a:tailEnd/>
                    </a:ln>
                  </pic:spPr>
                </pic:pic>
              </a:graphicData>
            </a:graphic>
          </wp:inline>
        </w:drawing>
      </w:r>
    </w:p>
    <w:p w14:paraId="1A1048BE" w14:textId="77777777" w:rsidR="00835EE7" w:rsidRDefault="00A60EED" w:rsidP="00A60EED">
      <w:pPr>
        <w:pStyle w:val="Caption"/>
        <w:spacing w:line="360" w:lineRule="auto"/>
        <w:rPr>
          <w:rFonts w:ascii="Times New Roman" w:hAnsi="Times New Roman" w:cs="Times New Roman"/>
          <w:b w:val="0"/>
          <w:i/>
          <w:color w:val="auto"/>
          <w:sz w:val="24"/>
          <w:szCs w:val="24"/>
        </w:rPr>
      </w:pPr>
      <w:bookmarkStart w:id="116" w:name="_Toc44684912"/>
      <w:r w:rsidRPr="00A60EED">
        <w:rPr>
          <w:rFonts w:ascii="Times New Roman" w:hAnsi="Times New Roman" w:cs="Times New Roman"/>
          <w:b w:val="0"/>
          <w:i/>
          <w:color w:val="auto"/>
          <w:sz w:val="24"/>
          <w:szCs w:val="24"/>
        </w:rPr>
        <w:t xml:space="preserve">Figure </w:t>
      </w:r>
      <w:r w:rsidR="00106A32" w:rsidRPr="00A60EED">
        <w:rPr>
          <w:rFonts w:ascii="Times New Roman" w:hAnsi="Times New Roman" w:cs="Times New Roman"/>
          <w:b w:val="0"/>
          <w:i/>
          <w:color w:val="auto"/>
          <w:sz w:val="24"/>
          <w:szCs w:val="24"/>
        </w:rPr>
        <w:fldChar w:fldCharType="begin"/>
      </w:r>
      <w:r w:rsidRPr="00A60EED">
        <w:rPr>
          <w:rFonts w:ascii="Times New Roman" w:hAnsi="Times New Roman" w:cs="Times New Roman"/>
          <w:b w:val="0"/>
          <w:i/>
          <w:color w:val="auto"/>
          <w:sz w:val="24"/>
          <w:szCs w:val="24"/>
        </w:rPr>
        <w:instrText xml:space="preserve"> SEQ Figure \* ARABIC </w:instrText>
      </w:r>
      <w:r w:rsidR="00106A32" w:rsidRPr="00A60EE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23</w:t>
      </w:r>
      <w:r w:rsidR="00106A32" w:rsidRPr="00A60EED">
        <w:rPr>
          <w:rFonts w:ascii="Times New Roman" w:hAnsi="Times New Roman" w:cs="Times New Roman"/>
          <w:b w:val="0"/>
          <w:i/>
          <w:color w:val="auto"/>
          <w:sz w:val="24"/>
          <w:szCs w:val="24"/>
        </w:rPr>
        <w:fldChar w:fldCharType="end"/>
      </w:r>
      <w:r w:rsidRPr="00A60EED">
        <w:rPr>
          <w:rFonts w:ascii="Times New Roman" w:hAnsi="Times New Roman" w:cs="Times New Roman"/>
          <w:b w:val="0"/>
          <w:i/>
          <w:color w:val="auto"/>
          <w:sz w:val="24"/>
          <w:szCs w:val="24"/>
        </w:rPr>
        <w:t xml:space="preserve"> - Power Calculation</w:t>
      </w:r>
      <w:r w:rsidR="00835EE7" w:rsidRPr="00A60EED">
        <w:rPr>
          <w:rFonts w:ascii="Times New Roman" w:hAnsi="Times New Roman" w:cs="Times New Roman"/>
          <w:b w:val="0"/>
          <w:i/>
          <w:color w:val="auto"/>
          <w:sz w:val="24"/>
          <w:szCs w:val="24"/>
        </w:rPr>
        <w:t xml:space="preserve"> - using GPower3™. Effect size was calculated using difference between the means of matches pairs (0.06) and standard deviation (0.04).</w:t>
      </w:r>
      <w:bookmarkEnd w:id="116"/>
    </w:p>
    <w:p w14:paraId="7DC35219" w14:textId="5FFE6797" w:rsidR="002C5EA9" w:rsidRDefault="002C5EA9" w:rsidP="002C5EA9">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Continuous variables are presented as means with standard deviation. Categorical variables are presented as numbers and percentages. </w:t>
      </w:r>
      <w:r w:rsidR="00B63496">
        <w:rPr>
          <w:rFonts w:ascii="Times New Roman" w:hAnsi="Times New Roman" w:cs="Times New Roman"/>
          <w:sz w:val="24"/>
          <w:szCs w:val="24"/>
        </w:rPr>
        <w:t xml:space="preserve">Delta change in measurements between prone and supine position are given a positive delta if the direction of change is as expected based on physical principles. A negative value is given if against. </w:t>
      </w:r>
      <w:r>
        <w:rPr>
          <w:rFonts w:ascii="Times New Roman" w:hAnsi="Times New Roman" w:cs="Times New Roman"/>
          <w:sz w:val="24"/>
          <w:szCs w:val="24"/>
        </w:rPr>
        <w:t xml:space="preserve">Correlation between height differences and delta change in </w:t>
      </w:r>
      <w:r w:rsidR="00A500AF">
        <w:rPr>
          <w:rFonts w:ascii="Times New Roman" w:hAnsi="Times New Roman" w:cs="Times New Roman"/>
          <w:sz w:val="24"/>
          <w:szCs w:val="24"/>
        </w:rPr>
        <w:t>pressure-</w:t>
      </w:r>
      <w:r>
        <w:rPr>
          <w:rFonts w:ascii="Times New Roman" w:hAnsi="Times New Roman" w:cs="Times New Roman"/>
          <w:sz w:val="24"/>
          <w:szCs w:val="24"/>
        </w:rPr>
        <w:t>based indices was assessed by Spearman's correlation</w:t>
      </w:r>
      <w:r w:rsidR="00B63496">
        <w:rPr>
          <w:rFonts w:ascii="Times New Roman" w:hAnsi="Times New Roman" w:cs="Times New Roman"/>
          <w:sz w:val="24"/>
          <w:szCs w:val="24"/>
        </w:rPr>
        <w:t>/</w:t>
      </w:r>
    </w:p>
    <w:p w14:paraId="4931884F" w14:textId="77777777" w:rsidR="00B63496" w:rsidRPr="002C5EA9" w:rsidRDefault="00B63496" w:rsidP="002C5EA9">
      <w:pPr>
        <w:spacing w:line="360" w:lineRule="auto"/>
        <w:rPr>
          <w:rFonts w:ascii="Times New Roman" w:hAnsi="Times New Roman" w:cs="Times New Roman"/>
          <w:sz w:val="24"/>
          <w:szCs w:val="24"/>
        </w:rPr>
      </w:pPr>
      <w:r>
        <w:rPr>
          <w:rFonts w:ascii="Times New Roman" w:hAnsi="Times New Roman" w:cs="Times New Roman"/>
          <w:sz w:val="24"/>
          <w:szCs w:val="24"/>
        </w:rPr>
        <w:t xml:space="preserve">All </w:t>
      </w:r>
      <w:r w:rsidR="00E642C3">
        <w:rPr>
          <w:rFonts w:ascii="Times New Roman" w:hAnsi="Times New Roman" w:cs="Times New Roman"/>
          <w:sz w:val="24"/>
          <w:szCs w:val="24"/>
        </w:rPr>
        <w:t>statistics were calculated</w:t>
      </w:r>
      <w:r>
        <w:rPr>
          <w:rFonts w:ascii="Times New Roman" w:hAnsi="Times New Roman" w:cs="Times New Roman"/>
          <w:sz w:val="24"/>
          <w:szCs w:val="24"/>
        </w:rPr>
        <w:t xml:space="preserve"> using </w:t>
      </w:r>
      <w:r w:rsidRPr="00EC6C19">
        <w:rPr>
          <w:rFonts w:ascii="Times New Roman" w:hAnsi="Times New Roman" w:cs="Times New Roman"/>
          <w:sz w:val="24"/>
          <w:szCs w:val="24"/>
        </w:rPr>
        <w:t>IBM SPSS® statistics software</w:t>
      </w:r>
      <w:r>
        <w:rPr>
          <w:rFonts w:ascii="Times New Roman" w:hAnsi="Times New Roman" w:cs="Times New Roman"/>
          <w:sz w:val="24"/>
          <w:szCs w:val="24"/>
        </w:rPr>
        <w:t>.</w:t>
      </w:r>
    </w:p>
    <w:p w14:paraId="0C472907" w14:textId="77777777" w:rsidR="002C5EA9" w:rsidRPr="002C5EA9" w:rsidRDefault="002C5EA9" w:rsidP="002C5EA9"/>
    <w:p w14:paraId="20FD9B5B" w14:textId="77777777" w:rsidR="00994FFE" w:rsidRPr="002822FA" w:rsidRDefault="002822FA" w:rsidP="002822FA">
      <w:pPr>
        <w:pStyle w:val="Heading2"/>
        <w:rPr>
          <w:rFonts w:ascii="Times New Roman" w:hAnsi="Times New Roman" w:cs="Times New Roman"/>
          <w:color w:val="auto"/>
          <w:sz w:val="24"/>
          <w:szCs w:val="24"/>
        </w:rPr>
      </w:pPr>
      <w:bookmarkStart w:id="117" w:name="_Toc80302229"/>
      <w:r w:rsidRPr="002822FA">
        <w:rPr>
          <w:rFonts w:ascii="Times New Roman" w:hAnsi="Times New Roman" w:cs="Times New Roman"/>
          <w:color w:val="auto"/>
          <w:sz w:val="24"/>
          <w:szCs w:val="24"/>
        </w:rPr>
        <w:t xml:space="preserve">3.5 - </w:t>
      </w:r>
      <w:r w:rsidR="00994FFE" w:rsidRPr="002822FA">
        <w:rPr>
          <w:rFonts w:ascii="Times New Roman" w:hAnsi="Times New Roman" w:cs="Times New Roman"/>
          <w:color w:val="auto"/>
          <w:sz w:val="24"/>
          <w:szCs w:val="24"/>
        </w:rPr>
        <w:t>Study Challenges</w:t>
      </w:r>
      <w:bookmarkEnd w:id="117"/>
      <w:r>
        <w:rPr>
          <w:rFonts w:ascii="Times New Roman" w:hAnsi="Times New Roman" w:cs="Times New Roman"/>
          <w:color w:val="auto"/>
          <w:sz w:val="24"/>
          <w:szCs w:val="24"/>
        </w:rPr>
        <w:br/>
      </w:r>
    </w:p>
    <w:p w14:paraId="3C3DB32C" w14:textId="77777777" w:rsidR="00994FFE" w:rsidRPr="00EC6C19" w:rsidRDefault="00994FFE" w:rsidP="00994FFE">
      <w:pPr>
        <w:spacing w:line="360" w:lineRule="auto"/>
        <w:rPr>
          <w:rFonts w:ascii="Times New Roman" w:hAnsi="Times New Roman" w:cs="Times New Roman"/>
          <w:sz w:val="24"/>
          <w:szCs w:val="24"/>
        </w:rPr>
      </w:pPr>
    </w:p>
    <w:p w14:paraId="260F72E8" w14:textId="77777777" w:rsidR="00B840B0" w:rsidRPr="00EC6C19" w:rsidRDefault="00B840B0"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Supine standard measurements are a daily occurrence at our institution. Prone position is completely novel, and as such was carefully planned.</w:t>
      </w:r>
    </w:p>
    <w:p w14:paraId="39B7F28B" w14:textId="77777777" w:rsidR="00B840B0" w:rsidRPr="00EC6C19" w:rsidRDefault="00B840B0" w:rsidP="00994FFE">
      <w:pPr>
        <w:spacing w:line="360" w:lineRule="auto"/>
        <w:rPr>
          <w:rFonts w:ascii="Times New Roman" w:hAnsi="Times New Roman" w:cs="Times New Roman"/>
          <w:i/>
          <w:sz w:val="24"/>
          <w:szCs w:val="24"/>
          <w:u w:val="single"/>
        </w:rPr>
      </w:pPr>
    </w:p>
    <w:p w14:paraId="60E0842D" w14:textId="77777777" w:rsidR="00994FFE" w:rsidRPr="002822FA" w:rsidRDefault="002822FA" w:rsidP="002822FA">
      <w:pPr>
        <w:pStyle w:val="Heading2"/>
        <w:rPr>
          <w:rFonts w:ascii="Times New Roman" w:hAnsi="Times New Roman" w:cs="Times New Roman"/>
          <w:b w:val="0"/>
          <w:i/>
          <w:color w:val="auto"/>
          <w:sz w:val="24"/>
          <w:szCs w:val="24"/>
        </w:rPr>
      </w:pPr>
      <w:bookmarkStart w:id="118" w:name="_Toc80302230"/>
      <w:r w:rsidRPr="002822FA">
        <w:rPr>
          <w:rFonts w:ascii="Times New Roman" w:hAnsi="Times New Roman" w:cs="Times New Roman"/>
          <w:b w:val="0"/>
          <w:i/>
          <w:color w:val="auto"/>
          <w:sz w:val="24"/>
          <w:szCs w:val="24"/>
        </w:rPr>
        <w:t xml:space="preserve">3.5.1 - </w:t>
      </w:r>
      <w:r w:rsidR="00994FFE" w:rsidRPr="002822FA">
        <w:rPr>
          <w:rFonts w:ascii="Times New Roman" w:hAnsi="Times New Roman" w:cs="Times New Roman"/>
          <w:b w:val="0"/>
          <w:i/>
          <w:color w:val="auto"/>
          <w:sz w:val="24"/>
          <w:szCs w:val="24"/>
        </w:rPr>
        <w:t>Vascular access</w:t>
      </w:r>
      <w:bookmarkEnd w:id="118"/>
      <w:r>
        <w:rPr>
          <w:rFonts w:ascii="Times New Roman" w:hAnsi="Times New Roman" w:cs="Times New Roman"/>
          <w:b w:val="0"/>
          <w:i/>
          <w:color w:val="auto"/>
          <w:sz w:val="24"/>
          <w:szCs w:val="24"/>
        </w:rPr>
        <w:br/>
      </w:r>
    </w:p>
    <w:p w14:paraId="203BAFB4" w14:textId="77777777" w:rsidR="00994FFE" w:rsidRPr="00EC6C19" w:rsidRDefault="00994FFE" w:rsidP="00994FFE">
      <w:pPr>
        <w:spacing w:line="360" w:lineRule="auto"/>
        <w:rPr>
          <w:rFonts w:ascii="Times New Roman" w:hAnsi="Times New Roman" w:cs="Times New Roman"/>
          <w:i/>
          <w:sz w:val="24"/>
          <w:szCs w:val="24"/>
        </w:rPr>
      </w:pPr>
    </w:p>
    <w:p w14:paraId="2CD061CF" w14:textId="77777777" w:rsidR="00994FFE" w:rsidRPr="00EC6C19" w:rsidRDefault="00B840B0"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Safe femoral access is not possible when prone</w:t>
      </w:r>
      <w:r w:rsidR="00B31F07" w:rsidRPr="00EC6C19">
        <w:rPr>
          <w:rFonts w:ascii="Times New Roman" w:hAnsi="Times New Roman" w:cs="Times New Roman"/>
          <w:sz w:val="24"/>
          <w:szCs w:val="24"/>
        </w:rPr>
        <w:t>.</w:t>
      </w:r>
      <w:r w:rsidR="00994FFE" w:rsidRPr="00EC6C19">
        <w:rPr>
          <w:rFonts w:ascii="Times New Roman" w:hAnsi="Times New Roman" w:cs="Times New Roman"/>
          <w:sz w:val="24"/>
          <w:szCs w:val="24"/>
        </w:rPr>
        <w:t xml:space="preserve"> Left radial access was </w:t>
      </w:r>
      <w:r w:rsidR="00B31F07" w:rsidRPr="00EC6C19">
        <w:rPr>
          <w:rFonts w:ascii="Times New Roman" w:hAnsi="Times New Roman" w:cs="Times New Roman"/>
          <w:sz w:val="24"/>
          <w:szCs w:val="24"/>
        </w:rPr>
        <w:t>chosen as the</w:t>
      </w:r>
      <w:r w:rsidR="00994FFE" w:rsidRPr="00EC6C19">
        <w:rPr>
          <w:rFonts w:ascii="Times New Roman" w:hAnsi="Times New Roman" w:cs="Times New Roman"/>
          <w:sz w:val="24"/>
          <w:szCs w:val="24"/>
        </w:rPr>
        <w:t xml:space="preserve"> most simple and safe</w:t>
      </w:r>
      <w:r w:rsidR="00B31F07" w:rsidRPr="00EC6C19">
        <w:rPr>
          <w:rFonts w:ascii="Times New Roman" w:hAnsi="Times New Roman" w:cs="Times New Roman"/>
          <w:sz w:val="24"/>
          <w:szCs w:val="24"/>
        </w:rPr>
        <w:t xml:space="preserve"> site</w:t>
      </w:r>
      <w:r w:rsidR="00994FFE" w:rsidRPr="00EC6C19">
        <w:rPr>
          <w:rFonts w:ascii="Times New Roman" w:hAnsi="Times New Roman" w:cs="Times New Roman"/>
          <w:sz w:val="24"/>
          <w:szCs w:val="24"/>
        </w:rPr>
        <w:t>.</w:t>
      </w:r>
    </w:p>
    <w:p w14:paraId="51451EBC" w14:textId="77777777"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sheath is inserted with the </w:t>
      </w:r>
      <w:r w:rsidR="00B31F07" w:rsidRPr="00EC6C19">
        <w:rPr>
          <w:rFonts w:ascii="Times New Roman" w:hAnsi="Times New Roman" w:cs="Times New Roman"/>
          <w:sz w:val="24"/>
          <w:szCs w:val="24"/>
        </w:rPr>
        <w:t>patient prone and wrist pronated at the standard right side of the X-ray table</w:t>
      </w:r>
      <w:r w:rsidR="00B31F07" w:rsidRPr="00A60EED">
        <w:rPr>
          <w:rFonts w:ascii="Times New Roman" w:hAnsi="Times New Roman" w:cs="Times New Roman"/>
          <w:sz w:val="24"/>
          <w:szCs w:val="24"/>
        </w:rPr>
        <w:t>. (</w:t>
      </w:r>
      <w:r w:rsidR="00A60EED" w:rsidRPr="00A60EED">
        <w:rPr>
          <w:rFonts w:ascii="Times New Roman" w:hAnsi="Times New Roman" w:cs="Times New Roman"/>
          <w:sz w:val="24"/>
          <w:szCs w:val="24"/>
        </w:rPr>
        <w:t>Figure</w:t>
      </w:r>
      <w:r w:rsidR="00B31F07" w:rsidRPr="00A60EED">
        <w:rPr>
          <w:rFonts w:ascii="Times New Roman" w:hAnsi="Times New Roman" w:cs="Times New Roman"/>
          <w:sz w:val="24"/>
          <w:szCs w:val="24"/>
        </w:rPr>
        <w:t xml:space="preserve"> </w:t>
      </w:r>
      <w:r w:rsidR="00A60EED" w:rsidRPr="00A60EED">
        <w:rPr>
          <w:rFonts w:ascii="Times New Roman" w:hAnsi="Times New Roman" w:cs="Times New Roman"/>
          <w:sz w:val="24"/>
          <w:szCs w:val="24"/>
        </w:rPr>
        <w:t>24</w:t>
      </w:r>
      <w:r w:rsidRPr="00A60EED">
        <w:rPr>
          <w:rFonts w:ascii="Times New Roman" w:hAnsi="Times New Roman" w:cs="Times New Roman"/>
          <w:sz w:val="24"/>
          <w:szCs w:val="24"/>
        </w:rPr>
        <w:t xml:space="preserve"> and </w:t>
      </w:r>
      <w:r w:rsidR="00A60EED" w:rsidRPr="00A60EED">
        <w:rPr>
          <w:rFonts w:ascii="Times New Roman" w:hAnsi="Times New Roman" w:cs="Times New Roman"/>
          <w:sz w:val="24"/>
          <w:szCs w:val="24"/>
        </w:rPr>
        <w:t>25</w:t>
      </w:r>
      <w:r w:rsidRPr="00A60EED">
        <w:rPr>
          <w:rFonts w:ascii="Times New Roman" w:hAnsi="Times New Roman" w:cs="Times New Roman"/>
          <w:sz w:val="24"/>
          <w:szCs w:val="24"/>
        </w:rPr>
        <w:t>).</w:t>
      </w:r>
    </w:p>
    <w:p w14:paraId="63B8F8A6" w14:textId="77777777" w:rsidR="00994FFE" w:rsidRPr="00EC6C19" w:rsidRDefault="00994FFE" w:rsidP="00994FFE">
      <w:pPr>
        <w:spacing w:line="360" w:lineRule="auto"/>
        <w:rPr>
          <w:rFonts w:ascii="Times New Roman" w:hAnsi="Times New Roman" w:cs="Times New Roman"/>
          <w:sz w:val="24"/>
          <w:szCs w:val="24"/>
        </w:rPr>
      </w:pPr>
    </w:p>
    <w:p w14:paraId="4A27D6CA" w14:textId="77777777" w:rsidR="00994FFE" w:rsidRDefault="00994FFE" w:rsidP="00994FFE">
      <w:pPr>
        <w:spacing w:line="360" w:lineRule="auto"/>
        <w:rPr>
          <w:rFonts w:ascii="Times New Roman" w:hAnsi="Times New Roman" w:cs="Times New Roman"/>
          <w:i/>
          <w:sz w:val="24"/>
          <w:szCs w:val="24"/>
        </w:rPr>
      </w:pPr>
      <w:r w:rsidRPr="00EC6C19">
        <w:rPr>
          <w:rFonts w:ascii="Times New Roman" w:hAnsi="Times New Roman" w:cs="Times New Roman"/>
          <w:i/>
          <w:noProof/>
          <w:sz w:val="24"/>
          <w:szCs w:val="24"/>
          <w:lang w:eastAsia="en-GB"/>
        </w:rPr>
        <w:lastRenderedPageBreak/>
        <w:drawing>
          <wp:inline distT="0" distB="0" distL="0" distR="0" wp14:anchorId="2C31AFA6" wp14:editId="092C48A7">
            <wp:extent cx="5943600" cy="4457700"/>
            <wp:effectExtent l="19050" t="0" r="0" b="0"/>
            <wp:docPr id="28" name="Picture 1" descr="C:\Users\Administrator\Documents\Cardiology\GRAVITY\Photos\IMG_4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Cardiology\GRAVITY\Photos\IMG_4271.JPG"/>
                    <pic:cNvPicPr>
                      <a:picLocks noChangeAspect="1" noChangeArrowheads="1"/>
                    </pic:cNvPicPr>
                  </pic:nvPicPr>
                  <pic:blipFill>
                    <a:blip r:embed="rId41"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14:paraId="7567DF18" w14:textId="77777777" w:rsidR="00A60EED" w:rsidRPr="00A60EED" w:rsidRDefault="00A60EED" w:rsidP="00A60EED">
      <w:pPr>
        <w:pStyle w:val="Caption"/>
        <w:spacing w:line="360" w:lineRule="auto"/>
        <w:rPr>
          <w:rFonts w:ascii="Times New Roman" w:hAnsi="Times New Roman" w:cs="Times New Roman"/>
          <w:b w:val="0"/>
          <w:i/>
          <w:color w:val="auto"/>
          <w:sz w:val="24"/>
          <w:szCs w:val="24"/>
        </w:rPr>
      </w:pPr>
      <w:bookmarkStart w:id="119" w:name="_Toc44684913"/>
      <w:r w:rsidRPr="00A60EED">
        <w:rPr>
          <w:rFonts w:ascii="Times New Roman" w:hAnsi="Times New Roman" w:cs="Times New Roman"/>
          <w:b w:val="0"/>
          <w:i/>
          <w:color w:val="auto"/>
          <w:sz w:val="24"/>
          <w:szCs w:val="24"/>
        </w:rPr>
        <w:t xml:space="preserve">Figure </w:t>
      </w:r>
      <w:r w:rsidR="00106A32" w:rsidRPr="00A60EED">
        <w:rPr>
          <w:rFonts w:ascii="Times New Roman" w:hAnsi="Times New Roman" w:cs="Times New Roman"/>
          <w:b w:val="0"/>
          <w:i/>
          <w:color w:val="auto"/>
          <w:sz w:val="24"/>
          <w:szCs w:val="24"/>
        </w:rPr>
        <w:fldChar w:fldCharType="begin"/>
      </w:r>
      <w:r w:rsidRPr="00A60EED">
        <w:rPr>
          <w:rFonts w:ascii="Times New Roman" w:hAnsi="Times New Roman" w:cs="Times New Roman"/>
          <w:b w:val="0"/>
          <w:i/>
          <w:color w:val="auto"/>
          <w:sz w:val="24"/>
          <w:szCs w:val="24"/>
        </w:rPr>
        <w:instrText xml:space="preserve"> SEQ Figure \* ARABIC </w:instrText>
      </w:r>
      <w:r w:rsidR="00106A32" w:rsidRPr="00A60EE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24</w:t>
      </w:r>
      <w:r w:rsidR="00106A32" w:rsidRPr="00A60EED">
        <w:rPr>
          <w:rFonts w:ascii="Times New Roman" w:hAnsi="Times New Roman" w:cs="Times New Roman"/>
          <w:b w:val="0"/>
          <w:i/>
          <w:color w:val="auto"/>
          <w:sz w:val="24"/>
          <w:szCs w:val="24"/>
        </w:rPr>
        <w:fldChar w:fldCharType="end"/>
      </w:r>
      <w:r w:rsidRPr="00A60EED">
        <w:rPr>
          <w:rFonts w:ascii="Times New Roman" w:hAnsi="Times New Roman" w:cs="Times New Roman"/>
          <w:b w:val="0"/>
          <w:i/>
          <w:color w:val="auto"/>
          <w:sz w:val="24"/>
          <w:szCs w:val="24"/>
        </w:rPr>
        <w:t xml:space="preserve"> - Prone Positioning - The left arm is being draped and readied for arterial puncture. ECG leads are already attached. Permission for use from all involved.</w:t>
      </w:r>
      <w:bookmarkEnd w:id="119"/>
    </w:p>
    <w:p w14:paraId="2CE68226" w14:textId="77777777" w:rsidR="00A60EED" w:rsidRPr="00EC6C19" w:rsidRDefault="00A60EED" w:rsidP="00994FFE">
      <w:pPr>
        <w:spacing w:line="360" w:lineRule="auto"/>
        <w:rPr>
          <w:rFonts w:ascii="Times New Roman" w:hAnsi="Times New Roman" w:cs="Times New Roman"/>
          <w:i/>
          <w:sz w:val="24"/>
          <w:szCs w:val="24"/>
        </w:rPr>
      </w:pPr>
    </w:p>
    <w:p w14:paraId="221BAAF9" w14:textId="77777777"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lastRenderedPageBreak/>
        <w:drawing>
          <wp:inline distT="0" distB="0" distL="0" distR="0" wp14:anchorId="02EBDDE0" wp14:editId="2DAB9E7C">
            <wp:extent cx="5934075" cy="4448175"/>
            <wp:effectExtent l="19050" t="0" r="9525"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934075" cy="4448175"/>
                    </a:xfrm>
                    <a:prstGeom prst="rect">
                      <a:avLst/>
                    </a:prstGeom>
                    <a:noFill/>
                    <a:ln w="9525">
                      <a:noFill/>
                      <a:miter lim="800000"/>
                      <a:headEnd/>
                      <a:tailEnd/>
                    </a:ln>
                  </pic:spPr>
                </pic:pic>
              </a:graphicData>
            </a:graphic>
          </wp:inline>
        </w:drawing>
      </w:r>
    </w:p>
    <w:p w14:paraId="1A7ACAA8" w14:textId="77777777" w:rsidR="00994FFE" w:rsidRPr="00A60EED" w:rsidRDefault="00A60EED" w:rsidP="00A60EED">
      <w:pPr>
        <w:pStyle w:val="Caption"/>
        <w:spacing w:line="360" w:lineRule="auto"/>
        <w:rPr>
          <w:rFonts w:ascii="Times New Roman" w:hAnsi="Times New Roman" w:cs="Times New Roman"/>
          <w:b w:val="0"/>
          <w:i/>
          <w:color w:val="auto"/>
          <w:sz w:val="24"/>
          <w:szCs w:val="24"/>
        </w:rPr>
      </w:pPr>
      <w:bookmarkStart w:id="120" w:name="_Toc44684914"/>
      <w:r w:rsidRPr="00A60EED">
        <w:rPr>
          <w:rFonts w:ascii="Times New Roman" w:hAnsi="Times New Roman" w:cs="Times New Roman"/>
          <w:b w:val="0"/>
          <w:i/>
          <w:color w:val="auto"/>
          <w:sz w:val="24"/>
          <w:szCs w:val="24"/>
        </w:rPr>
        <w:t xml:space="preserve">Figure </w:t>
      </w:r>
      <w:r w:rsidR="00106A32" w:rsidRPr="00A60EED">
        <w:rPr>
          <w:rFonts w:ascii="Times New Roman" w:hAnsi="Times New Roman" w:cs="Times New Roman"/>
          <w:b w:val="0"/>
          <w:i/>
          <w:color w:val="auto"/>
          <w:sz w:val="24"/>
          <w:szCs w:val="24"/>
        </w:rPr>
        <w:fldChar w:fldCharType="begin"/>
      </w:r>
      <w:r w:rsidRPr="00A60EED">
        <w:rPr>
          <w:rFonts w:ascii="Times New Roman" w:hAnsi="Times New Roman" w:cs="Times New Roman"/>
          <w:b w:val="0"/>
          <w:i/>
          <w:color w:val="auto"/>
          <w:sz w:val="24"/>
          <w:szCs w:val="24"/>
        </w:rPr>
        <w:instrText xml:space="preserve"> SEQ Figure \* ARABIC </w:instrText>
      </w:r>
      <w:r w:rsidR="00106A32" w:rsidRPr="00A60EE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25</w:t>
      </w:r>
      <w:r w:rsidR="00106A32" w:rsidRPr="00A60EED">
        <w:rPr>
          <w:rFonts w:ascii="Times New Roman" w:hAnsi="Times New Roman" w:cs="Times New Roman"/>
          <w:b w:val="0"/>
          <w:i/>
          <w:color w:val="auto"/>
          <w:sz w:val="24"/>
          <w:szCs w:val="24"/>
        </w:rPr>
        <w:fldChar w:fldCharType="end"/>
      </w:r>
      <w:r w:rsidRPr="00A60EED">
        <w:rPr>
          <w:rFonts w:ascii="Times New Roman" w:hAnsi="Times New Roman" w:cs="Times New Roman"/>
          <w:b w:val="0"/>
          <w:i/>
          <w:color w:val="auto"/>
          <w:sz w:val="24"/>
          <w:szCs w:val="24"/>
        </w:rPr>
        <w:t xml:space="preserve"> - Prone Positioning 2</w:t>
      </w:r>
      <w:r w:rsidR="00994FFE" w:rsidRPr="00A60EED">
        <w:rPr>
          <w:rFonts w:ascii="Times New Roman" w:hAnsi="Times New Roman" w:cs="Times New Roman"/>
          <w:b w:val="0"/>
          <w:i/>
          <w:color w:val="auto"/>
          <w:sz w:val="24"/>
          <w:szCs w:val="24"/>
        </w:rPr>
        <w:t>- Patient being positioned prone, with two members of the team on each side for safety.</w:t>
      </w:r>
      <w:bookmarkEnd w:id="120"/>
      <w:r w:rsidR="00994FFE" w:rsidRPr="00A60EED">
        <w:rPr>
          <w:rFonts w:ascii="Times New Roman" w:hAnsi="Times New Roman" w:cs="Times New Roman"/>
          <w:b w:val="0"/>
          <w:i/>
          <w:color w:val="auto"/>
          <w:sz w:val="24"/>
          <w:szCs w:val="24"/>
        </w:rPr>
        <w:t xml:space="preserve"> </w:t>
      </w:r>
    </w:p>
    <w:p w14:paraId="73BD4B58" w14:textId="77777777" w:rsidR="00A60EED" w:rsidRPr="00EC6C19" w:rsidRDefault="00A60EED" w:rsidP="00994FFE">
      <w:pPr>
        <w:spacing w:line="360" w:lineRule="auto"/>
        <w:rPr>
          <w:rFonts w:ascii="Times New Roman" w:hAnsi="Times New Roman" w:cs="Times New Roman"/>
          <w:i/>
          <w:sz w:val="24"/>
          <w:szCs w:val="24"/>
        </w:rPr>
      </w:pPr>
    </w:p>
    <w:p w14:paraId="400077A3" w14:textId="77777777" w:rsidR="00994FFE" w:rsidRPr="002822FA" w:rsidRDefault="002822FA" w:rsidP="002822FA">
      <w:pPr>
        <w:pStyle w:val="Heading3"/>
        <w:rPr>
          <w:rFonts w:ascii="Times New Roman" w:hAnsi="Times New Roman" w:cs="Times New Roman"/>
          <w:b w:val="0"/>
          <w:i/>
          <w:color w:val="auto"/>
          <w:sz w:val="24"/>
          <w:szCs w:val="24"/>
        </w:rPr>
      </w:pPr>
      <w:bookmarkStart w:id="121" w:name="_Toc80302231"/>
      <w:r w:rsidRPr="002822FA">
        <w:rPr>
          <w:rFonts w:ascii="Times New Roman" w:hAnsi="Times New Roman" w:cs="Times New Roman"/>
          <w:b w:val="0"/>
          <w:i/>
          <w:color w:val="auto"/>
          <w:sz w:val="24"/>
          <w:szCs w:val="24"/>
        </w:rPr>
        <w:t xml:space="preserve">3.5.2 - </w:t>
      </w:r>
      <w:r w:rsidR="00994FFE" w:rsidRPr="002822FA">
        <w:rPr>
          <w:rFonts w:ascii="Times New Roman" w:hAnsi="Times New Roman" w:cs="Times New Roman"/>
          <w:b w:val="0"/>
          <w:i/>
          <w:color w:val="auto"/>
          <w:sz w:val="24"/>
          <w:szCs w:val="24"/>
        </w:rPr>
        <w:t>Turning Manoeuvre</w:t>
      </w:r>
      <w:bookmarkEnd w:id="121"/>
      <w:r>
        <w:rPr>
          <w:rFonts w:ascii="Times New Roman" w:hAnsi="Times New Roman" w:cs="Times New Roman"/>
          <w:b w:val="0"/>
          <w:i/>
          <w:color w:val="auto"/>
          <w:sz w:val="24"/>
          <w:szCs w:val="24"/>
        </w:rPr>
        <w:br/>
      </w:r>
    </w:p>
    <w:p w14:paraId="6CFA8E0A" w14:textId="77777777" w:rsidR="00994FFE" w:rsidRPr="00EC6C19" w:rsidRDefault="00994FFE" w:rsidP="00994FFE">
      <w:pPr>
        <w:spacing w:line="360" w:lineRule="auto"/>
        <w:rPr>
          <w:rFonts w:ascii="Times New Roman" w:hAnsi="Times New Roman" w:cs="Times New Roman"/>
          <w:b/>
          <w:i/>
          <w:sz w:val="24"/>
          <w:szCs w:val="24"/>
          <w:u w:val="single"/>
        </w:rPr>
      </w:pPr>
    </w:p>
    <w:p w14:paraId="63281010" w14:textId="77777777"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Prone positioning has been used for ventilated patients suffering from acute respiratory distress syndrome (ARDS) </w:t>
      </w:r>
      <w:r w:rsidR="00106A32" w:rsidRPr="00EC6C19">
        <w:rPr>
          <w:rFonts w:ascii="Times New Roman" w:hAnsi="Times New Roman" w:cs="Times New Roman"/>
          <w:sz w:val="24"/>
          <w:szCs w:val="24"/>
        </w:rPr>
        <w:fldChar w:fldCharType="begin"/>
      </w:r>
      <w:r w:rsidR="00BB14C5">
        <w:rPr>
          <w:rFonts w:ascii="Times New Roman" w:hAnsi="Times New Roman" w:cs="Times New Roman"/>
          <w:sz w:val="24"/>
          <w:szCs w:val="24"/>
        </w:rPr>
        <w:instrText xml:space="preserve"> ADDIN ZOTERO_ITEM CSL_CITATION {"citationID":"XnkpiBfC","properties":{"formattedCitation":"(Kallet, 2015)","plainCitation":"(Kallet, 2015)","noteIndex":0},"citationItems":[{"id":575,"uris":["http://zotero.org/users/local/k67tNDdX/items/59Q2LRJ7"],"uri":["http://zotero.org/users/local/k67tNDdX/items/59Q2LRJ7"],"itemData":{"id":575,"type":"article-journal","abstract":"Prone position (PP) has been used since the 1970s to treat severe hypoxemia in patients with ARDS because of its effectiveness at improving gas exchange. Compared with the supine position (SP), placing patients in PP effects a more even tidal volume distribution, in part, by reversing the vertical pleural pressure gradient, which becomes more negative in the dorsal regions. PP also improves resting lung volume in the dorsocaudal regions by reducing the superimposed pressure of both the heart and the abdomen. In contrast, pulmonary perfusion remains preferentially distributed to the dorsal lung regions, thus improving overall alveolar ventilation/perfusion relationships. Moreover, the larger tissue mass suspended from a wider dorsal chest wall effects a more homogeneous distribution of pleural pressures throughout the lung that reduces abnormal strain and stress development. This is believed to ameliorate the severity or development of ventilator-induced lung injury and may partly explain why PP reduces mortality in severe ARDS. Over 40 years of clinical trials have consistently reported improved oxygenation in approximately 70% of subjects with ARDS. Early initiation of PP is more likely to improve oxygenation than initiation during the subacute phase. Maximal oxygenation improvement occurs over a wide time frame ranging from several hours to several days. Meta-analyses of randomized controlled trials suggest that PP provides a survival advantage only in patients with relatively severe ARDS (PaO2 /FIO2 &lt; 150 mm Hg). Moreover, survival is enhanced when patients are managed with a smaller tidal volume (≤ 8 mL/kg), higher PEEP (10-13 cm H2O), and longer duration of PP sessions (&gt; 10-12 h/session). Combining adjunctive therapies (high PEEP, recruitment maneuvers, and inhaled vasodilators) with PP has an additive effect in improving oxygenation and may be particularly helpful in stabilizing gas exchange in very severe ARDS.","container-title":"Respiratory Care","DOI":"10.4187/respcare.04271","ISSN":"1943-3654","issue":"11","journalAbbreviation":"Respir Care","language":"eng","note":"PMID: 26493592","page":"1660-1687","source":"PubMed","title":"A Comprehensive Review of Prone Position in ARDS","volume":"60","author":[{"family":"Kallet","given":"Richard H."}],"issued":{"date-parts":[["2015",11]]}}}],"schema":"https://github.com/citation-style-language/schema/raw/master/csl-citation.json"} </w:instrText>
      </w:r>
      <w:r w:rsidR="00106A32" w:rsidRPr="00EC6C19">
        <w:rPr>
          <w:rFonts w:ascii="Times New Roman" w:hAnsi="Times New Roman" w:cs="Times New Roman"/>
          <w:sz w:val="24"/>
          <w:szCs w:val="24"/>
        </w:rPr>
        <w:fldChar w:fldCharType="separate"/>
      </w:r>
      <w:r w:rsidR="00BB14C5" w:rsidRPr="00BB14C5">
        <w:rPr>
          <w:rFonts w:ascii="Times New Roman" w:hAnsi="Times New Roman" w:cs="Times New Roman"/>
          <w:sz w:val="24"/>
        </w:rPr>
        <w:t>(Kallet, 2015)</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Intensive care staff</w:t>
      </w:r>
      <w:r w:rsidR="00B31F07" w:rsidRPr="00EC6C19">
        <w:rPr>
          <w:rFonts w:ascii="Times New Roman" w:hAnsi="Times New Roman" w:cs="Times New Roman"/>
          <w:sz w:val="24"/>
          <w:szCs w:val="24"/>
        </w:rPr>
        <w:t xml:space="preserve"> kindly</w:t>
      </w:r>
      <w:r w:rsidRPr="00EC6C19">
        <w:rPr>
          <w:rFonts w:ascii="Times New Roman" w:hAnsi="Times New Roman" w:cs="Times New Roman"/>
          <w:sz w:val="24"/>
          <w:szCs w:val="24"/>
        </w:rPr>
        <w:t xml:space="preserve"> offered training to catheter laboratory staff. </w:t>
      </w:r>
    </w:p>
    <w:p w14:paraId="12FD2E86" w14:textId="46130246"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 The patient was treated as a 'sedated' patient and prompted not to assist or move the left arm (holding the radial sheath). </w:t>
      </w:r>
      <w:r w:rsidR="00B31F07" w:rsidRPr="00EC6C19">
        <w:rPr>
          <w:rFonts w:ascii="Times New Roman" w:hAnsi="Times New Roman" w:cs="Times New Roman"/>
          <w:sz w:val="24"/>
          <w:szCs w:val="24"/>
        </w:rPr>
        <w:t>When the study protocol required turning from prone to supine, t</w:t>
      </w:r>
      <w:r w:rsidRPr="00EC6C19">
        <w:rPr>
          <w:rFonts w:ascii="Times New Roman" w:hAnsi="Times New Roman" w:cs="Times New Roman"/>
          <w:sz w:val="24"/>
          <w:szCs w:val="24"/>
        </w:rPr>
        <w:t xml:space="preserve">wo slide sheets are inserted under the patient and pulled in the correct direction. Two members of </w:t>
      </w:r>
      <w:r w:rsidRPr="00EC6C19">
        <w:rPr>
          <w:rFonts w:ascii="Times New Roman" w:hAnsi="Times New Roman" w:cs="Times New Roman"/>
          <w:sz w:val="24"/>
          <w:szCs w:val="24"/>
        </w:rPr>
        <w:lastRenderedPageBreak/>
        <w:t xml:space="preserve">staff are situated on each side of the table to ensure the patient cannot fall off the table and a central position is maintained. Before </w:t>
      </w:r>
      <w:r w:rsidR="00B31F07" w:rsidRPr="00EC6C19">
        <w:rPr>
          <w:rFonts w:ascii="Times New Roman" w:hAnsi="Times New Roman" w:cs="Times New Roman"/>
          <w:sz w:val="24"/>
          <w:szCs w:val="24"/>
        </w:rPr>
        <w:t>tu</w:t>
      </w:r>
      <w:r w:rsidR="0083580A">
        <w:rPr>
          <w:rFonts w:ascii="Times New Roman" w:hAnsi="Times New Roman" w:cs="Times New Roman"/>
          <w:sz w:val="24"/>
          <w:szCs w:val="24"/>
        </w:rPr>
        <w:t>r</w:t>
      </w:r>
      <w:r w:rsidR="00B31F07" w:rsidRPr="00EC6C19">
        <w:rPr>
          <w:rFonts w:ascii="Times New Roman" w:hAnsi="Times New Roman" w:cs="Times New Roman"/>
          <w:sz w:val="24"/>
          <w:szCs w:val="24"/>
        </w:rPr>
        <w:t>ning</w:t>
      </w:r>
      <w:r w:rsidRPr="00EC6C19">
        <w:rPr>
          <w:rFonts w:ascii="Times New Roman" w:hAnsi="Times New Roman" w:cs="Times New Roman"/>
          <w:sz w:val="24"/>
          <w:szCs w:val="24"/>
        </w:rPr>
        <w:t>, all coronary catheters, physiology wires and other equipment</w:t>
      </w:r>
      <w:r w:rsidR="00B31F07" w:rsidRPr="00EC6C19">
        <w:rPr>
          <w:rFonts w:ascii="Times New Roman" w:hAnsi="Times New Roman" w:cs="Times New Roman"/>
          <w:sz w:val="24"/>
          <w:szCs w:val="24"/>
        </w:rPr>
        <w:t xml:space="preserve"> attached are</w:t>
      </w:r>
      <w:r w:rsidRPr="00EC6C19">
        <w:rPr>
          <w:rFonts w:ascii="Times New Roman" w:hAnsi="Times New Roman" w:cs="Times New Roman"/>
          <w:sz w:val="24"/>
          <w:szCs w:val="24"/>
        </w:rPr>
        <w:t xml:space="preserve"> removed from the patient. Cannulae could be temporarily disconnected and reconnected once </w:t>
      </w:r>
      <w:r w:rsidR="00B31F07" w:rsidRPr="00EC6C19">
        <w:rPr>
          <w:rFonts w:ascii="Times New Roman" w:hAnsi="Times New Roman" w:cs="Times New Roman"/>
          <w:sz w:val="24"/>
          <w:szCs w:val="24"/>
        </w:rPr>
        <w:t>turned</w:t>
      </w:r>
      <w:r w:rsidRPr="00EC6C19">
        <w:rPr>
          <w:rFonts w:ascii="Times New Roman" w:hAnsi="Times New Roman" w:cs="Times New Roman"/>
          <w:sz w:val="24"/>
          <w:szCs w:val="24"/>
        </w:rPr>
        <w:t xml:space="preserve">. ECG leads were not removed but could be adjusted if displaced during repositioning. </w:t>
      </w:r>
    </w:p>
    <w:p w14:paraId="15EE960F" w14:textId="75AE6C8E"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Displacement of the sheath was a possibility during turning, and the team had to be observant regarding this issue. A checklist of </w:t>
      </w:r>
      <w:r w:rsidRPr="00C539EE">
        <w:rPr>
          <w:rFonts w:ascii="Times New Roman" w:hAnsi="Times New Roman" w:cs="Times New Roman"/>
          <w:sz w:val="24"/>
          <w:szCs w:val="24"/>
        </w:rPr>
        <w:t xml:space="preserve">events is given in </w:t>
      </w:r>
      <w:r w:rsidR="006723C5">
        <w:rPr>
          <w:rFonts w:ascii="Times New Roman" w:hAnsi="Times New Roman" w:cs="Times New Roman"/>
          <w:sz w:val="24"/>
          <w:szCs w:val="24"/>
        </w:rPr>
        <w:t>A</w:t>
      </w:r>
      <w:r w:rsidR="006723C5" w:rsidRPr="00C539EE">
        <w:rPr>
          <w:rFonts w:ascii="Times New Roman" w:hAnsi="Times New Roman" w:cs="Times New Roman"/>
          <w:sz w:val="24"/>
          <w:szCs w:val="24"/>
        </w:rPr>
        <w:t xml:space="preserve">ppendix </w:t>
      </w:r>
      <w:r w:rsidR="00C539EE" w:rsidRPr="00C539EE">
        <w:rPr>
          <w:rFonts w:ascii="Times New Roman" w:hAnsi="Times New Roman" w:cs="Times New Roman"/>
          <w:sz w:val="24"/>
          <w:szCs w:val="24"/>
        </w:rPr>
        <w:t>D</w:t>
      </w:r>
      <w:r w:rsidRPr="00C539EE">
        <w:rPr>
          <w:rFonts w:ascii="Times New Roman" w:hAnsi="Times New Roman" w:cs="Times New Roman"/>
          <w:sz w:val="24"/>
          <w:szCs w:val="24"/>
        </w:rPr>
        <w:t>.</w:t>
      </w:r>
    </w:p>
    <w:p w14:paraId="7CFF8CF2" w14:textId="77777777" w:rsidR="00994FFE" w:rsidRPr="00EC6C19" w:rsidRDefault="00994FFE" w:rsidP="00994FFE">
      <w:pPr>
        <w:spacing w:line="360" w:lineRule="auto"/>
        <w:rPr>
          <w:rFonts w:ascii="Times New Roman" w:hAnsi="Times New Roman" w:cs="Times New Roman"/>
          <w:sz w:val="24"/>
          <w:szCs w:val="24"/>
        </w:rPr>
      </w:pPr>
    </w:p>
    <w:p w14:paraId="72CF1566" w14:textId="77777777" w:rsidR="00994FFE" w:rsidRPr="002822FA" w:rsidRDefault="002822FA" w:rsidP="002822FA">
      <w:pPr>
        <w:pStyle w:val="Heading3"/>
        <w:rPr>
          <w:rFonts w:ascii="Times New Roman" w:hAnsi="Times New Roman" w:cs="Times New Roman"/>
          <w:b w:val="0"/>
          <w:i/>
          <w:color w:val="auto"/>
          <w:sz w:val="24"/>
          <w:szCs w:val="24"/>
        </w:rPr>
      </w:pPr>
      <w:bookmarkStart w:id="122" w:name="_Toc80302232"/>
      <w:r w:rsidRPr="002822FA">
        <w:rPr>
          <w:rFonts w:ascii="Times New Roman" w:hAnsi="Times New Roman" w:cs="Times New Roman"/>
          <w:b w:val="0"/>
          <w:i/>
          <w:color w:val="auto"/>
          <w:sz w:val="24"/>
          <w:szCs w:val="24"/>
        </w:rPr>
        <w:t xml:space="preserve">3.5.3 - </w:t>
      </w:r>
      <w:r w:rsidR="00994FFE" w:rsidRPr="002822FA">
        <w:rPr>
          <w:rFonts w:ascii="Times New Roman" w:hAnsi="Times New Roman" w:cs="Times New Roman"/>
          <w:b w:val="0"/>
          <w:i/>
          <w:color w:val="auto"/>
          <w:sz w:val="24"/>
          <w:szCs w:val="24"/>
        </w:rPr>
        <w:t>Procedural Considerations</w:t>
      </w:r>
      <w:bookmarkEnd w:id="122"/>
    </w:p>
    <w:p w14:paraId="0D74E311" w14:textId="77777777" w:rsidR="00994FFE" w:rsidRDefault="00994FFE" w:rsidP="00994FFE">
      <w:pPr>
        <w:spacing w:line="360" w:lineRule="auto"/>
        <w:rPr>
          <w:rFonts w:ascii="Times New Roman" w:hAnsi="Times New Roman" w:cs="Times New Roman"/>
          <w:i/>
          <w:sz w:val="24"/>
          <w:szCs w:val="24"/>
        </w:rPr>
      </w:pPr>
    </w:p>
    <w:p w14:paraId="5837C423" w14:textId="77777777" w:rsidR="00CE002A" w:rsidRPr="00EC6C19" w:rsidRDefault="00CE002A" w:rsidP="00994FFE">
      <w:pPr>
        <w:spacing w:line="360" w:lineRule="auto"/>
        <w:rPr>
          <w:rFonts w:ascii="Times New Roman" w:hAnsi="Times New Roman" w:cs="Times New Roman"/>
          <w:i/>
          <w:sz w:val="24"/>
          <w:szCs w:val="24"/>
        </w:rPr>
      </w:pPr>
    </w:p>
    <w:p w14:paraId="6E6C5F0F" w14:textId="77777777"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Once the patient is in a prone position, the procedure is largely the same as in a supine position. Puncturing the left radial artery in a prone patient, with a pronated hand, is anatomically different to standard procedure. Operators had to adjust their puncture technique to compensate for this. </w:t>
      </w:r>
    </w:p>
    <w:p w14:paraId="4E87B550" w14:textId="77777777"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Secondly, the image and position of the coronary arteries were reversed. For example,</w:t>
      </w:r>
      <w:r w:rsidR="00B31F07" w:rsidRPr="00EC6C19">
        <w:rPr>
          <w:rFonts w:ascii="Times New Roman" w:hAnsi="Times New Roman" w:cs="Times New Roman"/>
          <w:sz w:val="24"/>
          <w:szCs w:val="24"/>
        </w:rPr>
        <w:t xml:space="preserve"> the</w:t>
      </w:r>
      <w:r w:rsidRPr="00EC6C19">
        <w:rPr>
          <w:rFonts w:ascii="Times New Roman" w:hAnsi="Times New Roman" w:cs="Times New Roman"/>
          <w:sz w:val="24"/>
          <w:szCs w:val="24"/>
        </w:rPr>
        <w:t xml:space="preserve"> right coronary artery originated on the right side of the screen (as opposed to the left side in standard angiography - </w:t>
      </w:r>
      <w:r w:rsidRPr="00C539EE">
        <w:rPr>
          <w:rFonts w:ascii="Times New Roman" w:hAnsi="Times New Roman" w:cs="Times New Roman"/>
          <w:sz w:val="24"/>
          <w:szCs w:val="24"/>
        </w:rPr>
        <w:t xml:space="preserve">Figure </w:t>
      </w:r>
      <w:r w:rsidR="00C539EE" w:rsidRPr="00C539EE">
        <w:rPr>
          <w:rFonts w:ascii="Times New Roman" w:hAnsi="Times New Roman" w:cs="Times New Roman"/>
          <w:sz w:val="24"/>
          <w:szCs w:val="24"/>
        </w:rPr>
        <w:t>26</w:t>
      </w:r>
      <w:r w:rsidRPr="00C539EE">
        <w:rPr>
          <w:rFonts w:ascii="Times New Roman" w:hAnsi="Times New Roman" w:cs="Times New Roman"/>
          <w:sz w:val="24"/>
          <w:szCs w:val="24"/>
        </w:rPr>
        <w:t>).</w:t>
      </w:r>
      <w:r w:rsidRPr="00EC6C19">
        <w:rPr>
          <w:rFonts w:ascii="Times New Roman" w:hAnsi="Times New Roman" w:cs="Times New Roman"/>
          <w:sz w:val="24"/>
          <w:szCs w:val="24"/>
        </w:rPr>
        <w:t xml:space="preserve"> </w:t>
      </w:r>
    </w:p>
    <w:p w14:paraId="4743A96F" w14:textId="77777777"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lastRenderedPageBreak/>
        <w:drawing>
          <wp:inline distT="0" distB="0" distL="0" distR="0" wp14:anchorId="2BEBD929" wp14:editId="11F6C9C5">
            <wp:extent cx="5934075" cy="2943225"/>
            <wp:effectExtent l="19050" t="0" r="9525" b="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srcRect/>
                    <a:stretch>
                      <a:fillRect/>
                    </a:stretch>
                  </pic:blipFill>
                  <pic:spPr bwMode="auto">
                    <a:xfrm>
                      <a:off x="0" y="0"/>
                      <a:ext cx="5934075" cy="2943225"/>
                    </a:xfrm>
                    <a:prstGeom prst="rect">
                      <a:avLst/>
                    </a:prstGeom>
                    <a:noFill/>
                    <a:ln w="9525">
                      <a:noFill/>
                      <a:miter lim="800000"/>
                      <a:headEnd/>
                      <a:tailEnd/>
                    </a:ln>
                  </pic:spPr>
                </pic:pic>
              </a:graphicData>
            </a:graphic>
          </wp:inline>
        </w:drawing>
      </w:r>
    </w:p>
    <w:p w14:paraId="09C7EC55" w14:textId="77777777" w:rsidR="00994FFE" w:rsidRPr="00C539EE" w:rsidRDefault="00C539EE" w:rsidP="00C539EE">
      <w:pPr>
        <w:pStyle w:val="Caption"/>
        <w:spacing w:line="360" w:lineRule="auto"/>
        <w:rPr>
          <w:rFonts w:ascii="Times New Roman" w:hAnsi="Times New Roman" w:cs="Times New Roman"/>
          <w:b w:val="0"/>
          <w:i/>
          <w:color w:val="auto"/>
          <w:sz w:val="24"/>
          <w:szCs w:val="24"/>
        </w:rPr>
      </w:pPr>
      <w:bookmarkStart w:id="123" w:name="_Toc44684915"/>
      <w:r w:rsidRPr="00C539EE">
        <w:rPr>
          <w:rFonts w:ascii="Times New Roman" w:hAnsi="Times New Roman" w:cs="Times New Roman"/>
          <w:b w:val="0"/>
          <w:i/>
          <w:color w:val="auto"/>
          <w:sz w:val="24"/>
          <w:szCs w:val="24"/>
        </w:rPr>
        <w:t xml:space="preserve">Figure </w:t>
      </w:r>
      <w:r w:rsidR="00106A32" w:rsidRPr="00C539EE">
        <w:rPr>
          <w:rFonts w:ascii="Times New Roman" w:hAnsi="Times New Roman" w:cs="Times New Roman"/>
          <w:b w:val="0"/>
          <w:i/>
          <w:color w:val="auto"/>
          <w:sz w:val="24"/>
          <w:szCs w:val="24"/>
        </w:rPr>
        <w:fldChar w:fldCharType="begin"/>
      </w:r>
      <w:r w:rsidRPr="00C539EE">
        <w:rPr>
          <w:rFonts w:ascii="Times New Roman" w:hAnsi="Times New Roman" w:cs="Times New Roman"/>
          <w:b w:val="0"/>
          <w:i/>
          <w:color w:val="auto"/>
          <w:sz w:val="24"/>
          <w:szCs w:val="24"/>
        </w:rPr>
        <w:instrText xml:space="preserve"> SEQ Figure \* ARABIC </w:instrText>
      </w:r>
      <w:r w:rsidR="00106A32" w:rsidRPr="00C539EE">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26</w:t>
      </w:r>
      <w:r w:rsidR="00106A32" w:rsidRPr="00C539EE">
        <w:rPr>
          <w:rFonts w:ascii="Times New Roman" w:hAnsi="Times New Roman" w:cs="Times New Roman"/>
          <w:b w:val="0"/>
          <w:i/>
          <w:color w:val="auto"/>
          <w:sz w:val="24"/>
          <w:szCs w:val="24"/>
        </w:rPr>
        <w:fldChar w:fldCharType="end"/>
      </w:r>
      <w:r w:rsidRPr="00C539EE">
        <w:rPr>
          <w:rFonts w:ascii="Times New Roman" w:hAnsi="Times New Roman" w:cs="Times New Roman"/>
          <w:b w:val="0"/>
          <w:i/>
          <w:color w:val="auto"/>
          <w:sz w:val="24"/>
          <w:szCs w:val="24"/>
        </w:rPr>
        <w:t xml:space="preserve"> - Prone Angiographic Projection</w:t>
      </w:r>
      <w:r w:rsidR="00994FFE" w:rsidRPr="00C539EE">
        <w:rPr>
          <w:rFonts w:ascii="Times New Roman" w:hAnsi="Times New Roman" w:cs="Times New Roman"/>
          <w:b w:val="0"/>
          <w:i/>
          <w:color w:val="auto"/>
          <w:sz w:val="24"/>
          <w:szCs w:val="24"/>
        </w:rPr>
        <w:t xml:space="preserve"> - Standard angiographic appearance of the right coronary artery in a supine patient on the left. On the right, the right coronary artery is seen in a prone patient with the origin appearing from the opposite side </w:t>
      </w:r>
      <w:r w:rsidR="00B31F07" w:rsidRPr="00C539EE">
        <w:rPr>
          <w:rFonts w:ascii="Times New Roman" w:hAnsi="Times New Roman" w:cs="Times New Roman"/>
          <w:b w:val="0"/>
          <w:i/>
          <w:color w:val="auto"/>
          <w:sz w:val="24"/>
          <w:szCs w:val="24"/>
        </w:rPr>
        <w:t>of the screen</w:t>
      </w:r>
      <w:r w:rsidR="00994FFE" w:rsidRPr="00C539EE">
        <w:rPr>
          <w:rFonts w:ascii="Times New Roman" w:hAnsi="Times New Roman" w:cs="Times New Roman"/>
          <w:b w:val="0"/>
          <w:i/>
          <w:color w:val="auto"/>
          <w:sz w:val="24"/>
          <w:szCs w:val="24"/>
        </w:rPr>
        <w:t>.</w:t>
      </w:r>
      <w:bookmarkEnd w:id="123"/>
      <w:r w:rsidR="00994FFE" w:rsidRPr="00C539EE">
        <w:rPr>
          <w:rFonts w:ascii="Times New Roman" w:hAnsi="Times New Roman" w:cs="Times New Roman"/>
          <w:b w:val="0"/>
          <w:i/>
          <w:color w:val="auto"/>
          <w:sz w:val="24"/>
          <w:szCs w:val="24"/>
        </w:rPr>
        <w:t xml:space="preserve"> </w:t>
      </w:r>
    </w:p>
    <w:p w14:paraId="55C226A9" w14:textId="77777777" w:rsidR="00994FFE" w:rsidRPr="00EC6C19" w:rsidRDefault="00994FFE" w:rsidP="00994FFE">
      <w:pPr>
        <w:spacing w:line="360" w:lineRule="auto"/>
        <w:rPr>
          <w:rFonts w:ascii="Times New Roman" w:hAnsi="Times New Roman" w:cs="Times New Roman"/>
          <w:i/>
          <w:sz w:val="24"/>
          <w:szCs w:val="24"/>
        </w:rPr>
      </w:pPr>
    </w:p>
    <w:p w14:paraId="1451FA90" w14:textId="77777777" w:rsidR="00994FFE" w:rsidRPr="00EC6C19" w:rsidRDefault="00994FFE" w:rsidP="002822FA">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Cranial and caudal views were also reversed. Therefore, the operators and radiographer had to reverse normal projection positions to visualise specific </w:t>
      </w:r>
      <w:r w:rsidRPr="00C539EE">
        <w:rPr>
          <w:rFonts w:ascii="Times New Roman" w:hAnsi="Times New Roman" w:cs="Times New Roman"/>
          <w:sz w:val="24"/>
          <w:szCs w:val="24"/>
        </w:rPr>
        <w:t xml:space="preserve">arteries (Appendix </w:t>
      </w:r>
      <w:r w:rsidR="00C539EE" w:rsidRPr="00C539EE">
        <w:rPr>
          <w:rFonts w:ascii="Times New Roman" w:hAnsi="Times New Roman" w:cs="Times New Roman"/>
          <w:sz w:val="24"/>
          <w:szCs w:val="24"/>
        </w:rPr>
        <w:t>E</w:t>
      </w:r>
      <w:r w:rsidRPr="00C539EE">
        <w:rPr>
          <w:rFonts w:ascii="Times New Roman" w:hAnsi="Times New Roman" w:cs="Times New Roman"/>
          <w:sz w:val="24"/>
          <w:szCs w:val="24"/>
        </w:rPr>
        <w:t>).</w:t>
      </w:r>
      <w:r w:rsidRPr="00EC6C19">
        <w:rPr>
          <w:rFonts w:ascii="Times New Roman" w:hAnsi="Times New Roman" w:cs="Times New Roman"/>
          <w:sz w:val="24"/>
          <w:szCs w:val="24"/>
        </w:rPr>
        <w:t xml:space="preserve"> </w:t>
      </w:r>
    </w:p>
    <w:p w14:paraId="28061FA2" w14:textId="77777777" w:rsidR="00994FFE" w:rsidRPr="00EC6C19" w:rsidRDefault="00994FFE" w:rsidP="00EA01C2">
      <w:pPr>
        <w:spacing w:line="360" w:lineRule="auto"/>
        <w:rPr>
          <w:rFonts w:ascii="Times New Roman" w:hAnsi="Times New Roman" w:cs="Times New Roman"/>
          <w:i/>
          <w:sz w:val="24"/>
          <w:szCs w:val="24"/>
        </w:rPr>
      </w:pPr>
      <w:r w:rsidRPr="002822FA">
        <w:rPr>
          <w:rFonts w:ascii="Times New Roman" w:hAnsi="Times New Roman" w:cs="Times New Roman"/>
          <w:sz w:val="24"/>
          <w:szCs w:val="24"/>
        </w:rPr>
        <w:t>There were other technical considerations. Firstly, accessory equipment such as ECG's and cannulae had to be tested to make sure their length was adequate when a patient was prone. Oxygen nasal cannula and masks were also tested to ensure oxygen delivery was safe and uncompromised in the prone position.</w:t>
      </w:r>
      <w:r w:rsidRPr="00EC6C19">
        <w:rPr>
          <w:rFonts w:ascii="Times New Roman" w:hAnsi="Times New Roman" w:cs="Times New Roman"/>
          <w:sz w:val="24"/>
          <w:szCs w:val="24"/>
        </w:rPr>
        <w:br/>
      </w:r>
      <w:r w:rsidRPr="00EC6C19">
        <w:rPr>
          <w:rFonts w:ascii="Times New Roman" w:hAnsi="Times New Roman" w:cs="Times New Roman"/>
          <w:sz w:val="24"/>
          <w:szCs w:val="24"/>
        </w:rPr>
        <w:br/>
      </w:r>
      <w:r w:rsidRPr="00EC6C19">
        <w:rPr>
          <w:rFonts w:ascii="Times New Roman" w:hAnsi="Times New Roman" w:cs="Times New Roman"/>
          <w:sz w:val="24"/>
          <w:szCs w:val="24"/>
        </w:rPr>
        <w:br/>
      </w:r>
      <w:r w:rsidR="002822FA" w:rsidRPr="002822FA">
        <w:rPr>
          <w:rFonts w:ascii="Times New Roman" w:hAnsi="Times New Roman" w:cs="Times New Roman"/>
          <w:i/>
          <w:sz w:val="24"/>
          <w:szCs w:val="24"/>
        </w:rPr>
        <w:t xml:space="preserve">3.5.4 - </w:t>
      </w:r>
      <w:r w:rsidRPr="002822FA">
        <w:rPr>
          <w:rFonts w:ascii="Times New Roman" w:hAnsi="Times New Roman" w:cs="Times New Roman"/>
          <w:i/>
          <w:sz w:val="24"/>
          <w:szCs w:val="24"/>
        </w:rPr>
        <w:t>Safety and Practical Considerations</w:t>
      </w:r>
    </w:p>
    <w:p w14:paraId="0DF861F8" w14:textId="77777777" w:rsidR="00994FFE" w:rsidRPr="00EC6C19" w:rsidRDefault="002822FA" w:rsidP="00994FFE">
      <w:pPr>
        <w:spacing w:line="360" w:lineRule="auto"/>
        <w:rPr>
          <w:rFonts w:ascii="Times New Roman" w:hAnsi="Times New Roman" w:cs="Times New Roman"/>
          <w:i/>
          <w:sz w:val="24"/>
          <w:szCs w:val="24"/>
        </w:rPr>
      </w:pPr>
      <w:r>
        <w:rPr>
          <w:rFonts w:ascii="Times New Roman" w:hAnsi="Times New Roman" w:cs="Times New Roman"/>
          <w:i/>
          <w:sz w:val="24"/>
          <w:szCs w:val="24"/>
        </w:rPr>
        <w:br/>
      </w:r>
    </w:p>
    <w:p w14:paraId="0CD331F3" w14:textId="77777777"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Our utmost consideration was for the safety and comfort of our patients. Pillows and hand gel cushions were placed to ensure optimal comfort during the procedure. As part of the pre-</w:t>
      </w:r>
      <w:r w:rsidRPr="00EC6C19">
        <w:rPr>
          <w:rFonts w:ascii="Times New Roman" w:hAnsi="Times New Roman" w:cs="Times New Roman"/>
          <w:sz w:val="24"/>
          <w:szCs w:val="24"/>
        </w:rPr>
        <w:lastRenderedPageBreak/>
        <w:t xml:space="preserve">screening, patients were asked of any difficulties lying prone and any measures that could be taken to ease this. In some cases, the patient was asked to lie themselves prone outside in recovery before the procedure, to try and anticipate any issues with lying in this position. </w:t>
      </w:r>
    </w:p>
    <w:p w14:paraId="1D2FFC5D" w14:textId="3F876B49"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Nausea is sometimes experienced during angiography. Being prone actually reduced the risk of aspiration and made management of vomiting somewhat easier.</w:t>
      </w:r>
    </w:p>
    <w:p w14:paraId="54F14165" w14:textId="77777777"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Defibrillation pads could be placed anterior and posterior or posterior and lateral or (instead of anterior and lateral) when the patient was prone. If defibrillation did not restore spontaneous circulation, chest compressions would be inefficient when prone. The team would therefore perform a turning manoeuvre in the event of a cardiac arrest requiring CPR. The estimated delay in turning is 10-20 seconds at maximum.</w:t>
      </w:r>
    </w:p>
    <w:p w14:paraId="46668FB7" w14:textId="77777777" w:rsidR="00994FFE" w:rsidRPr="00EC6C19" w:rsidRDefault="00994FFE" w:rsidP="00994FF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Asystole or severe bradycardia is a transient phenomenon occurring in approximately 5% of cases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{"citationID":"9XJu7Njf","properties":{"formattedCitation":"(Landau et al., 1994)","plainCitation":"(Landau et al., 1994)","noteIndex":0},"citationItems":[{"id":322,"uris":["http://zotero.org/users/local/k67tNDdX/items/UWGEV2ET"],"uri":["http://zotero.org/users/local/k67tNDdX/items/UWGEV2ET"],"itemData":{"id":322,"type":"article-journal","container-title":"The American Journal of Cardiology","ISSN":"0002-9149","issue":"1","journalAbbreviation":"Am. J. Cardiol.","language":"eng","note":"PMID: 8279387","page":"95-97","source":"PubMed","title":"Vasovagal reactions in the cardiac catheterization laboratory","volume":"73","author":[{"family":"Landau","given":"C."},{"family":"Lange","given":"R. A."},{"family":"Glamann","given":"D. B."},{"family":"Willard","given":"J. E."},{"family":"Hillis","given":"L. D."}],"issued":{"date-parts":[["1994",1,1]]}}}],"schema":"https://github.com/citation-style-language/schema/raw/master/csl-citation.json"}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(Landau et al., 1994)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Causes include contrast injection, medication or temporary occlusion of a coronary artery. If this occurred, the patient would be positioned supine immediately.</w:t>
      </w:r>
    </w:p>
    <w:p w14:paraId="67A43905" w14:textId="77777777" w:rsidR="00994FFE" w:rsidRPr="00EC6C19" w:rsidRDefault="00994FFE" w:rsidP="00835EE7">
      <w:pPr>
        <w:spacing w:line="360" w:lineRule="auto"/>
        <w:rPr>
          <w:rFonts w:ascii="Times New Roman" w:hAnsi="Times New Roman" w:cs="Times New Roman"/>
          <w:i/>
          <w:sz w:val="24"/>
          <w:szCs w:val="24"/>
        </w:rPr>
      </w:pPr>
    </w:p>
    <w:p w14:paraId="222C50FB" w14:textId="77777777" w:rsidR="00835EE7" w:rsidRPr="00EC6C19" w:rsidRDefault="00835EE7" w:rsidP="00835EE7">
      <w:pPr>
        <w:spacing w:line="360" w:lineRule="auto"/>
        <w:rPr>
          <w:rFonts w:ascii="Times New Roman" w:hAnsi="Times New Roman" w:cs="Times New Roman"/>
          <w:i/>
          <w:sz w:val="24"/>
          <w:szCs w:val="24"/>
        </w:rPr>
      </w:pPr>
    </w:p>
    <w:p w14:paraId="192B70B2" w14:textId="77777777" w:rsidR="00835EE7" w:rsidRPr="002822FA" w:rsidRDefault="002822FA" w:rsidP="002822FA">
      <w:pPr>
        <w:pStyle w:val="Heading2"/>
        <w:rPr>
          <w:rFonts w:ascii="Times New Roman" w:hAnsi="Times New Roman" w:cs="Times New Roman"/>
          <w:color w:val="auto"/>
          <w:sz w:val="24"/>
          <w:szCs w:val="24"/>
        </w:rPr>
      </w:pPr>
      <w:bookmarkStart w:id="124" w:name="_Toc80302233"/>
      <w:r w:rsidRPr="002822FA">
        <w:rPr>
          <w:rFonts w:ascii="Times New Roman" w:hAnsi="Times New Roman" w:cs="Times New Roman"/>
          <w:color w:val="auto"/>
          <w:sz w:val="24"/>
          <w:szCs w:val="24"/>
        </w:rPr>
        <w:t xml:space="preserve">3.6 - </w:t>
      </w:r>
      <w:r w:rsidR="00AC40AC" w:rsidRPr="002822FA">
        <w:rPr>
          <w:rFonts w:ascii="Times New Roman" w:hAnsi="Times New Roman" w:cs="Times New Roman"/>
          <w:color w:val="auto"/>
          <w:sz w:val="24"/>
          <w:szCs w:val="24"/>
        </w:rPr>
        <w:t>Study Protocol</w:t>
      </w:r>
      <w:bookmarkEnd w:id="124"/>
    </w:p>
    <w:p w14:paraId="328F2964" w14:textId="77777777" w:rsidR="00AC40AC" w:rsidRPr="00EC6C19" w:rsidRDefault="002822FA" w:rsidP="00835EE7">
      <w:pPr>
        <w:spacing w:line="360" w:lineRule="auto"/>
        <w:rPr>
          <w:rFonts w:ascii="Times New Roman" w:hAnsi="Times New Roman" w:cs="Times New Roman"/>
          <w:b/>
          <w:sz w:val="24"/>
          <w:szCs w:val="24"/>
        </w:rPr>
      </w:pPr>
      <w:r>
        <w:rPr>
          <w:rFonts w:ascii="Times New Roman" w:hAnsi="Times New Roman" w:cs="Times New Roman"/>
          <w:b/>
          <w:sz w:val="24"/>
          <w:szCs w:val="24"/>
        </w:rPr>
        <w:br/>
      </w:r>
    </w:p>
    <w:p w14:paraId="3933BB2B" w14:textId="77777777" w:rsidR="00835EE7" w:rsidRPr="002822FA" w:rsidRDefault="002822FA" w:rsidP="002822FA">
      <w:pPr>
        <w:pStyle w:val="Heading2"/>
        <w:rPr>
          <w:rFonts w:ascii="Times New Roman" w:hAnsi="Times New Roman" w:cs="Times New Roman"/>
          <w:b w:val="0"/>
          <w:color w:val="auto"/>
          <w:sz w:val="24"/>
          <w:szCs w:val="24"/>
        </w:rPr>
      </w:pPr>
      <w:bookmarkStart w:id="125" w:name="_Toc80302234"/>
      <w:r w:rsidRPr="002822FA">
        <w:rPr>
          <w:rFonts w:ascii="Times New Roman" w:hAnsi="Times New Roman" w:cs="Times New Roman"/>
          <w:b w:val="0"/>
          <w:i/>
          <w:color w:val="auto"/>
          <w:sz w:val="24"/>
          <w:szCs w:val="24"/>
        </w:rPr>
        <w:t xml:space="preserve">3.6.1 - </w:t>
      </w:r>
      <w:r w:rsidR="00835EE7" w:rsidRPr="002822FA">
        <w:rPr>
          <w:rFonts w:ascii="Times New Roman" w:hAnsi="Times New Roman" w:cs="Times New Roman"/>
          <w:b w:val="0"/>
          <w:i/>
          <w:color w:val="auto"/>
          <w:sz w:val="24"/>
          <w:szCs w:val="24"/>
        </w:rPr>
        <w:t>Prone Component</w:t>
      </w:r>
      <w:bookmarkEnd w:id="125"/>
      <w:r>
        <w:rPr>
          <w:rFonts w:ascii="Times New Roman" w:hAnsi="Times New Roman" w:cs="Times New Roman"/>
          <w:b w:val="0"/>
          <w:i/>
          <w:color w:val="auto"/>
          <w:sz w:val="24"/>
          <w:szCs w:val="24"/>
        </w:rPr>
        <w:br/>
      </w:r>
    </w:p>
    <w:p w14:paraId="10A0324C" w14:textId="77777777" w:rsidR="00835EE7" w:rsidRPr="00EC6C19" w:rsidRDefault="00835EE7" w:rsidP="00835EE7">
      <w:pPr>
        <w:spacing w:line="360" w:lineRule="auto"/>
        <w:rPr>
          <w:rFonts w:ascii="Times New Roman" w:hAnsi="Times New Roman" w:cs="Times New Roman"/>
          <w:i/>
          <w:sz w:val="24"/>
          <w:szCs w:val="24"/>
          <w:u w:val="single"/>
        </w:rPr>
      </w:pPr>
    </w:p>
    <w:p w14:paraId="6CB640A2" w14:textId="77777777"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Once arterial access is gained via the left radial artery (and verapamil or nitrate has been given intra-arterially to avoid vasospasm), a standard guidewire with overlying 6 French catheter of the operators choice, is passed into the aortic root.</w:t>
      </w:r>
      <w:r w:rsidR="00994FFE" w:rsidRPr="00EC6C19">
        <w:rPr>
          <w:rFonts w:ascii="Times New Roman" w:hAnsi="Times New Roman" w:cs="Times New Roman"/>
          <w:sz w:val="24"/>
          <w:szCs w:val="24"/>
        </w:rPr>
        <w:t xml:space="preserve"> </w:t>
      </w:r>
      <w:r w:rsidRPr="00EC6C19">
        <w:rPr>
          <w:rFonts w:ascii="Times New Roman" w:hAnsi="Times New Roman" w:cs="Times New Roman"/>
          <w:sz w:val="24"/>
          <w:szCs w:val="24"/>
        </w:rPr>
        <w:t xml:space="preserve">Once the stenosis was adequately visualised, coronary physiology </w:t>
      </w:r>
      <w:r w:rsidR="00994FFE" w:rsidRPr="00EC6C19">
        <w:rPr>
          <w:rFonts w:ascii="Times New Roman" w:hAnsi="Times New Roman" w:cs="Times New Roman"/>
          <w:sz w:val="24"/>
          <w:szCs w:val="24"/>
        </w:rPr>
        <w:t>was measured.</w:t>
      </w:r>
    </w:p>
    <w:p w14:paraId="26DA7B71" w14:textId="77777777" w:rsidR="00835EE7" w:rsidRPr="00EC6C19" w:rsidRDefault="00835EE7" w:rsidP="00835EE7">
      <w:pPr>
        <w:spacing w:line="360" w:lineRule="auto"/>
        <w:rPr>
          <w:rFonts w:ascii="Times New Roman" w:hAnsi="Times New Roman" w:cs="Times New Roman"/>
          <w:i/>
          <w:sz w:val="24"/>
          <w:szCs w:val="24"/>
        </w:rPr>
      </w:pPr>
    </w:p>
    <w:p w14:paraId="26BE69CE" w14:textId="77777777" w:rsidR="00835EE7" w:rsidRPr="002822FA" w:rsidRDefault="002822FA" w:rsidP="002822FA">
      <w:pPr>
        <w:pStyle w:val="Heading3"/>
        <w:spacing w:line="360" w:lineRule="auto"/>
        <w:rPr>
          <w:rFonts w:ascii="Times New Roman" w:hAnsi="Times New Roman" w:cs="Times New Roman"/>
          <w:b w:val="0"/>
          <w:i/>
          <w:color w:val="auto"/>
          <w:sz w:val="24"/>
          <w:szCs w:val="24"/>
        </w:rPr>
      </w:pPr>
      <w:bookmarkStart w:id="126" w:name="_Toc80302235"/>
      <w:r w:rsidRPr="002822FA">
        <w:rPr>
          <w:rFonts w:ascii="Times New Roman" w:hAnsi="Times New Roman" w:cs="Times New Roman"/>
          <w:b w:val="0"/>
          <w:i/>
          <w:color w:val="auto"/>
          <w:sz w:val="24"/>
          <w:szCs w:val="24"/>
        </w:rPr>
        <w:lastRenderedPageBreak/>
        <w:t xml:space="preserve">3.6.2 - </w:t>
      </w:r>
      <w:r w:rsidR="00835EE7" w:rsidRPr="002822FA">
        <w:rPr>
          <w:rFonts w:ascii="Times New Roman" w:hAnsi="Times New Roman" w:cs="Times New Roman"/>
          <w:b w:val="0"/>
          <w:i/>
          <w:color w:val="auto"/>
          <w:sz w:val="24"/>
          <w:szCs w:val="24"/>
        </w:rPr>
        <w:t>Physiology Wire</w:t>
      </w:r>
      <w:bookmarkEnd w:id="126"/>
      <w:r>
        <w:rPr>
          <w:rFonts w:ascii="Times New Roman" w:hAnsi="Times New Roman" w:cs="Times New Roman"/>
          <w:b w:val="0"/>
          <w:i/>
          <w:color w:val="auto"/>
          <w:sz w:val="24"/>
          <w:szCs w:val="24"/>
        </w:rPr>
        <w:br/>
      </w:r>
    </w:p>
    <w:p w14:paraId="71EDCFCF" w14:textId="77777777" w:rsidR="00B31F07" w:rsidRPr="00EC6C19" w:rsidRDefault="00B31F07" w:rsidP="00835EE7">
      <w:pPr>
        <w:spacing w:line="360" w:lineRule="auto"/>
        <w:rPr>
          <w:rFonts w:ascii="Times New Roman" w:hAnsi="Times New Roman" w:cs="Times New Roman"/>
          <w:i/>
          <w:sz w:val="24"/>
          <w:szCs w:val="24"/>
        </w:rPr>
      </w:pPr>
    </w:p>
    <w:p w14:paraId="4B4A3F72" w14:textId="3ABE936F" w:rsidR="00835EE7" w:rsidRPr="00EC6C19" w:rsidRDefault="00B31F0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Pressure and velocity measurements were recorded in the coronary artery of interest. A Combowire™ made by Volcano Corporation (</w:t>
      </w:r>
      <w:hyperlink r:id="rId44" w:history="1">
        <w:r w:rsidRPr="00EC6C19">
          <w:rPr>
            <w:rFonts w:ascii="Times New Roman" w:hAnsi="Times New Roman" w:cs="Times New Roman"/>
            <w:sz w:val="24"/>
            <w:szCs w:val="24"/>
          </w:rPr>
          <w:t>San Diego, California, United States</w:t>
        </w:r>
      </w:hyperlink>
      <w:r w:rsidRPr="00EC6C19">
        <w:rPr>
          <w:rFonts w:ascii="Times New Roman" w:hAnsi="Times New Roman" w:cs="Times New Roman"/>
          <w:sz w:val="24"/>
          <w:szCs w:val="24"/>
        </w:rPr>
        <w:t>) was used in all cases. This was connected to a Combomap© device, to capture the outputs from the wire</w:t>
      </w:r>
      <w:r w:rsidR="00FF0C59">
        <w:rPr>
          <w:rFonts w:ascii="Times New Roman" w:hAnsi="Times New Roman" w:cs="Times New Roman"/>
          <w:sz w:val="24"/>
          <w:szCs w:val="24"/>
        </w:rPr>
        <w:t>.</w:t>
      </w:r>
    </w:p>
    <w:p w14:paraId="7A70CD01" w14:textId="77777777"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 Pressure sensors on the wire are placed at 1.5cm from the wire tip, while flow sensors are at the tip </w:t>
      </w:r>
      <w:r w:rsidRPr="003C6EC5">
        <w:rPr>
          <w:rFonts w:ascii="Times New Roman" w:hAnsi="Times New Roman" w:cs="Times New Roman"/>
          <w:sz w:val="24"/>
          <w:szCs w:val="24"/>
        </w:rPr>
        <w:t xml:space="preserve">itself </w:t>
      </w:r>
      <w:r w:rsidR="003C6EC5" w:rsidRPr="003C6EC5">
        <w:rPr>
          <w:rFonts w:ascii="Times New Roman" w:hAnsi="Times New Roman" w:cs="Times New Roman"/>
          <w:sz w:val="24"/>
          <w:szCs w:val="24"/>
        </w:rPr>
        <w:t>(</w:t>
      </w:r>
      <w:r w:rsidRPr="003C6EC5">
        <w:rPr>
          <w:rFonts w:ascii="Times New Roman" w:hAnsi="Times New Roman" w:cs="Times New Roman"/>
          <w:sz w:val="24"/>
          <w:szCs w:val="24"/>
        </w:rPr>
        <w:t xml:space="preserve">Figure </w:t>
      </w:r>
      <w:r w:rsidR="003C6EC5" w:rsidRPr="003C6EC5">
        <w:rPr>
          <w:rFonts w:ascii="Times New Roman" w:hAnsi="Times New Roman" w:cs="Times New Roman"/>
          <w:sz w:val="24"/>
          <w:szCs w:val="24"/>
        </w:rPr>
        <w:t>27</w:t>
      </w:r>
      <w:r w:rsidRPr="003C6EC5">
        <w:rPr>
          <w:rFonts w:ascii="Times New Roman" w:hAnsi="Times New Roman" w:cs="Times New Roman"/>
          <w:sz w:val="24"/>
          <w:szCs w:val="24"/>
        </w:rPr>
        <w:t>). This</w:t>
      </w:r>
      <w:r w:rsidRPr="00EC6C19">
        <w:rPr>
          <w:rFonts w:ascii="Times New Roman" w:hAnsi="Times New Roman" w:cs="Times New Roman"/>
          <w:sz w:val="24"/>
          <w:szCs w:val="24"/>
        </w:rPr>
        <w:t xml:space="preserve"> is critical information when normalising the wire in the coronary artery.</w:t>
      </w:r>
    </w:p>
    <w:p w14:paraId="5475A256" w14:textId="77777777" w:rsidR="00835EE7" w:rsidRPr="00EC6C19" w:rsidRDefault="00835EE7" w:rsidP="00835EE7">
      <w:pPr>
        <w:spacing w:line="360" w:lineRule="auto"/>
        <w:rPr>
          <w:rFonts w:ascii="Times New Roman" w:hAnsi="Times New Roman" w:cs="Times New Roman"/>
          <w:sz w:val="24"/>
          <w:szCs w:val="24"/>
        </w:rPr>
      </w:pPr>
    </w:p>
    <w:p w14:paraId="3FE1AA90" w14:textId="77777777" w:rsidR="00494EC5" w:rsidRPr="00EC6C19" w:rsidRDefault="00835EE7" w:rsidP="00835EE7">
      <w:pPr>
        <w:spacing w:line="360" w:lineRule="auto"/>
        <w:ind w:left="-907"/>
        <w:jc w:val="center"/>
        <w:rPr>
          <w:rFonts w:ascii="Times New Roman" w:hAnsi="Times New Roman" w:cs="Times New Roman"/>
          <w:i/>
          <w:sz w:val="24"/>
          <w:szCs w:val="24"/>
        </w:rPr>
      </w:pPr>
      <w:r w:rsidRPr="00EC6C19">
        <w:rPr>
          <w:rFonts w:ascii="Times New Roman" w:hAnsi="Times New Roman" w:cs="Times New Roman"/>
          <w:noProof/>
          <w:sz w:val="24"/>
          <w:szCs w:val="24"/>
          <w:lang w:eastAsia="en-GB"/>
        </w:rPr>
        <w:drawing>
          <wp:inline distT="0" distB="0" distL="0" distR="0" wp14:anchorId="43A7562B" wp14:editId="05A19407">
            <wp:extent cx="7108090" cy="3629025"/>
            <wp:effectExtent l="1905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srcRect/>
                    <a:stretch>
                      <a:fillRect/>
                    </a:stretch>
                  </pic:blipFill>
                  <pic:spPr bwMode="auto">
                    <a:xfrm>
                      <a:off x="0" y="0"/>
                      <a:ext cx="7108872" cy="3629424"/>
                    </a:xfrm>
                    <a:prstGeom prst="rect">
                      <a:avLst/>
                    </a:prstGeom>
                    <a:noFill/>
                    <a:ln w="9525">
                      <a:noFill/>
                      <a:miter lim="800000"/>
                      <a:headEnd/>
                      <a:tailEnd/>
                    </a:ln>
                  </pic:spPr>
                </pic:pic>
              </a:graphicData>
            </a:graphic>
          </wp:inline>
        </w:drawing>
      </w:r>
    </w:p>
    <w:p w14:paraId="4F5930AD" w14:textId="77777777" w:rsidR="00835EE7" w:rsidRPr="003C6EC5" w:rsidRDefault="003C6EC5" w:rsidP="003C6EC5">
      <w:pPr>
        <w:pStyle w:val="Caption"/>
        <w:spacing w:line="360" w:lineRule="auto"/>
        <w:rPr>
          <w:rFonts w:ascii="Times New Roman" w:hAnsi="Times New Roman" w:cs="Times New Roman"/>
          <w:b w:val="0"/>
          <w:i/>
          <w:color w:val="auto"/>
          <w:sz w:val="24"/>
          <w:szCs w:val="24"/>
        </w:rPr>
      </w:pPr>
      <w:bookmarkStart w:id="127" w:name="_Toc44684916"/>
      <w:r w:rsidRPr="003C6EC5">
        <w:rPr>
          <w:rFonts w:ascii="Times New Roman" w:hAnsi="Times New Roman" w:cs="Times New Roman"/>
          <w:b w:val="0"/>
          <w:i/>
          <w:color w:val="auto"/>
          <w:sz w:val="24"/>
          <w:szCs w:val="24"/>
        </w:rPr>
        <w:t xml:space="preserve">Figure </w:t>
      </w:r>
      <w:r w:rsidR="00106A32" w:rsidRPr="003C6EC5">
        <w:rPr>
          <w:rFonts w:ascii="Times New Roman" w:hAnsi="Times New Roman" w:cs="Times New Roman"/>
          <w:b w:val="0"/>
          <w:i/>
          <w:color w:val="auto"/>
          <w:sz w:val="24"/>
          <w:szCs w:val="24"/>
        </w:rPr>
        <w:fldChar w:fldCharType="begin"/>
      </w:r>
      <w:r w:rsidRPr="003C6EC5">
        <w:rPr>
          <w:rFonts w:ascii="Times New Roman" w:hAnsi="Times New Roman" w:cs="Times New Roman"/>
          <w:b w:val="0"/>
          <w:i/>
          <w:color w:val="auto"/>
          <w:sz w:val="24"/>
          <w:szCs w:val="24"/>
        </w:rPr>
        <w:instrText xml:space="preserve"> SEQ Figure \* ARABIC </w:instrText>
      </w:r>
      <w:r w:rsidR="00106A32" w:rsidRPr="003C6EC5">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27</w:t>
      </w:r>
      <w:r w:rsidR="00106A32" w:rsidRPr="003C6EC5">
        <w:rPr>
          <w:rFonts w:ascii="Times New Roman" w:hAnsi="Times New Roman" w:cs="Times New Roman"/>
          <w:b w:val="0"/>
          <w:i/>
          <w:color w:val="auto"/>
          <w:sz w:val="24"/>
          <w:szCs w:val="24"/>
        </w:rPr>
        <w:fldChar w:fldCharType="end"/>
      </w:r>
      <w:r w:rsidRPr="003C6EC5">
        <w:rPr>
          <w:rFonts w:ascii="Times New Roman" w:hAnsi="Times New Roman" w:cs="Times New Roman"/>
          <w:b w:val="0"/>
          <w:i/>
          <w:color w:val="auto"/>
          <w:sz w:val="24"/>
          <w:szCs w:val="24"/>
        </w:rPr>
        <w:t>- ComboWire</w:t>
      </w:r>
      <w:r>
        <w:rPr>
          <w:rFonts w:ascii="Times New Roman" w:hAnsi="Times New Roman" w:cs="Times New Roman"/>
          <w:b w:val="0"/>
          <w:i/>
          <w:color w:val="auto"/>
          <w:sz w:val="24"/>
          <w:szCs w:val="24"/>
        </w:rPr>
        <w:t xml:space="preserve"> </w:t>
      </w:r>
      <w:r w:rsidR="00835EE7" w:rsidRPr="003C6EC5">
        <w:rPr>
          <w:rFonts w:ascii="Times New Roman" w:hAnsi="Times New Roman" w:cs="Times New Roman"/>
          <w:b w:val="0"/>
          <w:i/>
          <w:color w:val="auto"/>
          <w:sz w:val="24"/>
          <w:szCs w:val="24"/>
        </w:rPr>
        <w:t xml:space="preserve">- Illustration of the Combowire (Image from Volcano </w:t>
      </w:r>
      <w:r w:rsidR="007C7D90" w:rsidRPr="003C6EC5">
        <w:rPr>
          <w:rFonts w:ascii="Times New Roman" w:hAnsi="Times New Roman" w:cs="Times New Roman"/>
          <w:b w:val="0"/>
          <w:i/>
          <w:color w:val="auto"/>
          <w:sz w:val="24"/>
          <w:szCs w:val="24"/>
        </w:rPr>
        <w:t>Corporation</w:t>
      </w:r>
      <w:r w:rsidR="00835EE7" w:rsidRPr="003C6EC5">
        <w:rPr>
          <w:rFonts w:ascii="Times New Roman" w:hAnsi="Times New Roman" w:cs="Times New Roman"/>
          <w:b w:val="0"/>
          <w:i/>
          <w:color w:val="auto"/>
          <w:sz w:val="24"/>
          <w:szCs w:val="24"/>
        </w:rPr>
        <w:t>, San Diego, California, USA).</w:t>
      </w:r>
      <w:bookmarkEnd w:id="127"/>
    </w:p>
    <w:p w14:paraId="2BAD38F0" w14:textId="77777777" w:rsidR="00494EC5" w:rsidRPr="00EC6C19" w:rsidRDefault="00494EC5" w:rsidP="00835EE7">
      <w:pPr>
        <w:spacing w:line="360" w:lineRule="auto"/>
        <w:jc w:val="center"/>
        <w:rPr>
          <w:rFonts w:ascii="Times New Roman" w:hAnsi="Times New Roman" w:cs="Times New Roman"/>
          <w:i/>
          <w:sz w:val="24"/>
          <w:szCs w:val="24"/>
        </w:rPr>
      </w:pPr>
    </w:p>
    <w:p w14:paraId="2F6E0BBB" w14:textId="77777777" w:rsidR="00835EE7" w:rsidRPr="00EC6C19" w:rsidRDefault="00835EE7" w:rsidP="00835EE7">
      <w:pPr>
        <w:spacing w:line="360" w:lineRule="auto"/>
        <w:rPr>
          <w:rFonts w:ascii="Times New Roman" w:hAnsi="Times New Roman" w:cs="Times New Roman"/>
          <w:i/>
          <w:sz w:val="24"/>
          <w:szCs w:val="24"/>
        </w:rPr>
      </w:pPr>
    </w:p>
    <w:p w14:paraId="2BC4D5C8" w14:textId="77777777" w:rsidR="00835EE7" w:rsidRPr="002822FA" w:rsidRDefault="002822FA" w:rsidP="002822FA">
      <w:pPr>
        <w:pStyle w:val="Heading3"/>
        <w:rPr>
          <w:rFonts w:ascii="Times New Roman" w:hAnsi="Times New Roman" w:cs="Times New Roman"/>
          <w:b w:val="0"/>
          <w:i/>
          <w:color w:val="auto"/>
          <w:sz w:val="24"/>
          <w:szCs w:val="24"/>
        </w:rPr>
      </w:pPr>
      <w:bookmarkStart w:id="128" w:name="_Toc80302236"/>
      <w:r w:rsidRPr="002822FA">
        <w:rPr>
          <w:rFonts w:ascii="Times New Roman" w:hAnsi="Times New Roman" w:cs="Times New Roman"/>
          <w:b w:val="0"/>
          <w:i/>
          <w:color w:val="auto"/>
          <w:sz w:val="24"/>
          <w:szCs w:val="24"/>
        </w:rPr>
        <w:lastRenderedPageBreak/>
        <w:t xml:space="preserve">3.6.3 - </w:t>
      </w:r>
      <w:r w:rsidR="00835EE7" w:rsidRPr="002822FA">
        <w:rPr>
          <w:rFonts w:ascii="Times New Roman" w:hAnsi="Times New Roman" w:cs="Times New Roman"/>
          <w:b w:val="0"/>
          <w:i/>
          <w:color w:val="auto"/>
          <w:sz w:val="24"/>
          <w:szCs w:val="24"/>
        </w:rPr>
        <w:t>Combomap System</w:t>
      </w:r>
      <w:bookmarkEnd w:id="128"/>
    </w:p>
    <w:p w14:paraId="394A331F" w14:textId="77777777" w:rsidR="00835EE7" w:rsidRPr="00EC6C19" w:rsidRDefault="002822FA" w:rsidP="00835EE7">
      <w:pPr>
        <w:spacing w:line="360" w:lineRule="auto"/>
        <w:rPr>
          <w:rFonts w:ascii="Times New Roman" w:hAnsi="Times New Roman" w:cs="Times New Roman"/>
          <w:i/>
          <w:sz w:val="24"/>
          <w:szCs w:val="24"/>
          <w:u w:val="single"/>
        </w:rPr>
      </w:pPr>
      <w:r>
        <w:rPr>
          <w:rFonts w:ascii="Times New Roman" w:hAnsi="Times New Roman" w:cs="Times New Roman"/>
          <w:i/>
          <w:sz w:val="24"/>
          <w:szCs w:val="24"/>
          <w:u w:val="single"/>
        </w:rPr>
        <w:br/>
      </w:r>
    </w:p>
    <w:p w14:paraId="6E980174" w14:textId="492BB858"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Unfortunately, our integrated physiology system in the laboratory, even though manufactured by Volcano Corporation, was only compatible with a pressure wire, not a pressure and velocity wire. </w:t>
      </w:r>
      <w:r w:rsidR="00FF0C59" w:rsidRPr="00EC6C19">
        <w:rPr>
          <w:rFonts w:ascii="Times New Roman" w:hAnsi="Times New Roman" w:cs="Times New Roman"/>
          <w:sz w:val="24"/>
          <w:szCs w:val="24"/>
        </w:rPr>
        <w:t>Therefore,</w:t>
      </w:r>
      <w:r w:rsidRPr="00EC6C19">
        <w:rPr>
          <w:rFonts w:ascii="Times New Roman" w:hAnsi="Times New Roman" w:cs="Times New Roman"/>
          <w:sz w:val="24"/>
          <w:szCs w:val="24"/>
        </w:rPr>
        <w:t xml:space="preserve"> a standalone unit was used, capable of measuring pressure and velocity outputs </w:t>
      </w:r>
      <w:r w:rsidRPr="00816506">
        <w:rPr>
          <w:rFonts w:ascii="Times New Roman" w:hAnsi="Times New Roman" w:cs="Times New Roman"/>
          <w:sz w:val="24"/>
          <w:szCs w:val="24"/>
        </w:rPr>
        <w:t xml:space="preserve">(See Figure </w:t>
      </w:r>
      <w:r w:rsidR="00816506" w:rsidRPr="00816506">
        <w:rPr>
          <w:rFonts w:ascii="Times New Roman" w:hAnsi="Times New Roman" w:cs="Times New Roman"/>
          <w:sz w:val="24"/>
          <w:szCs w:val="24"/>
        </w:rPr>
        <w:t>28</w:t>
      </w:r>
      <w:r w:rsidRPr="00816506">
        <w:rPr>
          <w:rFonts w:ascii="Times New Roman" w:hAnsi="Times New Roman" w:cs="Times New Roman"/>
          <w:sz w:val="24"/>
          <w:szCs w:val="24"/>
        </w:rPr>
        <w:t>). The</w:t>
      </w:r>
      <w:r w:rsidRPr="00EC6C19">
        <w:rPr>
          <w:rFonts w:ascii="Times New Roman" w:hAnsi="Times New Roman" w:cs="Times New Roman"/>
          <w:sz w:val="24"/>
          <w:szCs w:val="24"/>
        </w:rPr>
        <w:t xml:space="preserve"> signal was split from the lab haemodynamic unit and fed into the Combomap system.</w:t>
      </w:r>
    </w:p>
    <w:p w14:paraId="587CAD22" w14:textId="77777777"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22B8934E" wp14:editId="1DF7EB1C">
            <wp:extent cx="5943600" cy="2791879"/>
            <wp:effectExtent l="0" t="0" r="0" b="0"/>
            <wp:docPr id="22" name="Picture 4" descr="C:\Users\Administrator\Desktop\download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download (1).png"/>
                    <pic:cNvPicPr>
                      <a:picLocks noChangeAspect="1" noChangeArrowheads="1"/>
                    </pic:cNvPicPr>
                  </pic:nvPicPr>
                  <pic:blipFill>
                    <a:blip r:embed="rId46"/>
                    <a:srcRect/>
                    <a:stretch>
                      <a:fillRect/>
                    </a:stretch>
                  </pic:blipFill>
                  <pic:spPr bwMode="auto">
                    <a:xfrm>
                      <a:off x="0" y="0"/>
                      <a:ext cx="5943600" cy="2791879"/>
                    </a:xfrm>
                    <a:prstGeom prst="rect">
                      <a:avLst/>
                    </a:prstGeom>
                    <a:noFill/>
                    <a:ln w="9525">
                      <a:noFill/>
                      <a:miter lim="800000"/>
                      <a:headEnd/>
                      <a:tailEnd/>
                    </a:ln>
                  </pic:spPr>
                </pic:pic>
              </a:graphicData>
            </a:graphic>
          </wp:inline>
        </w:drawing>
      </w:r>
    </w:p>
    <w:p w14:paraId="420AE411" w14:textId="77777777" w:rsidR="00494EC5" w:rsidRPr="00EC6C19" w:rsidRDefault="00494EC5" w:rsidP="00835EE7">
      <w:pPr>
        <w:spacing w:line="360" w:lineRule="auto"/>
        <w:jc w:val="center"/>
        <w:rPr>
          <w:rFonts w:ascii="Times New Roman" w:hAnsi="Times New Roman" w:cs="Times New Roman"/>
          <w:i/>
          <w:sz w:val="24"/>
          <w:szCs w:val="24"/>
        </w:rPr>
      </w:pPr>
    </w:p>
    <w:p w14:paraId="36DC3D8A" w14:textId="77777777" w:rsidR="00835EE7" w:rsidRPr="003C6EC5" w:rsidRDefault="003C6EC5" w:rsidP="003C6EC5">
      <w:pPr>
        <w:pStyle w:val="Caption"/>
        <w:spacing w:line="360" w:lineRule="auto"/>
        <w:rPr>
          <w:rFonts w:ascii="Times New Roman" w:hAnsi="Times New Roman" w:cs="Times New Roman"/>
          <w:b w:val="0"/>
          <w:i/>
          <w:color w:val="auto"/>
          <w:sz w:val="24"/>
          <w:szCs w:val="24"/>
        </w:rPr>
      </w:pPr>
      <w:bookmarkStart w:id="129" w:name="_Toc44684917"/>
      <w:r w:rsidRPr="003C6EC5">
        <w:rPr>
          <w:rFonts w:ascii="Times New Roman" w:hAnsi="Times New Roman" w:cs="Times New Roman"/>
          <w:b w:val="0"/>
          <w:i/>
          <w:color w:val="auto"/>
          <w:sz w:val="24"/>
          <w:szCs w:val="24"/>
        </w:rPr>
        <w:t xml:space="preserve">Figure </w:t>
      </w:r>
      <w:r w:rsidR="00106A32" w:rsidRPr="003C6EC5">
        <w:rPr>
          <w:rFonts w:ascii="Times New Roman" w:hAnsi="Times New Roman" w:cs="Times New Roman"/>
          <w:b w:val="0"/>
          <w:i/>
          <w:color w:val="auto"/>
          <w:sz w:val="24"/>
          <w:szCs w:val="24"/>
        </w:rPr>
        <w:fldChar w:fldCharType="begin"/>
      </w:r>
      <w:r w:rsidRPr="003C6EC5">
        <w:rPr>
          <w:rFonts w:ascii="Times New Roman" w:hAnsi="Times New Roman" w:cs="Times New Roman"/>
          <w:b w:val="0"/>
          <w:i/>
          <w:color w:val="auto"/>
          <w:sz w:val="24"/>
          <w:szCs w:val="24"/>
        </w:rPr>
        <w:instrText xml:space="preserve"> SEQ Figure \* ARABIC </w:instrText>
      </w:r>
      <w:r w:rsidR="00106A32" w:rsidRPr="003C6EC5">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28</w:t>
      </w:r>
      <w:r w:rsidR="00106A32" w:rsidRPr="003C6EC5">
        <w:rPr>
          <w:rFonts w:ascii="Times New Roman" w:hAnsi="Times New Roman" w:cs="Times New Roman"/>
          <w:b w:val="0"/>
          <w:i/>
          <w:color w:val="auto"/>
          <w:sz w:val="24"/>
          <w:szCs w:val="24"/>
        </w:rPr>
        <w:fldChar w:fldCharType="end"/>
      </w:r>
      <w:r w:rsidRPr="003C6EC5">
        <w:rPr>
          <w:rFonts w:ascii="Times New Roman" w:hAnsi="Times New Roman" w:cs="Times New Roman"/>
          <w:b w:val="0"/>
          <w:i/>
          <w:color w:val="auto"/>
          <w:sz w:val="24"/>
          <w:szCs w:val="24"/>
        </w:rPr>
        <w:t xml:space="preserve"> - Combomap System - </w:t>
      </w:r>
      <w:r w:rsidR="00835EE7" w:rsidRPr="003C6EC5">
        <w:rPr>
          <w:rFonts w:ascii="Times New Roman" w:hAnsi="Times New Roman" w:cs="Times New Roman"/>
          <w:b w:val="0"/>
          <w:i/>
          <w:color w:val="auto"/>
          <w:sz w:val="24"/>
          <w:szCs w:val="24"/>
        </w:rPr>
        <w:t>used for physiology output data</w:t>
      </w:r>
      <w:r w:rsidR="00C3048F" w:rsidRPr="003C6EC5">
        <w:rPr>
          <w:rFonts w:ascii="Times New Roman" w:hAnsi="Times New Roman" w:cs="Times New Roman"/>
          <w:b w:val="0"/>
          <w:i/>
          <w:color w:val="auto"/>
          <w:sz w:val="24"/>
          <w:szCs w:val="24"/>
        </w:rPr>
        <w:t>. (Image from Volcano Corporation, San Diego, California, USA).</w:t>
      </w:r>
      <w:bookmarkEnd w:id="129"/>
    </w:p>
    <w:p w14:paraId="3A31970C" w14:textId="77777777" w:rsidR="00835EE7" w:rsidRPr="00EC6C19" w:rsidRDefault="00835EE7" w:rsidP="00835EE7">
      <w:pPr>
        <w:spacing w:line="360" w:lineRule="auto"/>
        <w:jc w:val="center"/>
        <w:rPr>
          <w:rFonts w:ascii="Times New Roman" w:hAnsi="Times New Roman" w:cs="Times New Roman"/>
          <w:b/>
          <w:sz w:val="24"/>
          <w:szCs w:val="24"/>
        </w:rPr>
      </w:pPr>
    </w:p>
    <w:p w14:paraId="1B7C7EE1" w14:textId="77777777" w:rsidR="00835EE7" w:rsidRPr="002822FA" w:rsidRDefault="002822FA" w:rsidP="002822FA">
      <w:pPr>
        <w:pStyle w:val="Heading3"/>
        <w:rPr>
          <w:rFonts w:ascii="Times New Roman" w:hAnsi="Times New Roman" w:cs="Times New Roman"/>
          <w:b w:val="0"/>
          <w:i/>
          <w:color w:val="auto"/>
          <w:sz w:val="24"/>
          <w:szCs w:val="24"/>
        </w:rPr>
      </w:pPr>
      <w:bookmarkStart w:id="130" w:name="_Toc80302237"/>
      <w:r w:rsidRPr="002822FA">
        <w:rPr>
          <w:rFonts w:ascii="Times New Roman" w:hAnsi="Times New Roman" w:cs="Times New Roman"/>
          <w:b w:val="0"/>
          <w:i/>
          <w:color w:val="auto"/>
          <w:sz w:val="24"/>
          <w:szCs w:val="24"/>
        </w:rPr>
        <w:t xml:space="preserve">3.6.4 - </w:t>
      </w:r>
      <w:r w:rsidR="00835EE7" w:rsidRPr="002822FA">
        <w:rPr>
          <w:rFonts w:ascii="Times New Roman" w:hAnsi="Times New Roman" w:cs="Times New Roman"/>
          <w:b w:val="0"/>
          <w:i/>
          <w:color w:val="auto"/>
          <w:sz w:val="24"/>
          <w:szCs w:val="24"/>
        </w:rPr>
        <w:t>Physiology Measurements</w:t>
      </w:r>
      <w:bookmarkEnd w:id="130"/>
      <w:r>
        <w:rPr>
          <w:rFonts w:ascii="Times New Roman" w:hAnsi="Times New Roman" w:cs="Times New Roman"/>
          <w:b w:val="0"/>
          <w:i/>
          <w:color w:val="auto"/>
          <w:sz w:val="24"/>
          <w:szCs w:val="24"/>
        </w:rPr>
        <w:br/>
      </w:r>
    </w:p>
    <w:p w14:paraId="121C3736" w14:textId="77777777" w:rsidR="00835EE7" w:rsidRPr="00EC6C19" w:rsidRDefault="00835EE7" w:rsidP="00835EE7">
      <w:pPr>
        <w:spacing w:line="360" w:lineRule="auto"/>
        <w:rPr>
          <w:rFonts w:ascii="Times New Roman" w:hAnsi="Times New Roman" w:cs="Times New Roman"/>
          <w:i/>
          <w:sz w:val="24"/>
          <w:szCs w:val="24"/>
        </w:rPr>
      </w:pPr>
    </w:p>
    <w:p w14:paraId="5F7ED24E" w14:textId="52B5F082"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70-100 units per kg </w:t>
      </w:r>
      <w:r w:rsidR="00C3048F" w:rsidRPr="00EC6C19">
        <w:rPr>
          <w:rFonts w:ascii="Times New Roman" w:hAnsi="Times New Roman" w:cs="Times New Roman"/>
          <w:sz w:val="24"/>
          <w:szCs w:val="24"/>
        </w:rPr>
        <w:t xml:space="preserve">of unfractionated Heparin </w:t>
      </w:r>
      <w:r w:rsidRPr="00EC6C19">
        <w:rPr>
          <w:rFonts w:ascii="Times New Roman" w:hAnsi="Times New Roman" w:cs="Times New Roman"/>
          <w:sz w:val="24"/>
          <w:szCs w:val="24"/>
        </w:rPr>
        <w:t xml:space="preserve">is given prior to physiology wire insertion. Measurements were taken on a Combomap™ system (Volcano Corp, San Diego, California, United States) connected via a pressure and flow plug, as illustrated above. The Combomap™ </w:t>
      </w:r>
      <w:r w:rsidRPr="00EC6C19">
        <w:rPr>
          <w:rFonts w:ascii="Times New Roman" w:hAnsi="Times New Roman" w:cs="Times New Roman"/>
          <w:sz w:val="24"/>
          <w:szCs w:val="24"/>
        </w:rPr>
        <w:lastRenderedPageBreak/>
        <w:t>system was zeroed at the same time as the laboratory invasive pressure monitoring, at the beginning of the case.</w:t>
      </w:r>
      <w:r w:rsidR="00D852FC" w:rsidRPr="00EC6C19">
        <w:rPr>
          <w:rFonts w:ascii="Times New Roman" w:hAnsi="Times New Roman" w:cs="Times New Roman"/>
          <w:sz w:val="24"/>
          <w:szCs w:val="24"/>
        </w:rPr>
        <w:t xml:space="preserve"> </w:t>
      </w:r>
      <w:r w:rsidR="00C3048F" w:rsidRPr="00EC6C19">
        <w:rPr>
          <w:rFonts w:ascii="Times New Roman" w:hAnsi="Times New Roman" w:cs="Times New Roman"/>
          <w:sz w:val="24"/>
          <w:szCs w:val="24"/>
        </w:rPr>
        <w:t>Pressure is normalised at the coronary ostium.</w:t>
      </w:r>
      <w:r w:rsidRPr="00EC6C19">
        <w:rPr>
          <w:rFonts w:ascii="Times New Roman" w:hAnsi="Times New Roman" w:cs="Times New Roman"/>
          <w:sz w:val="24"/>
          <w:szCs w:val="24"/>
        </w:rPr>
        <w:t xml:space="preserve"> Intra coronary gylcerlytrinitrate at a dose of 250-500</w:t>
      </w:r>
      <w:r w:rsidR="00395D20">
        <w:rPr>
          <w:rFonts w:ascii="Times New Roman" w:hAnsi="Times New Roman" w:cs="Times New Roman"/>
          <w:sz w:val="24"/>
          <w:szCs w:val="24"/>
        </w:rPr>
        <w:t xml:space="preserve"> </w:t>
      </w:r>
      <w:r w:rsidRPr="00EC6C19">
        <w:rPr>
          <w:rFonts w:ascii="Times New Roman" w:hAnsi="Times New Roman" w:cs="Times New Roman"/>
          <w:sz w:val="24"/>
          <w:szCs w:val="24"/>
        </w:rPr>
        <w:t>micrograms is then administered followed by a saline flush of 10ml.</w:t>
      </w:r>
      <w:r w:rsidR="00D9292D" w:rsidRPr="00EC6C19">
        <w:rPr>
          <w:rFonts w:ascii="Times New Roman" w:hAnsi="Times New Roman" w:cs="Times New Roman"/>
          <w:sz w:val="24"/>
          <w:szCs w:val="24"/>
        </w:rPr>
        <w:t xml:space="preserve"> This process has remained </w:t>
      </w:r>
      <w:r w:rsidR="00D9292D" w:rsidRPr="003C6EC5">
        <w:rPr>
          <w:rFonts w:ascii="Times New Roman" w:hAnsi="Times New Roman" w:cs="Times New Roman"/>
          <w:sz w:val="24"/>
          <w:szCs w:val="24"/>
        </w:rPr>
        <w:t xml:space="preserve">largely unchanged from its initial experimental publication in medical literature </w:t>
      </w:r>
      <w:r w:rsidR="00106A32" w:rsidRPr="003C6EC5">
        <w:rPr>
          <w:rFonts w:ascii="Times New Roman" w:hAnsi="Times New Roman" w:cs="Times New Roman"/>
          <w:sz w:val="24"/>
          <w:szCs w:val="24"/>
        </w:rPr>
        <w:fldChar w:fldCharType="begin"/>
      </w:r>
      <w:r w:rsidR="00DA1AD3" w:rsidRPr="003C6EC5">
        <w:rPr>
          <w:rFonts w:ascii="Times New Roman" w:hAnsi="Times New Roman" w:cs="Times New Roman"/>
          <w:sz w:val="24"/>
          <w:szCs w:val="24"/>
        </w:rPr>
        <w:instrText xml:space="preserve"> ADDIN ZOTERO_ITEM CSL_CITATION {"citationID":"oeSkytRi","properties":{"formattedCitation":"(Pijls et al., 1993)","plainCitation":"(Pijls et al., 1993)","noteIndex":0},"citationItems":[{"id":487,"uris":["http://zotero.org/users/local/k67tNDdX/items/5VQGPXTW"],"uri":["http://zotero.org/users/local/k67tNDdX/items/5VQGPXTW"],"itemData":{"id":487,"type":"article-journal","abstract":"BACKGROUND: Severity of coronary artery stenosis has been defined in terms of geometric dimensions, pressure gradient-flow relations, resistance to flow and coronary flow reserve, or maximum flow capacity after maximum arteriolar vasodilation. A direct relation between coronary pressure and flow, however, may only be presumed if the resistances in the coronary circulation are constant (and minimal) as theoretically is the case during maximum arteriolar vasodilation. In that case, pressure measurements theoretically can be used to predict maximum flow and assess functional stenosis severity.\nMETHODS AND RESULTS: A theoretical model was developed for the different components of the coronary circulation, and a set of equations was derived by which the relative maximum flow or fractional flow reserve in both the stenotic epicardial artery and the myocardial vascular bed and the proportional contribution of coronary arterial and collateral flow to myocardial blood flow are calculated from measurements of arterial, distal coronary, and central venous pressures during maximum arteriolar vasodilation. To test this model, five dogs were acutely instrumented with an epicardial, coronary Doppler flow velocity transducer. Distal coronary pressures were measured by an ultrathin pressure-monitoring guide wire (0.015 in.) with minimal influence on transstenotic pressure gradient. Fractional flow reserve was calculated from the pressure measurements and compared with relative maximum coronary artery flow measured directly by the Doppler flowmeter at three different levels of arterial pressure for each of 12 different severities of stenosis at each pressure level. Relative maximum blood flow through the stenotic artery (Qs) measured directly by the Doppler flowmeter showed an excellent correlation with the pressure-derived values of Qs (r = 0.98 +/- 0.01, intercept = 0.02 +/- 0.03, slope = 0.98 +/- 0.04), of the relative maximum myocardial flow (r = 0.98 +/- 0.02, intercept = 0.26 +/- 0.07, slope = 0.73 +/- 0.08), and of the collateral blood flow (r = 0.96 +/- 0.04, intercept = 0.24 +/- 0.07, slope = -0.24 +/- 0.06). Moreover, the theoretically predicted constant relation between mean arterial pressure and coronary wedge pressure, both corrected for venous pressure, was confirmed experimentally (r = 0.97 +/- 0.03, intercept = 9.5 +/- 13.3, slope = 4.4 +/- 1.2).\nCONCLUSIONS: These results provide the experimental basis for determining relative maximum flow or fractional flow reserve of both the epicardial coronary artery and the myocardium, including collateral flow, from pressure measurements during maximum arteriolar vasodilation. With a suitable guide wire for reliably measuring distal coronary pressure clinically, this method may have potential applications during percutaneous transluminal coronary angioplasty for assessing changes in the functional severity of coronary artery stenoses and for estimating collateral flow achievable during occlusion of the coronary artery.","container-title":"Circulation","ISSN":"0009-7322","issue":"4","journalAbbreviation":"Circulation","language":"eng","note":"PMID: 8462157","page":"1354-1367","source":"PubMed","title":"Experimental basis of determining maximum coronary, myocardial, and collateral blood flow by pressure measurements for assessing functional stenosis severity before and after percutaneous transluminal coronary angioplasty","volume":"87","author":[{"family":"Pijls","given":"N. H."},{"family":"Son","given":"J. A.","non-dropping-particle":"van"},{"family":"Kirkeeide","given":"R. L."},{"family":"De Bruyne","given":"B."},{"family":"Gould","given":"K. L."}],"issued":{"date-parts":[["1993",4]]}}}],"schema":"https://github.com/citation-style-language/schema/raw/master/csl-citation.json"} </w:instrText>
      </w:r>
      <w:r w:rsidR="00106A32" w:rsidRPr="003C6EC5">
        <w:rPr>
          <w:rFonts w:ascii="Times New Roman" w:hAnsi="Times New Roman" w:cs="Times New Roman"/>
          <w:sz w:val="24"/>
          <w:szCs w:val="24"/>
        </w:rPr>
        <w:fldChar w:fldCharType="separate"/>
      </w:r>
      <w:r w:rsidR="00D212BB" w:rsidRPr="003C6EC5">
        <w:rPr>
          <w:rFonts w:ascii="Times New Roman" w:hAnsi="Times New Roman" w:cs="Times New Roman"/>
          <w:sz w:val="24"/>
          <w:szCs w:val="24"/>
        </w:rPr>
        <w:t xml:space="preserve">(Pijls </w:t>
      </w:r>
      <w:r w:rsidR="00B22321" w:rsidRPr="003C6EC5">
        <w:rPr>
          <w:rFonts w:ascii="Times New Roman" w:hAnsi="Times New Roman" w:cs="Times New Roman"/>
          <w:sz w:val="24"/>
          <w:szCs w:val="24"/>
        </w:rPr>
        <w:t>et al.,</w:t>
      </w:r>
      <w:r w:rsidR="00D212BB" w:rsidRPr="003C6EC5">
        <w:rPr>
          <w:rFonts w:ascii="Times New Roman" w:hAnsi="Times New Roman" w:cs="Times New Roman"/>
          <w:sz w:val="24"/>
          <w:szCs w:val="24"/>
        </w:rPr>
        <w:t xml:space="preserve"> 1993)</w:t>
      </w:r>
      <w:r w:rsidR="00106A32" w:rsidRPr="003C6EC5">
        <w:rPr>
          <w:rFonts w:ascii="Times New Roman" w:hAnsi="Times New Roman" w:cs="Times New Roman"/>
          <w:sz w:val="24"/>
          <w:szCs w:val="24"/>
        </w:rPr>
        <w:fldChar w:fldCharType="end"/>
      </w:r>
      <w:r w:rsidR="00D9292D" w:rsidRPr="003C6EC5">
        <w:rPr>
          <w:rFonts w:ascii="Times New Roman" w:hAnsi="Times New Roman" w:cs="Times New Roman"/>
          <w:sz w:val="24"/>
          <w:szCs w:val="24"/>
        </w:rPr>
        <w:t>.</w:t>
      </w:r>
      <w:r w:rsidR="00D852FC" w:rsidRPr="003C6EC5">
        <w:rPr>
          <w:rFonts w:ascii="Times New Roman" w:hAnsi="Times New Roman" w:cs="Times New Roman"/>
          <w:sz w:val="24"/>
          <w:szCs w:val="24"/>
        </w:rPr>
        <w:t xml:space="preserve"> </w:t>
      </w:r>
      <w:r w:rsidRPr="003C6EC5">
        <w:rPr>
          <w:rFonts w:ascii="Times New Roman" w:hAnsi="Times New Roman" w:cs="Times New Roman"/>
          <w:sz w:val="24"/>
          <w:szCs w:val="24"/>
        </w:rPr>
        <w:t xml:space="preserve">Figure </w:t>
      </w:r>
      <w:r w:rsidR="003C6EC5" w:rsidRPr="003C6EC5">
        <w:rPr>
          <w:rFonts w:ascii="Times New Roman" w:hAnsi="Times New Roman" w:cs="Times New Roman"/>
          <w:sz w:val="24"/>
          <w:szCs w:val="24"/>
        </w:rPr>
        <w:t>29</w:t>
      </w:r>
      <w:r w:rsidRPr="003C6EC5">
        <w:rPr>
          <w:rFonts w:ascii="Times New Roman" w:hAnsi="Times New Roman" w:cs="Times New Roman"/>
          <w:sz w:val="24"/>
          <w:szCs w:val="24"/>
        </w:rPr>
        <w:t xml:space="preserve"> shows</w:t>
      </w:r>
      <w:r w:rsidRPr="00EC6C19">
        <w:rPr>
          <w:rFonts w:ascii="Times New Roman" w:hAnsi="Times New Roman" w:cs="Times New Roman"/>
          <w:sz w:val="24"/>
          <w:szCs w:val="24"/>
        </w:rPr>
        <w:t xml:space="preserve"> data collected from a patient on the Combomap™ system.</w:t>
      </w:r>
    </w:p>
    <w:p w14:paraId="1F56E350" w14:textId="77777777" w:rsidR="00494EC5" w:rsidRPr="00EC6C19" w:rsidRDefault="00835EE7" w:rsidP="00835EE7">
      <w:pPr>
        <w:spacing w:line="360" w:lineRule="auto"/>
        <w:rPr>
          <w:rFonts w:ascii="Times New Roman" w:hAnsi="Times New Roman" w:cs="Times New Roman"/>
          <w:i/>
          <w:sz w:val="24"/>
          <w:szCs w:val="24"/>
        </w:rPr>
      </w:pPr>
      <w:r w:rsidRPr="00EC6C19">
        <w:rPr>
          <w:rFonts w:ascii="Times New Roman" w:hAnsi="Times New Roman" w:cs="Times New Roman"/>
          <w:noProof/>
          <w:sz w:val="24"/>
          <w:szCs w:val="24"/>
          <w:lang w:eastAsia="en-GB"/>
        </w:rPr>
        <w:drawing>
          <wp:inline distT="0" distB="0" distL="0" distR="0" wp14:anchorId="4B03477F" wp14:editId="57DAA110">
            <wp:extent cx="5943600" cy="1852743"/>
            <wp:effectExtent l="19050" t="0" r="0" b="0"/>
            <wp:docPr id="23" name="Picture 6" descr="C:\Users\Administrator\Desktop\no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norm.png"/>
                    <pic:cNvPicPr>
                      <a:picLocks noChangeAspect="1" noChangeArrowheads="1"/>
                    </pic:cNvPicPr>
                  </pic:nvPicPr>
                  <pic:blipFill>
                    <a:blip r:embed="rId47"/>
                    <a:srcRect/>
                    <a:stretch>
                      <a:fillRect/>
                    </a:stretch>
                  </pic:blipFill>
                  <pic:spPr bwMode="auto">
                    <a:xfrm>
                      <a:off x="0" y="0"/>
                      <a:ext cx="5943600" cy="1852743"/>
                    </a:xfrm>
                    <a:prstGeom prst="rect">
                      <a:avLst/>
                    </a:prstGeom>
                    <a:noFill/>
                    <a:ln w="9525">
                      <a:noFill/>
                      <a:miter lim="800000"/>
                      <a:headEnd/>
                      <a:tailEnd/>
                    </a:ln>
                  </pic:spPr>
                </pic:pic>
              </a:graphicData>
            </a:graphic>
          </wp:inline>
        </w:drawing>
      </w:r>
    </w:p>
    <w:p w14:paraId="635B39E5" w14:textId="77777777" w:rsidR="00835EE7" w:rsidRPr="003C6EC5" w:rsidRDefault="003C6EC5" w:rsidP="003C6EC5">
      <w:pPr>
        <w:pStyle w:val="Caption"/>
        <w:spacing w:line="360" w:lineRule="auto"/>
        <w:rPr>
          <w:rFonts w:ascii="Times New Roman" w:hAnsi="Times New Roman" w:cs="Times New Roman"/>
          <w:b w:val="0"/>
          <w:i/>
          <w:color w:val="auto"/>
          <w:sz w:val="24"/>
          <w:szCs w:val="24"/>
        </w:rPr>
      </w:pPr>
      <w:bookmarkStart w:id="131" w:name="_Toc44684918"/>
      <w:r w:rsidRPr="003C6EC5">
        <w:rPr>
          <w:rFonts w:ascii="Times New Roman" w:hAnsi="Times New Roman" w:cs="Times New Roman"/>
          <w:b w:val="0"/>
          <w:i/>
          <w:color w:val="auto"/>
          <w:sz w:val="24"/>
          <w:szCs w:val="24"/>
        </w:rPr>
        <w:t xml:space="preserve">Figure </w:t>
      </w:r>
      <w:r w:rsidR="00106A32" w:rsidRPr="003C6EC5">
        <w:rPr>
          <w:rFonts w:ascii="Times New Roman" w:hAnsi="Times New Roman" w:cs="Times New Roman"/>
          <w:b w:val="0"/>
          <w:i/>
          <w:color w:val="auto"/>
          <w:sz w:val="24"/>
          <w:szCs w:val="24"/>
        </w:rPr>
        <w:fldChar w:fldCharType="begin"/>
      </w:r>
      <w:r w:rsidRPr="003C6EC5">
        <w:rPr>
          <w:rFonts w:ascii="Times New Roman" w:hAnsi="Times New Roman" w:cs="Times New Roman"/>
          <w:b w:val="0"/>
          <w:i/>
          <w:color w:val="auto"/>
          <w:sz w:val="24"/>
          <w:szCs w:val="24"/>
        </w:rPr>
        <w:instrText xml:space="preserve"> SEQ Figure \* ARABIC </w:instrText>
      </w:r>
      <w:r w:rsidR="00106A32" w:rsidRPr="003C6EC5">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29</w:t>
      </w:r>
      <w:r w:rsidR="00106A32" w:rsidRPr="003C6EC5">
        <w:rPr>
          <w:rFonts w:ascii="Times New Roman" w:hAnsi="Times New Roman" w:cs="Times New Roman"/>
          <w:b w:val="0"/>
          <w:i/>
          <w:color w:val="auto"/>
          <w:sz w:val="24"/>
          <w:szCs w:val="24"/>
        </w:rPr>
        <w:fldChar w:fldCharType="end"/>
      </w:r>
      <w:r w:rsidRPr="003C6EC5">
        <w:rPr>
          <w:rFonts w:ascii="Times New Roman" w:hAnsi="Times New Roman" w:cs="Times New Roman"/>
          <w:b w:val="0"/>
          <w:i/>
          <w:color w:val="auto"/>
          <w:sz w:val="24"/>
          <w:szCs w:val="24"/>
        </w:rPr>
        <w:t xml:space="preserve"> - Invasive Pressure Normalisation - </w:t>
      </w:r>
      <w:r w:rsidR="00835EE7" w:rsidRPr="003C6EC5">
        <w:rPr>
          <w:rFonts w:ascii="Times New Roman" w:hAnsi="Times New Roman" w:cs="Times New Roman"/>
          <w:b w:val="0"/>
          <w:i/>
          <w:color w:val="auto"/>
          <w:sz w:val="24"/>
          <w:szCs w:val="24"/>
        </w:rPr>
        <w:t>in a GRAVITY patient. Top strip showing the patient's ECG, with some minor interference. Bottom strip showing invasive blood pressure (red line) normalised with the Combowire™ pressure readings (yellow line).</w:t>
      </w:r>
      <w:bookmarkEnd w:id="131"/>
    </w:p>
    <w:p w14:paraId="3DC8EB1F" w14:textId="77777777" w:rsidR="00835EE7" w:rsidRPr="00EC6C19" w:rsidRDefault="00835EE7" w:rsidP="00835EE7">
      <w:pPr>
        <w:spacing w:line="360" w:lineRule="auto"/>
        <w:rPr>
          <w:rFonts w:ascii="Times New Roman" w:hAnsi="Times New Roman" w:cs="Times New Roman"/>
          <w:sz w:val="24"/>
          <w:szCs w:val="24"/>
        </w:rPr>
      </w:pPr>
    </w:p>
    <w:p w14:paraId="5FF0D170" w14:textId="2D4BE63B" w:rsidR="001C14A0"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Once adequately normalised, the wire was passed beyond the stenosis, into the distal vessel. Initially the wire was </w:t>
      </w:r>
      <w:r w:rsidR="00545BD7" w:rsidRPr="00EC6C19">
        <w:rPr>
          <w:rFonts w:ascii="Times New Roman" w:hAnsi="Times New Roman" w:cs="Times New Roman"/>
          <w:sz w:val="24"/>
          <w:szCs w:val="24"/>
        </w:rPr>
        <w:t>placed as distally as possible.</w:t>
      </w:r>
      <w:r w:rsidRPr="00EC6C19">
        <w:rPr>
          <w:rFonts w:ascii="Times New Roman" w:hAnsi="Times New Roman" w:cs="Times New Roman"/>
          <w:sz w:val="24"/>
          <w:szCs w:val="24"/>
        </w:rPr>
        <w:t xml:space="preserve"> Once in position, slight adjustments in torque of the wire were made to give the clearest velocity doppler trace. Resti</w:t>
      </w:r>
      <w:r w:rsidR="00C3048F" w:rsidRPr="00EC6C19">
        <w:rPr>
          <w:rFonts w:ascii="Times New Roman" w:hAnsi="Times New Roman" w:cs="Times New Roman"/>
          <w:sz w:val="24"/>
          <w:szCs w:val="24"/>
        </w:rPr>
        <w:t>ng Pd/Pa and resting flow were</w:t>
      </w:r>
      <w:r w:rsidRPr="00EC6C19">
        <w:rPr>
          <w:rFonts w:ascii="Times New Roman" w:hAnsi="Times New Roman" w:cs="Times New Roman"/>
          <w:sz w:val="24"/>
          <w:szCs w:val="24"/>
        </w:rPr>
        <w:t xml:space="preserve"> measured. In some </w:t>
      </w:r>
      <w:r w:rsidR="00395D20" w:rsidRPr="00EC6C19">
        <w:rPr>
          <w:rFonts w:ascii="Times New Roman" w:hAnsi="Times New Roman" w:cs="Times New Roman"/>
          <w:sz w:val="24"/>
          <w:szCs w:val="24"/>
        </w:rPr>
        <w:t>cases,</w:t>
      </w:r>
      <w:r w:rsidRPr="00EC6C19">
        <w:rPr>
          <w:rFonts w:ascii="Times New Roman" w:hAnsi="Times New Roman" w:cs="Times New Roman"/>
          <w:sz w:val="24"/>
          <w:szCs w:val="24"/>
        </w:rPr>
        <w:t xml:space="preserve"> it was necessary to move the wire slightly back or forward to</w:t>
      </w:r>
      <w:r w:rsidR="00C3048F" w:rsidRPr="00EC6C19">
        <w:rPr>
          <w:rFonts w:ascii="Times New Roman" w:hAnsi="Times New Roman" w:cs="Times New Roman"/>
          <w:sz w:val="24"/>
          <w:szCs w:val="24"/>
        </w:rPr>
        <w:t xml:space="preserve"> achieve a clear velocity trace</w:t>
      </w:r>
      <w:r w:rsidRPr="00EC6C19">
        <w:rPr>
          <w:rFonts w:ascii="Times New Roman" w:hAnsi="Times New Roman" w:cs="Times New Roman"/>
          <w:sz w:val="24"/>
          <w:szCs w:val="24"/>
        </w:rPr>
        <w:t>. The position was noted</w:t>
      </w:r>
      <w:r w:rsidR="00C3048F" w:rsidRPr="00EC6C19">
        <w:rPr>
          <w:rFonts w:ascii="Times New Roman" w:hAnsi="Times New Roman" w:cs="Times New Roman"/>
          <w:sz w:val="24"/>
          <w:szCs w:val="24"/>
        </w:rPr>
        <w:t xml:space="preserve"> and fluoroscopically stored</w:t>
      </w:r>
      <w:r w:rsidRPr="00EC6C19">
        <w:rPr>
          <w:rFonts w:ascii="Times New Roman" w:hAnsi="Times New Roman" w:cs="Times New Roman"/>
          <w:sz w:val="24"/>
          <w:szCs w:val="24"/>
        </w:rPr>
        <w:t xml:space="preserve"> for the upcoming supine physiology measurements</w:t>
      </w:r>
      <w:r w:rsidR="00C3048F" w:rsidRPr="00EC6C19">
        <w:rPr>
          <w:rFonts w:ascii="Times New Roman" w:hAnsi="Times New Roman" w:cs="Times New Roman"/>
          <w:sz w:val="24"/>
          <w:szCs w:val="24"/>
        </w:rPr>
        <w:t>.</w:t>
      </w:r>
      <w:r w:rsidR="002D12F9" w:rsidRPr="00EC6C19">
        <w:rPr>
          <w:rFonts w:ascii="Times New Roman" w:hAnsi="Times New Roman" w:cs="Times New Roman"/>
          <w:sz w:val="24"/>
          <w:szCs w:val="24"/>
        </w:rPr>
        <w:t xml:space="preserve"> </w:t>
      </w:r>
    </w:p>
    <w:p w14:paraId="349F92F9" w14:textId="33939477"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Hyperaemic measurements</w:t>
      </w:r>
      <w:r w:rsidR="00B31F07" w:rsidRPr="00EC6C19">
        <w:rPr>
          <w:rFonts w:ascii="Times New Roman" w:hAnsi="Times New Roman" w:cs="Times New Roman"/>
          <w:sz w:val="24"/>
          <w:szCs w:val="24"/>
        </w:rPr>
        <w:t xml:space="preserve"> were taken</w:t>
      </w:r>
      <w:r w:rsidRPr="00EC6C19">
        <w:rPr>
          <w:rFonts w:ascii="Times New Roman" w:hAnsi="Times New Roman" w:cs="Times New Roman"/>
          <w:sz w:val="24"/>
          <w:szCs w:val="24"/>
        </w:rPr>
        <w:t xml:space="preserve"> with the </w:t>
      </w:r>
      <w:r w:rsidR="00B31F07" w:rsidRPr="00EC6C19">
        <w:rPr>
          <w:rFonts w:ascii="Times New Roman" w:hAnsi="Times New Roman" w:cs="Times New Roman"/>
          <w:sz w:val="24"/>
          <w:szCs w:val="24"/>
        </w:rPr>
        <w:t xml:space="preserve">intravenous </w:t>
      </w:r>
      <w:r w:rsidRPr="00EC6C19">
        <w:rPr>
          <w:rFonts w:ascii="Times New Roman" w:hAnsi="Times New Roman" w:cs="Times New Roman"/>
          <w:sz w:val="24"/>
          <w:szCs w:val="24"/>
        </w:rPr>
        <w:t>infusion of 140/mcg/kg of adenosine. During hyperaemia, FFR and hyperaemic velocity measurements were obtained. Finally, a 'drift check' was conducted to ensure there was no pressure deviation from the original normal</w:t>
      </w:r>
      <w:r w:rsidR="00C3048F" w:rsidRPr="00EC6C19">
        <w:rPr>
          <w:rFonts w:ascii="Times New Roman" w:hAnsi="Times New Roman" w:cs="Times New Roman"/>
          <w:sz w:val="24"/>
          <w:szCs w:val="24"/>
        </w:rPr>
        <w:t>isation,</w:t>
      </w:r>
      <w:r w:rsidRPr="00EC6C19">
        <w:rPr>
          <w:rFonts w:ascii="Times New Roman" w:hAnsi="Times New Roman" w:cs="Times New Roman"/>
          <w:sz w:val="24"/>
          <w:szCs w:val="24"/>
        </w:rPr>
        <w:t xml:space="preserve"> ensuring the Pd/Pa was 1.0 (</w:t>
      </w:r>
      <w:r w:rsidR="0083580A">
        <w:rPr>
          <w:rFonts w:ascii="Times New Roman" w:hAnsi="Times New Roman" w:cs="Times New Roman"/>
          <w:sz w:val="24"/>
          <w:szCs w:val="24"/>
        </w:rPr>
        <w:t>±</w:t>
      </w:r>
      <w:r w:rsidRPr="00EC6C19">
        <w:rPr>
          <w:rFonts w:ascii="Times New Roman" w:hAnsi="Times New Roman" w:cs="Times New Roman"/>
          <w:sz w:val="24"/>
          <w:szCs w:val="24"/>
        </w:rPr>
        <w:t>0.02</w:t>
      </w:r>
      <w:r w:rsidRPr="007435AF">
        <w:rPr>
          <w:rFonts w:ascii="Times New Roman" w:hAnsi="Times New Roman" w:cs="Times New Roman"/>
          <w:sz w:val="24"/>
          <w:szCs w:val="24"/>
        </w:rPr>
        <w:t xml:space="preserve">).  Figure </w:t>
      </w:r>
      <w:r w:rsidR="007435AF" w:rsidRPr="007435AF">
        <w:rPr>
          <w:rFonts w:ascii="Times New Roman" w:hAnsi="Times New Roman" w:cs="Times New Roman"/>
          <w:sz w:val="24"/>
          <w:szCs w:val="24"/>
        </w:rPr>
        <w:t>30</w:t>
      </w:r>
      <w:r w:rsidRPr="00EC6C19">
        <w:rPr>
          <w:rFonts w:ascii="Times New Roman" w:hAnsi="Times New Roman" w:cs="Times New Roman"/>
          <w:sz w:val="24"/>
          <w:szCs w:val="24"/>
        </w:rPr>
        <w:t xml:space="preserve"> shows a hyperaemic trace </w:t>
      </w:r>
      <w:r w:rsidRPr="00EC6C19">
        <w:rPr>
          <w:rFonts w:ascii="Times New Roman" w:hAnsi="Times New Roman" w:cs="Times New Roman"/>
          <w:sz w:val="24"/>
          <w:szCs w:val="24"/>
        </w:rPr>
        <w:lastRenderedPageBreak/>
        <w:t xml:space="preserve">measured on the Combomap™ system. This is the same </w:t>
      </w:r>
      <w:r w:rsidRPr="007435AF">
        <w:rPr>
          <w:rFonts w:ascii="Times New Roman" w:hAnsi="Times New Roman" w:cs="Times New Roman"/>
          <w:sz w:val="24"/>
          <w:szCs w:val="24"/>
        </w:rPr>
        <w:t xml:space="preserve">patient as Figure </w:t>
      </w:r>
      <w:r w:rsidR="007435AF" w:rsidRPr="007435AF">
        <w:rPr>
          <w:rFonts w:ascii="Times New Roman" w:hAnsi="Times New Roman" w:cs="Times New Roman"/>
          <w:sz w:val="24"/>
          <w:szCs w:val="24"/>
        </w:rPr>
        <w:t>29</w:t>
      </w:r>
      <w:r w:rsidRPr="007435AF">
        <w:rPr>
          <w:rFonts w:ascii="Times New Roman" w:hAnsi="Times New Roman" w:cs="Times New Roman"/>
          <w:sz w:val="24"/>
          <w:szCs w:val="24"/>
        </w:rPr>
        <w:t xml:space="preserve"> previously</w:t>
      </w:r>
      <w:r w:rsidRPr="00EC6C19">
        <w:rPr>
          <w:rFonts w:ascii="Times New Roman" w:hAnsi="Times New Roman" w:cs="Times New Roman"/>
          <w:sz w:val="24"/>
          <w:szCs w:val="24"/>
        </w:rPr>
        <w:t xml:space="preserve">. This concludes the prone aspect of the study protocol. The </w:t>
      </w:r>
      <w:r w:rsidR="00C3048F" w:rsidRPr="00EC6C19">
        <w:rPr>
          <w:rFonts w:ascii="Times New Roman" w:hAnsi="Times New Roman" w:cs="Times New Roman"/>
          <w:sz w:val="24"/>
          <w:szCs w:val="24"/>
        </w:rPr>
        <w:t>patient is now turned supine</w:t>
      </w:r>
      <w:r w:rsidR="00494EC5" w:rsidRPr="00EC6C19">
        <w:rPr>
          <w:rFonts w:ascii="Times New Roman" w:hAnsi="Times New Roman" w:cs="Times New Roman"/>
          <w:sz w:val="24"/>
          <w:szCs w:val="24"/>
        </w:rPr>
        <w:t>.</w:t>
      </w:r>
    </w:p>
    <w:p w14:paraId="68D639C3" w14:textId="77777777" w:rsidR="00494EC5" w:rsidRPr="00EC6C19" w:rsidRDefault="00835EE7" w:rsidP="00835EE7">
      <w:pPr>
        <w:spacing w:line="360" w:lineRule="auto"/>
        <w:rPr>
          <w:rFonts w:ascii="Times New Roman" w:hAnsi="Times New Roman" w:cs="Times New Roman"/>
          <w:i/>
          <w:sz w:val="24"/>
          <w:szCs w:val="24"/>
        </w:rPr>
      </w:pPr>
      <w:r w:rsidRPr="00EC6C19">
        <w:rPr>
          <w:rFonts w:ascii="Times New Roman" w:hAnsi="Times New Roman" w:cs="Times New Roman"/>
          <w:noProof/>
          <w:sz w:val="24"/>
          <w:szCs w:val="24"/>
          <w:lang w:eastAsia="en-GB"/>
        </w:rPr>
        <w:drawing>
          <wp:inline distT="0" distB="0" distL="0" distR="0" wp14:anchorId="7961B90D" wp14:editId="35052A8C">
            <wp:extent cx="5934075" cy="2695575"/>
            <wp:effectExtent l="19050" t="0" r="9525"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srcRect/>
                    <a:stretch>
                      <a:fillRect/>
                    </a:stretch>
                  </pic:blipFill>
                  <pic:spPr bwMode="auto">
                    <a:xfrm>
                      <a:off x="0" y="0"/>
                      <a:ext cx="5934075" cy="2695575"/>
                    </a:xfrm>
                    <a:prstGeom prst="rect">
                      <a:avLst/>
                    </a:prstGeom>
                    <a:noFill/>
                    <a:ln w="9525">
                      <a:noFill/>
                      <a:miter lim="800000"/>
                      <a:headEnd/>
                      <a:tailEnd/>
                    </a:ln>
                  </pic:spPr>
                </pic:pic>
              </a:graphicData>
            </a:graphic>
          </wp:inline>
        </w:drawing>
      </w:r>
    </w:p>
    <w:p w14:paraId="7D72EFD6" w14:textId="77777777" w:rsidR="00835EE7" w:rsidRPr="007435AF" w:rsidRDefault="007435AF" w:rsidP="007435AF">
      <w:pPr>
        <w:pStyle w:val="Caption"/>
        <w:spacing w:line="360" w:lineRule="auto"/>
        <w:rPr>
          <w:rFonts w:ascii="Times New Roman" w:hAnsi="Times New Roman" w:cs="Times New Roman"/>
          <w:b w:val="0"/>
          <w:i/>
          <w:color w:val="auto"/>
          <w:sz w:val="24"/>
          <w:szCs w:val="24"/>
        </w:rPr>
      </w:pPr>
      <w:bookmarkStart w:id="132" w:name="_Toc44684919"/>
      <w:r w:rsidRPr="007435AF">
        <w:rPr>
          <w:rFonts w:ascii="Times New Roman" w:hAnsi="Times New Roman" w:cs="Times New Roman"/>
          <w:b w:val="0"/>
          <w:i/>
          <w:color w:val="auto"/>
          <w:sz w:val="24"/>
          <w:szCs w:val="24"/>
        </w:rPr>
        <w:t xml:space="preserve">Figure </w:t>
      </w:r>
      <w:r w:rsidR="00106A32" w:rsidRPr="007435AF">
        <w:rPr>
          <w:rFonts w:ascii="Times New Roman" w:hAnsi="Times New Roman" w:cs="Times New Roman"/>
          <w:b w:val="0"/>
          <w:i/>
          <w:color w:val="auto"/>
          <w:sz w:val="24"/>
          <w:szCs w:val="24"/>
        </w:rPr>
        <w:fldChar w:fldCharType="begin"/>
      </w:r>
      <w:r w:rsidRPr="007435AF">
        <w:rPr>
          <w:rFonts w:ascii="Times New Roman" w:hAnsi="Times New Roman" w:cs="Times New Roman"/>
          <w:b w:val="0"/>
          <w:i/>
          <w:color w:val="auto"/>
          <w:sz w:val="24"/>
          <w:szCs w:val="24"/>
        </w:rPr>
        <w:instrText xml:space="preserve"> SEQ Figure \* ARABIC </w:instrText>
      </w:r>
      <w:r w:rsidR="00106A32" w:rsidRPr="007435AF">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30</w:t>
      </w:r>
      <w:r w:rsidR="00106A32" w:rsidRPr="007435AF">
        <w:rPr>
          <w:rFonts w:ascii="Times New Roman" w:hAnsi="Times New Roman" w:cs="Times New Roman"/>
          <w:b w:val="0"/>
          <w:i/>
          <w:color w:val="auto"/>
          <w:sz w:val="24"/>
          <w:szCs w:val="24"/>
        </w:rPr>
        <w:fldChar w:fldCharType="end"/>
      </w:r>
      <w:r w:rsidRPr="007435AF">
        <w:rPr>
          <w:rFonts w:ascii="Times New Roman" w:hAnsi="Times New Roman" w:cs="Times New Roman"/>
          <w:b w:val="0"/>
          <w:i/>
          <w:color w:val="auto"/>
          <w:sz w:val="24"/>
          <w:szCs w:val="24"/>
        </w:rPr>
        <w:t xml:space="preserve"> - Hyperaemic Pressure and Flow Measurements - </w:t>
      </w:r>
      <w:r w:rsidR="00835EE7" w:rsidRPr="007435AF">
        <w:rPr>
          <w:rFonts w:ascii="Times New Roman" w:hAnsi="Times New Roman" w:cs="Times New Roman"/>
          <w:b w:val="0"/>
          <w:i/>
          <w:color w:val="auto"/>
          <w:sz w:val="24"/>
          <w:szCs w:val="24"/>
        </w:rPr>
        <w:t>from the Combomap™ system. The top strip demonstrates the ECG, middle strip shows aortic pressure</w:t>
      </w:r>
      <w:r w:rsidR="00FF0110" w:rsidRPr="007435AF">
        <w:rPr>
          <w:rFonts w:ascii="Times New Roman" w:hAnsi="Times New Roman" w:cs="Times New Roman"/>
          <w:b w:val="0"/>
          <w:i/>
          <w:color w:val="auto"/>
          <w:sz w:val="24"/>
          <w:szCs w:val="24"/>
        </w:rPr>
        <w:t xml:space="preserve"> (blue)</w:t>
      </w:r>
      <w:r w:rsidR="00835EE7" w:rsidRPr="007435AF">
        <w:rPr>
          <w:rFonts w:ascii="Times New Roman" w:hAnsi="Times New Roman" w:cs="Times New Roman"/>
          <w:b w:val="0"/>
          <w:i/>
          <w:color w:val="auto"/>
          <w:sz w:val="24"/>
          <w:szCs w:val="24"/>
        </w:rPr>
        <w:t xml:space="preserve"> versus wire pressure</w:t>
      </w:r>
      <w:r w:rsidR="00FF0110" w:rsidRPr="007435AF">
        <w:rPr>
          <w:rFonts w:ascii="Times New Roman" w:hAnsi="Times New Roman" w:cs="Times New Roman"/>
          <w:b w:val="0"/>
          <w:i/>
          <w:color w:val="auto"/>
          <w:sz w:val="24"/>
          <w:szCs w:val="24"/>
        </w:rPr>
        <w:t xml:space="preserve"> (yellow)</w:t>
      </w:r>
      <w:r w:rsidR="00835EE7" w:rsidRPr="007435AF">
        <w:rPr>
          <w:rFonts w:ascii="Times New Roman" w:hAnsi="Times New Roman" w:cs="Times New Roman"/>
          <w:b w:val="0"/>
          <w:i/>
          <w:color w:val="auto"/>
          <w:sz w:val="24"/>
          <w:szCs w:val="24"/>
        </w:rPr>
        <w:t xml:space="preserve"> in the distal vessel. The bottom strip is an outline of the hyperaemic flow in the distal vessel measured by the wire. The FFR in this vessel was 0.85 in the prone position.</w:t>
      </w:r>
      <w:bookmarkEnd w:id="132"/>
    </w:p>
    <w:p w14:paraId="3D67EA91" w14:textId="77777777" w:rsidR="00835EE7" w:rsidRPr="00EC6C19" w:rsidRDefault="00835EE7" w:rsidP="00835EE7">
      <w:pPr>
        <w:spacing w:line="360" w:lineRule="auto"/>
        <w:rPr>
          <w:rFonts w:ascii="Times New Roman" w:hAnsi="Times New Roman" w:cs="Times New Roman"/>
          <w:i/>
          <w:sz w:val="24"/>
          <w:szCs w:val="24"/>
        </w:rPr>
      </w:pPr>
    </w:p>
    <w:p w14:paraId="569E8009" w14:textId="77777777" w:rsidR="00835EE7" w:rsidRPr="002822FA" w:rsidRDefault="002822FA" w:rsidP="002822FA">
      <w:pPr>
        <w:pStyle w:val="Heading3"/>
        <w:rPr>
          <w:rFonts w:ascii="Times New Roman" w:hAnsi="Times New Roman" w:cs="Times New Roman"/>
          <w:b w:val="0"/>
          <w:i/>
          <w:color w:val="auto"/>
          <w:sz w:val="24"/>
          <w:szCs w:val="24"/>
        </w:rPr>
      </w:pPr>
      <w:bookmarkStart w:id="133" w:name="_Toc80302238"/>
      <w:r w:rsidRPr="002822FA">
        <w:rPr>
          <w:rFonts w:ascii="Times New Roman" w:hAnsi="Times New Roman" w:cs="Times New Roman"/>
          <w:b w:val="0"/>
          <w:i/>
          <w:color w:val="auto"/>
          <w:sz w:val="24"/>
          <w:szCs w:val="24"/>
        </w:rPr>
        <w:t xml:space="preserve">3.6.5 - </w:t>
      </w:r>
      <w:r w:rsidR="00835EE7" w:rsidRPr="002822FA">
        <w:rPr>
          <w:rFonts w:ascii="Times New Roman" w:hAnsi="Times New Roman" w:cs="Times New Roman"/>
          <w:b w:val="0"/>
          <w:i/>
          <w:color w:val="auto"/>
          <w:sz w:val="24"/>
          <w:szCs w:val="24"/>
        </w:rPr>
        <w:t>Supine Component</w:t>
      </w:r>
      <w:bookmarkEnd w:id="133"/>
      <w:r>
        <w:rPr>
          <w:rFonts w:ascii="Times New Roman" w:hAnsi="Times New Roman" w:cs="Times New Roman"/>
          <w:b w:val="0"/>
          <w:i/>
          <w:color w:val="auto"/>
          <w:sz w:val="24"/>
          <w:szCs w:val="24"/>
        </w:rPr>
        <w:br/>
      </w:r>
    </w:p>
    <w:p w14:paraId="19A2BE6D" w14:textId="77777777" w:rsidR="00835EE7" w:rsidRPr="00EC6C19" w:rsidRDefault="00835EE7" w:rsidP="00835EE7">
      <w:pPr>
        <w:spacing w:line="360" w:lineRule="auto"/>
        <w:rPr>
          <w:rFonts w:ascii="Times New Roman" w:hAnsi="Times New Roman" w:cs="Times New Roman"/>
          <w:i/>
          <w:sz w:val="24"/>
          <w:szCs w:val="24"/>
        </w:rPr>
      </w:pPr>
    </w:p>
    <w:p w14:paraId="13701752" w14:textId="3FB3711F" w:rsidR="00835EE7" w:rsidRPr="00EC6C19" w:rsidRDefault="001C14A0"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Supine protocol is identical to prone</w:t>
      </w:r>
      <w:r w:rsidR="00835EE7" w:rsidRPr="00EC6C19">
        <w:rPr>
          <w:rFonts w:ascii="Times New Roman" w:hAnsi="Times New Roman" w:cs="Times New Roman"/>
          <w:sz w:val="24"/>
          <w:szCs w:val="24"/>
        </w:rPr>
        <w:t xml:space="preserve">. The wire was placed </w:t>
      </w:r>
      <w:r w:rsidRPr="00EC6C19">
        <w:rPr>
          <w:rFonts w:ascii="Times New Roman" w:hAnsi="Times New Roman" w:cs="Times New Roman"/>
          <w:sz w:val="24"/>
          <w:szCs w:val="24"/>
        </w:rPr>
        <w:t>as identical a position as</w:t>
      </w:r>
      <w:r w:rsidR="00835EE7" w:rsidRPr="00EC6C19">
        <w:rPr>
          <w:rFonts w:ascii="Times New Roman" w:hAnsi="Times New Roman" w:cs="Times New Roman"/>
          <w:sz w:val="24"/>
          <w:szCs w:val="24"/>
        </w:rPr>
        <w:t xml:space="preserve"> it was during prone angiography. Side branches and anatomical landmarks </w:t>
      </w:r>
      <w:r w:rsidR="00C3048F" w:rsidRPr="00EC6C19">
        <w:rPr>
          <w:rFonts w:ascii="Times New Roman" w:hAnsi="Times New Roman" w:cs="Times New Roman"/>
          <w:sz w:val="24"/>
          <w:szCs w:val="24"/>
        </w:rPr>
        <w:t>were</w:t>
      </w:r>
      <w:r w:rsidR="00835EE7" w:rsidRPr="00EC6C19">
        <w:rPr>
          <w:rFonts w:ascii="Times New Roman" w:hAnsi="Times New Roman" w:cs="Times New Roman"/>
          <w:sz w:val="24"/>
          <w:szCs w:val="24"/>
        </w:rPr>
        <w:t xml:space="preserve"> used as a guide. </w:t>
      </w:r>
    </w:p>
    <w:p w14:paraId="4E3B4F59" w14:textId="77777777" w:rsidR="00835EE7"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operator is given </w:t>
      </w:r>
      <w:r w:rsidR="00C3048F" w:rsidRPr="00EC6C19">
        <w:rPr>
          <w:rFonts w:ascii="Times New Roman" w:hAnsi="Times New Roman" w:cs="Times New Roman"/>
          <w:sz w:val="24"/>
          <w:szCs w:val="24"/>
        </w:rPr>
        <w:t>supine FFR measurements as a diagnostic aid.</w:t>
      </w:r>
      <w:r w:rsidRPr="00EC6C19">
        <w:rPr>
          <w:rFonts w:ascii="Times New Roman" w:hAnsi="Times New Roman" w:cs="Times New Roman"/>
          <w:sz w:val="24"/>
          <w:szCs w:val="24"/>
        </w:rPr>
        <w:t xml:space="preserve"> No input or guidance was given by the study team at any point</w:t>
      </w:r>
      <w:r w:rsidR="001C14A0" w:rsidRPr="00EC6C19">
        <w:rPr>
          <w:rFonts w:ascii="Times New Roman" w:hAnsi="Times New Roman" w:cs="Times New Roman"/>
          <w:sz w:val="24"/>
          <w:szCs w:val="24"/>
        </w:rPr>
        <w:t xml:space="preserve"> with regards to stenting</w:t>
      </w:r>
      <w:r w:rsidRPr="00EC6C19">
        <w:rPr>
          <w:rFonts w:ascii="Times New Roman" w:hAnsi="Times New Roman" w:cs="Times New Roman"/>
          <w:sz w:val="24"/>
          <w:szCs w:val="24"/>
        </w:rPr>
        <w:t xml:space="preserve">. </w:t>
      </w:r>
    </w:p>
    <w:p w14:paraId="545FE9C4" w14:textId="77777777" w:rsidR="00CE002A" w:rsidRPr="00EC6C19" w:rsidRDefault="00CE002A" w:rsidP="00835EE7">
      <w:pPr>
        <w:spacing w:line="360" w:lineRule="auto"/>
        <w:rPr>
          <w:rFonts w:ascii="Times New Roman" w:hAnsi="Times New Roman" w:cs="Times New Roman"/>
          <w:sz w:val="24"/>
          <w:szCs w:val="24"/>
        </w:rPr>
      </w:pPr>
    </w:p>
    <w:p w14:paraId="7E97D546" w14:textId="77777777" w:rsidR="00835EE7" w:rsidRPr="00EC6C19" w:rsidRDefault="00835EE7" w:rsidP="00835EE7">
      <w:pPr>
        <w:spacing w:line="360" w:lineRule="auto"/>
        <w:rPr>
          <w:rFonts w:ascii="Times New Roman" w:hAnsi="Times New Roman" w:cs="Times New Roman"/>
          <w:sz w:val="24"/>
          <w:szCs w:val="24"/>
        </w:rPr>
      </w:pPr>
    </w:p>
    <w:p w14:paraId="21DDCCCD" w14:textId="77777777" w:rsidR="00835EE7" w:rsidRPr="002822FA" w:rsidRDefault="002822FA" w:rsidP="002822FA">
      <w:pPr>
        <w:pStyle w:val="Heading3"/>
        <w:rPr>
          <w:rFonts w:ascii="Times New Roman" w:hAnsi="Times New Roman" w:cs="Times New Roman"/>
          <w:b w:val="0"/>
          <w:i/>
          <w:color w:val="auto"/>
          <w:sz w:val="24"/>
          <w:szCs w:val="24"/>
        </w:rPr>
      </w:pPr>
      <w:bookmarkStart w:id="134" w:name="_Toc80302239"/>
      <w:r w:rsidRPr="002822FA">
        <w:rPr>
          <w:rFonts w:ascii="Times New Roman" w:hAnsi="Times New Roman" w:cs="Times New Roman"/>
          <w:b w:val="0"/>
          <w:i/>
          <w:color w:val="auto"/>
          <w:sz w:val="24"/>
          <w:szCs w:val="24"/>
        </w:rPr>
        <w:lastRenderedPageBreak/>
        <w:t xml:space="preserve">3.6.6 - </w:t>
      </w:r>
      <w:r w:rsidR="00835EE7" w:rsidRPr="002822FA">
        <w:rPr>
          <w:rFonts w:ascii="Times New Roman" w:hAnsi="Times New Roman" w:cs="Times New Roman"/>
          <w:b w:val="0"/>
          <w:i/>
          <w:color w:val="auto"/>
          <w:sz w:val="24"/>
          <w:szCs w:val="24"/>
        </w:rPr>
        <w:t>Post Procedure and Recovery</w:t>
      </w:r>
      <w:bookmarkEnd w:id="134"/>
      <w:r>
        <w:rPr>
          <w:rFonts w:ascii="Times New Roman" w:hAnsi="Times New Roman" w:cs="Times New Roman"/>
          <w:b w:val="0"/>
          <w:i/>
          <w:color w:val="auto"/>
          <w:sz w:val="24"/>
          <w:szCs w:val="24"/>
        </w:rPr>
        <w:br/>
      </w:r>
    </w:p>
    <w:p w14:paraId="55069D60" w14:textId="77777777" w:rsidR="00835EE7" w:rsidRPr="00EC6C19" w:rsidRDefault="00835EE7" w:rsidP="00835EE7">
      <w:pPr>
        <w:spacing w:line="360" w:lineRule="auto"/>
        <w:rPr>
          <w:rFonts w:ascii="Times New Roman" w:hAnsi="Times New Roman" w:cs="Times New Roman"/>
          <w:sz w:val="24"/>
          <w:szCs w:val="24"/>
          <w:u w:val="single"/>
        </w:rPr>
      </w:pPr>
    </w:p>
    <w:p w14:paraId="79D061F5" w14:textId="77777777"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No extra precautions were taken post procedure or during recovery. The patient was observed </w:t>
      </w:r>
      <w:r w:rsidR="00C3048F" w:rsidRPr="00EC6C19">
        <w:rPr>
          <w:rFonts w:ascii="Times New Roman" w:hAnsi="Times New Roman" w:cs="Times New Roman"/>
          <w:sz w:val="24"/>
          <w:szCs w:val="24"/>
        </w:rPr>
        <w:t xml:space="preserve">in recovery </w:t>
      </w:r>
      <w:r w:rsidRPr="00EC6C19">
        <w:rPr>
          <w:rFonts w:ascii="Times New Roman" w:hAnsi="Times New Roman" w:cs="Times New Roman"/>
          <w:sz w:val="24"/>
          <w:szCs w:val="24"/>
        </w:rPr>
        <w:t>on a cardiac monitor over the next 4 to 6 hours. Once reviewed by clinical staff (including a post procedure ECG), the patients were allowed home the same day. Contact details were left to allow patients to liaise with the research team if there were any further issues. No follow-up procedures or investigations were organised as part of the study. Patients exited the study once angiography was complete.</w:t>
      </w:r>
    </w:p>
    <w:p w14:paraId="4A4AFE65" w14:textId="77777777" w:rsidR="002D12F9" w:rsidRPr="00EC6C19" w:rsidRDefault="002D12F9" w:rsidP="00835EE7">
      <w:pPr>
        <w:spacing w:line="360" w:lineRule="auto"/>
        <w:rPr>
          <w:rFonts w:ascii="Times New Roman" w:hAnsi="Times New Roman" w:cs="Times New Roman"/>
          <w:sz w:val="24"/>
          <w:szCs w:val="24"/>
        </w:rPr>
      </w:pPr>
    </w:p>
    <w:p w14:paraId="3A0E556A" w14:textId="77777777" w:rsidR="002D12F9" w:rsidRPr="002822FA" w:rsidRDefault="002822FA" w:rsidP="002822FA">
      <w:pPr>
        <w:pStyle w:val="Heading2"/>
        <w:rPr>
          <w:rFonts w:ascii="Times New Roman" w:hAnsi="Times New Roman" w:cs="Times New Roman"/>
          <w:color w:val="auto"/>
          <w:sz w:val="24"/>
          <w:szCs w:val="24"/>
        </w:rPr>
      </w:pPr>
      <w:bookmarkStart w:id="135" w:name="_Toc80302240"/>
      <w:r w:rsidRPr="002822FA">
        <w:rPr>
          <w:rFonts w:ascii="Times New Roman" w:hAnsi="Times New Roman" w:cs="Times New Roman"/>
          <w:color w:val="auto"/>
          <w:sz w:val="24"/>
          <w:szCs w:val="24"/>
        </w:rPr>
        <w:t xml:space="preserve">3.7 - </w:t>
      </w:r>
      <w:r w:rsidR="00D82A05" w:rsidRPr="002822FA">
        <w:rPr>
          <w:rFonts w:ascii="Times New Roman" w:hAnsi="Times New Roman" w:cs="Times New Roman"/>
          <w:color w:val="auto"/>
          <w:sz w:val="24"/>
          <w:szCs w:val="24"/>
        </w:rPr>
        <w:t>Midpoint Protocol Changes</w:t>
      </w:r>
      <w:bookmarkEnd w:id="135"/>
      <w:r>
        <w:rPr>
          <w:rFonts w:ascii="Times New Roman" w:hAnsi="Times New Roman" w:cs="Times New Roman"/>
          <w:color w:val="auto"/>
          <w:sz w:val="24"/>
          <w:szCs w:val="24"/>
        </w:rPr>
        <w:br/>
      </w:r>
    </w:p>
    <w:p w14:paraId="52EF8C7D" w14:textId="77777777" w:rsidR="002D12F9" w:rsidRPr="00EC6C19" w:rsidRDefault="002D12F9" w:rsidP="002D12F9">
      <w:pPr>
        <w:spacing w:line="360" w:lineRule="auto"/>
        <w:rPr>
          <w:rFonts w:ascii="Times New Roman" w:hAnsi="Times New Roman" w:cs="Times New Roman"/>
          <w:b/>
          <w:sz w:val="24"/>
          <w:szCs w:val="24"/>
        </w:rPr>
      </w:pPr>
    </w:p>
    <w:p w14:paraId="4AED6E1A" w14:textId="77777777" w:rsidR="002D12F9" w:rsidRPr="00EC6C19" w:rsidRDefault="002D12F9" w:rsidP="002D12F9">
      <w:pPr>
        <w:spacing w:line="360" w:lineRule="auto"/>
        <w:rPr>
          <w:rFonts w:ascii="Times New Roman" w:hAnsi="Times New Roman" w:cs="Times New Roman"/>
          <w:sz w:val="24"/>
          <w:szCs w:val="24"/>
        </w:rPr>
      </w:pPr>
      <w:r w:rsidRPr="00EC6C19">
        <w:rPr>
          <w:rFonts w:ascii="Times New Roman" w:hAnsi="Times New Roman" w:cs="Times New Roman"/>
          <w:sz w:val="24"/>
          <w:szCs w:val="24"/>
        </w:rPr>
        <w:t>After the tenth patient, the study team reviewed all results and implemented slight changes to the protocol, within ethical limits.</w:t>
      </w:r>
    </w:p>
    <w:p w14:paraId="11A5BB5B" w14:textId="77777777" w:rsidR="002D12F9" w:rsidRPr="00EC6C19" w:rsidRDefault="002D12F9" w:rsidP="002D12F9">
      <w:pPr>
        <w:spacing w:line="360" w:lineRule="auto"/>
        <w:rPr>
          <w:rFonts w:ascii="Times New Roman" w:hAnsi="Times New Roman" w:cs="Times New Roman"/>
          <w:b/>
          <w:sz w:val="24"/>
          <w:szCs w:val="24"/>
        </w:rPr>
      </w:pPr>
    </w:p>
    <w:p w14:paraId="1E1158B8" w14:textId="77777777" w:rsidR="002D12F9" w:rsidRPr="002822FA" w:rsidRDefault="002822FA" w:rsidP="002822FA">
      <w:pPr>
        <w:pStyle w:val="Heading3"/>
        <w:rPr>
          <w:rFonts w:ascii="Times New Roman" w:hAnsi="Times New Roman" w:cs="Times New Roman"/>
          <w:b w:val="0"/>
          <w:i/>
          <w:color w:val="auto"/>
          <w:sz w:val="24"/>
          <w:szCs w:val="24"/>
        </w:rPr>
      </w:pPr>
      <w:bookmarkStart w:id="136" w:name="_Toc80302241"/>
      <w:r w:rsidRPr="002822FA">
        <w:rPr>
          <w:rFonts w:ascii="Times New Roman" w:hAnsi="Times New Roman" w:cs="Times New Roman"/>
          <w:b w:val="0"/>
          <w:i/>
          <w:color w:val="auto"/>
          <w:sz w:val="24"/>
          <w:szCs w:val="24"/>
        </w:rPr>
        <w:t xml:space="preserve">3.7.1 - </w:t>
      </w:r>
      <w:r w:rsidR="002D12F9" w:rsidRPr="002822FA">
        <w:rPr>
          <w:rFonts w:ascii="Times New Roman" w:hAnsi="Times New Roman" w:cs="Times New Roman"/>
          <w:b w:val="0"/>
          <w:i/>
          <w:color w:val="auto"/>
          <w:sz w:val="24"/>
          <w:szCs w:val="24"/>
        </w:rPr>
        <w:t>Clinical Measurement Point</w:t>
      </w:r>
      <w:bookmarkEnd w:id="136"/>
      <w:r>
        <w:rPr>
          <w:rFonts w:ascii="Times New Roman" w:hAnsi="Times New Roman" w:cs="Times New Roman"/>
          <w:b w:val="0"/>
          <w:i/>
          <w:color w:val="auto"/>
          <w:sz w:val="24"/>
          <w:szCs w:val="24"/>
        </w:rPr>
        <w:br/>
      </w:r>
    </w:p>
    <w:p w14:paraId="1A854956" w14:textId="77777777" w:rsidR="002D12F9" w:rsidRPr="00EC6C19" w:rsidRDefault="002D12F9" w:rsidP="002D12F9">
      <w:pPr>
        <w:spacing w:line="360" w:lineRule="auto"/>
        <w:rPr>
          <w:rFonts w:ascii="Times New Roman" w:hAnsi="Times New Roman" w:cs="Times New Roman"/>
          <w:i/>
          <w:sz w:val="24"/>
          <w:szCs w:val="24"/>
        </w:rPr>
      </w:pPr>
    </w:p>
    <w:p w14:paraId="065B2E74" w14:textId="77777777" w:rsidR="002D12F9" w:rsidRPr="00EC6C19" w:rsidRDefault="00D82A05" w:rsidP="002D12F9">
      <w:pPr>
        <w:spacing w:line="360" w:lineRule="auto"/>
        <w:rPr>
          <w:rFonts w:ascii="Times New Roman" w:hAnsi="Times New Roman" w:cs="Times New Roman"/>
          <w:sz w:val="24"/>
          <w:szCs w:val="24"/>
        </w:rPr>
      </w:pPr>
      <w:r w:rsidRPr="00EC6C19">
        <w:rPr>
          <w:rFonts w:ascii="Times New Roman" w:hAnsi="Times New Roman" w:cs="Times New Roman"/>
          <w:sz w:val="24"/>
          <w:szCs w:val="24"/>
        </w:rPr>
        <w:t>A second FFR measurement point was added during hyperaemia. The operator was asked to choose a point in the artery where they would clinically place the wire. For one artery therefore, a distal FFR and clinical FFR were measured. The reason for this change is to assess whether a more proximal wire position would still be significant, given the expected lesser effect of hydrostatic pressure.</w:t>
      </w:r>
    </w:p>
    <w:p w14:paraId="7311D32E" w14:textId="77777777" w:rsidR="00D82A05" w:rsidRPr="00EC6C19" w:rsidRDefault="00D82A05" w:rsidP="002D12F9">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In some cases, where the coronary stenosis was very distal, the distal wire position was the same as the clinical position. </w:t>
      </w:r>
    </w:p>
    <w:p w14:paraId="0DDF9103" w14:textId="77777777" w:rsidR="002D12F9" w:rsidRPr="00EC6C19" w:rsidRDefault="002D12F9" w:rsidP="002D12F9">
      <w:pPr>
        <w:spacing w:line="360" w:lineRule="auto"/>
        <w:rPr>
          <w:rFonts w:ascii="Times New Roman" w:hAnsi="Times New Roman" w:cs="Times New Roman"/>
          <w:sz w:val="24"/>
          <w:szCs w:val="24"/>
        </w:rPr>
      </w:pPr>
    </w:p>
    <w:p w14:paraId="54CAD8F6" w14:textId="77777777" w:rsidR="002D12F9" w:rsidRPr="002822FA" w:rsidRDefault="002822FA" w:rsidP="002822FA">
      <w:pPr>
        <w:pStyle w:val="Heading3"/>
        <w:rPr>
          <w:rFonts w:ascii="Times New Roman" w:hAnsi="Times New Roman" w:cs="Times New Roman"/>
          <w:b w:val="0"/>
          <w:i/>
          <w:color w:val="auto"/>
          <w:sz w:val="24"/>
          <w:szCs w:val="24"/>
        </w:rPr>
      </w:pPr>
      <w:bookmarkStart w:id="137" w:name="_Toc80302242"/>
      <w:r w:rsidRPr="002822FA">
        <w:rPr>
          <w:rFonts w:ascii="Times New Roman" w:hAnsi="Times New Roman" w:cs="Times New Roman"/>
          <w:b w:val="0"/>
          <w:i/>
          <w:color w:val="auto"/>
          <w:sz w:val="24"/>
          <w:szCs w:val="24"/>
        </w:rPr>
        <w:lastRenderedPageBreak/>
        <w:t xml:space="preserve">3.7.2 - </w:t>
      </w:r>
      <w:r w:rsidR="002D12F9" w:rsidRPr="002822FA">
        <w:rPr>
          <w:rFonts w:ascii="Times New Roman" w:hAnsi="Times New Roman" w:cs="Times New Roman"/>
          <w:b w:val="0"/>
          <w:i/>
          <w:color w:val="auto"/>
          <w:sz w:val="24"/>
          <w:szCs w:val="24"/>
        </w:rPr>
        <w:t>Left Lateral View and Vertical Height Measurement</w:t>
      </w:r>
      <w:bookmarkEnd w:id="137"/>
      <w:r>
        <w:rPr>
          <w:rFonts w:ascii="Times New Roman" w:hAnsi="Times New Roman" w:cs="Times New Roman"/>
          <w:b w:val="0"/>
          <w:i/>
          <w:color w:val="auto"/>
          <w:sz w:val="24"/>
          <w:szCs w:val="24"/>
        </w:rPr>
        <w:br/>
      </w:r>
    </w:p>
    <w:p w14:paraId="04F22A0A" w14:textId="77777777" w:rsidR="002D12F9" w:rsidRPr="00EC6C19" w:rsidRDefault="002D12F9" w:rsidP="002D12F9">
      <w:pPr>
        <w:spacing w:line="360" w:lineRule="auto"/>
        <w:rPr>
          <w:rFonts w:ascii="Times New Roman" w:hAnsi="Times New Roman" w:cs="Times New Roman"/>
          <w:i/>
          <w:sz w:val="24"/>
          <w:szCs w:val="24"/>
        </w:rPr>
      </w:pPr>
    </w:p>
    <w:p w14:paraId="59437ED9" w14:textId="62078E92" w:rsidR="002D12F9" w:rsidRPr="00EC6C19" w:rsidRDefault="00D82A05" w:rsidP="002D12F9">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 ninety-degree left lateral X-ray picture was taken in a subset of patients to assess vertical height from wire to aorta. </w:t>
      </w:r>
      <w:r w:rsidR="002D12F9" w:rsidRPr="00EC6C19">
        <w:rPr>
          <w:rFonts w:ascii="Times New Roman" w:hAnsi="Times New Roman" w:cs="Times New Roman"/>
          <w:sz w:val="24"/>
          <w:szCs w:val="24"/>
        </w:rPr>
        <w:t xml:space="preserve">This is the </w:t>
      </w:r>
      <w:r w:rsidRPr="00EC6C19">
        <w:rPr>
          <w:rFonts w:ascii="Times New Roman" w:hAnsi="Times New Roman" w:cs="Times New Roman"/>
          <w:sz w:val="24"/>
          <w:szCs w:val="24"/>
        </w:rPr>
        <w:t xml:space="preserve">similar to the </w:t>
      </w:r>
      <w:r w:rsidR="002D12F9" w:rsidRPr="00EC6C19">
        <w:rPr>
          <w:rFonts w:ascii="Times New Roman" w:hAnsi="Times New Roman" w:cs="Times New Roman"/>
          <w:sz w:val="24"/>
          <w:szCs w:val="24"/>
        </w:rPr>
        <w:t xml:space="preserve">pre-study coronary CT </w:t>
      </w:r>
      <w:r w:rsidRPr="00EC6C19">
        <w:rPr>
          <w:rFonts w:ascii="Times New Roman" w:hAnsi="Times New Roman" w:cs="Times New Roman"/>
          <w:sz w:val="24"/>
          <w:szCs w:val="24"/>
        </w:rPr>
        <w:t xml:space="preserve">height </w:t>
      </w:r>
      <w:r w:rsidR="002D12F9" w:rsidRPr="00EC6C19">
        <w:rPr>
          <w:rFonts w:ascii="Times New Roman" w:hAnsi="Times New Roman" w:cs="Times New Roman"/>
          <w:sz w:val="24"/>
          <w:szCs w:val="24"/>
        </w:rPr>
        <w:t>data, but directly from angiography. T</w:t>
      </w:r>
      <w:r w:rsidRPr="00EC6C19">
        <w:rPr>
          <w:rFonts w:ascii="Times New Roman" w:hAnsi="Times New Roman" w:cs="Times New Roman"/>
          <w:sz w:val="24"/>
          <w:szCs w:val="24"/>
        </w:rPr>
        <w:t xml:space="preserve">his change was implemented to try and identify a correlation between vertical height and the change in Pd/Pa, iFR and FFR. </w:t>
      </w:r>
      <w:r w:rsidR="007435AF">
        <w:rPr>
          <w:rFonts w:ascii="Times New Roman" w:hAnsi="Times New Roman" w:cs="Times New Roman"/>
          <w:sz w:val="24"/>
          <w:szCs w:val="24"/>
        </w:rPr>
        <w:t>Figure 31</w:t>
      </w:r>
      <w:r w:rsidR="002D12F9" w:rsidRPr="00EC6C19">
        <w:rPr>
          <w:rFonts w:ascii="Times New Roman" w:hAnsi="Times New Roman" w:cs="Times New Roman"/>
          <w:sz w:val="24"/>
          <w:szCs w:val="24"/>
        </w:rPr>
        <w:t xml:space="preserve"> is an example of a measurement acquisition.</w:t>
      </w:r>
    </w:p>
    <w:p w14:paraId="0D663409" w14:textId="77777777" w:rsidR="002D12F9" w:rsidRPr="00EC6C19" w:rsidRDefault="002D12F9" w:rsidP="002D12F9">
      <w:pPr>
        <w:spacing w:line="360" w:lineRule="auto"/>
        <w:rPr>
          <w:rFonts w:ascii="Times New Roman" w:hAnsi="Times New Roman" w:cs="Times New Roman"/>
          <w:i/>
          <w:sz w:val="24"/>
          <w:szCs w:val="24"/>
        </w:rPr>
      </w:pPr>
      <w:r w:rsidRPr="00EC6C19">
        <w:rPr>
          <w:rFonts w:ascii="Times New Roman" w:hAnsi="Times New Roman" w:cs="Times New Roman"/>
          <w:noProof/>
          <w:sz w:val="24"/>
          <w:szCs w:val="24"/>
          <w:lang w:eastAsia="en-GB"/>
        </w:rPr>
        <w:drawing>
          <wp:inline distT="0" distB="0" distL="0" distR="0" wp14:anchorId="223E1C65" wp14:editId="43D418DF">
            <wp:extent cx="5943600" cy="3917978"/>
            <wp:effectExtent l="19050" t="0" r="0" b="0"/>
            <wp:docPr id="57" name="Picture 1" descr="C:\Users\Administrator\Documents\Cardiology\Thesis\Pictures\GtoW measur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Cardiology\Thesis\Pictures\GtoW measurement.jpg"/>
                    <pic:cNvPicPr>
                      <a:picLocks noChangeAspect="1" noChangeArrowheads="1"/>
                    </pic:cNvPicPr>
                  </pic:nvPicPr>
                  <pic:blipFill>
                    <a:blip r:embed="rId49"/>
                    <a:srcRect/>
                    <a:stretch>
                      <a:fillRect/>
                    </a:stretch>
                  </pic:blipFill>
                  <pic:spPr bwMode="auto">
                    <a:xfrm>
                      <a:off x="0" y="0"/>
                      <a:ext cx="5943600" cy="3917978"/>
                    </a:xfrm>
                    <a:prstGeom prst="rect">
                      <a:avLst/>
                    </a:prstGeom>
                    <a:noFill/>
                    <a:ln w="9525">
                      <a:noFill/>
                      <a:miter lim="800000"/>
                      <a:headEnd/>
                      <a:tailEnd/>
                    </a:ln>
                  </pic:spPr>
                </pic:pic>
              </a:graphicData>
            </a:graphic>
          </wp:inline>
        </w:drawing>
      </w:r>
    </w:p>
    <w:p w14:paraId="24E6F1A5" w14:textId="77777777" w:rsidR="002D12F9" w:rsidRPr="007435AF" w:rsidRDefault="007435AF" w:rsidP="007435AF">
      <w:pPr>
        <w:pStyle w:val="Caption"/>
        <w:spacing w:line="360" w:lineRule="auto"/>
        <w:rPr>
          <w:rFonts w:ascii="Times New Roman" w:hAnsi="Times New Roman" w:cs="Times New Roman"/>
          <w:b w:val="0"/>
          <w:i/>
          <w:color w:val="auto"/>
          <w:sz w:val="24"/>
          <w:szCs w:val="24"/>
        </w:rPr>
      </w:pPr>
      <w:bookmarkStart w:id="138" w:name="_Toc44684920"/>
      <w:r w:rsidRPr="007435AF">
        <w:rPr>
          <w:rFonts w:ascii="Times New Roman" w:hAnsi="Times New Roman" w:cs="Times New Roman"/>
          <w:b w:val="0"/>
          <w:i/>
          <w:color w:val="auto"/>
          <w:sz w:val="24"/>
          <w:szCs w:val="24"/>
        </w:rPr>
        <w:t xml:space="preserve">Figure </w:t>
      </w:r>
      <w:r w:rsidR="00106A32" w:rsidRPr="007435AF">
        <w:rPr>
          <w:rFonts w:ascii="Times New Roman" w:hAnsi="Times New Roman" w:cs="Times New Roman"/>
          <w:b w:val="0"/>
          <w:i/>
          <w:color w:val="auto"/>
          <w:sz w:val="24"/>
          <w:szCs w:val="24"/>
        </w:rPr>
        <w:fldChar w:fldCharType="begin"/>
      </w:r>
      <w:r w:rsidRPr="007435AF">
        <w:rPr>
          <w:rFonts w:ascii="Times New Roman" w:hAnsi="Times New Roman" w:cs="Times New Roman"/>
          <w:b w:val="0"/>
          <w:i/>
          <w:color w:val="auto"/>
          <w:sz w:val="24"/>
          <w:szCs w:val="24"/>
        </w:rPr>
        <w:instrText xml:space="preserve"> SEQ Figure \* ARABIC </w:instrText>
      </w:r>
      <w:r w:rsidR="00106A32" w:rsidRPr="007435AF">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31</w:t>
      </w:r>
      <w:r w:rsidR="00106A32" w:rsidRPr="007435AF">
        <w:rPr>
          <w:rFonts w:ascii="Times New Roman" w:hAnsi="Times New Roman" w:cs="Times New Roman"/>
          <w:b w:val="0"/>
          <w:i/>
          <w:color w:val="auto"/>
          <w:sz w:val="24"/>
          <w:szCs w:val="24"/>
        </w:rPr>
        <w:fldChar w:fldCharType="end"/>
      </w:r>
      <w:r w:rsidRPr="007435AF">
        <w:rPr>
          <w:rFonts w:ascii="Times New Roman" w:hAnsi="Times New Roman" w:cs="Times New Roman"/>
          <w:b w:val="0"/>
          <w:i/>
          <w:color w:val="auto"/>
          <w:sz w:val="24"/>
          <w:szCs w:val="24"/>
        </w:rPr>
        <w:t xml:space="preserve"> - Guide to Wire Measurement - </w:t>
      </w:r>
      <w:r w:rsidR="002D12F9" w:rsidRPr="007435AF">
        <w:rPr>
          <w:rFonts w:ascii="Times New Roman" w:hAnsi="Times New Roman" w:cs="Times New Roman"/>
          <w:b w:val="0"/>
          <w:i/>
          <w:color w:val="auto"/>
          <w:sz w:val="24"/>
          <w:szCs w:val="24"/>
        </w:rPr>
        <w:t>in the left lateral x-ray view between the guide catheter, top left, and the sensor on the wire, bottom right.</w:t>
      </w:r>
      <w:bookmarkEnd w:id="138"/>
    </w:p>
    <w:p w14:paraId="4AD11F82" w14:textId="77777777" w:rsidR="002D12F9" w:rsidRPr="00EC6C19" w:rsidRDefault="002D12F9" w:rsidP="00835EE7">
      <w:pPr>
        <w:spacing w:line="360" w:lineRule="auto"/>
        <w:rPr>
          <w:rFonts w:ascii="Times New Roman" w:hAnsi="Times New Roman" w:cs="Times New Roman"/>
          <w:sz w:val="24"/>
          <w:szCs w:val="24"/>
        </w:rPr>
      </w:pPr>
    </w:p>
    <w:p w14:paraId="53B28C87" w14:textId="77777777" w:rsidR="00835EE7" w:rsidRPr="00EC6C19" w:rsidRDefault="00835EE7" w:rsidP="00835EE7">
      <w:pPr>
        <w:spacing w:line="360" w:lineRule="auto"/>
        <w:rPr>
          <w:rFonts w:ascii="Times New Roman" w:hAnsi="Times New Roman" w:cs="Times New Roman"/>
          <w:i/>
          <w:sz w:val="24"/>
          <w:szCs w:val="24"/>
        </w:rPr>
      </w:pPr>
    </w:p>
    <w:p w14:paraId="03C5E9C5" w14:textId="77777777" w:rsidR="00835EE7" w:rsidRPr="002822FA" w:rsidRDefault="002822FA" w:rsidP="002822FA">
      <w:pPr>
        <w:pStyle w:val="Heading2"/>
        <w:rPr>
          <w:rFonts w:ascii="Times New Roman" w:hAnsi="Times New Roman" w:cs="Times New Roman"/>
          <w:color w:val="auto"/>
          <w:sz w:val="24"/>
          <w:szCs w:val="24"/>
        </w:rPr>
      </w:pPr>
      <w:bookmarkStart w:id="139" w:name="_Toc80302243"/>
      <w:r w:rsidRPr="002822FA">
        <w:rPr>
          <w:rFonts w:ascii="Times New Roman" w:hAnsi="Times New Roman" w:cs="Times New Roman"/>
          <w:color w:val="auto"/>
          <w:sz w:val="24"/>
          <w:szCs w:val="24"/>
        </w:rPr>
        <w:lastRenderedPageBreak/>
        <w:t xml:space="preserve">3.8 - </w:t>
      </w:r>
      <w:r w:rsidR="001C14A0" w:rsidRPr="002822FA">
        <w:rPr>
          <w:rFonts w:ascii="Times New Roman" w:hAnsi="Times New Roman" w:cs="Times New Roman"/>
          <w:color w:val="auto"/>
          <w:sz w:val="24"/>
          <w:szCs w:val="24"/>
        </w:rPr>
        <w:t>Data</w:t>
      </w:r>
      <w:r w:rsidR="00835EE7" w:rsidRPr="002822FA">
        <w:rPr>
          <w:rFonts w:ascii="Times New Roman" w:hAnsi="Times New Roman" w:cs="Times New Roman"/>
          <w:color w:val="auto"/>
          <w:sz w:val="24"/>
          <w:szCs w:val="24"/>
        </w:rPr>
        <w:t xml:space="preserve"> Analysis</w:t>
      </w:r>
      <w:bookmarkEnd w:id="139"/>
      <w:r w:rsidRPr="002822FA">
        <w:rPr>
          <w:rFonts w:ascii="Times New Roman" w:hAnsi="Times New Roman" w:cs="Times New Roman"/>
          <w:color w:val="auto"/>
          <w:sz w:val="24"/>
          <w:szCs w:val="24"/>
        </w:rPr>
        <w:br/>
      </w:r>
    </w:p>
    <w:p w14:paraId="5AA5CC0F" w14:textId="77777777" w:rsidR="00835EE7" w:rsidRPr="00EC6C19" w:rsidRDefault="00835EE7" w:rsidP="00835EE7">
      <w:pPr>
        <w:spacing w:line="360" w:lineRule="auto"/>
        <w:rPr>
          <w:rFonts w:ascii="Times New Roman" w:hAnsi="Times New Roman" w:cs="Times New Roman"/>
          <w:i/>
          <w:sz w:val="24"/>
          <w:szCs w:val="24"/>
          <w:u w:val="single"/>
        </w:rPr>
      </w:pPr>
    </w:p>
    <w:p w14:paraId="25923CB5" w14:textId="56F56ED9"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Data was analysed using a software program called Study Manager™ (Volcano Corporation). Optimal tracings for resting and hyperaemic indices were used to obtain</w:t>
      </w:r>
      <w:r w:rsidR="00A80127">
        <w:rPr>
          <w:rFonts w:ascii="Times New Roman" w:hAnsi="Times New Roman" w:cs="Times New Roman"/>
          <w:sz w:val="24"/>
          <w:szCs w:val="24"/>
        </w:rPr>
        <w:t>:</w:t>
      </w:r>
    </w:p>
    <w:p w14:paraId="762FBCC0" w14:textId="77777777" w:rsidR="00835EE7" w:rsidRPr="00EC6C19" w:rsidRDefault="00835EE7" w:rsidP="00835EE7">
      <w:pPr>
        <w:pStyle w:val="ListParagraph"/>
        <w:numPr>
          <w:ilvl w:val="0"/>
          <w:numId w:val="12"/>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Resting distal pressure over aortic pressure (Pd/Pa)</w:t>
      </w:r>
    </w:p>
    <w:p w14:paraId="2068F927" w14:textId="77777777" w:rsidR="005477FF" w:rsidRPr="00EC6C19" w:rsidRDefault="005477FF" w:rsidP="00835EE7">
      <w:pPr>
        <w:pStyle w:val="ListParagraph"/>
        <w:numPr>
          <w:ilvl w:val="0"/>
          <w:numId w:val="12"/>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iFR</w:t>
      </w:r>
    </w:p>
    <w:p w14:paraId="762B1A1E" w14:textId="77777777" w:rsidR="00835EE7" w:rsidRPr="00EC6C19" w:rsidRDefault="00835EE7" w:rsidP="00835EE7">
      <w:pPr>
        <w:pStyle w:val="ListParagraph"/>
        <w:numPr>
          <w:ilvl w:val="0"/>
          <w:numId w:val="12"/>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Resting velocity</w:t>
      </w:r>
    </w:p>
    <w:p w14:paraId="6E95DFA4" w14:textId="77777777" w:rsidR="00835EE7" w:rsidRPr="00EC6C19" w:rsidRDefault="00835EE7" w:rsidP="00835EE7">
      <w:pPr>
        <w:pStyle w:val="ListParagraph"/>
        <w:numPr>
          <w:ilvl w:val="0"/>
          <w:numId w:val="12"/>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Hyperaemic Pd/Pa (also known as fractional flow reserve)</w:t>
      </w:r>
    </w:p>
    <w:p w14:paraId="06B18267" w14:textId="77777777" w:rsidR="00835EE7" w:rsidRPr="00EC6C19" w:rsidRDefault="00835EE7" w:rsidP="00835EE7">
      <w:pPr>
        <w:pStyle w:val="ListParagraph"/>
        <w:numPr>
          <w:ilvl w:val="0"/>
          <w:numId w:val="12"/>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Hyperaemic velocity</w:t>
      </w:r>
    </w:p>
    <w:p w14:paraId="62E46B94" w14:textId="77777777" w:rsidR="00835EE7" w:rsidRPr="00EC6C19" w:rsidRDefault="00835EE7" w:rsidP="00835EE7">
      <w:pPr>
        <w:spacing w:line="360" w:lineRule="auto"/>
        <w:rPr>
          <w:rFonts w:ascii="Times New Roman" w:hAnsi="Times New Roman" w:cs="Times New Roman"/>
          <w:sz w:val="24"/>
          <w:szCs w:val="24"/>
        </w:rPr>
      </w:pPr>
    </w:p>
    <w:p w14:paraId="6FFFF583" w14:textId="77777777" w:rsidR="00835EE7" w:rsidRPr="00EC6C19" w:rsidRDefault="00835EE7"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Five cardiac cycles were averaged to give the above values</w:t>
      </w:r>
      <w:r w:rsidR="005477FF" w:rsidRPr="00EC6C19">
        <w:rPr>
          <w:rFonts w:ascii="Times New Roman" w:hAnsi="Times New Roman" w:cs="Times New Roman"/>
          <w:sz w:val="24"/>
          <w:szCs w:val="24"/>
        </w:rPr>
        <w:t xml:space="preserve"> (apart from iFR which required ten cycles)</w:t>
      </w:r>
      <w:r w:rsidRPr="00EC6C19">
        <w:rPr>
          <w:rFonts w:ascii="Times New Roman" w:hAnsi="Times New Roman" w:cs="Times New Roman"/>
          <w:sz w:val="24"/>
          <w:szCs w:val="24"/>
        </w:rPr>
        <w:t>, which were</w:t>
      </w:r>
      <w:r w:rsidR="005477FF" w:rsidRPr="00EC6C19">
        <w:rPr>
          <w:rFonts w:ascii="Times New Roman" w:hAnsi="Times New Roman" w:cs="Times New Roman"/>
          <w:sz w:val="24"/>
          <w:szCs w:val="24"/>
        </w:rPr>
        <w:t xml:space="preserve"> imported</w:t>
      </w:r>
      <w:r w:rsidRPr="00EC6C19">
        <w:rPr>
          <w:rFonts w:ascii="Times New Roman" w:hAnsi="Times New Roman" w:cs="Times New Roman"/>
          <w:sz w:val="24"/>
          <w:szCs w:val="24"/>
        </w:rPr>
        <w:t xml:space="preserve"> into an</w:t>
      </w:r>
      <w:r w:rsidR="005477FF" w:rsidRPr="00EC6C19">
        <w:rPr>
          <w:rFonts w:ascii="Times New Roman" w:hAnsi="Times New Roman" w:cs="Times New Roman"/>
          <w:sz w:val="24"/>
          <w:szCs w:val="24"/>
        </w:rPr>
        <w:t xml:space="preserve"> Microsoft</w:t>
      </w:r>
      <w:r w:rsidR="00D852FC" w:rsidRPr="00EC6C19">
        <w:rPr>
          <w:rFonts w:ascii="Times New Roman" w:hAnsi="Times New Roman" w:cs="Times New Roman"/>
          <w:sz w:val="24"/>
          <w:szCs w:val="24"/>
        </w:rPr>
        <w:t xml:space="preserve"> </w:t>
      </w:r>
      <w:r w:rsidR="005477FF" w:rsidRPr="00EC6C19">
        <w:rPr>
          <w:rFonts w:ascii="Times New Roman" w:hAnsi="Times New Roman" w:cs="Times New Roman"/>
          <w:sz w:val="24"/>
          <w:szCs w:val="24"/>
        </w:rPr>
        <w:t>E</w:t>
      </w:r>
      <w:r w:rsidRPr="00EC6C19">
        <w:rPr>
          <w:rFonts w:ascii="Times New Roman" w:hAnsi="Times New Roman" w:cs="Times New Roman"/>
          <w:sz w:val="24"/>
          <w:szCs w:val="24"/>
        </w:rPr>
        <w:t>xcel</w:t>
      </w:r>
      <w:r w:rsidR="005477FF" w:rsidRPr="00EC6C19">
        <w:rPr>
          <w:rFonts w:ascii="Times New Roman" w:hAnsi="Times New Roman" w:cs="Times New Roman"/>
          <w:sz w:val="24"/>
          <w:szCs w:val="24"/>
        </w:rPr>
        <w:t>™</w:t>
      </w:r>
      <w:r w:rsidRPr="00EC6C19">
        <w:rPr>
          <w:rFonts w:ascii="Times New Roman" w:hAnsi="Times New Roman" w:cs="Times New Roman"/>
          <w:sz w:val="24"/>
          <w:szCs w:val="24"/>
        </w:rPr>
        <w:t xml:space="preserve">  for further statistical analysis. Flow and pressure measurements were taken, whenever possible from the same five beat sample, as long as quality was adequate for both.  Mean values were used for pressure and velocity recordings over these five beats.</w:t>
      </w:r>
    </w:p>
    <w:p w14:paraId="497AA03F" w14:textId="77777777" w:rsidR="00286C7A" w:rsidRPr="00EC6C19" w:rsidRDefault="00286C7A" w:rsidP="00835EE7">
      <w:pPr>
        <w:spacing w:line="360" w:lineRule="auto"/>
        <w:rPr>
          <w:rFonts w:ascii="Times New Roman" w:hAnsi="Times New Roman" w:cs="Times New Roman"/>
          <w:sz w:val="24"/>
          <w:szCs w:val="24"/>
        </w:rPr>
      </w:pPr>
    </w:p>
    <w:p w14:paraId="00625BE5" w14:textId="77777777" w:rsidR="00286C7A" w:rsidRPr="00EC6C19" w:rsidRDefault="00286C7A" w:rsidP="00835EE7">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Angiographic Data</w:t>
      </w:r>
    </w:p>
    <w:p w14:paraId="586C0CD9" w14:textId="77777777" w:rsidR="00286C7A" w:rsidRPr="00EC6C19" w:rsidRDefault="00286C7A" w:rsidP="00835EE7">
      <w:pPr>
        <w:spacing w:line="360" w:lineRule="auto"/>
        <w:rPr>
          <w:rFonts w:ascii="Times New Roman" w:hAnsi="Times New Roman" w:cs="Times New Roman"/>
          <w:i/>
          <w:sz w:val="24"/>
          <w:szCs w:val="24"/>
          <w:u w:val="single"/>
        </w:rPr>
      </w:pPr>
    </w:p>
    <w:p w14:paraId="4435C490" w14:textId="20AA65AF" w:rsidR="00286C7A" w:rsidRPr="00EC6C19" w:rsidRDefault="00286C7A"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QCA (Quantitative Coronary Analysis) was used to measure lesion length and stenosis percentage</w:t>
      </w:r>
      <w:r w:rsidR="005477FF" w:rsidRPr="00EC6C19">
        <w:rPr>
          <w:rFonts w:ascii="Times New Roman" w:hAnsi="Times New Roman" w:cs="Times New Roman"/>
          <w:sz w:val="24"/>
          <w:szCs w:val="24"/>
        </w:rPr>
        <w:t xml:space="preserve"> on a laboratory </w:t>
      </w:r>
      <w:r w:rsidR="00A80127" w:rsidRPr="00EC6C19">
        <w:rPr>
          <w:rFonts w:ascii="Times New Roman" w:hAnsi="Times New Roman" w:cs="Times New Roman"/>
          <w:sz w:val="24"/>
          <w:szCs w:val="24"/>
        </w:rPr>
        <w:t>work</w:t>
      </w:r>
      <w:r w:rsidR="00A80127">
        <w:rPr>
          <w:rFonts w:ascii="Times New Roman" w:hAnsi="Times New Roman" w:cs="Times New Roman"/>
          <w:sz w:val="24"/>
          <w:szCs w:val="24"/>
        </w:rPr>
        <w:t>-</w:t>
      </w:r>
      <w:r w:rsidR="005477FF" w:rsidRPr="00EC6C19">
        <w:rPr>
          <w:rFonts w:ascii="Times New Roman" w:hAnsi="Times New Roman" w:cs="Times New Roman"/>
          <w:sz w:val="24"/>
          <w:szCs w:val="24"/>
        </w:rPr>
        <w:t>station</w:t>
      </w:r>
      <w:r w:rsidRPr="00EC6C19">
        <w:rPr>
          <w:rFonts w:ascii="Times New Roman" w:hAnsi="Times New Roman" w:cs="Times New Roman"/>
          <w:sz w:val="24"/>
          <w:szCs w:val="24"/>
        </w:rPr>
        <w:t>.</w:t>
      </w:r>
      <w:r w:rsidR="002D12F9" w:rsidRPr="00EC6C19">
        <w:rPr>
          <w:rFonts w:ascii="Times New Roman" w:hAnsi="Times New Roman" w:cs="Times New Roman"/>
          <w:sz w:val="24"/>
          <w:szCs w:val="24"/>
        </w:rPr>
        <w:t xml:space="preserve"> It was also used to measure aorta to wire distance.</w:t>
      </w:r>
    </w:p>
    <w:p w14:paraId="5DC2A778" w14:textId="77777777" w:rsidR="00835EE7" w:rsidRPr="00EC6C19" w:rsidRDefault="00835EE7" w:rsidP="00835EE7">
      <w:pPr>
        <w:spacing w:line="360" w:lineRule="auto"/>
        <w:rPr>
          <w:rFonts w:ascii="Times New Roman" w:hAnsi="Times New Roman" w:cs="Times New Roman"/>
          <w:sz w:val="24"/>
          <w:szCs w:val="24"/>
        </w:rPr>
      </w:pPr>
    </w:p>
    <w:p w14:paraId="0F9F9AA9" w14:textId="77777777" w:rsidR="00835EE7" w:rsidRPr="002822FA" w:rsidRDefault="002822FA" w:rsidP="002822FA">
      <w:pPr>
        <w:pStyle w:val="Heading2"/>
        <w:rPr>
          <w:rFonts w:ascii="Times New Roman" w:hAnsi="Times New Roman" w:cs="Times New Roman"/>
          <w:color w:val="auto"/>
          <w:sz w:val="24"/>
          <w:szCs w:val="24"/>
        </w:rPr>
      </w:pPr>
      <w:bookmarkStart w:id="140" w:name="_Toc80302244"/>
      <w:r w:rsidRPr="002822FA">
        <w:rPr>
          <w:rFonts w:ascii="Times New Roman" w:hAnsi="Times New Roman" w:cs="Times New Roman"/>
          <w:color w:val="auto"/>
          <w:sz w:val="24"/>
          <w:szCs w:val="24"/>
        </w:rPr>
        <w:t xml:space="preserve">3.9 - </w:t>
      </w:r>
      <w:r w:rsidR="00835EE7" w:rsidRPr="002822FA">
        <w:rPr>
          <w:rFonts w:ascii="Times New Roman" w:hAnsi="Times New Roman" w:cs="Times New Roman"/>
          <w:color w:val="auto"/>
          <w:sz w:val="24"/>
          <w:szCs w:val="24"/>
        </w:rPr>
        <w:t>Statistical Analysis</w:t>
      </w:r>
      <w:bookmarkEnd w:id="140"/>
    </w:p>
    <w:p w14:paraId="78FD06BB" w14:textId="77777777" w:rsidR="00835EE7" w:rsidRPr="00EC6C19" w:rsidRDefault="00835EE7" w:rsidP="00835EE7">
      <w:pPr>
        <w:spacing w:line="360" w:lineRule="auto"/>
        <w:rPr>
          <w:rFonts w:ascii="Times New Roman" w:hAnsi="Times New Roman" w:cs="Times New Roman"/>
          <w:b/>
          <w:sz w:val="24"/>
          <w:szCs w:val="24"/>
          <w:u w:val="single"/>
        </w:rPr>
      </w:pPr>
    </w:p>
    <w:p w14:paraId="1DF81CC3" w14:textId="521660FD" w:rsidR="00B96020" w:rsidRPr="00EC6C19" w:rsidRDefault="005477FF"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Normally distributed c</w:t>
      </w:r>
      <w:r w:rsidR="00835EE7" w:rsidRPr="00EC6C19">
        <w:rPr>
          <w:rFonts w:ascii="Times New Roman" w:hAnsi="Times New Roman" w:cs="Times New Roman"/>
          <w:sz w:val="24"/>
          <w:szCs w:val="24"/>
        </w:rPr>
        <w:t xml:space="preserve">ontinuous variables are presented as means with standard deviation. Categorical variables are presented as numbers and percentages. Data was compared for statistical significance using a </w:t>
      </w:r>
      <w:r w:rsidR="009946E8">
        <w:rPr>
          <w:rFonts w:ascii="Times New Roman" w:hAnsi="Times New Roman" w:cs="Times New Roman"/>
          <w:sz w:val="24"/>
          <w:szCs w:val="24"/>
        </w:rPr>
        <w:t>S</w:t>
      </w:r>
      <w:r w:rsidR="009946E8" w:rsidRPr="00EC6C19">
        <w:rPr>
          <w:rFonts w:ascii="Times New Roman" w:hAnsi="Times New Roman" w:cs="Times New Roman"/>
          <w:sz w:val="24"/>
          <w:szCs w:val="24"/>
        </w:rPr>
        <w:t>tudent</w:t>
      </w:r>
      <w:r w:rsidR="009946E8">
        <w:rPr>
          <w:rFonts w:ascii="Times New Roman" w:hAnsi="Times New Roman" w:cs="Times New Roman"/>
          <w:sz w:val="24"/>
          <w:szCs w:val="24"/>
        </w:rPr>
        <w:t>’s t</w:t>
      </w:r>
      <w:r w:rsidR="00835EE7" w:rsidRPr="00EC6C19">
        <w:rPr>
          <w:rFonts w:ascii="Times New Roman" w:hAnsi="Times New Roman" w:cs="Times New Roman"/>
          <w:sz w:val="24"/>
          <w:szCs w:val="24"/>
        </w:rPr>
        <w:t xml:space="preserve"> test for matched pairs. Significance was ca</w:t>
      </w:r>
      <w:r w:rsidR="00CC2F37" w:rsidRPr="00EC6C19">
        <w:rPr>
          <w:rFonts w:ascii="Times New Roman" w:hAnsi="Times New Roman" w:cs="Times New Roman"/>
          <w:sz w:val="24"/>
          <w:szCs w:val="24"/>
        </w:rPr>
        <w:t xml:space="preserve">lculated for </w:t>
      </w:r>
      <w:r w:rsidR="00CC2F37" w:rsidRPr="00EC6C19">
        <w:rPr>
          <w:rFonts w:ascii="Times New Roman" w:hAnsi="Times New Roman" w:cs="Times New Roman"/>
          <w:sz w:val="24"/>
          <w:szCs w:val="24"/>
        </w:rPr>
        <w:lastRenderedPageBreak/>
        <w:t>a p value of &lt;0.05</w:t>
      </w:r>
      <w:r w:rsidR="00835EE7" w:rsidRPr="00EC6C19">
        <w:rPr>
          <w:rFonts w:ascii="Times New Roman" w:hAnsi="Times New Roman" w:cs="Times New Roman"/>
          <w:sz w:val="24"/>
          <w:szCs w:val="24"/>
        </w:rPr>
        <w:t>.</w:t>
      </w:r>
      <w:r w:rsidR="00CC2F37" w:rsidRPr="00EC6C19">
        <w:rPr>
          <w:rFonts w:ascii="Times New Roman" w:hAnsi="Times New Roman" w:cs="Times New Roman"/>
          <w:sz w:val="24"/>
          <w:szCs w:val="24"/>
        </w:rPr>
        <w:t xml:space="preserve"> Statistics were calculated using IBM SPSS® statistics software.</w:t>
      </w:r>
      <w:r w:rsidR="0005334A" w:rsidRPr="00EC6C19">
        <w:rPr>
          <w:rFonts w:ascii="Times New Roman" w:hAnsi="Times New Roman" w:cs="Times New Roman"/>
          <w:sz w:val="24"/>
          <w:szCs w:val="24"/>
        </w:rPr>
        <w:t xml:space="preserve"> SPSS was also used to calculate a </w:t>
      </w:r>
      <w:r w:rsidR="00411470" w:rsidRPr="00EC6C19">
        <w:rPr>
          <w:rFonts w:ascii="Times New Roman" w:hAnsi="Times New Roman" w:cs="Times New Roman"/>
          <w:sz w:val="24"/>
          <w:szCs w:val="24"/>
        </w:rPr>
        <w:t>Spearman</w:t>
      </w:r>
      <w:r w:rsidR="0005334A" w:rsidRPr="00EC6C19">
        <w:rPr>
          <w:rFonts w:ascii="Times New Roman" w:hAnsi="Times New Roman" w:cs="Times New Roman"/>
          <w:sz w:val="24"/>
          <w:szCs w:val="24"/>
        </w:rPr>
        <w:t xml:space="preserve"> correlation between two sets of data.</w:t>
      </w:r>
    </w:p>
    <w:p w14:paraId="52741CCF" w14:textId="77777777" w:rsidR="00863799" w:rsidRPr="00EC6C19" w:rsidRDefault="00863799" w:rsidP="00835EE7">
      <w:pPr>
        <w:spacing w:line="360" w:lineRule="auto"/>
        <w:rPr>
          <w:rFonts w:ascii="Times New Roman" w:hAnsi="Times New Roman" w:cs="Times New Roman"/>
          <w:sz w:val="24"/>
          <w:szCs w:val="24"/>
        </w:rPr>
      </w:pPr>
    </w:p>
    <w:p w14:paraId="4B822556" w14:textId="77777777" w:rsidR="00863799" w:rsidRPr="002822FA" w:rsidRDefault="002822FA" w:rsidP="002822FA">
      <w:pPr>
        <w:pStyle w:val="Heading2"/>
        <w:rPr>
          <w:rFonts w:ascii="Times New Roman" w:hAnsi="Times New Roman" w:cs="Times New Roman"/>
          <w:color w:val="auto"/>
          <w:sz w:val="24"/>
          <w:szCs w:val="24"/>
        </w:rPr>
      </w:pPr>
      <w:bookmarkStart w:id="141" w:name="_Toc80302245"/>
      <w:r w:rsidRPr="002822FA">
        <w:rPr>
          <w:rFonts w:ascii="Times New Roman" w:hAnsi="Times New Roman" w:cs="Times New Roman"/>
          <w:color w:val="auto"/>
          <w:sz w:val="24"/>
          <w:szCs w:val="24"/>
        </w:rPr>
        <w:t xml:space="preserve">3.10 - </w:t>
      </w:r>
      <w:r w:rsidR="001C14A0" w:rsidRPr="002822FA">
        <w:rPr>
          <w:rFonts w:ascii="Times New Roman" w:hAnsi="Times New Roman" w:cs="Times New Roman"/>
          <w:color w:val="auto"/>
          <w:sz w:val="24"/>
          <w:szCs w:val="24"/>
        </w:rPr>
        <w:t>Outcome Measures</w:t>
      </w:r>
      <w:bookmarkEnd w:id="141"/>
    </w:p>
    <w:p w14:paraId="5ADF42E9" w14:textId="77777777" w:rsidR="003313EB" w:rsidRPr="00EC6C19" w:rsidRDefault="002822FA" w:rsidP="00835EE7">
      <w:pPr>
        <w:spacing w:line="360" w:lineRule="auto"/>
        <w:rPr>
          <w:rFonts w:ascii="Times New Roman" w:hAnsi="Times New Roman" w:cs="Times New Roman"/>
          <w:b/>
          <w:sz w:val="24"/>
          <w:szCs w:val="24"/>
        </w:rPr>
      </w:pPr>
      <w:r>
        <w:rPr>
          <w:rFonts w:ascii="Times New Roman" w:hAnsi="Times New Roman" w:cs="Times New Roman"/>
          <w:b/>
          <w:sz w:val="24"/>
          <w:szCs w:val="24"/>
        </w:rPr>
        <w:br/>
      </w:r>
    </w:p>
    <w:p w14:paraId="4216C959" w14:textId="3F939BE2" w:rsidR="003313EB" w:rsidRPr="00EC6C19" w:rsidRDefault="003313EB" w:rsidP="00835EE7">
      <w:pPr>
        <w:spacing w:line="360" w:lineRule="auto"/>
        <w:rPr>
          <w:rFonts w:ascii="Times New Roman" w:hAnsi="Times New Roman" w:cs="Times New Roman"/>
          <w:sz w:val="24"/>
          <w:szCs w:val="24"/>
        </w:rPr>
      </w:pPr>
      <w:r w:rsidRPr="00EC6C19">
        <w:rPr>
          <w:rFonts w:ascii="Times New Roman" w:hAnsi="Times New Roman" w:cs="Times New Roman"/>
          <w:sz w:val="24"/>
          <w:szCs w:val="24"/>
        </w:rPr>
        <w:t>Outcome measures were as follows</w:t>
      </w:r>
      <w:r w:rsidR="009946E8">
        <w:rPr>
          <w:rFonts w:ascii="Times New Roman" w:hAnsi="Times New Roman" w:cs="Times New Roman"/>
          <w:sz w:val="24"/>
          <w:szCs w:val="24"/>
        </w:rPr>
        <w:t>:</w:t>
      </w:r>
    </w:p>
    <w:p w14:paraId="7F3739F7" w14:textId="77777777" w:rsidR="003313EB" w:rsidRPr="00EC6C19" w:rsidRDefault="003313EB" w:rsidP="00835EE7">
      <w:pPr>
        <w:spacing w:line="360" w:lineRule="auto"/>
        <w:rPr>
          <w:rFonts w:ascii="Times New Roman" w:hAnsi="Times New Roman" w:cs="Times New Roman"/>
          <w:sz w:val="24"/>
          <w:szCs w:val="24"/>
        </w:rPr>
      </w:pPr>
    </w:p>
    <w:p w14:paraId="04B7A262" w14:textId="77777777" w:rsidR="003313EB" w:rsidRPr="00EC6C19" w:rsidRDefault="003313EB" w:rsidP="00835EE7">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Primary Outcomes</w:t>
      </w:r>
    </w:p>
    <w:p w14:paraId="13DD4193" w14:textId="77777777" w:rsidR="003313EB" w:rsidRPr="00EC6C19" w:rsidRDefault="003313EB" w:rsidP="00835EE7">
      <w:pPr>
        <w:spacing w:line="360" w:lineRule="auto"/>
        <w:rPr>
          <w:rFonts w:ascii="Times New Roman" w:hAnsi="Times New Roman" w:cs="Times New Roman"/>
          <w:i/>
          <w:sz w:val="24"/>
          <w:szCs w:val="24"/>
        </w:rPr>
      </w:pPr>
    </w:p>
    <w:p w14:paraId="2A29722E" w14:textId="7203701A" w:rsidR="001C14A0" w:rsidRPr="00EC6C19" w:rsidRDefault="002D12F9" w:rsidP="003313EB">
      <w:pPr>
        <w:pStyle w:val="ListParagraph"/>
        <w:numPr>
          <w:ilvl w:val="0"/>
          <w:numId w:val="40"/>
        </w:num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Change in </w:t>
      </w:r>
      <w:r w:rsidR="009946E8" w:rsidRPr="00EC6C19">
        <w:rPr>
          <w:rFonts w:ascii="Times New Roman" w:hAnsi="Times New Roman" w:cs="Times New Roman"/>
          <w:sz w:val="24"/>
          <w:szCs w:val="24"/>
        </w:rPr>
        <w:t>pressure</w:t>
      </w:r>
      <w:r w:rsidR="009946E8">
        <w:rPr>
          <w:rFonts w:ascii="Times New Roman" w:hAnsi="Times New Roman" w:cs="Times New Roman"/>
          <w:sz w:val="24"/>
          <w:szCs w:val="24"/>
        </w:rPr>
        <w:t>-</w:t>
      </w:r>
      <w:r w:rsidR="003313EB" w:rsidRPr="00EC6C19">
        <w:rPr>
          <w:rFonts w:ascii="Times New Roman" w:hAnsi="Times New Roman" w:cs="Times New Roman"/>
          <w:sz w:val="24"/>
          <w:szCs w:val="24"/>
        </w:rPr>
        <w:t>based measurements (Pd/Pa, iFR and FFR) when prone and supine</w:t>
      </w:r>
      <w:r w:rsidR="009946E8">
        <w:rPr>
          <w:rFonts w:ascii="Times New Roman" w:hAnsi="Times New Roman" w:cs="Times New Roman"/>
          <w:sz w:val="24"/>
          <w:szCs w:val="24"/>
        </w:rPr>
        <w:t>.</w:t>
      </w:r>
    </w:p>
    <w:p w14:paraId="130E1705" w14:textId="77777777" w:rsidR="003313EB" w:rsidRPr="00EC6C19" w:rsidRDefault="003313EB" w:rsidP="003313EB">
      <w:pPr>
        <w:pStyle w:val="ListParagraph"/>
        <w:spacing w:line="360" w:lineRule="auto"/>
        <w:rPr>
          <w:rFonts w:ascii="Times New Roman" w:hAnsi="Times New Roman" w:cs="Times New Roman"/>
          <w:sz w:val="24"/>
          <w:szCs w:val="24"/>
        </w:rPr>
      </w:pPr>
    </w:p>
    <w:p w14:paraId="1E95D929" w14:textId="60FE0B80" w:rsidR="003313EB" w:rsidRPr="00EC6C19" w:rsidRDefault="002D12F9" w:rsidP="003313EB">
      <w:pPr>
        <w:pStyle w:val="ListParagraph"/>
        <w:numPr>
          <w:ilvl w:val="0"/>
          <w:numId w:val="40"/>
        </w:numPr>
        <w:spacing w:line="360" w:lineRule="auto"/>
        <w:rPr>
          <w:rFonts w:ascii="Times New Roman" w:hAnsi="Times New Roman" w:cs="Times New Roman"/>
          <w:sz w:val="24"/>
          <w:szCs w:val="24"/>
        </w:rPr>
      </w:pPr>
      <w:r w:rsidRPr="00EC6C19">
        <w:rPr>
          <w:rFonts w:ascii="Times New Roman" w:hAnsi="Times New Roman" w:cs="Times New Roman"/>
          <w:sz w:val="24"/>
          <w:szCs w:val="24"/>
        </w:rPr>
        <w:t>Change in h</w:t>
      </w:r>
      <w:r w:rsidR="003313EB" w:rsidRPr="00EC6C19">
        <w:rPr>
          <w:rFonts w:ascii="Times New Roman" w:hAnsi="Times New Roman" w:cs="Times New Roman"/>
          <w:sz w:val="24"/>
          <w:szCs w:val="24"/>
        </w:rPr>
        <w:t>yperaemic flow velocity when prone and supine</w:t>
      </w:r>
      <w:r w:rsidR="009946E8">
        <w:rPr>
          <w:rFonts w:ascii="Times New Roman" w:hAnsi="Times New Roman" w:cs="Times New Roman"/>
          <w:sz w:val="24"/>
          <w:szCs w:val="24"/>
        </w:rPr>
        <w:t>.</w:t>
      </w:r>
    </w:p>
    <w:p w14:paraId="75B8B22A" w14:textId="77777777" w:rsidR="003313EB" w:rsidRPr="00EC6C19" w:rsidRDefault="003313EB" w:rsidP="003313EB">
      <w:pPr>
        <w:spacing w:line="360" w:lineRule="auto"/>
        <w:rPr>
          <w:rFonts w:ascii="Times New Roman" w:hAnsi="Times New Roman" w:cs="Times New Roman"/>
          <w:sz w:val="24"/>
          <w:szCs w:val="24"/>
        </w:rPr>
      </w:pPr>
    </w:p>
    <w:p w14:paraId="4997DEE8" w14:textId="77777777" w:rsidR="003313EB" w:rsidRPr="00EC6C19" w:rsidRDefault="003313EB" w:rsidP="003313EB">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Secondary Outcomes</w:t>
      </w:r>
    </w:p>
    <w:p w14:paraId="624F489D" w14:textId="77777777" w:rsidR="003313EB" w:rsidRPr="00EC6C19" w:rsidRDefault="003313EB" w:rsidP="003313EB">
      <w:pPr>
        <w:spacing w:line="360" w:lineRule="auto"/>
        <w:rPr>
          <w:rFonts w:ascii="Times New Roman" w:hAnsi="Times New Roman" w:cs="Times New Roman"/>
          <w:sz w:val="24"/>
          <w:szCs w:val="24"/>
        </w:rPr>
      </w:pPr>
    </w:p>
    <w:p w14:paraId="16A1A32D" w14:textId="08F08910" w:rsidR="003313EB" w:rsidRPr="00EC6C19" w:rsidRDefault="002D12F9" w:rsidP="003313EB">
      <w:pPr>
        <w:pStyle w:val="ListParagraph"/>
        <w:numPr>
          <w:ilvl w:val="0"/>
          <w:numId w:val="43"/>
        </w:num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Correlation in vertical height (wire to aorta on QCA) and change in </w:t>
      </w:r>
      <w:r w:rsidR="009946E8" w:rsidRPr="00EC6C19">
        <w:rPr>
          <w:rFonts w:ascii="Times New Roman" w:hAnsi="Times New Roman" w:cs="Times New Roman"/>
          <w:sz w:val="24"/>
          <w:szCs w:val="24"/>
        </w:rPr>
        <w:t>pressure</w:t>
      </w:r>
      <w:r w:rsidR="009946E8">
        <w:rPr>
          <w:rFonts w:ascii="Times New Roman" w:hAnsi="Times New Roman" w:cs="Times New Roman"/>
          <w:sz w:val="24"/>
          <w:szCs w:val="24"/>
        </w:rPr>
        <w:t>-</w:t>
      </w:r>
      <w:r w:rsidRPr="00EC6C19">
        <w:rPr>
          <w:rFonts w:ascii="Times New Roman" w:hAnsi="Times New Roman" w:cs="Times New Roman"/>
          <w:sz w:val="24"/>
          <w:szCs w:val="24"/>
        </w:rPr>
        <w:t>based measurements (protocol change during recruitment).</w:t>
      </w:r>
    </w:p>
    <w:p w14:paraId="51FDBDA7" w14:textId="77777777" w:rsidR="002D12F9" w:rsidRPr="00EC6C19" w:rsidRDefault="002D12F9" w:rsidP="002D12F9">
      <w:pPr>
        <w:pStyle w:val="ListParagraph"/>
        <w:spacing w:line="360" w:lineRule="auto"/>
        <w:rPr>
          <w:rFonts w:ascii="Times New Roman" w:hAnsi="Times New Roman" w:cs="Times New Roman"/>
          <w:sz w:val="24"/>
          <w:szCs w:val="24"/>
        </w:rPr>
      </w:pPr>
    </w:p>
    <w:p w14:paraId="0E619460" w14:textId="0EC6E8C8" w:rsidR="002D12F9" w:rsidRPr="00EC6C19" w:rsidRDefault="002D12F9" w:rsidP="003313EB">
      <w:pPr>
        <w:pStyle w:val="ListParagraph"/>
        <w:numPr>
          <w:ilvl w:val="0"/>
          <w:numId w:val="43"/>
        </w:num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Change in </w:t>
      </w:r>
      <w:r w:rsidR="009946E8" w:rsidRPr="00EC6C19">
        <w:rPr>
          <w:rFonts w:ascii="Times New Roman" w:hAnsi="Times New Roman" w:cs="Times New Roman"/>
          <w:sz w:val="24"/>
          <w:szCs w:val="24"/>
        </w:rPr>
        <w:t>pressure</w:t>
      </w:r>
      <w:r w:rsidR="009946E8">
        <w:rPr>
          <w:rFonts w:ascii="Times New Roman" w:hAnsi="Times New Roman" w:cs="Times New Roman"/>
          <w:sz w:val="24"/>
          <w:szCs w:val="24"/>
        </w:rPr>
        <w:t>-</w:t>
      </w:r>
      <w:r w:rsidRPr="00EC6C19">
        <w:rPr>
          <w:rFonts w:ascii="Times New Roman" w:hAnsi="Times New Roman" w:cs="Times New Roman"/>
          <w:sz w:val="24"/>
          <w:szCs w:val="24"/>
        </w:rPr>
        <w:t>based measurements (Pd/Pa, iFR and FFR) when the wire is position 'clinically' (protocol change during recruitment).</w:t>
      </w:r>
    </w:p>
    <w:p w14:paraId="5085DF25" w14:textId="77777777" w:rsidR="00863799" w:rsidRPr="00EC6C19" w:rsidRDefault="00863799" w:rsidP="00835EE7">
      <w:pPr>
        <w:spacing w:line="360" w:lineRule="auto"/>
        <w:rPr>
          <w:rFonts w:ascii="Times New Roman" w:hAnsi="Times New Roman" w:cs="Times New Roman"/>
          <w:sz w:val="24"/>
          <w:szCs w:val="24"/>
        </w:rPr>
      </w:pPr>
    </w:p>
    <w:p w14:paraId="3ACE7817" w14:textId="77777777" w:rsidR="002D12F9" w:rsidRPr="00EC6C19" w:rsidRDefault="002D12F9" w:rsidP="00835EE7">
      <w:pPr>
        <w:spacing w:line="360" w:lineRule="auto"/>
        <w:rPr>
          <w:rFonts w:ascii="Times New Roman" w:hAnsi="Times New Roman" w:cs="Times New Roman"/>
          <w:sz w:val="24"/>
          <w:szCs w:val="24"/>
        </w:rPr>
      </w:pPr>
    </w:p>
    <w:p w14:paraId="1DE1E88B" w14:textId="77777777" w:rsidR="002D12F9" w:rsidRPr="00EC6C19" w:rsidRDefault="002D12F9" w:rsidP="00835EE7">
      <w:pPr>
        <w:spacing w:line="360" w:lineRule="auto"/>
        <w:rPr>
          <w:rFonts w:ascii="Times New Roman" w:hAnsi="Times New Roman" w:cs="Times New Roman"/>
          <w:sz w:val="24"/>
          <w:szCs w:val="24"/>
        </w:rPr>
      </w:pPr>
    </w:p>
    <w:p w14:paraId="7EA2DC55" w14:textId="77777777" w:rsidR="002E67B8" w:rsidRDefault="009D00D7" w:rsidP="009D00D7">
      <w:pPr>
        <w:pStyle w:val="Heading2"/>
        <w:rPr>
          <w:rFonts w:ascii="Times New Roman" w:hAnsi="Times New Roman" w:cs="Times New Roman"/>
          <w:color w:val="auto"/>
          <w:sz w:val="24"/>
          <w:szCs w:val="24"/>
        </w:rPr>
      </w:pPr>
      <w:bookmarkStart w:id="142" w:name="Results"/>
      <w:bookmarkStart w:id="143" w:name="_Toc80302246"/>
      <w:bookmarkEnd w:id="142"/>
      <w:r w:rsidRPr="009D00D7">
        <w:rPr>
          <w:rFonts w:ascii="Times New Roman" w:hAnsi="Times New Roman" w:cs="Times New Roman"/>
          <w:color w:val="auto"/>
          <w:sz w:val="24"/>
          <w:szCs w:val="24"/>
        </w:rPr>
        <w:lastRenderedPageBreak/>
        <w:t xml:space="preserve">3.11 - </w:t>
      </w:r>
      <w:r w:rsidR="001C14A0" w:rsidRPr="009D00D7">
        <w:rPr>
          <w:rFonts w:ascii="Times New Roman" w:hAnsi="Times New Roman" w:cs="Times New Roman"/>
          <w:color w:val="auto"/>
          <w:sz w:val="24"/>
          <w:szCs w:val="24"/>
        </w:rPr>
        <w:t>Results</w:t>
      </w:r>
      <w:r w:rsidRPr="009D00D7">
        <w:rPr>
          <w:rFonts w:ascii="Times New Roman" w:hAnsi="Times New Roman" w:cs="Times New Roman"/>
          <w:color w:val="auto"/>
          <w:sz w:val="24"/>
          <w:szCs w:val="24"/>
        </w:rPr>
        <w:t xml:space="preserve"> </w:t>
      </w:r>
      <w:r w:rsidR="002E67B8" w:rsidRPr="009D00D7">
        <w:rPr>
          <w:rFonts w:ascii="Times New Roman" w:hAnsi="Times New Roman" w:cs="Times New Roman"/>
          <w:color w:val="auto"/>
          <w:sz w:val="24"/>
          <w:szCs w:val="24"/>
        </w:rPr>
        <w:t>Overview</w:t>
      </w:r>
      <w:bookmarkEnd w:id="143"/>
    </w:p>
    <w:p w14:paraId="48EB9FCA" w14:textId="77777777" w:rsidR="009D00D7" w:rsidRPr="009D00D7" w:rsidRDefault="009D00D7" w:rsidP="009D00D7"/>
    <w:p w14:paraId="125DEC6A" w14:textId="77777777" w:rsidR="002E67B8" w:rsidRPr="00EC6C19" w:rsidRDefault="002E67B8" w:rsidP="004209DA">
      <w:pPr>
        <w:spacing w:line="360" w:lineRule="auto"/>
        <w:rPr>
          <w:rFonts w:ascii="Times New Roman" w:hAnsi="Times New Roman" w:cs="Times New Roman"/>
          <w:sz w:val="24"/>
          <w:szCs w:val="24"/>
        </w:rPr>
      </w:pPr>
    </w:p>
    <w:p w14:paraId="384364CB" w14:textId="7FDCFC72" w:rsidR="004209DA" w:rsidRPr="00EC6C19" w:rsidRDefault="004209DA" w:rsidP="004209DA">
      <w:pPr>
        <w:spacing w:line="360" w:lineRule="auto"/>
        <w:rPr>
          <w:rFonts w:ascii="Times New Roman" w:hAnsi="Times New Roman" w:cs="Times New Roman"/>
          <w:sz w:val="24"/>
          <w:szCs w:val="24"/>
        </w:rPr>
      </w:pPr>
      <w:r w:rsidRPr="00EC6C19">
        <w:rPr>
          <w:rFonts w:ascii="Times New Roman" w:hAnsi="Times New Roman" w:cs="Times New Roman"/>
          <w:sz w:val="24"/>
          <w:szCs w:val="24"/>
        </w:rPr>
        <w:t>The results in this chapter will be divided into the following sections</w:t>
      </w:r>
      <w:r w:rsidR="007942D1">
        <w:rPr>
          <w:rFonts w:ascii="Times New Roman" w:hAnsi="Times New Roman" w:cs="Times New Roman"/>
          <w:sz w:val="24"/>
          <w:szCs w:val="24"/>
        </w:rPr>
        <w:t>:</w:t>
      </w:r>
    </w:p>
    <w:p w14:paraId="0C7E81C3" w14:textId="77777777" w:rsidR="00063D24" w:rsidRPr="00EC6C19" w:rsidRDefault="00063D24" w:rsidP="004209DA">
      <w:pPr>
        <w:spacing w:line="360" w:lineRule="auto"/>
        <w:rPr>
          <w:rFonts w:ascii="Times New Roman" w:hAnsi="Times New Roman" w:cs="Times New Roman"/>
          <w:sz w:val="24"/>
          <w:szCs w:val="24"/>
        </w:rPr>
      </w:pPr>
    </w:p>
    <w:p w14:paraId="6C44CA4A" w14:textId="77777777" w:rsidR="00D96B0E" w:rsidRPr="00EC6C19" w:rsidRDefault="00D96B0E" w:rsidP="004209DA">
      <w:pPr>
        <w:pStyle w:val="ListParagraph"/>
        <w:numPr>
          <w:ilvl w:val="0"/>
          <w:numId w:val="27"/>
        </w:numPr>
        <w:spacing w:line="360" w:lineRule="auto"/>
        <w:rPr>
          <w:rFonts w:ascii="Times New Roman" w:hAnsi="Times New Roman" w:cs="Times New Roman"/>
          <w:sz w:val="24"/>
          <w:szCs w:val="24"/>
        </w:rPr>
      </w:pPr>
      <w:r w:rsidRPr="00EC6C19">
        <w:rPr>
          <w:rFonts w:ascii="Times New Roman" w:hAnsi="Times New Roman" w:cs="Times New Roman"/>
          <w:sz w:val="24"/>
          <w:szCs w:val="24"/>
        </w:rPr>
        <w:t>Patient Demographics</w:t>
      </w:r>
    </w:p>
    <w:p w14:paraId="2611586B" w14:textId="77777777" w:rsidR="008F0E03" w:rsidRPr="00EC6C19" w:rsidRDefault="008F0E03" w:rsidP="008F0E03">
      <w:pPr>
        <w:pStyle w:val="ListParagraph"/>
        <w:spacing w:line="360" w:lineRule="auto"/>
        <w:rPr>
          <w:rFonts w:ascii="Times New Roman" w:hAnsi="Times New Roman" w:cs="Times New Roman"/>
          <w:sz w:val="24"/>
          <w:szCs w:val="24"/>
        </w:rPr>
      </w:pPr>
    </w:p>
    <w:p w14:paraId="0279CB21" w14:textId="77777777" w:rsidR="00D96B0E" w:rsidRPr="00EC6C19" w:rsidRDefault="00D96B0E" w:rsidP="004209DA">
      <w:pPr>
        <w:pStyle w:val="ListParagraph"/>
        <w:numPr>
          <w:ilvl w:val="0"/>
          <w:numId w:val="27"/>
        </w:numPr>
        <w:spacing w:line="360" w:lineRule="auto"/>
        <w:rPr>
          <w:rFonts w:ascii="Times New Roman" w:hAnsi="Times New Roman" w:cs="Times New Roman"/>
          <w:sz w:val="24"/>
          <w:szCs w:val="24"/>
        </w:rPr>
      </w:pPr>
      <w:r w:rsidRPr="00EC6C19">
        <w:rPr>
          <w:rFonts w:ascii="Times New Roman" w:hAnsi="Times New Roman" w:cs="Times New Roman"/>
          <w:sz w:val="24"/>
          <w:szCs w:val="24"/>
        </w:rPr>
        <w:t>Angiographic data</w:t>
      </w:r>
    </w:p>
    <w:p w14:paraId="157264B1" w14:textId="77777777" w:rsidR="008F0E03" w:rsidRPr="00EC6C19" w:rsidRDefault="008F0E03" w:rsidP="008F0E03">
      <w:pPr>
        <w:pStyle w:val="ListParagraph"/>
        <w:spacing w:line="360" w:lineRule="auto"/>
        <w:rPr>
          <w:rFonts w:ascii="Times New Roman" w:hAnsi="Times New Roman" w:cs="Times New Roman"/>
          <w:sz w:val="24"/>
          <w:szCs w:val="24"/>
        </w:rPr>
      </w:pPr>
    </w:p>
    <w:p w14:paraId="608D9A84" w14:textId="77777777" w:rsidR="004209DA" w:rsidRPr="00EC6C19" w:rsidRDefault="004209DA" w:rsidP="004209DA">
      <w:pPr>
        <w:pStyle w:val="ListParagraph"/>
        <w:numPr>
          <w:ilvl w:val="0"/>
          <w:numId w:val="27"/>
        </w:numPr>
        <w:spacing w:line="360" w:lineRule="auto"/>
        <w:rPr>
          <w:rFonts w:ascii="Times New Roman" w:hAnsi="Times New Roman" w:cs="Times New Roman"/>
          <w:sz w:val="24"/>
          <w:szCs w:val="24"/>
        </w:rPr>
      </w:pPr>
      <w:r w:rsidRPr="00EC6C19">
        <w:rPr>
          <w:rFonts w:ascii="Times New Roman" w:hAnsi="Times New Roman" w:cs="Times New Roman"/>
          <w:sz w:val="24"/>
          <w:szCs w:val="24"/>
        </w:rPr>
        <w:t>Resting Indices</w:t>
      </w:r>
      <w:r w:rsidR="000B71DA" w:rsidRPr="00EC6C19">
        <w:rPr>
          <w:rFonts w:ascii="Times New Roman" w:hAnsi="Times New Roman" w:cs="Times New Roman"/>
          <w:sz w:val="24"/>
          <w:szCs w:val="24"/>
        </w:rPr>
        <w:t xml:space="preserve"> (Pd/Pa</w:t>
      </w:r>
      <w:r w:rsidR="00451499" w:rsidRPr="00EC6C19">
        <w:rPr>
          <w:rFonts w:ascii="Times New Roman" w:hAnsi="Times New Roman" w:cs="Times New Roman"/>
          <w:sz w:val="24"/>
          <w:szCs w:val="24"/>
        </w:rPr>
        <w:t>, iFR</w:t>
      </w:r>
      <w:r w:rsidR="000B71DA" w:rsidRPr="00EC6C19">
        <w:rPr>
          <w:rFonts w:ascii="Times New Roman" w:hAnsi="Times New Roman" w:cs="Times New Roman"/>
          <w:sz w:val="24"/>
          <w:szCs w:val="24"/>
        </w:rPr>
        <w:t>)</w:t>
      </w:r>
    </w:p>
    <w:p w14:paraId="336D9DFC" w14:textId="77777777" w:rsidR="008F0E03" w:rsidRPr="00EC6C19" w:rsidRDefault="008F0E03" w:rsidP="008F0E03">
      <w:pPr>
        <w:pStyle w:val="ListParagraph"/>
        <w:spacing w:line="360" w:lineRule="auto"/>
        <w:rPr>
          <w:rFonts w:ascii="Times New Roman" w:hAnsi="Times New Roman" w:cs="Times New Roman"/>
          <w:sz w:val="24"/>
          <w:szCs w:val="24"/>
        </w:rPr>
      </w:pPr>
    </w:p>
    <w:p w14:paraId="0F5292D5" w14:textId="77777777" w:rsidR="004209DA" w:rsidRPr="00EC6C19" w:rsidRDefault="004209DA" w:rsidP="004209DA">
      <w:pPr>
        <w:pStyle w:val="ListParagraph"/>
        <w:numPr>
          <w:ilvl w:val="0"/>
          <w:numId w:val="27"/>
        </w:numPr>
        <w:spacing w:line="360" w:lineRule="auto"/>
        <w:rPr>
          <w:rFonts w:ascii="Times New Roman" w:hAnsi="Times New Roman" w:cs="Times New Roman"/>
          <w:sz w:val="24"/>
          <w:szCs w:val="24"/>
        </w:rPr>
      </w:pPr>
      <w:r w:rsidRPr="00EC6C19">
        <w:rPr>
          <w:rFonts w:ascii="Times New Roman" w:hAnsi="Times New Roman" w:cs="Times New Roman"/>
          <w:sz w:val="24"/>
          <w:szCs w:val="24"/>
        </w:rPr>
        <w:t>Hyperaemic Indices</w:t>
      </w:r>
      <w:r w:rsidR="000B71DA" w:rsidRPr="00EC6C19">
        <w:rPr>
          <w:rFonts w:ascii="Times New Roman" w:hAnsi="Times New Roman" w:cs="Times New Roman"/>
          <w:sz w:val="24"/>
          <w:szCs w:val="24"/>
        </w:rPr>
        <w:t xml:space="preserve"> (FFR)</w:t>
      </w:r>
    </w:p>
    <w:p w14:paraId="6DD7B763" w14:textId="77777777" w:rsidR="008F0E03" w:rsidRPr="00EC6C19" w:rsidRDefault="008F0E03" w:rsidP="008F0E03">
      <w:pPr>
        <w:pStyle w:val="ListParagraph"/>
        <w:spacing w:line="360" w:lineRule="auto"/>
        <w:rPr>
          <w:rFonts w:ascii="Times New Roman" w:hAnsi="Times New Roman" w:cs="Times New Roman"/>
          <w:sz w:val="24"/>
          <w:szCs w:val="24"/>
        </w:rPr>
      </w:pPr>
    </w:p>
    <w:p w14:paraId="07A35225" w14:textId="77777777" w:rsidR="005E6779" w:rsidRPr="00EC6C19" w:rsidRDefault="004209DA" w:rsidP="00D96B0E">
      <w:pPr>
        <w:pStyle w:val="ListParagraph"/>
        <w:numPr>
          <w:ilvl w:val="0"/>
          <w:numId w:val="27"/>
        </w:numPr>
        <w:spacing w:line="360" w:lineRule="auto"/>
        <w:rPr>
          <w:rFonts w:ascii="Times New Roman" w:hAnsi="Times New Roman" w:cs="Times New Roman"/>
          <w:sz w:val="24"/>
          <w:szCs w:val="24"/>
        </w:rPr>
      </w:pPr>
      <w:r w:rsidRPr="00EC6C19">
        <w:rPr>
          <w:rFonts w:ascii="Times New Roman" w:hAnsi="Times New Roman" w:cs="Times New Roman"/>
          <w:sz w:val="24"/>
          <w:szCs w:val="24"/>
        </w:rPr>
        <w:t>Velocity / Flow measurements</w:t>
      </w:r>
    </w:p>
    <w:p w14:paraId="1F930E9D" w14:textId="77777777" w:rsidR="005E6779" w:rsidRPr="00EC6C19" w:rsidRDefault="005E6779" w:rsidP="005E6779">
      <w:pPr>
        <w:pStyle w:val="ListParagraph"/>
        <w:spacing w:line="360" w:lineRule="auto"/>
        <w:rPr>
          <w:rFonts w:ascii="Times New Roman" w:hAnsi="Times New Roman" w:cs="Times New Roman"/>
          <w:sz w:val="24"/>
          <w:szCs w:val="24"/>
        </w:rPr>
      </w:pPr>
    </w:p>
    <w:p w14:paraId="67A46736" w14:textId="77777777" w:rsidR="004209DA" w:rsidRPr="00EC6C19" w:rsidRDefault="004209DA" w:rsidP="004209DA">
      <w:pPr>
        <w:spacing w:line="360" w:lineRule="auto"/>
        <w:rPr>
          <w:rFonts w:ascii="Times New Roman" w:hAnsi="Times New Roman" w:cs="Times New Roman"/>
          <w:sz w:val="24"/>
          <w:szCs w:val="24"/>
        </w:rPr>
      </w:pPr>
    </w:p>
    <w:p w14:paraId="29187C14" w14:textId="77777777" w:rsidR="008758E7" w:rsidRPr="009D00D7" w:rsidRDefault="009D00D7" w:rsidP="009D00D7">
      <w:pPr>
        <w:pStyle w:val="Heading2"/>
        <w:rPr>
          <w:rFonts w:ascii="Times New Roman" w:hAnsi="Times New Roman" w:cs="Times New Roman"/>
          <w:color w:val="auto"/>
          <w:sz w:val="24"/>
          <w:szCs w:val="24"/>
        </w:rPr>
      </w:pPr>
      <w:bookmarkStart w:id="144" w:name="_Toc80302247"/>
      <w:r w:rsidRPr="009D00D7">
        <w:rPr>
          <w:rFonts w:ascii="Times New Roman" w:hAnsi="Times New Roman" w:cs="Times New Roman"/>
          <w:color w:val="auto"/>
          <w:sz w:val="24"/>
          <w:szCs w:val="24"/>
        </w:rPr>
        <w:t xml:space="preserve">3.12 - </w:t>
      </w:r>
      <w:r w:rsidR="008758E7" w:rsidRPr="009D00D7">
        <w:rPr>
          <w:rFonts w:ascii="Times New Roman" w:hAnsi="Times New Roman" w:cs="Times New Roman"/>
          <w:color w:val="auto"/>
          <w:sz w:val="24"/>
          <w:szCs w:val="24"/>
        </w:rPr>
        <w:t>The First Patient</w:t>
      </w:r>
      <w:bookmarkEnd w:id="144"/>
      <w:r>
        <w:rPr>
          <w:rFonts w:ascii="Times New Roman" w:hAnsi="Times New Roman" w:cs="Times New Roman"/>
          <w:color w:val="auto"/>
          <w:sz w:val="24"/>
          <w:szCs w:val="24"/>
        </w:rPr>
        <w:br/>
      </w:r>
    </w:p>
    <w:p w14:paraId="2B5CCF9A" w14:textId="77777777" w:rsidR="008758E7" w:rsidRPr="00EC6C19" w:rsidRDefault="008758E7" w:rsidP="004209DA">
      <w:pPr>
        <w:spacing w:line="360" w:lineRule="auto"/>
        <w:rPr>
          <w:rFonts w:ascii="Times New Roman" w:hAnsi="Times New Roman" w:cs="Times New Roman"/>
          <w:b/>
          <w:sz w:val="24"/>
          <w:szCs w:val="24"/>
        </w:rPr>
      </w:pPr>
    </w:p>
    <w:p w14:paraId="22951399" w14:textId="202AC6E5" w:rsidR="00131A37" w:rsidRPr="000B3A27" w:rsidRDefault="008758E7" w:rsidP="004209DA">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first </w:t>
      </w:r>
      <w:r w:rsidRPr="000B3A27">
        <w:rPr>
          <w:rFonts w:ascii="Times New Roman" w:hAnsi="Times New Roman" w:cs="Times New Roman"/>
          <w:sz w:val="24"/>
          <w:szCs w:val="24"/>
        </w:rPr>
        <w:t>patient was recruited on the 14th of July 2017.</w:t>
      </w:r>
    </w:p>
    <w:p w14:paraId="4C1DA774" w14:textId="77777777" w:rsidR="008D6A74" w:rsidRPr="00EC6C19" w:rsidRDefault="008D6A74" w:rsidP="004209DA">
      <w:pPr>
        <w:spacing w:line="360" w:lineRule="auto"/>
        <w:rPr>
          <w:rFonts w:ascii="Times New Roman" w:hAnsi="Times New Roman" w:cs="Times New Roman"/>
          <w:sz w:val="24"/>
          <w:szCs w:val="24"/>
        </w:rPr>
      </w:pPr>
    </w:p>
    <w:p w14:paraId="28ADE2EF" w14:textId="77777777" w:rsidR="00900D9A" w:rsidRPr="006E04BF" w:rsidRDefault="006E04BF" w:rsidP="006E04BF">
      <w:pPr>
        <w:pStyle w:val="Heading2"/>
        <w:rPr>
          <w:rFonts w:ascii="Times New Roman" w:hAnsi="Times New Roman" w:cs="Times New Roman"/>
          <w:color w:val="auto"/>
          <w:sz w:val="24"/>
          <w:szCs w:val="24"/>
        </w:rPr>
      </w:pPr>
      <w:bookmarkStart w:id="145" w:name="_Toc80302248"/>
      <w:r w:rsidRPr="006E04BF">
        <w:rPr>
          <w:rFonts w:ascii="Times New Roman" w:hAnsi="Times New Roman" w:cs="Times New Roman"/>
          <w:color w:val="auto"/>
          <w:sz w:val="24"/>
          <w:szCs w:val="24"/>
        </w:rPr>
        <w:t xml:space="preserve">3.13 - </w:t>
      </w:r>
      <w:r w:rsidR="00900D9A" w:rsidRPr="006E04BF">
        <w:rPr>
          <w:rFonts w:ascii="Times New Roman" w:hAnsi="Times New Roman" w:cs="Times New Roman"/>
          <w:color w:val="auto"/>
          <w:sz w:val="24"/>
          <w:szCs w:val="24"/>
        </w:rPr>
        <w:t>Patient Demographics</w:t>
      </w:r>
      <w:bookmarkEnd w:id="145"/>
      <w:r>
        <w:rPr>
          <w:rFonts w:ascii="Times New Roman" w:hAnsi="Times New Roman" w:cs="Times New Roman"/>
          <w:color w:val="auto"/>
          <w:sz w:val="24"/>
          <w:szCs w:val="24"/>
        </w:rPr>
        <w:br/>
      </w:r>
    </w:p>
    <w:p w14:paraId="31E7C3D7" w14:textId="77777777" w:rsidR="002D12F9" w:rsidRPr="00EC6C19" w:rsidRDefault="002D12F9" w:rsidP="004209DA">
      <w:pPr>
        <w:spacing w:line="360" w:lineRule="auto"/>
        <w:rPr>
          <w:rFonts w:ascii="Times New Roman" w:hAnsi="Times New Roman" w:cs="Times New Roman"/>
          <w:b/>
          <w:sz w:val="24"/>
          <w:szCs w:val="24"/>
        </w:rPr>
      </w:pPr>
    </w:p>
    <w:p w14:paraId="2350E0DB" w14:textId="5BCD9FAB" w:rsidR="00CD6258" w:rsidRPr="00EC6C19" w:rsidRDefault="002D12F9" w:rsidP="004209DA">
      <w:pPr>
        <w:spacing w:line="360" w:lineRule="auto"/>
        <w:rPr>
          <w:rFonts w:ascii="Times New Roman" w:hAnsi="Times New Roman" w:cs="Times New Roman"/>
          <w:sz w:val="24"/>
          <w:szCs w:val="24"/>
        </w:rPr>
      </w:pPr>
      <w:r w:rsidRPr="00EC6C19">
        <w:rPr>
          <w:rFonts w:ascii="Times New Roman" w:hAnsi="Times New Roman" w:cs="Times New Roman"/>
          <w:sz w:val="24"/>
          <w:szCs w:val="24"/>
        </w:rPr>
        <w:t>Twenty</w:t>
      </w:r>
      <w:r w:rsidR="007942D1">
        <w:rPr>
          <w:rFonts w:ascii="Times New Roman" w:hAnsi="Times New Roman" w:cs="Times New Roman"/>
          <w:sz w:val="24"/>
          <w:szCs w:val="24"/>
        </w:rPr>
        <w:t>-</w:t>
      </w:r>
      <w:r w:rsidRPr="00EC6C19">
        <w:rPr>
          <w:rFonts w:ascii="Times New Roman" w:hAnsi="Times New Roman" w:cs="Times New Roman"/>
          <w:sz w:val="24"/>
          <w:szCs w:val="24"/>
        </w:rPr>
        <w:t>one patients were recruited with twenty three coronary lesions</w:t>
      </w:r>
      <w:r w:rsidR="0069202A" w:rsidRPr="00EC6C19">
        <w:rPr>
          <w:rFonts w:ascii="Times New Roman" w:hAnsi="Times New Roman" w:cs="Times New Roman"/>
          <w:sz w:val="24"/>
          <w:szCs w:val="24"/>
        </w:rPr>
        <w:t>, between July 2017 and August 2018</w:t>
      </w:r>
      <w:r w:rsidRPr="00EC6C19">
        <w:rPr>
          <w:rFonts w:ascii="Times New Roman" w:hAnsi="Times New Roman" w:cs="Times New Roman"/>
          <w:sz w:val="24"/>
          <w:szCs w:val="24"/>
        </w:rPr>
        <w:t xml:space="preserve">. Ten </w:t>
      </w:r>
      <w:r w:rsidR="0069202A" w:rsidRPr="00EC6C19">
        <w:rPr>
          <w:rFonts w:ascii="Times New Roman" w:hAnsi="Times New Roman" w:cs="Times New Roman"/>
          <w:sz w:val="24"/>
          <w:szCs w:val="24"/>
        </w:rPr>
        <w:t>LAD, seven</w:t>
      </w:r>
      <w:r w:rsidRPr="00EC6C19">
        <w:rPr>
          <w:rFonts w:ascii="Times New Roman" w:hAnsi="Times New Roman" w:cs="Times New Roman"/>
          <w:sz w:val="24"/>
          <w:szCs w:val="24"/>
        </w:rPr>
        <w:t xml:space="preserve"> Cx and six RCA</w:t>
      </w:r>
      <w:r w:rsidR="0069202A" w:rsidRPr="00EC6C19">
        <w:rPr>
          <w:rFonts w:ascii="Times New Roman" w:hAnsi="Times New Roman" w:cs="Times New Roman"/>
          <w:sz w:val="24"/>
          <w:szCs w:val="24"/>
        </w:rPr>
        <w:t xml:space="preserve"> lesions were included in analysis</w:t>
      </w:r>
      <w:r w:rsidRPr="00EC6C19">
        <w:rPr>
          <w:rFonts w:ascii="Times New Roman" w:hAnsi="Times New Roman" w:cs="Times New Roman"/>
          <w:sz w:val="24"/>
          <w:szCs w:val="24"/>
        </w:rPr>
        <w:t xml:space="preserve">. </w:t>
      </w:r>
    </w:p>
    <w:p w14:paraId="70CEEB8D" w14:textId="77777777" w:rsidR="0069202A" w:rsidRPr="00EC6C19" w:rsidRDefault="00B1734E" w:rsidP="0069202A">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 xml:space="preserve">Patient demographics are </w:t>
      </w:r>
      <w:r w:rsidRPr="007F2FD6">
        <w:rPr>
          <w:rFonts w:ascii="Times New Roman" w:hAnsi="Times New Roman" w:cs="Times New Roman"/>
          <w:sz w:val="24"/>
          <w:szCs w:val="24"/>
        </w:rPr>
        <w:t xml:space="preserve">summarised in </w:t>
      </w:r>
      <w:r w:rsidR="007F2FD6" w:rsidRPr="007F2FD6">
        <w:rPr>
          <w:rFonts w:ascii="Times New Roman" w:hAnsi="Times New Roman" w:cs="Times New Roman"/>
          <w:sz w:val="24"/>
          <w:szCs w:val="24"/>
        </w:rPr>
        <w:t>t</w:t>
      </w:r>
      <w:r w:rsidRPr="007F2FD6">
        <w:rPr>
          <w:rFonts w:ascii="Times New Roman" w:hAnsi="Times New Roman" w:cs="Times New Roman"/>
          <w:sz w:val="24"/>
          <w:szCs w:val="24"/>
        </w:rPr>
        <w:t xml:space="preserve">able </w:t>
      </w:r>
      <w:r w:rsidR="007F2FD6" w:rsidRPr="007F2FD6">
        <w:rPr>
          <w:rFonts w:ascii="Times New Roman" w:hAnsi="Times New Roman" w:cs="Times New Roman"/>
          <w:sz w:val="24"/>
          <w:szCs w:val="24"/>
        </w:rPr>
        <w:t>11</w:t>
      </w:r>
      <w:r w:rsidRPr="007F2FD6">
        <w:rPr>
          <w:rFonts w:ascii="Times New Roman" w:hAnsi="Times New Roman" w:cs="Times New Roman"/>
          <w:sz w:val="24"/>
          <w:szCs w:val="24"/>
        </w:rPr>
        <w:t xml:space="preserve"> below.</w:t>
      </w:r>
      <w:r w:rsidRPr="00EC6C19">
        <w:rPr>
          <w:rFonts w:ascii="Times New Roman" w:hAnsi="Times New Roman" w:cs="Times New Roman"/>
          <w:sz w:val="24"/>
          <w:szCs w:val="24"/>
        </w:rPr>
        <w:t xml:space="preserve"> </w:t>
      </w:r>
      <w:r w:rsidR="0069202A" w:rsidRPr="00EC6C19">
        <w:rPr>
          <w:rFonts w:ascii="Times New Roman" w:hAnsi="Times New Roman" w:cs="Times New Roman"/>
          <w:sz w:val="24"/>
          <w:szCs w:val="24"/>
        </w:rPr>
        <w:t xml:space="preserve">All patients were male. Three female patients declined study participation. Two patients had two lesions assessed as part of one procedure. One with a lesion in the LAD and PDA, a second with PLV and Cx. </w:t>
      </w:r>
      <w:r w:rsidR="008F2A61">
        <w:rPr>
          <w:rFonts w:ascii="Times New Roman" w:hAnsi="Times New Roman" w:cs="Times New Roman"/>
          <w:sz w:val="24"/>
          <w:szCs w:val="24"/>
        </w:rPr>
        <w:t>All right coronary lesions were in a dominant vessel.</w:t>
      </w:r>
    </w:p>
    <w:p w14:paraId="4D2F70B1" w14:textId="77777777" w:rsidR="00267060" w:rsidRPr="00EC6C19" w:rsidRDefault="0069202A" w:rsidP="004209DA">
      <w:pPr>
        <w:spacing w:line="360" w:lineRule="auto"/>
        <w:rPr>
          <w:rFonts w:ascii="Times New Roman" w:hAnsi="Times New Roman" w:cs="Times New Roman"/>
          <w:sz w:val="24"/>
          <w:szCs w:val="24"/>
        </w:rPr>
      </w:pPr>
      <w:r w:rsidRPr="00EC6C19">
        <w:rPr>
          <w:rFonts w:ascii="Times New Roman" w:hAnsi="Times New Roman" w:cs="Times New Roman"/>
          <w:sz w:val="24"/>
          <w:szCs w:val="24"/>
        </w:rPr>
        <w:t>One patient suffered a physiology wire related dissection in side branch of a main vessel. This was treated conservatively with no clinical sequelae. The patient was discharged home the same day. There were no other adverse events post procedure for any recruited patient.</w:t>
      </w:r>
    </w:p>
    <w:p w14:paraId="30030281" w14:textId="77777777" w:rsidR="00A23015" w:rsidRPr="00EC6C19" w:rsidRDefault="00A23015" w:rsidP="004209DA">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2854"/>
        <w:gridCol w:w="1570"/>
        <w:gridCol w:w="1718"/>
        <w:gridCol w:w="1612"/>
        <w:gridCol w:w="1606"/>
      </w:tblGrid>
      <w:tr w:rsidR="00B1734E" w:rsidRPr="00EC6C19" w14:paraId="3BA783B9" w14:textId="77777777" w:rsidTr="00935A4C">
        <w:tc>
          <w:tcPr>
            <w:tcW w:w="2878" w:type="dxa"/>
            <w:tcBorders>
              <w:bottom w:val="single" w:sz="18" w:space="0" w:color="000000" w:themeColor="text1"/>
            </w:tcBorders>
            <w:shd w:val="clear" w:color="auto" w:fill="F2F2F2" w:themeFill="background1" w:themeFillShade="F2"/>
          </w:tcPr>
          <w:p w14:paraId="7E83DE49" w14:textId="77777777" w:rsidR="00B1734E" w:rsidRPr="00EC6C19" w:rsidRDefault="00B1734E" w:rsidP="0066656C">
            <w:pPr>
              <w:spacing w:line="360" w:lineRule="auto"/>
              <w:jc w:val="center"/>
              <w:rPr>
                <w:rFonts w:ascii="Times New Roman" w:hAnsi="Times New Roman" w:cs="Times New Roman"/>
                <w:b/>
                <w:sz w:val="24"/>
                <w:szCs w:val="24"/>
              </w:rPr>
            </w:pPr>
          </w:p>
          <w:p w14:paraId="23F3850A" w14:textId="77777777" w:rsidR="00B1734E" w:rsidRPr="00EC6C19" w:rsidRDefault="00B1734E" w:rsidP="0066656C">
            <w:pPr>
              <w:spacing w:line="360" w:lineRule="auto"/>
              <w:jc w:val="center"/>
              <w:rPr>
                <w:rFonts w:ascii="Times New Roman" w:hAnsi="Times New Roman" w:cs="Times New Roman"/>
                <w:b/>
                <w:sz w:val="24"/>
                <w:szCs w:val="24"/>
              </w:rPr>
            </w:pPr>
          </w:p>
        </w:tc>
        <w:tc>
          <w:tcPr>
            <w:tcW w:w="1618" w:type="dxa"/>
            <w:tcBorders>
              <w:bottom w:val="single" w:sz="18" w:space="0" w:color="000000" w:themeColor="text1"/>
            </w:tcBorders>
            <w:shd w:val="clear" w:color="auto" w:fill="F2F2F2" w:themeFill="background1" w:themeFillShade="F2"/>
          </w:tcPr>
          <w:p w14:paraId="5043A779"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Total</w:t>
            </w:r>
            <w:r w:rsidR="00614D9C" w:rsidRPr="00EC6C19">
              <w:rPr>
                <w:rFonts w:ascii="Times New Roman" w:hAnsi="Times New Roman" w:cs="Times New Roman"/>
                <w:sz w:val="24"/>
                <w:szCs w:val="24"/>
              </w:rPr>
              <w:t xml:space="preserve"> (%)</w:t>
            </w:r>
          </w:p>
        </w:tc>
        <w:tc>
          <w:tcPr>
            <w:tcW w:w="1761" w:type="dxa"/>
            <w:tcBorders>
              <w:bottom w:val="single" w:sz="18" w:space="0" w:color="000000" w:themeColor="text1"/>
            </w:tcBorders>
            <w:shd w:val="clear" w:color="auto" w:fill="F2F2F2" w:themeFill="background1" w:themeFillShade="F2"/>
          </w:tcPr>
          <w:p w14:paraId="4E7CBACD"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w:t>
            </w:r>
            <w:r w:rsidR="0081313C" w:rsidRPr="00EC6C19">
              <w:rPr>
                <w:rFonts w:ascii="Times New Roman" w:hAnsi="Times New Roman" w:cs="Times New Roman"/>
                <w:sz w:val="24"/>
                <w:szCs w:val="24"/>
              </w:rPr>
              <w:t xml:space="preserve"> (%)</w:t>
            </w:r>
          </w:p>
        </w:tc>
        <w:tc>
          <w:tcPr>
            <w:tcW w:w="1663" w:type="dxa"/>
            <w:tcBorders>
              <w:bottom w:val="single" w:sz="18" w:space="0" w:color="000000" w:themeColor="text1"/>
            </w:tcBorders>
            <w:shd w:val="clear" w:color="auto" w:fill="F2F2F2" w:themeFill="background1" w:themeFillShade="F2"/>
          </w:tcPr>
          <w:p w14:paraId="22172F41"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Cx</w:t>
            </w:r>
            <w:r w:rsidR="0081313C" w:rsidRPr="00EC6C19">
              <w:rPr>
                <w:rFonts w:ascii="Times New Roman" w:hAnsi="Times New Roman" w:cs="Times New Roman"/>
                <w:sz w:val="24"/>
                <w:szCs w:val="24"/>
              </w:rPr>
              <w:t xml:space="preserve"> (%)</w:t>
            </w:r>
          </w:p>
        </w:tc>
        <w:tc>
          <w:tcPr>
            <w:tcW w:w="1656" w:type="dxa"/>
            <w:tcBorders>
              <w:bottom w:val="single" w:sz="18" w:space="0" w:color="000000" w:themeColor="text1"/>
            </w:tcBorders>
            <w:shd w:val="clear" w:color="auto" w:fill="F2F2F2" w:themeFill="background1" w:themeFillShade="F2"/>
          </w:tcPr>
          <w:p w14:paraId="6E7C8FDA"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RCA</w:t>
            </w:r>
            <w:r w:rsidR="0081313C" w:rsidRPr="00EC6C19">
              <w:rPr>
                <w:rFonts w:ascii="Times New Roman" w:hAnsi="Times New Roman" w:cs="Times New Roman"/>
                <w:sz w:val="24"/>
                <w:szCs w:val="24"/>
              </w:rPr>
              <w:t xml:space="preserve"> (%)</w:t>
            </w:r>
          </w:p>
        </w:tc>
      </w:tr>
      <w:tr w:rsidR="00614D9C" w:rsidRPr="00EC6C19" w14:paraId="1AD9ED4E" w14:textId="77777777" w:rsidTr="00935A4C">
        <w:tc>
          <w:tcPr>
            <w:tcW w:w="2878" w:type="dxa"/>
            <w:tcBorders>
              <w:top w:val="single" w:sz="18" w:space="0" w:color="000000" w:themeColor="text1"/>
            </w:tcBorders>
            <w:shd w:val="clear" w:color="auto" w:fill="FFFFFF" w:themeFill="background1"/>
          </w:tcPr>
          <w:p w14:paraId="24752ED8" w14:textId="77777777" w:rsidR="00614D9C"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Total Number</w:t>
            </w:r>
          </w:p>
          <w:p w14:paraId="3E92D7C1" w14:textId="77777777" w:rsidR="00614D9C" w:rsidRPr="00EC6C19" w:rsidRDefault="00614D9C" w:rsidP="0066656C">
            <w:pPr>
              <w:spacing w:line="360" w:lineRule="auto"/>
              <w:jc w:val="center"/>
              <w:rPr>
                <w:rFonts w:ascii="Times New Roman" w:hAnsi="Times New Roman" w:cs="Times New Roman"/>
                <w:sz w:val="24"/>
                <w:szCs w:val="24"/>
              </w:rPr>
            </w:pPr>
          </w:p>
        </w:tc>
        <w:tc>
          <w:tcPr>
            <w:tcW w:w="1618" w:type="dxa"/>
            <w:tcBorders>
              <w:top w:val="single" w:sz="18" w:space="0" w:color="000000" w:themeColor="text1"/>
            </w:tcBorders>
            <w:shd w:val="clear" w:color="auto" w:fill="FFFFFF" w:themeFill="background1"/>
          </w:tcPr>
          <w:p w14:paraId="226BE54D" w14:textId="77777777" w:rsidR="00614D9C"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23 (100)</w:t>
            </w:r>
          </w:p>
        </w:tc>
        <w:tc>
          <w:tcPr>
            <w:tcW w:w="1761" w:type="dxa"/>
            <w:tcBorders>
              <w:top w:val="single" w:sz="18" w:space="0" w:color="000000" w:themeColor="text1"/>
            </w:tcBorders>
            <w:shd w:val="clear" w:color="auto" w:fill="FFFFFF" w:themeFill="background1"/>
          </w:tcPr>
          <w:p w14:paraId="20487AD0" w14:textId="77777777" w:rsidR="00614D9C"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663" w:type="dxa"/>
            <w:tcBorders>
              <w:top w:val="single" w:sz="18" w:space="0" w:color="000000" w:themeColor="text1"/>
            </w:tcBorders>
            <w:shd w:val="clear" w:color="auto" w:fill="FFFFFF" w:themeFill="background1"/>
          </w:tcPr>
          <w:p w14:paraId="179C4E1D" w14:textId="77777777" w:rsidR="00614D9C"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w:t>
            </w:r>
          </w:p>
        </w:tc>
        <w:tc>
          <w:tcPr>
            <w:tcW w:w="1656" w:type="dxa"/>
            <w:tcBorders>
              <w:top w:val="single" w:sz="18" w:space="0" w:color="000000" w:themeColor="text1"/>
            </w:tcBorders>
            <w:shd w:val="clear" w:color="auto" w:fill="FFFFFF" w:themeFill="background1"/>
          </w:tcPr>
          <w:p w14:paraId="626D6C20" w14:textId="77777777" w:rsidR="00614D9C"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w:t>
            </w:r>
          </w:p>
        </w:tc>
      </w:tr>
      <w:tr w:rsidR="00B1734E" w:rsidRPr="00EC6C19" w14:paraId="68901F04" w14:textId="77777777" w:rsidTr="0069202A">
        <w:tc>
          <w:tcPr>
            <w:tcW w:w="2878" w:type="dxa"/>
            <w:shd w:val="clear" w:color="auto" w:fill="FFFFFF" w:themeFill="background1"/>
          </w:tcPr>
          <w:p w14:paraId="35718F78"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Age</w:t>
            </w:r>
          </w:p>
          <w:p w14:paraId="6099C908"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06C21AF7"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63</w:t>
            </w:r>
          </w:p>
        </w:tc>
        <w:tc>
          <w:tcPr>
            <w:tcW w:w="1761" w:type="dxa"/>
            <w:shd w:val="clear" w:color="auto" w:fill="FFFFFF" w:themeFill="background1"/>
          </w:tcPr>
          <w:p w14:paraId="5F912E26"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w:t>
            </w:r>
            <w:r w:rsidR="0032236D" w:rsidRPr="00EC6C19">
              <w:rPr>
                <w:rFonts w:ascii="Times New Roman" w:hAnsi="Times New Roman" w:cs="Times New Roman"/>
                <w:sz w:val="24"/>
                <w:szCs w:val="24"/>
              </w:rPr>
              <w:t>5</w:t>
            </w:r>
          </w:p>
        </w:tc>
        <w:tc>
          <w:tcPr>
            <w:tcW w:w="1663" w:type="dxa"/>
            <w:shd w:val="clear" w:color="auto" w:fill="FFFFFF" w:themeFill="background1"/>
          </w:tcPr>
          <w:p w14:paraId="5FA45F63"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61</w:t>
            </w:r>
          </w:p>
        </w:tc>
        <w:tc>
          <w:tcPr>
            <w:tcW w:w="1656" w:type="dxa"/>
            <w:shd w:val="clear" w:color="auto" w:fill="FFFFFF" w:themeFill="background1"/>
          </w:tcPr>
          <w:p w14:paraId="3FEC5545"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63</w:t>
            </w:r>
          </w:p>
        </w:tc>
      </w:tr>
      <w:tr w:rsidR="00B1734E" w:rsidRPr="00EC6C19" w14:paraId="4F0252DA" w14:textId="77777777" w:rsidTr="0069202A">
        <w:tc>
          <w:tcPr>
            <w:tcW w:w="2878" w:type="dxa"/>
            <w:shd w:val="clear" w:color="auto" w:fill="FFFFFF" w:themeFill="background1"/>
          </w:tcPr>
          <w:p w14:paraId="7C02CC51"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Male</w:t>
            </w:r>
          </w:p>
          <w:p w14:paraId="126546E6"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525DA89D"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23 (100)</w:t>
            </w:r>
          </w:p>
        </w:tc>
        <w:tc>
          <w:tcPr>
            <w:tcW w:w="1761" w:type="dxa"/>
            <w:shd w:val="clear" w:color="auto" w:fill="FFFFFF" w:themeFill="background1"/>
          </w:tcPr>
          <w:p w14:paraId="6E1A7EAD"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10(100)</w:t>
            </w:r>
          </w:p>
        </w:tc>
        <w:tc>
          <w:tcPr>
            <w:tcW w:w="1663" w:type="dxa"/>
            <w:shd w:val="clear" w:color="auto" w:fill="FFFFFF" w:themeFill="background1"/>
          </w:tcPr>
          <w:p w14:paraId="097AA56B"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 (100)</w:t>
            </w:r>
          </w:p>
        </w:tc>
        <w:tc>
          <w:tcPr>
            <w:tcW w:w="1656" w:type="dxa"/>
            <w:shd w:val="clear" w:color="auto" w:fill="FFFFFF" w:themeFill="background1"/>
          </w:tcPr>
          <w:p w14:paraId="4128A302"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 (100)</w:t>
            </w:r>
          </w:p>
        </w:tc>
      </w:tr>
      <w:tr w:rsidR="00B1734E" w:rsidRPr="00EC6C19" w14:paraId="23C2E12B" w14:textId="77777777" w:rsidTr="0069202A">
        <w:tc>
          <w:tcPr>
            <w:tcW w:w="2878" w:type="dxa"/>
            <w:shd w:val="clear" w:color="auto" w:fill="FFFFFF" w:themeFill="background1"/>
          </w:tcPr>
          <w:p w14:paraId="273147D8"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Height</w:t>
            </w:r>
            <w:r w:rsidR="00614D9C" w:rsidRPr="00EC6C19">
              <w:rPr>
                <w:rFonts w:ascii="Times New Roman" w:hAnsi="Times New Roman" w:cs="Times New Roman"/>
                <w:sz w:val="24"/>
                <w:szCs w:val="24"/>
              </w:rPr>
              <w:t xml:space="preserve"> (cm)</w:t>
            </w:r>
          </w:p>
          <w:p w14:paraId="289DEA5C"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4D348A70"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17</w:t>
            </w:r>
            <w:r w:rsidR="0081313C" w:rsidRPr="00EC6C19">
              <w:rPr>
                <w:rFonts w:ascii="Times New Roman" w:hAnsi="Times New Roman" w:cs="Times New Roman"/>
                <w:sz w:val="24"/>
                <w:szCs w:val="24"/>
              </w:rPr>
              <w:t>4</w:t>
            </w:r>
          </w:p>
        </w:tc>
        <w:tc>
          <w:tcPr>
            <w:tcW w:w="1761" w:type="dxa"/>
            <w:shd w:val="clear" w:color="auto" w:fill="FFFFFF" w:themeFill="background1"/>
          </w:tcPr>
          <w:p w14:paraId="73AFBB4F"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174</w:t>
            </w:r>
          </w:p>
        </w:tc>
        <w:tc>
          <w:tcPr>
            <w:tcW w:w="1663" w:type="dxa"/>
            <w:shd w:val="clear" w:color="auto" w:fill="FFFFFF" w:themeFill="background1"/>
          </w:tcPr>
          <w:p w14:paraId="37B1B09F"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176</w:t>
            </w:r>
          </w:p>
        </w:tc>
        <w:tc>
          <w:tcPr>
            <w:tcW w:w="1656" w:type="dxa"/>
            <w:shd w:val="clear" w:color="auto" w:fill="FFFFFF" w:themeFill="background1"/>
          </w:tcPr>
          <w:p w14:paraId="36D1A565"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170</w:t>
            </w:r>
          </w:p>
        </w:tc>
      </w:tr>
      <w:tr w:rsidR="00B1734E" w:rsidRPr="00EC6C19" w14:paraId="1B202D41" w14:textId="77777777" w:rsidTr="0069202A">
        <w:tc>
          <w:tcPr>
            <w:tcW w:w="2878" w:type="dxa"/>
            <w:shd w:val="clear" w:color="auto" w:fill="FFFFFF" w:themeFill="background1"/>
          </w:tcPr>
          <w:p w14:paraId="0645016C"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Smoking</w:t>
            </w:r>
          </w:p>
          <w:p w14:paraId="205434B3"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59766DCC"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w:t>
            </w:r>
            <w:r w:rsidR="0081313C" w:rsidRPr="00EC6C19">
              <w:rPr>
                <w:rFonts w:ascii="Times New Roman" w:hAnsi="Times New Roman" w:cs="Times New Roman"/>
                <w:sz w:val="24"/>
                <w:szCs w:val="24"/>
              </w:rPr>
              <w:t xml:space="preserve"> (4)</w:t>
            </w:r>
          </w:p>
        </w:tc>
        <w:tc>
          <w:tcPr>
            <w:tcW w:w="1761" w:type="dxa"/>
            <w:shd w:val="clear" w:color="auto" w:fill="FFFFFF" w:themeFill="background1"/>
          </w:tcPr>
          <w:p w14:paraId="2F5F22D9"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 (0)</w:t>
            </w:r>
          </w:p>
        </w:tc>
        <w:tc>
          <w:tcPr>
            <w:tcW w:w="1663" w:type="dxa"/>
            <w:shd w:val="clear" w:color="auto" w:fill="FFFFFF" w:themeFill="background1"/>
          </w:tcPr>
          <w:p w14:paraId="6FC89C58"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 (14)</w:t>
            </w:r>
          </w:p>
        </w:tc>
        <w:tc>
          <w:tcPr>
            <w:tcW w:w="1656" w:type="dxa"/>
            <w:shd w:val="clear" w:color="auto" w:fill="FFFFFF" w:themeFill="background1"/>
          </w:tcPr>
          <w:p w14:paraId="7E22E10A"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 (0)</w:t>
            </w:r>
          </w:p>
        </w:tc>
      </w:tr>
      <w:tr w:rsidR="00B1734E" w:rsidRPr="00EC6C19" w14:paraId="35B654FB" w14:textId="77777777" w:rsidTr="0069202A">
        <w:tc>
          <w:tcPr>
            <w:tcW w:w="2878" w:type="dxa"/>
            <w:shd w:val="clear" w:color="auto" w:fill="FFFFFF" w:themeFill="background1"/>
          </w:tcPr>
          <w:p w14:paraId="3C74CA64"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Diabetes</w:t>
            </w:r>
          </w:p>
          <w:p w14:paraId="67852582"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79FCDB7E"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w:t>
            </w:r>
            <w:r w:rsidR="0081313C" w:rsidRPr="00EC6C19">
              <w:rPr>
                <w:rFonts w:ascii="Times New Roman" w:hAnsi="Times New Roman" w:cs="Times New Roman"/>
                <w:sz w:val="24"/>
                <w:szCs w:val="24"/>
              </w:rPr>
              <w:t xml:space="preserve"> (13)</w:t>
            </w:r>
          </w:p>
        </w:tc>
        <w:tc>
          <w:tcPr>
            <w:tcW w:w="1761" w:type="dxa"/>
            <w:shd w:val="clear" w:color="auto" w:fill="FFFFFF" w:themeFill="background1"/>
          </w:tcPr>
          <w:p w14:paraId="747D66DC"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 (10)</w:t>
            </w:r>
          </w:p>
        </w:tc>
        <w:tc>
          <w:tcPr>
            <w:tcW w:w="1663" w:type="dxa"/>
            <w:shd w:val="clear" w:color="auto" w:fill="FFFFFF" w:themeFill="background1"/>
          </w:tcPr>
          <w:p w14:paraId="09DFE9F4"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 (0)</w:t>
            </w:r>
          </w:p>
        </w:tc>
        <w:tc>
          <w:tcPr>
            <w:tcW w:w="1656" w:type="dxa"/>
            <w:shd w:val="clear" w:color="auto" w:fill="FFFFFF" w:themeFill="background1"/>
          </w:tcPr>
          <w:p w14:paraId="6E1EFBFF"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 (33)</w:t>
            </w:r>
          </w:p>
        </w:tc>
      </w:tr>
      <w:tr w:rsidR="00B1734E" w:rsidRPr="00EC6C19" w14:paraId="6682B5DB" w14:textId="77777777" w:rsidTr="0069202A">
        <w:tc>
          <w:tcPr>
            <w:tcW w:w="2878" w:type="dxa"/>
            <w:shd w:val="clear" w:color="auto" w:fill="FFFFFF" w:themeFill="background1"/>
          </w:tcPr>
          <w:p w14:paraId="2EE6F807"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lastRenderedPageBreak/>
              <w:t>Hypertension</w:t>
            </w:r>
          </w:p>
          <w:p w14:paraId="6DC5EC06"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5CFC86F5"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r w:rsidR="0081313C" w:rsidRPr="00EC6C19">
              <w:rPr>
                <w:rFonts w:ascii="Times New Roman" w:hAnsi="Times New Roman" w:cs="Times New Roman"/>
                <w:sz w:val="24"/>
                <w:szCs w:val="24"/>
              </w:rPr>
              <w:t xml:space="preserve"> (43)</w:t>
            </w:r>
          </w:p>
        </w:tc>
        <w:tc>
          <w:tcPr>
            <w:tcW w:w="1761" w:type="dxa"/>
            <w:shd w:val="clear" w:color="auto" w:fill="FFFFFF" w:themeFill="background1"/>
          </w:tcPr>
          <w:p w14:paraId="5ED24AAE"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 (50)</w:t>
            </w:r>
          </w:p>
        </w:tc>
        <w:tc>
          <w:tcPr>
            <w:tcW w:w="1663" w:type="dxa"/>
            <w:shd w:val="clear" w:color="auto" w:fill="FFFFFF" w:themeFill="background1"/>
          </w:tcPr>
          <w:p w14:paraId="4487E1B5"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 (14)</w:t>
            </w:r>
          </w:p>
        </w:tc>
        <w:tc>
          <w:tcPr>
            <w:tcW w:w="1656" w:type="dxa"/>
            <w:shd w:val="clear" w:color="auto" w:fill="FFFFFF" w:themeFill="background1"/>
          </w:tcPr>
          <w:p w14:paraId="2BEAB732"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 (66)</w:t>
            </w:r>
          </w:p>
        </w:tc>
      </w:tr>
      <w:tr w:rsidR="00B1734E" w:rsidRPr="00EC6C19" w14:paraId="1903DC56" w14:textId="77777777" w:rsidTr="0069202A">
        <w:tc>
          <w:tcPr>
            <w:tcW w:w="2878" w:type="dxa"/>
            <w:shd w:val="clear" w:color="auto" w:fill="FFFFFF" w:themeFill="background1"/>
          </w:tcPr>
          <w:p w14:paraId="3F877158"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Hypercholesterolaemia</w:t>
            </w:r>
          </w:p>
          <w:p w14:paraId="4A140E31"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7E7143BD"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11</w:t>
            </w:r>
            <w:r w:rsidR="0081313C" w:rsidRPr="00EC6C19">
              <w:rPr>
                <w:rFonts w:ascii="Times New Roman" w:hAnsi="Times New Roman" w:cs="Times New Roman"/>
                <w:sz w:val="24"/>
                <w:szCs w:val="24"/>
              </w:rPr>
              <w:t xml:space="preserve"> (48)</w:t>
            </w:r>
          </w:p>
        </w:tc>
        <w:tc>
          <w:tcPr>
            <w:tcW w:w="1761" w:type="dxa"/>
            <w:shd w:val="clear" w:color="auto" w:fill="FFFFFF" w:themeFill="background1"/>
          </w:tcPr>
          <w:p w14:paraId="5A40B6F9" w14:textId="77777777" w:rsidR="00B1734E" w:rsidRPr="00EC6C19" w:rsidRDefault="0032236D"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 (4</w:t>
            </w:r>
            <w:r w:rsidR="0081313C" w:rsidRPr="00EC6C19">
              <w:rPr>
                <w:rFonts w:ascii="Times New Roman" w:hAnsi="Times New Roman" w:cs="Times New Roman"/>
                <w:sz w:val="24"/>
                <w:szCs w:val="24"/>
              </w:rPr>
              <w:t>0)</w:t>
            </w:r>
          </w:p>
        </w:tc>
        <w:tc>
          <w:tcPr>
            <w:tcW w:w="1663" w:type="dxa"/>
            <w:shd w:val="clear" w:color="auto" w:fill="FFFFFF" w:themeFill="background1"/>
          </w:tcPr>
          <w:p w14:paraId="7FB85E79"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 (43)</w:t>
            </w:r>
          </w:p>
        </w:tc>
        <w:tc>
          <w:tcPr>
            <w:tcW w:w="1656" w:type="dxa"/>
            <w:shd w:val="clear" w:color="auto" w:fill="FFFFFF" w:themeFill="background1"/>
          </w:tcPr>
          <w:p w14:paraId="5F0D3700"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 (66)</w:t>
            </w:r>
          </w:p>
        </w:tc>
      </w:tr>
      <w:tr w:rsidR="00B1734E" w:rsidRPr="00EC6C19" w14:paraId="428E885A" w14:textId="77777777" w:rsidTr="0069202A">
        <w:tc>
          <w:tcPr>
            <w:tcW w:w="2878" w:type="dxa"/>
            <w:shd w:val="clear" w:color="auto" w:fill="FFFFFF" w:themeFill="background1"/>
          </w:tcPr>
          <w:p w14:paraId="442880D8"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Family History</w:t>
            </w:r>
          </w:p>
          <w:p w14:paraId="60E3C1BF"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1C8CB014"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w:t>
            </w:r>
            <w:r w:rsidR="0081313C" w:rsidRPr="00EC6C19">
              <w:rPr>
                <w:rFonts w:ascii="Times New Roman" w:hAnsi="Times New Roman" w:cs="Times New Roman"/>
                <w:sz w:val="24"/>
                <w:szCs w:val="24"/>
              </w:rPr>
              <w:t xml:space="preserve"> (9)</w:t>
            </w:r>
          </w:p>
        </w:tc>
        <w:tc>
          <w:tcPr>
            <w:tcW w:w="1761" w:type="dxa"/>
            <w:shd w:val="clear" w:color="auto" w:fill="FFFFFF" w:themeFill="background1"/>
          </w:tcPr>
          <w:p w14:paraId="5C4BB420"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 (10)</w:t>
            </w:r>
          </w:p>
        </w:tc>
        <w:tc>
          <w:tcPr>
            <w:tcW w:w="1663" w:type="dxa"/>
            <w:shd w:val="clear" w:color="auto" w:fill="FFFFFF" w:themeFill="background1"/>
          </w:tcPr>
          <w:p w14:paraId="5F4A06B1"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 (0)</w:t>
            </w:r>
          </w:p>
        </w:tc>
        <w:tc>
          <w:tcPr>
            <w:tcW w:w="1656" w:type="dxa"/>
            <w:shd w:val="clear" w:color="auto" w:fill="FFFFFF" w:themeFill="background1"/>
          </w:tcPr>
          <w:p w14:paraId="35EF90B0"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 (17)</w:t>
            </w:r>
          </w:p>
        </w:tc>
      </w:tr>
      <w:tr w:rsidR="00B1734E" w:rsidRPr="00EC6C19" w14:paraId="09BDBCEF" w14:textId="77777777" w:rsidTr="0069202A">
        <w:tc>
          <w:tcPr>
            <w:tcW w:w="2878" w:type="dxa"/>
            <w:shd w:val="clear" w:color="auto" w:fill="FFFFFF" w:themeFill="background1"/>
          </w:tcPr>
          <w:p w14:paraId="7111CB6B"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Ejection Fraction</w:t>
            </w:r>
          </w:p>
          <w:p w14:paraId="52B5C932"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22F470C9" w14:textId="77777777" w:rsidR="00B1734E" w:rsidRPr="00EC6C19" w:rsidRDefault="00614D9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52</w:t>
            </w:r>
          </w:p>
        </w:tc>
        <w:tc>
          <w:tcPr>
            <w:tcW w:w="1761" w:type="dxa"/>
            <w:shd w:val="clear" w:color="auto" w:fill="FFFFFF" w:themeFill="background1"/>
          </w:tcPr>
          <w:p w14:paraId="16979EE5"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52</w:t>
            </w:r>
          </w:p>
        </w:tc>
        <w:tc>
          <w:tcPr>
            <w:tcW w:w="1663" w:type="dxa"/>
            <w:shd w:val="clear" w:color="auto" w:fill="FFFFFF" w:themeFill="background1"/>
          </w:tcPr>
          <w:p w14:paraId="51B782CB"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51</w:t>
            </w:r>
          </w:p>
        </w:tc>
        <w:tc>
          <w:tcPr>
            <w:tcW w:w="1656" w:type="dxa"/>
            <w:shd w:val="clear" w:color="auto" w:fill="FFFFFF" w:themeFill="background1"/>
          </w:tcPr>
          <w:p w14:paraId="08218A27" w14:textId="77777777" w:rsidR="00B1734E" w:rsidRPr="00EC6C19" w:rsidRDefault="0081313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54</w:t>
            </w:r>
          </w:p>
        </w:tc>
      </w:tr>
      <w:tr w:rsidR="00B1734E" w:rsidRPr="00EC6C19" w14:paraId="3F132341" w14:textId="77777777" w:rsidTr="0069202A">
        <w:tc>
          <w:tcPr>
            <w:tcW w:w="2878" w:type="dxa"/>
            <w:shd w:val="clear" w:color="auto" w:fill="FFFFFF" w:themeFill="background1"/>
          </w:tcPr>
          <w:p w14:paraId="4F05CA3B" w14:textId="77777777" w:rsidR="00B1734E" w:rsidRPr="00EC6C19" w:rsidRDefault="00B1734E"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 Stenosis</w:t>
            </w:r>
            <w:r w:rsidR="00D21247" w:rsidRPr="00EC6C19">
              <w:rPr>
                <w:rFonts w:ascii="Times New Roman" w:hAnsi="Times New Roman" w:cs="Times New Roman"/>
                <w:sz w:val="24"/>
                <w:szCs w:val="24"/>
              </w:rPr>
              <w:t>*</w:t>
            </w:r>
          </w:p>
          <w:p w14:paraId="2C2C161F" w14:textId="77777777" w:rsidR="00B1734E" w:rsidRPr="00EC6C19" w:rsidRDefault="00B1734E"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32597130" w14:textId="77777777" w:rsidR="00B1734E" w:rsidRPr="00EC6C19" w:rsidRDefault="00D21247"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50</w:t>
            </w:r>
          </w:p>
        </w:tc>
        <w:tc>
          <w:tcPr>
            <w:tcW w:w="1761" w:type="dxa"/>
            <w:shd w:val="clear" w:color="auto" w:fill="FFFFFF" w:themeFill="background1"/>
          </w:tcPr>
          <w:p w14:paraId="2C5814AE" w14:textId="77777777" w:rsidR="00B1734E" w:rsidRPr="00EC6C19" w:rsidRDefault="00D21247"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43</w:t>
            </w:r>
            <w:r w:rsidR="003C3F4A" w:rsidRPr="00EC6C19">
              <w:rPr>
                <w:rFonts w:ascii="Times New Roman" w:hAnsi="Times New Roman" w:cs="Times New Roman"/>
                <w:sz w:val="24"/>
                <w:szCs w:val="24"/>
              </w:rPr>
              <w:t>**</w:t>
            </w:r>
          </w:p>
        </w:tc>
        <w:tc>
          <w:tcPr>
            <w:tcW w:w="1663" w:type="dxa"/>
            <w:shd w:val="clear" w:color="auto" w:fill="FFFFFF" w:themeFill="background1"/>
          </w:tcPr>
          <w:p w14:paraId="4A1E33AC" w14:textId="77777777" w:rsidR="00B1734E" w:rsidRPr="00EC6C19" w:rsidRDefault="00D21247"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50</w:t>
            </w:r>
          </w:p>
        </w:tc>
        <w:tc>
          <w:tcPr>
            <w:tcW w:w="1656" w:type="dxa"/>
            <w:shd w:val="clear" w:color="auto" w:fill="FFFFFF" w:themeFill="background1"/>
          </w:tcPr>
          <w:p w14:paraId="03B12CDF" w14:textId="77777777" w:rsidR="00B1734E" w:rsidRPr="00EC6C19" w:rsidRDefault="00D21247"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63</w:t>
            </w:r>
            <w:r w:rsidR="003C3F4A" w:rsidRPr="00EC6C19">
              <w:rPr>
                <w:rFonts w:ascii="Times New Roman" w:hAnsi="Times New Roman" w:cs="Times New Roman"/>
                <w:sz w:val="24"/>
                <w:szCs w:val="24"/>
              </w:rPr>
              <w:t>**</w:t>
            </w:r>
          </w:p>
        </w:tc>
      </w:tr>
      <w:tr w:rsidR="00F36DC2" w:rsidRPr="00EC6C19" w14:paraId="7D57F4A9" w14:textId="77777777" w:rsidTr="0069202A">
        <w:tc>
          <w:tcPr>
            <w:tcW w:w="2878" w:type="dxa"/>
            <w:shd w:val="clear" w:color="auto" w:fill="FFFFFF" w:themeFill="background1"/>
          </w:tcPr>
          <w:p w14:paraId="5C3C4FF3"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Complications</w:t>
            </w:r>
          </w:p>
          <w:p w14:paraId="10D4073B" w14:textId="77777777" w:rsidR="00F36DC2" w:rsidRPr="00EC6C19" w:rsidRDefault="00F36DC2"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31260FC4"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 (4)</w:t>
            </w:r>
          </w:p>
        </w:tc>
        <w:tc>
          <w:tcPr>
            <w:tcW w:w="1761" w:type="dxa"/>
            <w:shd w:val="clear" w:color="auto" w:fill="FFFFFF" w:themeFill="background1"/>
          </w:tcPr>
          <w:p w14:paraId="1C37A7EC"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 (10)</w:t>
            </w:r>
          </w:p>
        </w:tc>
        <w:tc>
          <w:tcPr>
            <w:tcW w:w="1663" w:type="dxa"/>
            <w:shd w:val="clear" w:color="auto" w:fill="FFFFFF" w:themeFill="background1"/>
          </w:tcPr>
          <w:p w14:paraId="1E31DAC9"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w:t>
            </w:r>
          </w:p>
        </w:tc>
        <w:tc>
          <w:tcPr>
            <w:tcW w:w="1656" w:type="dxa"/>
            <w:shd w:val="clear" w:color="auto" w:fill="FFFFFF" w:themeFill="background1"/>
          </w:tcPr>
          <w:p w14:paraId="79A30085"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w:t>
            </w:r>
          </w:p>
        </w:tc>
      </w:tr>
      <w:tr w:rsidR="00F36DC2" w:rsidRPr="00EC6C19" w14:paraId="22C7EFD1" w14:textId="77777777" w:rsidTr="0069202A">
        <w:tc>
          <w:tcPr>
            <w:tcW w:w="2878" w:type="dxa"/>
            <w:shd w:val="clear" w:color="auto" w:fill="FFFFFF" w:themeFill="background1"/>
          </w:tcPr>
          <w:p w14:paraId="3251EB76"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Adverse Events (re-admission, MI, stroke, death)</w:t>
            </w:r>
          </w:p>
          <w:p w14:paraId="0BC2CF48" w14:textId="77777777" w:rsidR="00F36DC2" w:rsidRPr="00EC6C19" w:rsidRDefault="00F36DC2" w:rsidP="0066656C">
            <w:pPr>
              <w:spacing w:line="360" w:lineRule="auto"/>
              <w:jc w:val="center"/>
              <w:rPr>
                <w:rFonts w:ascii="Times New Roman" w:hAnsi="Times New Roman" w:cs="Times New Roman"/>
                <w:sz w:val="24"/>
                <w:szCs w:val="24"/>
              </w:rPr>
            </w:pPr>
          </w:p>
        </w:tc>
        <w:tc>
          <w:tcPr>
            <w:tcW w:w="1618" w:type="dxa"/>
            <w:shd w:val="clear" w:color="auto" w:fill="FFFFFF" w:themeFill="background1"/>
          </w:tcPr>
          <w:p w14:paraId="4B96C696"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w:t>
            </w:r>
          </w:p>
        </w:tc>
        <w:tc>
          <w:tcPr>
            <w:tcW w:w="1761" w:type="dxa"/>
            <w:shd w:val="clear" w:color="auto" w:fill="FFFFFF" w:themeFill="background1"/>
          </w:tcPr>
          <w:p w14:paraId="724D42A1"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w:t>
            </w:r>
          </w:p>
        </w:tc>
        <w:tc>
          <w:tcPr>
            <w:tcW w:w="1663" w:type="dxa"/>
            <w:shd w:val="clear" w:color="auto" w:fill="FFFFFF" w:themeFill="background1"/>
          </w:tcPr>
          <w:p w14:paraId="19020809"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w:t>
            </w:r>
          </w:p>
        </w:tc>
        <w:tc>
          <w:tcPr>
            <w:tcW w:w="1656" w:type="dxa"/>
            <w:shd w:val="clear" w:color="auto" w:fill="FFFFFF" w:themeFill="background1"/>
          </w:tcPr>
          <w:p w14:paraId="7DFB0A52" w14:textId="77777777" w:rsidR="00F36DC2" w:rsidRPr="00EC6C19" w:rsidRDefault="00F36DC2"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w:t>
            </w:r>
          </w:p>
        </w:tc>
      </w:tr>
    </w:tbl>
    <w:p w14:paraId="6B47DA7F" w14:textId="77777777" w:rsidR="0069202A" w:rsidRPr="00EC6C19" w:rsidRDefault="0069202A" w:rsidP="004209DA">
      <w:pPr>
        <w:spacing w:line="360" w:lineRule="auto"/>
        <w:rPr>
          <w:rFonts w:ascii="Times New Roman" w:hAnsi="Times New Roman" w:cs="Times New Roman"/>
          <w:i/>
          <w:sz w:val="24"/>
          <w:szCs w:val="24"/>
        </w:rPr>
      </w:pPr>
    </w:p>
    <w:p w14:paraId="3E963578" w14:textId="7A733F81" w:rsidR="005E6779" w:rsidRPr="007F2FD6" w:rsidRDefault="007F2FD6" w:rsidP="007F2FD6">
      <w:pPr>
        <w:pStyle w:val="Caption"/>
        <w:spacing w:line="360" w:lineRule="auto"/>
        <w:rPr>
          <w:rFonts w:ascii="Times New Roman" w:hAnsi="Times New Roman" w:cs="Times New Roman"/>
          <w:b w:val="0"/>
          <w:i/>
          <w:color w:val="auto"/>
          <w:sz w:val="24"/>
          <w:szCs w:val="24"/>
        </w:rPr>
      </w:pPr>
      <w:bookmarkStart w:id="146" w:name="_Toc44962587"/>
      <w:r w:rsidRPr="007F2FD6">
        <w:rPr>
          <w:rFonts w:ascii="Times New Roman" w:hAnsi="Times New Roman" w:cs="Times New Roman"/>
          <w:b w:val="0"/>
          <w:i/>
          <w:color w:val="auto"/>
          <w:sz w:val="24"/>
          <w:szCs w:val="24"/>
        </w:rPr>
        <w:t xml:space="preserve">Table </w:t>
      </w:r>
      <w:r w:rsidR="00106A32" w:rsidRPr="007F2FD6">
        <w:rPr>
          <w:rFonts w:ascii="Times New Roman" w:hAnsi="Times New Roman" w:cs="Times New Roman"/>
          <w:b w:val="0"/>
          <w:i/>
          <w:color w:val="auto"/>
          <w:sz w:val="24"/>
          <w:szCs w:val="24"/>
        </w:rPr>
        <w:fldChar w:fldCharType="begin"/>
      </w:r>
      <w:r w:rsidRPr="007F2FD6">
        <w:rPr>
          <w:rFonts w:ascii="Times New Roman" w:hAnsi="Times New Roman" w:cs="Times New Roman"/>
          <w:b w:val="0"/>
          <w:i/>
          <w:color w:val="auto"/>
          <w:sz w:val="24"/>
          <w:szCs w:val="24"/>
        </w:rPr>
        <w:instrText xml:space="preserve"> SEQ Table \* ARABIC </w:instrText>
      </w:r>
      <w:r w:rsidR="00106A32" w:rsidRPr="007F2FD6">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11</w:t>
      </w:r>
      <w:r w:rsidR="00106A32" w:rsidRPr="007F2FD6">
        <w:rPr>
          <w:rFonts w:ascii="Times New Roman" w:hAnsi="Times New Roman" w:cs="Times New Roman"/>
          <w:b w:val="0"/>
          <w:i/>
          <w:color w:val="auto"/>
          <w:sz w:val="24"/>
          <w:szCs w:val="24"/>
        </w:rPr>
        <w:fldChar w:fldCharType="end"/>
      </w:r>
      <w:r w:rsidRPr="007F2FD6">
        <w:rPr>
          <w:rFonts w:ascii="Times New Roman" w:hAnsi="Times New Roman" w:cs="Times New Roman"/>
          <w:b w:val="0"/>
          <w:i/>
          <w:color w:val="auto"/>
          <w:sz w:val="24"/>
          <w:szCs w:val="24"/>
        </w:rPr>
        <w:t xml:space="preserve"> - Patient Demographics - In Vivo Data.</w:t>
      </w:r>
      <w:r w:rsidR="00381183">
        <w:rPr>
          <w:rFonts w:ascii="Times New Roman" w:hAnsi="Times New Roman" w:cs="Times New Roman"/>
          <w:b w:val="0"/>
          <w:i/>
          <w:color w:val="auto"/>
          <w:sz w:val="24"/>
          <w:szCs w:val="24"/>
        </w:rPr>
        <w:t xml:space="preserve"> </w:t>
      </w:r>
      <w:r w:rsidRPr="007F2FD6">
        <w:rPr>
          <w:rFonts w:ascii="Times New Roman" w:hAnsi="Times New Roman" w:cs="Times New Roman"/>
          <w:b w:val="0"/>
          <w:i/>
          <w:color w:val="auto"/>
          <w:sz w:val="24"/>
          <w:szCs w:val="24"/>
        </w:rPr>
        <w:t xml:space="preserve">Divided </w:t>
      </w:r>
      <w:r w:rsidR="005E6779" w:rsidRPr="007F2FD6">
        <w:rPr>
          <w:rFonts w:ascii="Times New Roman" w:hAnsi="Times New Roman" w:cs="Times New Roman"/>
          <w:b w:val="0"/>
          <w:i/>
          <w:color w:val="auto"/>
          <w:sz w:val="24"/>
          <w:szCs w:val="24"/>
        </w:rPr>
        <w:t>per artery.</w:t>
      </w:r>
      <w:r w:rsidR="003C3F4A" w:rsidRPr="007F2FD6">
        <w:rPr>
          <w:rFonts w:ascii="Times New Roman" w:hAnsi="Times New Roman" w:cs="Times New Roman"/>
          <w:b w:val="0"/>
          <w:i/>
          <w:color w:val="auto"/>
          <w:sz w:val="24"/>
          <w:szCs w:val="24"/>
        </w:rPr>
        <w:t xml:space="preserve"> </w:t>
      </w:r>
      <w:r w:rsidR="00AB52F5" w:rsidRPr="007F2FD6">
        <w:rPr>
          <w:rFonts w:ascii="Times New Roman" w:hAnsi="Times New Roman" w:cs="Times New Roman"/>
          <w:b w:val="0"/>
          <w:i/>
          <w:color w:val="auto"/>
          <w:sz w:val="24"/>
          <w:szCs w:val="24"/>
        </w:rPr>
        <w:t>*</w:t>
      </w:r>
      <w:r w:rsidR="0069202A" w:rsidRPr="007F2FD6">
        <w:rPr>
          <w:rFonts w:ascii="Times New Roman" w:hAnsi="Times New Roman" w:cs="Times New Roman"/>
          <w:b w:val="0"/>
          <w:i/>
          <w:color w:val="auto"/>
          <w:sz w:val="24"/>
          <w:szCs w:val="24"/>
        </w:rPr>
        <w:t>Right coronary artery stenosis was significantly higher on angiographic QCA</w:t>
      </w:r>
      <w:r w:rsidR="003C3F4A" w:rsidRPr="007F2FD6">
        <w:rPr>
          <w:rFonts w:ascii="Times New Roman" w:hAnsi="Times New Roman" w:cs="Times New Roman"/>
          <w:b w:val="0"/>
          <w:i/>
          <w:color w:val="auto"/>
          <w:sz w:val="24"/>
          <w:szCs w:val="24"/>
        </w:rPr>
        <w:t xml:space="preserve"> compared to the LAD.</w:t>
      </w:r>
      <w:bookmarkEnd w:id="146"/>
    </w:p>
    <w:p w14:paraId="238E15D6" w14:textId="77777777" w:rsidR="003C3F4A" w:rsidRPr="00EC6C19" w:rsidRDefault="003C3F4A" w:rsidP="004209DA">
      <w:pPr>
        <w:spacing w:line="360" w:lineRule="auto"/>
        <w:rPr>
          <w:rFonts w:ascii="Times New Roman" w:hAnsi="Times New Roman" w:cs="Times New Roman"/>
          <w:i/>
          <w:sz w:val="24"/>
          <w:szCs w:val="24"/>
        </w:rPr>
      </w:pPr>
    </w:p>
    <w:p w14:paraId="1CE87308" w14:textId="325836A5" w:rsidR="00443739" w:rsidRPr="00EC6C19" w:rsidRDefault="00BD3EEC" w:rsidP="004209DA">
      <w:pPr>
        <w:spacing w:line="360" w:lineRule="auto"/>
        <w:rPr>
          <w:rFonts w:ascii="Times New Roman" w:hAnsi="Times New Roman" w:cs="Times New Roman"/>
          <w:sz w:val="24"/>
          <w:szCs w:val="24"/>
        </w:rPr>
      </w:pPr>
      <w:r w:rsidRPr="00EC6C19">
        <w:rPr>
          <w:rFonts w:ascii="Times New Roman" w:hAnsi="Times New Roman" w:cs="Times New Roman"/>
          <w:sz w:val="24"/>
          <w:szCs w:val="24"/>
        </w:rPr>
        <w:t>On average</w:t>
      </w:r>
      <w:r w:rsidR="00C813B4" w:rsidRPr="00EC6C19">
        <w:rPr>
          <w:rFonts w:ascii="Times New Roman" w:hAnsi="Times New Roman" w:cs="Times New Roman"/>
          <w:sz w:val="24"/>
          <w:szCs w:val="24"/>
        </w:rPr>
        <w:t>, LAD lesions were less</w:t>
      </w:r>
      <w:r w:rsidR="00601408">
        <w:rPr>
          <w:rFonts w:ascii="Times New Roman" w:hAnsi="Times New Roman" w:cs="Times New Roman"/>
          <w:sz w:val="24"/>
          <w:szCs w:val="24"/>
        </w:rPr>
        <w:t xml:space="preserve"> angiographically severe</w:t>
      </w:r>
      <w:r w:rsidRPr="00EC6C19">
        <w:rPr>
          <w:rFonts w:ascii="Times New Roman" w:hAnsi="Times New Roman" w:cs="Times New Roman"/>
          <w:sz w:val="24"/>
          <w:szCs w:val="24"/>
        </w:rPr>
        <w:t xml:space="preserve"> compared to the overall average (58% </w:t>
      </w:r>
      <w:r w:rsidR="007C7D90" w:rsidRPr="00EC6C19">
        <w:rPr>
          <w:rFonts w:ascii="Times New Roman" w:hAnsi="Times New Roman" w:cs="Times New Roman"/>
          <w:sz w:val="24"/>
          <w:szCs w:val="24"/>
        </w:rPr>
        <w:t>vs.</w:t>
      </w:r>
      <w:r w:rsidRPr="00EC6C19">
        <w:rPr>
          <w:rFonts w:ascii="Times New Roman" w:hAnsi="Times New Roman" w:cs="Times New Roman"/>
          <w:sz w:val="24"/>
          <w:szCs w:val="24"/>
        </w:rPr>
        <w:t xml:space="preserve"> 63%) an</w:t>
      </w:r>
      <w:r w:rsidR="00C813B4" w:rsidRPr="00EC6C19">
        <w:rPr>
          <w:rFonts w:ascii="Times New Roman" w:hAnsi="Times New Roman" w:cs="Times New Roman"/>
          <w:sz w:val="24"/>
          <w:szCs w:val="24"/>
        </w:rPr>
        <w:t>d RCA lesions were more</w:t>
      </w:r>
      <w:r w:rsidRPr="00EC6C19">
        <w:rPr>
          <w:rFonts w:ascii="Times New Roman" w:hAnsi="Times New Roman" w:cs="Times New Roman"/>
          <w:sz w:val="24"/>
          <w:szCs w:val="24"/>
        </w:rPr>
        <w:t xml:space="preserve"> stenosed (78% </w:t>
      </w:r>
      <w:r w:rsidR="007C7D90" w:rsidRPr="00EC6C19">
        <w:rPr>
          <w:rFonts w:ascii="Times New Roman" w:hAnsi="Times New Roman" w:cs="Times New Roman"/>
          <w:sz w:val="24"/>
          <w:szCs w:val="24"/>
        </w:rPr>
        <w:t>vs.</w:t>
      </w:r>
      <w:r w:rsidRPr="00EC6C19">
        <w:rPr>
          <w:rFonts w:ascii="Times New Roman" w:hAnsi="Times New Roman" w:cs="Times New Roman"/>
          <w:sz w:val="24"/>
          <w:szCs w:val="24"/>
        </w:rPr>
        <w:t xml:space="preserve"> 63%).</w:t>
      </w:r>
      <w:r w:rsidR="00267060" w:rsidRPr="00EC6C19">
        <w:rPr>
          <w:rFonts w:ascii="Times New Roman" w:hAnsi="Times New Roman" w:cs="Times New Roman"/>
          <w:sz w:val="24"/>
          <w:szCs w:val="24"/>
        </w:rPr>
        <w:t xml:space="preserve"> The LAD was significantly less stenosed on QCA when compared to the RCA (p&lt;0.05).</w:t>
      </w:r>
    </w:p>
    <w:p w14:paraId="1C91CDE7" w14:textId="77777777" w:rsidR="00C813B4" w:rsidRPr="006E04BF" w:rsidRDefault="006E04BF" w:rsidP="006E04BF">
      <w:pPr>
        <w:pStyle w:val="Heading2"/>
        <w:rPr>
          <w:rFonts w:ascii="Times New Roman" w:hAnsi="Times New Roman" w:cs="Times New Roman"/>
          <w:color w:val="auto"/>
          <w:sz w:val="24"/>
          <w:szCs w:val="24"/>
        </w:rPr>
      </w:pPr>
      <w:bookmarkStart w:id="147" w:name="_Toc80302249"/>
      <w:r w:rsidRPr="006E04BF">
        <w:rPr>
          <w:rFonts w:ascii="Times New Roman" w:hAnsi="Times New Roman" w:cs="Times New Roman"/>
          <w:color w:val="auto"/>
          <w:sz w:val="24"/>
          <w:szCs w:val="24"/>
        </w:rPr>
        <w:lastRenderedPageBreak/>
        <w:t xml:space="preserve">3.14 - </w:t>
      </w:r>
      <w:r w:rsidR="00A23015" w:rsidRPr="006E04BF">
        <w:rPr>
          <w:rFonts w:ascii="Times New Roman" w:hAnsi="Times New Roman" w:cs="Times New Roman"/>
          <w:color w:val="auto"/>
          <w:sz w:val="24"/>
          <w:szCs w:val="24"/>
        </w:rPr>
        <w:t>Lesion Characteristics</w:t>
      </w:r>
      <w:bookmarkEnd w:id="147"/>
    </w:p>
    <w:p w14:paraId="2094E226" w14:textId="77777777" w:rsidR="00C813B4" w:rsidRPr="00EC6C19" w:rsidRDefault="006E04BF" w:rsidP="004209DA">
      <w:pPr>
        <w:spacing w:line="360" w:lineRule="auto"/>
        <w:rPr>
          <w:rFonts w:ascii="Times New Roman" w:hAnsi="Times New Roman" w:cs="Times New Roman"/>
          <w:b/>
          <w:sz w:val="24"/>
          <w:szCs w:val="24"/>
        </w:rPr>
      </w:pPr>
      <w:r>
        <w:rPr>
          <w:rFonts w:ascii="Times New Roman" w:hAnsi="Times New Roman" w:cs="Times New Roman"/>
          <w:b/>
          <w:sz w:val="24"/>
          <w:szCs w:val="24"/>
        </w:rPr>
        <w:br/>
      </w:r>
    </w:p>
    <w:p w14:paraId="0AB48D5F" w14:textId="77777777" w:rsidR="00263506" w:rsidRPr="00EC6C19" w:rsidRDefault="00263506" w:rsidP="004209DA">
      <w:pPr>
        <w:spacing w:line="360" w:lineRule="auto"/>
        <w:rPr>
          <w:rFonts w:ascii="Times New Roman" w:hAnsi="Times New Roman" w:cs="Times New Roman"/>
          <w:sz w:val="24"/>
          <w:szCs w:val="24"/>
        </w:rPr>
      </w:pPr>
      <w:r w:rsidRPr="00EC6C19">
        <w:rPr>
          <w:rFonts w:ascii="Times New Roman" w:hAnsi="Times New Roman" w:cs="Times New Roman"/>
          <w:sz w:val="24"/>
          <w:szCs w:val="24"/>
        </w:rPr>
        <w:t>S</w:t>
      </w:r>
      <w:r w:rsidR="00A23015" w:rsidRPr="00EC6C19">
        <w:rPr>
          <w:rFonts w:ascii="Times New Roman" w:hAnsi="Times New Roman" w:cs="Times New Roman"/>
          <w:sz w:val="24"/>
          <w:szCs w:val="24"/>
        </w:rPr>
        <w:t>pecific lesion</w:t>
      </w:r>
      <w:r w:rsidR="00977227" w:rsidRPr="00EC6C19">
        <w:rPr>
          <w:rFonts w:ascii="Times New Roman" w:hAnsi="Times New Roman" w:cs="Times New Roman"/>
          <w:sz w:val="24"/>
          <w:szCs w:val="24"/>
        </w:rPr>
        <w:t xml:space="preserve"> data is summarised below</w:t>
      </w:r>
      <w:r w:rsidR="009D25C2" w:rsidRPr="00EC6C19">
        <w:rPr>
          <w:rFonts w:ascii="Times New Roman" w:hAnsi="Times New Roman" w:cs="Times New Roman"/>
          <w:sz w:val="24"/>
          <w:szCs w:val="24"/>
        </w:rPr>
        <w:t xml:space="preserve"> per artery </w:t>
      </w:r>
      <w:r w:rsidR="009D25C2" w:rsidRPr="007F2FD6">
        <w:rPr>
          <w:rFonts w:ascii="Times New Roman" w:hAnsi="Times New Roman" w:cs="Times New Roman"/>
          <w:sz w:val="24"/>
          <w:szCs w:val="24"/>
        </w:rPr>
        <w:t xml:space="preserve">studied (Table </w:t>
      </w:r>
      <w:r w:rsidR="007F2FD6" w:rsidRPr="007F2FD6">
        <w:rPr>
          <w:rFonts w:ascii="Times New Roman" w:hAnsi="Times New Roman" w:cs="Times New Roman"/>
          <w:sz w:val="24"/>
          <w:szCs w:val="24"/>
        </w:rPr>
        <w:t>12</w:t>
      </w:r>
      <w:r w:rsidR="009D25C2" w:rsidRPr="007F2FD6">
        <w:rPr>
          <w:rFonts w:ascii="Times New Roman" w:hAnsi="Times New Roman" w:cs="Times New Roman"/>
          <w:sz w:val="24"/>
          <w:szCs w:val="24"/>
        </w:rPr>
        <w:t>)</w:t>
      </w:r>
      <w:r w:rsidR="00BB3C3D" w:rsidRPr="007F2FD6">
        <w:rPr>
          <w:rFonts w:ascii="Times New Roman" w:hAnsi="Times New Roman" w:cs="Times New Roman"/>
          <w:sz w:val="24"/>
          <w:szCs w:val="24"/>
        </w:rPr>
        <w:t>. Stenosis</w:t>
      </w:r>
      <w:r w:rsidR="00BB3C3D" w:rsidRPr="00EC6C19">
        <w:rPr>
          <w:rFonts w:ascii="Times New Roman" w:hAnsi="Times New Roman" w:cs="Times New Roman"/>
          <w:sz w:val="24"/>
          <w:szCs w:val="24"/>
        </w:rPr>
        <w:t xml:space="preserve"> percentage </w:t>
      </w:r>
      <w:r w:rsidRPr="00EC6C19">
        <w:rPr>
          <w:rFonts w:ascii="Times New Roman" w:hAnsi="Times New Roman" w:cs="Times New Roman"/>
          <w:sz w:val="24"/>
          <w:szCs w:val="24"/>
        </w:rPr>
        <w:t>was</w:t>
      </w:r>
      <w:r w:rsidR="00BB3C3D" w:rsidRPr="00EC6C19">
        <w:rPr>
          <w:rFonts w:ascii="Times New Roman" w:hAnsi="Times New Roman" w:cs="Times New Roman"/>
          <w:sz w:val="24"/>
          <w:szCs w:val="24"/>
        </w:rPr>
        <w:t xml:space="preserve"> calculated using QCA (quantitative coronary analysis)</w:t>
      </w:r>
      <w:r w:rsidR="00A23015" w:rsidRPr="00EC6C19">
        <w:rPr>
          <w:rFonts w:ascii="Times New Roman" w:hAnsi="Times New Roman" w:cs="Times New Roman"/>
          <w:sz w:val="24"/>
          <w:szCs w:val="24"/>
        </w:rPr>
        <w:t>.</w:t>
      </w:r>
    </w:p>
    <w:p w14:paraId="4BA02684" w14:textId="77777777" w:rsidR="00263506" w:rsidRPr="00EC6C19" w:rsidRDefault="00263506" w:rsidP="004209DA">
      <w:pPr>
        <w:spacing w:line="360" w:lineRule="auto"/>
        <w:rPr>
          <w:rFonts w:ascii="Times New Roman" w:hAnsi="Times New Roman" w:cs="Times New Roman"/>
          <w:color w:val="FF0000"/>
          <w:sz w:val="24"/>
          <w:szCs w:val="24"/>
        </w:rPr>
      </w:pPr>
    </w:p>
    <w:tbl>
      <w:tblPr>
        <w:tblW w:w="0" w:type="auto"/>
        <w:tblLook w:val="04A0" w:firstRow="1" w:lastRow="0" w:firstColumn="1" w:lastColumn="0" w:noHBand="0" w:noVBand="1"/>
      </w:tblPr>
      <w:tblGrid>
        <w:gridCol w:w="2339"/>
        <w:gridCol w:w="2341"/>
        <w:gridCol w:w="2336"/>
        <w:gridCol w:w="2344"/>
      </w:tblGrid>
      <w:tr w:rsidR="00472016" w:rsidRPr="00EC6C19" w14:paraId="42831351" w14:textId="77777777" w:rsidTr="00935A4C">
        <w:trPr>
          <w:trHeight w:val="406"/>
        </w:trPr>
        <w:tc>
          <w:tcPr>
            <w:tcW w:w="2394" w:type="dxa"/>
            <w:tcBorders>
              <w:bottom w:val="nil"/>
            </w:tcBorders>
            <w:shd w:val="clear" w:color="auto" w:fill="F2F2F2" w:themeFill="background1" w:themeFillShade="F2"/>
          </w:tcPr>
          <w:p w14:paraId="59F267D9" w14:textId="77777777" w:rsidR="00472016" w:rsidRPr="00EC6C19" w:rsidRDefault="00472016"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tc>
        <w:tc>
          <w:tcPr>
            <w:tcW w:w="2394" w:type="dxa"/>
            <w:tcBorders>
              <w:bottom w:val="nil"/>
            </w:tcBorders>
            <w:shd w:val="clear" w:color="auto" w:fill="F2F2F2" w:themeFill="background1" w:themeFillShade="F2"/>
          </w:tcPr>
          <w:p w14:paraId="4386DE20" w14:textId="77777777" w:rsidR="00472016" w:rsidRPr="00EC6C19" w:rsidRDefault="00472016"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 Stenosis</w:t>
            </w:r>
          </w:p>
        </w:tc>
        <w:tc>
          <w:tcPr>
            <w:tcW w:w="2394" w:type="dxa"/>
            <w:tcBorders>
              <w:bottom w:val="nil"/>
            </w:tcBorders>
            <w:shd w:val="clear" w:color="auto" w:fill="F2F2F2" w:themeFill="background1" w:themeFillShade="F2"/>
          </w:tcPr>
          <w:p w14:paraId="280459DA" w14:textId="77777777" w:rsidR="00472016" w:rsidRPr="00EC6C19" w:rsidRDefault="00472016"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 xml:space="preserve">Length </w:t>
            </w:r>
            <w:r w:rsidR="009F7709" w:rsidRPr="00EC6C19">
              <w:rPr>
                <w:rFonts w:ascii="Times New Roman" w:hAnsi="Times New Roman" w:cs="Times New Roman"/>
                <w:sz w:val="24"/>
                <w:szCs w:val="24"/>
              </w:rPr>
              <w:t>(mm)</w:t>
            </w:r>
          </w:p>
        </w:tc>
        <w:tc>
          <w:tcPr>
            <w:tcW w:w="2394" w:type="dxa"/>
            <w:tcBorders>
              <w:bottom w:val="nil"/>
            </w:tcBorders>
            <w:shd w:val="clear" w:color="auto" w:fill="F2F2F2" w:themeFill="background1" w:themeFillShade="F2"/>
          </w:tcPr>
          <w:p w14:paraId="49F7CD12" w14:textId="77777777" w:rsidR="00472016" w:rsidRPr="00EC6C19" w:rsidRDefault="00472016"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Position of Lesion</w:t>
            </w:r>
          </w:p>
        </w:tc>
      </w:tr>
      <w:tr w:rsidR="0080650C" w:rsidRPr="00EC6C19" w14:paraId="513452B2" w14:textId="77777777" w:rsidTr="00935A4C">
        <w:trPr>
          <w:trHeight w:val="276"/>
        </w:trPr>
        <w:tc>
          <w:tcPr>
            <w:tcW w:w="9576" w:type="dxa"/>
            <w:gridSpan w:val="4"/>
            <w:tcBorders>
              <w:top w:val="nil"/>
              <w:bottom w:val="single" w:sz="18" w:space="0" w:color="000000" w:themeColor="text1"/>
            </w:tcBorders>
            <w:shd w:val="clear" w:color="auto" w:fill="F2F2F2" w:themeFill="background1" w:themeFillShade="F2"/>
          </w:tcPr>
          <w:p w14:paraId="3988D3DB" w14:textId="77777777" w:rsidR="00263506"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w:t>
            </w:r>
            <w:r w:rsidR="00263506" w:rsidRPr="00EC6C19">
              <w:rPr>
                <w:rFonts w:ascii="Times New Roman" w:hAnsi="Times New Roman" w:cs="Times New Roman"/>
                <w:sz w:val="24"/>
                <w:szCs w:val="24"/>
              </w:rPr>
              <w:t>D</w:t>
            </w:r>
          </w:p>
        </w:tc>
      </w:tr>
      <w:tr w:rsidR="00472016" w:rsidRPr="00EC6C19" w14:paraId="003C3110" w14:textId="77777777" w:rsidTr="00935A4C">
        <w:tc>
          <w:tcPr>
            <w:tcW w:w="2394" w:type="dxa"/>
            <w:tcBorders>
              <w:top w:val="single" w:sz="18" w:space="0" w:color="000000" w:themeColor="text1"/>
            </w:tcBorders>
            <w:shd w:val="clear" w:color="auto" w:fill="FFFFFF" w:themeFill="background1"/>
          </w:tcPr>
          <w:p w14:paraId="5F556435"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w:t>
            </w:r>
          </w:p>
        </w:tc>
        <w:tc>
          <w:tcPr>
            <w:tcW w:w="2394" w:type="dxa"/>
            <w:tcBorders>
              <w:top w:val="single" w:sz="18" w:space="0" w:color="000000" w:themeColor="text1"/>
            </w:tcBorders>
            <w:shd w:val="clear" w:color="auto" w:fill="FFFFFF" w:themeFill="background1"/>
          </w:tcPr>
          <w:p w14:paraId="69F23485"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48</w:t>
            </w:r>
          </w:p>
        </w:tc>
        <w:tc>
          <w:tcPr>
            <w:tcW w:w="2394" w:type="dxa"/>
            <w:tcBorders>
              <w:top w:val="single" w:sz="18" w:space="0" w:color="000000" w:themeColor="text1"/>
            </w:tcBorders>
            <w:shd w:val="clear" w:color="auto" w:fill="FFFFFF" w:themeFill="background1"/>
          </w:tcPr>
          <w:p w14:paraId="0BD5C868"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17.9</w:t>
            </w:r>
          </w:p>
        </w:tc>
        <w:tc>
          <w:tcPr>
            <w:tcW w:w="2394" w:type="dxa"/>
            <w:tcBorders>
              <w:top w:val="single" w:sz="18" w:space="0" w:color="000000" w:themeColor="text1"/>
            </w:tcBorders>
            <w:shd w:val="clear" w:color="auto" w:fill="FFFFFF" w:themeFill="background1"/>
          </w:tcPr>
          <w:p w14:paraId="2375FB73"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472016" w:rsidRPr="00EC6C19" w14:paraId="7D7CB7B3" w14:textId="77777777" w:rsidTr="0080650C">
        <w:tc>
          <w:tcPr>
            <w:tcW w:w="2394" w:type="dxa"/>
            <w:shd w:val="clear" w:color="auto" w:fill="FFFFFF" w:themeFill="background1"/>
          </w:tcPr>
          <w:p w14:paraId="2032F4D4"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w:t>
            </w:r>
          </w:p>
        </w:tc>
        <w:tc>
          <w:tcPr>
            <w:tcW w:w="2394" w:type="dxa"/>
            <w:shd w:val="clear" w:color="auto" w:fill="FFFFFF" w:themeFill="background1"/>
          </w:tcPr>
          <w:p w14:paraId="5DE71D77"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52</w:t>
            </w:r>
          </w:p>
        </w:tc>
        <w:tc>
          <w:tcPr>
            <w:tcW w:w="2394" w:type="dxa"/>
            <w:shd w:val="clear" w:color="auto" w:fill="FFFFFF" w:themeFill="background1"/>
          </w:tcPr>
          <w:p w14:paraId="06624C27"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10.5</w:t>
            </w:r>
          </w:p>
        </w:tc>
        <w:tc>
          <w:tcPr>
            <w:tcW w:w="2394" w:type="dxa"/>
            <w:shd w:val="clear" w:color="auto" w:fill="FFFFFF" w:themeFill="background1"/>
          </w:tcPr>
          <w:p w14:paraId="0410398E"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472016" w:rsidRPr="00EC6C19" w14:paraId="2EB55C47" w14:textId="77777777" w:rsidTr="0080650C">
        <w:tc>
          <w:tcPr>
            <w:tcW w:w="2394" w:type="dxa"/>
            <w:shd w:val="clear" w:color="auto" w:fill="FFFFFF" w:themeFill="background1"/>
          </w:tcPr>
          <w:p w14:paraId="34A05A4B"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w:t>
            </w:r>
          </w:p>
        </w:tc>
        <w:tc>
          <w:tcPr>
            <w:tcW w:w="2394" w:type="dxa"/>
            <w:shd w:val="clear" w:color="auto" w:fill="FFFFFF" w:themeFill="background1"/>
          </w:tcPr>
          <w:p w14:paraId="06B4CA4A"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51</w:t>
            </w:r>
          </w:p>
        </w:tc>
        <w:tc>
          <w:tcPr>
            <w:tcW w:w="2394" w:type="dxa"/>
            <w:shd w:val="clear" w:color="auto" w:fill="FFFFFF" w:themeFill="background1"/>
          </w:tcPr>
          <w:p w14:paraId="60C12098"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13</w:t>
            </w:r>
          </w:p>
        </w:tc>
        <w:tc>
          <w:tcPr>
            <w:tcW w:w="2394" w:type="dxa"/>
            <w:shd w:val="clear" w:color="auto" w:fill="FFFFFF" w:themeFill="background1"/>
          </w:tcPr>
          <w:p w14:paraId="6C0C4B65"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472016" w:rsidRPr="00EC6C19" w14:paraId="2468FBCF" w14:textId="77777777" w:rsidTr="0080650C">
        <w:tc>
          <w:tcPr>
            <w:tcW w:w="2394" w:type="dxa"/>
            <w:shd w:val="clear" w:color="auto" w:fill="FFFFFF" w:themeFill="background1"/>
          </w:tcPr>
          <w:p w14:paraId="7EA1C98F"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9</w:t>
            </w:r>
          </w:p>
        </w:tc>
        <w:tc>
          <w:tcPr>
            <w:tcW w:w="2394" w:type="dxa"/>
            <w:shd w:val="clear" w:color="auto" w:fill="FFFFFF" w:themeFill="background1"/>
          </w:tcPr>
          <w:p w14:paraId="1FBE74E1"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43</w:t>
            </w:r>
          </w:p>
        </w:tc>
        <w:tc>
          <w:tcPr>
            <w:tcW w:w="2394" w:type="dxa"/>
            <w:shd w:val="clear" w:color="auto" w:fill="FFFFFF" w:themeFill="background1"/>
          </w:tcPr>
          <w:p w14:paraId="68968E03"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21.2</w:t>
            </w:r>
          </w:p>
        </w:tc>
        <w:tc>
          <w:tcPr>
            <w:tcW w:w="2394" w:type="dxa"/>
            <w:shd w:val="clear" w:color="auto" w:fill="FFFFFF" w:themeFill="background1"/>
          </w:tcPr>
          <w:p w14:paraId="72D304B8"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472016" w:rsidRPr="00EC6C19" w14:paraId="24A1EEAB" w14:textId="77777777" w:rsidTr="0080650C">
        <w:tc>
          <w:tcPr>
            <w:tcW w:w="2394" w:type="dxa"/>
            <w:shd w:val="clear" w:color="auto" w:fill="FFFFFF" w:themeFill="background1"/>
          </w:tcPr>
          <w:p w14:paraId="6A90FC81"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2394" w:type="dxa"/>
            <w:shd w:val="clear" w:color="auto" w:fill="FFFFFF" w:themeFill="background1"/>
          </w:tcPr>
          <w:p w14:paraId="5733C591"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41</w:t>
            </w:r>
          </w:p>
        </w:tc>
        <w:tc>
          <w:tcPr>
            <w:tcW w:w="2394" w:type="dxa"/>
            <w:shd w:val="clear" w:color="auto" w:fill="FFFFFF" w:themeFill="background1"/>
          </w:tcPr>
          <w:p w14:paraId="782F2A4F"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6.6</w:t>
            </w:r>
          </w:p>
        </w:tc>
        <w:tc>
          <w:tcPr>
            <w:tcW w:w="2394" w:type="dxa"/>
            <w:shd w:val="clear" w:color="auto" w:fill="FFFFFF" w:themeFill="background1"/>
          </w:tcPr>
          <w:p w14:paraId="44770259"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472016" w:rsidRPr="00EC6C19" w14:paraId="6B602804" w14:textId="77777777" w:rsidTr="0080650C">
        <w:tc>
          <w:tcPr>
            <w:tcW w:w="2394" w:type="dxa"/>
            <w:shd w:val="clear" w:color="auto" w:fill="FFFFFF" w:themeFill="background1"/>
          </w:tcPr>
          <w:p w14:paraId="734DE3E5"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11</w:t>
            </w:r>
          </w:p>
        </w:tc>
        <w:tc>
          <w:tcPr>
            <w:tcW w:w="2394" w:type="dxa"/>
            <w:shd w:val="clear" w:color="auto" w:fill="FFFFFF" w:themeFill="background1"/>
          </w:tcPr>
          <w:p w14:paraId="0E2CB6DD"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2394" w:type="dxa"/>
            <w:shd w:val="clear" w:color="auto" w:fill="FFFFFF" w:themeFill="background1"/>
          </w:tcPr>
          <w:p w14:paraId="646FFAB3"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4.1</w:t>
            </w:r>
          </w:p>
        </w:tc>
        <w:tc>
          <w:tcPr>
            <w:tcW w:w="2394" w:type="dxa"/>
            <w:shd w:val="clear" w:color="auto" w:fill="FFFFFF" w:themeFill="background1"/>
          </w:tcPr>
          <w:p w14:paraId="36F18AA2"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Mid</w:t>
            </w:r>
          </w:p>
        </w:tc>
      </w:tr>
      <w:tr w:rsidR="00472016" w:rsidRPr="00EC6C19" w14:paraId="14254495" w14:textId="77777777" w:rsidTr="0080650C">
        <w:tc>
          <w:tcPr>
            <w:tcW w:w="2394" w:type="dxa"/>
            <w:shd w:val="clear" w:color="auto" w:fill="FFFFFF" w:themeFill="background1"/>
          </w:tcPr>
          <w:p w14:paraId="62EC0003"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15</w:t>
            </w:r>
          </w:p>
        </w:tc>
        <w:tc>
          <w:tcPr>
            <w:tcW w:w="2394" w:type="dxa"/>
            <w:shd w:val="clear" w:color="auto" w:fill="FFFFFF" w:themeFill="background1"/>
          </w:tcPr>
          <w:p w14:paraId="12C955EC"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43</w:t>
            </w:r>
          </w:p>
        </w:tc>
        <w:tc>
          <w:tcPr>
            <w:tcW w:w="2394" w:type="dxa"/>
            <w:shd w:val="clear" w:color="auto" w:fill="FFFFFF" w:themeFill="background1"/>
          </w:tcPr>
          <w:p w14:paraId="50F2089D"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4.5</w:t>
            </w:r>
          </w:p>
        </w:tc>
        <w:tc>
          <w:tcPr>
            <w:tcW w:w="2394" w:type="dxa"/>
            <w:shd w:val="clear" w:color="auto" w:fill="FFFFFF" w:themeFill="background1"/>
          </w:tcPr>
          <w:p w14:paraId="70414C9E" w14:textId="77777777" w:rsidR="00472016"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286C7A" w:rsidRPr="00EC6C19" w14:paraId="7063819F" w14:textId="77777777" w:rsidTr="0080650C">
        <w:tc>
          <w:tcPr>
            <w:tcW w:w="2394" w:type="dxa"/>
            <w:shd w:val="clear" w:color="auto" w:fill="FFFFFF" w:themeFill="background1"/>
          </w:tcPr>
          <w:p w14:paraId="74C4D347"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16</w:t>
            </w:r>
          </w:p>
        </w:tc>
        <w:tc>
          <w:tcPr>
            <w:tcW w:w="2394" w:type="dxa"/>
            <w:shd w:val="clear" w:color="auto" w:fill="FFFFFF" w:themeFill="background1"/>
          </w:tcPr>
          <w:p w14:paraId="3DEA521D"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38</w:t>
            </w:r>
          </w:p>
        </w:tc>
        <w:tc>
          <w:tcPr>
            <w:tcW w:w="2394" w:type="dxa"/>
            <w:shd w:val="clear" w:color="auto" w:fill="FFFFFF" w:themeFill="background1"/>
          </w:tcPr>
          <w:p w14:paraId="615CFE2C"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10.7</w:t>
            </w:r>
          </w:p>
        </w:tc>
        <w:tc>
          <w:tcPr>
            <w:tcW w:w="2394" w:type="dxa"/>
            <w:shd w:val="clear" w:color="auto" w:fill="FFFFFF" w:themeFill="background1"/>
          </w:tcPr>
          <w:p w14:paraId="478FBD71"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Mid</w:t>
            </w:r>
          </w:p>
        </w:tc>
      </w:tr>
      <w:tr w:rsidR="00286C7A" w:rsidRPr="00EC6C19" w14:paraId="21EAB783" w14:textId="77777777" w:rsidTr="0080650C">
        <w:tc>
          <w:tcPr>
            <w:tcW w:w="2394" w:type="dxa"/>
            <w:shd w:val="clear" w:color="auto" w:fill="FFFFFF" w:themeFill="background1"/>
          </w:tcPr>
          <w:p w14:paraId="3470AE58"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17</w:t>
            </w:r>
          </w:p>
        </w:tc>
        <w:tc>
          <w:tcPr>
            <w:tcW w:w="2394" w:type="dxa"/>
            <w:shd w:val="clear" w:color="auto" w:fill="FFFFFF" w:themeFill="background1"/>
          </w:tcPr>
          <w:p w14:paraId="61DD29ED"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60</w:t>
            </w:r>
          </w:p>
        </w:tc>
        <w:tc>
          <w:tcPr>
            <w:tcW w:w="2394" w:type="dxa"/>
            <w:shd w:val="clear" w:color="auto" w:fill="FFFFFF" w:themeFill="background1"/>
          </w:tcPr>
          <w:p w14:paraId="7C9E5FA1"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6.8</w:t>
            </w:r>
          </w:p>
        </w:tc>
        <w:tc>
          <w:tcPr>
            <w:tcW w:w="2394" w:type="dxa"/>
            <w:shd w:val="clear" w:color="auto" w:fill="FFFFFF" w:themeFill="background1"/>
          </w:tcPr>
          <w:p w14:paraId="62C7B153"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286C7A" w:rsidRPr="00EC6C19" w14:paraId="666DB38C" w14:textId="77777777" w:rsidTr="0080650C">
        <w:tc>
          <w:tcPr>
            <w:tcW w:w="2394" w:type="dxa"/>
            <w:shd w:val="clear" w:color="auto" w:fill="FFFFFF" w:themeFill="background1"/>
          </w:tcPr>
          <w:p w14:paraId="448EE7D1"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18</w:t>
            </w:r>
          </w:p>
        </w:tc>
        <w:tc>
          <w:tcPr>
            <w:tcW w:w="2394" w:type="dxa"/>
            <w:shd w:val="clear" w:color="auto" w:fill="FFFFFF" w:themeFill="background1"/>
          </w:tcPr>
          <w:p w14:paraId="396024DA"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43</w:t>
            </w:r>
          </w:p>
        </w:tc>
        <w:tc>
          <w:tcPr>
            <w:tcW w:w="2394" w:type="dxa"/>
            <w:shd w:val="clear" w:color="auto" w:fill="FFFFFF" w:themeFill="background1"/>
          </w:tcPr>
          <w:p w14:paraId="38729690"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8.6</w:t>
            </w:r>
          </w:p>
        </w:tc>
        <w:tc>
          <w:tcPr>
            <w:tcW w:w="2394" w:type="dxa"/>
            <w:shd w:val="clear" w:color="auto" w:fill="FFFFFF" w:themeFill="background1"/>
          </w:tcPr>
          <w:p w14:paraId="1F06E436" w14:textId="77777777" w:rsidR="00286C7A" w:rsidRPr="00EC6C19" w:rsidRDefault="00286C7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Mid</w:t>
            </w:r>
          </w:p>
        </w:tc>
      </w:tr>
      <w:tr w:rsidR="00286C7A" w:rsidRPr="00EC6C19" w14:paraId="210E178E" w14:textId="77777777" w:rsidTr="00935A4C">
        <w:tc>
          <w:tcPr>
            <w:tcW w:w="2394" w:type="dxa"/>
            <w:tcBorders>
              <w:bottom w:val="nil"/>
            </w:tcBorders>
            <w:shd w:val="clear" w:color="auto" w:fill="FFFFFF" w:themeFill="background1"/>
          </w:tcPr>
          <w:p w14:paraId="198DEA16" w14:textId="7DAED813" w:rsidR="00286C7A" w:rsidRPr="00EC6C19" w:rsidRDefault="0022110B"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Mean (</w:t>
            </w:r>
            <w:r w:rsidR="00D97E85">
              <w:rPr>
                <w:rFonts w:ascii="Times New Roman" w:hAnsi="Times New Roman" w:cs="Times New Roman"/>
                <w:sz w:val="24"/>
                <w:szCs w:val="24"/>
              </w:rPr>
              <w:t>±</w:t>
            </w:r>
            <w:r w:rsidRPr="00EC6C19">
              <w:rPr>
                <w:rFonts w:ascii="Times New Roman" w:hAnsi="Times New Roman" w:cs="Times New Roman"/>
                <w:sz w:val="24"/>
                <w:szCs w:val="24"/>
              </w:rPr>
              <w:t xml:space="preserve"> SD)</w:t>
            </w:r>
          </w:p>
        </w:tc>
        <w:tc>
          <w:tcPr>
            <w:tcW w:w="2394" w:type="dxa"/>
            <w:tcBorders>
              <w:bottom w:val="nil"/>
            </w:tcBorders>
            <w:shd w:val="clear" w:color="auto" w:fill="FFFFFF" w:themeFill="background1"/>
          </w:tcPr>
          <w:p w14:paraId="745A1ADE" w14:textId="70D2522E" w:rsidR="00286C7A" w:rsidRPr="00EC6C19" w:rsidRDefault="00286C7A"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43</w:t>
            </w:r>
            <w:r w:rsidR="00147FD1" w:rsidRPr="00EC6C19">
              <w:rPr>
                <w:rFonts w:ascii="Times New Roman" w:hAnsi="Times New Roman" w:cs="Times New Roman"/>
                <w:sz w:val="24"/>
                <w:szCs w:val="24"/>
              </w:rPr>
              <w:t xml:space="preserve"> (</w:t>
            </w:r>
            <w:r w:rsidR="0083580A">
              <w:rPr>
                <w:rFonts w:ascii="Times New Roman" w:hAnsi="Times New Roman" w:cs="Times New Roman"/>
                <w:sz w:val="24"/>
                <w:szCs w:val="24"/>
              </w:rPr>
              <w:t>±</w:t>
            </w:r>
            <w:r w:rsidR="001054BE" w:rsidRPr="00EC6C19">
              <w:rPr>
                <w:rFonts w:ascii="Times New Roman" w:hAnsi="Times New Roman" w:cs="Times New Roman"/>
                <w:sz w:val="24"/>
                <w:szCs w:val="24"/>
              </w:rPr>
              <w:t>13.2</w:t>
            </w:r>
            <w:r w:rsidR="00147FD1" w:rsidRPr="00EC6C19">
              <w:rPr>
                <w:rFonts w:ascii="Times New Roman" w:hAnsi="Times New Roman" w:cs="Times New Roman"/>
                <w:sz w:val="24"/>
                <w:szCs w:val="24"/>
              </w:rPr>
              <w:t>)</w:t>
            </w:r>
          </w:p>
        </w:tc>
        <w:tc>
          <w:tcPr>
            <w:tcW w:w="2394" w:type="dxa"/>
            <w:tcBorders>
              <w:bottom w:val="nil"/>
            </w:tcBorders>
            <w:shd w:val="clear" w:color="auto" w:fill="FFFFFF" w:themeFill="background1"/>
          </w:tcPr>
          <w:p w14:paraId="3FC59E6D" w14:textId="5D9EAF61" w:rsidR="00286C7A" w:rsidRPr="00EC6C19" w:rsidRDefault="001054BE"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10.4 (</w:t>
            </w:r>
            <w:r w:rsidR="0083580A">
              <w:rPr>
                <w:rFonts w:ascii="Times New Roman" w:hAnsi="Times New Roman" w:cs="Times New Roman"/>
                <w:sz w:val="24"/>
                <w:szCs w:val="24"/>
              </w:rPr>
              <w:t>±</w:t>
            </w:r>
            <w:r w:rsidRPr="00EC6C19">
              <w:rPr>
                <w:rFonts w:ascii="Times New Roman" w:hAnsi="Times New Roman" w:cs="Times New Roman"/>
                <w:sz w:val="24"/>
                <w:szCs w:val="24"/>
              </w:rPr>
              <w:t>5.6)</w:t>
            </w:r>
          </w:p>
        </w:tc>
        <w:tc>
          <w:tcPr>
            <w:tcW w:w="2394" w:type="dxa"/>
            <w:tcBorders>
              <w:bottom w:val="nil"/>
            </w:tcBorders>
            <w:shd w:val="clear" w:color="auto" w:fill="FFFFFF" w:themeFill="background1"/>
          </w:tcPr>
          <w:p w14:paraId="1B5B851B" w14:textId="77777777" w:rsidR="00286C7A" w:rsidRPr="00EC6C19" w:rsidRDefault="00286C7A"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w:t>
            </w:r>
          </w:p>
        </w:tc>
      </w:tr>
      <w:tr w:rsidR="0080650C" w:rsidRPr="00EC6C19" w14:paraId="080A5A97" w14:textId="77777777" w:rsidTr="00935A4C">
        <w:tc>
          <w:tcPr>
            <w:tcW w:w="9576" w:type="dxa"/>
            <w:gridSpan w:val="4"/>
            <w:tcBorders>
              <w:top w:val="nil"/>
              <w:bottom w:val="single" w:sz="18" w:space="0" w:color="000000" w:themeColor="text1"/>
            </w:tcBorders>
            <w:shd w:val="clear" w:color="auto" w:fill="F2F2F2" w:themeFill="background1" w:themeFillShade="F2"/>
          </w:tcPr>
          <w:p w14:paraId="34AA65A6" w14:textId="77777777" w:rsidR="00263506"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Circumflex</w:t>
            </w:r>
          </w:p>
        </w:tc>
      </w:tr>
      <w:tr w:rsidR="0080650C" w:rsidRPr="00EC6C19" w14:paraId="5134ACB9" w14:textId="77777777" w:rsidTr="00935A4C">
        <w:tc>
          <w:tcPr>
            <w:tcW w:w="2394" w:type="dxa"/>
            <w:tcBorders>
              <w:top w:val="single" w:sz="18" w:space="0" w:color="000000" w:themeColor="text1"/>
            </w:tcBorders>
            <w:shd w:val="clear" w:color="auto" w:fill="FFFFFF" w:themeFill="background1"/>
          </w:tcPr>
          <w:p w14:paraId="1041F8B3"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p w14:paraId="4DEE9416" w14:textId="77777777" w:rsidR="0080650C" w:rsidRPr="00EC6C19" w:rsidRDefault="0080650C" w:rsidP="0066656C">
            <w:pPr>
              <w:spacing w:line="360" w:lineRule="auto"/>
              <w:jc w:val="center"/>
              <w:rPr>
                <w:rFonts w:ascii="Times New Roman" w:hAnsi="Times New Roman" w:cs="Times New Roman"/>
                <w:sz w:val="24"/>
                <w:szCs w:val="24"/>
              </w:rPr>
            </w:pPr>
          </w:p>
        </w:tc>
        <w:tc>
          <w:tcPr>
            <w:tcW w:w="2394" w:type="dxa"/>
            <w:tcBorders>
              <w:top w:val="single" w:sz="18" w:space="0" w:color="000000" w:themeColor="text1"/>
            </w:tcBorders>
            <w:shd w:val="clear" w:color="auto" w:fill="FFFFFF" w:themeFill="background1"/>
          </w:tcPr>
          <w:p w14:paraId="54B3FE83"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lastRenderedPageBreak/>
              <w:t>% Stenosis</w:t>
            </w:r>
          </w:p>
        </w:tc>
        <w:tc>
          <w:tcPr>
            <w:tcW w:w="2394" w:type="dxa"/>
            <w:tcBorders>
              <w:top w:val="single" w:sz="18" w:space="0" w:color="000000" w:themeColor="text1"/>
            </w:tcBorders>
            <w:shd w:val="clear" w:color="auto" w:fill="FFFFFF" w:themeFill="background1"/>
          </w:tcPr>
          <w:p w14:paraId="1837BE5C"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 xml:space="preserve">Length of Lesion </w:t>
            </w:r>
            <w:r w:rsidRPr="00EC6C19">
              <w:rPr>
                <w:rFonts w:ascii="Times New Roman" w:hAnsi="Times New Roman" w:cs="Times New Roman"/>
                <w:sz w:val="24"/>
                <w:szCs w:val="24"/>
              </w:rPr>
              <w:lastRenderedPageBreak/>
              <w:t>(mm)</w:t>
            </w:r>
          </w:p>
        </w:tc>
        <w:tc>
          <w:tcPr>
            <w:tcW w:w="2394" w:type="dxa"/>
            <w:tcBorders>
              <w:top w:val="single" w:sz="18" w:space="0" w:color="000000" w:themeColor="text1"/>
            </w:tcBorders>
            <w:shd w:val="clear" w:color="auto" w:fill="FFFFFF" w:themeFill="background1"/>
          </w:tcPr>
          <w:p w14:paraId="2D8E8FF0"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lastRenderedPageBreak/>
              <w:t>Position of Lesion</w:t>
            </w:r>
          </w:p>
        </w:tc>
      </w:tr>
      <w:tr w:rsidR="0080650C" w:rsidRPr="00EC6C19" w14:paraId="3740FF3C" w14:textId="77777777" w:rsidTr="0080650C">
        <w:tc>
          <w:tcPr>
            <w:tcW w:w="2394" w:type="dxa"/>
            <w:shd w:val="clear" w:color="auto" w:fill="FFFFFF" w:themeFill="background1"/>
          </w:tcPr>
          <w:p w14:paraId="6CD31A6F"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w:t>
            </w:r>
          </w:p>
        </w:tc>
        <w:tc>
          <w:tcPr>
            <w:tcW w:w="2394" w:type="dxa"/>
            <w:shd w:val="clear" w:color="auto" w:fill="FFFFFF" w:themeFill="background1"/>
          </w:tcPr>
          <w:p w14:paraId="79A9FD5F"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44</w:t>
            </w:r>
          </w:p>
        </w:tc>
        <w:tc>
          <w:tcPr>
            <w:tcW w:w="2394" w:type="dxa"/>
            <w:shd w:val="clear" w:color="auto" w:fill="FFFFFF" w:themeFill="background1"/>
          </w:tcPr>
          <w:p w14:paraId="096A18D4"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13.2</w:t>
            </w:r>
          </w:p>
        </w:tc>
        <w:tc>
          <w:tcPr>
            <w:tcW w:w="2394" w:type="dxa"/>
            <w:shd w:val="clear" w:color="auto" w:fill="FFFFFF" w:themeFill="background1"/>
          </w:tcPr>
          <w:p w14:paraId="46474579"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Mid</w:t>
            </w:r>
          </w:p>
        </w:tc>
      </w:tr>
      <w:tr w:rsidR="0080650C" w:rsidRPr="00EC6C19" w14:paraId="18554FCD" w14:textId="77777777" w:rsidTr="0080650C">
        <w:tc>
          <w:tcPr>
            <w:tcW w:w="2394" w:type="dxa"/>
            <w:shd w:val="clear" w:color="auto" w:fill="FFFFFF" w:themeFill="background1"/>
          </w:tcPr>
          <w:p w14:paraId="538C7730"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w:t>
            </w:r>
          </w:p>
        </w:tc>
        <w:tc>
          <w:tcPr>
            <w:tcW w:w="2394" w:type="dxa"/>
            <w:shd w:val="clear" w:color="auto" w:fill="FFFFFF" w:themeFill="background1"/>
          </w:tcPr>
          <w:p w14:paraId="4EC556D6"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57</w:t>
            </w:r>
          </w:p>
        </w:tc>
        <w:tc>
          <w:tcPr>
            <w:tcW w:w="2394" w:type="dxa"/>
            <w:shd w:val="clear" w:color="auto" w:fill="FFFFFF" w:themeFill="background1"/>
          </w:tcPr>
          <w:p w14:paraId="03A126E3"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14</w:t>
            </w:r>
          </w:p>
        </w:tc>
        <w:tc>
          <w:tcPr>
            <w:tcW w:w="2394" w:type="dxa"/>
            <w:shd w:val="clear" w:color="auto" w:fill="FFFFFF" w:themeFill="background1"/>
          </w:tcPr>
          <w:p w14:paraId="585D8F75"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Distal</w:t>
            </w:r>
          </w:p>
        </w:tc>
      </w:tr>
      <w:tr w:rsidR="0080650C" w:rsidRPr="00EC6C19" w14:paraId="7B4F0036" w14:textId="77777777" w:rsidTr="0080650C">
        <w:tc>
          <w:tcPr>
            <w:tcW w:w="2394" w:type="dxa"/>
            <w:shd w:val="clear" w:color="auto" w:fill="FFFFFF" w:themeFill="background1"/>
          </w:tcPr>
          <w:p w14:paraId="1BE32C37"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w:t>
            </w:r>
          </w:p>
        </w:tc>
        <w:tc>
          <w:tcPr>
            <w:tcW w:w="2394" w:type="dxa"/>
            <w:shd w:val="clear" w:color="auto" w:fill="FFFFFF" w:themeFill="background1"/>
          </w:tcPr>
          <w:p w14:paraId="7523EB0E"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44</w:t>
            </w:r>
          </w:p>
        </w:tc>
        <w:tc>
          <w:tcPr>
            <w:tcW w:w="2394" w:type="dxa"/>
            <w:shd w:val="clear" w:color="auto" w:fill="FFFFFF" w:themeFill="background1"/>
          </w:tcPr>
          <w:p w14:paraId="7DFD7750"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22.8</w:t>
            </w:r>
          </w:p>
        </w:tc>
        <w:tc>
          <w:tcPr>
            <w:tcW w:w="2394" w:type="dxa"/>
            <w:shd w:val="clear" w:color="auto" w:fill="FFFFFF" w:themeFill="background1"/>
          </w:tcPr>
          <w:p w14:paraId="7FD72262"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Mid</w:t>
            </w:r>
          </w:p>
        </w:tc>
      </w:tr>
      <w:tr w:rsidR="0080650C" w:rsidRPr="00EC6C19" w14:paraId="5F8B0443" w14:textId="77777777" w:rsidTr="0080650C">
        <w:tc>
          <w:tcPr>
            <w:tcW w:w="2394" w:type="dxa"/>
            <w:shd w:val="clear" w:color="auto" w:fill="FFFFFF" w:themeFill="background1"/>
          </w:tcPr>
          <w:p w14:paraId="20C80623"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8</w:t>
            </w:r>
          </w:p>
        </w:tc>
        <w:tc>
          <w:tcPr>
            <w:tcW w:w="2394" w:type="dxa"/>
            <w:shd w:val="clear" w:color="auto" w:fill="FFFFFF" w:themeFill="background1"/>
          </w:tcPr>
          <w:p w14:paraId="34A0438F"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61</w:t>
            </w:r>
          </w:p>
        </w:tc>
        <w:tc>
          <w:tcPr>
            <w:tcW w:w="2394" w:type="dxa"/>
            <w:shd w:val="clear" w:color="auto" w:fill="FFFFFF" w:themeFill="background1"/>
          </w:tcPr>
          <w:p w14:paraId="034C8C6F"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4.9</w:t>
            </w:r>
          </w:p>
        </w:tc>
        <w:tc>
          <w:tcPr>
            <w:tcW w:w="2394" w:type="dxa"/>
            <w:shd w:val="clear" w:color="auto" w:fill="FFFFFF" w:themeFill="background1"/>
          </w:tcPr>
          <w:p w14:paraId="2AB43CBE"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80650C" w:rsidRPr="00EC6C19" w14:paraId="0E649BDD" w14:textId="77777777" w:rsidTr="0080650C">
        <w:tc>
          <w:tcPr>
            <w:tcW w:w="2394" w:type="dxa"/>
            <w:shd w:val="clear" w:color="auto" w:fill="FFFFFF" w:themeFill="background1"/>
          </w:tcPr>
          <w:p w14:paraId="732F7ADE"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21</w:t>
            </w:r>
          </w:p>
        </w:tc>
        <w:tc>
          <w:tcPr>
            <w:tcW w:w="2394" w:type="dxa"/>
            <w:shd w:val="clear" w:color="auto" w:fill="FFFFFF" w:themeFill="background1"/>
          </w:tcPr>
          <w:p w14:paraId="7F899280"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46</w:t>
            </w:r>
          </w:p>
        </w:tc>
        <w:tc>
          <w:tcPr>
            <w:tcW w:w="2394" w:type="dxa"/>
            <w:shd w:val="clear" w:color="auto" w:fill="FFFFFF" w:themeFill="background1"/>
          </w:tcPr>
          <w:p w14:paraId="5BC64271"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10.5</w:t>
            </w:r>
          </w:p>
        </w:tc>
        <w:tc>
          <w:tcPr>
            <w:tcW w:w="2394" w:type="dxa"/>
            <w:shd w:val="clear" w:color="auto" w:fill="FFFFFF" w:themeFill="background1"/>
          </w:tcPr>
          <w:p w14:paraId="5FEFD253"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80650C" w:rsidRPr="00EC6C19" w14:paraId="53BFD046" w14:textId="77777777" w:rsidTr="0080650C">
        <w:tc>
          <w:tcPr>
            <w:tcW w:w="2394" w:type="dxa"/>
            <w:shd w:val="clear" w:color="auto" w:fill="FFFFFF" w:themeFill="background1"/>
          </w:tcPr>
          <w:p w14:paraId="44BC1B5E"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22</w:t>
            </w:r>
          </w:p>
        </w:tc>
        <w:tc>
          <w:tcPr>
            <w:tcW w:w="2394" w:type="dxa"/>
            <w:shd w:val="clear" w:color="auto" w:fill="FFFFFF" w:themeFill="background1"/>
          </w:tcPr>
          <w:p w14:paraId="7F72B3D2"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55</w:t>
            </w:r>
          </w:p>
        </w:tc>
        <w:tc>
          <w:tcPr>
            <w:tcW w:w="2394" w:type="dxa"/>
            <w:shd w:val="clear" w:color="auto" w:fill="FFFFFF" w:themeFill="background1"/>
          </w:tcPr>
          <w:p w14:paraId="6E6974D9"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22.3</w:t>
            </w:r>
          </w:p>
        </w:tc>
        <w:tc>
          <w:tcPr>
            <w:tcW w:w="2394" w:type="dxa"/>
            <w:shd w:val="clear" w:color="auto" w:fill="FFFFFF" w:themeFill="background1"/>
          </w:tcPr>
          <w:p w14:paraId="5EB4A8E2"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Mid</w:t>
            </w:r>
          </w:p>
        </w:tc>
      </w:tr>
      <w:tr w:rsidR="0080650C" w:rsidRPr="00EC6C19" w14:paraId="067348CF" w14:textId="77777777" w:rsidTr="0080650C">
        <w:tc>
          <w:tcPr>
            <w:tcW w:w="2394" w:type="dxa"/>
            <w:shd w:val="clear" w:color="auto" w:fill="FFFFFF" w:themeFill="background1"/>
          </w:tcPr>
          <w:p w14:paraId="00A5F609"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23</w:t>
            </w:r>
          </w:p>
        </w:tc>
        <w:tc>
          <w:tcPr>
            <w:tcW w:w="2394" w:type="dxa"/>
            <w:shd w:val="clear" w:color="auto" w:fill="FFFFFF" w:themeFill="background1"/>
          </w:tcPr>
          <w:p w14:paraId="79DC5A42"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46</w:t>
            </w:r>
          </w:p>
        </w:tc>
        <w:tc>
          <w:tcPr>
            <w:tcW w:w="2394" w:type="dxa"/>
            <w:shd w:val="clear" w:color="auto" w:fill="FFFFFF" w:themeFill="background1"/>
          </w:tcPr>
          <w:p w14:paraId="157F8F84"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5.0</w:t>
            </w:r>
          </w:p>
        </w:tc>
        <w:tc>
          <w:tcPr>
            <w:tcW w:w="2394" w:type="dxa"/>
            <w:shd w:val="clear" w:color="auto" w:fill="FFFFFF" w:themeFill="background1"/>
          </w:tcPr>
          <w:p w14:paraId="59B16B6E"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Mid</w:t>
            </w:r>
          </w:p>
        </w:tc>
      </w:tr>
      <w:tr w:rsidR="0080650C" w:rsidRPr="00EC6C19" w14:paraId="63C82ACF" w14:textId="77777777" w:rsidTr="00935A4C">
        <w:tc>
          <w:tcPr>
            <w:tcW w:w="2394" w:type="dxa"/>
            <w:tcBorders>
              <w:bottom w:val="nil"/>
            </w:tcBorders>
            <w:shd w:val="clear" w:color="auto" w:fill="FFFFFF" w:themeFill="background1"/>
          </w:tcPr>
          <w:p w14:paraId="0FBCEB9E" w14:textId="16B84CB9" w:rsidR="0080650C" w:rsidRPr="00EC6C19" w:rsidRDefault="0080650C"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Mean (</w:t>
            </w:r>
            <w:r w:rsidR="00D97E85">
              <w:rPr>
                <w:rFonts w:ascii="Times New Roman" w:hAnsi="Times New Roman" w:cs="Times New Roman"/>
                <w:sz w:val="24"/>
                <w:szCs w:val="24"/>
              </w:rPr>
              <w:t>±</w:t>
            </w:r>
            <w:r w:rsidRPr="00EC6C19">
              <w:rPr>
                <w:rFonts w:ascii="Times New Roman" w:hAnsi="Times New Roman" w:cs="Times New Roman"/>
                <w:sz w:val="24"/>
                <w:szCs w:val="24"/>
              </w:rPr>
              <w:t xml:space="preserve"> SD)</w:t>
            </w:r>
          </w:p>
        </w:tc>
        <w:tc>
          <w:tcPr>
            <w:tcW w:w="2394" w:type="dxa"/>
            <w:tcBorders>
              <w:bottom w:val="nil"/>
            </w:tcBorders>
            <w:shd w:val="clear" w:color="auto" w:fill="FFFFFF" w:themeFill="background1"/>
          </w:tcPr>
          <w:p w14:paraId="5DA7CBA3" w14:textId="49893B76" w:rsidR="0080650C" w:rsidRPr="00EC6C19" w:rsidRDefault="0080650C"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50.0 (</w:t>
            </w:r>
            <w:r w:rsidR="00D97E85">
              <w:rPr>
                <w:rFonts w:ascii="Times New Roman" w:hAnsi="Times New Roman" w:cs="Times New Roman"/>
                <w:sz w:val="24"/>
                <w:szCs w:val="24"/>
              </w:rPr>
              <w:t>±</w:t>
            </w:r>
            <w:r w:rsidRPr="00EC6C19">
              <w:rPr>
                <w:rFonts w:ascii="Times New Roman" w:hAnsi="Times New Roman" w:cs="Times New Roman"/>
                <w:sz w:val="24"/>
                <w:szCs w:val="24"/>
              </w:rPr>
              <w:t xml:space="preserve"> 7.0)</w:t>
            </w:r>
          </w:p>
        </w:tc>
        <w:tc>
          <w:tcPr>
            <w:tcW w:w="2394" w:type="dxa"/>
            <w:tcBorders>
              <w:bottom w:val="nil"/>
            </w:tcBorders>
            <w:shd w:val="clear" w:color="auto" w:fill="FFFFFF" w:themeFill="background1"/>
          </w:tcPr>
          <w:p w14:paraId="093C11BF" w14:textId="51691F5A" w:rsidR="0080650C" w:rsidRPr="00EC6C19" w:rsidRDefault="0080650C"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13.2</w:t>
            </w:r>
            <w:r w:rsidR="00DA50F0">
              <w:rPr>
                <w:rFonts w:ascii="Times New Roman" w:hAnsi="Times New Roman" w:cs="Times New Roman"/>
                <w:sz w:val="24"/>
                <w:szCs w:val="24"/>
              </w:rPr>
              <w:t>±</w:t>
            </w:r>
            <w:r w:rsidRPr="00EC6C19">
              <w:rPr>
                <w:rFonts w:ascii="Times New Roman" w:hAnsi="Times New Roman" w:cs="Times New Roman"/>
                <w:sz w:val="24"/>
                <w:szCs w:val="24"/>
              </w:rPr>
              <w:t xml:space="preserve"> 7.3)</w:t>
            </w:r>
          </w:p>
        </w:tc>
        <w:tc>
          <w:tcPr>
            <w:tcW w:w="2394" w:type="dxa"/>
            <w:tcBorders>
              <w:bottom w:val="nil"/>
            </w:tcBorders>
            <w:shd w:val="clear" w:color="auto" w:fill="FFFFFF" w:themeFill="background1"/>
          </w:tcPr>
          <w:p w14:paraId="60818495" w14:textId="77777777" w:rsidR="0080650C" w:rsidRPr="00EC6C19" w:rsidRDefault="0080650C" w:rsidP="0066656C">
            <w:pPr>
              <w:spacing w:line="480" w:lineRule="auto"/>
              <w:jc w:val="center"/>
              <w:rPr>
                <w:rFonts w:ascii="Times New Roman" w:hAnsi="Times New Roman" w:cs="Times New Roman"/>
                <w:sz w:val="24"/>
                <w:szCs w:val="24"/>
              </w:rPr>
            </w:pPr>
            <w:r w:rsidRPr="00EC6C19">
              <w:rPr>
                <w:rFonts w:ascii="Times New Roman" w:hAnsi="Times New Roman" w:cs="Times New Roman"/>
                <w:sz w:val="24"/>
                <w:szCs w:val="24"/>
              </w:rPr>
              <w:t>-</w:t>
            </w:r>
          </w:p>
        </w:tc>
      </w:tr>
      <w:tr w:rsidR="0080650C" w:rsidRPr="00EC6C19" w14:paraId="73881FB0" w14:textId="77777777" w:rsidTr="00935A4C">
        <w:tc>
          <w:tcPr>
            <w:tcW w:w="9576" w:type="dxa"/>
            <w:gridSpan w:val="4"/>
            <w:tcBorders>
              <w:top w:val="nil"/>
              <w:bottom w:val="single" w:sz="18" w:space="0" w:color="000000" w:themeColor="text1"/>
            </w:tcBorders>
            <w:shd w:val="clear" w:color="auto" w:fill="F2F2F2" w:themeFill="background1" w:themeFillShade="F2"/>
          </w:tcPr>
          <w:p w14:paraId="111F2982" w14:textId="77777777" w:rsidR="00263506"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Right Coronary Artery</w:t>
            </w:r>
          </w:p>
        </w:tc>
      </w:tr>
      <w:tr w:rsidR="0080650C" w:rsidRPr="00EC6C19" w14:paraId="2ADCFC47" w14:textId="77777777" w:rsidTr="00935A4C">
        <w:tc>
          <w:tcPr>
            <w:tcW w:w="2394" w:type="dxa"/>
            <w:tcBorders>
              <w:top w:val="single" w:sz="18" w:space="0" w:color="000000" w:themeColor="text1"/>
            </w:tcBorders>
            <w:shd w:val="clear" w:color="auto" w:fill="FFFFFF" w:themeFill="background1"/>
          </w:tcPr>
          <w:p w14:paraId="48349D5F"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p w14:paraId="258617DC" w14:textId="77777777" w:rsidR="0080650C" w:rsidRPr="00EC6C19" w:rsidRDefault="0080650C" w:rsidP="0066656C">
            <w:pPr>
              <w:spacing w:line="360" w:lineRule="auto"/>
              <w:jc w:val="center"/>
              <w:rPr>
                <w:rFonts w:ascii="Times New Roman" w:hAnsi="Times New Roman" w:cs="Times New Roman"/>
                <w:sz w:val="24"/>
                <w:szCs w:val="24"/>
              </w:rPr>
            </w:pPr>
          </w:p>
        </w:tc>
        <w:tc>
          <w:tcPr>
            <w:tcW w:w="2394" w:type="dxa"/>
            <w:tcBorders>
              <w:top w:val="single" w:sz="18" w:space="0" w:color="000000" w:themeColor="text1"/>
            </w:tcBorders>
            <w:shd w:val="clear" w:color="auto" w:fill="FFFFFF" w:themeFill="background1"/>
          </w:tcPr>
          <w:p w14:paraId="244E1E4D"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 Stenosis</w:t>
            </w:r>
          </w:p>
        </w:tc>
        <w:tc>
          <w:tcPr>
            <w:tcW w:w="2394" w:type="dxa"/>
            <w:tcBorders>
              <w:top w:val="single" w:sz="18" w:space="0" w:color="000000" w:themeColor="text1"/>
            </w:tcBorders>
            <w:shd w:val="clear" w:color="auto" w:fill="FFFFFF" w:themeFill="background1"/>
          </w:tcPr>
          <w:p w14:paraId="63ED3F78"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Length of Lesion (mm)</w:t>
            </w:r>
          </w:p>
        </w:tc>
        <w:tc>
          <w:tcPr>
            <w:tcW w:w="2394" w:type="dxa"/>
            <w:tcBorders>
              <w:top w:val="single" w:sz="18" w:space="0" w:color="000000" w:themeColor="text1"/>
            </w:tcBorders>
            <w:shd w:val="clear" w:color="auto" w:fill="FFFFFF" w:themeFill="background1"/>
          </w:tcPr>
          <w:p w14:paraId="1FA8D415"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Position of Lesion</w:t>
            </w:r>
          </w:p>
        </w:tc>
      </w:tr>
      <w:tr w:rsidR="0080650C" w:rsidRPr="00EC6C19" w14:paraId="76019DF8" w14:textId="77777777" w:rsidTr="0080650C">
        <w:tc>
          <w:tcPr>
            <w:tcW w:w="2394" w:type="dxa"/>
            <w:shd w:val="clear" w:color="auto" w:fill="FFFFFF" w:themeFill="background1"/>
          </w:tcPr>
          <w:p w14:paraId="7AC6F0AD"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w:t>
            </w:r>
          </w:p>
        </w:tc>
        <w:tc>
          <w:tcPr>
            <w:tcW w:w="2394" w:type="dxa"/>
            <w:shd w:val="clear" w:color="auto" w:fill="FFFFFF" w:themeFill="background1"/>
          </w:tcPr>
          <w:p w14:paraId="3D0C2897"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52</w:t>
            </w:r>
          </w:p>
        </w:tc>
        <w:tc>
          <w:tcPr>
            <w:tcW w:w="2394" w:type="dxa"/>
            <w:shd w:val="clear" w:color="auto" w:fill="FFFFFF" w:themeFill="background1"/>
          </w:tcPr>
          <w:p w14:paraId="167DF98E"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19.6</w:t>
            </w:r>
          </w:p>
        </w:tc>
        <w:tc>
          <w:tcPr>
            <w:tcW w:w="2394" w:type="dxa"/>
            <w:shd w:val="clear" w:color="auto" w:fill="FFFFFF" w:themeFill="background1"/>
          </w:tcPr>
          <w:p w14:paraId="79DB881C"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Mid</w:t>
            </w:r>
          </w:p>
        </w:tc>
      </w:tr>
      <w:tr w:rsidR="0080650C" w:rsidRPr="00EC6C19" w14:paraId="349012F6" w14:textId="77777777" w:rsidTr="0080650C">
        <w:tc>
          <w:tcPr>
            <w:tcW w:w="2394" w:type="dxa"/>
            <w:shd w:val="clear" w:color="auto" w:fill="FFFFFF" w:themeFill="background1"/>
          </w:tcPr>
          <w:p w14:paraId="3716206A"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12</w:t>
            </w:r>
          </w:p>
        </w:tc>
        <w:tc>
          <w:tcPr>
            <w:tcW w:w="2394" w:type="dxa"/>
            <w:shd w:val="clear" w:color="auto" w:fill="FFFFFF" w:themeFill="background1"/>
          </w:tcPr>
          <w:p w14:paraId="66E65CF2"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47</w:t>
            </w:r>
          </w:p>
        </w:tc>
        <w:tc>
          <w:tcPr>
            <w:tcW w:w="2394" w:type="dxa"/>
            <w:shd w:val="clear" w:color="auto" w:fill="FFFFFF" w:themeFill="background1"/>
          </w:tcPr>
          <w:p w14:paraId="2E8892F8"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5.3</w:t>
            </w:r>
          </w:p>
        </w:tc>
        <w:tc>
          <w:tcPr>
            <w:tcW w:w="2394" w:type="dxa"/>
            <w:shd w:val="clear" w:color="auto" w:fill="FFFFFF" w:themeFill="background1"/>
          </w:tcPr>
          <w:p w14:paraId="487B12E1"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Distal</w:t>
            </w:r>
          </w:p>
        </w:tc>
      </w:tr>
      <w:tr w:rsidR="0080650C" w:rsidRPr="00EC6C19" w14:paraId="27B0FEA7" w14:textId="77777777" w:rsidTr="0080650C">
        <w:tc>
          <w:tcPr>
            <w:tcW w:w="2394" w:type="dxa"/>
            <w:shd w:val="clear" w:color="auto" w:fill="FFFFFF" w:themeFill="background1"/>
          </w:tcPr>
          <w:p w14:paraId="16343D50"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13</w:t>
            </w:r>
          </w:p>
        </w:tc>
        <w:tc>
          <w:tcPr>
            <w:tcW w:w="2394" w:type="dxa"/>
            <w:shd w:val="clear" w:color="auto" w:fill="FFFFFF" w:themeFill="background1"/>
          </w:tcPr>
          <w:p w14:paraId="6D20E6A6"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70</w:t>
            </w:r>
          </w:p>
        </w:tc>
        <w:tc>
          <w:tcPr>
            <w:tcW w:w="2394" w:type="dxa"/>
            <w:shd w:val="clear" w:color="auto" w:fill="FFFFFF" w:themeFill="background1"/>
          </w:tcPr>
          <w:p w14:paraId="223D5E2D"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11.9</w:t>
            </w:r>
          </w:p>
        </w:tc>
        <w:tc>
          <w:tcPr>
            <w:tcW w:w="2394" w:type="dxa"/>
            <w:shd w:val="clear" w:color="auto" w:fill="FFFFFF" w:themeFill="background1"/>
          </w:tcPr>
          <w:p w14:paraId="27529F2B"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Mid</w:t>
            </w:r>
          </w:p>
        </w:tc>
      </w:tr>
      <w:tr w:rsidR="0080650C" w:rsidRPr="00EC6C19" w14:paraId="40D2BADC" w14:textId="77777777" w:rsidTr="0080650C">
        <w:tc>
          <w:tcPr>
            <w:tcW w:w="2394" w:type="dxa"/>
            <w:shd w:val="clear" w:color="auto" w:fill="FFFFFF" w:themeFill="background1"/>
          </w:tcPr>
          <w:p w14:paraId="4C2611D4"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14</w:t>
            </w:r>
          </w:p>
        </w:tc>
        <w:tc>
          <w:tcPr>
            <w:tcW w:w="2394" w:type="dxa"/>
            <w:shd w:val="clear" w:color="auto" w:fill="FFFFFF" w:themeFill="background1"/>
          </w:tcPr>
          <w:p w14:paraId="6B86BE97"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70</w:t>
            </w:r>
          </w:p>
        </w:tc>
        <w:tc>
          <w:tcPr>
            <w:tcW w:w="2394" w:type="dxa"/>
            <w:shd w:val="clear" w:color="auto" w:fill="FFFFFF" w:themeFill="background1"/>
          </w:tcPr>
          <w:p w14:paraId="2B4A991F"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11.9</w:t>
            </w:r>
          </w:p>
        </w:tc>
        <w:tc>
          <w:tcPr>
            <w:tcW w:w="2394" w:type="dxa"/>
            <w:shd w:val="clear" w:color="auto" w:fill="FFFFFF" w:themeFill="background1"/>
          </w:tcPr>
          <w:p w14:paraId="67E11440"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Proximal</w:t>
            </w:r>
          </w:p>
        </w:tc>
      </w:tr>
      <w:tr w:rsidR="0080650C" w:rsidRPr="00EC6C19" w14:paraId="2D5B72E0" w14:textId="77777777" w:rsidTr="0080650C">
        <w:tc>
          <w:tcPr>
            <w:tcW w:w="2394" w:type="dxa"/>
            <w:shd w:val="clear" w:color="auto" w:fill="FFFFFF" w:themeFill="background1"/>
          </w:tcPr>
          <w:p w14:paraId="6F575B11"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19</w:t>
            </w:r>
          </w:p>
        </w:tc>
        <w:tc>
          <w:tcPr>
            <w:tcW w:w="2394" w:type="dxa"/>
            <w:shd w:val="clear" w:color="auto" w:fill="FFFFFF" w:themeFill="background1"/>
          </w:tcPr>
          <w:p w14:paraId="054D9084"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55</w:t>
            </w:r>
          </w:p>
        </w:tc>
        <w:tc>
          <w:tcPr>
            <w:tcW w:w="2394" w:type="dxa"/>
            <w:shd w:val="clear" w:color="auto" w:fill="FFFFFF" w:themeFill="background1"/>
          </w:tcPr>
          <w:p w14:paraId="0BADDCD1"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12.0</w:t>
            </w:r>
          </w:p>
        </w:tc>
        <w:tc>
          <w:tcPr>
            <w:tcW w:w="2394" w:type="dxa"/>
            <w:shd w:val="clear" w:color="auto" w:fill="FFFFFF" w:themeFill="background1"/>
          </w:tcPr>
          <w:p w14:paraId="27FCEEA2"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Distal</w:t>
            </w:r>
          </w:p>
        </w:tc>
      </w:tr>
      <w:tr w:rsidR="0080650C" w:rsidRPr="00EC6C19" w14:paraId="4C2D8597" w14:textId="77777777" w:rsidTr="0080650C">
        <w:tc>
          <w:tcPr>
            <w:tcW w:w="2394" w:type="dxa"/>
            <w:shd w:val="clear" w:color="auto" w:fill="FFFFFF" w:themeFill="background1"/>
          </w:tcPr>
          <w:p w14:paraId="2852D3CB"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20</w:t>
            </w:r>
          </w:p>
        </w:tc>
        <w:tc>
          <w:tcPr>
            <w:tcW w:w="2394" w:type="dxa"/>
            <w:shd w:val="clear" w:color="auto" w:fill="FFFFFF" w:themeFill="background1"/>
          </w:tcPr>
          <w:p w14:paraId="0C93D31D"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84</w:t>
            </w:r>
          </w:p>
        </w:tc>
        <w:tc>
          <w:tcPr>
            <w:tcW w:w="2394" w:type="dxa"/>
            <w:shd w:val="clear" w:color="auto" w:fill="FFFFFF" w:themeFill="background1"/>
          </w:tcPr>
          <w:p w14:paraId="1E16B423"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5.2</w:t>
            </w:r>
          </w:p>
        </w:tc>
        <w:tc>
          <w:tcPr>
            <w:tcW w:w="2394" w:type="dxa"/>
            <w:shd w:val="clear" w:color="auto" w:fill="FFFFFF" w:themeFill="background1"/>
          </w:tcPr>
          <w:p w14:paraId="680969D2"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Distal</w:t>
            </w:r>
          </w:p>
        </w:tc>
      </w:tr>
      <w:tr w:rsidR="0080650C" w:rsidRPr="00EC6C19" w14:paraId="3575EB80" w14:textId="77777777" w:rsidTr="00935A4C">
        <w:tc>
          <w:tcPr>
            <w:tcW w:w="2394" w:type="dxa"/>
            <w:tcBorders>
              <w:bottom w:val="single" w:sz="8" w:space="0" w:color="000000" w:themeColor="text1"/>
            </w:tcBorders>
            <w:shd w:val="clear" w:color="auto" w:fill="FFFFFF" w:themeFill="background1"/>
          </w:tcPr>
          <w:p w14:paraId="096AC5B4" w14:textId="2FB4DCFA"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Mean (</w:t>
            </w:r>
            <w:r w:rsidR="00D97E85">
              <w:rPr>
                <w:rFonts w:ascii="Times New Roman" w:hAnsi="Times New Roman" w:cs="Times New Roman"/>
                <w:sz w:val="24"/>
                <w:szCs w:val="24"/>
              </w:rPr>
              <w:t>±</w:t>
            </w:r>
            <w:r w:rsidRPr="00EC6C19">
              <w:rPr>
                <w:rFonts w:ascii="Times New Roman" w:hAnsi="Times New Roman" w:cs="Times New Roman"/>
                <w:sz w:val="24"/>
                <w:szCs w:val="24"/>
              </w:rPr>
              <w:t xml:space="preserve"> SD)</w:t>
            </w:r>
          </w:p>
        </w:tc>
        <w:tc>
          <w:tcPr>
            <w:tcW w:w="2394" w:type="dxa"/>
            <w:tcBorders>
              <w:bottom w:val="single" w:sz="8" w:space="0" w:color="000000" w:themeColor="text1"/>
            </w:tcBorders>
            <w:shd w:val="clear" w:color="auto" w:fill="FFFFFF" w:themeFill="background1"/>
          </w:tcPr>
          <w:p w14:paraId="602F47AE" w14:textId="3C83CB9C"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63.0 (</w:t>
            </w:r>
            <w:r w:rsidR="00D97E85">
              <w:rPr>
                <w:rFonts w:ascii="Times New Roman" w:hAnsi="Times New Roman" w:cs="Times New Roman"/>
                <w:sz w:val="24"/>
                <w:szCs w:val="24"/>
              </w:rPr>
              <w:t>±</w:t>
            </w:r>
            <w:r w:rsidRPr="00EC6C19">
              <w:rPr>
                <w:rFonts w:ascii="Times New Roman" w:hAnsi="Times New Roman" w:cs="Times New Roman"/>
                <w:sz w:val="24"/>
                <w:szCs w:val="24"/>
              </w:rPr>
              <w:t xml:space="preserve"> 14.0)</w:t>
            </w:r>
          </w:p>
        </w:tc>
        <w:tc>
          <w:tcPr>
            <w:tcW w:w="2394" w:type="dxa"/>
            <w:tcBorders>
              <w:bottom w:val="single" w:sz="8" w:space="0" w:color="000000" w:themeColor="text1"/>
            </w:tcBorders>
            <w:shd w:val="clear" w:color="auto" w:fill="FFFFFF" w:themeFill="background1"/>
          </w:tcPr>
          <w:p w14:paraId="10DDCE62" w14:textId="01B31DCF"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11.0 (</w:t>
            </w:r>
            <w:r w:rsidR="00D97E85">
              <w:rPr>
                <w:rFonts w:ascii="Times New Roman" w:hAnsi="Times New Roman" w:cs="Times New Roman"/>
                <w:sz w:val="24"/>
                <w:szCs w:val="24"/>
              </w:rPr>
              <w:t>±</w:t>
            </w:r>
            <w:r w:rsidRPr="00EC6C19">
              <w:rPr>
                <w:rFonts w:ascii="Times New Roman" w:hAnsi="Times New Roman" w:cs="Times New Roman"/>
                <w:sz w:val="24"/>
                <w:szCs w:val="24"/>
              </w:rPr>
              <w:t xml:space="preserve"> 5.3)</w:t>
            </w:r>
          </w:p>
        </w:tc>
        <w:tc>
          <w:tcPr>
            <w:tcW w:w="2394" w:type="dxa"/>
            <w:tcBorders>
              <w:bottom w:val="single" w:sz="8" w:space="0" w:color="000000" w:themeColor="text1"/>
            </w:tcBorders>
            <w:shd w:val="clear" w:color="auto" w:fill="FFFFFF" w:themeFill="background1"/>
          </w:tcPr>
          <w:p w14:paraId="284335DB" w14:textId="77777777" w:rsidR="0080650C" w:rsidRPr="00EC6C19" w:rsidRDefault="0080650C"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w:t>
            </w:r>
          </w:p>
        </w:tc>
      </w:tr>
    </w:tbl>
    <w:p w14:paraId="07D85848" w14:textId="77777777" w:rsidR="00A1294B" w:rsidRDefault="00A1294B" w:rsidP="00A1294B">
      <w:pPr>
        <w:spacing w:line="360" w:lineRule="auto"/>
        <w:rPr>
          <w:rFonts w:ascii="Times New Roman" w:hAnsi="Times New Roman" w:cs="Times New Roman"/>
          <w:sz w:val="24"/>
          <w:szCs w:val="24"/>
        </w:rPr>
      </w:pPr>
    </w:p>
    <w:p w14:paraId="11BF8046" w14:textId="77777777" w:rsidR="007F2FD6" w:rsidRPr="007F2FD6" w:rsidRDefault="007F2FD6" w:rsidP="007F2FD6">
      <w:pPr>
        <w:pStyle w:val="Caption"/>
        <w:spacing w:line="360" w:lineRule="auto"/>
        <w:rPr>
          <w:rFonts w:ascii="Times New Roman" w:hAnsi="Times New Roman" w:cs="Times New Roman"/>
          <w:b w:val="0"/>
          <w:i/>
          <w:color w:val="auto"/>
          <w:sz w:val="24"/>
          <w:szCs w:val="24"/>
        </w:rPr>
      </w:pPr>
      <w:bookmarkStart w:id="148" w:name="_Toc44962588"/>
      <w:r w:rsidRPr="007F2FD6">
        <w:rPr>
          <w:rFonts w:ascii="Times New Roman" w:hAnsi="Times New Roman" w:cs="Times New Roman"/>
          <w:b w:val="0"/>
          <w:i/>
          <w:color w:val="auto"/>
          <w:sz w:val="24"/>
          <w:szCs w:val="24"/>
        </w:rPr>
        <w:t xml:space="preserve">Table </w:t>
      </w:r>
      <w:r w:rsidR="00106A32" w:rsidRPr="007F2FD6">
        <w:rPr>
          <w:rFonts w:ascii="Times New Roman" w:hAnsi="Times New Roman" w:cs="Times New Roman"/>
          <w:b w:val="0"/>
          <w:i/>
          <w:color w:val="auto"/>
          <w:sz w:val="24"/>
          <w:szCs w:val="24"/>
        </w:rPr>
        <w:fldChar w:fldCharType="begin"/>
      </w:r>
      <w:r w:rsidRPr="007F2FD6">
        <w:rPr>
          <w:rFonts w:ascii="Times New Roman" w:hAnsi="Times New Roman" w:cs="Times New Roman"/>
          <w:b w:val="0"/>
          <w:i/>
          <w:color w:val="auto"/>
          <w:sz w:val="24"/>
          <w:szCs w:val="24"/>
        </w:rPr>
        <w:instrText xml:space="preserve"> SEQ Table \* ARABIC </w:instrText>
      </w:r>
      <w:r w:rsidR="00106A32" w:rsidRPr="007F2FD6">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12</w:t>
      </w:r>
      <w:r w:rsidR="00106A32" w:rsidRPr="007F2FD6">
        <w:rPr>
          <w:rFonts w:ascii="Times New Roman" w:hAnsi="Times New Roman" w:cs="Times New Roman"/>
          <w:b w:val="0"/>
          <w:i/>
          <w:color w:val="auto"/>
          <w:sz w:val="24"/>
          <w:szCs w:val="24"/>
        </w:rPr>
        <w:fldChar w:fldCharType="end"/>
      </w:r>
      <w:r w:rsidRPr="007F2FD6">
        <w:rPr>
          <w:rFonts w:ascii="Times New Roman" w:hAnsi="Times New Roman" w:cs="Times New Roman"/>
          <w:b w:val="0"/>
          <w:i/>
          <w:color w:val="auto"/>
          <w:sz w:val="24"/>
          <w:szCs w:val="24"/>
        </w:rPr>
        <w:t xml:space="preserve"> - Stenosis Data for All Cases</w:t>
      </w:r>
      <w:bookmarkEnd w:id="148"/>
    </w:p>
    <w:p w14:paraId="7AA8C728" w14:textId="77777777" w:rsidR="00A23015" w:rsidRPr="00EC6C19" w:rsidRDefault="00A23015" w:rsidP="00A23015">
      <w:pPr>
        <w:spacing w:line="360" w:lineRule="auto"/>
        <w:rPr>
          <w:rFonts w:ascii="Times New Roman" w:hAnsi="Times New Roman" w:cs="Times New Roman"/>
          <w:sz w:val="24"/>
          <w:szCs w:val="24"/>
        </w:rPr>
      </w:pPr>
      <w:r w:rsidRPr="00EC6C19">
        <w:rPr>
          <w:rFonts w:ascii="Times New Roman" w:hAnsi="Times New Roman" w:cs="Times New Roman"/>
          <w:sz w:val="24"/>
          <w:szCs w:val="24"/>
        </w:rPr>
        <w:lastRenderedPageBreak/>
        <w:t>Overall five patients of twenty three were treated with coronary stents following measurement of FFR. Three LAD lesions and two RCA lesions</w:t>
      </w:r>
      <w:r w:rsidRPr="007F2FD6">
        <w:rPr>
          <w:rFonts w:ascii="Times New Roman" w:hAnsi="Times New Roman" w:cs="Times New Roman"/>
          <w:sz w:val="24"/>
          <w:szCs w:val="24"/>
        </w:rPr>
        <w:t xml:space="preserve">. Table </w:t>
      </w:r>
      <w:r w:rsidR="007F2FD6" w:rsidRPr="007F2FD6">
        <w:rPr>
          <w:rFonts w:ascii="Times New Roman" w:hAnsi="Times New Roman" w:cs="Times New Roman"/>
          <w:sz w:val="24"/>
          <w:szCs w:val="24"/>
        </w:rPr>
        <w:t>13</w:t>
      </w:r>
      <w:r w:rsidRPr="007F2FD6">
        <w:rPr>
          <w:rFonts w:ascii="Times New Roman" w:hAnsi="Times New Roman" w:cs="Times New Roman"/>
          <w:sz w:val="24"/>
          <w:szCs w:val="24"/>
        </w:rPr>
        <w:t xml:space="preserve"> summarises</w:t>
      </w:r>
      <w:r w:rsidRPr="00EC6C19">
        <w:rPr>
          <w:rFonts w:ascii="Times New Roman" w:hAnsi="Times New Roman" w:cs="Times New Roman"/>
          <w:sz w:val="24"/>
          <w:szCs w:val="24"/>
        </w:rPr>
        <w:t xml:space="preserve"> this.</w:t>
      </w:r>
    </w:p>
    <w:p w14:paraId="37ED3F8B" w14:textId="77777777" w:rsidR="00A23015" w:rsidRPr="00EC6C19" w:rsidRDefault="00A23015" w:rsidP="00A23015">
      <w:pPr>
        <w:spacing w:line="360" w:lineRule="auto"/>
        <w:rPr>
          <w:rFonts w:ascii="Times New Roman" w:hAnsi="Times New Roman" w:cs="Times New Roman"/>
          <w:sz w:val="24"/>
          <w:szCs w:val="24"/>
        </w:rPr>
      </w:pPr>
    </w:p>
    <w:tbl>
      <w:tblPr>
        <w:tblW w:w="5000" w:type="pct"/>
        <w:tblLook w:val="04A0" w:firstRow="1" w:lastRow="0" w:firstColumn="1" w:lastColumn="0" w:noHBand="0" w:noVBand="1"/>
      </w:tblPr>
      <w:tblGrid>
        <w:gridCol w:w="1630"/>
        <w:gridCol w:w="1663"/>
        <w:gridCol w:w="2216"/>
        <w:gridCol w:w="3851"/>
      </w:tblGrid>
      <w:tr w:rsidR="00A23015" w:rsidRPr="00EC6C19" w14:paraId="71F42994" w14:textId="77777777" w:rsidTr="00935A4C">
        <w:tc>
          <w:tcPr>
            <w:tcW w:w="870" w:type="pct"/>
            <w:tcBorders>
              <w:bottom w:val="single" w:sz="18" w:space="0" w:color="000000" w:themeColor="text1"/>
            </w:tcBorders>
            <w:shd w:val="clear" w:color="auto" w:fill="F2F2F2" w:themeFill="background1" w:themeFillShade="F2"/>
          </w:tcPr>
          <w:p w14:paraId="23AB94A2"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w:t>
            </w:r>
          </w:p>
          <w:p w14:paraId="0871DC3A" w14:textId="77777777" w:rsidR="00A23015" w:rsidRPr="00EC6C19" w:rsidRDefault="00A23015" w:rsidP="00A23015">
            <w:pPr>
              <w:spacing w:line="360" w:lineRule="auto"/>
              <w:jc w:val="center"/>
              <w:rPr>
                <w:rFonts w:ascii="Times New Roman" w:hAnsi="Times New Roman" w:cs="Times New Roman"/>
                <w:sz w:val="24"/>
                <w:szCs w:val="24"/>
              </w:rPr>
            </w:pPr>
          </w:p>
        </w:tc>
        <w:tc>
          <w:tcPr>
            <w:tcW w:w="888" w:type="pct"/>
            <w:tcBorders>
              <w:bottom w:val="single" w:sz="18" w:space="0" w:color="000000" w:themeColor="text1"/>
            </w:tcBorders>
            <w:shd w:val="clear" w:color="auto" w:fill="F2F2F2" w:themeFill="background1" w:themeFillShade="F2"/>
          </w:tcPr>
          <w:p w14:paraId="131A5A97"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Artery</w:t>
            </w:r>
          </w:p>
        </w:tc>
        <w:tc>
          <w:tcPr>
            <w:tcW w:w="1184" w:type="pct"/>
            <w:tcBorders>
              <w:bottom w:val="single" w:sz="18" w:space="0" w:color="000000" w:themeColor="text1"/>
            </w:tcBorders>
            <w:shd w:val="clear" w:color="auto" w:fill="F2F2F2" w:themeFill="background1" w:themeFillShade="F2"/>
          </w:tcPr>
          <w:p w14:paraId="75120B33"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FFR</w:t>
            </w:r>
          </w:p>
        </w:tc>
        <w:tc>
          <w:tcPr>
            <w:tcW w:w="2057" w:type="pct"/>
            <w:tcBorders>
              <w:bottom w:val="single" w:sz="18" w:space="0" w:color="000000" w:themeColor="text1"/>
            </w:tcBorders>
            <w:shd w:val="clear" w:color="auto" w:fill="F2F2F2" w:themeFill="background1" w:themeFillShade="F2"/>
          </w:tcPr>
          <w:p w14:paraId="50449425"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Treatment</w:t>
            </w:r>
          </w:p>
        </w:tc>
      </w:tr>
      <w:tr w:rsidR="00A23015" w:rsidRPr="00EC6C19" w14:paraId="56BF136A" w14:textId="77777777" w:rsidTr="00935A4C">
        <w:tc>
          <w:tcPr>
            <w:tcW w:w="870" w:type="pct"/>
            <w:tcBorders>
              <w:top w:val="single" w:sz="18" w:space="0" w:color="000000" w:themeColor="text1"/>
            </w:tcBorders>
            <w:shd w:val="clear" w:color="auto" w:fill="FFFFFF" w:themeFill="background1"/>
          </w:tcPr>
          <w:p w14:paraId="3EEC0050"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w:t>
            </w:r>
          </w:p>
          <w:p w14:paraId="7ED4C61D" w14:textId="77777777" w:rsidR="00A23015" w:rsidRPr="00EC6C19" w:rsidRDefault="00A23015" w:rsidP="00A23015">
            <w:pPr>
              <w:spacing w:line="360" w:lineRule="auto"/>
              <w:jc w:val="center"/>
              <w:rPr>
                <w:rFonts w:ascii="Times New Roman" w:hAnsi="Times New Roman" w:cs="Times New Roman"/>
                <w:sz w:val="24"/>
                <w:szCs w:val="24"/>
              </w:rPr>
            </w:pPr>
          </w:p>
        </w:tc>
        <w:tc>
          <w:tcPr>
            <w:tcW w:w="888" w:type="pct"/>
            <w:tcBorders>
              <w:top w:val="single" w:sz="18" w:space="0" w:color="000000" w:themeColor="text1"/>
            </w:tcBorders>
            <w:shd w:val="clear" w:color="auto" w:fill="FFFFFF" w:themeFill="background1"/>
          </w:tcPr>
          <w:p w14:paraId="43C14A8F"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w:t>
            </w:r>
          </w:p>
        </w:tc>
        <w:tc>
          <w:tcPr>
            <w:tcW w:w="1184" w:type="pct"/>
            <w:tcBorders>
              <w:top w:val="single" w:sz="18" w:space="0" w:color="000000" w:themeColor="text1"/>
            </w:tcBorders>
            <w:shd w:val="clear" w:color="auto" w:fill="FFFFFF" w:themeFill="background1"/>
          </w:tcPr>
          <w:p w14:paraId="69562BE2"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0.72</w:t>
            </w:r>
          </w:p>
        </w:tc>
        <w:tc>
          <w:tcPr>
            <w:tcW w:w="2057" w:type="pct"/>
            <w:tcBorders>
              <w:top w:val="single" w:sz="18" w:space="0" w:color="000000" w:themeColor="text1"/>
            </w:tcBorders>
            <w:shd w:val="clear" w:color="auto" w:fill="FFFFFF" w:themeFill="background1"/>
          </w:tcPr>
          <w:p w14:paraId="29DE786F"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3.0 x 16 Synergy DES</w:t>
            </w:r>
          </w:p>
        </w:tc>
      </w:tr>
      <w:tr w:rsidR="00A23015" w:rsidRPr="00EC6C19" w14:paraId="0B2CEF02" w14:textId="77777777" w:rsidTr="00A23015">
        <w:tc>
          <w:tcPr>
            <w:tcW w:w="870" w:type="pct"/>
            <w:shd w:val="clear" w:color="auto" w:fill="FFFFFF" w:themeFill="background1"/>
          </w:tcPr>
          <w:p w14:paraId="7B58A238"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w:t>
            </w:r>
          </w:p>
          <w:p w14:paraId="125440F2" w14:textId="77777777" w:rsidR="00A23015" w:rsidRPr="00EC6C19" w:rsidRDefault="00A23015" w:rsidP="00A23015">
            <w:pPr>
              <w:spacing w:line="360" w:lineRule="auto"/>
              <w:jc w:val="center"/>
              <w:rPr>
                <w:rFonts w:ascii="Times New Roman" w:hAnsi="Times New Roman" w:cs="Times New Roman"/>
                <w:sz w:val="24"/>
                <w:szCs w:val="24"/>
              </w:rPr>
            </w:pPr>
          </w:p>
        </w:tc>
        <w:tc>
          <w:tcPr>
            <w:tcW w:w="888" w:type="pct"/>
            <w:shd w:val="clear" w:color="auto" w:fill="FFFFFF" w:themeFill="background1"/>
          </w:tcPr>
          <w:p w14:paraId="454C4E78"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RCA</w:t>
            </w:r>
          </w:p>
        </w:tc>
        <w:tc>
          <w:tcPr>
            <w:tcW w:w="1184" w:type="pct"/>
            <w:shd w:val="clear" w:color="auto" w:fill="FFFFFF" w:themeFill="background1"/>
          </w:tcPr>
          <w:p w14:paraId="1B6B212C"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0.62</w:t>
            </w:r>
          </w:p>
        </w:tc>
        <w:tc>
          <w:tcPr>
            <w:tcW w:w="2057" w:type="pct"/>
            <w:shd w:val="clear" w:color="auto" w:fill="FFFFFF" w:themeFill="background1"/>
          </w:tcPr>
          <w:p w14:paraId="77E444B6"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3.5 x 20 Synergy DES</w:t>
            </w:r>
          </w:p>
        </w:tc>
      </w:tr>
      <w:tr w:rsidR="00A23015" w:rsidRPr="00EC6C19" w14:paraId="19F6C2EF" w14:textId="77777777" w:rsidTr="00A23015">
        <w:tc>
          <w:tcPr>
            <w:tcW w:w="870" w:type="pct"/>
            <w:shd w:val="clear" w:color="auto" w:fill="FFFFFF" w:themeFill="background1"/>
          </w:tcPr>
          <w:p w14:paraId="55D9E0FD"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w:t>
            </w:r>
          </w:p>
          <w:p w14:paraId="22992BC5" w14:textId="77777777" w:rsidR="00A23015" w:rsidRPr="00EC6C19" w:rsidRDefault="00A23015" w:rsidP="00A23015">
            <w:pPr>
              <w:spacing w:line="360" w:lineRule="auto"/>
              <w:jc w:val="center"/>
              <w:rPr>
                <w:rFonts w:ascii="Times New Roman" w:hAnsi="Times New Roman" w:cs="Times New Roman"/>
                <w:sz w:val="24"/>
                <w:szCs w:val="24"/>
              </w:rPr>
            </w:pPr>
          </w:p>
        </w:tc>
        <w:tc>
          <w:tcPr>
            <w:tcW w:w="888" w:type="pct"/>
            <w:shd w:val="clear" w:color="auto" w:fill="FFFFFF" w:themeFill="background1"/>
          </w:tcPr>
          <w:p w14:paraId="6930E095"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w:t>
            </w:r>
          </w:p>
        </w:tc>
        <w:tc>
          <w:tcPr>
            <w:tcW w:w="1184" w:type="pct"/>
            <w:shd w:val="clear" w:color="auto" w:fill="FFFFFF" w:themeFill="background1"/>
          </w:tcPr>
          <w:p w14:paraId="1324A0EE"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0.64</w:t>
            </w:r>
          </w:p>
        </w:tc>
        <w:tc>
          <w:tcPr>
            <w:tcW w:w="2057" w:type="pct"/>
            <w:shd w:val="clear" w:color="auto" w:fill="FFFFFF" w:themeFill="background1"/>
          </w:tcPr>
          <w:p w14:paraId="7F3E740B"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3.0 x 24 Synergy DES</w:t>
            </w:r>
          </w:p>
        </w:tc>
      </w:tr>
      <w:tr w:rsidR="00A23015" w:rsidRPr="00EC6C19" w14:paraId="2381CEE8" w14:textId="77777777" w:rsidTr="00A23015">
        <w:tc>
          <w:tcPr>
            <w:tcW w:w="870" w:type="pct"/>
            <w:shd w:val="clear" w:color="auto" w:fill="FFFFFF" w:themeFill="background1"/>
          </w:tcPr>
          <w:p w14:paraId="2AA104E5"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17</w:t>
            </w:r>
          </w:p>
        </w:tc>
        <w:tc>
          <w:tcPr>
            <w:tcW w:w="888" w:type="pct"/>
            <w:shd w:val="clear" w:color="auto" w:fill="FFFFFF" w:themeFill="background1"/>
          </w:tcPr>
          <w:p w14:paraId="7E459643"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w:t>
            </w:r>
          </w:p>
        </w:tc>
        <w:tc>
          <w:tcPr>
            <w:tcW w:w="1184" w:type="pct"/>
            <w:shd w:val="clear" w:color="auto" w:fill="FFFFFF" w:themeFill="background1"/>
          </w:tcPr>
          <w:p w14:paraId="4EA276B5"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0.54</w:t>
            </w:r>
          </w:p>
        </w:tc>
        <w:tc>
          <w:tcPr>
            <w:tcW w:w="2057" w:type="pct"/>
            <w:shd w:val="clear" w:color="auto" w:fill="FFFFFF" w:themeFill="background1"/>
          </w:tcPr>
          <w:p w14:paraId="49B0ED06"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2.75 x 38 Xience DES and 3x 8 Xience DES overlapping</w:t>
            </w:r>
          </w:p>
        </w:tc>
      </w:tr>
      <w:tr w:rsidR="00A23015" w:rsidRPr="00EC6C19" w14:paraId="65C35EC5" w14:textId="77777777" w:rsidTr="00A23015">
        <w:tc>
          <w:tcPr>
            <w:tcW w:w="870" w:type="pct"/>
            <w:shd w:val="clear" w:color="auto" w:fill="FFFFFF" w:themeFill="background1"/>
          </w:tcPr>
          <w:p w14:paraId="45EB57F2"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20</w:t>
            </w:r>
          </w:p>
          <w:p w14:paraId="7099CB8F" w14:textId="77777777" w:rsidR="00A23015" w:rsidRPr="00EC6C19" w:rsidRDefault="00A23015" w:rsidP="00A23015">
            <w:pPr>
              <w:spacing w:line="360" w:lineRule="auto"/>
              <w:jc w:val="center"/>
              <w:rPr>
                <w:rFonts w:ascii="Times New Roman" w:hAnsi="Times New Roman" w:cs="Times New Roman"/>
                <w:sz w:val="24"/>
                <w:szCs w:val="24"/>
              </w:rPr>
            </w:pPr>
          </w:p>
        </w:tc>
        <w:tc>
          <w:tcPr>
            <w:tcW w:w="888" w:type="pct"/>
            <w:shd w:val="clear" w:color="auto" w:fill="FFFFFF" w:themeFill="background1"/>
          </w:tcPr>
          <w:p w14:paraId="57231553"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RCA</w:t>
            </w:r>
          </w:p>
        </w:tc>
        <w:tc>
          <w:tcPr>
            <w:tcW w:w="1184" w:type="pct"/>
            <w:shd w:val="clear" w:color="auto" w:fill="FFFFFF" w:themeFill="background1"/>
          </w:tcPr>
          <w:p w14:paraId="77F5EC0A"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w:t>
            </w:r>
          </w:p>
        </w:tc>
        <w:tc>
          <w:tcPr>
            <w:tcW w:w="2057" w:type="pct"/>
            <w:shd w:val="clear" w:color="auto" w:fill="FFFFFF" w:themeFill="background1"/>
          </w:tcPr>
          <w:p w14:paraId="306D2223" w14:textId="77777777" w:rsidR="00A23015" w:rsidRPr="00EC6C19" w:rsidRDefault="00A23015" w:rsidP="00A23015">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 x 18 Xience DES</w:t>
            </w:r>
          </w:p>
        </w:tc>
      </w:tr>
    </w:tbl>
    <w:p w14:paraId="1317A567" w14:textId="77777777" w:rsidR="00A23015" w:rsidRPr="00EC6C19" w:rsidRDefault="00A23015" w:rsidP="00A23015">
      <w:pPr>
        <w:spacing w:line="360" w:lineRule="auto"/>
        <w:rPr>
          <w:rFonts w:ascii="Times New Roman" w:hAnsi="Times New Roman" w:cs="Times New Roman"/>
          <w:i/>
          <w:sz w:val="24"/>
          <w:szCs w:val="24"/>
        </w:rPr>
      </w:pPr>
    </w:p>
    <w:p w14:paraId="0D31213C" w14:textId="77777777" w:rsidR="00A23015" w:rsidRPr="007F2FD6" w:rsidRDefault="007F2FD6" w:rsidP="007F2FD6">
      <w:pPr>
        <w:pStyle w:val="Caption"/>
        <w:spacing w:line="360" w:lineRule="auto"/>
        <w:rPr>
          <w:rFonts w:ascii="Times New Roman" w:hAnsi="Times New Roman" w:cs="Times New Roman"/>
          <w:b w:val="0"/>
          <w:i/>
          <w:color w:val="auto"/>
          <w:sz w:val="24"/>
          <w:szCs w:val="24"/>
        </w:rPr>
      </w:pPr>
      <w:bookmarkStart w:id="149" w:name="_Toc44962589"/>
      <w:r w:rsidRPr="007F2FD6">
        <w:rPr>
          <w:rFonts w:ascii="Times New Roman" w:hAnsi="Times New Roman" w:cs="Times New Roman"/>
          <w:b w:val="0"/>
          <w:i/>
          <w:color w:val="auto"/>
          <w:sz w:val="24"/>
          <w:szCs w:val="24"/>
        </w:rPr>
        <w:t xml:space="preserve">Table </w:t>
      </w:r>
      <w:r w:rsidR="00106A32" w:rsidRPr="007F2FD6">
        <w:rPr>
          <w:rFonts w:ascii="Times New Roman" w:hAnsi="Times New Roman" w:cs="Times New Roman"/>
          <w:b w:val="0"/>
          <w:i/>
          <w:color w:val="auto"/>
          <w:sz w:val="24"/>
          <w:szCs w:val="24"/>
        </w:rPr>
        <w:fldChar w:fldCharType="begin"/>
      </w:r>
      <w:r w:rsidRPr="007F2FD6">
        <w:rPr>
          <w:rFonts w:ascii="Times New Roman" w:hAnsi="Times New Roman" w:cs="Times New Roman"/>
          <w:b w:val="0"/>
          <w:i/>
          <w:color w:val="auto"/>
          <w:sz w:val="24"/>
          <w:szCs w:val="24"/>
        </w:rPr>
        <w:instrText xml:space="preserve"> SEQ Table \* ARABIC </w:instrText>
      </w:r>
      <w:r w:rsidR="00106A32" w:rsidRPr="007F2FD6">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13</w:t>
      </w:r>
      <w:r w:rsidR="00106A32" w:rsidRPr="007F2FD6">
        <w:rPr>
          <w:rFonts w:ascii="Times New Roman" w:hAnsi="Times New Roman" w:cs="Times New Roman"/>
          <w:b w:val="0"/>
          <w:i/>
          <w:color w:val="auto"/>
          <w:sz w:val="24"/>
          <w:szCs w:val="24"/>
        </w:rPr>
        <w:fldChar w:fldCharType="end"/>
      </w:r>
      <w:r w:rsidRPr="007F2FD6">
        <w:rPr>
          <w:rFonts w:ascii="Times New Roman" w:hAnsi="Times New Roman" w:cs="Times New Roman"/>
          <w:b w:val="0"/>
          <w:i/>
          <w:color w:val="auto"/>
          <w:sz w:val="24"/>
          <w:szCs w:val="24"/>
        </w:rPr>
        <w:t xml:space="preserve"> - Treated Lesions</w:t>
      </w:r>
      <w:r w:rsidR="00A23015" w:rsidRPr="007F2FD6">
        <w:rPr>
          <w:rFonts w:ascii="Times New Roman" w:hAnsi="Times New Roman" w:cs="Times New Roman"/>
          <w:b w:val="0"/>
          <w:i/>
          <w:color w:val="auto"/>
          <w:sz w:val="24"/>
          <w:szCs w:val="24"/>
        </w:rPr>
        <w:t>. Stent lengths are in mm.</w:t>
      </w:r>
      <w:bookmarkEnd w:id="149"/>
    </w:p>
    <w:p w14:paraId="30D4B2D8" w14:textId="77777777" w:rsidR="00A23015" w:rsidRDefault="00A23015" w:rsidP="004209DA">
      <w:pPr>
        <w:spacing w:line="360" w:lineRule="auto"/>
        <w:rPr>
          <w:rFonts w:ascii="Times New Roman" w:hAnsi="Times New Roman" w:cs="Times New Roman"/>
          <w:i/>
          <w:sz w:val="24"/>
          <w:szCs w:val="24"/>
          <w:u w:val="single"/>
        </w:rPr>
      </w:pPr>
    </w:p>
    <w:p w14:paraId="6ADDDD36" w14:textId="77777777" w:rsidR="00CE002A" w:rsidRDefault="00CE002A" w:rsidP="004209DA">
      <w:pPr>
        <w:spacing w:line="360" w:lineRule="auto"/>
        <w:rPr>
          <w:rFonts w:ascii="Times New Roman" w:hAnsi="Times New Roman" w:cs="Times New Roman"/>
          <w:i/>
          <w:sz w:val="24"/>
          <w:szCs w:val="24"/>
          <w:u w:val="single"/>
        </w:rPr>
      </w:pPr>
    </w:p>
    <w:p w14:paraId="5C7C4B2A" w14:textId="77777777" w:rsidR="00CE002A" w:rsidRDefault="00CE002A" w:rsidP="004209DA">
      <w:pPr>
        <w:spacing w:line="360" w:lineRule="auto"/>
        <w:rPr>
          <w:rFonts w:ascii="Times New Roman" w:hAnsi="Times New Roman" w:cs="Times New Roman"/>
          <w:i/>
          <w:sz w:val="24"/>
          <w:szCs w:val="24"/>
          <w:u w:val="single"/>
        </w:rPr>
      </w:pPr>
    </w:p>
    <w:p w14:paraId="275C6F7D" w14:textId="77777777" w:rsidR="00CE002A" w:rsidRPr="00EC6C19" w:rsidRDefault="00CE002A" w:rsidP="004209DA">
      <w:pPr>
        <w:spacing w:line="360" w:lineRule="auto"/>
        <w:rPr>
          <w:rFonts w:ascii="Times New Roman" w:hAnsi="Times New Roman" w:cs="Times New Roman"/>
          <w:i/>
          <w:sz w:val="24"/>
          <w:szCs w:val="24"/>
          <w:u w:val="single"/>
        </w:rPr>
      </w:pPr>
    </w:p>
    <w:p w14:paraId="202DD119" w14:textId="77777777" w:rsidR="005E6779" w:rsidRPr="006E04BF" w:rsidRDefault="006E04BF" w:rsidP="006E04BF">
      <w:pPr>
        <w:pStyle w:val="Heading2"/>
        <w:rPr>
          <w:rFonts w:ascii="Times New Roman" w:hAnsi="Times New Roman" w:cs="Times New Roman"/>
          <w:color w:val="auto"/>
          <w:sz w:val="24"/>
          <w:szCs w:val="24"/>
        </w:rPr>
      </w:pPr>
      <w:bookmarkStart w:id="150" w:name="_Toc80302250"/>
      <w:r w:rsidRPr="006E04BF">
        <w:rPr>
          <w:rFonts w:ascii="Times New Roman" w:hAnsi="Times New Roman" w:cs="Times New Roman"/>
          <w:color w:val="auto"/>
          <w:sz w:val="24"/>
          <w:szCs w:val="24"/>
        </w:rPr>
        <w:lastRenderedPageBreak/>
        <w:t xml:space="preserve">3.15 - </w:t>
      </w:r>
      <w:r w:rsidR="009F7709" w:rsidRPr="006E04BF">
        <w:rPr>
          <w:rFonts w:ascii="Times New Roman" w:hAnsi="Times New Roman" w:cs="Times New Roman"/>
          <w:color w:val="auto"/>
          <w:sz w:val="24"/>
          <w:szCs w:val="24"/>
        </w:rPr>
        <w:t>Guide to Wire Measurement</w:t>
      </w:r>
      <w:bookmarkEnd w:id="150"/>
    </w:p>
    <w:p w14:paraId="18BB78E3" w14:textId="77777777" w:rsidR="00652A08" w:rsidRPr="00EC6C19" w:rsidRDefault="006E04BF" w:rsidP="007969DC">
      <w:pPr>
        <w:spacing w:line="360" w:lineRule="auto"/>
        <w:rPr>
          <w:rFonts w:ascii="Times New Roman" w:hAnsi="Times New Roman" w:cs="Times New Roman"/>
          <w:i/>
          <w:sz w:val="24"/>
          <w:szCs w:val="24"/>
          <w:u w:val="single"/>
        </w:rPr>
      </w:pPr>
      <w:r>
        <w:rPr>
          <w:rFonts w:ascii="Times New Roman" w:hAnsi="Times New Roman" w:cs="Times New Roman"/>
          <w:i/>
          <w:sz w:val="24"/>
          <w:szCs w:val="24"/>
          <w:u w:val="single"/>
        </w:rPr>
        <w:br/>
      </w:r>
    </w:p>
    <w:p w14:paraId="6B1956E8" w14:textId="77777777" w:rsidR="009F7709" w:rsidRPr="000B3A27" w:rsidRDefault="00652A08" w:rsidP="007969DC">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Guide to wire measurement for all arteries are shown </w:t>
      </w:r>
      <w:r w:rsidR="00967D9E" w:rsidRPr="007F2FD6">
        <w:rPr>
          <w:rFonts w:ascii="Times New Roman" w:hAnsi="Times New Roman" w:cs="Times New Roman"/>
          <w:sz w:val="24"/>
          <w:szCs w:val="24"/>
        </w:rPr>
        <w:t>in tab</w:t>
      </w:r>
      <w:r w:rsidR="007969DC" w:rsidRPr="007F2FD6">
        <w:rPr>
          <w:rFonts w:ascii="Times New Roman" w:hAnsi="Times New Roman" w:cs="Times New Roman"/>
          <w:sz w:val="24"/>
          <w:szCs w:val="24"/>
        </w:rPr>
        <w:t xml:space="preserve">le </w:t>
      </w:r>
      <w:r w:rsidR="007F2FD6" w:rsidRPr="007F2FD6">
        <w:rPr>
          <w:rFonts w:ascii="Times New Roman" w:hAnsi="Times New Roman" w:cs="Times New Roman"/>
          <w:sz w:val="24"/>
          <w:szCs w:val="24"/>
        </w:rPr>
        <w:t>14</w:t>
      </w:r>
      <w:r w:rsidR="007969DC" w:rsidRPr="007F2FD6">
        <w:rPr>
          <w:rFonts w:ascii="Times New Roman" w:hAnsi="Times New Roman" w:cs="Times New Roman"/>
          <w:sz w:val="24"/>
          <w:szCs w:val="24"/>
        </w:rPr>
        <w:t xml:space="preserve"> below</w:t>
      </w:r>
      <w:r w:rsidR="007969DC" w:rsidRPr="00EC6C19">
        <w:rPr>
          <w:rFonts w:ascii="Times New Roman" w:hAnsi="Times New Roman" w:cs="Times New Roman"/>
          <w:sz w:val="24"/>
          <w:szCs w:val="24"/>
        </w:rPr>
        <w:t xml:space="preserve">. </w:t>
      </w:r>
      <w:r w:rsidR="00BE0DC0" w:rsidRPr="00EC6C19">
        <w:rPr>
          <w:rFonts w:ascii="Times New Roman" w:hAnsi="Times New Roman" w:cs="Times New Roman"/>
          <w:sz w:val="24"/>
          <w:szCs w:val="24"/>
        </w:rPr>
        <w:t xml:space="preserve">Using the collected height data, the estimated pressure change </w:t>
      </w:r>
      <w:r w:rsidR="00A23015" w:rsidRPr="00EC6C19">
        <w:rPr>
          <w:rFonts w:ascii="Times New Roman" w:hAnsi="Times New Roman" w:cs="Times New Roman"/>
          <w:sz w:val="24"/>
          <w:szCs w:val="24"/>
        </w:rPr>
        <w:t>is estimated</w:t>
      </w:r>
      <w:r w:rsidR="00BE0DC0" w:rsidRPr="00EC6C19">
        <w:rPr>
          <w:rFonts w:ascii="Times New Roman" w:hAnsi="Times New Roman" w:cs="Times New Roman"/>
          <w:sz w:val="24"/>
          <w:szCs w:val="24"/>
        </w:rPr>
        <w:t xml:space="preserve">. Assuming a Pa pressure of 100, the </w:t>
      </w:r>
      <w:r w:rsidR="00A23015" w:rsidRPr="00EC6C19">
        <w:rPr>
          <w:rFonts w:ascii="Times New Roman" w:hAnsi="Times New Roman" w:cs="Times New Roman"/>
          <w:sz w:val="24"/>
          <w:szCs w:val="24"/>
        </w:rPr>
        <w:t xml:space="preserve">mean </w:t>
      </w:r>
      <w:r w:rsidR="00BE0DC0" w:rsidRPr="00EC6C19">
        <w:rPr>
          <w:rFonts w:ascii="Times New Roman" w:hAnsi="Times New Roman" w:cs="Times New Roman"/>
          <w:sz w:val="24"/>
          <w:szCs w:val="24"/>
        </w:rPr>
        <w:t xml:space="preserve">predicted change in FFR is 0.09 in the LAD, 0.05 in the Cx and 0.05 in the </w:t>
      </w:r>
      <w:r w:rsidR="00BE0DC0" w:rsidRPr="000B3A27">
        <w:rPr>
          <w:rFonts w:ascii="Times New Roman" w:hAnsi="Times New Roman" w:cs="Times New Roman"/>
          <w:sz w:val="24"/>
          <w:szCs w:val="24"/>
        </w:rPr>
        <w:t xml:space="preserve">RCA </w:t>
      </w:r>
      <w:r w:rsidR="000B3A27" w:rsidRPr="000B3A27">
        <w:rPr>
          <w:rFonts w:ascii="Times New Roman" w:hAnsi="Times New Roman" w:cs="Times New Roman"/>
          <w:sz w:val="24"/>
          <w:szCs w:val="24"/>
        </w:rPr>
        <w:t>(figure 32</w:t>
      </w:r>
      <w:r w:rsidR="00BE0DC0" w:rsidRPr="000B3A27">
        <w:rPr>
          <w:rFonts w:ascii="Times New Roman" w:hAnsi="Times New Roman" w:cs="Times New Roman"/>
          <w:sz w:val="24"/>
          <w:szCs w:val="24"/>
        </w:rPr>
        <w:t>).</w:t>
      </w:r>
    </w:p>
    <w:p w14:paraId="4627F632" w14:textId="77777777" w:rsidR="00E55B35" w:rsidRPr="00EC6C19" w:rsidRDefault="00E55B35" w:rsidP="007969DC">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2340"/>
        <w:gridCol w:w="2333"/>
        <w:gridCol w:w="2334"/>
        <w:gridCol w:w="2353"/>
      </w:tblGrid>
      <w:tr w:rsidR="009F7709" w:rsidRPr="00EC6C19" w14:paraId="039F4C85" w14:textId="77777777" w:rsidTr="00935A4C">
        <w:tc>
          <w:tcPr>
            <w:tcW w:w="2394" w:type="dxa"/>
            <w:tcBorders>
              <w:bottom w:val="single" w:sz="18" w:space="0" w:color="000000" w:themeColor="text1"/>
            </w:tcBorders>
            <w:shd w:val="clear" w:color="auto" w:fill="F2F2F2" w:themeFill="background1" w:themeFillShade="F2"/>
          </w:tcPr>
          <w:p w14:paraId="061CB602" w14:textId="77777777" w:rsidR="009F7709" w:rsidRPr="00EC6C19" w:rsidRDefault="009F7709"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tc>
        <w:tc>
          <w:tcPr>
            <w:tcW w:w="2394" w:type="dxa"/>
            <w:tcBorders>
              <w:bottom w:val="single" w:sz="18" w:space="0" w:color="000000" w:themeColor="text1"/>
            </w:tcBorders>
            <w:shd w:val="clear" w:color="auto" w:fill="F2F2F2" w:themeFill="background1" w:themeFillShade="F2"/>
          </w:tcPr>
          <w:p w14:paraId="167F160A" w14:textId="77777777" w:rsidR="009F7709" w:rsidRPr="00EC6C19" w:rsidRDefault="009F7709"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Artery</w:t>
            </w:r>
          </w:p>
        </w:tc>
        <w:tc>
          <w:tcPr>
            <w:tcW w:w="2394" w:type="dxa"/>
            <w:tcBorders>
              <w:bottom w:val="single" w:sz="18" w:space="0" w:color="000000" w:themeColor="text1"/>
            </w:tcBorders>
            <w:shd w:val="clear" w:color="auto" w:fill="F2F2F2" w:themeFill="background1" w:themeFillShade="F2"/>
          </w:tcPr>
          <w:p w14:paraId="247D30A9"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Guide to Wire Height (m</w:t>
            </w:r>
            <w:r w:rsidR="009F7709" w:rsidRPr="00EC6C19">
              <w:rPr>
                <w:rFonts w:ascii="Times New Roman" w:hAnsi="Times New Roman" w:cs="Times New Roman"/>
                <w:sz w:val="24"/>
                <w:szCs w:val="24"/>
              </w:rPr>
              <w:t>m)</w:t>
            </w:r>
          </w:p>
        </w:tc>
        <w:tc>
          <w:tcPr>
            <w:tcW w:w="2394" w:type="dxa"/>
            <w:tcBorders>
              <w:bottom w:val="single" w:sz="18" w:space="0" w:color="000000" w:themeColor="text1"/>
            </w:tcBorders>
            <w:shd w:val="clear" w:color="auto" w:fill="F2F2F2" w:themeFill="background1" w:themeFillShade="F2"/>
          </w:tcPr>
          <w:p w14:paraId="71C0919E" w14:textId="77777777" w:rsidR="009F7709" w:rsidRPr="00EC6C19" w:rsidRDefault="009F7709"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Estimated Hydrostatic Effect (mmHg)</w:t>
            </w:r>
          </w:p>
        </w:tc>
      </w:tr>
      <w:tr w:rsidR="009F7709" w:rsidRPr="00EC6C19" w14:paraId="1D71910C" w14:textId="77777777" w:rsidTr="00935A4C">
        <w:tc>
          <w:tcPr>
            <w:tcW w:w="2394" w:type="dxa"/>
            <w:tcBorders>
              <w:top w:val="single" w:sz="18" w:space="0" w:color="000000" w:themeColor="text1"/>
            </w:tcBorders>
            <w:shd w:val="clear" w:color="auto" w:fill="FFFFFF" w:themeFill="background1"/>
          </w:tcPr>
          <w:p w14:paraId="11473002"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p w14:paraId="73097E36" w14:textId="77777777" w:rsidR="009F7709" w:rsidRPr="00EC6C19" w:rsidRDefault="009F7709" w:rsidP="0066656C">
            <w:pPr>
              <w:spacing w:line="360" w:lineRule="auto"/>
              <w:jc w:val="center"/>
              <w:rPr>
                <w:rFonts w:ascii="Times New Roman" w:hAnsi="Times New Roman" w:cs="Times New Roman"/>
                <w:sz w:val="24"/>
                <w:szCs w:val="24"/>
              </w:rPr>
            </w:pPr>
          </w:p>
        </w:tc>
        <w:tc>
          <w:tcPr>
            <w:tcW w:w="2394" w:type="dxa"/>
            <w:tcBorders>
              <w:top w:val="single" w:sz="18" w:space="0" w:color="000000" w:themeColor="text1"/>
            </w:tcBorders>
            <w:shd w:val="clear" w:color="auto" w:fill="FFFFFF" w:themeFill="background1"/>
          </w:tcPr>
          <w:p w14:paraId="4E3BD461"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w:t>
            </w:r>
          </w:p>
        </w:tc>
        <w:tc>
          <w:tcPr>
            <w:tcW w:w="2394" w:type="dxa"/>
            <w:tcBorders>
              <w:top w:val="single" w:sz="18" w:space="0" w:color="000000" w:themeColor="text1"/>
            </w:tcBorders>
            <w:shd w:val="clear" w:color="auto" w:fill="FFFFFF" w:themeFill="background1"/>
          </w:tcPr>
          <w:p w14:paraId="684F6354"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66</w:t>
            </w:r>
          </w:p>
        </w:tc>
        <w:tc>
          <w:tcPr>
            <w:tcW w:w="2394" w:type="dxa"/>
            <w:tcBorders>
              <w:top w:val="single" w:sz="18" w:space="0" w:color="000000" w:themeColor="text1"/>
            </w:tcBorders>
            <w:shd w:val="clear" w:color="auto" w:fill="FFFFFF" w:themeFill="background1"/>
          </w:tcPr>
          <w:p w14:paraId="48A28267" w14:textId="77777777" w:rsidR="009F7709"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10.6</w:t>
            </w:r>
          </w:p>
        </w:tc>
      </w:tr>
      <w:tr w:rsidR="009F7709" w:rsidRPr="00EC6C19" w14:paraId="06C2961D" w14:textId="77777777" w:rsidTr="00BE0DC0">
        <w:tc>
          <w:tcPr>
            <w:tcW w:w="2394" w:type="dxa"/>
            <w:shd w:val="clear" w:color="auto" w:fill="FFFFFF" w:themeFill="background1"/>
          </w:tcPr>
          <w:p w14:paraId="28D634DB"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11</w:t>
            </w:r>
          </w:p>
          <w:p w14:paraId="3CB67194" w14:textId="77777777" w:rsidR="009F7709" w:rsidRPr="00EC6C19" w:rsidRDefault="009F7709"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3E300133"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w:t>
            </w:r>
          </w:p>
        </w:tc>
        <w:tc>
          <w:tcPr>
            <w:tcW w:w="2394" w:type="dxa"/>
            <w:shd w:val="clear" w:color="auto" w:fill="FFFFFF" w:themeFill="background1"/>
          </w:tcPr>
          <w:p w14:paraId="52AAD17A"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52</w:t>
            </w:r>
          </w:p>
        </w:tc>
        <w:tc>
          <w:tcPr>
            <w:tcW w:w="2394" w:type="dxa"/>
            <w:shd w:val="clear" w:color="auto" w:fill="FFFFFF" w:themeFill="background1"/>
          </w:tcPr>
          <w:p w14:paraId="7E3307E3" w14:textId="77777777" w:rsidR="009F7709"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8.4</w:t>
            </w:r>
          </w:p>
        </w:tc>
      </w:tr>
      <w:tr w:rsidR="009F7709" w:rsidRPr="00EC6C19" w14:paraId="72C98FF3" w14:textId="77777777" w:rsidTr="00BE0DC0">
        <w:tc>
          <w:tcPr>
            <w:tcW w:w="2394" w:type="dxa"/>
            <w:shd w:val="clear" w:color="auto" w:fill="FFFFFF" w:themeFill="background1"/>
          </w:tcPr>
          <w:p w14:paraId="720599BE"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12</w:t>
            </w:r>
          </w:p>
          <w:p w14:paraId="5BE80B9A" w14:textId="77777777" w:rsidR="009F7709" w:rsidRPr="00EC6C19" w:rsidRDefault="009F7709"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7011FD44"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PLV</w:t>
            </w:r>
          </w:p>
        </w:tc>
        <w:tc>
          <w:tcPr>
            <w:tcW w:w="2394" w:type="dxa"/>
            <w:shd w:val="clear" w:color="auto" w:fill="FFFFFF" w:themeFill="background1"/>
          </w:tcPr>
          <w:p w14:paraId="7D2E103C"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33.4</w:t>
            </w:r>
          </w:p>
        </w:tc>
        <w:tc>
          <w:tcPr>
            <w:tcW w:w="2394" w:type="dxa"/>
            <w:shd w:val="clear" w:color="auto" w:fill="FFFFFF" w:themeFill="background1"/>
          </w:tcPr>
          <w:p w14:paraId="6B31DBC9" w14:textId="77777777" w:rsidR="009F7709"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5.4</w:t>
            </w:r>
          </w:p>
        </w:tc>
      </w:tr>
      <w:tr w:rsidR="009F7709" w:rsidRPr="00EC6C19" w14:paraId="1D850B78" w14:textId="77777777" w:rsidTr="00BE0DC0">
        <w:tc>
          <w:tcPr>
            <w:tcW w:w="2394" w:type="dxa"/>
            <w:shd w:val="clear" w:color="auto" w:fill="FFFFFF" w:themeFill="background1"/>
          </w:tcPr>
          <w:p w14:paraId="39A446B4"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13</w:t>
            </w:r>
          </w:p>
          <w:p w14:paraId="6E3930BE" w14:textId="77777777" w:rsidR="009F7709" w:rsidRPr="00EC6C19" w:rsidRDefault="009F7709"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230FE28F"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PLV</w:t>
            </w:r>
          </w:p>
        </w:tc>
        <w:tc>
          <w:tcPr>
            <w:tcW w:w="2394" w:type="dxa"/>
            <w:shd w:val="clear" w:color="auto" w:fill="FFFFFF" w:themeFill="background1"/>
          </w:tcPr>
          <w:p w14:paraId="33735367"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50</w:t>
            </w:r>
          </w:p>
        </w:tc>
        <w:tc>
          <w:tcPr>
            <w:tcW w:w="2394" w:type="dxa"/>
            <w:shd w:val="clear" w:color="auto" w:fill="FFFFFF" w:themeFill="background1"/>
          </w:tcPr>
          <w:p w14:paraId="6A536CE2" w14:textId="77777777" w:rsidR="009F7709"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8</w:t>
            </w:r>
          </w:p>
        </w:tc>
      </w:tr>
      <w:tr w:rsidR="009F7709" w:rsidRPr="00EC6C19" w14:paraId="53AB5B48" w14:textId="77777777" w:rsidTr="00BE0DC0">
        <w:tc>
          <w:tcPr>
            <w:tcW w:w="2394" w:type="dxa"/>
            <w:shd w:val="clear" w:color="auto" w:fill="FFFFFF" w:themeFill="background1"/>
          </w:tcPr>
          <w:p w14:paraId="1415CD9E"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14</w:t>
            </w:r>
          </w:p>
          <w:p w14:paraId="237DE3C4" w14:textId="77777777" w:rsidR="009F7709" w:rsidRPr="00EC6C19" w:rsidRDefault="009F7709"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2F97A6FA"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PDA</w:t>
            </w:r>
          </w:p>
        </w:tc>
        <w:tc>
          <w:tcPr>
            <w:tcW w:w="2394" w:type="dxa"/>
            <w:shd w:val="clear" w:color="auto" w:fill="FFFFFF" w:themeFill="background1"/>
          </w:tcPr>
          <w:p w14:paraId="67ED9750"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11.1</w:t>
            </w:r>
          </w:p>
        </w:tc>
        <w:tc>
          <w:tcPr>
            <w:tcW w:w="2394" w:type="dxa"/>
            <w:shd w:val="clear" w:color="auto" w:fill="FFFFFF" w:themeFill="background1"/>
          </w:tcPr>
          <w:p w14:paraId="20D2D7BE" w14:textId="77777777" w:rsidR="009F7709"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1.8</w:t>
            </w:r>
          </w:p>
        </w:tc>
      </w:tr>
      <w:tr w:rsidR="009F7709" w:rsidRPr="00EC6C19" w14:paraId="17D77CBA" w14:textId="77777777" w:rsidTr="00BE0DC0">
        <w:tc>
          <w:tcPr>
            <w:tcW w:w="2394" w:type="dxa"/>
            <w:shd w:val="clear" w:color="auto" w:fill="FFFFFF" w:themeFill="background1"/>
          </w:tcPr>
          <w:p w14:paraId="6FD9A907"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15</w:t>
            </w:r>
          </w:p>
          <w:p w14:paraId="0C366383" w14:textId="77777777" w:rsidR="009F7709" w:rsidRPr="00EC6C19" w:rsidRDefault="009F7709"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1D9456B5"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w:t>
            </w:r>
          </w:p>
        </w:tc>
        <w:tc>
          <w:tcPr>
            <w:tcW w:w="2394" w:type="dxa"/>
            <w:shd w:val="clear" w:color="auto" w:fill="FFFFFF" w:themeFill="background1"/>
          </w:tcPr>
          <w:p w14:paraId="5ECF277B"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53.5</w:t>
            </w:r>
          </w:p>
        </w:tc>
        <w:tc>
          <w:tcPr>
            <w:tcW w:w="2394" w:type="dxa"/>
            <w:shd w:val="clear" w:color="auto" w:fill="FFFFFF" w:themeFill="background1"/>
          </w:tcPr>
          <w:p w14:paraId="4C2A8FB2" w14:textId="77777777" w:rsidR="009F7709"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8.6</w:t>
            </w:r>
          </w:p>
        </w:tc>
      </w:tr>
      <w:tr w:rsidR="009F7709" w:rsidRPr="00EC6C19" w14:paraId="2B17FC90" w14:textId="77777777" w:rsidTr="00BE0DC0">
        <w:tc>
          <w:tcPr>
            <w:tcW w:w="2394" w:type="dxa"/>
            <w:shd w:val="clear" w:color="auto" w:fill="FFFFFF" w:themeFill="background1"/>
          </w:tcPr>
          <w:p w14:paraId="40D8B5F9"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16</w:t>
            </w:r>
          </w:p>
          <w:p w14:paraId="54C9F975" w14:textId="77777777" w:rsidR="009F7709" w:rsidRPr="00EC6C19" w:rsidRDefault="009F7709"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6373DBD6"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lastRenderedPageBreak/>
              <w:t>LAD</w:t>
            </w:r>
          </w:p>
        </w:tc>
        <w:tc>
          <w:tcPr>
            <w:tcW w:w="2394" w:type="dxa"/>
            <w:shd w:val="clear" w:color="auto" w:fill="FFFFFF" w:themeFill="background1"/>
          </w:tcPr>
          <w:p w14:paraId="6EC594E1" w14:textId="77777777" w:rsidR="009F7709"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42.9</w:t>
            </w:r>
          </w:p>
        </w:tc>
        <w:tc>
          <w:tcPr>
            <w:tcW w:w="2394" w:type="dxa"/>
            <w:shd w:val="clear" w:color="auto" w:fill="FFFFFF" w:themeFill="background1"/>
          </w:tcPr>
          <w:p w14:paraId="2CED6A69" w14:textId="77777777" w:rsidR="009F7709"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6.8</w:t>
            </w:r>
          </w:p>
        </w:tc>
      </w:tr>
      <w:tr w:rsidR="00C92693" w:rsidRPr="00EC6C19" w14:paraId="42EB6753" w14:textId="77777777" w:rsidTr="00BE0DC0">
        <w:tc>
          <w:tcPr>
            <w:tcW w:w="2394" w:type="dxa"/>
            <w:shd w:val="clear" w:color="auto" w:fill="FFFFFF" w:themeFill="background1"/>
          </w:tcPr>
          <w:p w14:paraId="5240DF8D"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17</w:t>
            </w:r>
          </w:p>
          <w:p w14:paraId="1DCD09C1" w14:textId="77777777" w:rsidR="00C92693" w:rsidRPr="00EC6C19" w:rsidRDefault="00C92693"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5DFBE94F"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w:t>
            </w:r>
          </w:p>
        </w:tc>
        <w:tc>
          <w:tcPr>
            <w:tcW w:w="2394" w:type="dxa"/>
            <w:shd w:val="clear" w:color="auto" w:fill="FFFFFF" w:themeFill="background1"/>
          </w:tcPr>
          <w:p w14:paraId="24325E62"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68.1</w:t>
            </w:r>
          </w:p>
        </w:tc>
        <w:tc>
          <w:tcPr>
            <w:tcW w:w="2394" w:type="dxa"/>
            <w:shd w:val="clear" w:color="auto" w:fill="FFFFFF" w:themeFill="background1"/>
          </w:tcPr>
          <w:p w14:paraId="3B5B918B" w14:textId="77777777" w:rsidR="00C92693"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10.8</w:t>
            </w:r>
          </w:p>
        </w:tc>
      </w:tr>
      <w:tr w:rsidR="00C92693" w:rsidRPr="00EC6C19" w14:paraId="57AAEC5B" w14:textId="77777777" w:rsidTr="00BE0DC0">
        <w:tc>
          <w:tcPr>
            <w:tcW w:w="2394" w:type="dxa"/>
            <w:shd w:val="clear" w:color="auto" w:fill="FFFFFF" w:themeFill="background1"/>
          </w:tcPr>
          <w:p w14:paraId="5BE7AF38"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18</w:t>
            </w:r>
          </w:p>
          <w:p w14:paraId="6239EFE7" w14:textId="77777777" w:rsidR="00C92693" w:rsidRPr="00EC6C19" w:rsidRDefault="00C92693"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63B554B8"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w:t>
            </w:r>
          </w:p>
        </w:tc>
        <w:tc>
          <w:tcPr>
            <w:tcW w:w="2394" w:type="dxa"/>
            <w:shd w:val="clear" w:color="auto" w:fill="FFFFFF" w:themeFill="background1"/>
          </w:tcPr>
          <w:p w14:paraId="3E8014F3"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65.3</w:t>
            </w:r>
          </w:p>
        </w:tc>
        <w:tc>
          <w:tcPr>
            <w:tcW w:w="2394" w:type="dxa"/>
            <w:shd w:val="clear" w:color="auto" w:fill="FFFFFF" w:themeFill="background1"/>
          </w:tcPr>
          <w:p w14:paraId="52B07CA7" w14:textId="77777777" w:rsidR="00C92693"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10.4</w:t>
            </w:r>
          </w:p>
        </w:tc>
      </w:tr>
      <w:tr w:rsidR="00C92693" w:rsidRPr="00EC6C19" w14:paraId="799B148F" w14:textId="77777777" w:rsidTr="00BE0DC0">
        <w:tc>
          <w:tcPr>
            <w:tcW w:w="2394" w:type="dxa"/>
            <w:shd w:val="clear" w:color="auto" w:fill="FFFFFF" w:themeFill="background1"/>
          </w:tcPr>
          <w:p w14:paraId="533A4928"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19</w:t>
            </w:r>
          </w:p>
          <w:p w14:paraId="7E156529" w14:textId="77777777" w:rsidR="00C92693" w:rsidRPr="00EC6C19" w:rsidRDefault="00C92693"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15D6C9BD"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PLV</w:t>
            </w:r>
          </w:p>
        </w:tc>
        <w:tc>
          <w:tcPr>
            <w:tcW w:w="2394" w:type="dxa"/>
            <w:shd w:val="clear" w:color="auto" w:fill="FFFFFF" w:themeFill="background1"/>
          </w:tcPr>
          <w:p w14:paraId="6C06043D"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46.5</w:t>
            </w:r>
          </w:p>
        </w:tc>
        <w:tc>
          <w:tcPr>
            <w:tcW w:w="2394" w:type="dxa"/>
            <w:shd w:val="clear" w:color="auto" w:fill="FFFFFF" w:themeFill="background1"/>
          </w:tcPr>
          <w:p w14:paraId="3DDD9B49" w14:textId="77777777" w:rsidR="00C92693"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7.4</w:t>
            </w:r>
          </w:p>
        </w:tc>
      </w:tr>
      <w:tr w:rsidR="00C92693" w:rsidRPr="00EC6C19" w14:paraId="31FDBB04" w14:textId="77777777" w:rsidTr="00BE0DC0">
        <w:tc>
          <w:tcPr>
            <w:tcW w:w="2394" w:type="dxa"/>
            <w:shd w:val="clear" w:color="auto" w:fill="FFFFFF" w:themeFill="background1"/>
          </w:tcPr>
          <w:p w14:paraId="4D70B85F"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20</w:t>
            </w:r>
          </w:p>
          <w:p w14:paraId="785DE941" w14:textId="77777777" w:rsidR="00C92693" w:rsidRPr="00EC6C19" w:rsidRDefault="00C92693"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45CA4D29"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PLV</w:t>
            </w:r>
          </w:p>
        </w:tc>
        <w:tc>
          <w:tcPr>
            <w:tcW w:w="2394" w:type="dxa"/>
            <w:shd w:val="clear" w:color="auto" w:fill="FFFFFF" w:themeFill="background1"/>
          </w:tcPr>
          <w:p w14:paraId="7CFF031F"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20.4</w:t>
            </w:r>
          </w:p>
        </w:tc>
        <w:tc>
          <w:tcPr>
            <w:tcW w:w="2394" w:type="dxa"/>
            <w:shd w:val="clear" w:color="auto" w:fill="FFFFFF" w:themeFill="background1"/>
          </w:tcPr>
          <w:p w14:paraId="5E27A54F" w14:textId="77777777" w:rsidR="00C92693"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3.2</w:t>
            </w:r>
          </w:p>
        </w:tc>
      </w:tr>
      <w:tr w:rsidR="00C92693" w:rsidRPr="00EC6C19" w14:paraId="00657372" w14:textId="77777777" w:rsidTr="00BE0DC0">
        <w:tc>
          <w:tcPr>
            <w:tcW w:w="2394" w:type="dxa"/>
            <w:shd w:val="clear" w:color="auto" w:fill="FFFFFF" w:themeFill="background1"/>
          </w:tcPr>
          <w:p w14:paraId="6DFC50D5"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21</w:t>
            </w:r>
          </w:p>
          <w:p w14:paraId="03B5E70E" w14:textId="77777777" w:rsidR="00C92693" w:rsidRPr="00EC6C19" w:rsidRDefault="00C92693"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746DB84F"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CX</w:t>
            </w:r>
          </w:p>
        </w:tc>
        <w:tc>
          <w:tcPr>
            <w:tcW w:w="2394" w:type="dxa"/>
            <w:shd w:val="clear" w:color="auto" w:fill="FFFFFF" w:themeFill="background1"/>
          </w:tcPr>
          <w:p w14:paraId="30449FB1"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35.9</w:t>
            </w:r>
          </w:p>
        </w:tc>
        <w:tc>
          <w:tcPr>
            <w:tcW w:w="2394" w:type="dxa"/>
            <w:shd w:val="clear" w:color="auto" w:fill="FFFFFF" w:themeFill="background1"/>
          </w:tcPr>
          <w:p w14:paraId="53AF1FD8" w14:textId="77777777" w:rsidR="00C92693"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5.8</w:t>
            </w:r>
          </w:p>
        </w:tc>
      </w:tr>
      <w:tr w:rsidR="00C92693" w:rsidRPr="00EC6C19" w14:paraId="2BB099AD" w14:textId="77777777" w:rsidTr="00BE0DC0">
        <w:tc>
          <w:tcPr>
            <w:tcW w:w="2394" w:type="dxa"/>
            <w:shd w:val="clear" w:color="auto" w:fill="FFFFFF" w:themeFill="background1"/>
          </w:tcPr>
          <w:p w14:paraId="4F0A84F3"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22</w:t>
            </w:r>
          </w:p>
          <w:p w14:paraId="619B4262" w14:textId="77777777" w:rsidR="00C92693" w:rsidRPr="00EC6C19" w:rsidRDefault="00C92693"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1C4E853E"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CX</w:t>
            </w:r>
          </w:p>
        </w:tc>
        <w:tc>
          <w:tcPr>
            <w:tcW w:w="2394" w:type="dxa"/>
            <w:shd w:val="clear" w:color="auto" w:fill="FFFFFF" w:themeFill="background1"/>
          </w:tcPr>
          <w:p w14:paraId="0B5A549F"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29.3</w:t>
            </w:r>
          </w:p>
        </w:tc>
        <w:tc>
          <w:tcPr>
            <w:tcW w:w="2394" w:type="dxa"/>
            <w:shd w:val="clear" w:color="auto" w:fill="FFFFFF" w:themeFill="background1"/>
          </w:tcPr>
          <w:p w14:paraId="236D1AF9" w14:textId="77777777" w:rsidR="00C92693"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4.6</w:t>
            </w:r>
          </w:p>
        </w:tc>
      </w:tr>
      <w:tr w:rsidR="00C92693" w:rsidRPr="00EC6C19" w14:paraId="5EB5C643" w14:textId="77777777" w:rsidTr="00BE0DC0">
        <w:tc>
          <w:tcPr>
            <w:tcW w:w="2394" w:type="dxa"/>
            <w:shd w:val="clear" w:color="auto" w:fill="FFFFFF" w:themeFill="background1"/>
          </w:tcPr>
          <w:p w14:paraId="310445CF"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23</w:t>
            </w:r>
          </w:p>
          <w:p w14:paraId="0BF6E660" w14:textId="77777777" w:rsidR="00C92693" w:rsidRPr="00EC6C19" w:rsidRDefault="00C92693" w:rsidP="0066656C">
            <w:pPr>
              <w:spacing w:line="360" w:lineRule="auto"/>
              <w:jc w:val="center"/>
              <w:rPr>
                <w:rFonts w:ascii="Times New Roman" w:hAnsi="Times New Roman" w:cs="Times New Roman"/>
                <w:sz w:val="24"/>
                <w:szCs w:val="24"/>
              </w:rPr>
            </w:pPr>
          </w:p>
        </w:tc>
        <w:tc>
          <w:tcPr>
            <w:tcW w:w="2394" w:type="dxa"/>
            <w:shd w:val="clear" w:color="auto" w:fill="FFFFFF" w:themeFill="background1"/>
          </w:tcPr>
          <w:p w14:paraId="19F0B1FE"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CX</w:t>
            </w:r>
          </w:p>
        </w:tc>
        <w:tc>
          <w:tcPr>
            <w:tcW w:w="2394" w:type="dxa"/>
            <w:shd w:val="clear" w:color="auto" w:fill="FFFFFF" w:themeFill="background1"/>
          </w:tcPr>
          <w:p w14:paraId="41E90AD4" w14:textId="77777777" w:rsidR="00C92693" w:rsidRPr="00EC6C19" w:rsidRDefault="00C92693"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27.7</w:t>
            </w:r>
          </w:p>
        </w:tc>
        <w:tc>
          <w:tcPr>
            <w:tcW w:w="2394" w:type="dxa"/>
            <w:shd w:val="clear" w:color="auto" w:fill="FFFFFF" w:themeFill="background1"/>
          </w:tcPr>
          <w:p w14:paraId="245151A4" w14:textId="77777777" w:rsidR="00C92693" w:rsidRPr="00EC6C19" w:rsidRDefault="00211D94"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4.4</w:t>
            </w:r>
          </w:p>
        </w:tc>
      </w:tr>
    </w:tbl>
    <w:p w14:paraId="7E83CF54" w14:textId="77777777" w:rsidR="00BE0DC0" w:rsidRPr="00EC6C19" w:rsidRDefault="00BE0DC0" w:rsidP="007969DC">
      <w:pPr>
        <w:spacing w:line="360" w:lineRule="auto"/>
        <w:rPr>
          <w:rFonts w:ascii="Times New Roman" w:hAnsi="Times New Roman" w:cs="Times New Roman"/>
          <w:i/>
          <w:sz w:val="24"/>
          <w:szCs w:val="24"/>
        </w:rPr>
      </w:pPr>
    </w:p>
    <w:p w14:paraId="21B5C54D" w14:textId="77777777" w:rsidR="00A23015" w:rsidRPr="008630EC" w:rsidRDefault="007F2FD6" w:rsidP="008630EC">
      <w:pPr>
        <w:pStyle w:val="Caption"/>
        <w:spacing w:line="360" w:lineRule="auto"/>
        <w:rPr>
          <w:rFonts w:ascii="Times New Roman" w:hAnsi="Times New Roman" w:cs="Times New Roman"/>
          <w:b w:val="0"/>
          <w:i/>
          <w:color w:val="auto"/>
          <w:sz w:val="24"/>
          <w:szCs w:val="24"/>
        </w:rPr>
      </w:pPr>
      <w:bookmarkStart w:id="151" w:name="_Toc44962590"/>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14</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Guide to Wire Data. Measurements</w:t>
      </w:r>
      <w:r w:rsidR="00DA254C" w:rsidRPr="008630EC">
        <w:rPr>
          <w:rFonts w:ascii="Times New Roman" w:hAnsi="Times New Roman" w:cs="Times New Roman"/>
          <w:b w:val="0"/>
          <w:i/>
          <w:color w:val="auto"/>
          <w:sz w:val="24"/>
          <w:szCs w:val="24"/>
        </w:rPr>
        <w:t xml:space="preserve"> in mm, and the estimated hydrostatic effect. </w:t>
      </w:r>
      <w:r w:rsidR="001054BE" w:rsidRPr="008630EC">
        <w:rPr>
          <w:rFonts w:ascii="Times New Roman" w:hAnsi="Times New Roman" w:cs="Times New Roman"/>
          <w:b w:val="0"/>
          <w:i/>
          <w:color w:val="auto"/>
          <w:sz w:val="24"/>
          <w:szCs w:val="24"/>
        </w:rPr>
        <w:t xml:space="preserve">The </w:t>
      </w:r>
      <w:r w:rsidR="009502CD" w:rsidRPr="008630EC">
        <w:rPr>
          <w:rFonts w:ascii="Times New Roman" w:hAnsi="Times New Roman" w:cs="Times New Roman"/>
          <w:b w:val="0"/>
          <w:i/>
          <w:color w:val="auto"/>
          <w:sz w:val="24"/>
          <w:szCs w:val="24"/>
        </w:rPr>
        <w:t>vertical distance</w:t>
      </w:r>
      <w:r w:rsidR="001054BE" w:rsidRPr="008630EC">
        <w:rPr>
          <w:rFonts w:ascii="Times New Roman" w:hAnsi="Times New Roman" w:cs="Times New Roman"/>
          <w:b w:val="0"/>
          <w:i/>
          <w:color w:val="auto"/>
          <w:sz w:val="24"/>
          <w:szCs w:val="24"/>
        </w:rPr>
        <w:t xml:space="preserve"> should double (</w:t>
      </w:r>
      <w:r w:rsidR="00DA254C" w:rsidRPr="008630EC">
        <w:rPr>
          <w:rFonts w:ascii="Times New Roman" w:hAnsi="Times New Roman" w:cs="Times New Roman"/>
          <w:b w:val="0"/>
          <w:i/>
          <w:color w:val="auto"/>
          <w:sz w:val="24"/>
          <w:szCs w:val="24"/>
        </w:rPr>
        <w:t>x 2) when the patient changes position from supine to prone, as the wire is rotating around the 'axis' of the aorta</w:t>
      </w:r>
      <w:r w:rsidR="001054BE" w:rsidRPr="008630EC">
        <w:rPr>
          <w:rFonts w:ascii="Times New Roman" w:hAnsi="Times New Roman" w:cs="Times New Roman"/>
          <w:b w:val="0"/>
          <w:i/>
          <w:color w:val="auto"/>
          <w:sz w:val="24"/>
          <w:szCs w:val="24"/>
        </w:rPr>
        <w:t>.</w:t>
      </w:r>
      <w:r w:rsidR="009502CD" w:rsidRPr="008630EC">
        <w:rPr>
          <w:rFonts w:ascii="Times New Roman" w:hAnsi="Times New Roman" w:cs="Times New Roman"/>
          <w:b w:val="0"/>
          <w:i/>
          <w:color w:val="auto"/>
          <w:sz w:val="24"/>
          <w:szCs w:val="24"/>
        </w:rPr>
        <w:t xml:space="preserve"> The estimated effect factors this in.</w:t>
      </w:r>
      <w:bookmarkEnd w:id="151"/>
    </w:p>
    <w:p w14:paraId="555ED125" w14:textId="77777777" w:rsidR="001054BE" w:rsidRPr="00EC6C19" w:rsidRDefault="001054BE" w:rsidP="007969DC">
      <w:pPr>
        <w:spacing w:line="360" w:lineRule="auto"/>
        <w:rPr>
          <w:rFonts w:ascii="Times New Roman" w:hAnsi="Times New Roman" w:cs="Times New Roman"/>
          <w:i/>
          <w:sz w:val="24"/>
          <w:szCs w:val="24"/>
        </w:rPr>
      </w:pPr>
    </w:p>
    <w:p w14:paraId="318A5ECB" w14:textId="77777777" w:rsidR="00AA6527" w:rsidRPr="00EC6C19" w:rsidRDefault="00AA6527" w:rsidP="00AA6527">
      <w:pPr>
        <w:spacing w:line="360" w:lineRule="auto"/>
        <w:ind w:left="-737"/>
        <w:rPr>
          <w:rFonts w:ascii="Times New Roman" w:hAnsi="Times New Roman" w:cs="Times New Roman"/>
          <w:i/>
          <w:sz w:val="24"/>
          <w:szCs w:val="24"/>
        </w:rPr>
      </w:pPr>
      <w:r w:rsidRPr="00EC6C19">
        <w:rPr>
          <w:rFonts w:ascii="Times New Roman" w:hAnsi="Times New Roman" w:cs="Times New Roman"/>
          <w:i/>
          <w:noProof/>
          <w:sz w:val="24"/>
          <w:szCs w:val="24"/>
          <w:lang w:eastAsia="en-GB"/>
        </w:rPr>
        <w:lastRenderedPageBreak/>
        <w:drawing>
          <wp:inline distT="0" distB="0" distL="0" distR="0" wp14:anchorId="3ACAF61C" wp14:editId="17505482">
            <wp:extent cx="6913378" cy="3955312"/>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463703C" w14:textId="21169F69" w:rsidR="00DA254C" w:rsidRPr="000B3A27" w:rsidRDefault="000B3A27" w:rsidP="000B3A27">
      <w:pPr>
        <w:pStyle w:val="Caption"/>
        <w:spacing w:line="360" w:lineRule="auto"/>
        <w:rPr>
          <w:rFonts w:ascii="Times New Roman" w:hAnsi="Times New Roman" w:cs="Times New Roman"/>
          <w:b w:val="0"/>
          <w:i/>
          <w:color w:val="auto"/>
          <w:sz w:val="24"/>
          <w:szCs w:val="24"/>
        </w:rPr>
      </w:pPr>
      <w:bookmarkStart w:id="152" w:name="_Toc44684921"/>
      <w:r w:rsidRPr="000B3A27">
        <w:rPr>
          <w:rFonts w:ascii="Times New Roman" w:hAnsi="Times New Roman" w:cs="Times New Roman"/>
          <w:b w:val="0"/>
          <w:i/>
          <w:color w:val="auto"/>
          <w:sz w:val="24"/>
          <w:szCs w:val="24"/>
        </w:rPr>
        <w:t xml:space="preserve">Figure </w:t>
      </w:r>
      <w:r w:rsidR="00106A32" w:rsidRPr="000B3A27">
        <w:rPr>
          <w:rFonts w:ascii="Times New Roman" w:hAnsi="Times New Roman" w:cs="Times New Roman"/>
          <w:b w:val="0"/>
          <w:i/>
          <w:color w:val="auto"/>
          <w:sz w:val="24"/>
          <w:szCs w:val="24"/>
        </w:rPr>
        <w:fldChar w:fldCharType="begin"/>
      </w:r>
      <w:r w:rsidRPr="000B3A27">
        <w:rPr>
          <w:rFonts w:ascii="Times New Roman" w:hAnsi="Times New Roman" w:cs="Times New Roman"/>
          <w:b w:val="0"/>
          <w:i/>
          <w:color w:val="auto"/>
          <w:sz w:val="24"/>
          <w:szCs w:val="24"/>
        </w:rPr>
        <w:instrText xml:space="preserve"> SEQ Figure \* ARABIC </w:instrText>
      </w:r>
      <w:r w:rsidR="00106A32" w:rsidRPr="000B3A27">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32</w:t>
      </w:r>
      <w:r w:rsidR="00106A32" w:rsidRPr="000B3A27">
        <w:rPr>
          <w:rFonts w:ascii="Times New Roman" w:hAnsi="Times New Roman" w:cs="Times New Roman"/>
          <w:b w:val="0"/>
          <w:i/>
          <w:color w:val="auto"/>
          <w:sz w:val="24"/>
          <w:szCs w:val="24"/>
        </w:rPr>
        <w:fldChar w:fldCharType="end"/>
      </w:r>
      <w:r w:rsidRPr="000B3A27">
        <w:rPr>
          <w:rFonts w:ascii="Times New Roman" w:hAnsi="Times New Roman" w:cs="Times New Roman"/>
          <w:b w:val="0"/>
          <w:i/>
          <w:color w:val="auto"/>
          <w:sz w:val="24"/>
          <w:szCs w:val="24"/>
        </w:rPr>
        <w:t xml:space="preserve"> - Estimated Hydrostatic Effect - </w:t>
      </w:r>
      <w:r w:rsidR="00423D11" w:rsidRPr="000B3A27">
        <w:rPr>
          <w:rFonts w:ascii="Times New Roman" w:hAnsi="Times New Roman" w:cs="Times New Roman"/>
          <w:b w:val="0"/>
          <w:i/>
          <w:color w:val="auto"/>
          <w:sz w:val="24"/>
          <w:szCs w:val="24"/>
        </w:rPr>
        <w:t>calculated from</w:t>
      </w:r>
      <w:r w:rsidR="007969DC" w:rsidRPr="000B3A27">
        <w:rPr>
          <w:rFonts w:ascii="Times New Roman" w:hAnsi="Times New Roman" w:cs="Times New Roman"/>
          <w:b w:val="0"/>
          <w:i/>
          <w:color w:val="auto"/>
          <w:sz w:val="24"/>
          <w:szCs w:val="24"/>
        </w:rPr>
        <w:t xml:space="preserve"> mean</w:t>
      </w:r>
      <w:r w:rsidR="00423D11" w:rsidRPr="000B3A27">
        <w:rPr>
          <w:rFonts w:ascii="Times New Roman" w:hAnsi="Times New Roman" w:cs="Times New Roman"/>
          <w:b w:val="0"/>
          <w:i/>
          <w:color w:val="auto"/>
          <w:sz w:val="24"/>
          <w:szCs w:val="24"/>
        </w:rPr>
        <w:t xml:space="preserve"> guide to wire measurement in mmHg</w:t>
      </w:r>
      <w:r w:rsidR="007969DC" w:rsidRPr="000B3A27">
        <w:rPr>
          <w:rFonts w:ascii="Times New Roman" w:hAnsi="Times New Roman" w:cs="Times New Roman"/>
          <w:b w:val="0"/>
          <w:i/>
          <w:color w:val="auto"/>
          <w:sz w:val="24"/>
          <w:szCs w:val="24"/>
        </w:rPr>
        <w:t xml:space="preserve"> across all coronary </w:t>
      </w:r>
      <w:r w:rsidR="007969DC" w:rsidRPr="00D97E85">
        <w:rPr>
          <w:rFonts w:ascii="Times New Roman" w:hAnsi="Times New Roman" w:cs="Times New Roman"/>
          <w:b w:val="0"/>
          <w:i/>
          <w:color w:val="auto"/>
          <w:sz w:val="24"/>
          <w:szCs w:val="24"/>
        </w:rPr>
        <w:t>arteries</w:t>
      </w:r>
      <w:r w:rsidR="007A003E" w:rsidRPr="00D97E85">
        <w:rPr>
          <w:rFonts w:ascii="Times New Roman" w:hAnsi="Times New Roman" w:cs="Times New Roman"/>
          <w:b w:val="0"/>
          <w:i/>
          <w:color w:val="auto"/>
          <w:sz w:val="24"/>
          <w:szCs w:val="24"/>
        </w:rPr>
        <w:t xml:space="preserve"> </w:t>
      </w:r>
      <w:r w:rsidR="00D97E85" w:rsidRPr="00D97E85">
        <w:rPr>
          <w:rFonts w:ascii="Times New Roman" w:hAnsi="Times New Roman" w:cs="Times New Roman"/>
          <w:color w:val="auto"/>
          <w:sz w:val="24"/>
          <w:szCs w:val="24"/>
        </w:rPr>
        <w:t>±</w:t>
      </w:r>
      <w:r w:rsidR="007A003E" w:rsidRPr="000B3A27">
        <w:rPr>
          <w:rFonts w:ascii="Times New Roman" w:hAnsi="Times New Roman" w:cs="Times New Roman"/>
          <w:b w:val="0"/>
          <w:i/>
          <w:color w:val="auto"/>
          <w:sz w:val="24"/>
          <w:szCs w:val="24"/>
        </w:rPr>
        <w:t xml:space="preserve"> standard deviation</w:t>
      </w:r>
      <w:r w:rsidR="00423D11" w:rsidRPr="000B3A27">
        <w:rPr>
          <w:rFonts w:ascii="Times New Roman" w:hAnsi="Times New Roman" w:cs="Times New Roman"/>
          <w:b w:val="0"/>
          <w:i/>
          <w:color w:val="auto"/>
          <w:sz w:val="24"/>
          <w:szCs w:val="24"/>
        </w:rPr>
        <w:t>.</w:t>
      </w:r>
      <w:r w:rsidR="007969DC" w:rsidRPr="000B3A27">
        <w:rPr>
          <w:rFonts w:ascii="Times New Roman" w:hAnsi="Times New Roman" w:cs="Times New Roman"/>
          <w:b w:val="0"/>
          <w:i/>
          <w:color w:val="auto"/>
          <w:sz w:val="24"/>
          <w:szCs w:val="24"/>
        </w:rPr>
        <w:t xml:space="preserve"> Mean LAD = 9.3</w:t>
      </w:r>
      <w:r w:rsidR="00737A1E">
        <w:rPr>
          <w:rFonts w:ascii="Times New Roman" w:hAnsi="Times New Roman" w:cs="Times New Roman"/>
          <w:b w:val="0"/>
          <w:i/>
          <w:color w:val="auto"/>
          <w:sz w:val="24"/>
          <w:szCs w:val="24"/>
        </w:rPr>
        <w:t xml:space="preserve"> </w:t>
      </w:r>
      <w:r w:rsidR="007969DC" w:rsidRPr="000B3A27">
        <w:rPr>
          <w:rFonts w:ascii="Times New Roman" w:hAnsi="Times New Roman" w:cs="Times New Roman"/>
          <w:b w:val="0"/>
          <w:i/>
          <w:color w:val="auto"/>
          <w:sz w:val="24"/>
          <w:szCs w:val="24"/>
        </w:rPr>
        <w:t>mmHg, Cx = 4.9</w:t>
      </w:r>
      <w:r w:rsidR="00737A1E">
        <w:rPr>
          <w:rFonts w:ascii="Times New Roman" w:hAnsi="Times New Roman" w:cs="Times New Roman"/>
          <w:b w:val="0"/>
          <w:i/>
          <w:color w:val="auto"/>
          <w:sz w:val="24"/>
          <w:szCs w:val="24"/>
        </w:rPr>
        <w:t xml:space="preserve"> </w:t>
      </w:r>
      <w:r w:rsidR="007969DC" w:rsidRPr="000B3A27">
        <w:rPr>
          <w:rFonts w:ascii="Times New Roman" w:hAnsi="Times New Roman" w:cs="Times New Roman"/>
          <w:b w:val="0"/>
          <w:i/>
          <w:color w:val="auto"/>
          <w:sz w:val="24"/>
          <w:szCs w:val="24"/>
        </w:rPr>
        <w:t>mmHg, RCA = 5.2</w:t>
      </w:r>
      <w:r w:rsidR="00737A1E">
        <w:rPr>
          <w:rFonts w:ascii="Times New Roman" w:hAnsi="Times New Roman" w:cs="Times New Roman"/>
          <w:b w:val="0"/>
          <w:i/>
          <w:color w:val="auto"/>
          <w:sz w:val="24"/>
          <w:szCs w:val="24"/>
        </w:rPr>
        <w:t xml:space="preserve"> </w:t>
      </w:r>
      <w:r w:rsidR="007969DC" w:rsidRPr="000B3A27">
        <w:rPr>
          <w:rFonts w:ascii="Times New Roman" w:hAnsi="Times New Roman" w:cs="Times New Roman"/>
          <w:b w:val="0"/>
          <w:i/>
          <w:color w:val="auto"/>
          <w:sz w:val="24"/>
          <w:szCs w:val="24"/>
        </w:rPr>
        <w:t>mmHg.</w:t>
      </w:r>
      <w:bookmarkEnd w:id="152"/>
      <w:r w:rsidR="007969DC" w:rsidRPr="000B3A27">
        <w:rPr>
          <w:rFonts w:ascii="Times New Roman" w:hAnsi="Times New Roman" w:cs="Times New Roman"/>
          <w:b w:val="0"/>
          <w:i/>
          <w:color w:val="auto"/>
          <w:sz w:val="24"/>
          <w:szCs w:val="24"/>
        </w:rPr>
        <w:t xml:space="preserve"> </w:t>
      </w:r>
    </w:p>
    <w:p w14:paraId="15D56326" w14:textId="77777777" w:rsidR="006E04BF" w:rsidRPr="00EC6C19" w:rsidRDefault="006E04BF" w:rsidP="004209DA">
      <w:pPr>
        <w:spacing w:line="360" w:lineRule="auto"/>
        <w:rPr>
          <w:rFonts w:ascii="Times New Roman" w:hAnsi="Times New Roman" w:cs="Times New Roman"/>
          <w:i/>
          <w:sz w:val="24"/>
          <w:szCs w:val="24"/>
        </w:rPr>
      </w:pPr>
    </w:p>
    <w:p w14:paraId="364968DF" w14:textId="77777777" w:rsidR="0066656C" w:rsidRDefault="006E04BF" w:rsidP="006E04BF">
      <w:pPr>
        <w:pStyle w:val="Heading2"/>
        <w:rPr>
          <w:rFonts w:ascii="Times New Roman" w:hAnsi="Times New Roman" w:cs="Times New Roman"/>
          <w:color w:val="auto"/>
          <w:sz w:val="24"/>
          <w:szCs w:val="24"/>
        </w:rPr>
      </w:pPr>
      <w:bookmarkStart w:id="153" w:name="_Toc80302251"/>
      <w:r w:rsidRPr="006E04BF">
        <w:rPr>
          <w:rFonts w:ascii="Times New Roman" w:hAnsi="Times New Roman" w:cs="Times New Roman"/>
          <w:color w:val="auto"/>
          <w:sz w:val="24"/>
          <w:szCs w:val="24"/>
        </w:rPr>
        <w:t xml:space="preserve">3.16 - </w:t>
      </w:r>
      <w:r w:rsidR="0066656C" w:rsidRPr="006E04BF">
        <w:rPr>
          <w:rFonts w:ascii="Times New Roman" w:hAnsi="Times New Roman" w:cs="Times New Roman"/>
          <w:color w:val="auto"/>
          <w:sz w:val="24"/>
          <w:szCs w:val="24"/>
        </w:rPr>
        <w:t>Pressure Based Indices</w:t>
      </w:r>
      <w:bookmarkEnd w:id="153"/>
      <w:r>
        <w:rPr>
          <w:rFonts w:ascii="Times New Roman" w:hAnsi="Times New Roman" w:cs="Times New Roman"/>
          <w:color w:val="auto"/>
          <w:sz w:val="24"/>
          <w:szCs w:val="24"/>
        </w:rPr>
        <w:br/>
      </w:r>
    </w:p>
    <w:p w14:paraId="3948F21A" w14:textId="77777777" w:rsidR="006E04BF" w:rsidRPr="006E04BF" w:rsidRDefault="006E04BF" w:rsidP="006E04BF"/>
    <w:p w14:paraId="3E7CA709" w14:textId="77777777" w:rsidR="0066656C" w:rsidRPr="00EC6C19" w:rsidRDefault="0066656C" w:rsidP="004209DA">
      <w:pPr>
        <w:spacing w:line="360" w:lineRule="auto"/>
        <w:rPr>
          <w:rFonts w:ascii="Times New Roman" w:hAnsi="Times New Roman" w:cs="Times New Roman"/>
          <w:b/>
          <w:sz w:val="24"/>
          <w:szCs w:val="24"/>
        </w:rPr>
      </w:pPr>
    </w:p>
    <w:p w14:paraId="4F20EB12" w14:textId="77777777" w:rsidR="0022110B" w:rsidRPr="006E04BF" w:rsidRDefault="006E04BF" w:rsidP="006E04BF">
      <w:pPr>
        <w:pStyle w:val="Heading3"/>
        <w:rPr>
          <w:rFonts w:ascii="Times New Roman" w:hAnsi="Times New Roman" w:cs="Times New Roman"/>
          <w:b w:val="0"/>
          <w:i/>
          <w:color w:val="auto"/>
          <w:sz w:val="24"/>
          <w:szCs w:val="24"/>
        </w:rPr>
      </w:pPr>
      <w:bookmarkStart w:id="154" w:name="_Toc80302252"/>
      <w:r w:rsidRPr="006E04BF">
        <w:rPr>
          <w:rFonts w:ascii="Times New Roman" w:hAnsi="Times New Roman" w:cs="Times New Roman"/>
          <w:b w:val="0"/>
          <w:i/>
          <w:color w:val="auto"/>
          <w:sz w:val="24"/>
          <w:szCs w:val="24"/>
        </w:rPr>
        <w:t xml:space="preserve">3.16.1 - </w:t>
      </w:r>
      <w:r w:rsidR="0022110B" w:rsidRPr="006E04BF">
        <w:rPr>
          <w:rFonts w:ascii="Times New Roman" w:hAnsi="Times New Roman" w:cs="Times New Roman"/>
          <w:b w:val="0"/>
          <w:i/>
          <w:color w:val="auto"/>
          <w:sz w:val="24"/>
          <w:szCs w:val="24"/>
        </w:rPr>
        <w:t>Delta Change</w:t>
      </w:r>
      <w:bookmarkEnd w:id="154"/>
      <w:r>
        <w:rPr>
          <w:rFonts w:ascii="Times New Roman" w:hAnsi="Times New Roman" w:cs="Times New Roman"/>
          <w:b w:val="0"/>
          <w:i/>
          <w:color w:val="auto"/>
          <w:sz w:val="24"/>
          <w:szCs w:val="24"/>
        </w:rPr>
        <w:br/>
      </w:r>
    </w:p>
    <w:p w14:paraId="3CE6F379" w14:textId="77777777" w:rsidR="0022110B" w:rsidRPr="00EC6C19" w:rsidRDefault="0022110B" w:rsidP="004209DA">
      <w:pPr>
        <w:spacing w:line="360" w:lineRule="auto"/>
        <w:rPr>
          <w:rFonts w:ascii="Times New Roman" w:hAnsi="Times New Roman" w:cs="Times New Roman"/>
          <w:b/>
          <w:sz w:val="24"/>
          <w:szCs w:val="24"/>
        </w:rPr>
      </w:pPr>
    </w:p>
    <w:p w14:paraId="03172BF2" w14:textId="48E4B2B6" w:rsidR="0022110B" w:rsidRPr="00EC6C19" w:rsidRDefault="0066656C" w:rsidP="004209DA">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Prone and supine </w:t>
      </w:r>
      <w:r w:rsidR="00737A1E" w:rsidRPr="00EC6C19">
        <w:rPr>
          <w:rFonts w:ascii="Times New Roman" w:hAnsi="Times New Roman" w:cs="Times New Roman"/>
          <w:sz w:val="24"/>
          <w:szCs w:val="24"/>
        </w:rPr>
        <w:t>pressure</w:t>
      </w:r>
      <w:r w:rsidR="00737A1E">
        <w:rPr>
          <w:rFonts w:ascii="Times New Roman" w:hAnsi="Times New Roman" w:cs="Times New Roman"/>
          <w:sz w:val="24"/>
          <w:szCs w:val="24"/>
        </w:rPr>
        <w:t>-</w:t>
      </w:r>
      <w:r w:rsidRPr="00EC6C19">
        <w:rPr>
          <w:rFonts w:ascii="Times New Roman" w:hAnsi="Times New Roman" w:cs="Times New Roman"/>
          <w:sz w:val="24"/>
          <w:szCs w:val="24"/>
        </w:rPr>
        <w:t xml:space="preserve">based indices are compared to produce a delta change. For each artery, there is a predicted direction of change. </w:t>
      </w:r>
      <w:r w:rsidR="00967D9E" w:rsidRPr="00EC6C19">
        <w:rPr>
          <w:rFonts w:ascii="Times New Roman" w:hAnsi="Times New Roman" w:cs="Times New Roman"/>
          <w:sz w:val="24"/>
          <w:szCs w:val="24"/>
        </w:rPr>
        <w:t xml:space="preserve">For example, an LAD is situated </w:t>
      </w:r>
      <w:r w:rsidR="00730A4B" w:rsidRPr="00EC6C19">
        <w:rPr>
          <w:rFonts w:ascii="Times New Roman" w:hAnsi="Times New Roman" w:cs="Times New Roman"/>
          <w:sz w:val="24"/>
          <w:szCs w:val="24"/>
        </w:rPr>
        <w:t>inferiorly</w:t>
      </w:r>
      <w:r w:rsidR="00967D9E" w:rsidRPr="00EC6C19">
        <w:rPr>
          <w:rFonts w:ascii="Times New Roman" w:hAnsi="Times New Roman" w:cs="Times New Roman"/>
          <w:sz w:val="24"/>
          <w:szCs w:val="24"/>
        </w:rPr>
        <w:t xml:space="preserve"> in a prone patient (</w:t>
      </w:r>
      <w:r w:rsidR="00730A4B" w:rsidRPr="00EC6C19">
        <w:rPr>
          <w:rFonts w:ascii="Times New Roman" w:hAnsi="Times New Roman" w:cs="Times New Roman"/>
          <w:sz w:val="24"/>
          <w:szCs w:val="24"/>
        </w:rPr>
        <w:t>pressure increases</w:t>
      </w:r>
      <w:r w:rsidR="00967D9E" w:rsidRPr="00EC6C19">
        <w:rPr>
          <w:rFonts w:ascii="Times New Roman" w:hAnsi="Times New Roman" w:cs="Times New Roman"/>
          <w:sz w:val="24"/>
          <w:szCs w:val="24"/>
        </w:rPr>
        <w:t>), and superiorly when supine (</w:t>
      </w:r>
      <w:r w:rsidR="00730A4B" w:rsidRPr="00EC6C19">
        <w:rPr>
          <w:rFonts w:ascii="Times New Roman" w:hAnsi="Times New Roman" w:cs="Times New Roman"/>
          <w:sz w:val="24"/>
          <w:szCs w:val="24"/>
        </w:rPr>
        <w:t>pressure decreases</w:t>
      </w:r>
      <w:r w:rsidR="00967D9E" w:rsidRPr="00EC6C19">
        <w:rPr>
          <w:rFonts w:ascii="Times New Roman" w:hAnsi="Times New Roman" w:cs="Times New Roman"/>
          <w:sz w:val="24"/>
          <w:szCs w:val="24"/>
        </w:rPr>
        <w:t xml:space="preserve">). We </w:t>
      </w:r>
      <w:r w:rsidR="00967D9E" w:rsidRPr="00EC6C19">
        <w:rPr>
          <w:rFonts w:ascii="Times New Roman" w:hAnsi="Times New Roman" w:cs="Times New Roman"/>
          <w:sz w:val="24"/>
          <w:szCs w:val="24"/>
        </w:rPr>
        <w:lastRenderedPageBreak/>
        <w:t>therefore expect the pressure</w:t>
      </w:r>
      <w:r w:rsidR="00A23015" w:rsidRPr="00EC6C19">
        <w:rPr>
          <w:rFonts w:ascii="Times New Roman" w:hAnsi="Times New Roman" w:cs="Times New Roman"/>
          <w:sz w:val="24"/>
          <w:szCs w:val="24"/>
        </w:rPr>
        <w:t xml:space="preserve"> measurement </w:t>
      </w:r>
      <w:r w:rsidR="00967D9E" w:rsidRPr="00EC6C19">
        <w:rPr>
          <w:rFonts w:ascii="Times New Roman" w:hAnsi="Times New Roman" w:cs="Times New Roman"/>
          <w:sz w:val="24"/>
          <w:szCs w:val="24"/>
        </w:rPr>
        <w:t>to drop when moving from prone to supine</w:t>
      </w:r>
      <w:r w:rsidRPr="00EC6C19">
        <w:rPr>
          <w:rFonts w:ascii="Times New Roman" w:hAnsi="Times New Roman" w:cs="Times New Roman"/>
          <w:sz w:val="24"/>
          <w:szCs w:val="24"/>
        </w:rPr>
        <w:t xml:space="preserve"> and vice versa</w:t>
      </w:r>
      <w:r w:rsidR="00967D9E" w:rsidRPr="00EC6C19">
        <w:rPr>
          <w:rFonts w:ascii="Times New Roman" w:hAnsi="Times New Roman" w:cs="Times New Roman"/>
          <w:sz w:val="24"/>
          <w:szCs w:val="24"/>
        </w:rPr>
        <w:t>. This is the expected direction of change</w:t>
      </w:r>
      <w:r w:rsidR="00541D6E" w:rsidRPr="00EC6C19">
        <w:rPr>
          <w:rFonts w:ascii="Times New Roman" w:hAnsi="Times New Roman" w:cs="Times New Roman"/>
          <w:sz w:val="24"/>
          <w:szCs w:val="24"/>
        </w:rPr>
        <w:t>.</w:t>
      </w:r>
    </w:p>
    <w:p w14:paraId="2AFDA53A" w14:textId="08A8C2FE" w:rsidR="00393790" w:rsidRPr="008630EC" w:rsidRDefault="00541D6E" w:rsidP="004209DA">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 If the change seen is in the </w:t>
      </w:r>
      <w:r w:rsidR="00AA1E90">
        <w:rPr>
          <w:rFonts w:ascii="Times New Roman" w:hAnsi="Times New Roman" w:cs="Times New Roman"/>
          <w:sz w:val="24"/>
          <w:szCs w:val="24"/>
        </w:rPr>
        <w:t>predicted</w:t>
      </w:r>
      <w:r w:rsidRPr="00EC6C19">
        <w:rPr>
          <w:rFonts w:ascii="Times New Roman" w:hAnsi="Times New Roman" w:cs="Times New Roman"/>
          <w:sz w:val="24"/>
          <w:szCs w:val="24"/>
        </w:rPr>
        <w:t xml:space="preserve"> direction, the calculated delta change will </w:t>
      </w:r>
      <w:r w:rsidR="00730A4B" w:rsidRPr="00EC6C19">
        <w:rPr>
          <w:rFonts w:ascii="Times New Roman" w:hAnsi="Times New Roman" w:cs="Times New Roman"/>
          <w:sz w:val="24"/>
          <w:szCs w:val="24"/>
        </w:rPr>
        <w:t>be allocated a positive value.</w:t>
      </w:r>
      <w:r w:rsidR="00D852FC" w:rsidRPr="00EC6C19">
        <w:rPr>
          <w:rFonts w:ascii="Times New Roman" w:hAnsi="Times New Roman" w:cs="Times New Roman"/>
          <w:sz w:val="24"/>
          <w:szCs w:val="24"/>
        </w:rPr>
        <w:t xml:space="preserve"> </w:t>
      </w:r>
      <w:r w:rsidR="0022110B" w:rsidRPr="00EC6C19">
        <w:rPr>
          <w:rFonts w:ascii="Times New Roman" w:hAnsi="Times New Roman" w:cs="Times New Roman"/>
          <w:sz w:val="24"/>
          <w:szCs w:val="24"/>
        </w:rPr>
        <w:t xml:space="preserve">A </w:t>
      </w:r>
      <w:r w:rsidRPr="00EC6C19">
        <w:rPr>
          <w:rFonts w:ascii="Times New Roman" w:hAnsi="Times New Roman" w:cs="Times New Roman"/>
          <w:sz w:val="24"/>
          <w:szCs w:val="24"/>
        </w:rPr>
        <w:t>change</w:t>
      </w:r>
      <w:r w:rsidR="00730A4B" w:rsidRPr="00EC6C19">
        <w:rPr>
          <w:rFonts w:ascii="Times New Roman" w:hAnsi="Times New Roman" w:cs="Times New Roman"/>
          <w:sz w:val="24"/>
          <w:szCs w:val="24"/>
        </w:rPr>
        <w:t xml:space="preserve"> in the</w:t>
      </w:r>
      <w:r w:rsidRPr="00EC6C19">
        <w:rPr>
          <w:rFonts w:ascii="Times New Roman" w:hAnsi="Times New Roman" w:cs="Times New Roman"/>
          <w:sz w:val="24"/>
          <w:szCs w:val="24"/>
        </w:rPr>
        <w:t xml:space="preserve"> opposite </w:t>
      </w:r>
      <w:r w:rsidR="00730A4B" w:rsidRPr="00EC6C19">
        <w:rPr>
          <w:rFonts w:ascii="Times New Roman" w:hAnsi="Times New Roman" w:cs="Times New Roman"/>
          <w:sz w:val="24"/>
          <w:szCs w:val="24"/>
        </w:rPr>
        <w:t>d</w:t>
      </w:r>
      <w:r w:rsidRPr="00EC6C19">
        <w:rPr>
          <w:rFonts w:ascii="Times New Roman" w:hAnsi="Times New Roman" w:cs="Times New Roman"/>
          <w:sz w:val="24"/>
          <w:szCs w:val="24"/>
        </w:rPr>
        <w:t>irection of</w:t>
      </w:r>
      <w:r w:rsidR="00730A4B" w:rsidRPr="00EC6C19">
        <w:rPr>
          <w:rFonts w:ascii="Times New Roman" w:hAnsi="Times New Roman" w:cs="Times New Roman"/>
          <w:sz w:val="24"/>
          <w:szCs w:val="24"/>
        </w:rPr>
        <w:t xml:space="preserve"> expected</w:t>
      </w:r>
      <w:r w:rsidRPr="00EC6C19">
        <w:rPr>
          <w:rFonts w:ascii="Times New Roman" w:hAnsi="Times New Roman" w:cs="Times New Roman"/>
          <w:sz w:val="24"/>
          <w:szCs w:val="24"/>
        </w:rPr>
        <w:t xml:space="preserve"> change will be allocated a negative delta. This is </w:t>
      </w:r>
      <w:r w:rsidR="0066656C" w:rsidRPr="00EC6C19">
        <w:rPr>
          <w:rFonts w:ascii="Times New Roman" w:hAnsi="Times New Roman" w:cs="Times New Roman"/>
          <w:sz w:val="24"/>
          <w:szCs w:val="24"/>
        </w:rPr>
        <w:t xml:space="preserve">for all </w:t>
      </w:r>
      <w:r w:rsidR="00737A1E" w:rsidRPr="00EC6C19">
        <w:rPr>
          <w:rFonts w:ascii="Times New Roman" w:hAnsi="Times New Roman" w:cs="Times New Roman"/>
          <w:sz w:val="24"/>
          <w:szCs w:val="24"/>
        </w:rPr>
        <w:t>pressure</w:t>
      </w:r>
      <w:r w:rsidR="00737A1E">
        <w:rPr>
          <w:rFonts w:ascii="Times New Roman" w:hAnsi="Times New Roman" w:cs="Times New Roman"/>
          <w:sz w:val="24"/>
          <w:szCs w:val="24"/>
        </w:rPr>
        <w:t>-</w:t>
      </w:r>
      <w:r w:rsidR="0066656C" w:rsidRPr="00EC6C19">
        <w:rPr>
          <w:rFonts w:ascii="Times New Roman" w:hAnsi="Times New Roman" w:cs="Times New Roman"/>
          <w:sz w:val="24"/>
          <w:szCs w:val="24"/>
        </w:rPr>
        <w:t>based indices</w:t>
      </w:r>
      <w:r w:rsidRPr="00EC6C19">
        <w:rPr>
          <w:rFonts w:ascii="Times New Roman" w:hAnsi="Times New Roman" w:cs="Times New Roman"/>
          <w:sz w:val="24"/>
          <w:szCs w:val="24"/>
        </w:rPr>
        <w:t xml:space="preserve">. A summary of the expected direction of change in all arteries is shown below </w:t>
      </w:r>
      <w:r w:rsidRPr="008630EC">
        <w:rPr>
          <w:rFonts w:ascii="Times New Roman" w:hAnsi="Times New Roman" w:cs="Times New Roman"/>
          <w:sz w:val="24"/>
          <w:szCs w:val="24"/>
        </w:rPr>
        <w:t xml:space="preserve">in table </w:t>
      </w:r>
      <w:r w:rsidR="008630EC" w:rsidRPr="008630EC">
        <w:rPr>
          <w:rFonts w:ascii="Times New Roman" w:hAnsi="Times New Roman" w:cs="Times New Roman"/>
          <w:sz w:val="24"/>
          <w:szCs w:val="24"/>
        </w:rPr>
        <w:t>15</w:t>
      </w:r>
      <w:r w:rsidRPr="008630EC">
        <w:rPr>
          <w:rFonts w:ascii="Times New Roman" w:hAnsi="Times New Roman" w:cs="Times New Roman"/>
          <w:sz w:val="24"/>
          <w:szCs w:val="24"/>
        </w:rPr>
        <w:t>.</w:t>
      </w:r>
    </w:p>
    <w:p w14:paraId="5FB87265" w14:textId="77777777" w:rsidR="0066656C" w:rsidRPr="00EC6C19" w:rsidRDefault="0066656C" w:rsidP="004209DA">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2334"/>
        <w:gridCol w:w="2341"/>
        <w:gridCol w:w="2341"/>
        <w:gridCol w:w="2344"/>
      </w:tblGrid>
      <w:tr w:rsidR="00730A4B" w:rsidRPr="00EC6C19" w14:paraId="33342E77" w14:textId="77777777" w:rsidTr="00935A4C">
        <w:tc>
          <w:tcPr>
            <w:tcW w:w="2394" w:type="dxa"/>
            <w:tcBorders>
              <w:bottom w:val="single" w:sz="18" w:space="0" w:color="000000" w:themeColor="text1"/>
              <w:right w:val="single" w:sz="4" w:space="0" w:color="auto"/>
            </w:tcBorders>
            <w:shd w:val="clear" w:color="auto" w:fill="F2F2F2" w:themeFill="background1" w:themeFillShade="F2"/>
          </w:tcPr>
          <w:p w14:paraId="420972BE" w14:textId="77777777" w:rsidR="00730A4B" w:rsidRPr="00EC6C19" w:rsidRDefault="00730A4B" w:rsidP="006665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Artery</w:t>
            </w:r>
          </w:p>
          <w:p w14:paraId="7F83CBFF" w14:textId="77777777" w:rsidR="00730A4B" w:rsidRPr="00EC6C19" w:rsidRDefault="00730A4B" w:rsidP="0066656C">
            <w:pPr>
              <w:spacing w:line="360" w:lineRule="auto"/>
              <w:jc w:val="center"/>
              <w:rPr>
                <w:rFonts w:ascii="Times New Roman" w:hAnsi="Times New Roman" w:cs="Times New Roman"/>
                <w:b/>
                <w:sz w:val="24"/>
                <w:szCs w:val="24"/>
              </w:rPr>
            </w:pPr>
          </w:p>
        </w:tc>
        <w:tc>
          <w:tcPr>
            <w:tcW w:w="2394" w:type="dxa"/>
            <w:tcBorders>
              <w:left w:val="single" w:sz="4" w:space="0" w:color="auto"/>
              <w:bottom w:val="single" w:sz="18" w:space="0" w:color="000000" w:themeColor="text1"/>
            </w:tcBorders>
            <w:shd w:val="clear" w:color="auto" w:fill="F2F2F2" w:themeFill="background1" w:themeFillShade="F2"/>
          </w:tcPr>
          <w:p w14:paraId="7E35E1D4" w14:textId="77777777" w:rsidR="00730A4B" w:rsidRPr="00EC6C19" w:rsidRDefault="00730A4B" w:rsidP="006665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Prone</w:t>
            </w:r>
            <w:r w:rsidR="0066656C" w:rsidRPr="00EC6C19">
              <w:rPr>
                <w:rFonts w:ascii="Times New Roman" w:hAnsi="Times New Roman" w:cs="Times New Roman"/>
                <w:b/>
                <w:sz w:val="24"/>
                <w:szCs w:val="24"/>
              </w:rPr>
              <w:t xml:space="preserve"> Pressure</w:t>
            </w:r>
          </w:p>
        </w:tc>
        <w:tc>
          <w:tcPr>
            <w:tcW w:w="2394" w:type="dxa"/>
            <w:tcBorders>
              <w:bottom w:val="single" w:sz="18" w:space="0" w:color="000000" w:themeColor="text1"/>
            </w:tcBorders>
            <w:shd w:val="clear" w:color="auto" w:fill="F2F2F2" w:themeFill="background1" w:themeFillShade="F2"/>
          </w:tcPr>
          <w:p w14:paraId="74258D4E" w14:textId="77777777" w:rsidR="0066656C" w:rsidRPr="00EC6C19" w:rsidRDefault="00730A4B" w:rsidP="0066656C">
            <w:pPr>
              <w:spacing w:line="360" w:lineRule="auto"/>
              <w:jc w:val="center"/>
              <w:rPr>
                <w:rFonts w:ascii="Times New Roman" w:hAnsi="Times New Roman" w:cs="Times New Roman"/>
                <w:b/>
                <w:bCs/>
                <w:sz w:val="24"/>
                <w:szCs w:val="24"/>
              </w:rPr>
            </w:pPr>
            <w:r w:rsidRPr="00EC6C19">
              <w:rPr>
                <w:rFonts w:ascii="Times New Roman" w:hAnsi="Times New Roman" w:cs="Times New Roman"/>
                <w:b/>
                <w:sz w:val="24"/>
                <w:szCs w:val="24"/>
              </w:rPr>
              <w:t xml:space="preserve">Supine </w:t>
            </w:r>
            <w:r w:rsidR="0066656C" w:rsidRPr="00EC6C19">
              <w:rPr>
                <w:rFonts w:ascii="Times New Roman" w:hAnsi="Times New Roman" w:cs="Times New Roman"/>
                <w:b/>
                <w:sz w:val="24"/>
                <w:szCs w:val="24"/>
              </w:rPr>
              <w:t>Pressure</w:t>
            </w:r>
          </w:p>
          <w:p w14:paraId="5FAADCF3" w14:textId="77777777" w:rsidR="00730A4B" w:rsidRPr="00EC6C19" w:rsidRDefault="00730A4B" w:rsidP="0066656C">
            <w:pPr>
              <w:spacing w:line="360" w:lineRule="auto"/>
              <w:jc w:val="center"/>
              <w:rPr>
                <w:rFonts w:ascii="Times New Roman" w:hAnsi="Times New Roman" w:cs="Times New Roman"/>
                <w:b/>
                <w:sz w:val="24"/>
                <w:szCs w:val="24"/>
              </w:rPr>
            </w:pPr>
          </w:p>
        </w:tc>
        <w:tc>
          <w:tcPr>
            <w:tcW w:w="2394" w:type="dxa"/>
            <w:tcBorders>
              <w:bottom w:val="single" w:sz="18" w:space="0" w:color="000000" w:themeColor="text1"/>
            </w:tcBorders>
            <w:shd w:val="clear" w:color="auto" w:fill="F2F2F2" w:themeFill="background1" w:themeFillShade="F2"/>
          </w:tcPr>
          <w:p w14:paraId="38EB3A9B" w14:textId="77777777" w:rsidR="00730A4B" w:rsidRPr="00EC6C19" w:rsidRDefault="00730A4B" w:rsidP="006665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Expected Change</w:t>
            </w:r>
          </w:p>
        </w:tc>
      </w:tr>
      <w:tr w:rsidR="00730A4B" w:rsidRPr="00EC6C19" w14:paraId="02A6F31B" w14:textId="77777777" w:rsidTr="00935A4C">
        <w:tc>
          <w:tcPr>
            <w:tcW w:w="2394" w:type="dxa"/>
            <w:tcBorders>
              <w:top w:val="single" w:sz="18" w:space="0" w:color="000000" w:themeColor="text1"/>
              <w:right w:val="single" w:sz="4" w:space="0" w:color="auto"/>
            </w:tcBorders>
            <w:shd w:val="clear" w:color="auto" w:fill="FFFFFF" w:themeFill="background1"/>
          </w:tcPr>
          <w:p w14:paraId="73E7631E" w14:textId="77777777" w:rsidR="00730A4B" w:rsidRPr="00EC6C19" w:rsidRDefault="00730A4B" w:rsidP="006665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LAD</w:t>
            </w:r>
          </w:p>
          <w:p w14:paraId="0ED27894" w14:textId="77777777" w:rsidR="00730A4B" w:rsidRPr="00EC6C19" w:rsidRDefault="00730A4B" w:rsidP="0066656C">
            <w:pPr>
              <w:spacing w:line="360" w:lineRule="auto"/>
              <w:jc w:val="center"/>
              <w:rPr>
                <w:rFonts w:ascii="Times New Roman" w:hAnsi="Times New Roman" w:cs="Times New Roman"/>
                <w:b/>
                <w:sz w:val="24"/>
                <w:szCs w:val="24"/>
              </w:rPr>
            </w:pPr>
          </w:p>
        </w:tc>
        <w:tc>
          <w:tcPr>
            <w:tcW w:w="2394" w:type="dxa"/>
            <w:tcBorders>
              <w:top w:val="single" w:sz="18" w:space="0" w:color="000000" w:themeColor="text1"/>
              <w:left w:val="single" w:sz="4" w:space="0" w:color="auto"/>
            </w:tcBorders>
            <w:shd w:val="clear" w:color="auto" w:fill="FFFFFF" w:themeFill="background1"/>
          </w:tcPr>
          <w:p w14:paraId="3B6870DA" w14:textId="77777777" w:rsidR="00730A4B" w:rsidRPr="00EC6C19" w:rsidRDefault="00730A4B"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Higher</w:t>
            </w:r>
          </w:p>
        </w:tc>
        <w:tc>
          <w:tcPr>
            <w:tcW w:w="2394" w:type="dxa"/>
            <w:tcBorders>
              <w:top w:val="single" w:sz="18" w:space="0" w:color="000000" w:themeColor="text1"/>
            </w:tcBorders>
            <w:shd w:val="clear" w:color="auto" w:fill="FFFFFF" w:themeFill="background1"/>
          </w:tcPr>
          <w:p w14:paraId="30BE1FAE" w14:textId="77777777" w:rsidR="00730A4B" w:rsidRPr="00EC6C19" w:rsidRDefault="00730A4B"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Lower</w:t>
            </w:r>
          </w:p>
        </w:tc>
        <w:tc>
          <w:tcPr>
            <w:tcW w:w="2394" w:type="dxa"/>
            <w:tcBorders>
              <w:top w:val="single" w:sz="18" w:space="0" w:color="000000" w:themeColor="text1"/>
            </w:tcBorders>
            <w:shd w:val="clear" w:color="auto" w:fill="FFFFFF" w:themeFill="background1"/>
          </w:tcPr>
          <w:p w14:paraId="08D230CE" w14:textId="77777777" w:rsidR="00730A4B" w:rsidRPr="00EC6C19" w:rsidRDefault="00730A4B" w:rsidP="0066656C">
            <w:pPr>
              <w:spacing w:line="360" w:lineRule="auto"/>
              <w:jc w:val="center"/>
              <w:rPr>
                <w:rFonts w:ascii="Times New Roman" w:hAnsi="Times New Roman" w:cs="Times New Roman"/>
                <w:color w:val="FF0000"/>
                <w:sz w:val="24"/>
                <w:szCs w:val="24"/>
              </w:rPr>
            </w:pPr>
            <w:r w:rsidRPr="00EC6C19">
              <w:rPr>
                <w:rFonts w:ascii="Times New Roman" w:hAnsi="Times New Roman" w:cs="Times New Roman"/>
                <w:color w:val="FF0000"/>
                <w:sz w:val="24"/>
                <w:szCs w:val="24"/>
              </w:rPr>
              <w:t>Decrease</w:t>
            </w:r>
          </w:p>
        </w:tc>
      </w:tr>
      <w:tr w:rsidR="00730A4B" w:rsidRPr="00EC6C19" w14:paraId="6EA310F3" w14:textId="77777777" w:rsidTr="00935A4C">
        <w:tc>
          <w:tcPr>
            <w:tcW w:w="2394" w:type="dxa"/>
            <w:tcBorders>
              <w:right w:val="single" w:sz="4" w:space="0" w:color="auto"/>
            </w:tcBorders>
            <w:shd w:val="clear" w:color="auto" w:fill="FFFFFF" w:themeFill="background1"/>
          </w:tcPr>
          <w:p w14:paraId="59C902FC" w14:textId="77777777" w:rsidR="00730A4B" w:rsidRPr="00EC6C19" w:rsidRDefault="00730A4B" w:rsidP="006665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Cx</w:t>
            </w:r>
          </w:p>
          <w:p w14:paraId="0F8475E3" w14:textId="77777777" w:rsidR="00730A4B" w:rsidRPr="00EC6C19" w:rsidRDefault="00730A4B" w:rsidP="0066656C">
            <w:pPr>
              <w:spacing w:line="360" w:lineRule="auto"/>
              <w:jc w:val="center"/>
              <w:rPr>
                <w:rFonts w:ascii="Times New Roman" w:hAnsi="Times New Roman" w:cs="Times New Roman"/>
                <w:b/>
                <w:sz w:val="24"/>
                <w:szCs w:val="24"/>
              </w:rPr>
            </w:pPr>
          </w:p>
        </w:tc>
        <w:tc>
          <w:tcPr>
            <w:tcW w:w="2394" w:type="dxa"/>
            <w:tcBorders>
              <w:left w:val="single" w:sz="4" w:space="0" w:color="auto"/>
            </w:tcBorders>
            <w:shd w:val="clear" w:color="auto" w:fill="FFFFFF" w:themeFill="background1"/>
          </w:tcPr>
          <w:p w14:paraId="67AB4500" w14:textId="77777777" w:rsidR="00730A4B" w:rsidRPr="00EC6C19" w:rsidRDefault="00730A4B"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Lower</w:t>
            </w:r>
          </w:p>
        </w:tc>
        <w:tc>
          <w:tcPr>
            <w:tcW w:w="2394" w:type="dxa"/>
            <w:shd w:val="clear" w:color="auto" w:fill="FFFFFF" w:themeFill="background1"/>
          </w:tcPr>
          <w:p w14:paraId="30831267" w14:textId="77777777" w:rsidR="00730A4B" w:rsidRPr="00EC6C19" w:rsidRDefault="00730A4B"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Higher</w:t>
            </w:r>
          </w:p>
        </w:tc>
        <w:tc>
          <w:tcPr>
            <w:tcW w:w="2394" w:type="dxa"/>
            <w:shd w:val="clear" w:color="auto" w:fill="FFFFFF" w:themeFill="background1"/>
          </w:tcPr>
          <w:p w14:paraId="2F65C77F" w14:textId="77777777" w:rsidR="00730A4B" w:rsidRPr="00EC6C19" w:rsidRDefault="00730A4B"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Increase</w:t>
            </w:r>
          </w:p>
        </w:tc>
      </w:tr>
      <w:tr w:rsidR="00730A4B" w:rsidRPr="00EC6C19" w14:paraId="6FA648D2" w14:textId="77777777" w:rsidTr="00935A4C">
        <w:tc>
          <w:tcPr>
            <w:tcW w:w="2394" w:type="dxa"/>
            <w:tcBorders>
              <w:right w:val="single" w:sz="4" w:space="0" w:color="auto"/>
            </w:tcBorders>
            <w:shd w:val="clear" w:color="auto" w:fill="FFFFFF" w:themeFill="background1"/>
          </w:tcPr>
          <w:p w14:paraId="00CE34DD" w14:textId="77777777" w:rsidR="00730A4B" w:rsidRPr="00EC6C19" w:rsidRDefault="005841DA" w:rsidP="006665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PDA</w:t>
            </w:r>
          </w:p>
          <w:p w14:paraId="01CEBC0F" w14:textId="77777777" w:rsidR="00730A4B" w:rsidRPr="00EC6C19" w:rsidRDefault="00730A4B" w:rsidP="0066656C">
            <w:pPr>
              <w:spacing w:line="360" w:lineRule="auto"/>
              <w:jc w:val="center"/>
              <w:rPr>
                <w:rFonts w:ascii="Times New Roman" w:hAnsi="Times New Roman" w:cs="Times New Roman"/>
                <w:b/>
                <w:sz w:val="24"/>
                <w:szCs w:val="24"/>
              </w:rPr>
            </w:pPr>
          </w:p>
        </w:tc>
        <w:tc>
          <w:tcPr>
            <w:tcW w:w="2394" w:type="dxa"/>
            <w:tcBorders>
              <w:left w:val="single" w:sz="4" w:space="0" w:color="auto"/>
            </w:tcBorders>
            <w:shd w:val="clear" w:color="auto" w:fill="FFFFFF" w:themeFill="background1"/>
          </w:tcPr>
          <w:p w14:paraId="731140A6" w14:textId="77777777" w:rsidR="00730A4B" w:rsidRPr="00EC6C19" w:rsidRDefault="005841D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Higher</w:t>
            </w:r>
          </w:p>
        </w:tc>
        <w:tc>
          <w:tcPr>
            <w:tcW w:w="2394" w:type="dxa"/>
            <w:shd w:val="clear" w:color="auto" w:fill="FFFFFF" w:themeFill="background1"/>
          </w:tcPr>
          <w:p w14:paraId="77EA044B" w14:textId="77777777" w:rsidR="00730A4B" w:rsidRPr="00EC6C19" w:rsidRDefault="005841D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Lower</w:t>
            </w:r>
          </w:p>
        </w:tc>
        <w:tc>
          <w:tcPr>
            <w:tcW w:w="2394" w:type="dxa"/>
            <w:shd w:val="clear" w:color="auto" w:fill="FFFFFF" w:themeFill="background1"/>
          </w:tcPr>
          <w:p w14:paraId="67B3969F" w14:textId="77777777" w:rsidR="00730A4B" w:rsidRPr="00EC6C19" w:rsidRDefault="005841DA" w:rsidP="0066656C">
            <w:pPr>
              <w:spacing w:line="360" w:lineRule="auto"/>
              <w:jc w:val="center"/>
              <w:rPr>
                <w:rFonts w:ascii="Times New Roman" w:hAnsi="Times New Roman" w:cs="Times New Roman"/>
                <w:color w:val="FF0000"/>
                <w:sz w:val="24"/>
                <w:szCs w:val="24"/>
              </w:rPr>
            </w:pPr>
            <w:r w:rsidRPr="00EC6C19">
              <w:rPr>
                <w:rFonts w:ascii="Times New Roman" w:hAnsi="Times New Roman" w:cs="Times New Roman"/>
                <w:color w:val="FF0000"/>
                <w:sz w:val="24"/>
                <w:szCs w:val="24"/>
              </w:rPr>
              <w:t>Decrease</w:t>
            </w:r>
          </w:p>
        </w:tc>
      </w:tr>
      <w:tr w:rsidR="00730A4B" w:rsidRPr="00EC6C19" w14:paraId="77192685" w14:textId="77777777" w:rsidTr="00935A4C">
        <w:tc>
          <w:tcPr>
            <w:tcW w:w="2394" w:type="dxa"/>
            <w:tcBorders>
              <w:bottom w:val="single" w:sz="8" w:space="0" w:color="000000" w:themeColor="text1"/>
              <w:right w:val="single" w:sz="4" w:space="0" w:color="auto"/>
            </w:tcBorders>
            <w:shd w:val="clear" w:color="auto" w:fill="FFFFFF" w:themeFill="background1"/>
          </w:tcPr>
          <w:p w14:paraId="5944922E" w14:textId="77777777" w:rsidR="00730A4B" w:rsidRPr="00EC6C19" w:rsidRDefault="005841DA" w:rsidP="0066656C">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PLV</w:t>
            </w:r>
          </w:p>
          <w:p w14:paraId="36A8CC26" w14:textId="77777777" w:rsidR="00730A4B" w:rsidRPr="00EC6C19" w:rsidRDefault="00730A4B" w:rsidP="0066656C">
            <w:pPr>
              <w:spacing w:line="360" w:lineRule="auto"/>
              <w:jc w:val="center"/>
              <w:rPr>
                <w:rFonts w:ascii="Times New Roman" w:hAnsi="Times New Roman" w:cs="Times New Roman"/>
                <w:b/>
                <w:sz w:val="24"/>
                <w:szCs w:val="24"/>
              </w:rPr>
            </w:pPr>
          </w:p>
        </w:tc>
        <w:tc>
          <w:tcPr>
            <w:tcW w:w="2394" w:type="dxa"/>
            <w:tcBorders>
              <w:left w:val="single" w:sz="4" w:space="0" w:color="auto"/>
            </w:tcBorders>
            <w:shd w:val="clear" w:color="auto" w:fill="FFFFFF" w:themeFill="background1"/>
          </w:tcPr>
          <w:p w14:paraId="04AC94B1" w14:textId="77777777" w:rsidR="00730A4B" w:rsidRPr="00EC6C19" w:rsidRDefault="005841D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Lower</w:t>
            </w:r>
          </w:p>
        </w:tc>
        <w:tc>
          <w:tcPr>
            <w:tcW w:w="2394" w:type="dxa"/>
            <w:shd w:val="clear" w:color="auto" w:fill="FFFFFF" w:themeFill="background1"/>
          </w:tcPr>
          <w:p w14:paraId="6BD0F755" w14:textId="77777777" w:rsidR="00730A4B" w:rsidRPr="00EC6C19" w:rsidRDefault="005841D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Higher</w:t>
            </w:r>
          </w:p>
        </w:tc>
        <w:tc>
          <w:tcPr>
            <w:tcW w:w="2394" w:type="dxa"/>
            <w:shd w:val="clear" w:color="auto" w:fill="FFFFFF" w:themeFill="background1"/>
          </w:tcPr>
          <w:p w14:paraId="4AAD5816" w14:textId="77777777" w:rsidR="00730A4B" w:rsidRPr="00EC6C19" w:rsidRDefault="005841DA" w:rsidP="0066656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Increase</w:t>
            </w:r>
          </w:p>
        </w:tc>
      </w:tr>
    </w:tbl>
    <w:p w14:paraId="1AE7B70D" w14:textId="77777777" w:rsidR="00211D94" w:rsidRPr="00EC6C19" w:rsidRDefault="00211D94" w:rsidP="004209DA">
      <w:pPr>
        <w:spacing w:line="360" w:lineRule="auto"/>
        <w:rPr>
          <w:rFonts w:ascii="Times New Roman" w:hAnsi="Times New Roman" w:cs="Times New Roman"/>
          <w:sz w:val="24"/>
          <w:szCs w:val="24"/>
        </w:rPr>
      </w:pPr>
    </w:p>
    <w:p w14:paraId="46663594" w14:textId="77777777" w:rsidR="00CB72B2" w:rsidRPr="008630EC" w:rsidRDefault="008630EC" w:rsidP="008630EC">
      <w:pPr>
        <w:pStyle w:val="Caption"/>
        <w:spacing w:line="360" w:lineRule="auto"/>
        <w:rPr>
          <w:rFonts w:ascii="Times New Roman" w:hAnsi="Times New Roman" w:cs="Times New Roman"/>
          <w:b w:val="0"/>
          <w:i/>
          <w:color w:val="auto"/>
          <w:sz w:val="24"/>
          <w:szCs w:val="24"/>
        </w:rPr>
      </w:pPr>
      <w:bookmarkStart w:id="155" w:name="_Toc44962591"/>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15</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Anticipated Direction of Change. </w:t>
      </w:r>
      <w:r w:rsidR="005841DA" w:rsidRPr="008630EC">
        <w:rPr>
          <w:rFonts w:ascii="Times New Roman" w:hAnsi="Times New Roman" w:cs="Times New Roman"/>
          <w:b w:val="0"/>
          <w:i/>
          <w:color w:val="auto"/>
          <w:sz w:val="24"/>
          <w:szCs w:val="24"/>
        </w:rPr>
        <w:t>This is the expected direction of change</w:t>
      </w:r>
      <w:r w:rsidR="0066656C" w:rsidRPr="008630EC">
        <w:rPr>
          <w:rFonts w:ascii="Times New Roman" w:hAnsi="Times New Roman" w:cs="Times New Roman"/>
          <w:b w:val="0"/>
          <w:i/>
          <w:color w:val="auto"/>
          <w:sz w:val="24"/>
          <w:szCs w:val="24"/>
        </w:rPr>
        <w:t xml:space="preserve"> and is allocated a positive delta value</w:t>
      </w:r>
      <w:r w:rsidR="005841DA" w:rsidRPr="008630EC">
        <w:rPr>
          <w:rFonts w:ascii="Times New Roman" w:hAnsi="Times New Roman" w:cs="Times New Roman"/>
          <w:b w:val="0"/>
          <w:i/>
          <w:color w:val="auto"/>
          <w:sz w:val="24"/>
          <w:szCs w:val="24"/>
        </w:rPr>
        <w:t>.</w:t>
      </w:r>
      <w:bookmarkEnd w:id="155"/>
    </w:p>
    <w:p w14:paraId="5A225005" w14:textId="77777777" w:rsidR="006E04BF" w:rsidRDefault="006E04BF" w:rsidP="0022110B">
      <w:pPr>
        <w:spacing w:line="360" w:lineRule="auto"/>
        <w:rPr>
          <w:rFonts w:ascii="Times New Roman" w:hAnsi="Times New Roman" w:cs="Times New Roman"/>
          <w:b/>
          <w:sz w:val="24"/>
          <w:szCs w:val="24"/>
        </w:rPr>
      </w:pPr>
    </w:p>
    <w:p w14:paraId="7164C72D" w14:textId="77777777" w:rsidR="00CE002A" w:rsidRDefault="00CE002A" w:rsidP="0022110B">
      <w:pPr>
        <w:spacing w:line="360" w:lineRule="auto"/>
        <w:rPr>
          <w:rFonts w:ascii="Times New Roman" w:hAnsi="Times New Roman" w:cs="Times New Roman"/>
          <w:b/>
          <w:sz w:val="24"/>
          <w:szCs w:val="24"/>
        </w:rPr>
      </w:pPr>
    </w:p>
    <w:p w14:paraId="4239F0C0" w14:textId="77777777" w:rsidR="0022110B" w:rsidRPr="006E04BF" w:rsidRDefault="006E04BF" w:rsidP="006E04BF">
      <w:pPr>
        <w:pStyle w:val="Heading3"/>
        <w:rPr>
          <w:rFonts w:ascii="Times New Roman" w:hAnsi="Times New Roman" w:cs="Times New Roman"/>
          <w:b w:val="0"/>
          <w:i/>
          <w:color w:val="auto"/>
          <w:sz w:val="24"/>
          <w:szCs w:val="24"/>
        </w:rPr>
      </w:pPr>
      <w:bookmarkStart w:id="156" w:name="_Toc80302253"/>
      <w:r w:rsidRPr="006E04BF">
        <w:rPr>
          <w:rFonts w:ascii="Times New Roman" w:hAnsi="Times New Roman" w:cs="Times New Roman"/>
          <w:b w:val="0"/>
          <w:i/>
          <w:color w:val="auto"/>
          <w:sz w:val="24"/>
          <w:szCs w:val="24"/>
        </w:rPr>
        <w:lastRenderedPageBreak/>
        <w:t>3.1</w:t>
      </w:r>
      <w:r>
        <w:rPr>
          <w:rFonts w:ascii="Times New Roman" w:hAnsi="Times New Roman" w:cs="Times New Roman"/>
          <w:b w:val="0"/>
          <w:i/>
          <w:color w:val="auto"/>
          <w:sz w:val="24"/>
          <w:szCs w:val="24"/>
        </w:rPr>
        <w:t>6.2</w:t>
      </w:r>
      <w:r w:rsidRPr="006E04BF">
        <w:rPr>
          <w:rFonts w:ascii="Times New Roman" w:hAnsi="Times New Roman" w:cs="Times New Roman"/>
          <w:b w:val="0"/>
          <w:i/>
          <w:color w:val="auto"/>
          <w:sz w:val="24"/>
          <w:szCs w:val="24"/>
        </w:rPr>
        <w:t xml:space="preserve"> - </w:t>
      </w:r>
      <w:r w:rsidR="0022110B" w:rsidRPr="006E04BF">
        <w:rPr>
          <w:rFonts w:ascii="Times New Roman" w:hAnsi="Times New Roman" w:cs="Times New Roman"/>
          <w:b w:val="0"/>
          <w:i/>
          <w:color w:val="auto"/>
          <w:sz w:val="24"/>
          <w:szCs w:val="24"/>
        </w:rPr>
        <w:t>Pd/Pa</w:t>
      </w:r>
      <w:bookmarkEnd w:id="156"/>
    </w:p>
    <w:p w14:paraId="43D5C2B4" w14:textId="77777777" w:rsidR="00CB72B2" w:rsidRPr="00EC6C19" w:rsidRDefault="00CB72B2" w:rsidP="0022110B">
      <w:pPr>
        <w:spacing w:line="360" w:lineRule="auto"/>
        <w:rPr>
          <w:rFonts w:ascii="Times New Roman" w:hAnsi="Times New Roman" w:cs="Times New Roman"/>
          <w:b/>
          <w:sz w:val="24"/>
          <w:szCs w:val="24"/>
        </w:rPr>
      </w:pPr>
    </w:p>
    <w:p w14:paraId="7A9B3BC5" w14:textId="4D4D39B4" w:rsidR="0066656C" w:rsidRPr="00EC6C19" w:rsidRDefault="00581416" w:rsidP="0022110B">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Prone versus supine data from </w:t>
      </w:r>
      <w:r w:rsidR="00CB72B2" w:rsidRPr="00EC6C19">
        <w:rPr>
          <w:rFonts w:ascii="Times New Roman" w:hAnsi="Times New Roman" w:cs="Times New Roman"/>
          <w:sz w:val="24"/>
          <w:szCs w:val="24"/>
        </w:rPr>
        <w:t>all</w:t>
      </w:r>
      <w:r w:rsidR="0022110B" w:rsidRPr="00EC6C19">
        <w:rPr>
          <w:rFonts w:ascii="Times New Roman" w:hAnsi="Times New Roman" w:cs="Times New Roman"/>
          <w:sz w:val="24"/>
          <w:szCs w:val="24"/>
        </w:rPr>
        <w:t xml:space="preserve"> Pd/Pa measurements is </w:t>
      </w:r>
      <w:r w:rsidR="0022110B" w:rsidRPr="008630EC">
        <w:rPr>
          <w:rFonts w:ascii="Times New Roman" w:hAnsi="Times New Roman" w:cs="Times New Roman"/>
          <w:sz w:val="24"/>
          <w:szCs w:val="24"/>
        </w:rPr>
        <w:t>presented</w:t>
      </w:r>
      <w:r w:rsidR="00CB72B2" w:rsidRPr="008630EC">
        <w:rPr>
          <w:rFonts w:ascii="Times New Roman" w:hAnsi="Times New Roman" w:cs="Times New Roman"/>
          <w:sz w:val="24"/>
          <w:szCs w:val="24"/>
        </w:rPr>
        <w:t xml:space="preserve"> table </w:t>
      </w:r>
      <w:r w:rsidR="008630EC" w:rsidRPr="008630EC">
        <w:rPr>
          <w:rFonts w:ascii="Times New Roman" w:hAnsi="Times New Roman" w:cs="Times New Roman"/>
          <w:sz w:val="24"/>
          <w:szCs w:val="24"/>
        </w:rPr>
        <w:t>16</w:t>
      </w:r>
      <w:r w:rsidRPr="008630EC">
        <w:rPr>
          <w:rFonts w:ascii="Times New Roman" w:hAnsi="Times New Roman" w:cs="Times New Roman"/>
          <w:sz w:val="24"/>
          <w:szCs w:val="24"/>
        </w:rPr>
        <w:t>.</w:t>
      </w:r>
      <w:r w:rsidR="006B72EE" w:rsidRPr="008630EC">
        <w:rPr>
          <w:rFonts w:ascii="Times New Roman" w:hAnsi="Times New Roman" w:cs="Times New Roman"/>
          <w:sz w:val="24"/>
          <w:szCs w:val="24"/>
        </w:rPr>
        <w:t xml:space="preserve"> The mean delta</w:t>
      </w:r>
      <w:r w:rsidR="006B72EE" w:rsidRPr="00EC6C19">
        <w:rPr>
          <w:rFonts w:ascii="Times New Roman" w:hAnsi="Times New Roman" w:cs="Times New Roman"/>
          <w:sz w:val="24"/>
          <w:szCs w:val="24"/>
        </w:rPr>
        <w:t xml:space="preserve"> change between positions was 0.05 (p &lt; 0.0001).</w:t>
      </w:r>
      <w:r w:rsidR="006B72EE" w:rsidRPr="00EC6C19">
        <w:rPr>
          <w:rFonts w:ascii="Times New Roman" w:hAnsi="Times New Roman" w:cs="Times New Roman"/>
          <w:color w:val="FF0000"/>
          <w:sz w:val="24"/>
          <w:szCs w:val="24"/>
        </w:rPr>
        <w:t xml:space="preserve"> </w:t>
      </w:r>
      <w:r w:rsidR="00CF249E" w:rsidRPr="00CF249E">
        <w:rPr>
          <w:rFonts w:ascii="Times New Roman" w:hAnsi="Times New Roman" w:cs="Times New Roman"/>
          <w:sz w:val="24"/>
          <w:szCs w:val="24"/>
        </w:rPr>
        <w:t>Figure 33</w:t>
      </w:r>
      <w:r w:rsidRPr="00CF249E">
        <w:rPr>
          <w:rFonts w:ascii="Times New Roman" w:hAnsi="Times New Roman" w:cs="Times New Roman"/>
          <w:sz w:val="24"/>
          <w:szCs w:val="24"/>
        </w:rPr>
        <w:t xml:space="preserve"> shows</w:t>
      </w:r>
      <w:r w:rsidRPr="00EC6C19">
        <w:rPr>
          <w:rFonts w:ascii="Times New Roman" w:hAnsi="Times New Roman" w:cs="Times New Roman"/>
          <w:sz w:val="24"/>
          <w:szCs w:val="24"/>
        </w:rPr>
        <w:t xml:space="preserve"> superior versus inferior artery position</w:t>
      </w:r>
      <w:r w:rsidR="0068514C" w:rsidRPr="00EC6C19">
        <w:rPr>
          <w:rFonts w:ascii="Times New Roman" w:hAnsi="Times New Roman" w:cs="Times New Roman"/>
          <w:sz w:val="24"/>
          <w:szCs w:val="24"/>
        </w:rPr>
        <w:t xml:space="preserve"> Pd/Pa across all vessels</w:t>
      </w:r>
      <w:r w:rsidRPr="00EC6C19">
        <w:rPr>
          <w:rFonts w:ascii="Times New Roman" w:hAnsi="Times New Roman" w:cs="Times New Roman"/>
          <w:sz w:val="24"/>
          <w:szCs w:val="24"/>
        </w:rPr>
        <w:t xml:space="preserve">. One cannot compare prone and supine positions across all vessels simultaneously, as some are inferior when prone and some superior when prone (and vice versa). Superior position is expected to produce lower </w:t>
      </w:r>
      <w:r w:rsidR="00A03101" w:rsidRPr="00EC6C19">
        <w:rPr>
          <w:rFonts w:ascii="Times New Roman" w:hAnsi="Times New Roman" w:cs="Times New Roman"/>
          <w:sz w:val="24"/>
          <w:szCs w:val="24"/>
        </w:rPr>
        <w:t>pressure</w:t>
      </w:r>
      <w:r w:rsidR="00A03101">
        <w:rPr>
          <w:rFonts w:ascii="Times New Roman" w:hAnsi="Times New Roman" w:cs="Times New Roman"/>
          <w:sz w:val="24"/>
          <w:szCs w:val="24"/>
        </w:rPr>
        <w:t>-</w:t>
      </w:r>
      <w:r w:rsidRPr="00EC6C19">
        <w:rPr>
          <w:rFonts w:ascii="Times New Roman" w:hAnsi="Times New Roman" w:cs="Times New Roman"/>
          <w:sz w:val="24"/>
          <w:szCs w:val="24"/>
        </w:rPr>
        <w:t xml:space="preserve">based values. </w:t>
      </w:r>
      <w:r w:rsidR="0022110B" w:rsidRPr="00EC6C19">
        <w:rPr>
          <w:rFonts w:ascii="Times New Roman" w:hAnsi="Times New Roman" w:cs="Times New Roman"/>
          <w:sz w:val="24"/>
          <w:szCs w:val="24"/>
        </w:rPr>
        <w:t xml:space="preserve"> </w:t>
      </w:r>
    </w:p>
    <w:p w14:paraId="3050E03D" w14:textId="77777777" w:rsidR="0068514C" w:rsidRPr="00EC6C19" w:rsidRDefault="007F1334" w:rsidP="0022110B">
      <w:pPr>
        <w:spacing w:line="360" w:lineRule="auto"/>
        <w:rPr>
          <w:rFonts w:ascii="Times New Roman" w:hAnsi="Times New Roman" w:cs="Times New Roman"/>
          <w:sz w:val="24"/>
          <w:szCs w:val="24"/>
        </w:rPr>
      </w:pPr>
      <w:r w:rsidRPr="00EC6C19">
        <w:rPr>
          <w:rFonts w:ascii="Times New Roman" w:hAnsi="Times New Roman" w:cs="Times New Roman"/>
          <w:sz w:val="24"/>
          <w:szCs w:val="24"/>
        </w:rPr>
        <w:t>Mean s</w:t>
      </w:r>
      <w:r w:rsidR="0068514C" w:rsidRPr="00EC6C19">
        <w:rPr>
          <w:rFonts w:ascii="Times New Roman" w:hAnsi="Times New Roman" w:cs="Times New Roman"/>
          <w:sz w:val="24"/>
          <w:szCs w:val="24"/>
        </w:rPr>
        <w:t>uperior vs. inferior Pd/Pa was 0.91 vs. 0.96 respectively (p &lt;</w:t>
      </w:r>
      <w:r w:rsidRPr="00EC6C19">
        <w:rPr>
          <w:rFonts w:ascii="Times New Roman" w:hAnsi="Times New Roman" w:cs="Times New Roman"/>
          <w:sz w:val="24"/>
          <w:szCs w:val="24"/>
        </w:rPr>
        <w:t xml:space="preserve"> 0.001). </w:t>
      </w:r>
      <w:r w:rsidR="006B72EE" w:rsidRPr="00EC6C19">
        <w:rPr>
          <w:rFonts w:ascii="Times New Roman" w:hAnsi="Times New Roman" w:cs="Times New Roman"/>
          <w:sz w:val="24"/>
          <w:szCs w:val="24"/>
        </w:rPr>
        <w:t>Each group of arteries was also</w:t>
      </w:r>
      <w:r w:rsidR="0068514C" w:rsidRPr="00EC6C19">
        <w:rPr>
          <w:rFonts w:ascii="Times New Roman" w:hAnsi="Times New Roman" w:cs="Times New Roman"/>
          <w:sz w:val="24"/>
          <w:szCs w:val="24"/>
        </w:rPr>
        <w:t xml:space="preserve"> statistically significant (p &lt;0.05).</w:t>
      </w:r>
    </w:p>
    <w:p w14:paraId="0DA1ADFF" w14:textId="77777777" w:rsidR="000B5BA3" w:rsidRPr="00EC6C19" w:rsidRDefault="000B5BA3" w:rsidP="0022110B">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1908"/>
        <w:gridCol w:w="1873"/>
        <w:gridCol w:w="1913"/>
        <w:gridCol w:w="1920"/>
        <w:gridCol w:w="1746"/>
      </w:tblGrid>
      <w:tr w:rsidR="00935A4C" w:rsidRPr="00EC6C19" w14:paraId="54ACF44D" w14:textId="77777777" w:rsidTr="00935A4C">
        <w:trPr>
          <w:trHeight w:val="1083"/>
        </w:trPr>
        <w:tc>
          <w:tcPr>
            <w:tcW w:w="1940" w:type="dxa"/>
            <w:tcBorders>
              <w:top w:val="single" w:sz="4" w:space="0" w:color="auto"/>
              <w:bottom w:val="single" w:sz="18" w:space="0" w:color="000000" w:themeColor="text1"/>
              <w:right w:val="single" w:sz="4" w:space="0" w:color="auto"/>
            </w:tcBorders>
            <w:shd w:val="clear" w:color="auto" w:fill="F2F2F2" w:themeFill="background1" w:themeFillShade="F2"/>
          </w:tcPr>
          <w:p w14:paraId="7ABAB660"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Vessel (n)</w:t>
            </w:r>
          </w:p>
          <w:p w14:paraId="67F37DC7" w14:textId="77777777" w:rsidR="00CB72B2" w:rsidRPr="006A361A" w:rsidRDefault="00CB72B2" w:rsidP="00935A4C">
            <w:pPr>
              <w:spacing w:line="360" w:lineRule="auto"/>
              <w:jc w:val="center"/>
              <w:rPr>
                <w:rFonts w:ascii="Times New Roman" w:hAnsi="Times New Roman" w:cs="Times New Roman"/>
                <w:sz w:val="24"/>
                <w:szCs w:val="24"/>
              </w:rPr>
            </w:pPr>
          </w:p>
        </w:tc>
        <w:tc>
          <w:tcPr>
            <w:tcW w:w="1929" w:type="dxa"/>
            <w:tcBorders>
              <w:top w:val="single" w:sz="4" w:space="0" w:color="auto"/>
              <w:left w:val="single" w:sz="4" w:space="0" w:color="auto"/>
              <w:bottom w:val="single" w:sz="18" w:space="0" w:color="000000" w:themeColor="text1"/>
            </w:tcBorders>
            <w:shd w:val="clear" w:color="auto" w:fill="F2F2F2" w:themeFill="background1" w:themeFillShade="F2"/>
          </w:tcPr>
          <w:p w14:paraId="032D33B5" w14:textId="5FD6600A"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Prone Pd/Pa Mean (</w:t>
            </w:r>
            <w:r w:rsidR="00D97E85">
              <w:rPr>
                <w:rFonts w:ascii="Times New Roman" w:hAnsi="Times New Roman" w:cs="Times New Roman"/>
                <w:sz w:val="24"/>
                <w:szCs w:val="24"/>
              </w:rPr>
              <w:t>±</w:t>
            </w:r>
            <w:r w:rsidRPr="006A361A">
              <w:rPr>
                <w:rFonts w:ascii="Times New Roman" w:hAnsi="Times New Roman" w:cs="Times New Roman"/>
                <w:sz w:val="24"/>
                <w:szCs w:val="24"/>
              </w:rPr>
              <w:t>SD)</w:t>
            </w:r>
          </w:p>
        </w:tc>
        <w:tc>
          <w:tcPr>
            <w:tcW w:w="1950" w:type="dxa"/>
            <w:tcBorders>
              <w:top w:val="single" w:sz="4" w:space="0" w:color="auto"/>
              <w:bottom w:val="single" w:sz="18" w:space="0" w:color="000000" w:themeColor="text1"/>
            </w:tcBorders>
            <w:shd w:val="clear" w:color="auto" w:fill="F2F2F2" w:themeFill="background1" w:themeFillShade="F2"/>
          </w:tcPr>
          <w:p w14:paraId="78255641" w14:textId="1DB604FE"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Supine Pd/Pa Mean (</w:t>
            </w:r>
            <w:r w:rsidR="00D97E85">
              <w:rPr>
                <w:rFonts w:ascii="Times New Roman" w:hAnsi="Times New Roman" w:cs="Times New Roman"/>
                <w:sz w:val="24"/>
                <w:szCs w:val="24"/>
              </w:rPr>
              <w:t>±</w:t>
            </w:r>
            <w:r w:rsidRPr="006A361A">
              <w:rPr>
                <w:rFonts w:ascii="Times New Roman" w:hAnsi="Times New Roman" w:cs="Times New Roman"/>
                <w:sz w:val="24"/>
                <w:szCs w:val="24"/>
              </w:rPr>
              <w:t xml:space="preserve"> SD)</w:t>
            </w:r>
          </w:p>
        </w:tc>
        <w:tc>
          <w:tcPr>
            <w:tcW w:w="1972" w:type="dxa"/>
            <w:tcBorders>
              <w:top w:val="single" w:sz="4" w:space="0" w:color="auto"/>
              <w:bottom w:val="single" w:sz="18" w:space="0" w:color="000000" w:themeColor="text1"/>
            </w:tcBorders>
            <w:shd w:val="clear" w:color="auto" w:fill="F2F2F2" w:themeFill="background1" w:themeFillShade="F2"/>
          </w:tcPr>
          <w:p w14:paraId="4B6B01F6" w14:textId="26AB8768" w:rsidR="00935A4C"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Delta Change Mean (</w:t>
            </w:r>
            <w:r w:rsidR="00A03101">
              <w:rPr>
                <w:rFonts w:ascii="Times New Roman" w:hAnsi="Times New Roman" w:cs="Times New Roman"/>
                <w:sz w:val="24"/>
                <w:szCs w:val="24"/>
              </w:rPr>
              <w:t>±</w:t>
            </w:r>
            <w:r w:rsidRPr="006A361A">
              <w:rPr>
                <w:rFonts w:ascii="Times New Roman" w:hAnsi="Times New Roman" w:cs="Times New Roman"/>
                <w:sz w:val="24"/>
                <w:szCs w:val="24"/>
              </w:rPr>
              <w:t>SD)</w:t>
            </w:r>
          </w:p>
        </w:tc>
        <w:tc>
          <w:tcPr>
            <w:tcW w:w="1785" w:type="dxa"/>
            <w:tcBorders>
              <w:top w:val="single" w:sz="4" w:space="0" w:color="auto"/>
              <w:bottom w:val="single" w:sz="18" w:space="0" w:color="000000" w:themeColor="text1"/>
            </w:tcBorders>
            <w:shd w:val="clear" w:color="auto" w:fill="F2F2F2" w:themeFill="background1" w:themeFillShade="F2"/>
          </w:tcPr>
          <w:p w14:paraId="63371EFE"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P Value</w:t>
            </w:r>
          </w:p>
        </w:tc>
      </w:tr>
      <w:tr w:rsidR="00CB72B2" w:rsidRPr="00EC6C19" w14:paraId="726974A4" w14:textId="77777777" w:rsidTr="00935A4C">
        <w:tc>
          <w:tcPr>
            <w:tcW w:w="1940" w:type="dxa"/>
            <w:tcBorders>
              <w:top w:val="single" w:sz="18" w:space="0" w:color="000000" w:themeColor="text1"/>
              <w:right w:val="single" w:sz="4" w:space="0" w:color="auto"/>
            </w:tcBorders>
          </w:tcPr>
          <w:p w14:paraId="0A251BBF" w14:textId="77777777" w:rsidR="00CB72B2" w:rsidRPr="00EC6C19" w:rsidRDefault="00CB72B2" w:rsidP="00935A4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 (10)</w:t>
            </w:r>
          </w:p>
          <w:p w14:paraId="4CA625D5" w14:textId="77777777" w:rsidR="00CB72B2" w:rsidRPr="00EC6C19" w:rsidRDefault="00CB72B2" w:rsidP="00935A4C">
            <w:pPr>
              <w:spacing w:line="360" w:lineRule="auto"/>
              <w:jc w:val="center"/>
              <w:rPr>
                <w:rFonts w:ascii="Times New Roman" w:hAnsi="Times New Roman" w:cs="Times New Roman"/>
                <w:sz w:val="24"/>
                <w:szCs w:val="24"/>
              </w:rPr>
            </w:pPr>
          </w:p>
        </w:tc>
        <w:tc>
          <w:tcPr>
            <w:tcW w:w="1929" w:type="dxa"/>
            <w:tcBorders>
              <w:top w:val="single" w:sz="18" w:space="0" w:color="000000" w:themeColor="text1"/>
              <w:left w:val="single" w:sz="4" w:space="0" w:color="auto"/>
            </w:tcBorders>
            <w:shd w:val="clear" w:color="auto" w:fill="FFFFFF" w:themeFill="background1"/>
          </w:tcPr>
          <w:p w14:paraId="1D06461B"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0.96 (0.07)</w:t>
            </w:r>
          </w:p>
        </w:tc>
        <w:tc>
          <w:tcPr>
            <w:tcW w:w="1950" w:type="dxa"/>
            <w:tcBorders>
              <w:top w:val="single" w:sz="18" w:space="0" w:color="000000" w:themeColor="text1"/>
            </w:tcBorders>
            <w:shd w:val="clear" w:color="auto" w:fill="FFFFFF" w:themeFill="background1"/>
          </w:tcPr>
          <w:p w14:paraId="14BC389A"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0.88 (0.09)</w:t>
            </w:r>
          </w:p>
        </w:tc>
        <w:tc>
          <w:tcPr>
            <w:tcW w:w="1972" w:type="dxa"/>
            <w:tcBorders>
              <w:top w:val="single" w:sz="18" w:space="0" w:color="000000" w:themeColor="text1"/>
            </w:tcBorders>
            <w:shd w:val="clear" w:color="auto" w:fill="FFFFFF" w:themeFill="background1"/>
          </w:tcPr>
          <w:p w14:paraId="13D427AB"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0.08 (0.04)</w:t>
            </w:r>
          </w:p>
        </w:tc>
        <w:tc>
          <w:tcPr>
            <w:tcW w:w="1785" w:type="dxa"/>
            <w:tcBorders>
              <w:top w:val="single" w:sz="18" w:space="0" w:color="000000" w:themeColor="text1"/>
              <w:right w:val="nil"/>
            </w:tcBorders>
            <w:shd w:val="clear" w:color="auto" w:fill="FFFFFF" w:themeFill="background1"/>
          </w:tcPr>
          <w:p w14:paraId="4D0275AE" w14:textId="4F529963"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0.0006</w:t>
            </w:r>
          </w:p>
        </w:tc>
      </w:tr>
      <w:tr w:rsidR="00CB72B2" w:rsidRPr="00EC6C19" w14:paraId="3F3C2E85" w14:textId="77777777" w:rsidTr="00935A4C">
        <w:tc>
          <w:tcPr>
            <w:tcW w:w="1940" w:type="dxa"/>
            <w:tcBorders>
              <w:right w:val="single" w:sz="4" w:space="0" w:color="auto"/>
            </w:tcBorders>
          </w:tcPr>
          <w:p w14:paraId="52ACAF03" w14:textId="77777777" w:rsidR="00CB72B2" w:rsidRPr="00EC6C19" w:rsidRDefault="00CB72B2" w:rsidP="00935A4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Circumflex (7)</w:t>
            </w:r>
          </w:p>
          <w:p w14:paraId="45C2F49C" w14:textId="77777777" w:rsidR="00CB72B2" w:rsidRPr="00EC6C19" w:rsidRDefault="00CB72B2" w:rsidP="00935A4C">
            <w:pPr>
              <w:spacing w:line="360" w:lineRule="auto"/>
              <w:jc w:val="center"/>
              <w:rPr>
                <w:rFonts w:ascii="Times New Roman" w:hAnsi="Times New Roman" w:cs="Times New Roman"/>
                <w:sz w:val="24"/>
                <w:szCs w:val="24"/>
              </w:rPr>
            </w:pPr>
          </w:p>
        </w:tc>
        <w:tc>
          <w:tcPr>
            <w:tcW w:w="1929" w:type="dxa"/>
            <w:tcBorders>
              <w:left w:val="single" w:sz="4" w:space="0" w:color="auto"/>
            </w:tcBorders>
            <w:shd w:val="clear" w:color="auto" w:fill="FFFFFF" w:themeFill="background1"/>
          </w:tcPr>
          <w:p w14:paraId="632EDB70"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0.93 (0.03)</w:t>
            </w:r>
          </w:p>
        </w:tc>
        <w:tc>
          <w:tcPr>
            <w:tcW w:w="1950" w:type="dxa"/>
            <w:shd w:val="clear" w:color="auto" w:fill="FFFFFF" w:themeFill="background1"/>
          </w:tcPr>
          <w:p w14:paraId="17A53E91"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0.98 (0.02)</w:t>
            </w:r>
          </w:p>
        </w:tc>
        <w:tc>
          <w:tcPr>
            <w:tcW w:w="1972" w:type="dxa"/>
            <w:shd w:val="clear" w:color="auto" w:fill="FFFFFF" w:themeFill="background1"/>
          </w:tcPr>
          <w:p w14:paraId="395E0336" w14:textId="63379129" w:rsidR="00CB72B2" w:rsidRPr="006A361A" w:rsidRDefault="00DA50F0" w:rsidP="00935A4C">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en-GB"/>
              </w:rPr>
              <mc:AlternateContent>
                <mc:Choice Requires="wps">
                  <w:drawing>
                    <wp:anchor distT="0" distB="0" distL="114300" distR="114300" simplePos="0" relativeHeight="251688960" behindDoc="0" locked="0" layoutInCell="1" allowOverlap="1" wp14:anchorId="65C8BB9E" wp14:editId="7F39CF83">
                      <wp:simplePos x="0" y="0"/>
                      <wp:positionH relativeFrom="column">
                        <wp:posOffset>1145540</wp:posOffset>
                      </wp:positionH>
                      <wp:positionV relativeFrom="paragraph">
                        <wp:posOffset>740410</wp:posOffset>
                      </wp:positionV>
                      <wp:extent cx="200025" cy="1076325"/>
                      <wp:effectExtent l="0" t="0" r="28575" b="28575"/>
                      <wp:wrapNone/>
                      <wp:docPr id="110" name="Right Brace 1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200025" cy="10763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199EEB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10" o:spid="_x0000_s1026" type="#_x0000_t88" alt="&quot;&quot;" style="position:absolute;margin-left:90.2pt;margin-top:58.3pt;width:15.75pt;height:84.7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" adj="334" strokecolor="black [3040]"/>
                  </w:pict>
                </mc:Fallback>
              </mc:AlternateContent>
            </w:r>
            <w:r w:rsidR="00CB72B2" w:rsidRPr="006A361A">
              <w:rPr>
                <w:rFonts w:ascii="Times New Roman" w:hAnsi="Times New Roman" w:cs="Times New Roman"/>
                <w:sz w:val="24"/>
                <w:szCs w:val="24"/>
              </w:rPr>
              <w:t>0.05 (0.04)</w:t>
            </w:r>
          </w:p>
        </w:tc>
        <w:tc>
          <w:tcPr>
            <w:tcW w:w="1785" w:type="dxa"/>
            <w:tcBorders>
              <w:right w:val="nil"/>
            </w:tcBorders>
            <w:shd w:val="clear" w:color="auto" w:fill="FFFFFF" w:themeFill="background1"/>
          </w:tcPr>
          <w:p w14:paraId="66AE13D8" w14:textId="52061B4F"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0.009</w:t>
            </w:r>
          </w:p>
        </w:tc>
      </w:tr>
      <w:tr w:rsidR="00CB72B2" w:rsidRPr="00EC6C19" w14:paraId="25489C5A" w14:textId="77777777" w:rsidTr="00935A4C">
        <w:tc>
          <w:tcPr>
            <w:tcW w:w="1940" w:type="dxa"/>
            <w:tcBorders>
              <w:right w:val="single" w:sz="4" w:space="0" w:color="auto"/>
            </w:tcBorders>
          </w:tcPr>
          <w:p w14:paraId="02D1711F" w14:textId="77777777" w:rsidR="00CB72B2" w:rsidRPr="00EC6C19" w:rsidRDefault="00CB72B2" w:rsidP="00935A4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RCA-PDA(2)</w:t>
            </w:r>
          </w:p>
          <w:p w14:paraId="37ED6CB5" w14:textId="77777777" w:rsidR="00CB72B2" w:rsidRPr="00EC6C19" w:rsidRDefault="00CB72B2" w:rsidP="00935A4C">
            <w:pPr>
              <w:spacing w:line="360" w:lineRule="auto"/>
              <w:jc w:val="center"/>
              <w:rPr>
                <w:rFonts w:ascii="Times New Roman" w:hAnsi="Times New Roman" w:cs="Times New Roman"/>
                <w:sz w:val="24"/>
                <w:szCs w:val="24"/>
              </w:rPr>
            </w:pPr>
          </w:p>
        </w:tc>
        <w:tc>
          <w:tcPr>
            <w:tcW w:w="1929" w:type="dxa"/>
            <w:tcBorders>
              <w:left w:val="single" w:sz="4" w:space="0" w:color="auto"/>
            </w:tcBorders>
            <w:shd w:val="clear" w:color="auto" w:fill="FFFFFF" w:themeFill="background1"/>
          </w:tcPr>
          <w:p w14:paraId="2A70294F"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0.93 (0.03)</w:t>
            </w:r>
          </w:p>
        </w:tc>
        <w:tc>
          <w:tcPr>
            <w:tcW w:w="1950" w:type="dxa"/>
            <w:shd w:val="clear" w:color="auto" w:fill="FFFFFF" w:themeFill="background1"/>
          </w:tcPr>
          <w:p w14:paraId="2BED861B"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0.91(0.06)</w:t>
            </w:r>
          </w:p>
        </w:tc>
        <w:tc>
          <w:tcPr>
            <w:tcW w:w="1972" w:type="dxa"/>
            <w:shd w:val="clear" w:color="auto" w:fill="FFFFFF" w:themeFill="background1"/>
          </w:tcPr>
          <w:p w14:paraId="523E7B72"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0.02 (0.02)</w:t>
            </w:r>
          </w:p>
        </w:tc>
        <w:tc>
          <w:tcPr>
            <w:tcW w:w="1785" w:type="dxa"/>
            <w:vMerge w:val="restart"/>
            <w:tcBorders>
              <w:right w:val="nil"/>
            </w:tcBorders>
            <w:shd w:val="clear" w:color="auto" w:fill="FFFFFF" w:themeFill="background1"/>
          </w:tcPr>
          <w:p w14:paraId="5D311DB9" w14:textId="77777777" w:rsidR="00DA50F0" w:rsidRDefault="00DA50F0" w:rsidP="00935A4C">
            <w:pPr>
              <w:spacing w:line="360" w:lineRule="auto"/>
              <w:jc w:val="center"/>
              <w:rPr>
                <w:rFonts w:ascii="Times New Roman" w:hAnsi="Times New Roman" w:cs="Times New Roman"/>
                <w:sz w:val="24"/>
                <w:szCs w:val="24"/>
              </w:rPr>
            </w:pPr>
          </w:p>
          <w:p w14:paraId="4212A2C0" w14:textId="5555F1FB" w:rsidR="00CB72B2" w:rsidRPr="006A361A" w:rsidRDefault="00DA50F0" w:rsidP="00935A4C">
            <w:pPr>
              <w:spacing w:line="360" w:lineRule="auto"/>
              <w:jc w:val="center"/>
              <w:rPr>
                <w:rFonts w:ascii="Times New Roman" w:hAnsi="Times New Roman" w:cs="Times New Roman"/>
                <w:sz w:val="24"/>
                <w:szCs w:val="24"/>
              </w:rPr>
            </w:pPr>
            <w:r>
              <w:rPr>
                <w:rFonts w:ascii="Times New Roman" w:hAnsi="Times New Roman" w:cs="Times New Roman"/>
                <w:sz w:val="24"/>
                <w:szCs w:val="24"/>
              </w:rPr>
              <w:t>0.032</w:t>
            </w:r>
          </w:p>
          <w:p w14:paraId="5FFA6D86" w14:textId="5B7C9466" w:rsidR="00CB72B2" w:rsidRPr="006A361A" w:rsidRDefault="00CB72B2" w:rsidP="00DA50F0">
            <w:pPr>
              <w:spacing w:line="360" w:lineRule="auto"/>
              <w:rPr>
                <w:rFonts w:ascii="Times New Roman" w:hAnsi="Times New Roman" w:cs="Times New Roman"/>
                <w:sz w:val="24"/>
                <w:szCs w:val="24"/>
              </w:rPr>
            </w:pPr>
          </w:p>
        </w:tc>
      </w:tr>
      <w:tr w:rsidR="00CB72B2" w:rsidRPr="00EC6C19" w14:paraId="63DBF64E" w14:textId="77777777" w:rsidTr="00935A4C">
        <w:tc>
          <w:tcPr>
            <w:tcW w:w="1940" w:type="dxa"/>
            <w:tcBorders>
              <w:right w:val="single" w:sz="4" w:space="0" w:color="auto"/>
            </w:tcBorders>
          </w:tcPr>
          <w:p w14:paraId="6DA2E708" w14:textId="77777777" w:rsidR="00CB72B2" w:rsidRPr="00EC6C19" w:rsidRDefault="00CB72B2" w:rsidP="00935A4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RCA-PLV (4)</w:t>
            </w:r>
          </w:p>
          <w:p w14:paraId="1D8622E8" w14:textId="77777777" w:rsidR="00CB72B2" w:rsidRPr="00EC6C19" w:rsidRDefault="00CB72B2" w:rsidP="00935A4C">
            <w:pPr>
              <w:spacing w:line="360" w:lineRule="auto"/>
              <w:jc w:val="center"/>
              <w:rPr>
                <w:rFonts w:ascii="Times New Roman" w:hAnsi="Times New Roman" w:cs="Times New Roman"/>
                <w:sz w:val="24"/>
                <w:szCs w:val="24"/>
              </w:rPr>
            </w:pPr>
          </w:p>
        </w:tc>
        <w:tc>
          <w:tcPr>
            <w:tcW w:w="1929" w:type="dxa"/>
            <w:tcBorders>
              <w:left w:val="single" w:sz="4" w:space="0" w:color="auto"/>
              <w:bottom w:val="nil"/>
            </w:tcBorders>
            <w:shd w:val="clear" w:color="auto" w:fill="FFFFFF" w:themeFill="background1"/>
          </w:tcPr>
          <w:p w14:paraId="3DF5E1A4"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0.91 (0.07)</w:t>
            </w:r>
          </w:p>
        </w:tc>
        <w:tc>
          <w:tcPr>
            <w:tcW w:w="1950" w:type="dxa"/>
            <w:tcBorders>
              <w:bottom w:val="nil"/>
            </w:tcBorders>
            <w:shd w:val="clear" w:color="auto" w:fill="FFFFFF" w:themeFill="background1"/>
          </w:tcPr>
          <w:p w14:paraId="1CDE35BC"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0.98 (0.02)</w:t>
            </w:r>
          </w:p>
        </w:tc>
        <w:tc>
          <w:tcPr>
            <w:tcW w:w="1972" w:type="dxa"/>
            <w:tcBorders>
              <w:bottom w:val="nil"/>
            </w:tcBorders>
            <w:shd w:val="clear" w:color="auto" w:fill="FFFFFF" w:themeFill="background1"/>
          </w:tcPr>
          <w:p w14:paraId="13C02905"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0.07 (0.05)</w:t>
            </w:r>
          </w:p>
        </w:tc>
        <w:tc>
          <w:tcPr>
            <w:tcW w:w="1785" w:type="dxa"/>
            <w:vMerge/>
            <w:tcBorders>
              <w:bottom w:val="nil"/>
              <w:right w:val="nil"/>
            </w:tcBorders>
            <w:shd w:val="clear" w:color="auto" w:fill="FFFFFF" w:themeFill="background1"/>
          </w:tcPr>
          <w:p w14:paraId="4DF24F60" w14:textId="77777777" w:rsidR="00CB72B2" w:rsidRPr="006A361A" w:rsidRDefault="00CB72B2" w:rsidP="00935A4C">
            <w:pPr>
              <w:spacing w:line="360" w:lineRule="auto"/>
              <w:jc w:val="center"/>
              <w:rPr>
                <w:rFonts w:ascii="Times New Roman" w:hAnsi="Times New Roman" w:cs="Times New Roman"/>
                <w:i/>
                <w:sz w:val="24"/>
                <w:szCs w:val="24"/>
              </w:rPr>
            </w:pPr>
          </w:p>
        </w:tc>
      </w:tr>
      <w:tr w:rsidR="00CB72B2" w:rsidRPr="00EC6C19" w14:paraId="61D7C1A6" w14:textId="77777777" w:rsidTr="00935A4C">
        <w:tc>
          <w:tcPr>
            <w:tcW w:w="1940" w:type="dxa"/>
            <w:tcBorders>
              <w:bottom w:val="single" w:sz="4" w:space="0" w:color="auto"/>
              <w:right w:val="single" w:sz="4" w:space="0" w:color="auto"/>
            </w:tcBorders>
          </w:tcPr>
          <w:p w14:paraId="088505C6" w14:textId="2E4DD998" w:rsidR="00CB72B2" w:rsidRPr="00EC6C19" w:rsidRDefault="00CB72B2" w:rsidP="00935A4C">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All</w:t>
            </w:r>
            <w:r w:rsidR="003B4C4A" w:rsidRPr="00EC6C19">
              <w:rPr>
                <w:rFonts w:ascii="Times New Roman" w:hAnsi="Times New Roman" w:cs="Times New Roman"/>
                <w:sz w:val="24"/>
                <w:szCs w:val="24"/>
              </w:rPr>
              <w:t xml:space="preserve"> (</w:t>
            </w:r>
            <w:r w:rsidR="00D97E85">
              <w:rPr>
                <w:rFonts w:ascii="Times New Roman" w:hAnsi="Times New Roman" w:cs="Times New Roman"/>
                <w:sz w:val="24"/>
                <w:szCs w:val="24"/>
              </w:rPr>
              <w:t>±</w:t>
            </w:r>
            <w:r w:rsidR="003B4C4A" w:rsidRPr="00EC6C19">
              <w:rPr>
                <w:rFonts w:ascii="Times New Roman" w:hAnsi="Times New Roman" w:cs="Times New Roman"/>
                <w:sz w:val="24"/>
                <w:szCs w:val="24"/>
              </w:rPr>
              <w:t xml:space="preserve"> SD)</w:t>
            </w:r>
            <w:r w:rsidRPr="00EC6C19">
              <w:rPr>
                <w:rFonts w:ascii="Times New Roman" w:hAnsi="Times New Roman" w:cs="Times New Roman"/>
                <w:sz w:val="24"/>
                <w:szCs w:val="24"/>
              </w:rPr>
              <w:t xml:space="preserve"> (23)</w:t>
            </w:r>
          </w:p>
          <w:p w14:paraId="723B44EF" w14:textId="77777777" w:rsidR="00CB72B2" w:rsidRPr="00EC6C19" w:rsidRDefault="00CB72B2" w:rsidP="00935A4C">
            <w:pPr>
              <w:spacing w:line="360" w:lineRule="auto"/>
              <w:jc w:val="center"/>
              <w:rPr>
                <w:rFonts w:ascii="Times New Roman" w:hAnsi="Times New Roman" w:cs="Times New Roman"/>
                <w:sz w:val="24"/>
                <w:szCs w:val="24"/>
              </w:rPr>
            </w:pPr>
          </w:p>
        </w:tc>
        <w:tc>
          <w:tcPr>
            <w:tcW w:w="1929" w:type="dxa"/>
            <w:tcBorders>
              <w:left w:val="single" w:sz="4" w:space="0" w:color="auto"/>
              <w:bottom w:val="single" w:sz="4" w:space="0" w:color="auto"/>
            </w:tcBorders>
            <w:shd w:val="clear" w:color="auto" w:fill="FFFFFF" w:themeFill="background1"/>
          </w:tcPr>
          <w:p w14:paraId="66D07404"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w:t>
            </w:r>
          </w:p>
        </w:tc>
        <w:tc>
          <w:tcPr>
            <w:tcW w:w="1950" w:type="dxa"/>
            <w:tcBorders>
              <w:bottom w:val="single" w:sz="4" w:space="0" w:color="auto"/>
            </w:tcBorders>
            <w:shd w:val="clear" w:color="auto" w:fill="FFFFFF" w:themeFill="background1"/>
          </w:tcPr>
          <w:p w14:paraId="65FFAC92"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w:t>
            </w:r>
          </w:p>
        </w:tc>
        <w:tc>
          <w:tcPr>
            <w:tcW w:w="1972" w:type="dxa"/>
            <w:tcBorders>
              <w:bottom w:val="single" w:sz="4" w:space="0" w:color="auto"/>
            </w:tcBorders>
            <w:shd w:val="clear" w:color="auto" w:fill="FFFFFF" w:themeFill="background1"/>
          </w:tcPr>
          <w:p w14:paraId="1C8C4531" w14:textId="77777777"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0.05</w:t>
            </w:r>
            <w:r w:rsidR="003B4C4A" w:rsidRPr="006A361A">
              <w:rPr>
                <w:rFonts w:ascii="Times New Roman" w:hAnsi="Times New Roman" w:cs="Times New Roman"/>
                <w:sz w:val="24"/>
                <w:szCs w:val="24"/>
              </w:rPr>
              <w:t xml:space="preserve"> (0.04)</w:t>
            </w:r>
          </w:p>
        </w:tc>
        <w:tc>
          <w:tcPr>
            <w:tcW w:w="1785" w:type="dxa"/>
            <w:tcBorders>
              <w:bottom w:val="single" w:sz="4" w:space="0" w:color="auto"/>
              <w:right w:val="nil"/>
            </w:tcBorders>
            <w:shd w:val="clear" w:color="auto" w:fill="FFFFFF" w:themeFill="background1"/>
          </w:tcPr>
          <w:p w14:paraId="4C472EB5" w14:textId="18E987A9" w:rsidR="00CB72B2" w:rsidRPr="006A361A" w:rsidRDefault="00CB72B2" w:rsidP="00935A4C">
            <w:pPr>
              <w:spacing w:line="360" w:lineRule="auto"/>
              <w:jc w:val="center"/>
              <w:rPr>
                <w:rFonts w:ascii="Times New Roman" w:hAnsi="Times New Roman" w:cs="Times New Roman"/>
                <w:sz w:val="24"/>
                <w:szCs w:val="24"/>
              </w:rPr>
            </w:pPr>
            <w:r w:rsidRPr="006A361A">
              <w:rPr>
                <w:rFonts w:ascii="Times New Roman" w:hAnsi="Times New Roman" w:cs="Times New Roman"/>
                <w:sz w:val="24"/>
                <w:szCs w:val="24"/>
              </w:rPr>
              <w:t>&lt;0.0001</w:t>
            </w:r>
          </w:p>
        </w:tc>
      </w:tr>
    </w:tbl>
    <w:p w14:paraId="2D2CECB9" w14:textId="77777777" w:rsidR="00CB72B2" w:rsidRPr="00EC6C19" w:rsidRDefault="00CB72B2" w:rsidP="00CB72B2">
      <w:pPr>
        <w:spacing w:line="360" w:lineRule="auto"/>
        <w:rPr>
          <w:rFonts w:ascii="Times New Roman" w:hAnsi="Times New Roman" w:cs="Times New Roman"/>
          <w:i/>
          <w:sz w:val="24"/>
          <w:szCs w:val="24"/>
        </w:rPr>
      </w:pPr>
    </w:p>
    <w:p w14:paraId="2F8252DE" w14:textId="77777777" w:rsidR="00CB72B2" w:rsidRPr="008630EC" w:rsidRDefault="008630EC" w:rsidP="008630EC">
      <w:pPr>
        <w:pStyle w:val="Caption"/>
        <w:spacing w:line="360" w:lineRule="auto"/>
        <w:rPr>
          <w:rFonts w:ascii="Times New Roman" w:hAnsi="Times New Roman" w:cs="Times New Roman"/>
          <w:b w:val="0"/>
          <w:i/>
          <w:color w:val="auto"/>
          <w:sz w:val="24"/>
          <w:szCs w:val="24"/>
        </w:rPr>
      </w:pPr>
      <w:bookmarkStart w:id="157" w:name="_Toc44962592"/>
      <w:r w:rsidRPr="008630EC">
        <w:rPr>
          <w:rFonts w:ascii="Times New Roman" w:hAnsi="Times New Roman" w:cs="Times New Roman"/>
          <w:b w:val="0"/>
          <w:i/>
          <w:color w:val="auto"/>
          <w:sz w:val="24"/>
          <w:szCs w:val="24"/>
        </w:rPr>
        <w:lastRenderedPageBreak/>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16</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Prone vs. Supine Pd/Pa. P</w:t>
      </w:r>
      <w:r w:rsidR="00CB72B2" w:rsidRPr="008630EC">
        <w:rPr>
          <w:rFonts w:ascii="Times New Roman" w:hAnsi="Times New Roman" w:cs="Times New Roman"/>
          <w:b w:val="0"/>
          <w:i/>
          <w:color w:val="auto"/>
          <w:sz w:val="24"/>
          <w:szCs w:val="24"/>
        </w:rPr>
        <w:t xml:space="preserve">rone mean Pd/Pa and supine mean Pd/Pa with delta change and standard deviation. </w:t>
      </w:r>
      <w:bookmarkEnd w:id="157"/>
    </w:p>
    <w:p w14:paraId="35B1EA70" w14:textId="77777777" w:rsidR="00CB72B2" w:rsidRPr="00EC6C19" w:rsidRDefault="00CB72B2" w:rsidP="007A003E">
      <w:pPr>
        <w:spacing w:line="360" w:lineRule="auto"/>
        <w:jc w:val="center"/>
        <w:rPr>
          <w:rFonts w:ascii="Times New Roman" w:hAnsi="Times New Roman" w:cs="Times New Roman"/>
          <w:i/>
          <w:sz w:val="24"/>
          <w:szCs w:val="24"/>
        </w:rPr>
      </w:pPr>
      <w:r w:rsidRPr="00EC6C19">
        <w:rPr>
          <w:rFonts w:ascii="Times New Roman" w:hAnsi="Times New Roman" w:cs="Times New Roman"/>
          <w:i/>
          <w:noProof/>
          <w:sz w:val="24"/>
          <w:szCs w:val="24"/>
          <w:lang w:eastAsia="en-GB"/>
        </w:rPr>
        <w:drawing>
          <wp:inline distT="0" distB="0" distL="0" distR="0" wp14:anchorId="7FC6CBE0" wp14:editId="0888499D">
            <wp:extent cx="5943600" cy="5043650"/>
            <wp:effectExtent l="0" t="0" r="0" b="0"/>
            <wp:docPr id="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57B91B9" w14:textId="77777777" w:rsidR="00CB72B2" w:rsidRPr="00CF249E" w:rsidRDefault="00CF249E" w:rsidP="00CF249E">
      <w:pPr>
        <w:pStyle w:val="Caption"/>
        <w:spacing w:line="360" w:lineRule="auto"/>
        <w:rPr>
          <w:rFonts w:ascii="Times New Roman" w:hAnsi="Times New Roman" w:cs="Times New Roman"/>
          <w:b w:val="0"/>
          <w:i/>
          <w:color w:val="auto"/>
          <w:sz w:val="24"/>
          <w:szCs w:val="24"/>
        </w:rPr>
      </w:pPr>
      <w:bookmarkStart w:id="158" w:name="_Toc44684922"/>
      <w:r w:rsidRPr="00CF249E">
        <w:rPr>
          <w:rFonts w:ascii="Times New Roman" w:hAnsi="Times New Roman" w:cs="Times New Roman"/>
          <w:b w:val="0"/>
          <w:i/>
          <w:color w:val="auto"/>
          <w:sz w:val="24"/>
          <w:szCs w:val="24"/>
        </w:rPr>
        <w:t xml:space="preserve">Figure </w:t>
      </w:r>
      <w:r w:rsidR="00106A32" w:rsidRPr="00CF249E">
        <w:rPr>
          <w:rFonts w:ascii="Times New Roman" w:hAnsi="Times New Roman" w:cs="Times New Roman"/>
          <w:b w:val="0"/>
          <w:i/>
          <w:color w:val="auto"/>
          <w:sz w:val="24"/>
          <w:szCs w:val="24"/>
        </w:rPr>
        <w:fldChar w:fldCharType="begin"/>
      </w:r>
      <w:r w:rsidRPr="00CF249E">
        <w:rPr>
          <w:rFonts w:ascii="Times New Roman" w:hAnsi="Times New Roman" w:cs="Times New Roman"/>
          <w:b w:val="0"/>
          <w:i/>
          <w:color w:val="auto"/>
          <w:sz w:val="24"/>
          <w:szCs w:val="24"/>
        </w:rPr>
        <w:instrText xml:space="preserve"> SEQ Figure \* ARABIC </w:instrText>
      </w:r>
      <w:r w:rsidR="00106A32" w:rsidRPr="00CF249E">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33</w:t>
      </w:r>
      <w:r w:rsidR="00106A32" w:rsidRPr="00CF249E">
        <w:rPr>
          <w:rFonts w:ascii="Times New Roman" w:hAnsi="Times New Roman" w:cs="Times New Roman"/>
          <w:b w:val="0"/>
          <w:i/>
          <w:color w:val="auto"/>
          <w:sz w:val="24"/>
          <w:szCs w:val="24"/>
        </w:rPr>
        <w:fldChar w:fldCharType="end"/>
      </w:r>
      <w:r w:rsidRPr="00CF249E">
        <w:rPr>
          <w:rFonts w:ascii="Times New Roman" w:hAnsi="Times New Roman" w:cs="Times New Roman"/>
          <w:b w:val="0"/>
          <w:i/>
          <w:color w:val="auto"/>
          <w:sz w:val="24"/>
          <w:szCs w:val="24"/>
        </w:rPr>
        <w:t xml:space="preserve"> - Pd/Pa of Superior vs. Inferior artery position. </w:t>
      </w:r>
      <w:r w:rsidR="0061168F" w:rsidRPr="00CF249E">
        <w:rPr>
          <w:rFonts w:ascii="Times New Roman" w:hAnsi="Times New Roman" w:cs="Times New Roman"/>
          <w:b w:val="0"/>
          <w:i/>
          <w:color w:val="auto"/>
          <w:sz w:val="24"/>
          <w:szCs w:val="24"/>
        </w:rPr>
        <w:t>Mean values are in red. The results are statistically significant. (p&lt;0.05).</w:t>
      </w:r>
      <w:bookmarkEnd w:id="158"/>
    </w:p>
    <w:p w14:paraId="7092212C" w14:textId="77777777" w:rsidR="00CB72B2" w:rsidRPr="00EC6C19" w:rsidRDefault="00CB72B2" w:rsidP="0022110B">
      <w:pPr>
        <w:spacing w:line="360" w:lineRule="auto"/>
        <w:rPr>
          <w:rFonts w:ascii="Times New Roman" w:hAnsi="Times New Roman" w:cs="Times New Roman"/>
          <w:sz w:val="24"/>
          <w:szCs w:val="24"/>
        </w:rPr>
      </w:pPr>
    </w:p>
    <w:p w14:paraId="310F9351" w14:textId="77777777" w:rsidR="00223998" w:rsidRPr="00EC6C19" w:rsidRDefault="00223998" w:rsidP="0022110B">
      <w:pPr>
        <w:spacing w:line="360" w:lineRule="auto"/>
        <w:rPr>
          <w:rFonts w:ascii="Times New Roman" w:hAnsi="Times New Roman" w:cs="Times New Roman"/>
          <w:sz w:val="24"/>
          <w:szCs w:val="24"/>
        </w:rPr>
      </w:pPr>
      <w:r w:rsidRPr="00EC6C19">
        <w:rPr>
          <w:rFonts w:ascii="Times New Roman" w:hAnsi="Times New Roman" w:cs="Times New Roman"/>
          <w:sz w:val="24"/>
          <w:szCs w:val="24"/>
        </w:rPr>
        <w:t>Data grouped per artery is shown below.</w:t>
      </w:r>
    </w:p>
    <w:p w14:paraId="3D93477E" w14:textId="77777777" w:rsidR="00CB72B2" w:rsidRDefault="00CB72B2" w:rsidP="0022110B">
      <w:pPr>
        <w:spacing w:line="360" w:lineRule="auto"/>
        <w:rPr>
          <w:rFonts w:ascii="Times New Roman" w:hAnsi="Times New Roman" w:cs="Times New Roman"/>
          <w:sz w:val="24"/>
          <w:szCs w:val="24"/>
        </w:rPr>
      </w:pPr>
    </w:p>
    <w:p w14:paraId="562A8809" w14:textId="77777777" w:rsidR="00CE002A" w:rsidRPr="00EC6C19" w:rsidRDefault="00CE002A" w:rsidP="0022110B">
      <w:pPr>
        <w:spacing w:line="360" w:lineRule="auto"/>
        <w:rPr>
          <w:rFonts w:ascii="Times New Roman" w:hAnsi="Times New Roman" w:cs="Times New Roman"/>
          <w:sz w:val="24"/>
          <w:szCs w:val="24"/>
        </w:rPr>
      </w:pPr>
    </w:p>
    <w:p w14:paraId="38B1A440" w14:textId="77777777" w:rsidR="004209DA" w:rsidRPr="00EC6C19" w:rsidRDefault="00833414" w:rsidP="004209DA">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lastRenderedPageBreak/>
        <w:t>L</w:t>
      </w:r>
      <w:r w:rsidR="00DC728E" w:rsidRPr="00EC6C19">
        <w:rPr>
          <w:rFonts w:ascii="Times New Roman" w:hAnsi="Times New Roman" w:cs="Times New Roman"/>
          <w:i/>
          <w:sz w:val="24"/>
          <w:szCs w:val="24"/>
        </w:rPr>
        <w:t>eft Anterior Descending Artery</w:t>
      </w:r>
      <w:r w:rsidRPr="00EC6C19">
        <w:rPr>
          <w:rFonts w:ascii="Times New Roman" w:hAnsi="Times New Roman" w:cs="Times New Roman"/>
          <w:i/>
          <w:sz w:val="24"/>
          <w:szCs w:val="24"/>
        </w:rPr>
        <w:t xml:space="preserve"> Measurements</w:t>
      </w:r>
    </w:p>
    <w:p w14:paraId="11F70312" w14:textId="77777777" w:rsidR="0026539C" w:rsidRPr="00EC6C19" w:rsidRDefault="0026539C" w:rsidP="004209DA">
      <w:pPr>
        <w:spacing w:line="360" w:lineRule="auto"/>
        <w:rPr>
          <w:rFonts w:ascii="Times New Roman" w:hAnsi="Times New Roman" w:cs="Times New Roman"/>
          <w:i/>
          <w:sz w:val="24"/>
          <w:szCs w:val="24"/>
          <w:u w:val="single"/>
        </w:rPr>
      </w:pPr>
    </w:p>
    <w:p w14:paraId="4C3D7885" w14:textId="77777777" w:rsidR="0066656C" w:rsidRPr="00EC6C19" w:rsidRDefault="003B4D5A" w:rsidP="004209DA">
      <w:pPr>
        <w:spacing w:line="360" w:lineRule="auto"/>
        <w:rPr>
          <w:rFonts w:ascii="Times New Roman" w:hAnsi="Times New Roman" w:cs="Times New Roman"/>
          <w:sz w:val="24"/>
          <w:szCs w:val="24"/>
        </w:rPr>
      </w:pPr>
      <w:r w:rsidRPr="008630EC">
        <w:rPr>
          <w:rFonts w:ascii="Times New Roman" w:hAnsi="Times New Roman" w:cs="Times New Roman"/>
          <w:sz w:val="24"/>
          <w:szCs w:val="24"/>
        </w:rPr>
        <w:t xml:space="preserve">Table </w:t>
      </w:r>
      <w:r w:rsidR="008630EC" w:rsidRPr="008630EC">
        <w:rPr>
          <w:rFonts w:ascii="Times New Roman" w:hAnsi="Times New Roman" w:cs="Times New Roman"/>
          <w:sz w:val="24"/>
          <w:szCs w:val="24"/>
        </w:rPr>
        <w:t>17</w:t>
      </w:r>
      <w:r w:rsidR="00D43074" w:rsidRPr="008630EC">
        <w:rPr>
          <w:rFonts w:ascii="Times New Roman" w:hAnsi="Times New Roman" w:cs="Times New Roman"/>
          <w:sz w:val="24"/>
          <w:szCs w:val="24"/>
        </w:rPr>
        <w:t xml:space="preserve"> and</w:t>
      </w:r>
      <w:r w:rsidR="00D43074" w:rsidRPr="00CF249E">
        <w:rPr>
          <w:rFonts w:ascii="Times New Roman" w:hAnsi="Times New Roman" w:cs="Times New Roman"/>
          <w:sz w:val="24"/>
          <w:szCs w:val="24"/>
        </w:rPr>
        <w:t xml:space="preserve"> figure </w:t>
      </w:r>
      <w:r w:rsidR="00CF249E" w:rsidRPr="00CF249E">
        <w:rPr>
          <w:rFonts w:ascii="Times New Roman" w:hAnsi="Times New Roman" w:cs="Times New Roman"/>
          <w:sz w:val="24"/>
          <w:szCs w:val="24"/>
        </w:rPr>
        <w:t>34</w:t>
      </w:r>
      <w:r w:rsidR="00D43074" w:rsidRPr="00CF249E">
        <w:rPr>
          <w:rFonts w:ascii="Times New Roman" w:hAnsi="Times New Roman" w:cs="Times New Roman"/>
          <w:sz w:val="24"/>
          <w:szCs w:val="24"/>
        </w:rPr>
        <w:t xml:space="preserve"> show</w:t>
      </w:r>
      <w:r w:rsidR="0026539C" w:rsidRPr="00CF249E">
        <w:rPr>
          <w:rFonts w:ascii="Times New Roman" w:hAnsi="Times New Roman" w:cs="Times New Roman"/>
          <w:sz w:val="24"/>
          <w:szCs w:val="24"/>
        </w:rPr>
        <w:t xml:space="preserve"> Pd/Pa in all cases of LAD stenosis. </w:t>
      </w:r>
      <w:r w:rsidR="0068514C" w:rsidRPr="00CF249E">
        <w:rPr>
          <w:rFonts w:ascii="Times New Roman" w:hAnsi="Times New Roman" w:cs="Times New Roman"/>
          <w:sz w:val="24"/>
          <w:szCs w:val="24"/>
        </w:rPr>
        <w:t>Prone Pd/Pa</w:t>
      </w:r>
      <w:r w:rsidR="0068514C" w:rsidRPr="00EC6C19">
        <w:rPr>
          <w:rFonts w:ascii="Times New Roman" w:hAnsi="Times New Roman" w:cs="Times New Roman"/>
          <w:sz w:val="24"/>
          <w:szCs w:val="24"/>
        </w:rPr>
        <w:t xml:space="preserve"> was 0.96 vs. 0.88 when supine. </w:t>
      </w:r>
      <w:r w:rsidR="0026539C" w:rsidRPr="00EC6C19">
        <w:rPr>
          <w:rFonts w:ascii="Times New Roman" w:hAnsi="Times New Roman" w:cs="Times New Roman"/>
          <w:sz w:val="24"/>
          <w:szCs w:val="24"/>
        </w:rPr>
        <w:t xml:space="preserve">The </w:t>
      </w:r>
      <w:r w:rsidR="0068514C" w:rsidRPr="00EC6C19">
        <w:rPr>
          <w:rFonts w:ascii="Times New Roman" w:hAnsi="Times New Roman" w:cs="Times New Roman"/>
          <w:sz w:val="24"/>
          <w:szCs w:val="24"/>
        </w:rPr>
        <w:t>mean difference of 0.08 was</w:t>
      </w:r>
      <w:r w:rsidR="00DB7635" w:rsidRPr="00EC6C19">
        <w:rPr>
          <w:rFonts w:ascii="Times New Roman" w:hAnsi="Times New Roman" w:cs="Times New Roman"/>
          <w:sz w:val="24"/>
          <w:szCs w:val="24"/>
        </w:rPr>
        <w:t xml:space="preserve"> </w:t>
      </w:r>
      <w:r w:rsidR="0026539C" w:rsidRPr="00EC6C19">
        <w:rPr>
          <w:rFonts w:ascii="Times New Roman" w:hAnsi="Times New Roman" w:cs="Times New Roman"/>
          <w:sz w:val="24"/>
          <w:szCs w:val="24"/>
        </w:rPr>
        <w:t>statistically significant (p</w:t>
      </w:r>
      <w:r w:rsidR="00DB7635" w:rsidRPr="00EC6C19">
        <w:rPr>
          <w:rFonts w:ascii="Times New Roman" w:hAnsi="Times New Roman" w:cs="Times New Roman"/>
          <w:sz w:val="24"/>
          <w:szCs w:val="24"/>
        </w:rPr>
        <w:t>=0.0006</w:t>
      </w:r>
      <w:r w:rsidR="0026539C" w:rsidRPr="00EC6C19">
        <w:rPr>
          <w:rFonts w:ascii="Times New Roman" w:hAnsi="Times New Roman" w:cs="Times New Roman"/>
          <w:sz w:val="24"/>
          <w:szCs w:val="24"/>
        </w:rPr>
        <w:t>)</w:t>
      </w:r>
    </w:p>
    <w:p w14:paraId="6D455BE2" w14:textId="77777777" w:rsidR="0068514C" w:rsidRPr="00EC6C19" w:rsidRDefault="0068514C" w:rsidP="004209DA">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1944"/>
        <w:gridCol w:w="1874"/>
        <w:gridCol w:w="1910"/>
        <w:gridCol w:w="1934"/>
        <w:gridCol w:w="1698"/>
      </w:tblGrid>
      <w:tr w:rsidR="00E72611" w:rsidRPr="00EC6C19" w14:paraId="041B9343" w14:textId="77777777" w:rsidTr="00581416">
        <w:tc>
          <w:tcPr>
            <w:tcW w:w="1985" w:type="dxa"/>
            <w:tcBorders>
              <w:bottom w:val="single" w:sz="18" w:space="0" w:color="000000" w:themeColor="text1"/>
            </w:tcBorders>
            <w:shd w:val="clear" w:color="auto" w:fill="F2F2F2" w:themeFill="background1" w:themeFillShade="F2"/>
          </w:tcPr>
          <w:p w14:paraId="18E2D794" w14:textId="77777777" w:rsidR="00E72611" w:rsidRPr="00EC6C19" w:rsidRDefault="00E7261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p w14:paraId="51750096" w14:textId="77777777" w:rsidR="00E72611" w:rsidRPr="00EC6C19" w:rsidRDefault="00E72611" w:rsidP="007C06E1">
            <w:pPr>
              <w:spacing w:line="360" w:lineRule="auto"/>
              <w:jc w:val="center"/>
              <w:rPr>
                <w:rFonts w:ascii="Times New Roman" w:hAnsi="Times New Roman" w:cs="Times New Roman"/>
                <w:sz w:val="24"/>
                <w:szCs w:val="24"/>
              </w:rPr>
            </w:pPr>
          </w:p>
        </w:tc>
        <w:tc>
          <w:tcPr>
            <w:tcW w:w="1922" w:type="dxa"/>
            <w:tcBorders>
              <w:bottom w:val="single" w:sz="18" w:space="0" w:color="000000" w:themeColor="text1"/>
            </w:tcBorders>
            <w:shd w:val="clear" w:color="auto" w:fill="F2F2F2" w:themeFill="background1" w:themeFillShade="F2"/>
          </w:tcPr>
          <w:p w14:paraId="10A460B3" w14:textId="77777777" w:rsidR="00E72611" w:rsidRPr="00EC6C19" w:rsidRDefault="00E7261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Prone Pd/Pa</w:t>
            </w:r>
          </w:p>
        </w:tc>
        <w:tc>
          <w:tcPr>
            <w:tcW w:w="1956" w:type="dxa"/>
            <w:tcBorders>
              <w:bottom w:val="single" w:sz="18" w:space="0" w:color="000000" w:themeColor="text1"/>
            </w:tcBorders>
            <w:shd w:val="clear" w:color="auto" w:fill="F2F2F2" w:themeFill="background1" w:themeFillShade="F2"/>
          </w:tcPr>
          <w:p w14:paraId="0D1E5D37" w14:textId="77777777" w:rsidR="00E72611" w:rsidRPr="00EC6C19" w:rsidRDefault="00E7261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Supine Pd/Pa</w:t>
            </w:r>
          </w:p>
        </w:tc>
        <w:tc>
          <w:tcPr>
            <w:tcW w:w="1978" w:type="dxa"/>
            <w:tcBorders>
              <w:bottom w:val="single" w:sz="18" w:space="0" w:color="000000" w:themeColor="text1"/>
            </w:tcBorders>
            <w:shd w:val="clear" w:color="auto" w:fill="F2F2F2" w:themeFill="background1" w:themeFillShade="F2"/>
          </w:tcPr>
          <w:p w14:paraId="60EAC492" w14:textId="77777777" w:rsidR="00E72611" w:rsidRPr="00EC6C19" w:rsidRDefault="00E7261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Delta Change</w:t>
            </w:r>
          </w:p>
        </w:tc>
        <w:tc>
          <w:tcPr>
            <w:tcW w:w="1735" w:type="dxa"/>
            <w:tcBorders>
              <w:bottom w:val="single" w:sz="18" w:space="0" w:color="000000" w:themeColor="text1"/>
            </w:tcBorders>
            <w:shd w:val="clear" w:color="auto" w:fill="F2F2F2" w:themeFill="background1" w:themeFillShade="F2"/>
          </w:tcPr>
          <w:p w14:paraId="2983FAB8" w14:textId="77777777" w:rsidR="00E72611" w:rsidRPr="00EC6C19" w:rsidRDefault="00E72611" w:rsidP="007C06E1">
            <w:pPr>
              <w:spacing w:line="360" w:lineRule="auto"/>
              <w:jc w:val="center"/>
              <w:rPr>
                <w:rFonts w:ascii="Times New Roman" w:hAnsi="Times New Roman" w:cs="Times New Roman"/>
                <w:color w:val="F2F2F2" w:themeColor="background1" w:themeShade="F2"/>
                <w:sz w:val="24"/>
                <w:szCs w:val="24"/>
              </w:rPr>
            </w:pPr>
          </w:p>
          <w:p w14:paraId="47362AFA" w14:textId="77777777" w:rsidR="00E72611" w:rsidRPr="00EC6C19" w:rsidRDefault="00E72611" w:rsidP="007C06E1">
            <w:pPr>
              <w:spacing w:line="360" w:lineRule="auto"/>
              <w:jc w:val="center"/>
              <w:rPr>
                <w:rFonts w:ascii="Times New Roman" w:hAnsi="Times New Roman" w:cs="Times New Roman"/>
                <w:color w:val="F2F2F2" w:themeColor="background1" w:themeShade="F2"/>
                <w:sz w:val="24"/>
                <w:szCs w:val="24"/>
              </w:rPr>
            </w:pPr>
          </w:p>
        </w:tc>
      </w:tr>
      <w:tr w:rsidR="0066656C" w:rsidRPr="00EC6C19" w14:paraId="422DD4D5" w14:textId="77777777" w:rsidTr="00581416">
        <w:tc>
          <w:tcPr>
            <w:tcW w:w="1985" w:type="dxa"/>
            <w:tcBorders>
              <w:top w:val="single" w:sz="18" w:space="0" w:color="000000" w:themeColor="text1"/>
            </w:tcBorders>
            <w:shd w:val="clear" w:color="auto" w:fill="FFFFFF" w:themeFill="background1"/>
          </w:tcPr>
          <w:p w14:paraId="30ED2E08"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w:t>
            </w:r>
          </w:p>
          <w:p w14:paraId="160BC7B2" w14:textId="77777777" w:rsidR="0066656C" w:rsidRPr="00EC6C19" w:rsidRDefault="0066656C" w:rsidP="0021157D">
            <w:pPr>
              <w:spacing w:line="360" w:lineRule="auto"/>
              <w:jc w:val="center"/>
              <w:rPr>
                <w:rFonts w:ascii="Times New Roman" w:hAnsi="Times New Roman" w:cs="Times New Roman"/>
                <w:sz w:val="24"/>
                <w:szCs w:val="24"/>
              </w:rPr>
            </w:pPr>
          </w:p>
        </w:tc>
        <w:tc>
          <w:tcPr>
            <w:tcW w:w="1922" w:type="dxa"/>
            <w:tcBorders>
              <w:top w:val="single" w:sz="18" w:space="0" w:color="000000" w:themeColor="text1"/>
            </w:tcBorders>
            <w:shd w:val="clear" w:color="auto" w:fill="FFFFFF" w:themeFill="background1"/>
          </w:tcPr>
          <w:p w14:paraId="5CF8A286"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0.99</w:t>
            </w:r>
          </w:p>
        </w:tc>
        <w:tc>
          <w:tcPr>
            <w:tcW w:w="1956" w:type="dxa"/>
            <w:tcBorders>
              <w:top w:val="single" w:sz="18" w:space="0" w:color="000000" w:themeColor="text1"/>
            </w:tcBorders>
            <w:shd w:val="clear" w:color="auto" w:fill="FFFFFF" w:themeFill="background1"/>
          </w:tcPr>
          <w:p w14:paraId="497FC49F"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0.99</w:t>
            </w:r>
          </w:p>
        </w:tc>
        <w:tc>
          <w:tcPr>
            <w:tcW w:w="1978" w:type="dxa"/>
            <w:tcBorders>
              <w:top w:val="single" w:sz="18" w:space="0" w:color="000000" w:themeColor="text1"/>
            </w:tcBorders>
            <w:shd w:val="clear" w:color="auto" w:fill="FFFFFF" w:themeFill="background1"/>
          </w:tcPr>
          <w:p w14:paraId="45A6EEB7"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0.00</w:t>
            </w:r>
          </w:p>
        </w:tc>
        <w:tc>
          <w:tcPr>
            <w:tcW w:w="1735" w:type="dxa"/>
            <w:vMerge w:val="restart"/>
            <w:tcBorders>
              <w:top w:val="single" w:sz="18" w:space="0" w:color="000000" w:themeColor="text1"/>
            </w:tcBorders>
            <w:shd w:val="clear" w:color="auto" w:fill="FFFFFF" w:themeFill="background1"/>
          </w:tcPr>
          <w:p w14:paraId="3020ABFD" w14:textId="77777777" w:rsidR="0066656C" w:rsidRPr="00EC6C19" w:rsidRDefault="0066656C" w:rsidP="0021157D">
            <w:pPr>
              <w:spacing w:line="360" w:lineRule="auto"/>
              <w:jc w:val="center"/>
              <w:rPr>
                <w:rFonts w:ascii="Times New Roman" w:hAnsi="Times New Roman" w:cs="Times New Roman"/>
                <w:color w:val="FFFFFF" w:themeColor="background1"/>
                <w:sz w:val="24"/>
                <w:szCs w:val="24"/>
              </w:rPr>
            </w:pPr>
          </w:p>
          <w:p w14:paraId="7072C3A7" w14:textId="77777777" w:rsidR="0066656C" w:rsidRPr="00EC6C19" w:rsidRDefault="0066656C" w:rsidP="0021157D">
            <w:pPr>
              <w:spacing w:line="360" w:lineRule="auto"/>
              <w:jc w:val="center"/>
              <w:rPr>
                <w:rFonts w:ascii="Times New Roman" w:hAnsi="Times New Roman" w:cs="Times New Roman"/>
                <w:color w:val="FFFFFF" w:themeColor="background1"/>
                <w:sz w:val="24"/>
                <w:szCs w:val="24"/>
              </w:rPr>
            </w:pPr>
          </w:p>
          <w:p w14:paraId="7DC8C717" w14:textId="77777777" w:rsidR="0066656C" w:rsidRPr="00EC6C19" w:rsidRDefault="0066656C" w:rsidP="0021157D">
            <w:pPr>
              <w:spacing w:line="360" w:lineRule="auto"/>
              <w:jc w:val="center"/>
              <w:rPr>
                <w:rFonts w:ascii="Times New Roman" w:hAnsi="Times New Roman" w:cs="Times New Roman"/>
                <w:color w:val="FFFFFF" w:themeColor="background1"/>
                <w:sz w:val="24"/>
                <w:szCs w:val="24"/>
              </w:rPr>
            </w:pPr>
          </w:p>
          <w:p w14:paraId="1A8AAD13" w14:textId="77777777" w:rsidR="0066656C" w:rsidRPr="00EC6C19" w:rsidRDefault="0066656C" w:rsidP="0021157D">
            <w:pPr>
              <w:spacing w:line="360" w:lineRule="auto"/>
              <w:jc w:val="center"/>
              <w:rPr>
                <w:rFonts w:ascii="Times New Roman" w:hAnsi="Times New Roman" w:cs="Times New Roman"/>
                <w:color w:val="FFFFFF" w:themeColor="background1"/>
                <w:sz w:val="24"/>
                <w:szCs w:val="24"/>
              </w:rPr>
            </w:pPr>
          </w:p>
          <w:p w14:paraId="551E8526" w14:textId="77777777" w:rsidR="0066656C" w:rsidRPr="00EC6C19" w:rsidRDefault="0066656C" w:rsidP="0021157D">
            <w:pPr>
              <w:shd w:val="clear" w:color="auto" w:fill="FFFFFF" w:themeFill="background1"/>
              <w:spacing w:line="360" w:lineRule="auto"/>
              <w:jc w:val="center"/>
              <w:rPr>
                <w:rFonts w:ascii="Times New Roman" w:hAnsi="Times New Roman" w:cs="Times New Roman"/>
                <w:color w:val="FFFFFF" w:themeColor="background1"/>
                <w:sz w:val="24"/>
                <w:szCs w:val="24"/>
              </w:rPr>
            </w:pPr>
          </w:p>
          <w:p w14:paraId="0EE6D514" w14:textId="77777777" w:rsidR="0066656C" w:rsidRPr="00EC6C19" w:rsidRDefault="0066656C" w:rsidP="0021157D">
            <w:pPr>
              <w:shd w:val="clear" w:color="auto" w:fill="FFFFFF" w:themeFill="background1"/>
              <w:spacing w:line="360" w:lineRule="auto"/>
              <w:jc w:val="center"/>
              <w:rPr>
                <w:rFonts w:ascii="Times New Roman" w:hAnsi="Times New Roman" w:cs="Times New Roman"/>
                <w:color w:val="FFFFFF" w:themeColor="background1"/>
                <w:sz w:val="24"/>
                <w:szCs w:val="24"/>
              </w:rPr>
            </w:pPr>
          </w:p>
          <w:p w14:paraId="488924AD" w14:textId="77777777" w:rsidR="0066656C" w:rsidRPr="00EC6C19" w:rsidRDefault="0066656C" w:rsidP="0021157D">
            <w:pPr>
              <w:shd w:val="clear" w:color="auto" w:fill="FFFFFF" w:themeFill="background1"/>
              <w:spacing w:line="360" w:lineRule="auto"/>
              <w:jc w:val="center"/>
              <w:rPr>
                <w:rFonts w:ascii="Times New Roman" w:hAnsi="Times New Roman" w:cs="Times New Roman"/>
                <w:color w:val="FFFFFF" w:themeColor="background1"/>
                <w:sz w:val="24"/>
                <w:szCs w:val="24"/>
              </w:rPr>
            </w:pPr>
          </w:p>
          <w:p w14:paraId="5050D478" w14:textId="77777777" w:rsidR="0066656C" w:rsidRPr="00EC6C19" w:rsidRDefault="0066656C" w:rsidP="0021157D">
            <w:pPr>
              <w:shd w:val="clear" w:color="auto" w:fill="FFFFFF" w:themeFill="background1"/>
              <w:spacing w:line="360" w:lineRule="auto"/>
              <w:jc w:val="center"/>
              <w:rPr>
                <w:rFonts w:ascii="Times New Roman" w:hAnsi="Times New Roman" w:cs="Times New Roman"/>
                <w:color w:val="FFFFFF" w:themeColor="background1"/>
                <w:sz w:val="24"/>
                <w:szCs w:val="24"/>
              </w:rPr>
            </w:pPr>
          </w:p>
          <w:p w14:paraId="47F3CE58" w14:textId="77777777" w:rsidR="0066656C" w:rsidRPr="00EC6C19" w:rsidRDefault="0066656C" w:rsidP="0021157D">
            <w:pPr>
              <w:shd w:val="clear" w:color="auto" w:fill="FFFFFF" w:themeFill="background1"/>
              <w:spacing w:line="360" w:lineRule="auto"/>
              <w:jc w:val="center"/>
              <w:rPr>
                <w:rFonts w:ascii="Times New Roman" w:hAnsi="Times New Roman" w:cs="Times New Roman"/>
                <w:color w:val="FFFFFF" w:themeColor="background1"/>
                <w:sz w:val="24"/>
                <w:szCs w:val="24"/>
              </w:rPr>
            </w:pPr>
          </w:p>
          <w:p w14:paraId="6F3FDC22" w14:textId="77777777" w:rsidR="0066656C" w:rsidRPr="00EC6C19" w:rsidRDefault="0066656C" w:rsidP="0021157D">
            <w:pPr>
              <w:shd w:val="clear" w:color="auto" w:fill="FFFFFF" w:themeFill="background1"/>
              <w:spacing w:line="360" w:lineRule="auto"/>
              <w:jc w:val="center"/>
              <w:rPr>
                <w:rFonts w:ascii="Times New Roman" w:hAnsi="Times New Roman" w:cs="Times New Roman"/>
                <w:sz w:val="24"/>
                <w:szCs w:val="24"/>
              </w:rPr>
            </w:pPr>
          </w:p>
          <w:p w14:paraId="7FED0034" w14:textId="77777777" w:rsidR="0066656C" w:rsidRPr="00EC6C19" w:rsidRDefault="0066656C" w:rsidP="0021157D">
            <w:pPr>
              <w:shd w:val="clear" w:color="auto" w:fill="FFFFFF" w:themeFill="background1"/>
              <w:spacing w:line="360" w:lineRule="auto"/>
              <w:jc w:val="center"/>
              <w:rPr>
                <w:rFonts w:ascii="Times New Roman" w:hAnsi="Times New Roman" w:cs="Times New Roman"/>
                <w:sz w:val="24"/>
                <w:szCs w:val="24"/>
              </w:rPr>
            </w:pPr>
            <w:r w:rsidRPr="00EC6C19">
              <w:rPr>
                <w:rFonts w:ascii="Times New Roman" w:hAnsi="Times New Roman" w:cs="Times New Roman"/>
                <w:sz w:val="24"/>
                <w:szCs w:val="24"/>
                <w:shd w:val="clear" w:color="auto" w:fill="FFFFFF" w:themeFill="background1"/>
              </w:rPr>
              <w:t>P = 0.0006</w:t>
            </w:r>
          </w:p>
        </w:tc>
      </w:tr>
      <w:tr w:rsidR="0066656C" w:rsidRPr="00EC6C19" w14:paraId="6668CE88" w14:textId="77777777" w:rsidTr="0066656C">
        <w:tc>
          <w:tcPr>
            <w:tcW w:w="1985" w:type="dxa"/>
            <w:shd w:val="clear" w:color="auto" w:fill="FFFFFF" w:themeFill="background1"/>
          </w:tcPr>
          <w:p w14:paraId="734AD8A6"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4</w:t>
            </w:r>
          </w:p>
          <w:p w14:paraId="19666061" w14:textId="77777777" w:rsidR="0066656C" w:rsidRPr="00EC6C19" w:rsidRDefault="0066656C" w:rsidP="0021157D">
            <w:pPr>
              <w:spacing w:line="360" w:lineRule="auto"/>
              <w:jc w:val="center"/>
              <w:rPr>
                <w:rFonts w:ascii="Times New Roman" w:hAnsi="Times New Roman" w:cs="Times New Roman"/>
                <w:sz w:val="24"/>
                <w:szCs w:val="24"/>
              </w:rPr>
            </w:pPr>
          </w:p>
        </w:tc>
        <w:tc>
          <w:tcPr>
            <w:tcW w:w="1922" w:type="dxa"/>
            <w:shd w:val="clear" w:color="auto" w:fill="FFFFFF" w:themeFill="background1"/>
          </w:tcPr>
          <w:p w14:paraId="078C1753"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956" w:type="dxa"/>
            <w:shd w:val="clear" w:color="auto" w:fill="FFFFFF" w:themeFill="background1"/>
          </w:tcPr>
          <w:p w14:paraId="24677377"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0.87</w:t>
            </w:r>
          </w:p>
        </w:tc>
        <w:tc>
          <w:tcPr>
            <w:tcW w:w="1978" w:type="dxa"/>
            <w:shd w:val="clear" w:color="auto" w:fill="FFFFFF" w:themeFill="background1"/>
          </w:tcPr>
          <w:p w14:paraId="2FC56B6E"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0.10</w:t>
            </w:r>
          </w:p>
        </w:tc>
        <w:tc>
          <w:tcPr>
            <w:tcW w:w="1735" w:type="dxa"/>
            <w:vMerge/>
            <w:shd w:val="clear" w:color="auto" w:fill="FFFFFF" w:themeFill="background1"/>
          </w:tcPr>
          <w:p w14:paraId="43B73493" w14:textId="77777777" w:rsidR="0066656C" w:rsidRPr="00EC6C19" w:rsidRDefault="0066656C" w:rsidP="0021157D">
            <w:pPr>
              <w:spacing w:line="360" w:lineRule="auto"/>
              <w:jc w:val="center"/>
              <w:rPr>
                <w:rFonts w:ascii="Times New Roman" w:hAnsi="Times New Roman" w:cs="Times New Roman"/>
                <w:sz w:val="24"/>
                <w:szCs w:val="24"/>
              </w:rPr>
            </w:pPr>
          </w:p>
        </w:tc>
      </w:tr>
      <w:tr w:rsidR="0066656C" w:rsidRPr="00EC6C19" w14:paraId="7DFE4007" w14:textId="77777777" w:rsidTr="0066656C">
        <w:tc>
          <w:tcPr>
            <w:tcW w:w="1985" w:type="dxa"/>
            <w:shd w:val="clear" w:color="auto" w:fill="FFFFFF" w:themeFill="background1"/>
          </w:tcPr>
          <w:p w14:paraId="5DC81D28"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7</w:t>
            </w:r>
          </w:p>
          <w:p w14:paraId="61137AFE" w14:textId="77777777" w:rsidR="0066656C" w:rsidRPr="00EC6C19" w:rsidRDefault="0066656C" w:rsidP="0021157D">
            <w:pPr>
              <w:spacing w:line="360" w:lineRule="auto"/>
              <w:jc w:val="center"/>
              <w:rPr>
                <w:rFonts w:ascii="Times New Roman" w:hAnsi="Times New Roman" w:cs="Times New Roman"/>
                <w:sz w:val="24"/>
                <w:szCs w:val="24"/>
              </w:rPr>
            </w:pPr>
          </w:p>
        </w:tc>
        <w:tc>
          <w:tcPr>
            <w:tcW w:w="1922" w:type="dxa"/>
            <w:shd w:val="clear" w:color="auto" w:fill="FFFFFF" w:themeFill="background1"/>
          </w:tcPr>
          <w:p w14:paraId="43625EF4"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0.95</w:t>
            </w:r>
          </w:p>
        </w:tc>
        <w:tc>
          <w:tcPr>
            <w:tcW w:w="1956" w:type="dxa"/>
            <w:shd w:val="clear" w:color="auto" w:fill="FFFFFF" w:themeFill="background1"/>
          </w:tcPr>
          <w:p w14:paraId="2FE19A12"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w:t>
            </w:r>
          </w:p>
        </w:tc>
        <w:tc>
          <w:tcPr>
            <w:tcW w:w="1978" w:type="dxa"/>
            <w:shd w:val="clear" w:color="auto" w:fill="FFFFFF" w:themeFill="background1"/>
          </w:tcPr>
          <w:p w14:paraId="7CE07FCC"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0.09</w:t>
            </w:r>
          </w:p>
        </w:tc>
        <w:tc>
          <w:tcPr>
            <w:tcW w:w="1735" w:type="dxa"/>
            <w:vMerge/>
            <w:shd w:val="clear" w:color="auto" w:fill="FFFFFF" w:themeFill="background1"/>
          </w:tcPr>
          <w:p w14:paraId="4B93BE74" w14:textId="77777777" w:rsidR="0066656C" w:rsidRPr="00EC6C19" w:rsidRDefault="0066656C" w:rsidP="0021157D">
            <w:pPr>
              <w:spacing w:line="360" w:lineRule="auto"/>
              <w:jc w:val="center"/>
              <w:rPr>
                <w:rFonts w:ascii="Times New Roman" w:hAnsi="Times New Roman" w:cs="Times New Roman"/>
                <w:sz w:val="24"/>
                <w:szCs w:val="24"/>
              </w:rPr>
            </w:pPr>
          </w:p>
        </w:tc>
      </w:tr>
      <w:tr w:rsidR="0066656C" w:rsidRPr="00EC6C19" w14:paraId="37107C12" w14:textId="77777777" w:rsidTr="0066656C">
        <w:tc>
          <w:tcPr>
            <w:tcW w:w="1985" w:type="dxa"/>
            <w:shd w:val="clear" w:color="auto" w:fill="FFFFFF" w:themeFill="background1"/>
          </w:tcPr>
          <w:p w14:paraId="1DEB4F38"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9</w:t>
            </w:r>
          </w:p>
          <w:p w14:paraId="674AE8CA" w14:textId="77777777" w:rsidR="0066656C" w:rsidRPr="00EC6C19" w:rsidRDefault="0066656C" w:rsidP="0021157D">
            <w:pPr>
              <w:spacing w:line="360" w:lineRule="auto"/>
              <w:jc w:val="center"/>
              <w:rPr>
                <w:rFonts w:ascii="Times New Roman" w:hAnsi="Times New Roman" w:cs="Times New Roman"/>
                <w:sz w:val="24"/>
                <w:szCs w:val="24"/>
              </w:rPr>
            </w:pPr>
          </w:p>
        </w:tc>
        <w:tc>
          <w:tcPr>
            <w:tcW w:w="1922" w:type="dxa"/>
            <w:shd w:val="clear" w:color="auto" w:fill="FFFFFF" w:themeFill="background1"/>
          </w:tcPr>
          <w:p w14:paraId="3FD1783B"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1.02</w:t>
            </w:r>
          </w:p>
        </w:tc>
        <w:tc>
          <w:tcPr>
            <w:tcW w:w="1956" w:type="dxa"/>
            <w:shd w:val="clear" w:color="auto" w:fill="FFFFFF" w:themeFill="background1"/>
          </w:tcPr>
          <w:p w14:paraId="61FE4A05"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0.92</w:t>
            </w:r>
          </w:p>
        </w:tc>
        <w:tc>
          <w:tcPr>
            <w:tcW w:w="1978" w:type="dxa"/>
            <w:shd w:val="clear" w:color="auto" w:fill="FFFFFF" w:themeFill="background1"/>
          </w:tcPr>
          <w:p w14:paraId="736A92CE"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0.10</w:t>
            </w:r>
          </w:p>
        </w:tc>
        <w:tc>
          <w:tcPr>
            <w:tcW w:w="1735" w:type="dxa"/>
            <w:vMerge/>
            <w:shd w:val="clear" w:color="auto" w:fill="FFFFFF" w:themeFill="background1"/>
          </w:tcPr>
          <w:p w14:paraId="5A8EE5BD" w14:textId="77777777" w:rsidR="0066656C" w:rsidRPr="00EC6C19" w:rsidRDefault="0066656C" w:rsidP="0021157D">
            <w:pPr>
              <w:spacing w:line="360" w:lineRule="auto"/>
              <w:jc w:val="center"/>
              <w:rPr>
                <w:rFonts w:ascii="Times New Roman" w:hAnsi="Times New Roman" w:cs="Times New Roman"/>
                <w:sz w:val="24"/>
                <w:szCs w:val="24"/>
              </w:rPr>
            </w:pPr>
          </w:p>
        </w:tc>
      </w:tr>
      <w:tr w:rsidR="0066656C" w:rsidRPr="00EC6C19" w14:paraId="4C1DF188" w14:textId="77777777" w:rsidTr="0066656C">
        <w:tc>
          <w:tcPr>
            <w:tcW w:w="1985" w:type="dxa"/>
            <w:shd w:val="clear" w:color="auto" w:fill="FFFFFF" w:themeFill="background1"/>
          </w:tcPr>
          <w:p w14:paraId="0E749469"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p w14:paraId="296E39C4" w14:textId="77777777" w:rsidR="0066656C" w:rsidRPr="00EC6C19" w:rsidRDefault="0066656C" w:rsidP="0021157D">
            <w:pPr>
              <w:spacing w:line="360" w:lineRule="auto"/>
              <w:jc w:val="center"/>
              <w:rPr>
                <w:rFonts w:ascii="Times New Roman" w:hAnsi="Times New Roman" w:cs="Times New Roman"/>
                <w:sz w:val="24"/>
                <w:szCs w:val="24"/>
              </w:rPr>
            </w:pPr>
          </w:p>
        </w:tc>
        <w:tc>
          <w:tcPr>
            <w:tcW w:w="1922" w:type="dxa"/>
            <w:shd w:val="clear" w:color="auto" w:fill="FFFFFF" w:themeFill="background1"/>
          </w:tcPr>
          <w:p w14:paraId="04AAE1D5"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1.03</w:t>
            </w:r>
          </w:p>
        </w:tc>
        <w:tc>
          <w:tcPr>
            <w:tcW w:w="1956" w:type="dxa"/>
            <w:shd w:val="clear" w:color="auto" w:fill="FFFFFF" w:themeFill="background1"/>
          </w:tcPr>
          <w:p w14:paraId="2AA662C0"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0.93</w:t>
            </w:r>
          </w:p>
        </w:tc>
        <w:tc>
          <w:tcPr>
            <w:tcW w:w="1978" w:type="dxa"/>
            <w:shd w:val="clear" w:color="auto" w:fill="FFFFFF" w:themeFill="background1"/>
          </w:tcPr>
          <w:p w14:paraId="4C272655"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0.09</w:t>
            </w:r>
          </w:p>
        </w:tc>
        <w:tc>
          <w:tcPr>
            <w:tcW w:w="1735" w:type="dxa"/>
            <w:vMerge/>
            <w:shd w:val="clear" w:color="auto" w:fill="FFFFFF" w:themeFill="background1"/>
          </w:tcPr>
          <w:p w14:paraId="14F668C4" w14:textId="77777777" w:rsidR="0066656C" w:rsidRPr="00EC6C19" w:rsidRDefault="0066656C" w:rsidP="0021157D">
            <w:pPr>
              <w:spacing w:line="360" w:lineRule="auto"/>
              <w:jc w:val="center"/>
              <w:rPr>
                <w:rFonts w:ascii="Times New Roman" w:hAnsi="Times New Roman" w:cs="Times New Roman"/>
                <w:sz w:val="24"/>
                <w:szCs w:val="24"/>
              </w:rPr>
            </w:pPr>
          </w:p>
        </w:tc>
      </w:tr>
      <w:tr w:rsidR="0066656C" w:rsidRPr="00EC6C19" w14:paraId="718BD539" w14:textId="77777777" w:rsidTr="0066656C">
        <w:tc>
          <w:tcPr>
            <w:tcW w:w="1985" w:type="dxa"/>
            <w:shd w:val="clear" w:color="auto" w:fill="FFFFFF" w:themeFill="background1"/>
          </w:tcPr>
          <w:p w14:paraId="33C7CF71" w14:textId="77777777" w:rsidR="0066656C" w:rsidRPr="00EC6C19" w:rsidRDefault="0066656C"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11</w:t>
            </w:r>
          </w:p>
          <w:p w14:paraId="136DDE25" w14:textId="77777777" w:rsidR="0066656C" w:rsidRPr="00EC6C19" w:rsidRDefault="0066656C"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78EFFED7"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1.02</w:t>
            </w:r>
          </w:p>
        </w:tc>
        <w:tc>
          <w:tcPr>
            <w:tcW w:w="1956" w:type="dxa"/>
            <w:shd w:val="clear" w:color="auto" w:fill="FFFFFF" w:themeFill="background1"/>
          </w:tcPr>
          <w:p w14:paraId="2A10704C"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978" w:type="dxa"/>
            <w:shd w:val="clear" w:color="auto" w:fill="FFFFFF" w:themeFill="background1"/>
          </w:tcPr>
          <w:p w14:paraId="53B0E68E"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w:t>
            </w:r>
          </w:p>
        </w:tc>
        <w:tc>
          <w:tcPr>
            <w:tcW w:w="1735" w:type="dxa"/>
            <w:vMerge/>
            <w:shd w:val="clear" w:color="auto" w:fill="FFFFFF" w:themeFill="background1"/>
          </w:tcPr>
          <w:p w14:paraId="4489B259" w14:textId="77777777" w:rsidR="0066656C" w:rsidRPr="00EC6C19" w:rsidRDefault="0066656C" w:rsidP="0021157D">
            <w:pPr>
              <w:spacing w:line="360" w:lineRule="auto"/>
              <w:jc w:val="center"/>
              <w:rPr>
                <w:rFonts w:ascii="Times New Roman" w:hAnsi="Times New Roman" w:cs="Times New Roman"/>
                <w:sz w:val="24"/>
                <w:szCs w:val="24"/>
              </w:rPr>
            </w:pPr>
          </w:p>
        </w:tc>
      </w:tr>
      <w:tr w:rsidR="0066656C" w:rsidRPr="00EC6C19" w14:paraId="214AB293" w14:textId="77777777" w:rsidTr="0066656C">
        <w:tc>
          <w:tcPr>
            <w:tcW w:w="1985" w:type="dxa"/>
            <w:shd w:val="clear" w:color="auto" w:fill="FFFFFF" w:themeFill="background1"/>
          </w:tcPr>
          <w:p w14:paraId="1C7FE432" w14:textId="77777777" w:rsidR="0066656C" w:rsidRPr="00EC6C19" w:rsidRDefault="0066656C"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15</w:t>
            </w:r>
          </w:p>
          <w:p w14:paraId="716208A2" w14:textId="77777777" w:rsidR="0066656C" w:rsidRPr="00EC6C19" w:rsidRDefault="0066656C"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58F23113"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0.96</w:t>
            </w:r>
          </w:p>
        </w:tc>
        <w:tc>
          <w:tcPr>
            <w:tcW w:w="1956" w:type="dxa"/>
            <w:shd w:val="clear" w:color="auto" w:fill="FFFFFF" w:themeFill="background1"/>
          </w:tcPr>
          <w:p w14:paraId="5E519A6A"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0.94</w:t>
            </w:r>
          </w:p>
        </w:tc>
        <w:tc>
          <w:tcPr>
            <w:tcW w:w="1978" w:type="dxa"/>
            <w:shd w:val="clear" w:color="auto" w:fill="FFFFFF" w:themeFill="background1"/>
          </w:tcPr>
          <w:p w14:paraId="7B9DBFA7"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735" w:type="dxa"/>
            <w:vMerge/>
            <w:shd w:val="clear" w:color="auto" w:fill="FFFFFF" w:themeFill="background1"/>
          </w:tcPr>
          <w:p w14:paraId="6DCE6021" w14:textId="77777777" w:rsidR="0066656C" w:rsidRPr="00EC6C19" w:rsidRDefault="0066656C" w:rsidP="0021157D">
            <w:pPr>
              <w:spacing w:line="360" w:lineRule="auto"/>
              <w:jc w:val="center"/>
              <w:rPr>
                <w:rFonts w:ascii="Times New Roman" w:hAnsi="Times New Roman" w:cs="Times New Roman"/>
                <w:sz w:val="24"/>
                <w:szCs w:val="24"/>
              </w:rPr>
            </w:pPr>
          </w:p>
        </w:tc>
      </w:tr>
      <w:tr w:rsidR="0066656C" w:rsidRPr="00EC6C19" w14:paraId="393DF0AF" w14:textId="77777777" w:rsidTr="0066656C">
        <w:tc>
          <w:tcPr>
            <w:tcW w:w="1985" w:type="dxa"/>
            <w:shd w:val="clear" w:color="auto" w:fill="FFFFFF" w:themeFill="background1"/>
          </w:tcPr>
          <w:p w14:paraId="49B16A1F" w14:textId="77777777" w:rsidR="0066656C" w:rsidRPr="00EC6C19" w:rsidRDefault="0066656C"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lastRenderedPageBreak/>
              <w:t>16</w:t>
            </w:r>
          </w:p>
          <w:p w14:paraId="3641145C" w14:textId="77777777" w:rsidR="0066656C" w:rsidRPr="00EC6C19" w:rsidRDefault="0066656C"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79B6D2E1"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956" w:type="dxa"/>
            <w:shd w:val="clear" w:color="auto" w:fill="FFFFFF" w:themeFill="background1"/>
          </w:tcPr>
          <w:p w14:paraId="75C4EA2F"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0.95</w:t>
            </w:r>
          </w:p>
        </w:tc>
        <w:tc>
          <w:tcPr>
            <w:tcW w:w="1978" w:type="dxa"/>
            <w:shd w:val="clear" w:color="auto" w:fill="FFFFFF" w:themeFill="background1"/>
          </w:tcPr>
          <w:p w14:paraId="1E59155F"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735" w:type="dxa"/>
            <w:vMerge/>
            <w:shd w:val="clear" w:color="auto" w:fill="FFFFFF" w:themeFill="background1"/>
          </w:tcPr>
          <w:p w14:paraId="5A95A092" w14:textId="77777777" w:rsidR="0066656C" w:rsidRPr="00EC6C19" w:rsidRDefault="0066656C" w:rsidP="0021157D">
            <w:pPr>
              <w:spacing w:line="360" w:lineRule="auto"/>
              <w:jc w:val="center"/>
              <w:rPr>
                <w:rFonts w:ascii="Times New Roman" w:hAnsi="Times New Roman" w:cs="Times New Roman"/>
                <w:sz w:val="24"/>
                <w:szCs w:val="24"/>
              </w:rPr>
            </w:pPr>
          </w:p>
        </w:tc>
      </w:tr>
      <w:tr w:rsidR="0066656C" w:rsidRPr="00EC6C19" w14:paraId="6072DBBA" w14:textId="77777777" w:rsidTr="0066656C">
        <w:tc>
          <w:tcPr>
            <w:tcW w:w="1985" w:type="dxa"/>
            <w:shd w:val="clear" w:color="auto" w:fill="FFFFFF" w:themeFill="background1"/>
          </w:tcPr>
          <w:p w14:paraId="184735C7" w14:textId="77777777" w:rsidR="0066656C" w:rsidRPr="00EC6C19" w:rsidRDefault="0066656C"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17</w:t>
            </w:r>
          </w:p>
          <w:p w14:paraId="7EE6E2B7" w14:textId="77777777" w:rsidR="0066656C" w:rsidRPr="00EC6C19" w:rsidRDefault="0066656C"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7A9474FF"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0.78</w:t>
            </w:r>
          </w:p>
        </w:tc>
        <w:tc>
          <w:tcPr>
            <w:tcW w:w="1956" w:type="dxa"/>
            <w:shd w:val="clear" w:color="auto" w:fill="FFFFFF" w:themeFill="background1"/>
          </w:tcPr>
          <w:p w14:paraId="2C5957D8"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0.67</w:t>
            </w:r>
          </w:p>
        </w:tc>
        <w:tc>
          <w:tcPr>
            <w:tcW w:w="1978" w:type="dxa"/>
            <w:shd w:val="clear" w:color="auto" w:fill="FFFFFF" w:themeFill="background1"/>
          </w:tcPr>
          <w:p w14:paraId="7A8BC106"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0.11</w:t>
            </w:r>
          </w:p>
        </w:tc>
        <w:tc>
          <w:tcPr>
            <w:tcW w:w="1735" w:type="dxa"/>
            <w:vMerge/>
            <w:shd w:val="clear" w:color="auto" w:fill="FFFFFF" w:themeFill="background1"/>
          </w:tcPr>
          <w:p w14:paraId="5E78EEED" w14:textId="77777777" w:rsidR="0066656C" w:rsidRPr="00EC6C19" w:rsidRDefault="0066656C" w:rsidP="0021157D">
            <w:pPr>
              <w:spacing w:line="360" w:lineRule="auto"/>
              <w:jc w:val="center"/>
              <w:rPr>
                <w:rFonts w:ascii="Times New Roman" w:hAnsi="Times New Roman" w:cs="Times New Roman"/>
                <w:sz w:val="24"/>
                <w:szCs w:val="24"/>
              </w:rPr>
            </w:pPr>
          </w:p>
        </w:tc>
      </w:tr>
      <w:tr w:rsidR="0066656C" w:rsidRPr="00EC6C19" w14:paraId="1920E019" w14:textId="77777777" w:rsidTr="0066656C">
        <w:tc>
          <w:tcPr>
            <w:tcW w:w="1985" w:type="dxa"/>
            <w:shd w:val="clear" w:color="auto" w:fill="FFFFFF" w:themeFill="background1"/>
          </w:tcPr>
          <w:p w14:paraId="31646269" w14:textId="77777777" w:rsidR="0066656C" w:rsidRPr="00EC6C19" w:rsidRDefault="0066656C"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18</w:t>
            </w:r>
          </w:p>
          <w:p w14:paraId="732028F0" w14:textId="77777777" w:rsidR="0066656C" w:rsidRPr="00EC6C19" w:rsidRDefault="0066656C"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33CF7460"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0.95</w:t>
            </w:r>
          </w:p>
        </w:tc>
        <w:tc>
          <w:tcPr>
            <w:tcW w:w="1956" w:type="dxa"/>
            <w:shd w:val="clear" w:color="auto" w:fill="FFFFFF" w:themeFill="background1"/>
          </w:tcPr>
          <w:p w14:paraId="38B06403"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0.84</w:t>
            </w:r>
          </w:p>
        </w:tc>
        <w:tc>
          <w:tcPr>
            <w:tcW w:w="1978" w:type="dxa"/>
            <w:shd w:val="clear" w:color="auto" w:fill="FFFFFF" w:themeFill="background1"/>
          </w:tcPr>
          <w:p w14:paraId="61F99876" w14:textId="77777777" w:rsidR="0066656C" w:rsidRPr="00EC6C19" w:rsidRDefault="0066656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0.11</w:t>
            </w:r>
          </w:p>
        </w:tc>
        <w:tc>
          <w:tcPr>
            <w:tcW w:w="1735" w:type="dxa"/>
            <w:vMerge/>
            <w:shd w:val="clear" w:color="auto" w:fill="FFFFFF" w:themeFill="background1"/>
          </w:tcPr>
          <w:p w14:paraId="3F5ACABF" w14:textId="77777777" w:rsidR="0066656C" w:rsidRPr="00EC6C19" w:rsidRDefault="0066656C" w:rsidP="0021157D">
            <w:pPr>
              <w:spacing w:line="360" w:lineRule="auto"/>
              <w:jc w:val="center"/>
              <w:rPr>
                <w:rFonts w:ascii="Times New Roman" w:hAnsi="Times New Roman" w:cs="Times New Roman"/>
                <w:sz w:val="24"/>
                <w:szCs w:val="24"/>
              </w:rPr>
            </w:pPr>
          </w:p>
        </w:tc>
      </w:tr>
      <w:tr w:rsidR="005675CD" w:rsidRPr="00EC6C19" w14:paraId="2F8E5B07" w14:textId="77777777" w:rsidTr="0066656C">
        <w:trPr>
          <w:trHeight w:val="644"/>
        </w:trPr>
        <w:tc>
          <w:tcPr>
            <w:tcW w:w="1985" w:type="dxa"/>
            <w:shd w:val="clear" w:color="auto" w:fill="FFFFFF" w:themeFill="background1"/>
          </w:tcPr>
          <w:p w14:paraId="1D41E957" w14:textId="72FD0284" w:rsidR="005675CD" w:rsidRPr="00EC6C19" w:rsidRDefault="003B4D5A"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Mean (</w:t>
            </w:r>
            <w:r w:rsidR="00D97E85">
              <w:rPr>
                <w:rFonts w:ascii="Times New Roman" w:hAnsi="Times New Roman" w:cs="Times New Roman"/>
                <w:sz w:val="24"/>
                <w:szCs w:val="24"/>
              </w:rPr>
              <w:t>±</w:t>
            </w:r>
            <w:r w:rsidRPr="00EC6C19">
              <w:rPr>
                <w:rFonts w:ascii="Times New Roman" w:hAnsi="Times New Roman" w:cs="Times New Roman"/>
                <w:b/>
                <w:sz w:val="24"/>
                <w:szCs w:val="24"/>
              </w:rPr>
              <w:t>SD)</w:t>
            </w:r>
          </w:p>
        </w:tc>
        <w:tc>
          <w:tcPr>
            <w:tcW w:w="1922" w:type="dxa"/>
            <w:shd w:val="clear" w:color="auto" w:fill="FFFFFF" w:themeFill="background1"/>
          </w:tcPr>
          <w:p w14:paraId="04A1624F" w14:textId="77777777" w:rsidR="005675CD" w:rsidRPr="00EC6C19" w:rsidRDefault="003B4D5A"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0.96 (0.07)</w:t>
            </w:r>
          </w:p>
        </w:tc>
        <w:tc>
          <w:tcPr>
            <w:tcW w:w="1956" w:type="dxa"/>
            <w:shd w:val="clear" w:color="auto" w:fill="FFFFFF" w:themeFill="background1"/>
          </w:tcPr>
          <w:p w14:paraId="3E4530EA" w14:textId="77777777" w:rsidR="005675CD" w:rsidRPr="00EC6C19" w:rsidRDefault="003B4D5A"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0.88 (0.09)</w:t>
            </w:r>
          </w:p>
        </w:tc>
        <w:tc>
          <w:tcPr>
            <w:tcW w:w="1978" w:type="dxa"/>
            <w:shd w:val="clear" w:color="auto" w:fill="FFFFFF" w:themeFill="background1"/>
          </w:tcPr>
          <w:p w14:paraId="7F724E08" w14:textId="77777777" w:rsidR="00E441C5" w:rsidRPr="00EC6C19" w:rsidRDefault="0068514C"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0.08</w:t>
            </w:r>
            <w:r w:rsidR="003B4D5A" w:rsidRPr="00EC6C19">
              <w:rPr>
                <w:rFonts w:ascii="Times New Roman" w:hAnsi="Times New Roman" w:cs="Times New Roman"/>
                <w:sz w:val="24"/>
                <w:szCs w:val="24"/>
              </w:rPr>
              <w:t xml:space="preserve"> (0.04)</w:t>
            </w:r>
          </w:p>
        </w:tc>
        <w:tc>
          <w:tcPr>
            <w:tcW w:w="1735" w:type="dxa"/>
            <w:shd w:val="clear" w:color="auto" w:fill="FFFFFF" w:themeFill="background1"/>
          </w:tcPr>
          <w:p w14:paraId="5F287E9E" w14:textId="77777777" w:rsidR="005675CD" w:rsidRPr="00EC6C19" w:rsidRDefault="005675CD" w:rsidP="0021157D">
            <w:pPr>
              <w:spacing w:line="360" w:lineRule="auto"/>
              <w:jc w:val="center"/>
              <w:rPr>
                <w:rFonts w:ascii="Times New Roman" w:hAnsi="Times New Roman" w:cs="Times New Roman"/>
                <w:sz w:val="24"/>
                <w:szCs w:val="24"/>
              </w:rPr>
            </w:pPr>
          </w:p>
        </w:tc>
      </w:tr>
    </w:tbl>
    <w:p w14:paraId="0346D70A" w14:textId="77777777" w:rsidR="00A23015" w:rsidRPr="00EC6C19" w:rsidRDefault="00A23015" w:rsidP="00DC728E">
      <w:pPr>
        <w:spacing w:line="360" w:lineRule="auto"/>
        <w:rPr>
          <w:rFonts w:ascii="Times New Roman" w:hAnsi="Times New Roman" w:cs="Times New Roman"/>
          <w:i/>
          <w:sz w:val="24"/>
          <w:szCs w:val="24"/>
        </w:rPr>
      </w:pPr>
    </w:p>
    <w:p w14:paraId="4FB456A6" w14:textId="77777777" w:rsidR="008B4E20" w:rsidRPr="008630EC" w:rsidRDefault="008630EC" w:rsidP="008630EC">
      <w:pPr>
        <w:pStyle w:val="Caption"/>
        <w:spacing w:line="360" w:lineRule="auto"/>
        <w:rPr>
          <w:rFonts w:ascii="Times New Roman" w:hAnsi="Times New Roman" w:cs="Times New Roman"/>
          <w:b w:val="0"/>
          <w:i/>
          <w:color w:val="auto"/>
          <w:sz w:val="24"/>
          <w:szCs w:val="24"/>
        </w:rPr>
      </w:pPr>
      <w:bookmarkStart w:id="159" w:name="_Toc44962593"/>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17</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LAD Pd/Pa.</w:t>
      </w:r>
      <w:r w:rsidR="00A00D25" w:rsidRPr="008630EC">
        <w:rPr>
          <w:rFonts w:ascii="Times New Roman" w:hAnsi="Times New Roman" w:cs="Times New Roman"/>
          <w:b w:val="0"/>
          <w:i/>
          <w:color w:val="auto"/>
          <w:sz w:val="24"/>
          <w:szCs w:val="24"/>
        </w:rPr>
        <w:t xml:space="preserve"> Delta change</w:t>
      </w:r>
      <w:r w:rsidR="00D852FC" w:rsidRPr="008630EC">
        <w:rPr>
          <w:rFonts w:ascii="Times New Roman" w:hAnsi="Times New Roman" w:cs="Times New Roman"/>
          <w:b w:val="0"/>
          <w:i/>
          <w:color w:val="auto"/>
          <w:sz w:val="24"/>
          <w:szCs w:val="24"/>
        </w:rPr>
        <w:t xml:space="preserve"> </w:t>
      </w:r>
      <w:r w:rsidR="00A00D25" w:rsidRPr="008630EC">
        <w:rPr>
          <w:rFonts w:ascii="Times New Roman" w:hAnsi="Times New Roman" w:cs="Times New Roman"/>
          <w:b w:val="0"/>
          <w:i/>
          <w:color w:val="auto"/>
          <w:sz w:val="24"/>
          <w:szCs w:val="24"/>
        </w:rPr>
        <w:t xml:space="preserve">in Pd/Pa </w:t>
      </w:r>
      <w:r w:rsidR="001C28FD" w:rsidRPr="008630EC">
        <w:rPr>
          <w:rFonts w:ascii="Times New Roman" w:hAnsi="Times New Roman" w:cs="Times New Roman"/>
          <w:b w:val="0"/>
          <w:i/>
          <w:color w:val="auto"/>
          <w:sz w:val="24"/>
          <w:szCs w:val="24"/>
        </w:rPr>
        <w:t xml:space="preserve">between prone and supine positioning </w:t>
      </w:r>
      <w:r w:rsidR="00A00D25" w:rsidRPr="008630EC">
        <w:rPr>
          <w:rFonts w:ascii="Times New Roman" w:hAnsi="Times New Roman" w:cs="Times New Roman"/>
          <w:b w:val="0"/>
          <w:i/>
          <w:color w:val="auto"/>
          <w:sz w:val="24"/>
          <w:szCs w:val="24"/>
        </w:rPr>
        <w:t xml:space="preserve">in the </w:t>
      </w:r>
      <w:r w:rsidR="00E34299" w:rsidRPr="008630EC">
        <w:rPr>
          <w:rFonts w:ascii="Times New Roman" w:hAnsi="Times New Roman" w:cs="Times New Roman"/>
          <w:b w:val="0"/>
          <w:i/>
          <w:color w:val="auto"/>
          <w:sz w:val="24"/>
          <w:szCs w:val="24"/>
        </w:rPr>
        <w:t>left anterior descending artery</w:t>
      </w:r>
      <w:r w:rsidR="001C28FD" w:rsidRPr="008630EC">
        <w:rPr>
          <w:rFonts w:ascii="Times New Roman" w:hAnsi="Times New Roman" w:cs="Times New Roman"/>
          <w:b w:val="0"/>
          <w:i/>
          <w:color w:val="auto"/>
          <w:sz w:val="24"/>
          <w:szCs w:val="24"/>
        </w:rPr>
        <w:t>.</w:t>
      </w:r>
      <w:r w:rsidR="00E34299" w:rsidRPr="008630EC">
        <w:rPr>
          <w:rFonts w:ascii="Times New Roman" w:hAnsi="Times New Roman" w:cs="Times New Roman"/>
          <w:b w:val="0"/>
          <w:i/>
          <w:color w:val="auto"/>
          <w:sz w:val="24"/>
          <w:szCs w:val="24"/>
        </w:rPr>
        <w:t xml:space="preserve"> The results are statistically </w:t>
      </w:r>
      <w:r w:rsidR="00754E2C" w:rsidRPr="008630EC">
        <w:rPr>
          <w:rFonts w:ascii="Times New Roman" w:hAnsi="Times New Roman" w:cs="Times New Roman"/>
          <w:b w:val="0"/>
          <w:i/>
          <w:color w:val="auto"/>
          <w:sz w:val="24"/>
          <w:szCs w:val="24"/>
        </w:rPr>
        <w:t>significant</w:t>
      </w:r>
      <w:r w:rsidR="00E34299" w:rsidRPr="008630EC">
        <w:rPr>
          <w:rFonts w:ascii="Times New Roman" w:hAnsi="Times New Roman" w:cs="Times New Roman"/>
          <w:b w:val="0"/>
          <w:i/>
          <w:color w:val="auto"/>
          <w:sz w:val="24"/>
          <w:szCs w:val="24"/>
        </w:rPr>
        <w:t xml:space="preserve"> (p&lt;0.05)</w:t>
      </w:r>
      <w:bookmarkEnd w:id="159"/>
    </w:p>
    <w:p w14:paraId="546D0B1A" w14:textId="77777777" w:rsidR="00EE56BD" w:rsidRPr="00EC6C19" w:rsidRDefault="0026539C" w:rsidP="00EE56BD">
      <w:pPr>
        <w:spacing w:line="360" w:lineRule="auto"/>
        <w:ind w:left="-737"/>
        <w:rPr>
          <w:rFonts w:ascii="Times New Roman" w:hAnsi="Times New Roman" w:cs="Times New Roman"/>
          <w:i/>
          <w:sz w:val="24"/>
          <w:szCs w:val="24"/>
        </w:rPr>
      </w:pPr>
      <w:r w:rsidRPr="00EC6C19">
        <w:rPr>
          <w:rFonts w:ascii="Times New Roman" w:hAnsi="Times New Roman" w:cs="Times New Roman"/>
          <w:noProof/>
          <w:sz w:val="24"/>
          <w:szCs w:val="24"/>
          <w:lang w:eastAsia="en-GB"/>
        </w:rPr>
        <w:lastRenderedPageBreak/>
        <w:drawing>
          <wp:inline distT="0" distB="0" distL="0" distR="0" wp14:anchorId="6F7CBB9D" wp14:editId="1F365CFD">
            <wp:extent cx="6991350" cy="4953000"/>
            <wp:effectExtent l="0" t="0" r="0" b="0"/>
            <wp:docPr id="3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64FCB65" w14:textId="77777777" w:rsidR="004209DA" w:rsidRPr="00CF249E" w:rsidRDefault="00CF249E" w:rsidP="00CF249E">
      <w:pPr>
        <w:pStyle w:val="Caption"/>
        <w:spacing w:line="360" w:lineRule="auto"/>
        <w:rPr>
          <w:rFonts w:ascii="Times New Roman" w:hAnsi="Times New Roman" w:cs="Times New Roman"/>
          <w:b w:val="0"/>
          <w:i/>
          <w:color w:val="auto"/>
          <w:sz w:val="24"/>
          <w:szCs w:val="24"/>
        </w:rPr>
      </w:pPr>
      <w:bookmarkStart w:id="160" w:name="_Toc44684923"/>
      <w:r w:rsidRPr="00CF249E">
        <w:rPr>
          <w:rFonts w:ascii="Times New Roman" w:hAnsi="Times New Roman" w:cs="Times New Roman"/>
          <w:b w:val="0"/>
          <w:i/>
          <w:color w:val="auto"/>
          <w:sz w:val="24"/>
          <w:szCs w:val="24"/>
        </w:rPr>
        <w:t xml:space="preserve">Figure </w:t>
      </w:r>
      <w:r w:rsidR="00106A32" w:rsidRPr="00CF249E">
        <w:rPr>
          <w:rFonts w:ascii="Times New Roman" w:hAnsi="Times New Roman" w:cs="Times New Roman"/>
          <w:b w:val="0"/>
          <w:i/>
          <w:color w:val="auto"/>
          <w:sz w:val="24"/>
          <w:szCs w:val="24"/>
        </w:rPr>
        <w:fldChar w:fldCharType="begin"/>
      </w:r>
      <w:r w:rsidRPr="00CF249E">
        <w:rPr>
          <w:rFonts w:ascii="Times New Roman" w:hAnsi="Times New Roman" w:cs="Times New Roman"/>
          <w:b w:val="0"/>
          <w:i/>
          <w:color w:val="auto"/>
          <w:sz w:val="24"/>
          <w:szCs w:val="24"/>
        </w:rPr>
        <w:instrText xml:space="preserve"> SEQ Figure \* ARABIC </w:instrText>
      </w:r>
      <w:r w:rsidR="00106A32" w:rsidRPr="00CF249E">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34</w:t>
      </w:r>
      <w:r w:rsidR="00106A32" w:rsidRPr="00CF249E">
        <w:rPr>
          <w:rFonts w:ascii="Times New Roman" w:hAnsi="Times New Roman" w:cs="Times New Roman"/>
          <w:b w:val="0"/>
          <w:i/>
          <w:color w:val="auto"/>
          <w:sz w:val="24"/>
          <w:szCs w:val="24"/>
        </w:rPr>
        <w:fldChar w:fldCharType="end"/>
      </w:r>
      <w:r w:rsidRPr="00CF249E">
        <w:rPr>
          <w:rFonts w:ascii="Times New Roman" w:hAnsi="Times New Roman" w:cs="Times New Roman"/>
          <w:b w:val="0"/>
          <w:i/>
          <w:color w:val="auto"/>
          <w:sz w:val="24"/>
          <w:szCs w:val="24"/>
        </w:rPr>
        <w:t xml:space="preserve"> - LAD Pd/Pa - </w:t>
      </w:r>
      <w:r w:rsidR="00A00D25" w:rsidRPr="00CF249E">
        <w:rPr>
          <w:rFonts w:ascii="Times New Roman" w:hAnsi="Times New Roman" w:cs="Times New Roman"/>
          <w:b w:val="0"/>
          <w:i/>
          <w:color w:val="auto"/>
          <w:sz w:val="24"/>
          <w:szCs w:val="24"/>
        </w:rPr>
        <w:t>between</w:t>
      </w:r>
      <w:r w:rsidR="0026539C" w:rsidRPr="00CF249E">
        <w:rPr>
          <w:rFonts w:ascii="Times New Roman" w:hAnsi="Times New Roman" w:cs="Times New Roman"/>
          <w:b w:val="0"/>
          <w:i/>
          <w:color w:val="auto"/>
          <w:sz w:val="24"/>
          <w:szCs w:val="24"/>
        </w:rPr>
        <w:t xml:space="preserve"> prone and supine position</w:t>
      </w:r>
      <w:r w:rsidR="00EE56BD" w:rsidRPr="00CF249E">
        <w:rPr>
          <w:rFonts w:ascii="Times New Roman" w:hAnsi="Times New Roman" w:cs="Times New Roman"/>
          <w:b w:val="0"/>
          <w:i/>
          <w:color w:val="auto"/>
          <w:sz w:val="24"/>
          <w:szCs w:val="24"/>
        </w:rPr>
        <w:t>ing</w:t>
      </w:r>
      <w:r>
        <w:rPr>
          <w:rFonts w:ascii="Times New Roman" w:hAnsi="Times New Roman" w:cs="Times New Roman"/>
          <w:b w:val="0"/>
          <w:i/>
          <w:color w:val="auto"/>
          <w:sz w:val="24"/>
          <w:szCs w:val="24"/>
        </w:rPr>
        <w:t>.</w:t>
      </w:r>
      <w:r w:rsidR="00EE56BD" w:rsidRPr="00CF249E">
        <w:rPr>
          <w:rFonts w:ascii="Times New Roman" w:hAnsi="Times New Roman" w:cs="Times New Roman"/>
          <w:b w:val="0"/>
          <w:i/>
          <w:color w:val="auto"/>
          <w:sz w:val="24"/>
          <w:szCs w:val="24"/>
        </w:rPr>
        <w:t xml:space="preserve"> </w:t>
      </w:r>
      <w:r w:rsidR="0061168F" w:rsidRPr="00CF249E">
        <w:rPr>
          <w:rFonts w:ascii="Times New Roman" w:hAnsi="Times New Roman" w:cs="Times New Roman"/>
          <w:b w:val="0"/>
          <w:i/>
          <w:color w:val="auto"/>
          <w:sz w:val="24"/>
          <w:szCs w:val="24"/>
        </w:rPr>
        <w:t xml:space="preserve">Mean values are in red. The results are statistically significant. </w:t>
      </w:r>
      <w:r w:rsidR="00802060" w:rsidRPr="00CF249E">
        <w:rPr>
          <w:rFonts w:ascii="Times New Roman" w:hAnsi="Times New Roman" w:cs="Times New Roman"/>
          <w:b w:val="0"/>
          <w:i/>
          <w:color w:val="auto"/>
          <w:sz w:val="24"/>
          <w:szCs w:val="24"/>
        </w:rPr>
        <w:t>(p&lt;0.05)</w:t>
      </w:r>
      <w:r w:rsidR="00DD14FF" w:rsidRPr="00CF249E">
        <w:rPr>
          <w:rFonts w:ascii="Times New Roman" w:hAnsi="Times New Roman" w:cs="Times New Roman"/>
          <w:b w:val="0"/>
          <w:i/>
          <w:color w:val="auto"/>
          <w:sz w:val="24"/>
          <w:szCs w:val="24"/>
        </w:rPr>
        <w:t>.</w:t>
      </w:r>
      <w:bookmarkEnd w:id="160"/>
    </w:p>
    <w:p w14:paraId="6E3AD18F" w14:textId="77777777" w:rsidR="004209DA" w:rsidRPr="00EC6C19" w:rsidRDefault="004209DA">
      <w:pPr>
        <w:rPr>
          <w:rFonts w:ascii="Times New Roman" w:hAnsi="Times New Roman" w:cs="Times New Roman"/>
          <w:sz w:val="24"/>
          <w:szCs w:val="24"/>
        </w:rPr>
      </w:pPr>
    </w:p>
    <w:p w14:paraId="61863C21" w14:textId="77777777" w:rsidR="00DC728E" w:rsidRPr="00EC6C19" w:rsidRDefault="00DC728E">
      <w:pPr>
        <w:rPr>
          <w:rFonts w:ascii="Times New Roman" w:hAnsi="Times New Roman" w:cs="Times New Roman"/>
          <w:i/>
          <w:sz w:val="24"/>
          <w:szCs w:val="24"/>
        </w:rPr>
      </w:pPr>
      <w:r w:rsidRPr="00EC6C19">
        <w:rPr>
          <w:rFonts w:ascii="Times New Roman" w:hAnsi="Times New Roman" w:cs="Times New Roman"/>
          <w:i/>
          <w:sz w:val="24"/>
          <w:szCs w:val="24"/>
        </w:rPr>
        <w:t>Circumflex Artery Measurements</w:t>
      </w:r>
    </w:p>
    <w:p w14:paraId="75BDAE74" w14:textId="77777777" w:rsidR="002A0A0E" w:rsidRPr="00EC6C19" w:rsidRDefault="002A0A0E">
      <w:pPr>
        <w:rPr>
          <w:rFonts w:ascii="Times New Roman" w:hAnsi="Times New Roman" w:cs="Times New Roman"/>
          <w:i/>
          <w:sz w:val="24"/>
          <w:szCs w:val="24"/>
          <w:u w:val="single"/>
        </w:rPr>
      </w:pPr>
    </w:p>
    <w:p w14:paraId="08DA8AA2" w14:textId="77777777" w:rsidR="002A0A0E" w:rsidRPr="00EC6C19" w:rsidRDefault="003B4D5A" w:rsidP="002A0A0E">
      <w:pPr>
        <w:spacing w:line="360" w:lineRule="auto"/>
        <w:rPr>
          <w:rFonts w:ascii="Times New Roman" w:hAnsi="Times New Roman" w:cs="Times New Roman"/>
          <w:sz w:val="24"/>
          <w:szCs w:val="24"/>
        </w:rPr>
      </w:pPr>
      <w:r w:rsidRPr="008630EC">
        <w:rPr>
          <w:rFonts w:ascii="Times New Roman" w:hAnsi="Times New Roman" w:cs="Times New Roman"/>
          <w:sz w:val="24"/>
          <w:szCs w:val="24"/>
        </w:rPr>
        <w:t xml:space="preserve">Table </w:t>
      </w:r>
      <w:r w:rsidR="008630EC" w:rsidRPr="008630EC">
        <w:rPr>
          <w:rFonts w:ascii="Times New Roman" w:hAnsi="Times New Roman" w:cs="Times New Roman"/>
          <w:sz w:val="24"/>
          <w:szCs w:val="24"/>
        </w:rPr>
        <w:t>18</w:t>
      </w:r>
      <w:r w:rsidR="002A0A0E" w:rsidRPr="00EC6C19">
        <w:rPr>
          <w:rFonts w:ascii="Times New Roman" w:hAnsi="Times New Roman" w:cs="Times New Roman"/>
          <w:sz w:val="24"/>
          <w:szCs w:val="24"/>
        </w:rPr>
        <w:t xml:space="preserve"> </w:t>
      </w:r>
      <w:r w:rsidR="00D43074" w:rsidRPr="00C51A0A">
        <w:rPr>
          <w:rFonts w:ascii="Times New Roman" w:hAnsi="Times New Roman" w:cs="Times New Roman"/>
          <w:sz w:val="24"/>
          <w:szCs w:val="24"/>
        </w:rPr>
        <w:t xml:space="preserve">and figure </w:t>
      </w:r>
      <w:r w:rsidR="00C51A0A" w:rsidRPr="00C51A0A">
        <w:rPr>
          <w:rFonts w:ascii="Times New Roman" w:hAnsi="Times New Roman" w:cs="Times New Roman"/>
          <w:sz w:val="24"/>
          <w:szCs w:val="24"/>
        </w:rPr>
        <w:t>35</w:t>
      </w:r>
      <w:r w:rsidR="00D43074" w:rsidRPr="00EC6C19">
        <w:rPr>
          <w:rFonts w:ascii="Times New Roman" w:hAnsi="Times New Roman" w:cs="Times New Roman"/>
          <w:sz w:val="24"/>
          <w:szCs w:val="24"/>
        </w:rPr>
        <w:t xml:space="preserve"> compare </w:t>
      </w:r>
      <w:r w:rsidR="002A0A0E" w:rsidRPr="00EC6C19">
        <w:rPr>
          <w:rFonts w:ascii="Times New Roman" w:hAnsi="Times New Roman" w:cs="Times New Roman"/>
          <w:sz w:val="24"/>
          <w:szCs w:val="24"/>
        </w:rPr>
        <w:t>Pd/Pa in all cases of Cx</w:t>
      </w:r>
      <w:r w:rsidR="0021157D" w:rsidRPr="00EC6C19">
        <w:rPr>
          <w:rFonts w:ascii="Times New Roman" w:hAnsi="Times New Roman" w:cs="Times New Roman"/>
          <w:sz w:val="24"/>
          <w:szCs w:val="24"/>
        </w:rPr>
        <w:t xml:space="preserve"> stenosis</w:t>
      </w:r>
      <w:r w:rsidR="002A0A0E" w:rsidRPr="00EC6C19">
        <w:rPr>
          <w:rFonts w:ascii="Times New Roman" w:hAnsi="Times New Roman" w:cs="Times New Roman"/>
          <w:sz w:val="24"/>
          <w:szCs w:val="24"/>
        </w:rPr>
        <w:t>.</w:t>
      </w:r>
      <w:r w:rsidR="0021157D" w:rsidRPr="00EC6C19">
        <w:rPr>
          <w:rFonts w:ascii="Times New Roman" w:hAnsi="Times New Roman" w:cs="Times New Roman"/>
          <w:sz w:val="24"/>
          <w:szCs w:val="24"/>
        </w:rPr>
        <w:t xml:space="preserve"> Prone Pd/Pa was 0.93 compared to 0.98 when supine. The mean difference of 0.05</w:t>
      </w:r>
      <w:r w:rsidR="002A0A0E" w:rsidRPr="00EC6C19">
        <w:rPr>
          <w:rFonts w:ascii="Times New Roman" w:hAnsi="Times New Roman" w:cs="Times New Roman"/>
          <w:sz w:val="24"/>
          <w:szCs w:val="24"/>
        </w:rPr>
        <w:t xml:space="preserve"> </w:t>
      </w:r>
      <w:r w:rsidR="00DB7635" w:rsidRPr="00EC6C19">
        <w:rPr>
          <w:rFonts w:ascii="Times New Roman" w:hAnsi="Times New Roman" w:cs="Times New Roman"/>
          <w:sz w:val="24"/>
          <w:szCs w:val="24"/>
        </w:rPr>
        <w:t>is statistically significant (p=</w:t>
      </w:r>
      <w:r w:rsidR="002A0A0E" w:rsidRPr="00EC6C19">
        <w:rPr>
          <w:rFonts w:ascii="Times New Roman" w:hAnsi="Times New Roman" w:cs="Times New Roman"/>
          <w:sz w:val="24"/>
          <w:szCs w:val="24"/>
        </w:rPr>
        <w:t>0.0</w:t>
      </w:r>
      <w:r w:rsidR="00DB7635" w:rsidRPr="00EC6C19">
        <w:rPr>
          <w:rFonts w:ascii="Times New Roman" w:hAnsi="Times New Roman" w:cs="Times New Roman"/>
          <w:sz w:val="24"/>
          <w:szCs w:val="24"/>
        </w:rPr>
        <w:t>09</w:t>
      </w:r>
      <w:r w:rsidR="002A0A0E" w:rsidRPr="00EC6C19">
        <w:rPr>
          <w:rFonts w:ascii="Times New Roman" w:hAnsi="Times New Roman" w:cs="Times New Roman"/>
          <w:sz w:val="24"/>
          <w:szCs w:val="24"/>
        </w:rPr>
        <w:t>)</w:t>
      </w:r>
    </w:p>
    <w:p w14:paraId="4305314F" w14:textId="77777777" w:rsidR="002A0A0E" w:rsidRPr="00EC6C19" w:rsidRDefault="002A0A0E">
      <w:pPr>
        <w:rPr>
          <w:rFonts w:ascii="Times New Roman" w:hAnsi="Times New Roman" w:cs="Times New Roman"/>
          <w:i/>
          <w:sz w:val="24"/>
          <w:szCs w:val="24"/>
          <w:u w:val="single"/>
        </w:rPr>
      </w:pPr>
    </w:p>
    <w:p w14:paraId="39416FFA" w14:textId="77777777" w:rsidR="00DC728E" w:rsidRPr="00EC6C19" w:rsidRDefault="00DC728E">
      <w:pPr>
        <w:rPr>
          <w:rFonts w:ascii="Times New Roman" w:hAnsi="Times New Roman" w:cs="Times New Roman"/>
          <w:sz w:val="24"/>
          <w:szCs w:val="24"/>
        </w:rPr>
      </w:pPr>
    </w:p>
    <w:tbl>
      <w:tblPr>
        <w:tblW w:w="0" w:type="auto"/>
        <w:tblLook w:val="04A0" w:firstRow="1" w:lastRow="0" w:firstColumn="1" w:lastColumn="0" w:noHBand="0" w:noVBand="1"/>
      </w:tblPr>
      <w:tblGrid>
        <w:gridCol w:w="1945"/>
        <w:gridCol w:w="1875"/>
        <w:gridCol w:w="1911"/>
        <w:gridCol w:w="1935"/>
        <w:gridCol w:w="1694"/>
      </w:tblGrid>
      <w:tr w:rsidR="00476457" w:rsidRPr="00EC6C19" w14:paraId="0EFAAC85" w14:textId="77777777" w:rsidTr="0021157D">
        <w:tc>
          <w:tcPr>
            <w:tcW w:w="1985" w:type="dxa"/>
            <w:tcBorders>
              <w:bottom w:val="single" w:sz="18" w:space="0" w:color="000000" w:themeColor="text1"/>
            </w:tcBorders>
            <w:shd w:val="clear" w:color="auto" w:fill="F2F2F2" w:themeFill="background1" w:themeFillShade="F2"/>
          </w:tcPr>
          <w:p w14:paraId="1E71A037" w14:textId="77777777" w:rsidR="00476457" w:rsidRPr="00EC6C19" w:rsidRDefault="00476457"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lastRenderedPageBreak/>
              <w:t>Case Number</w:t>
            </w:r>
          </w:p>
          <w:p w14:paraId="081C2205" w14:textId="77777777" w:rsidR="00476457" w:rsidRPr="00EC6C19" w:rsidRDefault="00476457" w:rsidP="0021157D">
            <w:pPr>
              <w:spacing w:line="360" w:lineRule="auto"/>
              <w:jc w:val="center"/>
              <w:rPr>
                <w:rFonts w:ascii="Times New Roman" w:hAnsi="Times New Roman" w:cs="Times New Roman"/>
                <w:sz w:val="24"/>
                <w:szCs w:val="24"/>
              </w:rPr>
            </w:pPr>
          </w:p>
        </w:tc>
        <w:tc>
          <w:tcPr>
            <w:tcW w:w="1922" w:type="dxa"/>
            <w:tcBorders>
              <w:bottom w:val="single" w:sz="18" w:space="0" w:color="000000" w:themeColor="text1"/>
            </w:tcBorders>
            <w:shd w:val="clear" w:color="auto" w:fill="F2F2F2" w:themeFill="background1" w:themeFillShade="F2"/>
          </w:tcPr>
          <w:p w14:paraId="3A51CA98" w14:textId="77777777" w:rsidR="00476457" w:rsidRPr="00EC6C19" w:rsidRDefault="00476457"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Prone Pd/Pa</w:t>
            </w:r>
          </w:p>
        </w:tc>
        <w:tc>
          <w:tcPr>
            <w:tcW w:w="1956" w:type="dxa"/>
            <w:tcBorders>
              <w:bottom w:val="single" w:sz="18" w:space="0" w:color="000000" w:themeColor="text1"/>
            </w:tcBorders>
            <w:shd w:val="clear" w:color="auto" w:fill="F2F2F2" w:themeFill="background1" w:themeFillShade="F2"/>
          </w:tcPr>
          <w:p w14:paraId="6ED60C92" w14:textId="77777777" w:rsidR="00476457" w:rsidRPr="00EC6C19" w:rsidRDefault="00476457"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Supine Pd/Pa</w:t>
            </w:r>
          </w:p>
        </w:tc>
        <w:tc>
          <w:tcPr>
            <w:tcW w:w="1978" w:type="dxa"/>
            <w:tcBorders>
              <w:bottom w:val="single" w:sz="18" w:space="0" w:color="000000" w:themeColor="text1"/>
            </w:tcBorders>
            <w:shd w:val="clear" w:color="auto" w:fill="F2F2F2" w:themeFill="background1" w:themeFillShade="F2"/>
          </w:tcPr>
          <w:p w14:paraId="24AD37B3" w14:textId="77777777" w:rsidR="00476457"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Delta Chang</w:t>
            </w:r>
            <w:r w:rsidR="00476457" w:rsidRPr="00EC6C19">
              <w:rPr>
                <w:rFonts w:ascii="Times New Roman" w:hAnsi="Times New Roman" w:cs="Times New Roman"/>
                <w:sz w:val="24"/>
                <w:szCs w:val="24"/>
              </w:rPr>
              <w:t>e</w:t>
            </w:r>
          </w:p>
        </w:tc>
        <w:tc>
          <w:tcPr>
            <w:tcW w:w="1735" w:type="dxa"/>
            <w:tcBorders>
              <w:bottom w:val="single" w:sz="18" w:space="0" w:color="000000" w:themeColor="text1"/>
            </w:tcBorders>
            <w:shd w:val="clear" w:color="auto" w:fill="F2F2F2" w:themeFill="background1" w:themeFillShade="F2"/>
          </w:tcPr>
          <w:p w14:paraId="243E8ED8" w14:textId="77777777" w:rsidR="00476457" w:rsidRPr="00EC6C19" w:rsidRDefault="00476457" w:rsidP="0021157D">
            <w:pPr>
              <w:spacing w:line="360" w:lineRule="auto"/>
              <w:jc w:val="center"/>
              <w:rPr>
                <w:rFonts w:ascii="Times New Roman" w:hAnsi="Times New Roman" w:cs="Times New Roman"/>
                <w:sz w:val="24"/>
                <w:szCs w:val="24"/>
              </w:rPr>
            </w:pPr>
          </w:p>
        </w:tc>
      </w:tr>
      <w:tr w:rsidR="0021157D" w:rsidRPr="00EC6C19" w14:paraId="2351BD5B" w14:textId="77777777" w:rsidTr="0021157D">
        <w:tc>
          <w:tcPr>
            <w:tcW w:w="1985" w:type="dxa"/>
            <w:tcBorders>
              <w:top w:val="single" w:sz="18" w:space="0" w:color="000000" w:themeColor="text1"/>
            </w:tcBorders>
            <w:shd w:val="clear" w:color="auto" w:fill="FFFFFF" w:themeFill="background1"/>
          </w:tcPr>
          <w:p w14:paraId="41B918B2"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w:t>
            </w:r>
          </w:p>
          <w:p w14:paraId="74F54F36" w14:textId="77777777" w:rsidR="0021157D" w:rsidRPr="00EC6C19" w:rsidRDefault="0021157D" w:rsidP="0021157D">
            <w:pPr>
              <w:spacing w:line="360" w:lineRule="auto"/>
              <w:jc w:val="center"/>
              <w:rPr>
                <w:rFonts w:ascii="Times New Roman" w:hAnsi="Times New Roman" w:cs="Times New Roman"/>
                <w:b/>
                <w:sz w:val="24"/>
                <w:szCs w:val="24"/>
              </w:rPr>
            </w:pPr>
          </w:p>
        </w:tc>
        <w:tc>
          <w:tcPr>
            <w:tcW w:w="1922" w:type="dxa"/>
            <w:tcBorders>
              <w:top w:val="single" w:sz="18" w:space="0" w:color="000000" w:themeColor="text1"/>
            </w:tcBorders>
            <w:shd w:val="clear" w:color="auto" w:fill="FFFFFF" w:themeFill="background1"/>
          </w:tcPr>
          <w:p w14:paraId="01ECAFB3"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0.96</w:t>
            </w:r>
          </w:p>
        </w:tc>
        <w:tc>
          <w:tcPr>
            <w:tcW w:w="1956" w:type="dxa"/>
            <w:tcBorders>
              <w:top w:val="single" w:sz="18" w:space="0" w:color="000000" w:themeColor="text1"/>
            </w:tcBorders>
            <w:shd w:val="clear" w:color="auto" w:fill="FFFFFF" w:themeFill="background1"/>
          </w:tcPr>
          <w:p w14:paraId="701D1AD9"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978" w:type="dxa"/>
            <w:tcBorders>
              <w:top w:val="single" w:sz="18" w:space="0" w:color="000000" w:themeColor="text1"/>
            </w:tcBorders>
            <w:shd w:val="clear" w:color="auto" w:fill="FFFFFF" w:themeFill="background1"/>
          </w:tcPr>
          <w:p w14:paraId="279BF936"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0.04</w:t>
            </w:r>
          </w:p>
        </w:tc>
        <w:tc>
          <w:tcPr>
            <w:tcW w:w="1735" w:type="dxa"/>
            <w:vMerge w:val="restart"/>
            <w:tcBorders>
              <w:top w:val="single" w:sz="18" w:space="0" w:color="000000" w:themeColor="text1"/>
            </w:tcBorders>
            <w:shd w:val="clear" w:color="auto" w:fill="FFFFFF" w:themeFill="background1"/>
          </w:tcPr>
          <w:p w14:paraId="25B45945" w14:textId="77777777" w:rsidR="0021157D" w:rsidRPr="00EC6C19" w:rsidRDefault="0021157D" w:rsidP="0021157D">
            <w:pPr>
              <w:spacing w:line="360" w:lineRule="auto"/>
              <w:jc w:val="center"/>
              <w:rPr>
                <w:rFonts w:ascii="Times New Roman" w:hAnsi="Times New Roman" w:cs="Times New Roman"/>
                <w:sz w:val="24"/>
                <w:szCs w:val="24"/>
              </w:rPr>
            </w:pPr>
          </w:p>
          <w:p w14:paraId="12D17EF1" w14:textId="77777777" w:rsidR="0021157D" w:rsidRPr="00EC6C19" w:rsidRDefault="0021157D" w:rsidP="0021157D">
            <w:pPr>
              <w:spacing w:line="360" w:lineRule="auto"/>
              <w:jc w:val="center"/>
              <w:rPr>
                <w:rFonts w:ascii="Times New Roman" w:hAnsi="Times New Roman" w:cs="Times New Roman"/>
                <w:sz w:val="24"/>
                <w:szCs w:val="24"/>
              </w:rPr>
            </w:pPr>
          </w:p>
          <w:p w14:paraId="09FF92FC" w14:textId="77777777" w:rsidR="0021157D" w:rsidRPr="00EC6C19" w:rsidRDefault="0021157D" w:rsidP="0021157D">
            <w:pPr>
              <w:spacing w:line="360" w:lineRule="auto"/>
              <w:jc w:val="center"/>
              <w:rPr>
                <w:rFonts w:ascii="Times New Roman" w:hAnsi="Times New Roman" w:cs="Times New Roman"/>
                <w:sz w:val="24"/>
                <w:szCs w:val="24"/>
              </w:rPr>
            </w:pPr>
          </w:p>
          <w:p w14:paraId="2CB68033" w14:textId="77777777" w:rsidR="0021157D" w:rsidRPr="00EC6C19" w:rsidRDefault="0021157D" w:rsidP="0021157D">
            <w:pPr>
              <w:spacing w:line="360" w:lineRule="auto"/>
              <w:jc w:val="center"/>
              <w:rPr>
                <w:rFonts w:ascii="Times New Roman" w:hAnsi="Times New Roman" w:cs="Times New Roman"/>
                <w:sz w:val="24"/>
                <w:szCs w:val="24"/>
              </w:rPr>
            </w:pPr>
          </w:p>
          <w:p w14:paraId="7060F645" w14:textId="77777777" w:rsidR="0021157D" w:rsidRPr="00EC6C19" w:rsidRDefault="0021157D" w:rsidP="0021157D">
            <w:pPr>
              <w:spacing w:line="360" w:lineRule="auto"/>
              <w:jc w:val="center"/>
              <w:rPr>
                <w:rFonts w:ascii="Times New Roman" w:hAnsi="Times New Roman" w:cs="Times New Roman"/>
                <w:sz w:val="24"/>
                <w:szCs w:val="24"/>
              </w:rPr>
            </w:pPr>
          </w:p>
          <w:p w14:paraId="52D4BBC9" w14:textId="77777777" w:rsidR="0021157D" w:rsidRPr="00EC6C19" w:rsidRDefault="0021157D" w:rsidP="0021157D">
            <w:pPr>
              <w:spacing w:line="360" w:lineRule="auto"/>
              <w:jc w:val="center"/>
              <w:rPr>
                <w:rFonts w:ascii="Times New Roman" w:hAnsi="Times New Roman" w:cs="Times New Roman"/>
                <w:sz w:val="24"/>
                <w:szCs w:val="24"/>
              </w:rPr>
            </w:pPr>
          </w:p>
          <w:p w14:paraId="4634FEA3" w14:textId="77777777" w:rsidR="0021157D" w:rsidRPr="00EC6C19" w:rsidRDefault="0021157D" w:rsidP="0021157D">
            <w:pPr>
              <w:spacing w:line="360" w:lineRule="auto"/>
              <w:jc w:val="center"/>
              <w:rPr>
                <w:rFonts w:ascii="Times New Roman" w:hAnsi="Times New Roman" w:cs="Times New Roman"/>
                <w:sz w:val="24"/>
                <w:szCs w:val="24"/>
              </w:rPr>
            </w:pPr>
          </w:p>
          <w:p w14:paraId="7A198D47" w14:textId="77777777" w:rsidR="0021157D" w:rsidRPr="00EC6C19" w:rsidRDefault="0021157D" w:rsidP="0021157D">
            <w:pPr>
              <w:spacing w:line="360" w:lineRule="auto"/>
              <w:jc w:val="center"/>
              <w:rPr>
                <w:rFonts w:ascii="Times New Roman" w:hAnsi="Times New Roman" w:cs="Times New Roman"/>
                <w:sz w:val="24"/>
                <w:szCs w:val="24"/>
              </w:rPr>
            </w:pPr>
          </w:p>
          <w:p w14:paraId="414DC35F" w14:textId="77777777" w:rsidR="0021157D" w:rsidRPr="00EC6C19" w:rsidRDefault="0021157D" w:rsidP="0021157D">
            <w:pPr>
              <w:spacing w:line="360" w:lineRule="auto"/>
              <w:jc w:val="center"/>
              <w:rPr>
                <w:rFonts w:ascii="Times New Roman" w:hAnsi="Times New Roman" w:cs="Times New Roman"/>
                <w:bCs/>
                <w:sz w:val="24"/>
                <w:szCs w:val="24"/>
              </w:rPr>
            </w:pPr>
            <w:r w:rsidRPr="00EC6C19">
              <w:rPr>
                <w:rFonts w:ascii="Times New Roman" w:hAnsi="Times New Roman" w:cs="Times New Roman"/>
                <w:sz w:val="24"/>
                <w:szCs w:val="24"/>
              </w:rPr>
              <w:t>P = 0.009</w:t>
            </w:r>
          </w:p>
          <w:p w14:paraId="5F4CE09D"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0595B09A" w14:textId="77777777" w:rsidTr="0021157D">
        <w:tc>
          <w:tcPr>
            <w:tcW w:w="1985" w:type="dxa"/>
            <w:shd w:val="clear" w:color="auto" w:fill="FFFFFF" w:themeFill="background1"/>
          </w:tcPr>
          <w:p w14:paraId="11DA0921"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3</w:t>
            </w:r>
          </w:p>
          <w:p w14:paraId="749CEBE3" w14:textId="77777777" w:rsidR="0021157D" w:rsidRPr="00EC6C19" w:rsidRDefault="0021157D"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43124672"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0.96</w:t>
            </w:r>
          </w:p>
        </w:tc>
        <w:tc>
          <w:tcPr>
            <w:tcW w:w="1956" w:type="dxa"/>
            <w:shd w:val="clear" w:color="auto" w:fill="FFFFFF" w:themeFill="background1"/>
          </w:tcPr>
          <w:p w14:paraId="2F255B4E"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0.99</w:t>
            </w:r>
          </w:p>
        </w:tc>
        <w:tc>
          <w:tcPr>
            <w:tcW w:w="1978" w:type="dxa"/>
            <w:shd w:val="clear" w:color="auto" w:fill="FFFFFF" w:themeFill="background1"/>
          </w:tcPr>
          <w:p w14:paraId="472C9BA6"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0.03</w:t>
            </w:r>
          </w:p>
        </w:tc>
        <w:tc>
          <w:tcPr>
            <w:tcW w:w="1735" w:type="dxa"/>
            <w:vMerge/>
            <w:shd w:val="clear" w:color="auto" w:fill="FFFFFF" w:themeFill="background1"/>
          </w:tcPr>
          <w:p w14:paraId="155C00C1"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0828839E" w14:textId="77777777" w:rsidTr="0021157D">
        <w:tc>
          <w:tcPr>
            <w:tcW w:w="1985" w:type="dxa"/>
            <w:shd w:val="clear" w:color="auto" w:fill="FFFFFF" w:themeFill="background1"/>
          </w:tcPr>
          <w:p w14:paraId="5AA4B82B"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6</w:t>
            </w:r>
          </w:p>
          <w:p w14:paraId="7C3A3A9C" w14:textId="77777777" w:rsidR="0021157D" w:rsidRPr="00EC6C19" w:rsidRDefault="0021157D"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60E76F93"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0.95</w:t>
            </w:r>
          </w:p>
        </w:tc>
        <w:tc>
          <w:tcPr>
            <w:tcW w:w="1956" w:type="dxa"/>
            <w:shd w:val="clear" w:color="auto" w:fill="FFFFFF" w:themeFill="background1"/>
          </w:tcPr>
          <w:p w14:paraId="29B052D0"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978" w:type="dxa"/>
            <w:shd w:val="clear" w:color="auto" w:fill="FFFFFF" w:themeFill="background1"/>
          </w:tcPr>
          <w:p w14:paraId="6C65CB6E"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735" w:type="dxa"/>
            <w:vMerge/>
            <w:shd w:val="clear" w:color="auto" w:fill="FFFFFF" w:themeFill="background1"/>
          </w:tcPr>
          <w:p w14:paraId="183A1AF2"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59CDBA19" w14:textId="77777777" w:rsidTr="0021157D">
        <w:tc>
          <w:tcPr>
            <w:tcW w:w="1985" w:type="dxa"/>
            <w:shd w:val="clear" w:color="auto" w:fill="FFFFFF" w:themeFill="background1"/>
          </w:tcPr>
          <w:p w14:paraId="154E05BD"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8</w:t>
            </w:r>
          </w:p>
          <w:p w14:paraId="6D3EE61E" w14:textId="77777777" w:rsidR="0021157D" w:rsidRPr="00EC6C19" w:rsidRDefault="0021157D"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210F1186"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0.92</w:t>
            </w:r>
          </w:p>
        </w:tc>
        <w:tc>
          <w:tcPr>
            <w:tcW w:w="1956" w:type="dxa"/>
            <w:shd w:val="clear" w:color="auto" w:fill="FFFFFF" w:themeFill="background1"/>
          </w:tcPr>
          <w:p w14:paraId="5A2008A3"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0.99</w:t>
            </w:r>
          </w:p>
        </w:tc>
        <w:tc>
          <w:tcPr>
            <w:tcW w:w="1978" w:type="dxa"/>
            <w:shd w:val="clear" w:color="auto" w:fill="FFFFFF" w:themeFill="background1"/>
          </w:tcPr>
          <w:p w14:paraId="19F82F95"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0.07</w:t>
            </w:r>
          </w:p>
        </w:tc>
        <w:tc>
          <w:tcPr>
            <w:tcW w:w="1735" w:type="dxa"/>
            <w:vMerge/>
            <w:shd w:val="clear" w:color="auto" w:fill="FFFFFF" w:themeFill="background1"/>
          </w:tcPr>
          <w:p w14:paraId="61461CDA"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215A35D8" w14:textId="77777777" w:rsidTr="0021157D">
        <w:tc>
          <w:tcPr>
            <w:tcW w:w="1985" w:type="dxa"/>
            <w:shd w:val="clear" w:color="auto" w:fill="FFFFFF" w:themeFill="background1"/>
          </w:tcPr>
          <w:p w14:paraId="4469484B"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21</w:t>
            </w:r>
          </w:p>
          <w:p w14:paraId="16073EB7" w14:textId="77777777" w:rsidR="0021157D" w:rsidRPr="00EC6C19" w:rsidRDefault="0021157D"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2EFDA150"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w:t>
            </w:r>
          </w:p>
        </w:tc>
        <w:tc>
          <w:tcPr>
            <w:tcW w:w="1956" w:type="dxa"/>
            <w:shd w:val="clear" w:color="auto" w:fill="FFFFFF" w:themeFill="background1"/>
          </w:tcPr>
          <w:p w14:paraId="532241B1"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0.98</w:t>
            </w:r>
          </w:p>
        </w:tc>
        <w:tc>
          <w:tcPr>
            <w:tcW w:w="1978" w:type="dxa"/>
            <w:shd w:val="clear" w:color="auto" w:fill="FFFFFF" w:themeFill="background1"/>
          </w:tcPr>
          <w:p w14:paraId="643F1604"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0.12</w:t>
            </w:r>
          </w:p>
        </w:tc>
        <w:tc>
          <w:tcPr>
            <w:tcW w:w="1735" w:type="dxa"/>
            <w:vMerge/>
            <w:shd w:val="clear" w:color="auto" w:fill="FFFFFF" w:themeFill="background1"/>
          </w:tcPr>
          <w:p w14:paraId="633C74D0"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4E64DD3D" w14:textId="77777777" w:rsidTr="0021157D">
        <w:tc>
          <w:tcPr>
            <w:tcW w:w="1985" w:type="dxa"/>
            <w:shd w:val="clear" w:color="auto" w:fill="FFFFFF" w:themeFill="background1"/>
          </w:tcPr>
          <w:p w14:paraId="1CD050A0"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22</w:t>
            </w:r>
          </w:p>
          <w:p w14:paraId="7EB1C397" w14:textId="77777777" w:rsidR="0021157D" w:rsidRPr="00EC6C19" w:rsidRDefault="0021157D"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04A98446"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0.94</w:t>
            </w:r>
          </w:p>
        </w:tc>
        <w:tc>
          <w:tcPr>
            <w:tcW w:w="1956" w:type="dxa"/>
            <w:shd w:val="clear" w:color="auto" w:fill="FFFFFF" w:themeFill="background1"/>
          </w:tcPr>
          <w:p w14:paraId="76443430"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0.96</w:t>
            </w:r>
          </w:p>
        </w:tc>
        <w:tc>
          <w:tcPr>
            <w:tcW w:w="1978" w:type="dxa"/>
            <w:shd w:val="clear" w:color="auto" w:fill="FFFFFF" w:themeFill="background1"/>
          </w:tcPr>
          <w:p w14:paraId="31930F92"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735" w:type="dxa"/>
            <w:vMerge/>
            <w:shd w:val="clear" w:color="auto" w:fill="FFFFFF" w:themeFill="background1"/>
          </w:tcPr>
          <w:p w14:paraId="71C930DF"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332CDF27" w14:textId="77777777" w:rsidTr="0021157D">
        <w:tc>
          <w:tcPr>
            <w:tcW w:w="1985" w:type="dxa"/>
            <w:shd w:val="clear" w:color="auto" w:fill="FFFFFF" w:themeFill="background1"/>
          </w:tcPr>
          <w:p w14:paraId="0E883B50"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23</w:t>
            </w:r>
          </w:p>
          <w:p w14:paraId="1B5830D9" w14:textId="77777777" w:rsidR="0021157D" w:rsidRPr="00EC6C19" w:rsidRDefault="0021157D"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2156C4EF"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0.94</w:t>
            </w:r>
          </w:p>
        </w:tc>
        <w:tc>
          <w:tcPr>
            <w:tcW w:w="1956" w:type="dxa"/>
            <w:shd w:val="clear" w:color="auto" w:fill="FFFFFF" w:themeFill="background1"/>
          </w:tcPr>
          <w:p w14:paraId="18CDBEF9"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978" w:type="dxa"/>
            <w:shd w:val="clear" w:color="auto" w:fill="FFFFFF" w:themeFill="background1"/>
          </w:tcPr>
          <w:p w14:paraId="28240823"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w:t>
            </w:r>
          </w:p>
        </w:tc>
        <w:tc>
          <w:tcPr>
            <w:tcW w:w="1735" w:type="dxa"/>
            <w:vMerge/>
            <w:shd w:val="clear" w:color="auto" w:fill="FFFFFF" w:themeFill="background1"/>
          </w:tcPr>
          <w:p w14:paraId="0958EA9B"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6886EB0A" w14:textId="77777777" w:rsidTr="0021157D">
        <w:tc>
          <w:tcPr>
            <w:tcW w:w="1985" w:type="dxa"/>
            <w:shd w:val="clear" w:color="auto" w:fill="FFFFFF" w:themeFill="background1"/>
          </w:tcPr>
          <w:p w14:paraId="5B79A066" w14:textId="7547FD73"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Mean (</w:t>
            </w:r>
            <w:r w:rsidR="00D97E85">
              <w:rPr>
                <w:rFonts w:ascii="Times New Roman" w:hAnsi="Times New Roman" w:cs="Times New Roman"/>
                <w:sz w:val="24"/>
                <w:szCs w:val="24"/>
              </w:rPr>
              <w:t>±</w:t>
            </w:r>
            <w:r w:rsidRPr="00EC6C19">
              <w:rPr>
                <w:rFonts w:ascii="Times New Roman" w:hAnsi="Times New Roman" w:cs="Times New Roman"/>
                <w:b/>
                <w:sz w:val="24"/>
                <w:szCs w:val="24"/>
              </w:rPr>
              <w:t>-SD)</w:t>
            </w:r>
          </w:p>
          <w:p w14:paraId="640B62F6" w14:textId="77777777" w:rsidR="0021157D" w:rsidRPr="00EC6C19" w:rsidRDefault="0021157D" w:rsidP="0021157D">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23E06584"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0.93 (0.03)</w:t>
            </w:r>
          </w:p>
        </w:tc>
        <w:tc>
          <w:tcPr>
            <w:tcW w:w="1956" w:type="dxa"/>
            <w:shd w:val="clear" w:color="auto" w:fill="FFFFFF" w:themeFill="background1"/>
          </w:tcPr>
          <w:p w14:paraId="72A32CE0"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0.98 (0.02)</w:t>
            </w:r>
          </w:p>
        </w:tc>
        <w:tc>
          <w:tcPr>
            <w:tcW w:w="1978" w:type="dxa"/>
            <w:shd w:val="clear" w:color="auto" w:fill="FFFFFF" w:themeFill="background1"/>
          </w:tcPr>
          <w:p w14:paraId="78FD88DB"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 (0.04)</w:t>
            </w:r>
          </w:p>
        </w:tc>
        <w:tc>
          <w:tcPr>
            <w:tcW w:w="1735" w:type="dxa"/>
            <w:vMerge/>
            <w:shd w:val="clear" w:color="auto" w:fill="FFFFFF" w:themeFill="background1"/>
          </w:tcPr>
          <w:p w14:paraId="31782096" w14:textId="77777777" w:rsidR="0021157D" w:rsidRPr="00EC6C19" w:rsidRDefault="0021157D" w:rsidP="0021157D">
            <w:pPr>
              <w:spacing w:line="360" w:lineRule="auto"/>
              <w:jc w:val="center"/>
              <w:rPr>
                <w:rFonts w:ascii="Times New Roman" w:hAnsi="Times New Roman" w:cs="Times New Roman"/>
                <w:sz w:val="24"/>
                <w:szCs w:val="24"/>
              </w:rPr>
            </w:pPr>
          </w:p>
        </w:tc>
      </w:tr>
    </w:tbl>
    <w:p w14:paraId="1AF3C297" w14:textId="77777777" w:rsidR="0021157D" w:rsidRPr="00EC6C19" w:rsidRDefault="0021157D" w:rsidP="00EE56BD">
      <w:pPr>
        <w:spacing w:line="360" w:lineRule="auto"/>
        <w:rPr>
          <w:rFonts w:ascii="Times New Roman" w:hAnsi="Times New Roman" w:cs="Times New Roman"/>
          <w:i/>
          <w:sz w:val="24"/>
          <w:szCs w:val="24"/>
        </w:rPr>
      </w:pPr>
    </w:p>
    <w:p w14:paraId="147CDA2C" w14:textId="77777777" w:rsidR="00EE56BD" w:rsidRPr="008630EC" w:rsidRDefault="008630EC" w:rsidP="008630EC">
      <w:pPr>
        <w:pStyle w:val="Caption"/>
        <w:spacing w:line="360" w:lineRule="auto"/>
        <w:rPr>
          <w:rFonts w:ascii="Times New Roman" w:hAnsi="Times New Roman" w:cs="Times New Roman"/>
          <w:b w:val="0"/>
          <w:i/>
          <w:color w:val="auto"/>
          <w:sz w:val="24"/>
          <w:szCs w:val="24"/>
        </w:rPr>
      </w:pPr>
      <w:bookmarkStart w:id="161" w:name="_Toc44962594"/>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18</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Cx Pd/Pa.</w:t>
      </w:r>
      <w:r w:rsidR="00E34299" w:rsidRPr="008630EC">
        <w:rPr>
          <w:rFonts w:ascii="Times New Roman" w:hAnsi="Times New Roman" w:cs="Times New Roman"/>
          <w:b w:val="0"/>
          <w:i/>
          <w:color w:val="auto"/>
          <w:sz w:val="24"/>
          <w:szCs w:val="24"/>
        </w:rPr>
        <w:t xml:space="preserve"> </w:t>
      </w:r>
      <w:r w:rsidR="00A00D25" w:rsidRPr="008630EC">
        <w:rPr>
          <w:rFonts w:ascii="Times New Roman" w:hAnsi="Times New Roman" w:cs="Times New Roman"/>
          <w:b w:val="0"/>
          <w:i/>
          <w:color w:val="auto"/>
          <w:sz w:val="24"/>
          <w:szCs w:val="24"/>
        </w:rPr>
        <w:t>Delta change</w:t>
      </w:r>
      <w:r w:rsidR="00E34299" w:rsidRPr="008630EC">
        <w:rPr>
          <w:rFonts w:ascii="Times New Roman" w:hAnsi="Times New Roman" w:cs="Times New Roman"/>
          <w:b w:val="0"/>
          <w:i/>
          <w:color w:val="auto"/>
          <w:sz w:val="24"/>
          <w:szCs w:val="24"/>
        </w:rPr>
        <w:t xml:space="preserve"> in Pd/Pa between prone and supine positioning in the circumflex artery</w:t>
      </w:r>
      <w:r w:rsidR="00DB7635" w:rsidRPr="008630EC">
        <w:rPr>
          <w:rFonts w:ascii="Times New Roman" w:hAnsi="Times New Roman" w:cs="Times New Roman"/>
          <w:b w:val="0"/>
          <w:i/>
          <w:color w:val="auto"/>
          <w:sz w:val="24"/>
          <w:szCs w:val="24"/>
        </w:rPr>
        <w:t xml:space="preserve">. </w:t>
      </w:r>
      <w:r w:rsidR="00E34299" w:rsidRPr="008630EC">
        <w:rPr>
          <w:rFonts w:ascii="Times New Roman" w:hAnsi="Times New Roman" w:cs="Times New Roman"/>
          <w:b w:val="0"/>
          <w:i/>
          <w:color w:val="auto"/>
          <w:sz w:val="24"/>
          <w:szCs w:val="24"/>
        </w:rPr>
        <w:t xml:space="preserve"> All values here changed as expected. The</w:t>
      </w:r>
      <w:r w:rsidR="00EE56BD" w:rsidRPr="008630EC">
        <w:rPr>
          <w:rFonts w:ascii="Times New Roman" w:hAnsi="Times New Roman" w:cs="Times New Roman"/>
          <w:b w:val="0"/>
          <w:i/>
          <w:color w:val="auto"/>
          <w:sz w:val="24"/>
          <w:szCs w:val="24"/>
        </w:rPr>
        <w:t xml:space="preserve"> results are statistically significant (p&lt;0.05)</w:t>
      </w:r>
      <w:bookmarkEnd w:id="161"/>
    </w:p>
    <w:p w14:paraId="14CA901F" w14:textId="77777777" w:rsidR="002A0A0E" w:rsidRPr="00EC6C19" w:rsidRDefault="002A0A0E" w:rsidP="00EE56BD">
      <w:pPr>
        <w:spacing w:line="360" w:lineRule="auto"/>
        <w:rPr>
          <w:rFonts w:ascii="Times New Roman" w:hAnsi="Times New Roman" w:cs="Times New Roman"/>
          <w:i/>
          <w:sz w:val="24"/>
          <w:szCs w:val="24"/>
        </w:rPr>
      </w:pPr>
    </w:p>
    <w:p w14:paraId="3A07A956" w14:textId="77777777" w:rsidR="00EE56BD" w:rsidRPr="00EC6C19" w:rsidRDefault="00EE56BD" w:rsidP="00EE56BD">
      <w:pPr>
        <w:ind w:left="-737"/>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039A1F92" wp14:editId="4AB9C65B">
            <wp:extent cx="6991350" cy="4848225"/>
            <wp:effectExtent l="0" t="0" r="0" b="0"/>
            <wp:docPr id="4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2F82B4C" w14:textId="77777777" w:rsidR="0021157D" w:rsidRPr="00EC6C19" w:rsidRDefault="0021157D" w:rsidP="00EE56BD">
      <w:pPr>
        <w:spacing w:line="360" w:lineRule="auto"/>
        <w:rPr>
          <w:rFonts w:ascii="Times New Roman" w:hAnsi="Times New Roman" w:cs="Times New Roman"/>
          <w:i/>
          <w:sz w:val="24"/>
          <w:szCs w:val="24"/>
        </w:rPr>
      </w:pPr>
    </w:p>
    <w:p w14:paraId="15A1E166" w14:textId="77777777" w:rsidR="00EE56BD" w:rsidRPr="00CF249E" w:rsidRDefault="00CF249E" w:rsidP="00CF249E">
      <w:pPr>
        <w:pStyle w:val="Caption"/>
        <w:spacing w:line="360" w:lineRule="auto"/>
        <w:rPr>
          <w:rFonts w:ascii="Times New Roman" w:hAnsi="Times New Roman" w:cs="Times New Roman"/>
          <w:b w:val="0"/>
          <w:i/>
          <w:color w:val="auto"/>
          <w:sz w:val="24"/>
          <w:szCs w:val="24"/>
        </w:rPr>
      </w:pPr>
      <w:bookmarkStart w:id="162" w:name="_Toc44684924"/>
      <w:r w:rsidRPr="00CF249E">
        <w:rPr>
          <w:rFonts w:ascii="Times New Roman" w:hAnsi="Times New Roman" w:cs="Times New Roman"/>
          <w:b w:val="0"/>
          <w:i/>
          <w:color w:val="auto"/>
          <w:sz w:val="24"/>
          <w:szCs w:val="24"/>
        </w:rPr>
        <w:t xml:space="preserve">Figure </w:t>
      </w:r>
      <w:r w:rsidR="00106A32" w:rsidRPr="00CF249E">
        <w:rPr>
          <w:rFonts w:ascii="Times New Roman" w:hAnsi="Times New Roman" w:cs="Times New Roman"/>
          <w:b w:val="0"/>
          <w:i/>
          <w:color w:val="auto"/>
          <w:sz w:val="24"/>
          <w:szCs w:val="24"/>
        </w:rPr>
        <w:fldChar w:fldCharType="begin"/>
      </w:r>
      <w:r w:rsidRPr="00CF249E">
        <w:rPr>
          <w:rFonts w:ascii="Times New Roman" w:hAnsi="Times New Roman" w:cs="Times New Roman"/>
          <w:b w:val="0"/>
          <w:i/>
          <w:color w:val="auto"/>
          <w:sz w:val="24"/>
          <w:szCs w:val="24"/>
        </w:rPr>
        <w:instrText xml:space="preserve"> SEQ Figure \* ARABIC </w:instrText>
      </w:r>
      <w:r w:rsidR="00106A32" w:rsidRPr="00CF249E">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35</w:t>
      </w:r>
      <w:r w:rsidR="00106A32" w:rsidRPr="00CF249E">
        <w:rPr>
          <w:rFonts w:ascii="Times New Roman" w:hAnsi="Times New Roman" w:cs="Times New Roman"/>
          <w:b w:val="0"/>
          <w:i/>
          <w:color w:val="auto"/>
          <w:sz w:val="24"/>
          <w:szCs w:val="24"/>
        </w:rPr>
        <w:fldChar w:fldCharType="end"/>
      </w:r>
      <w:r w:rsidRPr="00CF249E">
        <w:rPr>
          <w:rFonts w:ascii="Times New Roman" w:hAnsi="Times New Roman" w:cs="Times New Roman"/>
          <w:b w:val="0"/>
          <w:i/>
          <w:color w:val="auto"/>
          <w:sz w:val="24"/>
          <w:szCs w:val="24"/>
        </w:rPr>
        <w:t xml:space="preserve"> - Cx Pd/Pa Delta Change - </w:t>
      </w:r>
      <w:r w:rsidR="00A00D25" w:rsidRPr="00CF249E">
        <w:rPr>
          <w:rFonts w:ascii="Times New Roman" w:hAnsi="Times New Roman" w:cs="Times New Roman"/>
          <w:b w:val="0"/>
          <w:i/>
          <w:color w:val="auto"/>
          <w:sz w:val="24"/>
          <w:szCs w:val="24"/>
        </w:rPr>
        <w:t>between prone and supine positioning</w:t>
      </w:r>
      <w:r w:rsidR="00EE56BD" w:rsidRPr="00CF249E">
        <w:rPr>
          <w:rFonts w:ascii="Times New Roman" w:hAnsi="Times New Roman" w:cs="Times New Roman"/>
          <w:b w:val="0"/>
          <w:i/>
          <w:color w:val="auto"/>
          <w:sz w:val="24"/>
          <w:szCs w:val="24"/>
        </w:rPr>
        <w:t>.</w:t>
      </w:r>
      <w:r w:rsidR="00E80F29" w:rsidRPr="00CF249E">
        <w:rPr>
          <w:rFonts w:ascii="Times New Roman" w:hAnsi="Times New Roman" w:cs="Times New Roman"/>
          <w:b w:val="0"/>
          <w:i/>
          <w:color w:val="auto"/>
          <w:sz w:val="24"/>
          <w:szCs w:val="24"/>
        </w:rPr>
        <w:t xml:space="preserve"> </w:t>
      </w:r>
      <w:r w:rsidR="0061168F" w:rsidRPr="00CF249E">
        <w:rPr>
          <w:rFonts w:ascii="Times New Roman" w:hAnsi="Times New Roman" w:cs="Times New Roman"/>
          <w:b w:val="0"/>
          <w:i/>
          <w:color w:val="auto"/>
          <w:sz w:val="24"/>
          <w:szCs w:val="24"/>
        </w:rPr>
        <w:t>Mean values are in red. The results are statistically significant. (p&lt;0.05).</w:t>
      </w:r>
      <w:bookmarkEnd w:id="162"/>
    </w:p>
    <w:p w14:paraId="7E50B0E9" w14:textId="77777777" w:rsidR="0061168F" w:rsidRPr="00EC6C19" w:rsidRDefault="0061168F" w:rsidP="0061168F">
      <w:pPr>
        <w:spacing w:line="360" w:lineRule="auto"/>
        <w:rPr>
          <w:rFonts w:ascii="Times New Roman" w:hAnsi="Times New Roman" w:cs="Times New Roman"/>
          <w:sz w:val="24"/>
          <w:szCs w:val="24"/>
        </w:rPr>
      </w:pPr>
    </w:p>
    <w:p w14:paraId="789FD6F3" w14:textId="77777777" w:rsidR="002A0A0E" w:rsidRPr="00EC6C19" w:rsidRDefault="002A0A0E" w:rsidP="002A0A0E">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Right Coronary Artery Measurements</w:t>
      </w:r>
    </w:p>
    <w:p w14:paraId="27060F4E" w14:textId="77777777" w:rsidR="002A0A0E" w:rsidRPr="00EC6C19" w:rsidRDefault="002A0A0E" w:rsidP="002A0A0E">
      <w:pPr>
        <w:spacing w:line="360" w:lineRule="auto"/>
        <w:rPr>
          <w:rFonts w:ascii="Times New Roman" w:hAnsi="Times New Roman" w:cs="Times New Roman"/>
          <w:i/>
          <w:sz w:val="24"/>
          <w:szCs w:val="24"/>
          <w:u w:val="single"/>
        </w:rPr>
      </w:pPr>
    </w:p>
    <w:p w14:paraId="2E85F3E3" w14:textId="77777777" w:rsidR="00EE56BD" w:rsidRPr="00EC6C19" w:rsidRDefault="008630EC" w:rsidP="00CE002A">
      <w:pPr>
        <w:spacing w:line="360" w:lineRule="auto"/>
        <w:rPr>
          <w:rFonts w:ascii="Times New Roman" w:hAnsi="Times New Roman" w:cs="Times New Roman"/>
          <w:sz w:val="24"/>
          <w:szCs w:val="24"/>
        </w:rPr>
      </w:pPr>
      <w:r w:rsidRPr="008630EC">
        <w:rPr>
          <w:rFonts w:ascii="Times New Roman" w:hAnsi="Times New Roman" w:cs="Times New Roman"/>
          <w:sz w:val="24"/>
          <w:szCs w:val="24"/>
        </w:rPr>
        <w:t>Table 19</w:t>
      </w:r>
      <w:r w:rsidR="000012F6" w:rsidRPr="00EC6C19">
        <w:rPr>
          <w:rFonts w:ascii="Times New Roman" w:hAnsi="Times New Roman" w:cs="Times New Roman"/>
          <w:color w:val="FF0000"/>
          <w:sz w:val="24"/>
          <w:szCs w:val="24"/>
        </w:rPr>
        <w:t xml:space="preserve"> </w:t>
      </w:r>
      <w:r w:rsidR="000012F6" w:rsidRPr="00C51A0A">
        <w:rPr>
          <w:rFonts w:ascii="Times New Roman" w:hAnsi="Times New Roman" w:cs="Times New Roman"/>
          <w:sz w:val="24"/>
          <w:szCs w:val="24"/>
        </w:rPr>
        <w:t xml:space="preserve">and Figure </w:t>
      </w:r>
      <w:r w:rsidR="00C51A0A" w:rsidRPr="00C51A0A">
        <w:rPr>
          <w:rFonts w:ascii="Times New Roman" w:hAnsi="Times New Roman" w:cs="Times New Roman"/>
          <w:sz w:val="24"/>
          <w:szCs w:val="24"/>
        </w:rPr>
        <w:t>36</w:t>
      </w:r>
      <w:r w:rsidR="003B4D5A" w:rsidRPr="00EC6C19">
        <w:rPr>
          <w:rFonts w:ascii="Times New Roman" w:hAnsi="Times New Roman" w:cs="Times New Roman"/>
          <w:color w:val="FF0000"/>
          <w:sz w:val="24"/>
          <w:szCs w:val="24"/>
        </w:rPr>
        <w:t xml:space="preserve"> </w:t>
      </w:r>
      <w:r w:rsidR="003B4D5A" w:rsidRPr="00EC6C19">
        <w:rPr>
          <w:rFonts w:ascii="Times New Roman" w:hAnsi="Times New Roman" w:cs="Times New Roman"/>
          <w:sz w:val="24"/>
          <w:szCs w:val="24"/>
        </w:rPr>
        <w:t>summarise</w:t>
      </w:r>
      <w:r w:rsidR="00D43074" w:rsidRPr="00EC6C19">
        <w:rPr>
          <w:rFonts w:ascii="Times New Roman" w:hAnsi="Times New Roman" w:cs="Times New Roman"/>
          <w:sz w:val="24"/>
          <w:szCs w:val="24"/>
        </w:rPr>
        <w:t xml:space="preserve"> </w:t>
      </w:r>
      <w:r w:rsidR="000012F6" w:rsidRPr="00EC6C19">
        <w:rPr>
          <w:rFonts w:ascii="Times New Roman" w:hAnsi="Times New Roman" w:cs="Times New Roman"/>
          <w:sz w:val="24"/>
          <w:szCs w:val="24"/>
        </w:rPr>
        <w:t>all</w:t>
      </w:r>
      <w:r w:rsidR="003B4D5A" w:rsidRPr="00EC6C19">
        <w:rPr>
          <w:rFonts w:ascii="Times New Roman" w:hAnsi="Times New Roman" w:cs="Times New Roman"/>
          <w:sz w:val="24"/>
          <w:szCs w:val="24"/>
        </w:rPr>
        <w:t xml:space="preserve"> RCA</w:t>
      </w:r>
      <w:r w:rsidR="000012F6" w:rsidRPr="00EC6C19">
        <w:rPr>
          <w:rFonts w:ascii="Times New Roman" w:hAnsi="Times New Roman" w:cs="Times New Roman"/>
          <w:sz w:val="24"/>
          <w:szCs w:val="24"/>
        </w:rPr>
        <w:t xml:space="preserve"> data</w:t>
      </w:r>
      <w:r w:rsidR="003B4D5A" w:rsidRPr="00EC6C19">
        <w:rPr>
          <w:rFonts w:ascii="Times New Roman" w:hAnsi="Times New Roman" w:cs="Times New Roman"/>
          <w:color w:val="FF0000"/>
          <w:sz w:val="24"/>
          <w:szCs w:val="24"/>
        </w:rPr>
        <w:t xml:space="preserve">. </w:t>
      </w:r>
      <w:r w:rsidR="005675CD" w:rsidRPr="00EC6C19">
        <w:rPr>
          <w:rFonts w:ascii="Times New Roman" w:hAnsi="Times New Roman" w:cs="Times New Roman"/>
          <w:sz w:val="24"/>
          <w:szCs w:val="24"/>
        </w:rPr>
        <w:t xml:space="preserve">The </w:t>
      </w:r>
      <w:r w:rsidR="00DB7635" w:rsidRPr="00EC6C19">
        <w:rPr>
          <w:rFonts w:ascii="Times New Roman" w:hAnsi="Times New Roman" w:cs="Times New Roman"/>
          <w:sz w:val="24"/>
          <w:szCs w:val="24"/>
        </w:rPr>
        <w:t xml:space="preserve">mean </w:t>
      </w:r>
      <w:r w:rsidR="005675CD" w:rsidRPr="00EC6C19">
        <w:rPr>
          <w:rFonts w:ascii="Times New Roman" w:hAnsi="Times New Roman" w:cs="Times New Roman"/>
          <w:sz w:val="24"/>
          <w:szCs w:val="24"/>
        </w:rPr>
        <w:t>delta change</w:t>
      </w:r>
      <w:r w:rsidR="00F134B3" w:rsidRPr="00EC6C19">
        <w:rPr>
          <w:rFonts w:ascii="Times New Roman" w:hAnsi="Times New Roman" w:cs="Times New Roman"/>
          <w:sz w:val="24"/>
          <w:szCs w:val="24"/>
        </w:rPr>
        <w:t xml:space="preserve"> of 0.0</w:t>
      </w:r>
      <w:r w:rsidR="000012F6" w:rsidRPr="00EC6C19">
        <w:rPr>
          <w:rFonts w:ascii="Times New Roman" w:hAnsi="Times New Roman" w:cs="Times New Roman"/>
          <w:sz w:val="24"/>
          <w:szCs w:val="24"/>
        </w:rPr>
        <w:t>5</w:t>
      </w:r>
      <w:r w:rsidR="00F134B3" w:rsidRPr="00EC6C19">
        <w:rPr>
          <w:rFonts w:ascii="Times New Roman" w:hAnsi="Times New Roman" w:cs="Times New Roman"/>
          <w:sz w:val="24"/>
          <w:szCs w:val="24"/>
        </w:rPr>
        <w:t xml:space="preserve"> was</w:t>
      </w:r>
      <w:r w:rsidR="005675CD" w:rsidRPr="00EC6C19">
        <w:rPr>
          <w:rFonts w:ascii="Times New Roman" w:hAnsi="Times New Roman" w:cs="Times New Roman"/>
          <w:sz w:val="24"/>
          <w:szCs w:val="24"/>
        </w:rPr>
        <w:t xml:space="preserve"> statisticall</w:t>
      </w:r>
      <w:r w:rsidR="00DB7635" w:rsidRPr="00EC6C19">
        <w:rPr>
          <w:rFonts w:ascii="Times New Roman" w:hAnsi="Times New Roman" w:cs="Times New Roman"/>
          <w:sz w:val="24"/>
          <w:szCs w:val="24"/>
        </w:rPr>
        <w:t>y significant (p=0.032</w:t>
      </w:r>
      <w:r w:rsidR="005675CD" w:rsidRPr="00EC6C19">
        <w:rPr>
          <w:rFonts w:ascii="Times New Roman" w:hAnsi="Times New Roman" w:cs="Times New Roman"/>
          <w:sz w:val="24"/>
          <w:szCs w:val="24"/>
        </w:rPr>
        <w:t>).</w:t>
      </w:r>
      <w:r w:rsidR="00D43074" w:rsidRPr="00EC6C19">
        <w:rPr>
          <w:rFonts w:ascii="Times New Roman" w:hAnsi="Times New Roman" w:cs="Times New Roman"/>
          <w:sz w:val="24"/>
          <w:szCs w:val="24"/>
        </w:rPr>
        <w:t xml:space="preserve"> </w:t>
      </w:r>
    </w:p>
    <w:tbl>
      <w:tblPr>
        <w:tblW w:w="0" w:type="auto"/>
        <w:tblLook w:val="04A0" w:firstRow="1" w:lastRow="0" w:firstColumn="1" w:lastColumn="0" w:noHBand="0" w:noVBand="1"/>
      </w:tblPr>
      <w:tblGrid>
        <w:gridCol w:w="2184"/>
        <w:gridCol w:w="1636"/>
        <w:gridCol w:w="1911"/>
        <w:gridCol w:w="1936"/>
        <w:gridCol w:w="1693"/>
      </w:tblGrid>
      <w:tr w:rsidR="005675CD" w:rsidRPr="00EC6C19" w14:paraId="5AF13E7C" w14:textId="77777777" w:rsidTr="007F1334">
        <w:tc>
          <w:tcPr>
            <w:tcW w:w="2235" w:type="dxa"/>
            <w:tcBorders>
              <w:bottom w:val="single" w:sz="18" w:space="0" w:color="000000" w:themeColor="text1"/>
            </w:tcBorders>
            <w:shd w:val="clear" w:color="auto" w:fill="F2F2F2" w:themeFill="background1" w:themeFillShade="F2"/>
          </w:tcPr>
          <w:p w14:paraId="63EA090E" w14:textId="77777777" w:rsidR="005675CD" w:rsidRPr="00EC6C19" w:rsidRDefault="005675C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Case Number</w:t>
            </w:r>
          </w:p>
        </w:tc>
        <w:tc>
          <w:tcPr>
            <w:tcW w:w="1672" w:type="dxa"/>
            <w:tcBorders>
              <w:bottom w:val="single" w:sz="18" w:space="0" w:color="000000" w:themeColor="text1"/>
            </w:tcBorders>
            <w:shd w:val="clear" w:color="auto" w:fill="F2F2F2" w:themeFill="background1" w:themeFillShade="F2"/>
          </w:tcPr>
          <w:p w14:paraId="246A43C4" w14:textId="77777777" w:rsidR="005675CD" w:rsidRPr="00EC6C19" w:rsidRDefault="005675C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Prone Pd/Pa</w:t>
            </w:r>
          </w:p>
        </w:tc>
        <w:tc>
          <w:tcPr>
            <w:tcW w:w="1956" w:type="dxa"/>
            <w:tcBorders>
              <w:bottom w:val="single" w:sz="18" w:space="0" w:color="000000" w:themeColor="text1"/>
            </w:tcBorders>
            <w:shd w:val="clear" w:color="auto" w:fill="F2F2F2" w:themeFill="background1" w:themeFillShade="F2"/>
          </w:tcPr>
          <w:p w14:paraId="1BB67C57" w14:textId="77777777" w:rsidR="005675CD" w:rsidRPr="00EC6C19" w:rsidRDefault="005675C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Supine Pd/Pa</w:t>
            </w:r>
          </w:p>
        </w:tc>
        <w:tc>
          <w:tcPr>
            <w:tcW w:w="1978" w:type="dxa"/>
            <w:tcBorders>
              <w:bottom w:val="single" w:sz="18" w:space="0" w:color="000000" w:themeColor="text1"/>
            </w:tcBorders>
            <w:shd w:val="clear" w:color="auto" w:fill="F2F2F2" w:themeFill="background1" w:themeFillShade="F2"/>
          </w:tcPr>
          <w:p w14:paraId="42CCC9AE" w14:textId="77777777" w:rsidR="005675CD" w:rsidRPr="00EC6C19" w:rsidRDefault="005675C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Delta Change</w:t>
            </w:r>
          </w:p>
        </w:tc>
        <w:tc>
          <w:tcPr>
            <w:tcW w:w="1735" w:type="dxa"/>
            <w:tcBorders>
              <w:bottom w:val="single" w:sz="18" w:space="0" w:color="000000" w:themeColor="text1"/>
            </w:tcBorders>
            <w:shd w:val="clear" w:color="auto" w:fill="F2F2F2" w:themeFill="background1" w:themeFillShade="F2"/>
          </w:tcPr>
          <w:p w14:paraId="4561FB44" w14:textId="77777777" w:rsidR="005675CD" w:rsidRPr="00EC6C19" w:rsidRDefault="005675CD" w:rsidP="0021157D">
            <w:pPr>
              <w:spacing w:line="360" w:lineRule="auto"/>
              <w:jc w:val="center"/>
              <w:rPr>
                <w:rFonts w:ascii="Times New Roman" w:hAnsi="Times New Roman" w:cs="Times New Roman"/>
                <w:b/>
                <w:sz w:val="24"/>
                <w:szCs w:val="24"/>
              </w:rPr>
            </w:pPr>
          </w:p>
        </w:tc>
      </w:tr>
      <w:tr w:rsidR="0021157D" w:rsidRPr="00EC6C19" w14:paraId="6A089206" w14:textId="77777777" w:rsidTr="007F1334">
        <w:tc>
          <w:tcPr>
            <w:tcW w:w="2235" w:type="dxa"/>
            <w:tcBorders>
              <w:top w:val="single" w:sz="18" w:space="0" w:color="000000" w:themeColor="text1"/>
            </w:tcBorders>
            <w:shd w:val="clear" w:color="auto" w:fill="FFFFFF" w:themeFill="background1"/>
          </w:tcPr>
          <w:p w14:paraId="73F712A1"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5 (PDA)</w:t>
            </w:r>
          </w:p>
          <w:p w14:paraId="6892A6CB" w14:textId="77777777" w:rsidR="0021157D" w:rsidRPr="00EC6C19" w:rsidRDefault="0021157D" w:rsidP="0021157D">
            <w:pPr>
              <w:spacing w:line="360" w:lineRule="auto"/>
              <w:jc w:val="center"/>
              <w:rPr>
                <w:rFonts w:ascii="Times New Roman" w:hAnsi="Times New Roman" w:cs="Times New Roman"/>
                <w:b/>
                <w:sz w:val="24"/>
                <w:szCs w:val="24"/>
              </w:rPr>
            </w:pPr>
          </w:p>
        </w:tc>
        <w:tc>
          <w:tcPr>
            <w:tcW w:w="1672" w:type="dxa"/>
            <w:tcBorders>
              <w:top w:val="single" w:sz="18" w:space="0" w:color="000000" w:themeColor="text1"/>
            </w:tcBorders>
            <w:shd w:val="clear" w:color="auto" w:fill="FFFFFF" w:themeFill="background1"/>
          </w:tcPr>
          <w:p w14:paraId="5D15A0C5"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w:t>
            </w:r>
          </w:p>
        </w:tc>
        <w:tc>
          <w:tcPr>
            <w:tcW w:w="1956" w:type="dxa"/>
            <w:tcBorders>
              <w:top w:val="single" w:sz="18" w:space="0" w:color="000000" w:themeColor="text1"/>
            </w:tcBorders>
            <w:shd w:val="clear" w:color="auto" w:fill="FFFFFF" w:themeFill="background1"/>
          </w:tcPr>
          <w:p w14:paraId="21C59C68"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0.87</w:t>
            </w:r>
          </w:p>
        </w:tc>
        <w:tc>
          <w:tcPr>
            <w:tcW w:w="1978" w:type="dxa"/>
            <w:tcBorders>
              <w:top w:val="single" w:sz="18" w:space="0" w:color="000000" w:themeColor="text1"/>
            </w:tcBorders>
            <w:shd w:val="clear" w:color="auto" w:fill="FFFFFF" w:themeFill="background1"/>
          </w:tcPr>
          <w:p w14:paraId="350DF868"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0.03</w:t>
            </w:r>
          </w:p>
        </w:tc>
        <w:tc>
          <w:tcPr>
            <w:tcW w:w="1735" w:type="dxa"/>
            <w:vMerge w:val="restart"/>
            <w:tcBorders>
              <w:top w:val="single" w:sz="18" w:space="0" w:color="000000" w:themeColor="text1"/>
            </w:tcBorders>
            <w:shd w:val="clear" w:color="auto" w:fill="FFFFFF" w:themeFill="background1"/>
          </w:tcPr>
          <w:p w14:paraId="73FF7137" w14:textId="77777777" w:rsidR="0021157D" w:rsidRPr="00EC6C19" w:rsidRDefault="0021157D" w:rsidP="0021157D">
            <w:pPr>
              <w:spacing w:line="360" w:lineRule="auto"/>
              <w:jc w:val="center"/>
              <w:rPr>
                <w:rFonts w:ascii="Times New Roman" w:hAnsi="Times New Roman" w:cs="Times New Roman"/>
                <w:sz w:val="24"/>
                <w:szCs w:val="24"/>
              </w:rPr>
            </w:pPr>
          </w:p>
          <w:p w14:paraId="29A7371B" w14:textId="77777777" w:rsidR="0021157D" w:rsidRPr="00EC6C19" w:rsidRDefault="0021157D" w:rsidP="0021157D">
            <w:pPr>
              <w:spacing w:line="360" w:lineRule="auto"/>
              <w:jc w:val="center"/>
              <w:rPr>
                <w:rFonts w:ascii="Times New Roman" w:hAnsi="Times New Roman" w:cs="Times New Roman"/>
                <w:sz w:val="24"/>
                <w:szCs w:val="24"/>
              </w:rPr>
            </w:pPr>
          </w:p>
          <w:p w14:paraId="0EF9BE7C" w14:textId="77777777" w:rsidR="0021157D" w:rsidRPr="00EC6C19" w:rsidRDefault="0021157D" w:rsidP="0021157D">
            <w:pPr>
              <w:spacing w:line="360" w:lineRule="auto"/>
              <w:jc w:val="center"/>
              <w:rPr>
                <w:rFonts w:ascii="Times New Roman" w:hAnsi="Times New Roman" w:cs="Times New Roman"/>
                <w:sz w:val="24"/>
                <w:szCs w:val="24"/>
              </w:rPr>
            </w:pPr>
          </w:p>
          <w:p w14:paraId="1E0D4CF4" w14:textId="77777777" w:rsidR="0021157D" w:rsidRPr="00EC6C19" w:rsidRDefault="0021157D" w:rsidP="0021157D">
            <w:pPr>
              <w:spacing w:line="360" w:lineRule="auto"/>
              <w:jc w:val="center"/>
              <w:rPr>
                <w:rFonts w:ascii="Times New Roman" w:hAnsi="Times New Roman" w:cs="Times New Roman"/>
                <w:sz w:val="24"/>
                <w:szCs w:val="24"/>
              </w:rPr>
            </w:pPr>
          </w:p>
          <w:p w14:paraId="7F4DDF10" w14:textId="77777777" w:rsidR="0021157D" w:rsidRPr="00EC6C19" w:rsidRDefault="0021157D" w:rsidP="0021157D">
            <w:pPr>
              <w:spacing w:line="360" w:lineRule="auto"/>
              <w:jc w:val="center"/>
              <w:rPr>
                <w:rFonts w:ascii="Times New Roman" w:hAnsi="Times New Roman" w:cs="Times New Roman"/>
                <w:sz w:val="24"/>
                <w:szCs w:val="24"/>
              </w:rPr>
            </w:pPr>
          </w:p>
          <w:p w14:paraId="69737261" w14:textId="77777777" w:rsidR="0021157D" w:rsidRPr="00EC6C19" w:rsidRDefault="0021157D" w:rsidP="0021157D">
            <w:pPr>
              <w:spacing w:line="360" w:lineRule="auto"/>
              <w:jc w:val="center"/>
              <w:rPr>
                <w:rFonts w:ascii="Times New Roman" w:hAnsi="Times New Roman" w:cs="Times New Roman"/>
                <w:sz w:val="24"/>
                <w:szCs w:val="24"/>
              </w:rPr>
            </w:pPr>
          </w:p>
          <w:p w14:paraId="0CF7DFF6" w14:textId="77777777" w:rsidR="0021157D" w:rsidRPr="00EC6C19" w:rsidRDefault="0021157D" w:rsidP="0021157D">
            <w:pPr>
              <w:spacing w:line="360" w:lineRule="auto"/>
              <w:jc w:val="center"/>
              <w:rPr>
                <w:rFonts w:ascii="Times New Roman" w:hAnsi="Times New Roman" w:cs="Times New Roman"/>
                <w:sz w:val="24"/>
                <w:szCs w:val="24"/>
              </w:rPr>
            </w:pPr>
          </w:p>
          <w:p w14:paraId="1C57A95A"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 = 0.032</w:t>
            </w:r>
          </w:p>
        </w:tc>
      </w:tr>
      <w:tr w:rsidR="0021157D" w:rsidRPr="00EC6C19" w14:paraId="0AB33FA7" w14:textId="77777777" w:rsidTr="0021157D">
        <w:tc>
          <w:tcPr>
            <w:tcW w:w="2235" w:type="dxa"/>
            <w:shd w:val="clear" w:color="auto" w:fill="FFFFFF" w:themeFill="background1"/>
          </w:tcPr>
          <w:p w14:paraId="65D6D016"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14  (PDA)</w:t>
            </w:r>
          </w:p>
          <w:p w14:paraId="7CF9C902" w14:textId="77777777" w:rsidR="0021157D" w:rsidRPr="00EC6C19" w:rsidRDefault="0021157D" w:rsidP="0021157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15A15CF2"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0.95</w:t>
            </w:r>
          </w:p>
        </w:tc>
        <w:tc>
          <w:tcPr>
            <w:tcW w:w="1956" w:type="dxa"/>
            <w:shd w:val="clear" w:color="auto" w:fill="FFFFFF" w:themeFill="background1"/>
          </w:tcPr>
          <w:p w14:paraId="6A777645"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0.95</w:t>
            </w:r>
          </w:p>
        </w:tc>
        <w:tc>
          <w:tcPr>
            <w:tcW w:w="1978" w:type="dxa"/>
            <w:shd w:val="clear" w:color="auto" w:fill="FFFFFF" w:themeFill="background1"/>
          </w:tcPr>
          <w:p w14:paraId="0401246A"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0.00</w:t>
            </w:r>
          </w:p>
        </w:tc>
        <w:tc>
          <w:tcPr>
            <w:tcW w:w="1735" w:type="dxa"/>
            <w:vMerge/>
            <w:shd w:val="clear" w:color="auto" w:fill="FFFFFF" w:themeFill="background1"/>
          </w:tcPr>
          <w:p w14:paraId="3ADEA6D6"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70DE9866" w14:textId="77777777" w:rsidTr="0021157D">
        <w:tc>
          <w:tcPr>
            <w:tcW w:w="2235" w:type="dxa"/>
            <w:shd w:val="clear" w:color="auto" w:fill="FFFFFF" w:themeFill="background1"/>
          </w:tcPr>
          <w:p w14:paraId="199DB054"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PDA Mean (+SD)</w:t>
            </w:r>
          </w:p>
          <w:p w14:paraId="51824501" w14:textId="77777777" w:rsidR="0021157D" w:rsidRPr="00EC6C19" w:rsidRDefault="0021157D" w:rsidP="0021157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0D9E23F0"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0.93 (0.03)</w:t>
            </w:r>
          </w:p>
        </w:tc>
        <w:tc>
          <w:tcPr>
            <w:tcW w:w="1956" w:type="dxa"/>
            <w:shd w:val="clear" w:color="auto" w:fill="FFFFFF" w:themeFill="background1"/>
          </w:tcPr>
          <w:p w14:paraId="06D5693C"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 (0.06)</w:t>
            </w:r>
          </w:p>
        </w:tc>
        <w:tc>
          <w:tcPr>
            <w:tcW w:w="1978" w:type="dxa"/>
            <w:shd w:val="clear" w:color="auto" w:fill="FFFFFF" w:themeFill="background1"/>
          </w:tcPr>
          <w:p w14:paraId="4432DB5E"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 (0.02)</w:t>
            </w:r>
          </w:p>
        </w:tc>
        <w:tc>
          <w:tcPr>
            <w:tcW w:w="1735" w:type="dxa"/>
            <w:vMerge/>
            <w:shd w:val="clear" w:color="auto" w:fill="FFFFFF" w:themeFill="background1"/>
          </w:tcPr>
          <w:p w14:paraId="6E16844E"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5B9F21AA" w14:textId="77777777" w:rsidTr="0021157D">
        <w:tc>
          <w:tcPr>
            <w:tcW w:w="2235" w:type="dxa"/>
            <w:shd w:val="clear" w:color="auto" w:fill="FFFFFF" w:themeFill="background1"/>
          </w:tcPr>
          <w:p w14:paraId="268968D5"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12 (PLV)</w:t>
            </w:r>
          </w:p>
          <w:p w14:paraId="00877CE3" w14:textId="77777777" w:rsidR="0021157D" w:rsidRPr="00EC6C19" w:rsidRDefault="0021157D" w:rsidP="0021157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68CECB35"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0.96</w:t>
            </w:r>
          </w:p>
        </w:tc>
        <w:tc>
          <w:tcPr>
            <w:tcW w:w="1956" w:type="dxa"/>
            <w:shd w:val="clear" w:color="auto" w:fill="FFFFFF" w:themeFill="background1"/>
          </w:tcPr>
          <w:p w14:paraId="605699AD"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0.99</w:t>
            </w:r>
          </w:p>
        </w:tc>
        <w:tc>
          <w:tcPr>
            <w:tcW w:w="1978" w:type="dxa"/>
            <w:shd w:val="clear" w:color="auto" w:fill="FFFFFF" w:themeFill="background1"/>
          </w:tcPr>
          <w:p w14:paraId="75527CF4"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0.03</w:t>
            </w:r>
          </w:p>
        </w:tc>
        <w:tc>
          <w:tcPr>
            <w:tcW w:w="1735" w:type="dxa"/>
            <w:vMerge/>
            <w:shd w:val="clear" w:color="auto" w:fill="FFFFFF" w:themeFill="background1"/>
          </w:tcPr>
          <w:p w14:paraId="7890872F"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678DCEB4" w14:textId="77777777" w:rsidTr="0021157D">
        <w:tc>
          <w:tcPr>
            <w:tcW w:w="2235" w:type="dxa"/>
            <w:shd w:val="clear" w:color="auto" w:fill="FFFFFF" w:themeFill="background1"/>
          </w:tcPr>
          <w:p w14:paraId="02DB5FE3"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13 (PLV)</w:t>
            </w:r>
          </w:p>
          <w:p w14:paraId="34FA34DF" w14:textId="77777777" w:rsidR="0021157D" w:rsidRPr="00EC6C19" w:rsidRDefault="0021157D" w:rsidP="0021157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7DCB2BB2"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w:t>
            </w:r>
          </w:p>
        </w:tc>
        <w:tc>
          <w:tcPr>
            <w:tcW w:w="1956" w:type="dxa"/>
            <w:shd w:val="clear" w:color="auto" w:fill="FFFFFF" w:themeFill="background1"/>
          </w:tcPr>
          <w:p w14:paraId="765856F4"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0.96</w:t>
            </w:r>
          </w:p>
        </w:tc>
        <w:tc>
          <w:tcPr>
            <w:tcW w:w="1978" w:type="dxa"/>
            <w:shd w:val="clear" w:color="auto" w:fill="FFFFFF" w:themeFill="background1"/>
          </w:tcPr>
          <w:p w14:paraId="360CC242"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0.10</w:t>
            </w:r>
          </w:p>
        </w:tc>
        <w:tc>
          <w:tcPr>
            <w:tcW w:w="1735" w:type="dxa"/>
            <w:vMerge/>
            <w:shd w:val="clear" w:color="auto" w:fill="FFFFFF" w:themeFill="background1"/>
          </w:tcPr>
          <w:p w14:paraId="22851BF2"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5A992A05" w14:textId="77777777" w:rsidTr="0021157D">
        <w:tc>
          <w:tcPr>
            <w:tcW w:w="2235" w:type="dxa"/>
            <w:shd w:val="clear" w:color="auto" w:fill="FFFFFF" w:themeFill="background1"/>
          </w:tcPr>
          <w:p w14:paraId="463FCDA5"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19 (PLV)</w:t>
            </w:r>
          </w:p>
          <w:p w14:paraId="18C10F41" w14:textId="77777777" w:rsidR="0021157D" w:rsidRPr="00EC6C19" w:rsidRDefault="0021157D" w:rsidP="0021157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41730210"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w:t>
            </w:r>
          </w:p>
        </w:tc>
        <w:tc>
          <w:tcPr>
            <w:tcW w:w="1956" w:type="dxa"/>
            <w:shd w:val="clear" w:color="auto" w:fill="FFFFFF" w:themeFill="background1"/>
          </w:tcPr>
          <w:p w14:paraId="7422E44B"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0.93</w:t>
            </w:r>
          </w:p>
        </w:tc>
        <w:tc>
          <w:tcPr>
            <w:tcW w:w="1978" w:type="dxa"/>
            <w:shd w:val="clear" w:color="auto" w:fill="FFFFFF" w:themeFill="background1"/>
          </w:tcPr>
          <w:p w14:paraId="799D1232"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0.03</w:t>
            </w:r>
          </w:p>
        </w:tc>
        <w:tc>
          <w:tcPr>
            <w:tcW w:w="1735" w:type="dxa"/>
            <w:vMerge/>
            <w:shd w:val="clear" w:color="auto" w:fill="FFFFFF" w:themeFill="background1"/>
          </w:tcPr>
          <w:p w14:paraId="19CFF93C"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13FE1174" w14:textId="77777777" w:rsidTr="00CE002A">
        <w:trPr>
          <w:trHeight w:val="1143"/>
        </w:trPr>
        <w:tc>
          <w:tcPr>
            <w:tcW w:w="2235" w:type="dxa"/>
            <w:shd w:val="clear" w:color="auto" w:fill="FFFFFF" w:themeFill="background1"/>
          </w:tcPr>
          <w:p w14:paraId="40EDD6A3" w14:textId="77777777"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20 (PLV)</w:t>
            </w:r>
          </w:p>
          <w:p w14:paraId="7F4FF65D" w14:textId="77777777" w:rsidR="0021157D" w:rsidRPr="00EC6C19" w:rsidRDefault="0021157D" w:rsidP="0021157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39AB551B"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0.89</w:t>
            </w:r>
          </w:p>
        </w:tc>
        <w:tc>
          <w:tcPr>
            <w:tcW w:w="1956" w:type="dxa"/>
            <w:shd w:val="clear" w:color="auto" w:fill="FFFFFF" w:themeFill="background1"/>
          </w:tcPr>
          <w:p w14:paraId="7CECC871"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978" w:type="dxa"/>
            <w:shd w:val="clear" w:color="auto" w:fill="FFFFFF" w:themeFill="background1"/>
          </w:tcPr>
          <w:p w14:paraId="22D29CE0"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0.09</w:t>
            </w:r>
          </w:p>
        </w:tc>
        <w:tc>
          <w:tcPr>
            <w:tcW w:w="1735" w:type="dxa"/>
            <w:vMerge/>
            <w:shd w:val="clear" w:color="auto" w:fill="FFFFFF" w:themeFill="background1"/>
          </w:tcPr>
          <w:p w14:paraId="04D900BD" w14:textId="77777777" w:rsidR="0021157D" w:rsidRPr="00EC6C19" w:rsidRDefault="0021157D" w:rsidP="0021157D">
            <w:pPr>
              <w:spacing w:line="360" w:lineRule="auto"/>
              <w:jc w:val="center"/>
              <w:rPr>
                <w:rFonts w:ascii="Times New Roman" w:hAnsi="Times New Roman" w:cs="Times New Roman"/>
                <w:sz w:val="24"/>
                <w:szCs w:val="24"/>
              </w:rPr>
            </w:pPr>
          </w:p>
        </w:tc>
      </w:tr>
      <w:tr w:rsidR="0021157D" w:rsidRPr="00EC6C19" w14:paraId="320A68FD" w14:textId="77777777" w:rsidTr="0021157D">
        <w:tc>
          <w:tcPr>
            <w:tcW w:w="2235" w:type="dxa"/>
            <w:shd w:val="clear" w:color="auto" w:fill="FFFFFF" w:themeFill="background1"/>
          </w:tcPr>
          <w:p w14:paraId="14F04ADD" w14:textId="0EA5C104" w:rsidR="0021157D" w:rsidRPr="00EC6C19" w:rsidRDefault="0021157D"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PLV Mean (</w:t>
            </w:r>
            <w:r w:rsidR="00D97E85">
              <w:rPr>
                <w:rFonts w:ascii="Times New Roman" w:hAnsi="Times New Roman" w:cs="Times New Roman"/>
                <w:sz w:val="24"/>
                <w:szCs w:val="24"/>
              </w:rPr>
              <w:t>±</w:t>
            </w:r>
            <w:r w:rsidRPr="00EC6C19">
              <w:rPr>
                <w:rFonts w:ascii="Times New Roman" w:hAnsi="Times New Roman" w:cs="Times New Roman"/>
                <w:b/>
                <w:sz w:val="24"/>
                <w:szCs w:val="24"/>
              </w:rPr>
              <w:t>SD)</w:t>
            </w:r>
            <w:r w:rsidR="00CE002A">
              <w:rPr>
                <w:rFonts w:ascii="Times New Roman" w:hAnsi="Times New Roman" w:cs="Times New Roman"/>
                <w:b/>
                <w:sz w:val="24"/>
                <w:szCs w:val="24"/>
              </w:rPr>
              <w:br/>
            </w:r>
          </w:p>
        </w:tc>
        <w:tc>
          <w:tcPr>
            <w:tcW w:w="1672" w:type="dxa"/>
            <w:shd w:val="clear" w:color="auto" w:fill="FFFFFF" w:themeFill="background1"/>
          </w:tcPr>
          <w:p w14:paraId="6174AAD8"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 (0.07)</w:t>
            </w:r>
          </w:p>
        </w:tc>
        <w:tc>
          <w:tcPr>
            <w:tcW w:w="1956" w:type="dxa"/>
            <w:shd w:val="clear" w:color="auto" w:fill="FFFFFF" w:themeFill="background1"/>
          </w:tcPr>
          <w:p w14:paraId="53CB00E7"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0.98 (0.02)</w:t>
            </w:r>
          </w:p>
        </w:tc>
        <w:tc>
          <w:tcPr>
            <w:tcW w:w="1978" w:type="dxa"/>
            <w:shd w:val="clear" w:color="auto" w:fill="FFFFFF" w:themeFill="background1"/>
          </w:tcPr>
          <w:p w14:paraId="2DEE6EFE" w14:textId="77777777" w:rsidR="0021157D" w:rsidRPr="00EC6C19" w:rsidRDefault="0021157D"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0.07 (0.05)</w:t>
            </w:r>
          </w:p>
        </w:tc>
        <w:tc>
          <w:tcPr>
            <w:tcW w:w="1735" w:type="dxa"/>
            <w:vMerge/>
            <w:shd w:val="clear" w:color="auto" w:fill="FFFFFF" w:themeFill="background1"/>
          </w:tcPr>
          <w:p w14:paraId="2F24CE48" w14:textId="77777777" w:rsidR="0021157D" w:rsidRPr="00EC6C19" w:rsidRDefault="0021157D" w:rsidP="0021157D">
            <w:pPr>
              <w:spacing w:line="360" w:lineRule="auto"/>
              <w:jc w:val="center"/>
              <w:rPr>
                <w:rFonts w:ascii="Times New Roman" w:hAnsi="Times New Roman" w:cs="Times New Roman"/>
                <w:sz w:val="24"/>
                <w:szCs w:val="24"/>
              </w:rPr>
            </w:pPr>
          </w:p>
        </w:tc>
      </w:tr>
      <w:tr w:rsidR="00845066" w:rsidRPr="00EC6C19" w14:paraId="040CBF2A" w14:textId="77777777" w:rsidTr="0021157D">
        <w:tc>
          <w:tcPr>
            <w:tcW w:w="2235" w:type="dxa"/>
            <w:shd w:val="clear" w:color="auto" w:fill="FFFFFF" w:themeFill="background1"/>
          </w:tcPr>
          <w:p w14:paraId="546A7AAA" w14:textId="30A41665" w:rsidR="00845066" w:rsidRPr="00EC6C19" w:rsidRDefault="00845066" w:rsidP="0021157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PLV and PDA</w:t>
            </w:r>
            <w:r w:rsidR="00D43074" w:rsidRPr="00EC6C19">
              <w:rPr>
                <w:rFonts w:ascii="Times New Roman" w:hAnsi="Times New Roman" w:cs="Times New Roman"/>
                <w:b/>
                <w:sz w:val="24"/>
                <w:szCs w:val="24"/>
              </w:rPr>
              <w:t xml:space="preserve"> Mean</w:t>
            </w:r>
            <w:r w:rsidR="00596B9E" w:rsidRPr="00EC6C19">
              <w:rPr>
                <w:rFonts w:ascii="Times New Roman" w:hAnsi="Times New Roman" w:cs="Times New Roman"/>
                <w:b/>
                <w:sz w:val="24"/>
                <w:szCs w:val="24"/>
              </w:rPr>
              <w:t xml:space="preserve"> (</w:t>
            </w:r>
            <w:r w:rsidR="00D97E85">
              <w:rPr>
                <w:rFonts w:ascii="Times New Roman" w:hAnsi="Times New Roman" w:cs="Times New Roman"/>
                <w:sz w:val="24"/>
                <w:szCs w:val="24"/>
              </w:rPr>
              <w:t>±</w:t>
            </w:r>
            <w:r w:rsidR="00596B9E" w:rsidRPr="00EC6C19">
              <w:rPr>
                <w:rFonts w:ascii="Times New Roman" w:hAnsi="Times New Roman" w:cs="Times New Roman"/>
                <w:b/>
                <w:sz w:val="24"/>
                <w:szCs w:val="24"/>
              </w:rPr>
              <w:t xml:space="preserve"> SD)</w:t>
            </w:r>
          </w:p>
        </w:tc>
        <w:tc>
          <w:tcPr>
            <w:tcW w:w="1672" w:type="dxa"/>
            <w:shd w:val="clear" w:color="auto" w:fill="FFFFFF" w:themeFill="background1"/>
          </w:tcPr>
          <w:p w14:paraId="13F0B3E9" w14:textId="77777777" w:rsidR="00845066" w:rsidRPr="00EC6C19" w:rsidRDefault="00845066" w:rsidP="0021157D">
            <w:pPr>
              <w:spacing w:line="360" w:lineRule="auto"/>
              <w:jc w:val="center"/>
              <w:rPr>
                <w:rFonts w:ascii="Times New Roman" w:hAnsi="Times New Roman" w:cs="Times New Roman"/>
                <w:sz w:val="24"/>
                <w:szCs w:val="24"/>
              </w:rPr>
            </w:pPr>
          </w:p>
        </w:tc>
        <w:tc>
          <w:tcPr>
            <w:tcW w:w="1956" w:type="dxa"/>
            <w:shd w:val="clear" w:color="auto" w:fill="FFFFFF" w:themeFill="background1"/>
          </w:tcPr>
          <w:p w14:paraId="1432B78E" w14:textId="77777777" w:rsidR="00845066" w:rsidRPr="00EC6C19" w:rsidRDefault="00845066" w:rsidP="0021157D">
            <w:pPr>
              <w:spacing w:line="360" w:lineRule="auto"/>
              <w:jc w:val="center"/>
              <w:rPr>
                <w:rFonts w:ascii="Times New Roman" w:hAnsi="Times New Roman" w:cs="Times New Roman"/>
                <w:sz w:val="24"/>
                <w:szCs w:val="24"/>
              </w:rPr>
            </w:pPr>
          </w:p>
        </w:tc>
        <w:tc>
          <w:tcPr>
            <w:tcW w:w="1978" w:type="dxa"/>
            <w:shd w:val="clear" w:color="auto" w:fill="FFFFFF" w:themeFill="background1"/>
          </w:tcPr>
          <w:p w14:paraId="78B8881E" w14:textId="77777777" w:rsidR="00845066" w:rsidRPr="00EC6C19" w:rsidRDefault="00845066" w:rsidP="0021157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w:t>
            </w:r>
            <w:r w:rsidR="000012F6" w:rsidRPr="00EC6C19">
              <w:rPr>
                <w:rFonts w:ascii="Times New Roman" w:hAnsi="Times New Roman" w:cs="Times New Roman"/>
                <w:sz w:val="24"/>
                <w:szCs w:val="24"/>
              </w:rPr>
              <w:t xml:space="preserve"> (0.04)</w:t>
            </w:r>
          </w:p>
        </w:tc>
        <w:tc>
          <w:tcPr>
            <w:tcW w:w="1735" w:type="dxa"/>
            <w:shd w:val="clear" w:color="auto" w:fill="FFFFFF" w:themeFill="background1"/>
          </w:tcPr>
          <w:p w14:paraId="5A4AD651" w14:textId="77777777" w:rsidR="00845066" w:rsidRPr="00EC6C19" w:rsidRDefault="00845066" w:rsidP="0021157D">
            <w:pPr>
              <w:spacing w:line="360" w:lineRule="auto"/>
              <w:jc w:val="center"/>
              <w:rPr>
                <w:rFonts w:ascii="Times New Roman" w:hAnsi="Times New Roman" w:cs="Times New Roman"/>
                <w:sz w:val="24"/>
                <w:szCs w:val="24"/>
              </w:rPr>
            </w:pPr>
          </w:p>
        </w:tc>
      </w:tr>
    </w:tbl>
    <w:p w14:paraId="780E6AA6" w14:textId="77777777" w:rsidR="0021157D" w:rsidRPr="00EC6C19" w:rsidRDefault="0021157D" w:rsidP="00E72611">
      <w:pPr>
        <w:spacing w:line="360" w:lineRule="auto"/>
        <w:rPr>
          <w:rFonts w:ascii="Times New Roman" w:hAnsi="Times New Roman" w:cs="Times New Roman"/>
          <w:i/>
          <w:sz w:val="24"/>
          <w:szCs w:val="24"/>
        </w:rPr>
      </w:pPr>
    </w:p>
    <w:p w14:paraId="5C1E4B94" w14:textId="77777777" w:rsidR="00EE56BD" w:rsidRPr="00CE002A" w:rsidRDefault="008630EC" w:rsidP="00CE002A">
      <w:pPr>
        <w:pStyle w:val="Caption"/>
        <w:spacing w:line="360" w:lineRule="auto"/>
        <w:rPr>
          <w:rFonts w:ascii="Times New Roman" w:hAnsi="Times New Roman" w:cs="Times New Roman"/>
          <w:b w:val="0"/>
          <w:i/>
          <w:color w:val="auto"/>
          <w:sz w:val="24"/>
          <w:szCs w:val="24"/>
        </w:rPr>
      </w:pPr>
      <w:bookmarkStart w:id="163" w:name="_Toc44962595"/>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19</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RCA Pd/Pa. </w:t>
      </w:r>
      <w:r w:rsidR="00A00D25" w:rsidRPr="008630EC">
        <w:rPr>
          <w:rFonts w:ascii="Times New Roman" w:hAnsi="Times New Roman" w:cs="Times New Roman"/>
          <w:b w:val="0"/>
          <w:i/>
          <w:color w:val="auto"/>
          <w:sz w:val="24"/>
          <w:szCs w:val="24"/>
        </w:rPr>
        <w:t xml:space="preserve">Delta change </w:t>
      </w:r>
      <w:r w:rsidR="00E72611" w:rsidRPr="008630EC">
        <w:rPr>
          <w:rFonts w:ascii="Times New Roman" w:hAnsi="Times New Roman" w:cs="Times New Roman"/>
          <w:b w:val="0"/>
          <w:i/>
          <w:color w:val="auto"/>
          <w:sz w:val="24"/>
          <w:szCs w:val="24"/>
        </w:rPr>
        <w:t>in Pd/Pa betwee</w:t>
      </w:r>
      <w:r w:rsidR="00A00D25" w:rsidRPr="008630EC">
        <w:rPr>
          <w:rFonts w:ascii="Times New Roman" w:hAnsi="Times New Roman" w:cs="Times New Roman"/>
          <w:b w:val="0"/>
          <w:i/>
          <w:color w:val="auto"/>
          <w:sz w:val="24"/>
          <w:szCs w:val="24"/>
        </w:rPr>
        <w:t>n prone and supine positioning</w:t>
      </w:r>
      <w:r w:rsidR="00E72611" w:rsidRPr="008630EC">
        <w:rPr>
          <w:rFonts w:ascii="Times New Roman" w:hAnsi="Times New Roman" w:cs="Times New Roman"/>
          <w:b w:val="0"/>
          <w:i/>
          <w:color w:val="auto"/>
          <w:sz w:val="24"/>
          <w:szCs w:val="24"/>
        </w:rPr>
        <w:t xml:space="preserve"> in the right coronary artery. The results are statistically significant (p&lt;0.05)</w:t>
      </w:r>
      <w:bookmarkEnd w:id="163"/>
    </w:p>
    <w:p w14:paraId="11464E8D" w14:textId="77777777" w:rsidR="00E72611" w:rsidRPr="00EC6C19" w:rsidRDefault="00C264EA" w:rsidP="00C264EA">
      <w:pPr>
        <w:ind w:left="-737"/>
        <w:rPr>
          <w:rFonts w:ascii="Times New Roman" w:hAnsi="Times New Roman" w:cs="Times New Roman"/>
          <w:i/>
          <w:sz w:val="24"/>
          <w:szCs w:val="24"/>
        </w:rPr>
      </w:pPr>
      <w:r w:rsidRPr="00EC6C19">
        <w:rPr>
          <w:rFonts w:ascii="Times New Roman" w:hAnsi="Times New Roman" w:cs="Times New Roman"/>
          <w:i/>
          <w:noProof/>
          <w:sz w:val="24"/>
          <w:szCs w:val="24"/>
          <w:lang w:eastAsia="en-GB"/>
        </w:rPr>
        <w:drawing>
          <wp:inline distT="0" distB="0" distL="0" distR="0" wp14:anchorId="53FB723D" wp14:editId="705A7E8D">
            <wp:extent cx="6991350" cy="4848225"/>
            <wp:effectExtent l="0" t="0" r="0" b="0"/>
            <wp:docPr id="3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1402C45" w14:textId="77777777" w:rsidR="00C264EA" w:rsidRDefault="00C51A0A" w:rsidP="00C51A0A">
      <w:pPr>
        <w:pStyle w:val="Caption"/>
        <w:spacing w:line="360" w:lineRule="auto"/>
        <w:rPr>
          <w:rFonts w:ascii="Times New Roman" w:hAnsi="Times New Roman" w:cs="Times New Roman"/>
          <w:b w:val="0"/>
          <w:i/>
          <w:color w:val="auto"/>
          <w:sz w:val="24"/>
          <w:szCs w:val="24"/>
        </w:rPr>
      </w:pPr>
      <w:bookmarkStart w:id="164" w:name="_Toc44684925"/>
      <w:r w:rsidRPr="00C51A0A">
        <w:rPr>
          <w:rFonts w:ascii="Times New Roman" w:hAnsi="Times New Roman" w:cs="Times New Roman"/>
          <w:b w:val="0"/>
          <w:i/>
          <w:color w:val="auto"/>
          <w:sz w:val="24"/>
          <w:szCs w:val="24"/>
        </w:rPr>
        <w:t xml:space="preserve">Figure </w:t>
      </w:r>
      <w:r w:rsidR="00106A32" w:rsidRPr="00C51A0A">
        <w:rPr>
          <w:rFonts w:ascii="Times New Roman" w:hAnsi="Times New Roman" w:cs="Times New Roman"/>
          <w:b w:val="0"/>
          <w:i/>
          <w:color w:val="auto"/>
          <w:sz w:val="24"/>
          <w:szCs w:val="24"/>
        </w:rPr>
        <w:fldChar w:fldCharType="begin"/>
      </w:r>
      <w:r w:rsidRPr="00C51A0A">
        <w:rPr>
          <w:rFonts w:ascii="Times New Roman" w:hAnsi="Times New Roman" w:cs="Times New Roman"/>
          <w:b w:val="0"/>
          <w:i/>
          <w:color w:val="auto"/>
          <w:sz w:val="24"/>
          <w:szCs w:val="24"/>
        </w:rPr>
        <w:instrText xml:space="preserve"> SEQ Figure \* ARABIC </w:instrText>
      </w:r>
      <w:r w:rsidR="00106A32" w:rsidRPr="00C51A0A">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36</w:t>
      </w:r>
      <w:r w:rsidR="00106A32" w:rsidRPr="00C51A0A">
        <w:rPr>
          <w:rFonts w:ascii="Times New Roman" w:hAnsi="Times New Roman" w:cs="Times New Roman"/>
          <w:b w:val="0"/>
          <w:i/>
          <w:color w:val="auto"/>
          <w:sz w:val="24"/>
          <w:szCs w:val="24"/>
        </w:rPr>
        <w:fldChar w:fldCharType="end"/>
      </w:r>
      <w:r w:rsidRPr="00C51A0A">
        <w:rPr>
          <w:rFonts w:ascii="Times New Roman" w:hAnsi="Times New Roman" w:cs="Times New Roman"/>
          <w:b w:val="0"/>
          <w:i/>
          <w:color w:val="auto"/>
          <w:sz w:val="24"/>
          <w:szCs w:val="24"/>
        </w:rPr>
        <w:t xml:space="preserve"> - RCA Pd/Pa Delta change - </w:t>
      </w:r>
      <w:r w:rsidR="00C264EA" w:rsidRPr="00C51A0A">
        <w:rPr>
          <w:rFonts w:ascii="Times New Roman" w:hAnsi="Times New Roman" w:cs="Times New Roman"/>
          <w:b w:val="0"/>
          <w:i/>
          <w:color w:val="auto"/>
          <w:sz w:val="24"/>
          <w:szCs w:val="24"/>
        </w:rPr>
        <w:t>between prone and supine measurements is sta</w:t>
      </w:r>
      <w:r w:rsidR="000012F6" w:rsidRPr="00C51A0A">
        <w:rPr>
          <w:rFonts w:ascii="Times New Roman" w:hAnsi="Times New Roman" w:cs="Times New Roman"/>
          <w:b w:val="0"/>
          <w:i/>
          <w:color w:val="auto"/>
          <w:sz w:val="24"/>
          <w:szCs w:val="24"/>
        </w:rPr>
        <w:t>tistically significant (p&lt;0.05).</w:t>
      </w:r>
      <w:bookmarkEnd w:id="164"/>
    </w:p>
    <w:p w14:paraId="25EF43FC" w14:textId="77777777" w:rsidR="00C51A0A" w:rsidRPr="00C51A0A" w:rsidRDefault="00C51A0A" w:rsidP="00C51A0A"/>
    <w:p w14:paraId="670FEA1E" w14:textId="77777777" w:rsidR="00CF1765" w:rsidRPr="00EC6C19" w:rsidRDefault="00CF1765" w:rsidP="00C264EA">
      <w:pPr>
        <w:spacing w:line="360" w:lineRule="auto"/>
        <w:rPr>
          <w:rFonts w:ascii="Times New Roman" w:hAnsi="Times New Roman" w:cs="Times New Roman"/>
          <w:i/>
          <w:sz w:val="24"/>
          <w:szCs w:val="24"/>
        </w:rPr>
      </w:pPr>
    </w:p>
    <w:p w14:paraId="68957D5A" w14:textId="77777777" w:rsidR="00CF1765" w:rsidRPr="006E04BF" w:rsidRDefault="006E04BF" w:rsidP="006E04BF">
      <w:pPr>
        <w:pStyle w:val="Heading3"/>
        <w:rPr>
          <w:rFonts w:ascii="Times New Roman" w:hAnsi="Times New Roman" w:cs="Times New Roman"/>
          <w:b w:val="0"/>
          <w:i/>
          <w:color w:val="auto"/>
          <w:sz w:val="24"/>
          <w:szCs w:val="24"/>
        </w:rPr>
      </w:pPr>
      <w:bookmarkStart w:id="165" w:name="_Toc80302254"/>
      <w:r w:rsidRPr="006E04BF">
        <w:rPr>
          <w:rFonts w:ascii="Times New Roman" w:hAnsi="Times New Roman" w:cs="Times New Roman"/>
          <w:b w:val="0"/>
          <w:i/>
          <w:color w:val="auto"/>
          <w:sz w:val="24"/>
          <w:szCs w:val="24"/>
        </w:rPr>
        <w:t xml:space="preserve">3.16.3 - </w:t>
      </w:r>
      <w:r w:rsidR="00CF1765" w:rsidRPr="006E04BF">
        <w:rPr>
          <w:rFonts w:ascii="Times New Roman" w:hAnsi="Times New Roman" w:cs="Times New Roman"/>
          <w:b w:val="0"/>
          <w:i/>
          <w:color w:val="auto"/>
          <w:sz w:val="24"/>
          <w:szCs w:val="24"/>
        </w:rPr>
        <w:t>Instantaneous Wave Free Ratio (iFR)</w:t>
      </w:r>
      <w:bookmarkEnd w:id="165"/>
      <w:r>
        <w:rPr>
          <w:rFonts w:ascii="Times New Roman" w:hAnsi="Times New Roman" w:cs="Times New Roman"/>
          <w:b w:val="0"/>
          <w:i/>
          <w:color w:val="auto"/>
          <w:sz w:val="24"/>
          <w:szCs w:val="24"/>
        </w:rPr>
        <w:br/>
      </w:r>
    </w:p>
    <w:p w14:paraId="49F6DA95" w14:textId="77777777" w:rsidR="00CF1765" w:rsidRPr="00EC6C19" w:rsidRDefault="00CF1765" w:rsidP="00C264EA">
      <w:pPr>
        <w:spacing w:line="360" w:lineRule="auto"/>
        <w:rPr>
          <w:rFonts w:ascii="Times New Roman" w:hAnsi="Times New Roman" w:cs="Times New Roman"/>
          <w:i/>
          <w:sz w:val="24"/>
          <w:szCs w:val="24"/>
        </w:rPr>
      </w:pPr>
    </w:p>
    <w:p w14:paraId="1E2C6DC2" w14:textId="77777777" w:rsidR="00E927E6" w:rsidRPr="00EC6C19" w:rsidRDefault="007F1334" w:rsidP="00C264EA">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iFR data across all arteries is </w:t>
      </w:r>
      <w:r w:rsidRPr="008630EC">
        <w:rPr>
          <w:rFonts w:ascii="Times New Roman" w:hAnsi="Times New Roman" w:cs="Times New Roman"/>
          <w:sz w:val="24"/>
          <w:szCs w:val="24"/>
        </w:rPr>
        <w:t xml:space="preserve">shown in Table </w:t>
      </w:r>
      <w:r w:rsidR="008630EC" w:rsidRPr="008630EC">
        <w:rPr>
          <w:rFonts w:ascii="Times New Roman" w:hAnsi="Times New Roman" w:cs="Times New Roman"/>
          <w:sz w:val="24"/>
          <w:szCs w:val="24"/>
        </w:rPr>
        <w:t>20</w:t>
      </w:r>
      <w:r w:rsidRPr="00EC6C19">
        <w:rPr>
          <w:rFonts w:ascii="Times New Roman" w:hAnsi="Times New Roman" w:cs="Times New Roman"/>
          <w:sz w:val="24"/>
          <w:szCs w:val="24"/>
        </w:rPr>
        <w:t>.</w:t>
      </w:r>
      <w:r w:rsidR="00D43074" w:rsidRPr="00EC6C19">
        <w:rPr>
          <w:rFonts w:ascii="Times New Roman" w:hAnsi="Times New Roman" w:cs="Times New Roman"/>
          <w:sz w:val="24"/>
          <w:szCs w:val="24"/>
        </w:rPr>
        <w:t xml:space="preserve"> All iFR data is shown </w:t>
      </w:r>
      <w:r w:rsidR="00D43074" w:rsidRPr="00C51A0A">
        <w:rPr>
          <w:rFonts w:ascii="Times New Roman" w:hAnsi="Times New Roman" w:cs="Times New Roman"/>
          <w:sz w:val="24"/>
          <w:szCs w:val="24"/>
        </w:rPr>
        <w:t xml:space="preserve">in figure </w:t>
      </w:r>
      <w:r w:rsidR="00C51A0A" w:rsidRPr="00C51A0A">
        <w:rPr>
          <w:rFonts w:ascii="Times New Roman" w:hAnsi="Times New Roman" w:cs="Times New Roman"/>
          <w:sz w:val="24"/>
          <w:szCs w:val="24"/>
        </w:rPr>
        <w:t>37</w:t>
      </w:r>
      <w:r w:rsidR="00D43074" w:rsidRPr="00C51A0A">
        <w:rPr>
          <w:rFonts w:ascii="Times New Roman" w:hAnsi="Times New Roman" w:cs="Times New Roman"/>
          <w:sz w:val="24"/>
          <w:szCs w:val="24"/>
        </w:rPr>
        <w:t>,</w:t>
      </w:r>
      <w:r w:rsidR="00D43074" w:rsidRPr="00EC6C19">
        <w:rPr>
          <w:rFonts w:ascii="Times New Roman" w:hAnsi="Times New Roman" w:cs="Times New Roman"/>
          <w:sz w:val="24"/>
          <w:szCs w:val="24"/>
        </w:rPr>
        <w:t xml:space="preserve"> which compares superior to inferior artery position.</w:t>
      </w:r>
      <w:r w:rsidR="006B72EE" w:rsidRPr="00EC6C19">
        <w:rPr>
          <w:rFonts w:ascii="Times New Roman" w:hAnsi="Times New Roman" w:cs="Times New Roman"/>
          <w:sz w:val="24"/>
          <w:szCs w:val="24"/>
        </w:rPr>
        <w:t xml:space="preserve"> The mean delta change in iFR was 0.06 (p &lt; 0.0001).</w:t>
      </w:r>
      <w:r w:rsidR="00223998" w:rsidRPr="00EC6C19">
        <w:rPr>
          <w:rFonts w:ascii="Times New Roman" w:hAnsi="Times New Roman" w:cs="Times New Roman"/>
          <w:sz w:val="24"/>
          <w:szCs w:val="24"/>
        </w:rPr>
        <w:t xml:space="preserve"> One iFR measurement could not be retrospectively calculated, so data is from the remaining 22 measurements.</w:t>
      </w:r>
      <w:r w:rsidRPr="00EC6C19">
        <w:rPr>
          <w:rFonts w:ascii="Times New Roman" w:hAnsi="Times New Roman" w:cs="Times New Roman"/>
          <w:sz w:val="24"/>
          <w:szCs w:val="24"/>
        </w:rPr>
        <w:t xml:space="preserve"> Mean superior vs. inferior iFR was 0.87 and 0.</w:t>
      </w:r>
      <w:r w:rsidR="006B72EE" w:rsidRPr="00EC6C19">
        <w:rPr>
          <w:rFonts w:ascii="Times New Roman" w:hAnsi="Times New Roman" w:cs="Times New Roman"/>
          <w:sz w:val="24"/>
          <w:szCs w:val="24"/>
        </w:rPr>
        <w:t>93 respectively. Each group of arteries was also statistically significant</w:t>
      </w:r>
      <w:r w:rsidR="007C06E1" w:rsidRPr="00EC6C19">
        <w:rPr>
          <w:rFonts w:ascii="Times New Roman" w:hAnsi="Times New Roman" w:cs="Times New Roman"/>
          <w:sz w:val="24"/>
          <w:szCs w:val="24"/>
        </w:rPr>
        <w:t>, bar the RCA</w:t>
      </w:r>
      <w:r w:rsidR="008630EC">
        <w:rPr>
          <w:rFonts w:ascii="Times New Roman" w:hAnsi="Times New Roman" w:cs="Times New Roman"/>
          <w:sz w:val="24"/>
          <w:szCs w:val="24"/>
        </w:rPr>
        <w:t>.</w:t>
      </w:r>
    </w:p>
    <w:p w14:paraId="297B66F9" w14:textId="77777777" w:rsidR="007F1334" w:rsidRPr="00EC6C19" w:rsidRDefault="007F1334" w:rsidP="00C264EA">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2052"/>
        <w:gridCol w:w="1726"/>
        <w:gridCol w:w="1913"/>
        <w:gridCol w:w="1917"/>
        <w:gridCol w:w="1752"/>
      </w:tblGrid>
      <w:tr w:rsidR="007F1334" w:rsidRPr="00EC6C19" w14:paraId="40E98A32" w14:textId="77777777" w:rsidTr="00596B9E">
        <w:trPr>
          <w:trHeight w:val="973"/>
        </w:trPr>
        <w:tc>
          <w:tcPr>
            <w:tcW w:w="2093" w:type="dxa"/>
            <w:tcBorders>
              <w:top w:val="single" w:sz="8" w:space="0" w:color="000000" w:themeColor="text1"/>
              <w:right w:val="single" w:sz="8" w:space="0" w:color="000000" w:themeColor="text1"/>
            </w:tcBorders>
            <w:shd w:val="clear" w:color="auto" w:fill="F2F2F2" w:themeFill="background1" w:themeFillShade="F2"/>
          </w:tcPr>
          <w:p w14:paraId="7E2A1A79" w14:textId="77777777" w:rsidR="007F1334" w:rsidRPr="00EC6C19" w:rsidRDefault="007F1334" w:rsidP="00223998">
            <w:pPr>
              <w:spacing w:line="360" w:lineRule="auto"/>
              <w:jc w:val="center"/>
              <w:rPr>
                <w:rFonts w:ascii="Times New Roman" w:hAnsi="Times New Roman" w:cs="Times New Roman"/>
              </w:rPr>
            </w:pPr>
            <w:r w:rsidRPr="00EC6C19">
              <w:rPr>
                <w:rFonts w:ascii="Times New Roman" w:hAnsi="Times New Roman" w:cs="Times New Roman"/>
              </w:rPr>
              <w:t>Vessel (n)</w:t>
            </w:r>
          </w:p>
          <w:p w14:paraId="304680C1" w14:textId="77777777" w:rsidR="007F1334" w:rsidRPr="00EC6C19" w:rsidRDefault="007F1334" w:rsidP="00223998">
            <w:pPr>
              <w:spacing w:line="360" w:lineRule="auto"/>
              <w:jc w:val="center"/>
              <w:rPr>
                <w:rFonts w:ascii="Times New Roman" w:hAnsi="Times New Roman" w:cs="Times New Roman"/>
              </w:rPr>
            </w:pPr>
          </w:p>
        </w:tc>
        <w:tc>
          <w:tcPr>
            <w:tcW w:w="1776" w:type="dxa"/>
            <w:tcBorders>
              <w:top w:val="single" w:sz="8" w:space="0" w:color="000000" w:themeColor="text1"/>
              <w:left w:val="single" w:sz="8" w:space="0" w:color="000000" w:themeColor="text1"/>
            </w:tcBorders>
            <w:shd w:val="clear" w:color="auto" w:fill="F2F2F2" w:themeFill="background1" w:themeFillShade="F2"/>
          </w:tcPr>
          <w:p w14:paraId="1BC63C10" w14:textId="47731265" w:rsidR="007F1334" w:rsidRPr="00EC6C19" w:rsidRDefault="007F1334" w:rsidP="00223998">
            <w:pPr>
              <w:spacing w:line="360" w:lineRule="auto"/>
              <w:jc w:val="center"/>
              <w:rPr>
                <w:rFonts w:ascii="Times New Roman" w:hAnsi="Times New Roman" w:cs="Times New Roman"/>
              </w:rPr>
            </w:pPr>
            <w:r w:rsidRPr="00EC6C19">
              <w:rPr>
                <w:rFonts w:ascii="Times New Roman" w:hAnsi="Times New Roman" w:cs="Times New Roman"/>
              </w:rPr>
              <w:t>Prone iFR Mean (</w:t>
            </w:r>
            <w:r w:rsidR="00D97E85">
              <w:rPr>
                <w:rFonts w:ascii="Times New Roman" w:hAnsi="Times New Roman" w:cs="Times New Roman"/>
                <w:sz w:val="24"/>
                <w:szCs w:val="24"/>
              </w:rPr>
              <w:t>±</w:t>
            </w:r>
            <w:r w:rsidRPr="00EC6C19">
              <w:rPr>
                <w:rFonts w:ascii="Times New Roman" w:hAnsi="Times New Roman" w:cs="Times New Roman"/>
              </w:rPr>
              <w:t>SD)</w:t>
            </w:r>
          </w:p>
        </w:tc>
        <w:tc>
          <w:tcPr>
            <w:tcW w:w="1950" w:type="dxa"/>
            <w:tcBorders>
              <w:top w:val="single" w:sz="8" w:space="0" w:color="000000" w:themeColor="text1"/>
            </w:tcBorders>
            <w:shd w:val="clear" w:color="auto" w:fill="F2F2F2" w:themeFill="background1" w:themeFillShade="F2"/>
          </w:tcPr>
          <w:p w14:paraId="1EFB0463" w14:textId="5A685017" w:rsidR="007F1334" w:rsidRPr="00EC6C19" w:rsidRDefault="007F1334" w:rsidP="00223998">
            <w:pPr>
              <w:spacing w:line="360" w:lineRule="auto"/>
              <w:jc w:val="center"/>
              <w:rPr>
                <w:rFonts w:ascii="Times New Roman" w:hAnsi="Times New Roman" w:cs="Times New Roman"/>
              </w:rPr>
            </w:pPr>
            <w:r w:rsidRPr="00EC6C19">
              <w:rPr>
                <w:rFonts w:ascii="Times New Roman" w:hAnsi="Times New Roman" w:cs="Times New Roman"/>
              </w:rPr>
              <w:t>Supine iFR Mean (</w:t>
            </w:r>
            <w:r w:rsidR="00D97E85">
              <w:rPr>
                <w:rFonts w:ascii="Times New Roman" w:hAnsi="Times New Roman" w:cs="Times New Roman"/>
                <w:sz w:val="24"/>
                <w:szCs w:val="24"/>
              </w:rPr>
              <w:t>±</w:t>
            </w:r>
            <w:r w:rsidRPr="00EC6C19">
              <w:rPr>
                <w:rFonts w:ascii="Times New Roman" w:hAnsi="Times New Roman" w:cs="Times New Roman"/>
              </w:rPr>
              <w:t xml:space="preserve"> SD)</w:t>
            </w:r>
          </w:p>
        </w:tc>
        <w:tc>
          <w:tcPr>
            <w:tcW w:w="1972" w:type="dxa"/>
            <w:tcBorders>
              <w:top w:val="single" w:sz="8" w:space="0" w:color="000000" w:themeColor="text1"/>
            </w:tcBorders>
            <w:shd w:val="clear" w:color="auto" w:fill="F2F2F2" w:themeFill="background1" w:themeFillShade="F2"/>
          </w:tcPr>
          <w:p w14:paraId="1EE403E3" w14:textId="731166EA" w:rsidR="007F1334" w:rsidRPr="00EC6C19" w:rsidRDefault="007F1334" w:rsidP="00223998">
            <w:pPr>
              <w:spacing w:line="360" w:lineRule="auto"/>
              <w:jc w:val="center"/>
              <w:rPr>
                <w:rFonts w:ascii="Times New Roman" w:hAnsi="Times New Roman" w:cs="Times New Roman"/>
              </w:rPr>
            </w:pPr>
            <w:r w:rsidRPr="00EC6C19">
              <w:rPr>
                <w:rFonts w:ascii="Times New Roman" w:hAnsi="Times New Roman" w:cs="Times New Roman"/>
              </w:rPr>
              <w:t>Delta Change Mean (</w:t>
            </w:r>
            <w:r w:rsidR="00D97E85">
              <w:rPr>
                <w:rFonts w:ascii="Times New Roman" w:hAnsi="Times New Roman" w:cs="Times New Roman"/>
                <w:sz w:val="24"/>
                <w:szCs w:val="24"/>
              </w:rPr>
              <w:t>±</w:t>
            </w:r>
            <w:r w:rsidRPr="00EC6C19">
              <w:rPr>
                <w:rFonts w:ascii="Times New Roman" w:hAnsi="Times New Roman" w:cs="Times New Roman"/>
              </w:rPr>
              <w:t>SD)</w:t>
            </w:r>
          </w:p>
        </w:tc>
        <w:tc>
          <w:tcPr>
            <w:tcW w:w="1785" w:type="dxa"/>
            <w:tcBorders>
              <w:top w:val="single" w:sz="8" w:space="0" w:color="000000" w:themeColor="text1"/>
            </w:tcBorders>
            <w:shd w:val="clear" w:color="auto" w:fill="F2F2F2" w:themeFill="background1" w:themeFillShade="F2"/>
          </w:tcPr>
          <w:p w14:paraId="2C75DE9A" w14:textId="77777777" w:rsidR="007F1334" w:rsidRPr="00EC6C19" w:rsidRDefault="007F1334" w:rsidP="00223998">
            <w:pPr>
              <w:spacing w:line="360" w:lineRule="auto"/>
              <w:jc w:val="center"/>
              <w:rPr>
                <w:rFonts w:ascii="Times New Roman" w:hAnsi="Times New Roman" w:cs="Times New Roman"/>
              </w:rPr>
            </w:pPr>
            <w:r w:rsidRPr="00EC6C19">
              <w:rPr>
                <w:rFonts w:ascii="Times New Roman" w:hAnsi="Times New Roman" w:cs="Times New Roman"/>
              </w:rPr>
              <w:t>P Value</w:t>
            </w:r>
          </w:p>
        </w:tc>
      </w:tr>
      <w:tr w:rsidR="007F1334" w:rsidRPr="00EC6C19" w14:paraId="4F639D7A" w14:textId="77777777" w:rsidTr="00596B9E">
        <w:tc>
          <w:tcPr>
            <w:tcW w:w="2093" w:type="dxa"/>
          </w:tcPr>
          <w:p w14:paraId="5A67683E"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 (10)</w:t>
            </w:r>
          </w:p>
          <w:p w14:paraId="4C1708AF" w14:textId="77777777" w:rsidR="007F1334" w:rsidRPr="00EC6C19" w:rsidRDefault="007F1334" w:rsidP="00223998">
            <w:pPr>
              <w:spacing w:line="360" w:lineRule="auto"/>
              <w:jc w:val="center"/>
              <w:rPr>
                <w:rFonts w:ascii="Times New Roman" w:hAnsi="Times New Roman" w:cs="Times New Roman"/>
                <w:sz w:val="24"/>
                <w:szCs w:val="24"/>
              </w:rPr>
            </w:pPr>
          </w:p>
        </w:tc>
        <w:tc>
          <w:tcPr>
            <w:tcW w:w="1776" w:type="dxa"/>
            <w:tcBorders>
              <w:left w:val="single" w:sz="8" w:space="0" w:color="000000" w:themeColor="text1"/>
            </w:tcBorders>
            <w:shd w:val="clear" w:color="auto" w:fill="FFFFFF" w:themeFill="background1"/>
          </w:tcPr>
          <w:p w14:paraId="2AB50C93"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 (0.16)</w:t>
            </w:r>
          </w:p>
        </w:tc>
        <w:tc>
          <w:tcPr>
            <w:tcW w:w="1950" w:type="dxa"/>
            <w:shd w:val="clear" w:color="auto" w:fill="FFFFFF" w:themeFill="background1"/>
          </w:tcPr>
          <w:p w14:paraId="7EB0258F"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0.85 (0.14)</w:t>
            </w:r>
          </w:p>
        </w:tc>
        <w:tc>
          <w:tcPr>
            <w:tcW w:w="1972" w:type="dxa"/>
            <w:shd w:val="clear" w:color="auto" w:fill="FFFFFF" w:themeFill="background1"/>
          </w:tcPr>
          <w:p w14:paraId="469DEE10"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 (0.07)</w:t>
            </w:r>
          </w:p>
        </w:tc>
        <w:tc>
          <w:tcPr>
            <w:tcW w:w="1785" w:type="dxa"/>
            <w:tcBorders>
              <w:right w:val="nil"/>
            </w:tcBorders>
            <w:shd w:val="clear" w:color="auto" w:fill="FFFFFF" w:themeFill="background1"/>
          </w:tcPr>
          <w:p w14:paraId="33C2B341"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r>
      <w:tr w:rsidR="007F1334" w:rsidRPr="00EC6C19" w14:paraId="193630EC" w14:textId="77777777" w:rsidTr="00596B9E">
        <w:tc>
          <w:tcPr>
            <w:tcW w:w="2093" w:type="dxa"/>
          </w:tcPr>
          <w:p w14:paraId="3B9D3B7F"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Circumflex (7)</w:t>
            </w:r>
          </w:p>
          <w:p w14:paraId="1A003960" w14:textId="77777777" w:rsidR="007F1334" w:rsidRPr="00EC6C19" w:rsidRDefault="007F1334" w:rsidP="00223998">
            <w:pPr>
              <w:spacing w:line="360" w:lineRule="auto"/>
              <w:jc w:val="center"/>
              <w:rPr>
                <w:rFonts w:ascii="Times New Roman" w:hAnsi="Times New Roman" w:cs="Times New Roman"/>
                <w:sz w:val="24"/>
                <w:szCs w:val="24"/>
              </w:rPr>
            </w:pPr>
          </w:p>
        </w:tc>
        <w:tc>
          <w:tcPr>
            <w:tcW w:w="1776" w:type="dxa"/>
            <w:tcBorders>
              <w:left w:val="single" w:sz="8" w:space="0" w:color="000000" w:themeColor="text1"/>
            </w:tcBorders>
            <w:shd w:val="clear" w:color="auto" w:fill="FFFFFF" w:themeFill="background1"/>
          </w:tcPr>
          <w:p w14:paraId="15A5E13C"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0.90 (0.05)</w:t>
            </w:r>
          </w:p>
        </w:tc>
        <w:tc>
          <w:tcPr>
            <w:tcW w:w="1950" w:type="dxa"/>
            <w:shd w:val="clear" w:color="auto" w:fill="FFFFFF" w:themeFill="background1"/>
          </w:tcPr>
          <w:p w14:paraId="17BE679B"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 (0.03)</w:t>
            </w:r>
          </w:p>
        </w:tc>
        <w:tc>
          <w:tcPr>
            <w:tcW w:w="1972" w:type="dxa"/>
            <w:shd w:val="clear" w:color="auto" w:fill="FFFFFF" w:themeFill="background1"/>
          </w:tcPr>
          <w:p w14:paraId="7E99709C"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0.07 (0.04)</w:t>
            </w:r>
          </w:p>
        </w:tc>
        <w:tc>
          <w:tcPr>
            <w:tcW w:w="1785" w:type="dxa"/>
            <w:tcBorders>
              <w:right w:val="nil"/>
            </w:tcBorders>
            <w:shd w:val="clear" w:color="auto" w:fill="FFFFFF" w:themeFill="background1"/>
          </w:tcPr>
          <w:p w14:paraId="5F81FF90"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0.01*</w:t>
            </w:r>
          </w:p>
        </w:tc>
      </w:tr>
      <w:tr w:rsidR="007F1334" w:rsidRPr="00EC6C19" w14:paraId="743C606E" w14:textId="77777777" w:rsidTr="00596B9E">
        <w:tc>
          <w:tcPr>
            <w:tcW w:w="2093" w:type="dxa"/>
          </w:tcPr>
          <w:p w14:paraId="4EFFA001"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RCA-PDA(2)</w:t>
            </w:r>
          </w:p>
          <w:p w14:paraId="3FAA3123" w14:textId="77777777" w:rsidR="007F1334" w:rsidRPr="00EC6C19" w:rsidRDefault="007F1334" w:rsidP="00223998">
            <w:pPr>
              <w:spacing w:line="360" w:lineRule="auto"/>
              <w:jc w:val="center"/>
              <w:rPr>
                <w:rFonts w:ascii="Times New Roman" w:hAnsi="Times New Roman" w:cs="Times New Roman"/>
                <w:sz w:val="24"/>
                <w:szCs w:val="24"/>
              </w:rPr>
            </w:pPr>
          </w:p>
        </w:tc>
        <w:tc>
          <w:tcPr>
            <w:tcW w:w="1776" w:type="dxa"/>
            <w:tcBorders>
              <w:left w:val="single" w:sz="8" w:space="0" w:color="000000" w:themeColor="text1"/>
            </w:tcBorders>
            <w:shd w:val="clear" w:color="auto" w:fill="FFFFFF" w:themeFill="background1"/>
          </w:tcPr>
          <w:p w14:paraId="7F2BDF55"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 (0.09)</w:t>
            </w:r>
          </w:p>
        </w:tc>
        <w:tc>
          <w:tcPr>
            <w:tcW w:w="1950" w:type="dxa"/>
            <w:shd w:val="clear" w:color="auto" w:fill="FFFFFF" w:themeFill="background1"/>
          </w:tcPr>
          <w:p w14:paraId="5123B4FE"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0.85(0.11)</w:t>
            </w:r>
          </w:p>
        </w:tc>
        <w:tc>
          <w:tcPr>
            <w:tcW w:w="1972" w:type="dxa"/>
            <w:shd w:val="clear" w:color="auto" w:fill="FFFFFF" w:themeFill="background1"/>
          </w:tcPr>
          <w:p w14:paraId="61E34A84"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0.01 (0.02)</w:t>
            </w:r>
          </w:p>
        </w:tc>
        <w:tc>
          <w:tcPr>
            <w:tcW w:w="1785" w:type="dxa"/>
            <w:vMerge w:val="restart"/>
            <w:tcBorders>
              <w:right w:val="nil"/>
            </w:tcBorders>
            <w:shd w:val="clear" w:color="auto" w:fill="FFFFFF" w:themeFill="background1"/>
          </w:tcPr>
          <w:p w14:paraId="67AE866A" w14:textId="77777777" w:rsidR="007F1334" w:rsidRPr="00EC6C19" w:rsidRDefault="007F1334" w:rsidP="00223998">
            <w:pPr>
              <w:spacing w:line="360" w:lineRule="auto"/>
              <w:jc w:val="center"/>
              <w:rPr>
                <w:rFonts w:ascii="Times New Roman" w:hAnsi="Times New Roman" w:cs="Times New Roman"/>
                <w:sz w:val="24"/>
                <w:szCs w:val="24"/>
              </w:rPr>
            </w:pPr>
          </w:p>
          <w:p w14:paraId="2D676FE5"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w:t>
            </w:r>
            <w:r w:rsidR="007F2F5D" w:rsidRPr="00EC6C19">
              <w:rPr>
                <w:rFonts w:ascii="Times New Roman" w:hAnsi="Times New Roman" w:cs="Times New Roman"/>
                <w:sz w:val="24"/>
                <w:szCs w:val="24"/>
              </w:rPr>
              <w:t>19</w:t>
            </w:r>
          </w:p>
        </w:tc>
      </w:tr>
      <w:tr w:rsidR="007F1334" w:rsidRPr="00EC6C19" w14:paraId="51016E58" w14:textId="77777777" w:rsidTr="00596B9E">
        <w:tc>
          <w:tcPr>
            <w:tcW w:w="2093" w:type="dxa"/>
          </w:tcPr>
          <w:p w14:paraId="4B4C5DA9"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RCA-PLV (3)**</w:t>
            </w:r>
          </w:p>
          <w:p w14:paraId="4BB2066B" w14:textId="77777777" w:rsidR="007F1334" w:rsidRPr="00EC6C19" w:rsidRDefault="007F1334" w:rsidP="00223998">
            <w:pPr>
              <w:spacing w:line="360" w:lineRule="auto"/>
              <w:jc w:val="center"/>
              <w:rPr>
                <w:rFonts w:ascii="Times New Roman" w:hAnsi="Times New Roman" w:cs="Times New Roman"/>
                <w:sz w:val="24"/>
                <w:szCs w:val="24"/>
              </w:rPr>
            </w:pPr>
          </w:p>
        </w:tc>
        <w:tc>
          <w:tcPr>
            <w:tcW w:w="1776" w:type="dxa"/>
            <w:tcBorders>
              <w:left w:val="single" w:sz="8" w:space="0" w:color="000000" w:themeColor="text1"/>
              <w:bottom w:val="nil"/>
            </w:tcBorders>
            <w:shd w:val="clear" w:color="auto" w:fill="FFFFFF" w:themeFill="background1"/>
          </w:tcPr>
          <w:p w14:paraId="07AD118A"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0.87 (0.10)</w:t>
            </w:r>
          </w:p>
        </w:tc>
        <w:tc>
          <w:tcPr>
            <w:tcW w:w="1950" w:type="dxa"/>
            <w:tcBorders>
              <w:bottom w:val="nil"/>
            </w:tcBorders>
            <w:shd w:val="clear" w:color="auto" w:fill="FFFFFF" w:themeFill="background1"/>
          </w:tcPr>
          <w:p w14:paraId="1586865F"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0.94 (0.04)</w:t>
            </w:r>
          </w:p>
        </w:tc>
        <w:tc>
          <w:tcPr>
            <w:tcW w:w="1972" w:type="dxa"/>
            <w:tcBorders>
              <w:bottom w:val="nil"/>
            </w:tcBorders>
            <w:shd w:val="clear" w:color="auto" w:fill="FFFFFF" w:themeFill="background1"/>
          </w:tcPr>
          <w:p w14:paraId="64DD9691"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0.07 (0.07)</w:t>
            </w:r>
          </w:p>
        </w:tc>
        <w:tc>
          <w:tcPr>
            <w:tcW w:w="1785" w:type="dxa"/>
            <w:vMerge/>
            <w:tcBorders>
              <w:bottom w:val="nil"/>
              <w:right w:val="nil"/>
            </w:tcBorders>
            <w:shd w:val="clear" w:color="auto" w:fill="FFFFFF" w:themeFill="background1"/>
          </w:tcPr>
          <w:p w14:paraId="23E63163" w14:textId="77777777" w:rsidR="007F1334" w:rsidRPr="00EC6C19" w:rsidRDefault="007F1334" w:rsidP="00223998">
            <w:pPr>
              <w:spacing w:line="360" w:lineRule="auto"/>
              <w:jc w:val="center"/>
              <w:rPr>
                <w:rFonts w:ascii="Times New Roman" w:hAnsi="Times New Roman" w:cs="Times New Roman"/>
                <w:i/>
                <w:sz w:val="24"/>
                <w:szCs w:val="24"/>
              </w:rPr>
            </w:pPr>
          </w:p>
        </w:tc>
      </w:tr>
      <w:tr w:rsidR="007F1334" w:rsidRPr="00EC6C19" w14:paraId="42C19E26" w14:textId="77777777" w:rsidTr="00596B9E">
        <w:tc>
          <w:tcPr>
            <w:tcW w:w="2093" w:type="dxa"/>
            <w:tcBorders>
              <w:bottom w:val="single" w:sz="8" w:space="0" w:color="000000" w:themeColor="text1"/>
            </w:tcBorders>
          </w:tcPr>
          <w:p w14:paraId="3EF2F578" w14:textId="7F629D8B"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All</w:t>
            </w:r>
            <w:r w:rsidR="00596B9E" w:rsidRPr="00EC6C19">
              <w:rPr>
                <w:rFonts w:ascii="Times New Roman" w:hAnsi="Times New Roman" w:cs="Times New Roman"/>
                <w:sz w:val="24"/>
                <w:szCs w:val="24"/>
              </w:rPr>
              <w:t xml:space="preserve"> (</w:t>
            </w:r>
            <w:r w:rsidR="00D97E85">
              <w:rPr>
                <w:rFonts w:ascii="Times New Roman" w:hAnsi="Times New Roman" w:cs="Times New Roman"/>
                <w:sz w:val="24"/>
                <w:szCs w:val="24"/>
              </w:rPr>
              <w:t>±</w:t>
            </w:r>
            <w:r w:rsidR="00596B9E" w:rsidRPr="00EC6C19">
              <w:rPr>
                <w:rFonts w:ascii="Times New Roman" w:hAnsi="Times New Roman" w:cs="Times New Roman"/>
                <w:sz w:val="24"/>
                <w:szCs w:val="24"/>
              </w:rPr>
              <w:t>SD)</w:t>
            </w:r>
            <w:r w:rsidRPr="00EC6C19">
              <w:rPr>
                <w:rFonts w:ascii="Times New Roman" w:hAnsi="Times New Roman" w:cs="Times New Roman"/>
                <w:sz w:val="24"/>
                <w:szCs w:val="24"/>
              </w:rPr>
              <w:t xml:space="preserve"> (22)**</w:t>
            </w:r>
          </w:p>
          <w:p w14:paraId="09BFCBB9" w14:textId="77777777" w:rsidR="007F1334" w:rsidRPr="00EC6C19" w:rsidRDefault="007F1334" w:rsidP="00223998">
            <w:pPr>
              <w:spacing w:line="360" w:lineRule="auto"/>
              <w:jc w:val="center"/>
              <w:rPr>
                <w:rFonts w:ascii="Times New Roman" w:hAnsi="Times New Roman" w:cs="Times New Roman"/>
                <w:sz w:val="24"/>
                <w:szCs w:val="24"/>
              </w:rPr>
            </w:pPr>
          </w:p>
        </w:tc>
        <w:tc>
          <w:tcPr>
            <w:tcW w:w="1776" w:type="dxa"/>
            <w:tcBorders>
              <w:left w:val="single" w:sz="8" w:space="0" w:color="000000" w:themeColor="text1"/>
              <w:bottom w:val="single" w:sz="8" w:space="0" w:color="000000" w:themeColor="text1"/>
            </w:tcBorders>
            <w:shd w:val="clear" w:color="auto" w:fill="FFFFFF" w:themeFill="background1"/>
          </w:tcPr>
          <w:p w14:paraId="1DF7247E"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w:t>
            </w:r>
          </w:p>
        </w:tc>
        <w:tc>
          <w:tcPr>
            <w:tcW w:w="1950" w:type="dxa"/>
            <w:tcBorders>
              <w:bottom w:val="single" w:sz="8" w:space="0" w:color="000000" w:themeColor="text1"/>
            </w:tcBorders>
            <w:shd w:val="clear" w:color="auto" w:fill="FFFFFF" w:themeFill="background1"/>
          </w:tcPr>
          <w:p w14:paraId="2D3FB6AA"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w:t>
            </w:r>
          </w:p>
        </w:tc>
        <w:tc>
          <w:tcPr>
            <w:tcW w:w="1972" w:type="dxa"/>
            <w:tcBorders>
              <w:bottom w:val="single" w:sz="8" w:space="0" w:color="000000" w:themeColor="text1"/>
            </w:tcBorders>
            <w:shd w:val="clear" w:color="auto" w:fill="FFFFFF" w:themeFill="background1"/>
          </w:tcPr>
          <w:p w14:paraId="004F56C7"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w:t>
            </w:r>
            <w:r w:rsidR="00596B9E" w:rsidRPr="00EC6C19">
              <w:rPr>
                <w:rFonts w:ascii="Times New Roman" w:hAnsi="Times New Roman" w:cs="Times New Roman"/>
                <w:sz w:val="24"/>
                <w:szCs w:val="24"/>
              </w:rPr>
              <w:t xml:space="preserve"> (0.05)</w:t>
            </w:r>
          </w:p>
        </w:tc>
        <w:tc>
          <w:tcPr>
            <w:tcW w:w="1785" w:type="dxa"/>
            <w:tcBorders>
              <w:bottom w:val="single" w:sz="8" w:space="0" w:color="000000" w:themeColor="text1"/>
              <w:right w:val="nil"/>
            </w:tcBorders>
            <w:shd w:val="clear" w:color="auto" w:fill="FFFFFF" w:themeFill="background1"/>
          </w:tcPr>
          <w:p w14:paraId="7EC0BA8D" w14:textId="77777777" w:rsidR="007F1334" w:rsidRPr="00EC6C19" w:rsidRDefault="007F1334" w:rsidP="00223998">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&lt;0.0001*</w:t>
            </w:r>
          </w:p>
        </w:tc>
      </w:tr>
    </w:tbl>
    <w:p w14:paraId="18DCE176" w14:textId="77777777" w:rsidR="007F1334" w:rsidRPr="00EC6C19" w:rsidRDefault="007F1334" w:rsidP="007F1334">
      <w:pPr>
        <w:spacing w:line="360" w:lineRule="auto"/>
        <w:rPr>
          <w:rFonts w:ascii="Times New Roman" w:hAnsi="Times New Roman" w:cs="Times New Roman"/>
          <w:i/>
          <w:sz w:val="24"/>
          <w:szCs w:val="24"/>
        </w:rPr>
      </w:pPr>
    </w:p>
    <w:p w14:paraId="6CC2348C" w14:textId="77777777" w:rsidR="007F1334" w:rsidRPr="008630EC" w:rsidRDefault="008630EC" w:rsidP="008630EC">
      <w:pPr>
        <w:pStyle w:val="Caption"/>
        <w:spacing w:line="360" w:lineRule="auto"/>
        <w:rPr>
          <w:rFonts w:ascii="Times New Roman" w:hAnsi="Times New Roman" w:cs="Times New Roman"/>
          <w:b w:val="0"/>
          <w:i/>
          <w:color w:val="auto"/>
          <w:sz w:val="24"/>
          <w:szCs w:val="24"/>
        </w:rPr>
      </w:pPr>
      <w:bookmarkStart w:id="166" w:name="_Toc44962596"/>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20</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Prone vs. Supine iFR. P</w:t>
      </w:r>
      <w:r w:rsidR="007F1334" w:rsidRPr="008630EC">
        <w:rPr>
          <w:rFonts w:ascii="Times New Roman" w:hAnsi="Times New Roman" w:cs="Times New Roman"/>
          <w:b w:val="0"/>
          <w:i/>
          <w:color w:val="auto"/>
          <w:sz w:val="24"/>
          <w:szCs w:val="24"/>
        </w:rPr>
        <w:t>rone mean iFR  and supine mean iFR with delta change and standard deviation. * represents statistical significance. **It was not possible to calculate iFR from one RCA-PLV recording.</w:t>
      </w:r>
      <w:bookmarkEnd w:id="166"/>
    </w:p>
    <w:p w14:paraId="7166C00A" w14:textId="77777777" w:rsidR="007F1334" w:rsidRPr="00EC6C19" w:rsidRDefault="007F1334" w:rsidP="007F1334">
      <w:pPr>
        <w:spacing w:line="360" w:lineRule="auto"/>
        <w:rPr>
          <w:rFonts w:ascii="Times New Roman" w:hAnsi="Times New Roman" w:cs="Times New Roman"/>
          <w:i/>
          <w:sz w:val="24"/>
          <w:szCs w:val="24"/>
        </w:rPr>
      </w:pPr>
    </w:p>
    <w:p w14:paraId="0DE2301B" w14:textId="77777777" w:rsidR="007F1334" w:rsidRPr="00EC6C19" w:rsidRDefault="007F1334" w:rsidP="007F1334">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5AB5D2BE" wp14:editId="0C62B60B">
            <wp:extent cx="5943600" cy="5043650"/>
            <wp:effectExtent l="0" t="0" r="0" b="0"/>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95C21A6" w14:textId="77777777" w:rsidR="007F1334" w:rsidRPr="00C51A0A" w:rsidRDefault="00C51A0A" w:rsidP="00C51A0A">
      <w:pPr>
        <w:pStyle w:val="Caption"/>
        <w:spacing w:line="360" w:lineRule="auto"/>
        <w:rPr>
          <w:rFonts w:ascii="Times New Roman" w:hAnsi="Times New Roman" w:cs="Times New Roman"/>
          <w:b w:val="0"/>
          <w:i/>
          <w:color w:val="auto"/>
          <w:sz w:val="24"/>
          <w:szCs w:val="24"/>
        </w:rPr>
      </w:pPr>
      <w:bookmarkStart w:id="167" w:name="_Toc44684926"/>
      <w:r w:rsidRPr="00C51A0A">
        <w:rPr>
          <w:rFonts w:ascii="Times New Roman" w:hAnsi="Times New Roman" w:cs="Times New Roman"/>
          <w:b w:val="0"/>
          <w:i/>
          <w:color w:val="auto"/>
          <w:sz w:val="24"/>
          <w:szCs w:val="24"/>
        </w:rPr>
        <w:t xml:space="preserve">Figure </w:t>
      </w:r>
      <w:r w:rsidR="00106A32" w:rsidRPr="00C51A0A">
        <w:rPr>
          <w:rFonts w:ascii="Times New Roman" w:hAnsi="Times New Roman" w:cs="Times New Roman"/>
          <w:b w:val="0"/>
          <w:i/>
          <w:color w:val="auto"/>
          <w:sz w:val="24"/>
          <w:szCs w:val="24"/>
        </w:rPr>
        <w:fldChar w:fldCharType="begin"/>
      </w:r>
      <w:r w:rsidRPr="00C51A0A">
        <w:rPr>
          <w:rFonts w:ascii="Times New Roman" w:hAnsi="Times New Roman" w:cs="Times New Roman"/>
          <w:b w:val="0"/>
          <w:i/>
          <w:color w:val="auto"/>
          <w:sz w:val="24"/>
          <w:szCs w:val="24"/>
        </w:rPr>
        <w:instrText xml:space="preserve"> SEQ Figure \* ARABIC </w:instrText>
      </w:r>
      <w:r w:rsidR="00106A32" w:rsidRPr="00C51A0A">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37</w:t>
      </w:r>
      <w:r w:rsidR="00106A32" w:rsidRPr="00C51A0A">
        <w:rPr>
          <w:rFonts w:ascii="Times New Roman" w:hAnsi="Times New Roman" w:cs="Times New Roman"/>
          <w:b w:val="0"/>
          <w:i/>
          <w:color w:val="auto"/>
          <w:sz w:val="24"/>
          <w:szCs w:val="24"/>
        </w:rPr>
        <w:fldChar w:fldCharType="end"/>
      </w:r>
      <w:r w:rsidRPr="00C51A0A">
        <w:rPr>
          <w:rFonts w:ascii="Times New Roman" w:hAnsi="Times New Roman" w:cs="Times New Roman"/>
          <w:b w:val="0"/>
          <w:i/>
          <w:color w:val="auto"/>
          <w:sz w:val="24"/>
          <w:szCs w:val="24"/>
        </w:rPr>
        <w:t xml:space="preserve"> - Superior vs. Inferior iFR</w:t>
      </w:r>
      <w:r w:rsidR="007F1334" w:rsidRPr="00C51A0A">
        <w:rPr>
          <w:rFonts w:ascii="Times New Roman" w:hAnsi="Times New Roman" w:cs="Times New Roman"/>
          <w:b w:val="0"/>
          <w:i/>
          <w:color w:val="auto"/>
          <w:sz w:val="24"/>
          <w:szCs w:val="24"/>
        </w:rPr>
        <w:t>.</w:t>
      </w:r>
      <w:r w:rsidR="00E80F29" w:rsidRPr="00C51A0A">
        <w:rPr>
          <w:rFonts w:ascii="Times New Roman" w:hAnsi="Times New Roman" w:cs="Times New Roman"/>
          <w:b w:val="0"/>
          <w:i/>
          <w:color w:val="auto"/>
          <w:sz w:val="24"/>
          <w:szCs w:val="24"/>
        </w:rPr>
        <w:t xml:space="preserve"> Mean values are in red. </w:t>
      </w:r>
      <w:r w:rsidR="007F1334" w:rsidRPr="00C51A0A">
        <w:rPr>
          <w:rFonts w:ascii="Times New Roman" w:hAnsi="Times New Roman" w:cs="Times New Roman"/>
          <w:b w:val="0"/>
          <w:i/>
          <w:color w:val="auto"/>
          <w:sz w:val="24"/>
          <w:szCs w:val="24"/>
        </w:rPr>
        <w:t xml:space="preserve"> </w:t>
      </w:r>
      <w:r w:rsidR="00E80F29" w:rsidRPr="00C51A0A">
        <w:rPr>
          <w:rFonts w:ascii="Times New Roman" w:hAnsi="Times New Roman" w:cs="Times New Roman"/>
          <w:b w:val="0"/>
          <w:i/>
          <w:color w:val="auto"/>
          <w:sz w:val="24"/>
          <w:szCs w:val="24"/>
        </w:rPr>
        <w:t>The results are statistically significant.</w:t>
      </w:r>
      <w:bookmarkEnd w:id="167"/>
    </w:p>
    <w:p w14:paraId="1E83ACBB" w14:textId="77777777" w:rsidR="007F1334" w:rsidRPr="00EC6C19" w:rsidRDefault="007F1334" w:rsidP="007F1334">
      <w:pPr>
        <w:spacing w:line="360" w:lineRule="auto"/>
        <w:rPr>
          <w:rFonts w:ascii="Times New Roman" w:hAnsi="Times New Roman" w:cs="Times New Roman"/>
          <w:i/>
          <w:sz w:val="24"/>
          <w:szCs w:val="24"/>
        </w:rPr>
      </w:pPr>
    </w:p>
    <w:p w14:paraId="3C864A17" w14:textId="77777777" w:rsidR="00223998" w:rsidRPr="00EC6C19" w:rsidRDefault="00223998" w:rsidP="007F1334">
      <w:pPr>
        <w:spacing w:line="360" w:lineRule="auto"/>
        <w:rPr>
          <w:rFonts w:ascii="Times New Roman" w:hAnsi="Times New Roman" w:cs="Times New Roman"/>
          <w:sz w:val="24"/>
          <w:szCs w:val="24"/>
        </w:rPr>
      </w:pPr>
      <w:r w:rsidRPr="00EC6C19">
        <w:rPr>
          <w:rFonts w:ascii="Times New Roman" w:hAnsi="Times New Roman" w:cs="Times New Roman"/>
          <w:sz w:val="24"/>
          <w:szCs w:val="24"/>
        </w:rPr>
        <w:t>Data grouped per artery is shown below.</w:t>
      </w:r>
    </w:p>
    <w:p w14:paraId="06D52B20" w14:textId="77777777" w:rsidR="007F1334" w:rsidRPr="00EC6C19" w:rsidRDefault="007F1334" w:rsidP="00C264EA">
      <w:pPr>
        <w:spacing w:line="360" w:lineRule="auto"/>
        <w:rPr>
          <w:rFonts w:ascii="Times New Roman" w:hAnsi="Times New Roman" w:cs="Times New Roman"/>
          <w:i/>
          <w:sz w:val="24"/>
          <w:szCs w:val="24"/>
        </w:rPr>
      </w:pPr>
    </w:p>
    <w:p w14:paraId="3AE42B24" w14:textId="77777777" w:rsidR="00E927E6" w:rsidRPr="00EC6C19" w:rsidRDefault="003B4D5A" w:rsidP="00C264EA">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Left Anterior Descending Artery</w:t>
      </w:r>
    </w:p>
    <w:p w14:paraId="5E57C69D" w14:textId="77777777" w:rsidR="007F1334" w:rsidRPr="00EC6C19" w:rsidRDefault="007F1334" w:rsidP="00C264EA">
      <w:pPr>
        <w:spacing w:line="360" w:lineRule="auto"/>
        <w:rPr>
          <w:rFonts w:ascii="Times New Roman" w:hAnsi="Times New Roman" w:cs="Times New Roman"/>
          <w:sz w:val="24"/>
          <w:szCs w:val="24"/>
          <w:u w:val="single"/>
        </w:rPr>
      </w:pPr>
    </w:p>
    <w:p w14:paraId="686B5A43" w14:textId="77777777" w:rsidR="008A2840" w:rsidRPr="00C51A0A" w:rsidRDefault="008A2840" w:rsidP="00C264EA">
      <w:pPr>
        <w:spacing w:line="360" w:lineRule="auto"/>
        <w:rPr>
          <w:rFonts w:ascii="Times New Roman" w:hAnsi="Times New Roman" w:cs="Times New Roman"/>
          <w:sz w:val="24"/>
          <w:szCs w:val="24"/>
        </w:rPr>
      </w:pPr>
      <w:r w:rsidRPr="00EC6C19">
        <w:rPr>
          <w:rFonts w:ascii="Times New Roman" w:hAnsi="Times New Roman" w:cs="Times New Roman"/>
          <w:sz w:val="24"/>
          <w:szCs w:val="24"/>
        </w:rPr>
        <w:t>In the left anterior descending artery, prone vs. supine iFR was 0.91 vs. 0.85 respectively. The mean change of 0.06 was statistically significant (p&lt;0.</w:t>
      </w:r>
      <w:r w:rsidRPr="008630EC">
        <w:rPr>
          <w:rFonts w:ascii="Times New Roman" w:hAnsi="Times New Roman" w:cs="Times New Roman"/>
          <w:sz w:val="24"/>
          <w:szCs w:val="24"/>
        </w:rPr>
        <w:t xml:space="preserve">05). Table </w:t>
      </w:r>
      <w:r w:rsidR="008630EC" w:rsidRPr="008630EC">
        <w:rPr>
          <w:rFonts w:ascii="Times New Roman" w:hAnsi="Times New Roman" w:cs="Times New Roman"/>
          <w:sz w:val="24"/>
          <w:szCs w:val="24"/>
        </w:rPr>
        <w:t>21</w:t>
      </w:r>
      <w:r w:rsidRPr="008630EC">
        <w:rPr>
          <w:rFonts w:ascii="Times New Roman" w:hAnsi="Times New Roman" w:cs="Times New Roman"/>
          <w:sz w:val="24"/>
          <w:szCs w:val="24"/>
        </w:rPr>
        <w:t xml:space="preserve"> and</w:t>
      </w:r>
      <w:r w:rsidRPr="00C51A0A">
        <w:rPr>
          <w:rFonts w:ascii="Times New Roman" w:hAnsi="Times New Roman" w:cs="Times New Roman"/>
          <w:sz w:val="24"/>
          <w:szCs w:val="24"/>
        </w:rPr>
        <w:t xml:space="preserve"> Figure </w:t>
      </w:r>
      <w:r w:rsidR="00C51A0A" w:rsidRPr="00C51A0A">
        <w:rPr>
          <w:rFonts w:ascii="Times New Roman" w:hAnsi="Times New Roman" w:cs="Times New Roman"/>
          <w:sz w:val="24"/>
          <w:szCs w:val="24"/>
        </w:rPr>
        <w:t>38</w:t>
      </w:r>
      <w:r w:rsidRPr="00C51A0A">
        <w:rPr>
          <w:rFonts w:ascii="Times New Roman" w:hAnsi="Times New Roman" w:cs="Times New Roman"/>
          <w:sz w:val="24"/>
          <w:szCs w:val="24"/>
        </w:rPr>
        <w:t xml:space="preserve"> summarise</w:t>
      </w:r>
      <w:r w:rsidR="00502728" w:rsidRPr="00C51A0A">
        <w:rPr>
          <w:rFonts w:ascii="Times New Roman" w:hAnsi="Times New Roman" w:cs="Times New Roman"/>
          <w:sz w:val="24"/>
          <w:szCs w:val="24"/>
        </w:rPr>
        <w:t xml:space="preserve"> these results</w:t>
      </w:r>
      <w:r w:rsidRPr="00C51A0A">
        <w:rPr>
          <w:rFonts w:ascii="Times New Roman" w:hAnsi="Times New Roman" w:cs="Times New Roman"/>
          <w:sz w:val="24"/>
          <w:szCs w:val="24"/>
        </w:rPr>
        <w:t>.</w:t>
      </w:r>
    </w:p>
    <w:p w14:paraId="7972A563" w14:textId="77777777" w:rsidR="00223998" w:rsidRPr="00EC6C19" w:rsidRDefault="00223998" w:rsidP="00C264EA">
      <w:pPr>
        <w:spacing w:line="360" w:lineRule="auto"/>
        <w:rPr>
          <w:rFonts w:ascii="Times New Roman" w:hAnsi="Times New Roman" w:cs="Times New Roman"/>
          <w:i/>
          <w:sz w:val="24"/>
          <w:szCs w:val="24"/>
          <w:u w:val="single"/>
        </w:rPr>
      </w:pPr>
    </w:p>
    <w:tbl>
      <w:tblPr>
        <w:tblW w:w="5000" w:type="pct"/>
        <w:tblLook w:val="04A0" w:firstRow="1" w:lastRow="0" w:firstColumn="1" w:lastColumn="0" w:noHBand="0" w:noVBand="1"/>
      </w:tblPr>
      <w:tblGrid>
        <w:gridCol w:w="2065"/>
        <w:gridCol w:w="1911"/>
        <w:gridCol w:w="2031"/>
        <w:gridCol w:w="2048"/>
        <w:gridCol w:w="1305"/>
      </w:tblGrid>
      <w:tr w:rsidR="00223998" w:rsidRPr="00EC6C19" w14:paraId="128F0079" w14:textId="77777777" w:rsidTr="007F2F5D">
        <w:tc>
          <w:tcPr>
            <w:tcW w:w="1103" w:type="pct"/>
            <w:tcBorders>
              <w:bottom w:val="single" w:sz="18" w:space="0" w:color="000000" w:themeColor="text1"/>
            </w:tcBorders>
            <w:shd w:val="clear" w:color="auto" w:fill="F2F2F2" w:themeFill="background1" w:themeFillShade="F2"/>
          </w:tcPr>
          <w:p w14:paraId="3E3FBA21" w14:textId="77777777" w:rsidR="00223998" w:rsidRPr="00EC6C19" w:rsidRDefault="00223998"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p w14:paraId="2DD464DF" w14:textId="77777777" w:rsidR="00223998" w:rsidRPr="00EC6C19" w:rsidRDefault="00223998" w:rsidP="007C06E1">
            <w:pPr>
              <w:spacing w:line="360" w:lineRule="auto"/>
              <w:jc w:val="center"/>
              <w:rPr>
                <w:rFonts w:ascii="Times New Roman" w:hAnsi="Times New Roman" w:cs="Times New Roman"/>
                <w:sz w:val="24"/>
                <w:szCs w:val="24"/>
              </w:rPr>
            </w:pPr>
          </w:p>
        </w:tc>
        <w:tc>
          <w:tcPr>
            <w:tcW w:w="1021" w:type="pct"/>
            <w:tcBorders>
              <w:bottom w:val="single" w:sz="18" w:space="0" w:color="000000" w:themeColor="text1"/>
            </w:tcBorders>
            <w:shd w:val="clear" w:color="auto" w:fill="F2F2F2" w:themeFill="background1" w:themeFillShade="F2"/>
          </w:tcPr>
          <w:p w14:paraId="482E9388" w14:textId="77777777" w:rsidR="00223998" w:rsidRPr="00EC6C19" w:rsidRDefault="008A2840"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Prone iFR</w:t>
            </w:r>
          </w:p>
        </w:tc>
        <w:tc>
          <w:tcPr>
            <w:tcW w:w="1085" w:type="pct"/>
            <w:tcBorders>
              <w:bottom w:val="single" w:sz="18" w:space="0" w:color="000000" w:themeColor="text1"/>
            </w:tcBorders>
            <w:shd w:val="clear" w:color="auto" w:fill="F2F2F2" w:themeFill="background1" w:themeFillShade="F2"/>
          </w:tcPr>
          <w:p w14:paraId="3DDE9E0D" w14:textId="77777777" w:rsidR="00223998" w:rsidRPr="00EC6C19" w:rsidRDefault="008A2840"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Supine iFR</w:t>
            </w:r>
          </w:p>
        </w:tc>
        <w:tc>
          <w:tcPr>
            <w:tcW w:w="1094" w:type="pct"/>
            <w:tcBorders>
              <w:bottom w:val="single" w:sz="18" w:space="0" w:color="000000" w:themeColor="text1"/>
            </w:tcBorders>
            <w:shd w:val="clear" w:color="auto" w:fill="F2F2F2" w:themeFill="background1" w:themeFillShade="F2"/>
          </w:tcPr>
          <w:p w14:paraId="206223CE" w14:textId="77777777" w:rsidR="00223998" w:rsidRPr="00EC6C19" w:rsidRDefault="00223998"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Delta Change</w:t>
            </w:r>
          </w:p>
        </w:tc>
        <w:tc>
          <w:tcPr>
            <w:tcW w:w="697" w:type="pct"/>
            <w:tcBorders>
              <w:bottom w:val="single" w:sz="18" w:space="0" w:color="000000" w:themeColor="text1"/>
            </w:tcBorders>
            <w:shd w:val="clear" w:color="auto" w:fill="F2F2F2" w:themeFill="background1" w:themeFillShade="F2"/>
          </w:tcPr>
          <w:p w14:paraId="70044975" w14:textId="77777777" w:rsidR="00223998" w:rsidRPr="00EC6C19" w:rsidRDefault="00223998" w:rsidP="007C06E1">
            <w:pPr>
              <w:spacing w:line="360" w:lineRule="auto"/>
              <w:jc w:val="center"/>
              <w:rPr>
                <w:rFonts w:ascii="Times New Roman" w:hAnsi="Times New Roman" w:cs="Times New Roman"/>
                <w:sz w:val="24"/>
                <w:szCs w:val="24"/>
              </w:rPr>
            </w:pPr>
          </w:p>
          <w:p w14:paraId="6F831379" w14:textId="77777777" w:rsidR="00223998" w:rsidRPr="00EC6C19" w:rsidRDefault="00223998" w:rsidP="007C06E1">
            <w:pPr>
              <w:spacing w:line="360" w:lineRule="auto"/>
              <w:jc w:val="center"/>
              <w:rPr>
                <w:rFonts w:ascii="Times New Roman" w:hAnsi="Times New Roman" w:cs="Times New Roman"/>
                <w:sz w:val="24"/>
                <w:szCs w:val="24"/>
              </w:rPr>
            </w:pPr>
          </w:p>
        </w:tc>
      </w:tr>
      <w:tr w:rsidR="00223998" w:rsidRPr="00EC6C19" w14:paraId="491C7F88" w14:textId="77777777" w:rsidTr="007F2F5D">
        <w:tc>
          <w:tcPr>
            <w:tcW w:w="1103" w:type="pct"/>
            <w:tcBorders>
              <w:top w:val="single" w:sz="18" w:space="0" w:color="000000" w:themeColor="text1"/>
            </w:tcBorders>
            <w:shd w:val="clear" w:color="auto" w:fill="FFFFFF" w:themeFill="background1"/>
          </w:tcPr>
          <w:p w14:paraId="1311CAA5"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w:t>
            </w:r>
          </w:p>
          <w:p w14:paraId="2C97E79F" w14:textId="77777777" w:rsidR="00223998" w:rsidRPr="00EC6C19" w:rsidRDefault="00223998" w:rsidP="00772D8B">
            <w:pPr>
              <w:spacing w:line="360" w:lineRule="auto"/>
              <w:rPr>
                <w:rFonts w:ascii="Times New Roman" w:hAnsi="Times New Roman" w:cs="Times New Roman"/>
                <w:b/>
                <w:sz w:val="24"/>
                <w:szCs w:val="24"/>
              </w:rPr>
            </w:pPr>
          </w:p>
        </w:tc>
        <w:tc>
          <w:tcPr>
            <w:tcW w:w="1021" w:type="pct"/>
            <w:tcBorders>
              <w:top w:val="single" w:sz="18" w:space="0" w:color="000000" w:themeColor="text1"/>
            </w:tcBorders>
            <w:shd w:val="clear" w:color="auto" w:fill="FFFFFF" w:themeFill="background1"/>
          </w:tcPr>
          <w:p w14:paraId="5A9D83C5"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0.96</w:t>
            </w:r>
          </w:p>
        </w:tc>
        <w:tc>
          <w:tcPr>
            <w:tcW w:w="1085" w:type="pct"/>
            <w:tcBorders>
              <w:top w:val="single" w:sz="18" w:space="0" w:color="000000" w:themeColor="text1"/>
            </w:tcBorders>
            <w:shd w:val="clear" w:color="auto" w:fill="FFFFFF" w:themeFill="background1"/>
          </w:tcPr>
          <w:p w14:paraId="67D50191"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0.99</w:t>
            </w:r>
          </w:p>
        </w:tc>
        <w:tc>
          <w:tcPr>
            <w:tcW w:w="1094" w:type="pct"/>
            <w:tcBorders>
              <w:top w:val="single" w:sz="18" w:space="0" w:color="000000" w:themeColor="text1"/>
            </w:tcBorders>
            <w:shd w:val="clear" w:color="auto" w:fill="FFFFFF" w:themeFill="background1"/>
          </w:tcPr>
          <w:p w14:paraId="71AA122E"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-0.03</w:t>
            </w:r>
          </w:p>
        </w:tc>
        <w:tc>
          <w:tcPr>
            <w:tcW w:w="697" w:type="pct"/>
            <w:vMerge w:val="restart"/>
            <w:tcBorders>
              <w:top w:val="single" w:sz="18" w:space="0" w:color="000000" w:themeColor="text1"/>
            </w:tcBorders>
            <w:shd w:val="clear" w:color="auto" w:fill="FFFFFF" w:themeFill="background1"/>
          </w:tcPr>
          <w:p w14:paraId="24886E3E" w14:textId="77777777" w:rsidR="00223998" w:rsidRPr="00EC6C19" w:rsidRDefault="00223998" w:rsidP="00772D8B">
            <w:pPr>
              <w:spacing w:line="360" w:lineRule="auto"/>
              <w:rPr>
                <w:rFonts w:ascii="Times New Roman" w:hAnsi="Times New Roman" w:cs="Times New Roman"/>
                <w:sz w:val="24"/>
                <w:szCs w:val="24"/>
              </w:rPr>
            </w:pPr>
          </w:p>
          <w:p w14:paraId="20F9F9FF" w14:textId="77777777" w:rsidR="00223998" w:rsidRPr="00EC6C19" w:rsidRDefault="00223998" w:rsidP="00772D8B">
            <w:pPr>
              <w:spacing w:line="360" w:lineRule="auto"/>
              <w:rPr>
                <w:rFonts w:ascii="Times New Roman" w:hAnsi="Times New Roman" w:cs="Times New Roman"/>
                <w:sz w:val="24"/>
                <w:szCs w:val="24"/>
              </w:rPr>
            </w:pPr>
          </w:p>
          <w:p w14:paraId="30F86B54" w14:textId="77777777" w:rsidR="00223998" w:rsidRPr="00EC6C19" w:rsidRDefault="00223998" w:rsidP="00772D8B">
            <w:pPr>
              <w:spacing w:line="360" w:lineRule="auto"/>
              <w:rPr>
                <w:rFonts w:ascii="Times New Roman" w:hAnsi="Times New Roman" w:cs="Times New Roman"/>
                <w:sz w:val="24"/>
                <w:szCs w:val="24"/>
              </w:rPr>
            </w:pPr>
          </w:p>
          <w:p w14:paraId="453A3820" w14:textId="77777777" w:rsidR="00223998" w:rsidRPr="00EC6C19" w:rsidRDefault="00223998" w:rsidP="00772D8B">
            <w:pPr>
              <w:spacing w:line="360" w:lineRule="auto"/>
              <w:rPr>
                <w:rFonts w:ascii="Times New Roman" w:hAnsi="Times New Roman" w:cs="Times New Roman"/>
                <w:sz w:val="24"/>
                <w:szCs w:val="24"/>
              </w:rPr>
            </w:pPr>
          </w:p>
          <w:p w14:paraId="65880FD2" w14:textId="77777777" w:rsidR="00223998" w:rsidRPr="00EC6C19" w:rsidRDefault="00223998" w:rsidP="00772D8B">
            <w:pPr>
              <w:spacing w:line="360" w:lineRule="auto"/>
              <w:rPr>
                <w:rFonts w:ascii="Times New Roman" w:hAnsi="Times New Roman" w:cs="Times New Roman"/>
                <w:sz w:val="24"/>
                <w:szCs w:val="24"/>
              </w:rPr>
            </w:pPr>
          </w:p>
          <w:p w14:paraId="2FD3D038" w14:textId="77777777" w:rsidR="00223998" w:rsidRPr="00EC6C19" w:rsidRDefault="00223998" w:rsidP="00772D8B">
            <w:pPr>
              <w:spacing w:line="360" w:lineRule="auto"/>
              <w:rPr>
                <w:rFonts w:ascii="Times New Roman" w:hAnsi="Times New Roman" w:cs="Times New Roman"/>
                <w:sz w:val="24"/>
                <w:szCs w:val="24"/>
              </w:rPr>
            </w:pPr>
          </w:p>
          <w:p w14:paraId="6BE7C184" w14:textId="77777777" w:rsidR="00223998" w:rsidRPr="00EC6C19" w:rsidRDefault="00223998" w:rsidP="00772D8B">
            <w:pPr>
              <w:spacing w:line="360" w:lineRule="auto"/>
              <w:rPr>
                <w:rFonts w:ascii="Times New Roman" w:hAnsi="Times New Roman" w:cs="Times New Roman"/>
                <w:sz w:val="24"/>
                <w:szCs w:val="24"/>
              </w:rPr>
            </w:pPr>
          </w:p>
          <w:p w14:paraId="34F7E89A" w14:textId="77777777" w:rsidR="00223998" w:rsidRPr="00EC6C19" w:rsidRDefault="00223998" w:rsidP="00772D8B">
            <w:pPr>
              <w:spacing w:line="360" w:lineRule="auto"/>
              <w:rPr>
                <w:rFonts w:ascii="Times New Roman" w:hAnsi="Times New Roman" w:cs="Times New Roman"/>
                <w:sz w:val="24"/>
                <w:szCs w:val="24"/>
              </w:rPr>
            </w:pPr>
          </w:p>
          <w:p w14:paraId="25A33B55" w14:textId="77777777" w:rsidR="00223998" w:rsidRPr="00EC6C19" w:rsidRDefault="00223998" w:rsidP="00772D8B">
            <w:pPr>
              <w:spacing w:line="360" w:lineRule="auto"/>
              <w:rPr>
                <w:rFonts w:ascii="Times New Roman" w:hAnsi="Times New Roman" w:cs="Times New Roman"/>
                <w:sz w:val="24"/>
                <w:szCs w:val="24"/>
              </w:rPr>
            </w:pPr>
          </w:p>
          <w:p w14:paraId="0227E820" w14:textId="77777777" w:rsidR="00223998" w:rsidRPr="00EC6C19" w:rsidRDefault="00223998" w:rsidP="00772D8B">
            <w:pPr>
              <w:spacing w:line="360" w:lineRule="auto"/>
              <w:rPr>
                <w:rFonts w:ascii="Times New Roman" w:hAnsi="Times New Roman" w:cs="Times New Roman"/>
                <w:sz w:val="24"/>
                <w:szCs w:val="24"/>
              </w:rPr>
            </w:pPr>
          </w:p>
          <w:p w14:paraId="5000C899" w14:textId="77777777" w:rsidR="00223998" w:rsidRPr="00EC6C19" w:rsidRDefault="00223998"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 = 0.02</w:t>
            </w:r>
          </w:p>
        </w:tc>
      </w:tr>
      <w:tr w:rsidR="00223998" w:rsidRPr="00EC6C19" w14:paraId="45B44F27" w14:textId="77777777" w:rsidTr="007C06E1">
        <w:tc>
          <w:tcPr>
            <w:tcW w:w="1103" w:type="pct"/>
            <w:shd w:val="clear" w:color="auto" w:fill="FFFFFF" w:themeFill="background1"/>
          </w:tcPr>
          <w:p w14:paraId="65556F1A"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4</w:t>
            </w:r>
          </w:p>
          <w:p w14:paraId="19942B77" w14:textId="77777777" w:rsidR="00223998" w:rsidRPr="00EC6C19" w:rsidRDefault="00223998" w:rsidP="00772D8B">
            <w:pPr>
              <w:spacing w:line="360" w:lineRule="auto"/>
              <w:rPr>
                <w:rFonts w:ascii="Times New Roman" w:hAnsi="Times New Roman" w:cs="Times New Roman"/>
                <w:b/>
                <w:sz w:val="24"/>
                <w:szCs w:val="24"/>
              </w:rPr>
            </w:pPr>
          </w:p>
        </w:tc>
        <w:tc>
          <w:tcPr>
            <w:tcW w:w="1021" w:type="pct"/>
            <w:shd w:val="clear" w:color="auto" w:fill="FFFFFF" w:themeFill="background1"/>
          </w:tcPr>
          <w:p w14:paraId="645420BC"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0.91</w:t>
            </w:r>
          </w:p>
        </w:tc>
        <w:tc>
          <w:tcPr>
            <w:tcW w:w="1085" w:type="pct"/>
            <w:shd w:val="clear" w:color="auto" w:fill="FFFFFF" w:themeFill="background1"/>
          </w:tcPr>
          <w:p w14:paraId="0A78C875"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0.83</w:t>
            </w:r>
          </w:p>
        </w:tc>
        <w:tc>
          <w:tcPr>
            <w:tcW w:w="1094" w:type="pct"/>
            <w:shd w:val="clear" w:color="auto" w:fill="FFFFFF" w:themeFill="background1"/>
          </w:tcPr>
          <w:p w14:paraId="56AEE328"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0.08</w:t>
            </w:r>
          </w:p>
        </w:tc>
        <w:tc>
          <w:tcPr>
            <w:tcW w:w="697" w:type="pct"/>
            <w:vMerge/>
            <w:shd w:val="clear" w:color="auto" w:fill="FFFFFF" w:themeFill="background1"/>
          </w:tcPr>
          <w:p w14:paraId="0E4D4748" w14:textId="77777777" w:rsidR="00223998" w:rsidRPr="00EC6C19" w:rsidRDefault="00223998" w:rsidP="00772D8B">
            <w:pPr>
              <w:spacing w:line="360" w:lineRule="auto"/>
              <w:rPr>
                <w:rFonts w:ascii="Times New Roman" w:hAnsi="Times New Roman" w:cs="Times New Roman"/>
                <w:sz w:val="24"/>
                <w:szCs w:val="24"/>
              </w:rPr>
            </w:pPr>
          </w:p>
        </w:tc>
      </w:tr>
      <w:tr w:rsidR="00223998" w:rsidRPr="00EC6C19" w14:paraId="7CC43534" w14:textId="77777777" w:rsidTr="007C06E1">
        <w:tc>
          <w:tcPr>
            <w:tcW w:w="1103" w:type="pct"/>
            <w:shd w:val="clear" w:color="auto" w:fill="FFFFFF" w:themeFill="background1"/>
          </w:tcPr>
          <w:p w14:paraId="314D5546"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7</w:t>
            </w:r>
          </w:p>
          <w:p w14:paraId="7ECD2A8E" w14:textId="77777777" w:rsidR="00223998" w:rsidRPr="00EC6C19" w:rsidRDefault="00223998" w:rsidP="00772D8B">
            <w:pPr>
              <w:spacing w:line="360" w:lineRule="auto"/>
              <w:rPr>
                <w:rFonts w:ascii="Times New Roman" w:hAnsi="Times New Roman" w:cs="Times New Roman"/>
                <w:b/>
                <w:sz w:val="24"/>
                <w:szCs w:val="24"/>
              </w:rPr>
            </w:pPr>
          </w:p>
        </w:tc>
        <w:tc>
          <w:tcPr>
            <w:tcW w:w="1021" w:type="pct"/>
            <w:shd w:val="clear" w:color="auto" w:fill="FFFFFF" w:themeFill="background1"/>
          </w:tcPr>
          <w:p w14:paraId="1FE67868"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0.92</w:t>
            </w:r>
          </w:p>
        </w:tc>
        <w:tc>
          <w:tcPr>
            <w:tcW w:w="1085" w:type="pct"/>
            <w:shd w:val="clear" w:color="auto" w:fill="FFFFFF" w:themeFill="background1"/>
          </w:tcPr>
          <w:p w14:paraId="67A5FA22"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0.84</w:t>
            </w:r>
          </w:p>
        </w:tc>
        <w:tc>
          <w:tcPr>
            <w:tcW w:w="1094" w:type="pct"/>
            <w:shd w:val="clear" w:color="auto" w:fill="FFFFFF" w:themeFill="background1"/>
          </w:tcPr>
          <w:p w14:paraId="6579C7B6"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0.08</w:t>
            </w:r>
          </w:p>
        </w:tc>
        <w:tc>
          <w:tcPr>
            <w:tcW w:w="697" w:type="pct"/>
            <w:vMerge/>
            <w:shd w:val="clear" w:color="auto" w:fill="FFFFFF" w:themeFill="background1"/>
          </w:tcPr>
          <w:p w14:paraId="0BEF7766" w14:textId="77777777" w:rsidR="00223998" w:rsidRPr="00EC6C19" w:rsidRDefault="00223998" w:rsidP="00772D8B">
            <w:pPr>
              <w:spacing w:line="360" w:lineRule="auto"/>
              <w:rPr>
                <w:rFonts w:ascii="Times New Roman" w:hAnsi="Times New Roman" w:cs="Times New Roman"/>
                <w:sz w:val="24"/>
                <w:szCs w:val="24"/>
              </w:rPr>
            </w:pPr>
          </w:p>
        </w:tc>
      </w:tr>
      <w:tr w:rsidR="00223998" w:rsidRPr="00EC6C19" w14:paraId="60AC05ED" w14:textId="77777777" w:rsidTr="007C06E1">
        <w:tc>
          <w:tcPr>
            <w:tcW w:w="1103" w:type="pct"/>
            <w:shd w:val="clear" w:color="auto" w:fill="FFFFFF" w:themeFill="background1"/>
          </w:tcPr>
          <w:p w14:paraId="0E3A1217"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9</w:t>
            </w:r>
          </w:p>
          <w:p w14:paraId="64D4BC1E" w14:textId="77777777" w:rsidR="00223998" w:rsidRPr="00EC6C19" w:rsidRDefault="00223998" w:rsidP="00772D8B">
            <w:pPr>
              <w:spacing w:line="360" w:lineRule="auto"/>
              <w:rPr>
                <w:rFonts w:ascii="Times New Roman" w:hAnsi="Times New Roman" w:cs="Times New Roman"/>
                <w:b/>
                <w:sz w:val="24"/>
                <w:szCs w:val="24"/>
              </w:rPr>
            </w:pPr>
          </w:p>
        </w:tc>
        <w:tc>
          <w:tcPr>
            <w:tcW w:w="1021" w:type="pct"/>
            <w:shd w:val="clear" w:color="auto" w:fill="FFFFFF" w:themeFill="background1"/>
          </w:tcPr>
          <w:p w14:paraId="5041BAD7"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1.02</w:t>
            </w:r>
          </w:p>
        </w:tc>
        <w:tc>
          <w:tcPr>
            <w:tcW w:w="1085" w:type="pct"/>
            <w:shd w:val="clear" w:color="auto" w:fill="FFFFFF" w:themeFill="background1"/>
          </w:tcPr>
          <w:p w14:paraId="04A9B22F"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0.89</w:t>
            </w:r>
          </w:p>
        </w:tc>
        <w:tc>
          <w:tcPr>
            <w:tcW w:w="1094" w:type="pct"/>
            <w:shd w:val="clear" w:color="auto" w:fill="FFFFFF" w:themeFill="background1"/>
          </w:tcPr>
          <w:p w14:paraId="7D257403"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0.13</w:t>
            </w:r>
          </w:p>
        </w:tc>
        <w:tc>
          <w:tcPr>
            <w:tcW w:w="697" w:type="pct"/>
            <w:vMerge/>
            <w:shd w:val="clear" w:color="auto" w:fill="FFFFFF" w:themeFill="background1"/>
          </w:tcPr>
          <w:p w14:paraId="20E0871C" w14:textId="77777777" w:rsidR="00223998" w:rsidRPr="00EC6C19" w:rsidRDefault="00223998" w:rsidP="00772D8B">
            <w:pPr>
              <w:spacing w:line="360" w:lineRule="auto"/>
              <w:rPr>
                <w:rFonts w:ascii="Times New Roman" w:hAnsi="Times New Roman" w:cs="Times New Roman"/>
                <w:sz w:val="24"/>
                <w:szCs w:val="24"/>
              </w:rPr>
            </w:pPr>
          </w:p>
        </w:tc>
      </w:tr>
      <w:tr w:rsidR="00223998" w:rsidRPr="00EC6C19" w14:paraId="05B1FB30" w14:textId="77777777" w:rsidTr="007C06E1">
        <w:tc>
          <w:tcPr>
            <w:tcW w:w="1103" w:type="pct"/>
            <w:shd w:val="clear" w:color="auto" w:fill="FFFFFF" w:themeFill="background1"/>
          </w:tcPr>
          <w:p w14:paraId="426C3D40"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10</w:t>
            </w:r>
          </w:p>
          <w:p w14:paraId="4D768628" w14:textId="77777777" w:rsidR="00223998" w:rsidRPr="00EC6C19" w:rsidRDefault="00223998" w:rsidP="00772D8B">
            <w:pPr>
              <w:spacing w:line="360" w:lineRule="auto"/>
              <w:rPr>
                <w:rFonts w:ascii="Times New Roman" w:hAnsi="Times New Roman" w:cs="Times New Roman"/>
                <w:b/>
                <w:sz w:val="24"/>
                <w:szCs w:val="24"/>
              </w:rPr>
            </w:pPr>
          </w:p>
        </w:tc>
        <w:tc>
          <w:tcPr>
            <w:tcW w:w="1021" w:type="pct"/>
            <w:shd w:val="clear" w:color="auto" w:fill="FFFFFF" w:themeFill="background1"/>
          </w:tcPr>
          <w:p w14:paraId="5705986D"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1.07</w:t>
            </w:r>
          </w:p>
        </w:tc>
        <w:tc>
          <w:tcPr>
            <w:tcW w:w="1085" w:type="pct"/>
            <w:shd w:val="clear" w:color="auto" w:fill="FFFFFF" w:themeFill="background1"/>
          </w:tcPr>
          <w:p w14:paraId="0CB57D05"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0.89</w:t>
            </w:r>
          </w:p>
        </w:tc>
        <w:tc>
          <w:tcPr>
            <w:tcW w:w="1094" w:type="pct"/>
            <w:shd w:val="clear" w:color="auto" w:fill="FFFFFF" w:themeFill="background1"/>
          </w:tcPr>
          <w:p w14:paraId="2989E01D"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0.18</w:t>
            </w:r>
          </w:p>
        </w:tc>
        <w:tc>
          <w:tcPr>
            <w:tcW w:w="697" w:type="pct"/>
            <w:vMerge/>
            <w:shd w:val="clear" w:color="auto" w:fill="FFFFFF" w:themeFill="background1"/>
          </w:tcPr>
          <w:p w14:paraId="29679453" w14:textId="77777777" w:rsidR="00223998" w:rsidRPr="00EC6C19" w:rsidRDefault="00223998" w:rsidP="00772D8B">
            <w:pPr>
              <w:spacing w:line="360" w:lineRule="auto"/>
              <w:rPr>
                <w:rFonts w:ascii="Times New Roman" w:hAnsi="Times New Roman" w:cs="Times New Roman"/>
                <w:sz w:val="24"/>
                <w:szCs w:val="24"/>
              </w:rPr>
            </w:pPr>
          </w:p>
        </w:tc>
      </w:tr>
      <w:tr w:rsidR="00223998" w:rsidRPr="00EC6C19" w14:paraId="5881096A" w14:textId="77777777" w:rsidTr="007C06E1">
        <w:tc>
          <w:tcPr>
            <w:tcW w:w="1103" w:type="pct"/>
            <w:shd w:val="clear" w:color="auto" w:fill="FFFFFF" w:themeFill="background1"/>
          </w:tcPr>
          <w:p w14:paraId="17FE1B69"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11</w:t>
            </w:r>
          </w:p>
          <w:p w14:paraId="0A6E3CC0" w14:textId="77777777" w:rsidR="00223998" w:rsidRPr="00EC6C19" w:rsidRDefault="00223998" w:rsidP="00772D8B">
            <w:pPr>
              <w:spacing w:line="360" w:lineRule="auto"/>
              <w:rPr>
                <w:rFonts w:ascii="Times New Roman" w:hAnsi="Times New Roman" w:cs="Times New Roman"/>
                <w:b/>
                <w:sz w:val="24"/>
                <w:szCs w:val="24"/>
              </w:rPr>
            </w:pPr>
          </w:p>
        </w:tc>
        <w:tc>
          <w:tcPr>
            <w:tcW w:w="1021" w:type="pct"/>
            <w:shd w:val="clear" w:color="auto" w:fill="FFFFFF" w:themeFill="background1"/>
          </w:tcPr>
          <w:p w14:paraId="421D4EAB"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1.01</w:t>
            </w:r>
          </w:p>
        </w:tc>
        <w:tc>
          <w:tcPr>
            <w:tcW w:w="1085" w:type="pct"/>
            <w:shd w:val="clear" w:color="auto" w:fill="FFFFFF" w:themeFill="background1"/>
          </w:tcPr>
          <w:p w14:paraId="795FC372"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0.97</w:t>
            </w:r>
          </w:p>
        </w:tc>
        <w:tc>
          <w:tcPr>
            <w:tcW w:w="1094" w:type="pct"/>
            <w:shd w:val="clear" w:color="auto" w:fill="FFFFFF" w:themeFill="background1"/>
          </w:tcPr>
          <w:p w14:paraId="69D9D7A2"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0.04</w:t>
            </w:r>
          </w:p>
        </w:tc>
        <w:tc>
          <w:tcPr>
            <w:tcW w:w="697" w:type="pct"/>
            <w:vMerge/>
            <w:shd w:val="clear" w:color="auto" w:fill="FFFFFF" w:themeFill="background1"/>
          </w:tcPr>
          <w:p w14:paraId="65325F5B" w14:textId="77777777" w:rsidR="00223998" w:rsidRPr="00EC6C19" w:rsidRDefault="00223998" w:rsidP="00772D8B">
            <w:pPr>
              <w:spacing w:line="360" w:lineRule="auto"/>
              <w:rPr>
                <w:rFonts w:ascii="Times New Roman" w:hAnsi="Times New Roman" w:cs="Times New Roman"/>
                <w:sz w:val="24"/>
                <w:szCs w:val="24"/>
              </w:rPr>
            </w:pPr>
          </w:p>
        </w:tc>
      </w:tr>
      <w:tr w:rsidR="00223998" w:rsidRPr="00EC6C19" w14:paraId="7143EE81" w14:textId="77777777" w:rsidTr="007C06E1">
        <w:tc>
          <w:tcPr>
            <w:tcW w:w="1103" w:type="pct"/>
            <w:shd w:val="clear" w:color="auto" w:fill="FFFFFF" w:themeFill="background1"/>
          </w:tcPr>
          <w:p w14:paraId="6952FBCD"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15</w:t>
            </w:r>
          </w:p>
          <w:p w14:paraId="2F92CE93" w14:textId="77777777" w:rsidR="00223998" w:rsidRPr="00EC6C19" w:rsidRDefault="00223998" w:rsidP="00772D8B">
            <w:pPr>
              <w:spacing w:line="360" w:lineRule="auto"/>
              <w:rPr>
                <w:rFonts w:ascii="Times New Roman" w:hAnsi="Times New Roman" w:cs="Times New Roman"/>
                <w:b/>
                <w:sz w:val="24"/>
                <w:szCs w:val="24"/>
              </w:rPr>
            </w:pPr>
          </w:p>
        </w:tc>
        <w:tc>
          <w:tcPr>
            <w:tcW w:w="1021" w:type="pct"/>
            <w:shd w:val="clear" w:color="auto" w:fill="FFFFFF" w:themeFill="background1"/>
          </w:tcPr>
          <w:p w14:paraId="2E0BB4D8"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0.94</w:t>
            </w:r>
          </w:p>
        </w:tc>
        <w:tc>
          <w:tcPr>
            <w:tcW w:w="1085" w:type="pct"/>
            <w:shd w:val="clear" w:color="auto" w:fill="FFFFFF" w:themeFill="background1"/>
          </w:tcPr>
          <w:p w14:paraId="12259B56"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 0.92</w:t>
            </w:r>
          </w:p>
        </w:tc>
        <w:tc>
          <w:tcPr>
            <w:tcW w:w="1094" w:type="pct"/>
            <w:shd w:val="clear" w:color="auto" w:fill="FFFFFF" w:themeFill="background1"/>
          </w:tcPr>
          <w:p w14:paraId="47C4F60D"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0.02</w:t>
            </w:r>
          </w:p>
        </w:tc>
        <w:tc>
          <w:tcPr>
            <w:tcW w:w="697" w:type="pct"/>
            <w:vMerge/>
            <w:shd w:val="clear" w:color="auto" w:fill="FFFFFF" w:themeFill="background1"/>
          </w:tcPr>
          <w:p w14:paraId="6A203952" w14:textId="77777777" w:rsidR="00223998" w:rsidRPr="00EC6C19" w:rsidRDefault="00223998" w:rsidP="00772D8B">
            <w:pPr>
              <w:spacing w:line="360" w:lineRule="auto"/>
              <w:rPr>
                <w:rFonts w:ascii="Times New Roman" w:hAnsi="Times New Roman" w:cs="Times New Roman"/>
                <w:sz w:val="24"/>
                <w:szCs w:val="24"/>
              </w:rPr>
            </w:pPr>
          </w:p>
        </w:tc>
      </w:tr>
      <w:tr w:rsidR="00223998" w:rsidRPr="00EC6C19" w14:paraId="5C8864F8" w14:textId="77777777" w:rsidTr="007C06E1">
        <w:tc>
          <w:tcPr>
            <w:tcW w:w="1103" w:type="pct"/>
            <w:shd w:val="clear" w:color="auto" w:fill="FFFFFF" w:themeFill="background1"/>
          </w:tcPr>
          <w:p w14:paraId="5621C465"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16</w:t>
            </w:r>
          </w:p>
          <w:p w14:paraId="68784881" w14:textId="77777777" w:rsidR="00223998" w:rsidRPr="00EC6C19" w:rsidRDefault="00223998" w:rsidP="00772D8B">
            <w:pPr>
              <w:spacing w:line="360" w:lineRule="auto"/>
              <w:rPr>
                <w:rFonts w:ascii="Times New Roman" w:hAnsi="Times New Roman" w:cs="Times New Roman"/>
                <w:b/>
                <w:sz w:val="24"/>
                <w:szCs w:val="24"/>
              </w:rPr>
            </w:pPr>
          </w:p>
        </w:tc>
        <w:tc>
          <w:tcPr>
            <w:tcW w:w="1021" w:type="pct"/>
            <w:shd w:val="clear" w:color="auto" w:fill="FFFFFF" w:themeFill="background1"/>
          </w:tcPr>
          <w:p w14:paraId="698279B1"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0.94</w:t>
            </w:r>
          </w:p>
        </w:tc>
        <w:tc>
          <w:tcPr>
            <w:tcW w:w="1085" w:type="pct"/>
            <w:shd w:val="clear" w:color="auto" w:fill="FFFFFF" w:themeFill="background1"/>
          </w:tcPr>
          <w:p w14:paraId="4D836CAB"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0.94</w:t>
            </w:r>
          </w:p>
        </w:tc>
        <w:tc>
          <w:tcPr>
            <w:tcW w:w="1094" w:type="pct"/>
            <w:shd w:val="clear" w:color="auto" w:fill="FFFFFF" w:themeFill="background1"/>
          </w:tcPr>
          <w:p w14:paraId="45ECAF24"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w:t>
            </w:r>
          </w:p>
        </w:tc>
        <w:tc>
          <w:tcPr>
            <w:tcW w:w="697" w:type="pct"/>
            <w:vMerge/>
            <w:shd w:val="clear" w:color="auto" w:fill="FFFFFF" w:themeFill="background1"/>
          </w:tcPr>
          <w:p w14:paraId="2407DBCF" w14:textId="77777777" w:rsidR="00223998" w:rsidRPr="00EC6C19" w:rsidRDefault="00223998" w:rsidP="00772D8B">
            <w:pPr>
              <w:spacing w:line="360" w:lineRule="auto"/>
              <w:rPr>
                <w:rFonts w:ascii="Times New Roman" w:hAnsi="Times New Roman" w:cs="Times New Roman"/>
                <w:sz w:val="24"/>
                <w:szCs w:val="24"/>
              </w:rPr>
            </w:pPr>
          </w:p>
        </w:tc>
      </w:tr>
      <w:tr w:rsidR="00223998" w:rsidRPr="00EC6C19" w14:paraId="2FAD8E88" w14:textId="77777777" w:rsidTr="007C06E1">
        <w:tc>
          <w:tcPr>
            <w:tcW w:w="1103" w:type="pct"/>
            <w:shd w:val="clear" w:color="auto" w:fill="FFFFFF" w:themeFill="background1"/>
          </w:tcPr>
          <w:p w14:paraId="779676F3"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17</w:t>
            </w:r>
          </w:p>
          <w:p w14:paraId="625E47F4" w14:textId="77777777" w:rsidR="00223998" w:rsidRPr="00EC6C19" w:rsidRDefault="00223998" w:rsidP="00772D8B">
            <w:pPr>
              <w:spacing w:line="360" w:lineRule="auto"/>
              <w:rPr>
                <w:rFonts w:ascii="Times New Roman" w:hAnsi="Times New Roman" w:cs="Times New Roman"/>
                <w:b/>
                <w:sz w:val="24"/>
                <w:szCs w:val="24"/>
              </w:rPr>
            </w:pPr>
          </w:p>
        </w:tc>
        <w:tc>
          <w:tcPr>
            <w:tcW w:w="1021" w:type="pct"/>
            <w:shd w:val="clear" w:color="auto" w:fill="FFFFFF" w:themeFill="background1"/>
          </w:tcPr>
          <w:p w14:paraId="55FB4942"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0.5</w:t>
            </w:r>
          </w:p>
        </w:tc>
        <w:tc>
          <w:tcPr>
            <w:tcW w:w="1085" w:type="pct"/>
            <w:shd w:val="clear" w:color="auto" w:fill="FFFFFF" w:themeFill="background1"/>
          </w:tcPr>
          <w:p w14:paraId="24365F37"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0.5</w:t>
            </w:r>
          </w:p>
        </w:tc>
        <w:tc>
          <w:tcPr>
            <w:tcW w:w="1094" w:type="pct"/>
            <w:shd w:val="clear" w:color="auto" w:fill="FFFFFF" w:themeFill="background1"/>
          </w:tcPr>
          <w:p w14:paraId="54EF8C95"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w:t>
            </w:r>
          </w:p>
        </w:tc>
        <w:tc>
          <w:tcPr>
            <w:tcW w:w="697" w:type="pct"/>
            <w:vMerge/>
            <w:shd w:val="clear" w:color="auto" w:fill="FFFFFF" w:themeFill="background1"/>
          </w:tcPr>
          <w:p w14:paraId="04F11489" w14:textId="77777777" w:rsidR="00223998" w:rsidRPr="00EC6C19" w:rsidRDefault="00223998" w:rsidP="00772D8B">
            <w:pPr>
              <w:spacing w:line="360" w:lineRule="auto"/>
              <w:rPr>
                <w:rFonts w:ascii="Times New Roman" w:hAnsi="Times New Roman" w:cs="Times New Roman"/>
                <w:sz w:val="24"/>
                <w:szCs w:val="24"/>
              </w:rPr>
            </w:pPr>
          </w:p>
        </w:tc>
      </w:tr>
      <w:tr w:rsidR="00223998" w:rsidRPr="00EC6C19" w14:paraId="546DDAE3" w14:textId="77777777" w:rsidTr="007C06E1">
        <w:tc>
          <w:tcPr>
            <w:tcW w:w="1103" w:type="pct"/>
            <w:shd w:val="clear" w:color="auto" w:fill="FFFFFF" w:themeFill="background1"/>
          </w:tcPr>
          <w:p w14:paraId="3041CB2D" w14:textId="77777777"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18</w:t>
            </w:r>
          </w:p>
          <w:p w14:paraId="671C5A08" w14:textId="77777777" w:rsidR="00223998" w:rsidRPr="00EC6C19" w:rsidRDefault="00223998" w:rsidP="00772D8B">
            <w:pPr>
              <w:spacing w:line="360" w:lineRule="auto"/>
              <w:rPr>
                <w:rFonts w:ascii="Times New Roman" w:hAnsi="Times New Roman" w:cs="Times New Roman"/>
                <w:b/>
                <w:sz w:val="24"/>
                <w:szCs w:val="24"/>
              </w:rPr>
            </w:pPr>
          </w:p>
        </w:tc>
        <w:tc>
          <w:tcPr>
            <w:tcW w:w="1021" w:type="pct"/>
            <w:shd w:val="clear" w:color="auto" w:fill="FFFFFF" w:themeFill="background1"/>
          </w:tcPr>
          <w:p w14:paraId="45B6D932"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0.86</w:t>
            </w:r>
          </w:p>
        </w:tc>
        <w:tc>
          <w:tcPr>
            <w:tcW w:w="1085" w:type="pct"/>
            <w:shd w:val="clear" w:color="auto" w:fill="FFFFFF" w:themeFill="background1"/>
          </w:tcPr>
          <w:p w14:paraId="12B72969"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0.73</w:t>
            </w:r>
          </w:p>
        </w:tc>
        <w:tc>
          <w:tcPr>
            <w:tcW w:w="1094" w:type="pct"/>
            <w:shd w:val="clear" w:color="auto" w:fill="FFFFFF" w:themeFill="background1"/>
          </w:tcPr>
          <w:p w14:paraId="17BC573F"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0.13</w:t>
            </w:r>
          </w:p>
        </w:tc>
        <w:tc>
          <w:tcPr>
            <w:tcW w:w="697" w:type="pct"/>
            <w:vMerge/>
            <w:shd w:val="clear" w:color="auto" w:fill="FFFFFF" w:themeFill="background1"/>
          </w:tcPr>
          <w:p w14:paraId="2F6BC4E9" w14:textId="77777777" w:rsidR="00223998" w:rsidRPr="00EC6C19" w:rsidRDefault="00223998" w:rsidP="00772D8B">
            <w:pPr>
              <w:spacing w:line="360" w:lineRule="auto"/>
              <w:rPr>
                <w:rFonts w:ascii="Times New Roman" w:hAnsi="Times New Roman" w:cs="Times New Roman"/>
                <w:sz w:val="24"/>
                <w:szCs w:val="24"/>
              </w:rPr>
            </w:pPr>
          </w:p>
        </w:tc>
      </w:tr>
      <w:tr w:rsidR="00223998" w:rsidRPr="00EC6C19" w14:paraId="3225D91C" w14:textId="77777777" w:rsidTr="007C06E1">
        <w:tc>
          <w:tcPr>
            <w:tcW w:w="1103" w:type="pct"/>
            <w:shd w:val="clear" w:color="auto" w:fill="FFFFFF" w:themeFill="background1"/>
          </w:tcPr>
          <w:p w14:paraId="157311CE" w14:textId="22F3A17A" w:rsidR="00223998" w:rsidRPr="00EC6C19" w:rsidRDefault="00223998" w:rsidP="00772D8B">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Mean (</w:t>
            </w:r>
            <w:r w:rsidR="00D97E85">
              <w:rPr>
                <w:rFonts w:ascii="Times New Roman" w:hAnsi="Times New Roman" w:cs="Times New Roman"/>
                <w:sz w:val="24"/>
                <w:szCs w:val="24"/>
              </w:rPr>
              <w:t>±</w:t>
            </w:r>
            <w:r w:rsidRPr="00EC6C19">
              <w:rPr>
                <w:rFonts w:ascii="Times New Roman" w:hAnsi="Times New Roman" w:cs="Times New Roman"/>
                <w:b/>
                <w:sz w:val="24"/>
                <w:szCs w:val="24"/>
              </w:rPr>
              <w:t>SD)</w:t>
            </w:r>
          </w:p>
        </w:tc>
        <w:tc>
          <w:tcPr>
            <w:tcW w:w="1021" w:type="pct"/>
            <w:shd w:val="clear" w:color="auto" w:fill="FFFFFF" w:themeFill="background1"/>
          </w:tcPr>
          <w:p w14:paraId="7A7ECF6B"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0.91 (0.15)</w:t>
            </w:r>
          </w:p>
        </w:tc>
        <w:tc>
          <w:tcPr>
            <w:tcW w:w="1085" w:type="pct"/>
            <w:shd w:val="clear" w:color="auto" w:fill="FFFFFF" w:themeFill="background1"/>
          </w:tcPr>
          <w:p w14:paraId="6DE835ED"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0.85 (0.14)</w:t>
            </w:r>
          </w:p>
        </w:tc>
        <w:tc>
          <w:tcPr>
            <w:tcW w:w="1094" w:type="pct"/>
            <w:shd w:val="clear" w:color="auto" w:fill="FFFFFF" w:themeFill="background1"/>
          </w:tcPr>
          <w:p w14:paraId="0069C142" w14:textId="77777777" w:rsidR="00223998" w:rsidRPr="00EC6C19" w:rsidRDefault="00223998" w:rsidP="00772D8B">
            <w:pPr>
              <w:spacing w:line="360" w:lineRule="auto"/>
              <w:rPr>
                <w:rFonts w:ascii="Times New Roman" w:hAnsi="Times New Roman" w:cs="Times New Roman"/>
                <w:sz w:val="24"/>
                <w:szCs w:val="24"/>
              </w:rPr>
            </w:pPr>
            <w:r w:rsidRPr="00EC6C19">
              <w:rPr>
                <w:rFonts w:ascii="Times New Roman" w:hAnsi="Times New Roman" w:cs="Times New Roman"/>
                <w:sz w:val="24"/>
                <w:szCs w:val="24"/>
              </w:rPr>
              <w:t>0.06 (0.06)</w:t>
            </w:r>
          </w:p>
        </w:tc>
        <w:tc>
          <w:tcPr>
            <w:tcW w:w="697" w:type="pct"/>
            <w:vMerge/>
            <w:shd w:val="clear" w:color="auto" w:fill="FFFFFF" w:themeFill="background1"/>
          </w:tcPr>
          <w:p w14:paraId="7427B3B3" w14:textId="77777777" w:rsidR="00223998" w:rsidRPr="00EC6C19" w:rsidRDefault="00223998" w:rsidP="00772D8B">
            <w:pPr>
              <w:spacing w:line="360" w:lineRule="auto"/>
              <w:rPr>
                <w:rFonts w:ascii="Times New Roman" w:hAnsi="Times New Roman" w:cs="Times New Roman"/>
                <w:sz w:val="24"/>
                <w:szCs w:val="24"/>
              </w:rPr>
            </w:pPr>
          </w:p>
        </w:tc>
      </w:tr>
    </w:tbl>
    <w:p w14:paraId="7106CB6E" w14:textId="77777777" w:rsidR="000A2287" w:rsidRPr="008630EC" w:rsidRDefault="000A2287" w:rsidP="008630EC">
      <w:pPr>
        <w:spacing w:line="360" w:lineRule="auto"/>
        <w:rPr>
          <w:rFonts w:ascii="Times New Roman" w:hAnsi="Times New Roman" w:cs="Times New Roman"/>
          <w:i/>
          <w:sz w:val="24"/>
          <w:szCs w:val="24"/>
        </w:rPr>
      </w:pPr>
    </w:p>
    <w:p w14:paraId="2CB72702" w14:textId="77777777" w:rsidR="00773472" w:rsidRDefault="008630EC" w:rsidP="008630EC">
      <w:pPr>
        <w:pStyle w:val="Caption"/>
        <w:spacing w:line="360" w:lineRule="auto"/>
        <w:rPr>
          <w:rFonts w:ascii="Times New Roman" w:hAnsi="Times New Roman" w:cs="Times New Roman"/>
          <w:b w:val="0"/>
          <w:i/>
          <w:color w:val="auto"/>
          <w:sz w:val="24"/>
          <w:szCs w:val="24"/>
        </w:rPr>
      </w:pPr>
      <w:bookmarkStart w:id="168" w:name="_Toc44962597"/>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21</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LAD iFR. </w:t>
      </w:r>
      <w:r w:rsidR="00A00D25" w:rsidRPr="008630EC">
        <w:rPr>
          <w:rFonts w:ascii="Times New Roman" w:hAnsi="Times New Roman" w:cs="Times New Roman"/>
          <w:b w:val="0"/>
          <w:i/>
          <w:color w:val="auto"/>
          <w:sz w:val="24"/>
          <w:szCs w:val="24"/>
        </w:rPr>
        <w:t>Delta change</w:t>
      </w:r>
      <w:r w:rsidR="00773472" w:rsidRPr="008630EC">
        <w:rPr>
          <w:rFonts w:ascii="Times New Roman" w:hAnsi="Times New Roman" w:cs="Times New Roman"/>
          <w:b w:val="0"/>
          <w:i/>
          <w:color w:val="auto"/>
          <w:sz w:val="24"/>
          <w:szCs w:val="24"/>
        </w:rPr>
        <w:t xml:space="preserve"> in iFR between prone and supine positioning in the left anterior descending artery</w:t>
      </w:r>
      <w:r w:rsidR="00223998" w:rsidRPr="008630EC">
        <w:rPr>
          <w:rFonts w:ascii="Times New Roman" w:hAnsi="Times New Roman" w:cs="Times New Roman"/>
          <w:b w:val="0"/>
          <w:i/>
          <w:color w:val="auto"/>
          <w:sz w:val="24"/>
          <w:szCs w:val="24"/>
        </w:rPr>
        <w:t>.</w:t>
      </w:r>
      <w:r w:rsidR="00773472" w:rsidRPr="008630EC">
        <w:rPr>
          <w:rFonts w:ascii="Times New Roman" w:hAnsi="Times New Roman" w:cs="Times New Roman"/>
          <w:b w:val="0"/>
          <w:i/>
          <w:color w:val="auto"/>
          <w:sz w:val="24"/>
          <w:szCs w:val="24"/>
        </w:rPr>
        <w:t xml:space="preserve"> The results are statistically significant</w:t>
      </w:r>
      <w:r w:rsidR="00A00D25" w:rsidRPr="008630EC">
        <w:rPr>
          <w:rFonts w:ascii="Times New Roman" w:hAnsi="Times New Roman" w:cs="Times New Roman"/>
          <w:b w:val="0"/>
          <w:i/>
          <w:color w:val="auto"/>
          <w:sz w:val="24"/>
          <w:szCs w:val="24"/>
        </w:rPr>
        <w:t xml:space="preserve"> (p&lt;</w:t>
      </w:r>
      <w:r w:rsidR="00773472" w:rsidRPr="008630EC">
        <w:rPr>
          <w:rFonts w:ascii="Times New Roman" w:hAnsi="Times New Roman" w:cs="Times New Roman"/>
          <w:b w:val="0"/>
          <w:i/>
          <w:color w:val="auto"/>
          <w:sz w:val="24"/>
          <w:szCs w:val="24"/>
        </w:rPr>
        <w:t>0.0</w:t>
      </w:r>
      <w:r w:rsidR="00A00D25" w:rsidRPr="008630EC">
        <w:rPr>
          <w:rFonts w:ascii="Times New Roman" w:hAnsi="Times New Roman" w:cs="Times New Roman"/>
          <w:b w:val="0"/>
          <w:i/>
          <w:color w:val="auto"/>
          <w:sz w:val="24"/>
          <w:szCs w:val="24"/>
        </w:rPr>
        <w:t>5</w:t>
      </w:r>
      <w:r w:rsidR="00773472" w:rsidRPr="008630EC">
        <w:rPr>
          <w:rFonts w:ascii="Times New Roman" w:hAnsi="Times New Roman" w:cs="Times New Roman"/>
          <w:b w:val="0"/>
          <w:i/>
          <w:color w:val="auto"/>
          <w:sz w:val="24"/>
          <w:szCs w:val="24"/>
        </w:rPr>
        <w:t>)</w:t>
      </w:r>
      <w:bookmarkEnd w:id="168"/>
    </w:p>
    <w:p w14:paraId="09604EDF" w14:textId="77777777" w:rsidR="00CE002A" w:rsidRPr="00CE002A" w:rsidRDefault="00CE002A" w:rsidP="00CE002A"/>
    <w:p w14:paraId="4EBE7E01" w14:textId="77777777" w:rsidR="000A2287" w:rsidRPr="00EC6C19" w:rsidRDefault="000A2287" w:rsidP="00773472">
      <w:pPr>
        <w:spacing w:line="360" w:lineRule="auto"/>
        <w:rPr>
          <w:rFonts w:ascii="Times New Roman" w:hAnsi="Times New Roman" w:cs="Times New Roman"/>
          <w:i/>
          <w:sz w:val="24"/>
          <w:szCs w:val="24"/>
        </w:rPr>
      </w:pPr>
    </w:p>
    <w:p w14:paraId="7CF4C0A7" w14:textId="77777777" w:rsidR="00773472" w:rsidRPr="00EC6C19" w:rsidRDefault="00977CA6" w:rsidP="00773472">
      <w:pPr>
        <w:spacing w:line="360" w:lineRule="auto"/>
        <w:rPr>
          <w:rFonts w:ascii="Times New Roman" w:hAnsi="Times New Roman" w:cs="Times New Roman"/>
          <w:i/>
          <w:sz w:val="24"/>
          <w:szCs w:val="24"/>
        </w:rPr>
      </w:pPr>
      <w:r w:rsidRPr="00EC6C19">
        <w:rPr>
          <w:rFonts w:ascii="Times New Roman" w:hAnsi="Times New Roman" w:cs="Times New Roman"/>
          <w:i/>
          <w:noProof/>
          <w:sz w:val="24"/>
          <w:szCs w:val="24"/>
          <w:lang w:eastAsia="en-GB"/>
        </w:rPr>
        <w:drawing>
          <wp:inline distT="0" distB="0" distL="0" distR="0" wp14:anchorId="41EE7081" wp14:editId="735EDAA7">
            <wp:extent cx="5943600" cy="4210725"/>
            <wp:effectExtent l="0" t="0" r="0" b="0"/>
            <wp:docPr id="2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48FD422" w14:textId="77777777" w:rsidR="00773472" w:rsidRPr="00C51A0A" w:rsidRDefault="00C51A0A" w:rsidP="00C51A0A">
      <w:pPr>
        <w:pStyle w:val="Caption"/>
        <w:spacing w:line="360" w:lineRule="auto"/>
        <w:rPr>
          <w:rFonts w:ascii="Times New Roman" w:hAnsi="Times New Roman" w:cs="Times New Roman"/>
          <w:b w:val="0"/>
          <w:i/>
          <w:color w:val="auto"/>
          <w:sz w:val="24"/>
          <w:szCs w:val="24"/>
        </w:rPr>
      </w:pPr>
      <w:bookmarkStart w:id="169" w:name="_Toc44684927"/>
      <w:r w:rsidRPr="00C51A0A">
        <w:rPr>
          <w:rFonts w:ascii="Times New Roman" w:hAnsi="Times New Roman" w:cs="Times New Roman"/>
          <w:b w:val="0"/>
          <w:i/>
          <w:color w:val="auto"/>
          <w:sz w:val="24"/>
          <w:szCs w:val="24"/>
        </w:rPr>
        <w:t xml:space="preserve">Figure </w:t>
      </w:r>
      <w:r w:rsidR="00106A32" w:rsidRPr="00C51A0A">
        <w:rPr>
          <w:rFonts w:ascii="Times New Roman" w:hAnsi="Times New Roman" w:cs="Times New Roman"/>
          <w:b w:val="0"/>
          <w:i/>
          <w:color w:val="auto"/>
          <w:sz w:val="24"/>
          <w:szCs w:val="24"/>
        </w:rPr>
        <w:fldChar w:fldCharType="begin"/>
      </w:r>
      <w:r w:rsidRPr="00C51A0A">
        <w:rPr>
          <w:rFonts w:ascii="Times New Roman" w:hAnsi="Times New Roman" w:cs="Times New Roman"/>
          <w:b w:val="0"/>
          <w:i/>
          <w:color w:val="auto"/>
          <w:sz w:val="24"/>
          <w:szCs w:val="24"/>
        </w:rPr>
        <w:instrText xml:space="preserve"> SEQ Figure \* ARABIC </w:instrText>
      </w:r>
      <w:r w:rsidR="00106A32" w:rsidRPr="00C51A0A">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38</w:t>
      </w:r>
      <w:r w:rsidR="00106A32" w:rsidRPr="00C51A0A">
        <w:rPr>
          <w:rFonts w:ascii="Times New Roman" w:hAnsi="Times New Roman" w:cs="Times New Roman"/>
          <w:b w:val="0"/>
          <w:i/>
          <w:color w:val="auto"/>
          <w:sz w:val="24"/>
          <w:szCs w:val="24"/>
        </w:rPr>
        <w:fldChar w:fldCharType="end"/>
      </w:r>
      <w:r w:rsidRPr="00C51A0A">
        <w:rPr>
          <w:rFonts w:ascii="Times New Roman" w:hAnsi="Times New Roman" w:cs="Times New Roman"/>
          <w:b w:val="0"/>
          <w:i/>
          <w:color w:val="auto"/>
          <w:sz w:val="24"/>
          <w:szCs w:val="24"/>
        </w:rPr>
        <w:t xml:space="preserve"> - LAD iFR Delta Change - between prone and supine positioning.</w:t>
      </w:r>
      <w:r w:rsidR="00A00D25" w:rsidRPr="00C51A0A">
        <w:rPr>
          <w:rFonts w:ascii="Times New Roman" w:hAnsi="Times New Roman" w:cs="Times New Roman"/>
          <w:b w:val="0"/>
          <w:i/>
          <w:color w:val="auto"/>
          <w:sz w:val="24"/>
          <w:szCs w:val="24"/>
        </w:rPr>
        <w:t xml:space="preserve"> </w:t>
      </w:r>
      <w:r w:rsidR="00E80F29" w:rsidRPr="00C51A0A">
        <w:rPr>
          <w:rFonts w:ascii="Times New Roman" w:hAnsi="Times New Roman" w:cs="Times New Roman"/>
          <w:b w:val="0"/>
          <w:i/>
          <w:color w:val="auto"/>
          <w:sz w:val="24"/>
          <w:szCs w:val="24"/>
        </w:rPr>
        <w:t>Mean values are in red.</w:t>
      </w:r>
      <w:r w:rsidR="00773472" w:rsidRPr="00C51A0A">
        <w:rPr>
          <w:rFonts w:ascii="Times New Roman" w:hAnsi="Times New Roman" w:cs="Times New Roman"/>
          <w:b w:val="0"/>
          <w:i/>
          <w:color w:val="auto"/>
          <w:sz w:val="24"/>
          <w:szCs w:val="24"/>
        </w:rPr>
        <w:t xml:space="preserve"> The difference is statistically significant</w:t>
      </w:r>
      <w:r w:rsidR="00C85EF6" w:rsidRPr="00C51A0A">
        <w:rPr>
          <w:rFonts w:ascii="Times New Roman" w:hAnsi="Times New Roman" w:cs="Times New Roman"/>
          <w:b w:val="0"/>
          <w:i/>
          <w:color w:val="auto"/>
          <w:sz w:val="24"/>
          <w:szCs w:val="24"/>
        </w:rPr>
        <w:t xml:space="preserve"> (</w:t>
      </w:r>
      <w:r w:rsidR="00A00D25" w:rsidRPr="00C51A0A">
        <w:rPr>
          <w:rFonts w:ascii="Times New Roman" w:hAnsi="Times New Roman" w:cs="Times New Roman"/>
          <w:b w:val="0"/>
          <w:i/>
          <w:color w:val="auto"/>
          <w:sz w:val="24"/>
          <w:szCs w:val="24"/>
        </w:rPr>
        <w:t>p&lt;0.05</w:t>
      </w:r>
      <w:r w:rsidR="00773472" w:rsidRPr="00C51A0A">
        <w:rPr>
          <w:rFonts w:ascii="Times New Roman" w:hAnsi="Times New Roman" w:cs="Times New Roman"/>
          <w:b w:val="0"/>
          <w:i/>
          <w:color w:val="auto"/>
          <w:sz w:val="24"/>
          <w:szCs w:val="24"/>
        </w:rPr>
        <w:t>).</w:t>
      </w:r>
      <w:bookmarkEnd w:id="169"/>
    </w:p>
    <w:p w14:paraId="2CC9F3CB" w14:textId="77777777" w:rsidR="00CF1765" w:rsidRPr="00EC6C19" w:rsidRDefault="00CF1765" w:rsidP="00C264EA">
      <w:pPr>
        <w:spacing w:line="360" w:lineRule="auto"/>
        <w:rPr>
          <w:rFonts w:ascii="Times New Roman" w:hAnsi="Times New Roman" w:cs="Times New Roman"/>
          <w:sz w:val="24"/>
          <w:szCs w:val="24"/>
        </w:rPr>
      </w:pPr>
    </w:p>
    <w:p w14:paraId="5A9A8B9C" w14:textId="77777777" w:rsidR="00C85EF6" w:rsidRPr="00EC6C19" w:rsidRDefault="003B4D5A" w:rsidP="00C264EA">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Circumflex Artery</w:t>
      </w:r>
    </w:p>
    <w:p w14:paraId="75EAC9D8" w14:textId="77777777" w:rsidR="007C06E1" w:rsidRPr="00EC6C19" w:rsidRDefault="007C06E1" w:rsidP="00C264EA">
      <w:pPr>
        <w:spacing w:line="360" w:lineRule="auto"/>
        <w:rPr>
          <w:rFonts w:ascii="Times New Roman" w:hAnsi="Times New Roman" w:cs="Times New Roman"/>
          <w:sz w:val="24"/>
          <w:szCs w:val="24"/>
        </w:rPr>
      </w:pPr>
    </w:p>
    <w:p w14:paraId="4B4E4C11" w14:textId="77777777" w:rsidR="000A2287" w:rsidRDefault="007C06E1" w:rsidP="00C264EA">
      <w:pPr>
        <w:spacing w:line="360" w:lineRule="auto"/>
        <w:rPr>
          <w:rFonts w:ascii="Times New Roman" w:hAnsi="Times New Roman" w:cs="Times New Roman"/>
          <w:sz w:val="24"/>
          <w:szCs w:val="24"/>
        </w:rPr>
      </w:pPr>
      <w:r w:rsidRPr="00EC6C19">
        <w:rPr>
          <w:rFonts w:ascii="Times New Roman" w:hAnsi="Times New Roman" w:cs="Times New Roman"/>
          <w:sz w:val="24"/>
          <w:szCs w:val="24"/>
        </w:rPr>
        <w:t>In the cir</w:t>
      </w:r>
      <w:r w:rsidR="007F2F5D" w:rsidRPr="00EC6C19">
        <w:rPr>
          <w:rFonts w:ascii="Times New Roman" w:hAnsi="Times New Roman" w:cs="Times New Roman"/>
          <w:sz w:val="24"/>
          <w:szCs w:val="24"/>
        </w:rPr>
        <w:t>c</w:t>
      </w:r>
      <w:r w:rsidRPr="00EC6C19">
        <w:rPr>
          <w:rFonts w:ascii="Times New Roman" w:hAnsi="Times New Roman" w:cs="Times New Roman"/>
          <w:sz w:val="24"/>
          <w:szCs w:val="24"/>
        </w:rPr>
        <w:t>umflex artery, prone vs. supine iFR was 0.90 vs. 0.97 respectively, with the mean change of 0.07 being statistically significant (p&lt;0.</w:t>
      </w:r>
      <w:r w:rsidRPr="008630EC">
        <w:rPr>
          <w:rFonts w:ascii="Times New Roman" w:hAnsi="Times New Roman" w:cs="Times New Roman"/>
          <w:sz w:val="24"/>
          <w:szCs w:val="24"/>
        </w:rPr>
        <w:t>05).</w:t>
      </w:r>
      <w:r w:rsidR="007F2F5D" w:rsidRPr="008630EC">
        <w:rPr>
          <w:rFonts w:ascii="Times New Roman" w:hAnsi="Times New Roman" w:cs="Times New Roman"/>
          <w:sz w:val="24"/>
          <w:szCs w:val="24"/>
        </w:rPr>
        <w:t xml:space="preserve"> </w:t>
      </w:r>
      <w:r w:rsidR="00D43074" w:rsidRPr="008630EC">
        <w:rPr>
          <w:rFonts w:ascii="Times New Roman" w:hAnsi="Times New Roman" w:cs="Times New Roman"/>
          <w:sz w:val="24"/>
          <w:szCs w:val="24"/>
        </w:rPr>
        <w:t xml:space="preserve">Table </w:t>
      </w:r>
      <w:r w:rsidR="008630EC" w:rsidRPr="008630EC">
        <w:rPr>
          <w:rFonts w:ascii="Times New Roman" w:hAnsi="Times New Roman" w:cs="Times New Roman"/>
          <w:sz w:val="24"/>
          <w:szCs w:val="24"/>
        </w:rPr>
        <w:t>22</w:t>
      </w:r>
      <w:r w:rsidR="00D43074" w:rsidRPr="008630EC">
        <w:rPr>
          <w:rFonts w:ascii="Times New Roman" w:hAnsi="Times New Roman" w:cs="Times New Roman"/>
          <w:sz w:val="24"/>
          <w:szCs w:val="24"/>
        </w:rPr>
        <w:t xml:space="preserve"> and</w:t>
      </w:r>
      <w:r w:rsidR="00D43074" w:rsidRPr="00267C74">
        <w:rPr>
          <w:rFonts w:ascii="Times New Roman" w:hAnsi="Times New Roman" w:cs="Times New Roman"/>
          <w:sz w:val="24"/>
          <w:szCs w:val="24"/>
        </w:rPr>
        <w:t xml:space="preserve"> figure </w:t>
      </w:r>
      <w:r w:rsidR="00267C74" w:rsidRPr="00267C74">
        <w:rPr>
          <w:rFonts w:ascii="Times New Roman" w:hAnsi="Times New Roman" w:cs="Times New Roman"/>
          <w:sz w:val="24"/>
          <w:szCs w:val="24"/>
        </w:rPr>
        <w:t>39</w:t>
      </w:r>
      <w:r w:rsidR="00D43074" w:rsidRPr="00267C74">
        <w:rPr>
          <w:rFonts w:ascii="Times New Roman" w:hAnsi="Times New Roman" w:cs="Times New Roman"/>
          <w:sz w:val="24"/>
          <w:szCs w:val="24"/>
        </w:rPr>
        <w:t xml:space="preserve"> summarise these results</w:t>
      </w:r>
      <w:r w:rsidR="00B96EDF" w:rsidRPr="00267C74">
        <w:rPr>
          <w:rFonts w:ascii="Times New Roman" w:hAnsi="Times New Roman" w:cs="Times New Roman"/>
          <w:sz w:val="24"/>
          <w:szCs w:val="24"/>
        </w:rPr>
        <w:t>.</w:t>
      </w:r>
    </w:p>
    <w:p w14:paraId="15C917E6" w14:textId="77777777" w:rsidR="00CE002A" w:rsidRDefault="00CE002A" w:rsidP="00C264EA">
      <w:pPr>
        <w:spacing w:line="360" w:lineRule="auto"/>
        <w:rPr>
          <w:rFonts w:ascii="Times New Roman" w:hAnsi="Times New Roman" w:cs="Times New Roman"/>
          <w:sz w:val="24"/>
          <w:szCs w:val="24"/>
        </w:rPr>
      </w:pPr>
    </w:p>
    <w:p w14:paraId="5EA67F5C" w14:textId="77777777" w:rsidR="00CE002A" w:rsidRPr="00267C74" w:rsidRDefault="00CE002A" w:rsidP="00C264EA">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1946"/>
        <w:gridCol w:w="1876"/>
        <w:gridCol w:w="1912"/>
        <w:gridCol w:w="1936"/>
        <w:gridCol w:w="1690"/>
      </w:tblGrid>
      <w:tr w:rsidR="00C85EF6" w:rsidRPr="00EC6C19" w14:paraId="110F59B1" w14:textId="77777777" w:rsidTr="007F2F5D">
        <w:tc>
          <w:tcPr>
            <w:tcW w:w="1985" w:type="dxa"/>
            <w:tcBorders>
              <w:bottom w:val="single" w:sz="18" w:space="0" w:color="000000" w:themeColor="text1"/>
            </w:tcBorders>
            <w:shd w:val="clear" w:color="auto" w:fill="F2F2F2" w:themeFill="background1" w:themeFillShade="F2"/>
          </w:tcPr>
          <w:p w14:paraId="3470DE17" w14:textId="77777777" w:rsidR="00C85EF6" w:rsidRPr="00EC6C19" w:rsidRDefault="00C85EF6"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tc>
        <w:tc>
          <w:tcPr>
            <w:tcW w:w="1922" w:type="dxa"/>
            <w:tcBorders>
              <w:bottom w:val="single" w:sz="18" w:space="0" w:color="000000" w:themeColor="text1"/>
            </w:tcBorders>
            <w:shd w:val="clear" w:color="auto" w:fill="F2F2F2" w:themeFill="background1" w:themeFillShade="F2"/>
          </w:tcPr>
          <w:p w14:paraId="6904E0E2" w14:textId="77777777" w:rsidR="00C85EF6" w:rsidRPr="00EC6C19" w:rsidRDefault="00C85EF6"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 xml:space="preserve">Prone </w:t>
            </w:r>
            <w:r w:rsidR="008A2840" w:rsidRPr="00EC6C19">
              <w:rPr>
                <w:rFonts w:ascii="Times New Roman" w:hAnsi="Times New Roman" w:cs="Times New Roman"/>
                <w:sz w:val="24"/>
                <w:szCs w:val="24"/>
              </w:rPr>
              <w:t>iFR</w:t>
            </w:r>
          </w:p>
        </w:tc>
        <w:tc>
          <w:tcPr>
            <w:tcW w:w="1956" w:type="dxa"/>
            <w:tcBorders>
              <w:bottom w:val="single" w:sz="18" w:space="0" w:color="000000" w:themeColor="text1"/>
            </w:tcBorders>
            <w:shd w:val="clear" w:color="auto" w:fill="F2F2F2" w:themeFill="background1" w:themeFillShade="F2"/>
          </w:tcPr>
          <w:p w14:paraId="7B3437B5" w14:textId="77777777" w:rsidR="00C85EF6" w:rsidRPr="00EC6C19" w:rsidRDefault="00C85EF6"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 xml:space="preserve">Supine </w:t>
            </w:r>
            <w:r w:rsidR="008A2840" w:rsidRPr="00EC6C19">
              <w:rPr>
                <w:rFonts w:ascii="Times New Roman" w:hAnsi="Times New Roman" w:cs="Times New Roman"/>
                <w:sz w:val="24"/>
                <w:szCs w:val="24"/>
              </w:rPr>
              <w:t>iFR</w:t>
            </w:r>
          </w:p>
        </w:tc>
        <w:tc>
          <w:tcPr>
            <w:tcW w:w="1978" w:type="dxa"/>
            <w:tcBorders>
              <w:bottom w:val="single" w:sz="18" w:space="0" w:color="000000" w:themeColor="text1"/>
            </w:tcBorders>
            <w:shd w:val="clear" w:color="auto" w:fill="F2F2F2" w:themeFill="background1" w:themeFillShade="F2"/>
          </w:tcPr>
          <w:p w14:paraId="1D4A1364" w14:textId="77777777" w:rsidR="00C85EF6" w:rsidRPr="00EC6C19" w:rsidRDefault="00C85EF6"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Delta Change</w:t>
            </w:r>
          </w:p>
        </w:tc>
        <w:tc>
          <w:tcPr>
            <w:tcW w:w="1735" w:type="dxa"/>
            <w:tcBorders>
              <w:bottom w:val="single" w:sz="18" w:space="0" w:color="000000" w:themeColor="text1"/>
            </w:tcBorders>
            <w:shd w:val="clear" w:color="auto" w:fill="F2F2F2" w:themeFill="background1" w:themeFillShade="F2"/>
          </w:tcPr>
          <w:p w14:paraId="3DD6A7E3" w14:textId="77777777" w:rsidR="00C85EF6" w:rsidRPr="00EC6C19" w:rsidRDefault="00C85EF6" w:rsidP="007C06E1">
            <w:pPr>
              <w:spacing w:line="360" w:lineRule="auto"/>
              <w:jc w:val="center"/>
              <w:rPr>
                <w:rFonts w:ascii="Times New Roman" w:hAnsi="Times New Roman" w:cs="Times New Roman"/>
                <w:sz w:val="24"/>
                <w:szCs w:val="24"/>
              </w:rPr>
            </w:pPr>
          </w:p>
          <w:p w14:paraId="6EF39105" w14:textId="77777777" w:rsidR="007C06E1" w:rsidRPr="00EC6C19" w:rsidRDefault="007C06E1" w:rsidP="007C06E1">
            <w:pPr>
              <w:spacing w:line="360" w:lineRule="auto"/>
              <w:jc w:val="center"/>
              <w:rPr>
                <w:rFonts w:ascii="Times New Roman" w:hAnsi="Times New Roman" w:cs="Times New Roman"/>
                <w:b/>
                <w:bCs/>
                <w:sz w:val="24"/>
                <w:szCs w:val="24"/>
              </w:rPr>
            </w:pPr>
          </w:p>
        </w:tc>
      </w:tr>
      <w:tr w:rsidR="007C06E1" w:rsidRPr="00EC6C19" w14:paraId="2517744B" w14:textId="77777777" w:rsidTr="007C06E1">
        <w:tc>
          <w:tcPr>
            <w:tcW w:w="1985" w:type="dxa"/>
            <w:tcBorders>
              <w:top w:val="single" w:sz="18" w:space="0" w:color="000000" w:themeColor="text1"/>
            </w:tcBorders>
            <w:shd w:val="clear" w:color="auto" w:fill="FFFFFF" w:themeFill="background1"/>
          </w:tcPr>
          <w:p w14:paraId="14F08BEF" w14:textId="77777777" w:rsidR="007C06E1" w:rsidRPr="00EC6C19" w:rsidRDefault="007C06E1" w:rsidP="007C06E1">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w:t>
            </w:r>
          </w:p>
          <w:p w14:paraId="6B34FEE0" w14:textId="77777777" w:rsidR="007C06E1" w:rsidRPr="00EC6C19" w:rsidRDefault="007C06E1" w:rsidP="007C06E1">
            <w:pPr>
              <w:spacing w:line="360" w:lineRule="auto"/>
              <w:jc w:val="center"/>
              <w:rPr>
                <w:rFonts w:ascii="Times New Roman" w:hAnsi="Times New Roman" w:cs="Times New Roman"/>
                <w:b/>
                <w:sz w:val="24"/>
                <w:szCs w:val="24"/>
              </w:rPr>
            </w:pPr>
          </w:p>
        </w:tc>
        <w:tc>
          <w:tcPr>
            <w:tcW w:w="1922" w:type="dxa"/>
            <w:tcBorders>
              <w:top w:val="single" w:sz="18" w:space="0" w:color="000000" w:themeColor="text1"/>
            </w:tcBorders>
            <w:shd w:val="clear" w:color="auto" w:fill="FFFFFF" w:themeFill="background1"/>
          </w:tcPr>
          <w:p w14:paraId="6B22DA46"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0.93</w:t>
            </w:r>
          </w:p>
        </w:tc>
        <w:tc>
          <w:tcPr>
            <w:tcW w:w="1956" w:type="dxa"/>
            <w:tcBorders>
              <w:top w:val="single" w:sz="18" w:space="0" w:color="000000" w:themeColor="text1"/>
            </w:tcBorders>
            <w:shd w:val="clear" w:color="auto" w:fill="FFFFFF" w:themeFill="background1"/>
          </w:tcPr>
          <w:p w14:paraId="331C95DC"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0.99</w:t>
            </w:r>
          </w:p>
        </w:tc>
        <w:tc>
          <w:tcPr>
            <w:tcW w:w="1978" w:type="dxa"/>
            <w:tcBorders>
              <w:top w:val="single" w:sz="18" w:space="0" w:color="000000" w:themeColor="text1"/>
            </w:tcBorders>
            <w:shd w:val="clear" w:color="auto" w:fill="FFFFFF" w:themeFill="background1"/>
          </w:tcPr>
          <w:p w14:paraId="6AADD816"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w:t>
            </w:r>
          </w:p>
        </w:tc>
        <w:tc>
          <w:tcPr>
            <w:tcW w:w="1735" w:type="dxa"/>
            <w:vMerge w:val="restart"/>
            <w:tcBorders>
              <w:top w:val="single" w:sz="18" w:space="0" w:color="000000" w:themeColor="text1"/>
            </w:tcBorders>
            <w:shd w:val="clear" w:color="auto" w:fill="FFFFFF" w:themeFill="background1"/>
          </w:tcPr>
          <w:p w14:paraId="2A47A28E" w14:textId="77777777" w:rsidR="007C06E1" w:rsidRPr="00EC6C19" w:rsidRDefault="007C06E1" w:rsidP="00772D8B">
            <w:pPr>
              <w:spacing w:line="360" w:lineRule="auto"/>
              <w:rPr>
                <w:rFonts w:ascii="Times New Roman" w:hAnsi="Times New Roman" w:cs="Times New Roman"/>
                <w:sz w:val="24"/>
                <w:szCs w:val="24"/>
              </w:rPr>
            </w:pPr>
          </w:p>
          <w:p w14:paraId="1933DDE8" w14:textId="77777777" w:rsidR="007C06E1" w:rsidRPr="00EC6C19" w:rsidRDefault="007C06E1" w:rsidP="00772D8B">
            <w:pPr>
              <w:spacing w:line="360" w:lineRule="auto"/>
              <w:rPr>
                <w:rFonts w:ascii="Times New Roman" w:hAnsi="Times New Roman" w:cs="Times New Roman"/>
                <w:sz w:val="24"/>
                <w:szCs w:val="24"/>
              </w:rPr>
            </w:pPr>
          </w:p>
          <w:p w14:paraId="75D4C939" w14:textId="77777777" w:rsidR="007C06E1" w:rsidRPr="00EC6C19" w:rsidRDefault="007C06E1" w:rsidP="00772D8B">
            <w:pPr>
              <w:spacing w:line="360" w:lineRule="auto"/>
              <w:rPr>
                <w:rFonts w:ascii="Times New Roman" w:hAnsi="Times New Roman" w:cs="Times New Roman"/>
                <w:sz w:val="24"/>
                <w:szCs w:val="24"/>
              </w:rPr>
            </w:pPr>
          </w:p>
          <w:p w14:paraId="7F387588" w14:textId="77777777" w:rsidR="007C06E1" w:rsidRPr="00EC6C19" w:rsidRDefault="007C06E1" w:rsidP="00772D8B">
            <w:pPr>
              <w:spacing w:line="360" w:lineRule="auto"/>
              <w:rPr>
                <w:rFonts w:ascii="Times New Roman" w:hAnsi="Times New Roman" w:cs="Times New Roman"/>
                <w:sz w:val="24"/>
                <w:szCs w:val="24"/>
              </w:rPr>
            </w:pPr>
          </w:p>
          <w:p w14:paraId="3401DCEA" w14:textId="77777777" w:rsidR="007C06E1" w:rsidRPr="00EC6C19" w:rsidRDefault="007C06E1" w:rsidP="00772D8B">
            <w:pPr>
              <w:spacing w:line="360" w:lineRule="auto"/>
              <w:rPr>
                <w:rFonts w:ascii="Times New Roman" w:hAnsi="Times New Roman" w:cs="Times New Roman"/>
                <w:sz w:val="24"/>
                <w:szCs w:val="24"/>
              </w:rPr>
            </w:pPr>
          </w:p>
          <w:p w14:paraId="4684D63F" w14:textId="77777777" w:rsidR="007C06E1" w:rsidRPr="00EC6C19" w:rsidRDefault="007C06E1" w:rsidP="00772D8B">
            <w:pPr>
              <w:spacing w:line="360" w:lineRule="auto"/>
              <w:rPr>
                <w:rFonts w:ascii="Times New Roman" w:hAnsi="Times New Roman" w:cs="Times New Roman"/>
                <w:sz w:val="24"/>
                <w:szCs w:val="24"/>
              </w:rPr>
            </w:pPr>
          </w:p>
          <w:p w14:paraId="711C1589" w14:textId="77777777" w:rsidR="007C06E1" w:rsidRPr="00EC6C19" w:rsidRDefault="007C06E1" w:rsidP="00772D8B">
            <w:pPr>
              <w:spacing w:line="360" w:lineRule="auto"/>
              <w:rPr>
                <w:rFonts w:ascii="Times New Roman" w:hAnsi="Times New Roman" w:cs="Times New Roman"/>
                <w:sz w:val="24"/>
                <w:szCs w:val="24"/>
              </w:rPr>
            </w:pPr>
          </w:p>
          <w:p w14:paraId="5D732320"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 = 0.01</w:t>
            </w:r>
          </w:p>
        </w:tc>
      </w:tr>
      <w:tr w:rsidR="007C06E1" w:rsidRPr="00EC6C19" w14:paraId="28FAA9DD" w14:textId="77777777" w:rsidTr="007C06E1">
        <w:tc>
          <w:tcPr>
            <w:tcW w:w="1985" w:type="dxa"/>
            <w:shd w:val="clear" w:color="auto" w:fill="FFFFFF" w:themeFill="background1"/>
          </w:tcPr>
          <w:p w14:paraId="0FD529C8" w14:textId="77777777" w:rsidR="007C06E1" w:rsidRPr="00EC6C19" w:rsidRDefault="007C06E1" w:rsidP="007C06E1">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3</w:t>
            </w:r>
          </w:p>
          <w:p w14:paraId="7FB08A89" w14:textId="77777777" w:rsidR="007C06E1" w:rsidRPr="00EC6C19" w:rsidRDefault="007C06E1" w:rsidP="007C06E1">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32BFA268"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956" w:type="dxa"/>
            <w:shd w:val="clear" w:color="auto" w:fill="FFFFFF" w:themeFill="background1"/>
          </w:tcPr>
          <w:p w14:paraId="7CC63456"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0.98</w:t>
            </w:r>
          </w:p>
        </w:tc>
        <w:tc>
          <w:tcPr>
            <w:tcW w:w="1978" w:type="dxa"/>
            <w:shd w:val="clear" w:color="auto" w:fill="FFFFFF" w:themeFill="background1"/>
          </w:tcPr>
          <w:p w14:paraId="5AD2CF29"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0.01</w:t>
            </w:r>
          </w:p>
        </w:tc>
        <w:tc>
          <w:tcPr>
            <w:tcW w:w="1735" w:type="dxa"/>
            <w:vMerge/>
          </w:tcPr>
          <w:p w14:paraId="646244EA" w14:textId="77777777" w:rsidR="007C06E1" w:rsidRPr="00EC6C19" w:rsidRDefault="007C06E1" w:rsidP="00772D8B">
            <w:pPr>
              <w:spacing w:line="360" w:lineRule="auto"/>
              <w:rPr>
                <w:rFonts w:ascii="Times New Roman" w:hAnsi="Times New Roman" w:cs="Times New Roman"/>
                <w:sz w:val="24"/>
                <w:szCs w:val="24"/>
              </w:rPr>
            </w:pPr>
          </w:p>
        </w:tc>
      </w:tr>
      <w:tr w:rsidR="007C06E1" w:rsidRPr="00EC6C19" w14:paraId="31914BD6" w14:textId="77777777" w:rsidTr="007C06E1">
        <w:tc>
          <w:tcPr>
            <w:tcW w:w="1985" w:type="dxa"/>
            <w:shd w:val="clear" w:color="auto" w:fill="FFFFFF" w:themeFill="background1"/>
          </w:tcPr>
          <w:p w14:paraId="3353497E" w14:textId="77777777" w:rsidR="007C06E1" w:rsidRPr="00EC6C19" w:rsidRDefault="007C06E1" w:rsidP="007C06E1">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6</w:t>
            </w:r>
          </w:p>
          <w:p w14:paraId="1D37482F" w14:textId="77777777" w:rsidR="007C06E1" w:rsidRPr="00EC6C19" w:rsidRDefault="007C06E1" w:rsidP="007C06E1">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6CD8EBA5"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0.92</w:t>
            </w:r>
          </w:p>
        </w:tc>
        <w:tc>
          <w:tcPr>
            <w:tcW w:w="1956" w:type="dxa"/>
            <w:shd w:val="clear" w:color="auto" w:fill="FFFFFF" w:themeFill="background1"/>
          </w:tcPr>
          <w:p w14:paraId="58D4F819"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0.95</w:t>
            </w:r>
          </w:p>
        </w:tc>
        <w:tc>
          <w:tcPr>
            <w:tcW w:w="1978" w:type="dxa"/>
            <w:shd w:val="clear" w:color="auto" w:fill="FFFFFF" w:themeFill="background1"/>
          </w:tcPr>
          <w:p w14:paraId="7D3ECB4B"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0.03</w:t>
            </w:r>
          </w:p>
        </w:tc>
        <w:tc>
          <w:tcPr>
            <w:tcW w:w="1735" w:type="dxa"/>
            <w:vMerge/>
          </w:tcPr>
          <w:p w14:paraId="6D09F1E2" w14:textId="77777777" w:rsidR="007C06E1" w:rsidRPr="00EC6C19" w:rsidRDefault="007C06E1" w:rsidP="00772D8B">
            <w:pPr>
              <w:spacing w:line="360" w:lineRule="auto"/>
              <w:rPr>
                <w:rFonts w:ascii="Times New Roman" w:hAnsi="Times New Roman" w:cs="Times New Roman"/>
                <w:sz w:val="24"/>
                <w:szCs w:val="24"/>
              </w:rPr>
            </w:pPr>
          </w:p>
        </w:tc>
      </w:tr>
      <w:tr w:rsidR="007C06E1" w:rsidRPr="00EC6C19" w14:paraId="45581941" w14:textId="77777777" w:rsidTr="007C06E1">
        <w:tc>
          <w:tcPr>
            <w:tcW w:w="1985" w:type="dxa"/>
            <w:shd w:val="clear" w:color="auto" w:fill="FFFFFF" w:themeFill="background1"/>
          </w:tcPr>
          <w:p w14:paraId="2E171767" w14:textId="77777777" w:rsidR="007C06E1" w:rsidRPr="00EC6C19" w:rsidRDefault="007C06E1" w:rsidP="007C06E1">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8</w:t>
            </w:r>
          </w:p>
          <w:p w14:paraId="46E988E8" w14:textId="77777777" w:rsidR="007C06E1" w:rsidRPr="00EC6C19" w:rsidRDefault="007C06E1" w:rsidP="007C06E1">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083618DB"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0.89</w:t>
            </w:r>
          </w:p>
        </w:tc>
        <w:tc>
          <w:tcPr>
            <w:tcW w:w="1956" w:type="dxa"/>
            <w:shd w:val="clear" w:color="auto" w:fill="FFFFFF" w:themeFill="background1"/>
          </w:tcPr>
          <w:p w14:paraId="1E64449B"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0.99</w:t>
            </w:r>
          </w:p>
        </w:tc>
        <w:tc>
          <w:tcPr>
            <w:tcW w:w="1978" w:type="dxa"/>
            <w:shd w:val="clear" w:color="auto" w:fill="FFFFFF" w:themeFill="background1"/>
          </w:tcPr>
          <w:p w14:paraId="07A8A6E2"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0.10</w:t>
            </w:r>
          </w:p>
        </w:tc>
        <w:tc>
          <w:tcPr>
            <w:tcW w:w="1735" w:type="dxa"/>
            <w:vMerge/>
          </w:tcPr>
          <w:p w14:paraId="6C16E4E5" w14:textId="77777777" w:rsidR="007C06E1" w:rsidRPr="00EC6C19" w:rsidRDefault="007C06E1" w:rsidP="00772D8B">
            <w:pPr>
              <w:spacing w:line="360" w:lineRule="auto"/>
              <w:rPr>
                <w:rFonts w:ascii="Times New Roman" w:hAnsi="Times New Roman" w:cs="Times New Roman"/>
                <w:sz w:val="24"/>
                <w:szCs w:val="24"/>
              </w:rPr>
            </w:pPr>
          </w:p>
        </w:tc>
      </w:tr>
      <w:tr w:rsidR="007C06E1" w:rsidRPr="00EC6C19" w14:paraId="09F17666" w14:textId="77777777" w:rsidTr="007C06E1">
        <w:tc>
          <w:tcPr>
            <w:tcW w:w="1985" w:type="dxa"/>
            <w:shd w:val="clear" w:color="auto" w:fill="FFFFFF" w:themeFill="background1"/>
          </w:tcPr>
          <w:p w14:paraId="5FCDBA63" w14:textId="77777777" w:rsidR="007C06E1" w:rsidRPr="00EC6C19" w:rsidRDefault="007C06E1" w:rsidP="007C06E1">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21</w:t>
            </w:r>
          </w:p>
          <w:p w14:paraId="727457C1" w14:textId="77777777" w:rsidR="007C06E1" w:rsidRPr="00EC6C19" w:rsidRDefault="007C06E1" w:rsidP="007C06E1">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7457879D"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0.80</w:t>
            </w:r>
          </w:p>
        </w:tc>
        <w:tc>
          <w:tcPr>
            <w:tcW w:w="1956" w:type="dxa"/>
            <w:shd w:val="clear" w:color="auto" w:fill="FFFFFF" w:themeFill="background1"/>
          </w:tcPr>
          <w:p w14:paraId="5CFA7FA7"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0.96</w:t>
            </w:r>
          </w:p>
        </w:tc>
        <w:tc>
          <w:tcPr>
            <w:tcW w:w="1978" w:type="dxa"/>
            <w:shd w:val="clear" w:color="auto" w:fill="FFFFFF" w:themeFill="background1"/>
          </w:tcPr>
          <w:p w14:paraId="11001FFC"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0.16</w:t>
            </w:r>
          </w:p>
        </w:tc>
        <w:tc>
          <w:tcPr>
            <w:tcW w:w="1735" w:type="dxa"/>
            <w:vMerge/>
          </w:tcPr>
          <w:p w14:paraId="4CD7B2C1" w14:textId="77777777" w:rsidR="007C06E1" w:rsidRPr="00EC6C19" w:rsidRDefault="007C06E1" w:rsidP="00772D8B">
            <w:pPr>
              <w:spacing w:line="360" w:lineRule="auto"/>
              <w:rPr>
                <w:rFonts w:ascii="Times New Roman" w:hAnsi="Times New Roman" w:cs="Times New Roman"/>
                <w:sz w:val="24"/>
                <w:szCs w:val="24"/>
              </w:rPr>
            </w:pPr>
          </w:p>
        </w:tc>
      </w:tr>
      <w:tr w:rsidR="007C06E1" w:rsidRPr="00EC6C19" w14:paraId="5FD80991" w14:textId="77777777" w:rsidTr="007C06E1">
        <w:tc>
          <w:tcPr>
            <w:tcW w:w="1985" w:type="dxa"/>
            <w:shd w:val="clear" w:color="auto" w:fill="FFFFFF" w:themeFill="background1"/>
          </w:tcPr>
          <w:p w14:paraId="0F57EA32" w14:textId="77777777" w:rsidR="007C06E1" w:rsidRPr="00EC6C19" w:rsidRDefault="007C06E1" w:rsidP="007C06E1">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22</w:t>
            </w:r>
          </w:p>
          <w:p w14:paraId="3AC02A0D" w14:textId="77777777" w:rsidR="007C06E1" w:rsidRPr="00EC6C19" w:rsidRDefault="007C06E1" w:rsidP="007C06E1">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7919FCCD"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0.90</w:t>
            </w:r>
          </w:p>
        </w:tc>
        <w:tc>
          <w:tcPr>
            <w:tcW w:w="1956" w:type="dxa"/>
            <w:shd w:val="clear" w:color="auto" w:fill="FFFFFF" w:themeFill="background1"/>
          </w:tcPr>
          <w:p w14:paraId="75043AA2"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0.92</w:t>
            </w:r>
          </w:p>
        </w:tc>
        <w:tc>
          <w:tcPr>
            <w:tcW w:w="1978" w:type="dxa"/>
            <w:shd w:val="clear" w:color="auto" w:fill="FFFFFF" w:themeFill="background1"/>
          </w:tcPr>
          <w:p w14:paraId="3E4A43ED"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735" w:type="dxa"/>
            <w:vMerge/>
          </w:tcPr>
          <w:p w14:paraId="421CA44E" w14:textId="77777777" w:rsidR="007C06E1" w:rsidRPr="00EC6C19" w:rsidRDefault="007C06E1" w:rsidP="00772D8B">
            <w:pPr>
              <w:spacing w:line="360" w:lineRule="auto"/>
              <w:rPr>
                <w:rFonts w:ascii="Times New Roman" w:hAnsi="Times New Roman" w:cs="Times New Roman"/>
                <w:sz w:val="24"/>
                <w:szCs w:val="24"/>
              </w:rPr>
            </w:pPr>
          </w:p>
        </w:tc>
      </w:tr>
      <w:tr w:rsidR="007C06E1" w:rsidRPr="00EC6C19" w14:paraId="7B724AC3" w14:textId="77777777" w:rsidTr="007C06E1">
        <w:tc>
          <w:tcPr>
            <w:tcW w:w="1985" w:type="dxa"/>
            <w:shd w:val="clear" w:color="auto" w:fill="FFFFFF" w:themeFill="background1"/>
          </w:tcPr>
          <w:p w14:paraId="7DF3F995" w14:textId="77777777" w:rsidR="007C06E1" w:rsidRPr="00EC6C19" w:rsidRDefault="007C06E1" w:rsidP="007C06E1">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23</w:t>
            </w:r>
          </w:p>
          <w:p w14:paraId="13BAB747" w14:textId="77777777" w:rsidR="007C06E1" w:rsidRPr="00EC6C19" w:rsidRDefault="007C06E1" w:rsidP="007C06E1">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7D15D2DD"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0.92</w:t>
            </w:r>
          </w:p>
        </w:tc>
        <w:tc>
          <w:tcPr>
            <w:tcW w:w="1956" w:type="dxa"/>
            <w:shd w:val="clear" w:color="auto" w:fill="FFFFFF" w:themeFill="background1"/>
          </w:tcPr>
          <w:p w14:paraId="494771B4"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978" w:type="dxa"/>
            <w:shd w:val="clear" w:color="auto" w:fill="FFFFFF" w:themeFill="background1"/>
          </w:tcPr>
          <w:p w14:paraId="54E1E553"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0.08</w:t>
            </w:r>
          </w:p>
        </w:tc>
        <w:tc>
          <w:tcPr>
            <w:tcW w:w="1735" w:type="dxa"/>
            <w:vMerge/>
          </w:tcPr>
          <w:p w14:paraId="7927804F" w14:textId="77777777" w:rsidR="007C06E1" w:rsidRPr="00EC6C19" w:rsidRDefault="007C06E1" w:rsidP="00772D8B">
            <w:pPr>
              <w:spacing w:line="360" w:lineRule="auto"/>
              <w:rPr>
                <w:rFonts w:ascii="Times New Roman" w:hAnsi="Times New Roman" w:cs="Times New Roman"/>
                <w:sz w:val="24"/>
                <w:szCs w:val="24"/>
              </w:rPr>
            </w:pPr>
          </w:p>
        </w:tc>
      </w:tr>
      <w:tr w:rsidR="007C06E1" w:rsidRPr="00EC6C19" w14:paraId="79322CDF" w14:textId="77777777" w:rsidTr="007C06E1">
        <w:tc>
          <w:tcPr>
            <w:tcW w:w="1985" w:type="dxa"/>
            <w:shd w:val="clear" w:color="auto" w:fill="FFFFFF" w:themeFill="background1"/>
          </w:tcPr>
          <w:p w14:paraId="6AAB029D" w14:textId="18FDCB63" w:rsidR="007C06E1" w:rsidRPr="00EC6C19" w:rsidRDefault="007C06E1" w:rsidP="007C06E1">
            <w:pPr>
              <w:spacing w:line="360" w:lineRule="auto"/>
              <w:contextualSpacing/>
              <w:jc w:val="center"/>
              <w:rPr>
                <w:rFonts w:ascii="Times New Roman" w:hAnsi="Times New Roman" w:cs="Times New Roman"/>
                <w:b/>
                <w:sz w:val="24"/>
                <w:szCs w:val="24"/>
              </w:rPr>
            </w:pPr>
            <w:r w:rsidRPr="00EC6C19">
              <w:rPr>
                <w:rFonts w:ascii="Times New Roman" w:hAnsi="Times New Roman" w:cs="Times New Roman"/>
                <w:b/>
                <w:sz w:val="24"/>
                <w:szCs w:val="24"/>
              </w:rPr>
              <w:t>Mean (</w:t>
            </w:r>
            <w:r w:rsidR="00D97E85">
              <w:rPr>
                <w:rFonts w:ascii="Times New Roman" w:hAnsi="Times New Roman" w:cs="Times New Roman"/>
                <w:sz w:val="24"/>
                <w:szCs w:val="24"/>
              </w:rPr>
              <w:t>±</w:t>
            </w:r>
            <w:r w:rsidRPr="00EC6C19">
              <w:rPr>
                <w:rFonts w:ascii="Times New Roman" w:hAnsi="Times New Roman" w:cs="Times New Roman"/>
                <w:b/>
                <w:sz w:val="24"/>
                <w:szCs w:val="24"/>
              </w:rPr>
              <w:t>SD)</w:t>
            </w:r>
          </w:p>
          <w:p w14:paraId="3D9030E7" w14:textId="77777777" w:rsidR="007C06E1" w:rsidRPr="00EC6C19" w:rsidRDefault="007C06E1" w:rsidP="007C06E1">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5FB0EF06"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0.90 (0.05)</w:t>
            </w:r>
          </w:p>
        </w:tc>
        <w:tc>
          <w:tcPr>
            <w:tcW w:w="1956" w:type="dxa"/>
            <w:shd w:val="clear" w:color="auto" w:fill="FFFFFF" w:themeFill="background1"/>
          </w:tcPr>
          <w:p w14:paraId="21CEA29B"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 (0.03)</w:t>
            </w:r>
          </w:p>
        </w:tc>
        <w:tc>
          <w:tcPr>
            <w:tcW w:w="1978" w:type="dxa"/>
            <w:shd w:val="clear" w:color="auto" w:fill="FFFFFF" w:themeFill="background1"/>
          </w:tcPr>
          <w:p w14:paraId="0F40DD97" w14:textId="77777777" w:rsidR="007C06E1" w:rsidRPr="00EC6C19" w:rsidRDefault="007C06E1" w:rsidP="007C06E1">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0.07 (0.05)</w:t>
            </w:r>
          </w:p>
        </w:tc>
        <w:tc>
          <w:tcPr>
            <w:tcW w:w="1735" w:type="dxa"/>
            <w:vMerge/>
          </w:tcPr>
          <w:p w14:paraId="4681B60F" w14:textId="77777777" w:rsidR="007C06E1" w:rsidRPr="00EC6C19" w:rsidRDefault="007C06E1" w:rsidP="00772D8B">
            <w:pPr>
              <w:spacing w:line="360" w:lineRule="auto"/>
              <w:rPr>
                <w:rFonts w:ascii="Times New Roman" w:hAnsi="Times New Roman" w:cs="Times New Roman"/>
                <w:sz w:val="24"/>
                <w:szCs w:val="24"/>
              </w:rPr>
            </w:pPr>
          </w:p>
        </w:tc>
      </w:tr>
    </w:tbl>
    <w:p w14:paraId="14F05589" w14:textId="77777777" w:rsidR="007C06E1" w:rsidRPr="00EC6C19" w:rsidRDefault="007C06E1" w:rsidP="00C264EA">
      <w:pPr>
        <w:spacing w:line="360" w:lineRule="auto"/>
        <w:rPr>
          <w:rFonts w:ascii="Times New Roman" w:hAnsi="Times New Roman" w:cs="Times New Roman"/>
          <w:i/>
          <w:sz w:val="24"/>
          <w:szCs w:val="24"/>
        </w:rPr>
      </w:pPr>
    </w:p>
    <w:p w14:paraId="630E193F" w14:textId="77777777" w:rsidR="00C85EF6" w:rsidRPr="008630EC" w:rsidRDefault="008630EC" w:rsidP="008630EC">
      <w:pPr>
        <w:pStyle w:val="Caption"/>
        <w:spacing w:line="360" w:lineRule="auto"/>
        <w:rPr>
          <w:rFonts w:ascii="Times New Roman" w:hAnsi="Times New Roman" w:cs="Times New Roman"/>
          <w:b w:val="0"/>
          <w:i/>
          <w:color w:val="auto"/>
          <w:sz w:val="24"/>
          <w:szCs w:val="24"/>
        </w:rPr>
      </w:pPr>
      <w:bookmarkStart w:id="170" w:name="_Toc44962598"/>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22</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Cx iFR. </w:t>
      </w:r>
      <w:r w:rsidR="00A00D25" w:rsidRPr="008630EC">
        <w:rPr>
          <w:rFonts w:ascii="Times New Roman" w:hAnsi="Times New Roman" w:cs="Times New Roman"/>
          <w:b w:val="0"/>
          <w:i/>
          <w:color w:val="auto"/>
          <w:sz w:val="24"/>
          <w:szCs w:val="24"/>
        </w:rPr>
        <w:t>Delta change</w:t>
      </w:r>
      <w:r w:rsidR="00C85EF6" w:rsidRPr="008630EC">
        <w:rPr>
          <w:rFonts w:ascii="Times New Roman" w:hAnsi="Times New Roman" w:cs="Times New Roman"/>
          <w:b w:val="0"/>
          <w:i/>
          <w:color w:val="auto"/>
          <w:sz w:val="24"/>
          <w:szCs w:val="24"/>
        </w:rPr>
        <w:t xml:space="preserve"> in iFR between prone and supine positioning in the circumflex artery. The results are statistically significant (</w:t>
      </w:r>
      <w:r w:rsidR="00A00D25" w:rsidRPr="008630EC">
        <w:rPr>
          <w:rFonts w:ascii="Times New Roman" w:hAnsi="Times New Roman" w:cs="Times New Roman"/>
          <w:b w:val="0"/>
          <w:i/>
          <w:color w:val="auto"/>
          <w:sz w:val="24"/>
          <w:szCs w:val="24"/>
        </w:rPr>
        <w:t>p&lt;0.05</w:t>
      </w:r>
      <w:r w:rsidR="00C85EF6" w:rsidRPr="008630EC">
        <w:rPr>
          <w:rFonts w:ascii="Times New Roman" w:hAnsi="Times New Roman" w:cs="Times New Roman"/>
          <w:b w:val="0"/>
          <w:i/>
          <w:color w:val="auto"/>
          <w:sz w:val="24"/>
          <w:szCs w:val="24"/>
        </w:rPr>
        <w:t>)</w:t>
      </w:r>
      <w:bookmarkEnd w:id="170"/>
    </w:p>
    <w:p w14:paraId="2EEB73BC" w14:textId="77777777" w:rsidR="00C85EF6" w:rsidRPr="00EC6C19" w:rsidRDefault="00C85EF6" w:rsidP="00C264EA">
      <w:pPr>
        <w:spacing w:line="360" w:lineRule="auto"/>
        <w:rPr>
          <w:rFonts w:ascii="Times New Roman" w:hAnsi="Times New Roman" w:cs="Times New Roman"/>
          <w:sz w:val="24"/>
          <w:szCs w:val="24"/>
        </w:rPr>
      </w:pPr>
    </w:p>
    <w:p w14:paraId="19C3B1B7" w14:textId="77777777" w:rsidR="00286C7A" w:rsidRPr="00EC6C19" w:rsidRDefault="00977CA6">
      <w:pPr>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18F7380C" wp14:editId="5F2DF61B">
            <wp:extent cx="5943600" cy="4121652"/>
            <wp:effectExtent l="0" t="0" r="0" b="0"/>
            <wp:docPr id="6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38578B9" w14:textId="77777777" w:rsidR="00C85EF6" w:rsidRPr="00267C74" w:rsidRDefault="00267C74" w:rsidP="00267C74">
      <w:pPr>
        <w:pStyle w:val="Caption"/>
        <w:spacing w:line="360" w:lineRule="auto"/>
        <w:rPr>
          <w:rFonts w:ascii="Times New Roman" w:hAnsi="Times New Roman" w:cs="Times New Roman"/>
          <w:b w:val="0"/>
          <w:i/>
          <w:color w:val="auto"/>
          <w:sz w:val="24"/>
          <w:szCs w:val="24"/>
        </w:rPr>
      </w:pPr>
      <w:bookmarkStart w:id="171" w:name="_Toc44684928"/>
      <w:r w:rsidRPr="00267C74">
        <w:rPr>
          <w:rFonts w:ascii="Times New Roman" w:hAnsi="Times New Roman" w:cs="Times New Roman"/>
          <w:b w:val="0"/>
          <w:i/>
          <w:color w:val="auto"/>
          <w:sz w:val="24"/>
          <w:szCs w:val="24"/>
        </w:rPr>
        <w:t xml:space="preserve">Figure </w:t>
      </w:r>
      <w:r w:rsidR="00106A32" w:rsidRPr="00267C74">
        <w:rPr>
          <w:rFonts w:ascii="Times New Roman" w:hAnsi="Times New Roman" w:cs="Times New Roman"/>
          <w:b w:val="0"/>
          <w:i/>
          <w:color w:val="auto"/>
          <w:sz w:val="24"/>
          <w:szCs w:val="24"/>
        </w:rPr>
        <w:fldChar w:fldCharType="begin"/>
      </w:r>
      <w:r w:rsidRPr="00267C74">
        <w:rPr>
          <w:rFonts w:ascii="Times New Roman" w:hAnsi="Times New Roman" w:cs="Times New Roman"/>
          <w:b w:val="0"/>
          <w:i/>
          <w:color w:val="auto"/>
          <w:sz w:val="24"/>
          <w:szCs w:val="24"/>
        </w:rPr>
        <w:instrText xml:space="preserve"> SEQ Figure \* ARABIC </w:instrText>
      </w:r>
      <w:r w:rsidR="00106A32" w:rsidRPr="00267C74">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39</w:t>
      </w:r>
      <w:r w:rsidR="00106A32" w:rsidRPr="00267C74">
        <w:rPr>
          <w:rFonts w:ascii="Times New Roman" w:hAnsi="Times New Roman" w:cs="Times New Roman"/>
          <w:b w:val="0"/>
          <w:i/>
          <w:color w:val="auto"/>
          <w:sz w:val="24"/>
          <w:szCs w:val="24"/>
        </w:rPr>
        <w:fldChar w:fldCharType="end"/>
      </w:r>
      <w:r w:rsidRPr="00267C74">
        <w:rPr>
          <w:rFonts w:ascii="Times New Roman" w:hAnsi="Times New Roman" w:cs="Times New Roman"/>
          <w:b w:val="0"/>
          <w:i/>
          <w:color w:val="auto"/>
          <w:sz w:val="24"/>
          <w:szCs w:val="24"/>
        </w:rPr>
        <w:t xml:space="preserve"> - Cx iFR Delta Change </w:t>
      </w:r>
      <w:r w:rsidR="00A00D25" w:rsidRPr="00267C74">
        <w:rPr>
          <w:rFonts w:ascii="Times New Roman" w:hAnsi="Times New Roman" w:cs="Times New Roman"/>
          <w:b w:val="0"/>
          <w:i/>
          <w:color w:val="auto"/>
          <w:sz w:val="24"/>
          <w:szCs w:val="24"/>
        </w:rPr>
        <w:t>between</w:t>
      </w:r>
      <w:r w:rsidRPr="00267C74">
        <w:rPr>
          <w:rFonts w:ascii="Times New Roman" w:hAnsi="Times New Roman" w:cs="Times New Roman"/>
          <w:b w:val="0"/>
          <w:i/>
          <w:color w:val="auto"/>
          <w:sz w:val="24"/>
          <w:szCs w:val="24"/>
        </w:rPr>
        <w:t xml:space="preserve"> prone and supine positions</w:t>
      </w:r>
      <w:r w:rsidR="00C85EF6" w:rsidRPr="00267C74">
        <w:rPr>
          <w:rFonts w:ascii="Times New Roman" w:hAnsi="Times New Roman" w:cs="Times New Roman"/>
          <w:b w:val="0"/>
          <w:i/>
          <w:color w:val="auto"/>
          <w:sz w:val="24"/>
          <w:szCs w:val="24"/>
        </w:rPr>
        <w:t>.</w:t>
      </w:r>
      <w:r w:rsidR="00E80F29" w:rsidRPr="00267C74">
        <w:rPr>
          <w:rFonts w:ascii="Times New Roman" w:hAnsi="Times New Roman" w:cs="Times New Roman"/>
          <w:b w:val="0"/>
          <w:i/>
          <w:color w:val="auto"/>
          <w:sz w:val="24"/>
          <w:szCs w:val="24"/>
        </w:rPr>
        <w:t xml:space="preserve"> Mean values are in red. Results are</w:t>
      </w:r>
      <w:r w:rsidR="00C85EF6" w:rsidRPr="00267C74">
        <w:rPr>
          <w:rFonts w:ascii="Times New Roman" w:hAnsi="Times New Roman" w:cs="Times New Roman"/>
          <w:b w:val="0"/>
          <w:i/>
          <w:color w:val="auto"/>
          <w:sz w:val="24"/>
          <w:szCs w:val="24"/>
        </w:rPr>
        <w:t xml:space="preserve"> statistically significant (p=0.01).</w:t>
      </w:r>
      <w:bookmarkEnd w:id="171"/>
    </w:p>
    <w:p w14:paraId="3275105F" w14:textId="77777777" w:rsidR="00772D8B" w:rsidRPr="00EC6C19" w:rsidRDefault="00772D8B" w:rsidP="00C85EF6">
      <w:pPr>
        <w:spacing w:line="360" w:lineRule="auto"/>
        <w:rPr>
          <w:rFonts w:ascii="Times New Roman" w:hAnsi="Times New Roman" w:cs="Times New Roman"/>
          <w:i/>
          <w:sz w:val="24"/>
          <w:szCs w:val="24"/>
        </w:rPr>
      </w:pPr>
    </w:p>
    <w:p w14:paraId="5001EB12" w14:textId="77777777" w:rsidR="00772D8B" w:rsidRPr="00EC6C19" w:rsidRDefault="00772D8B" w:rsidP="00C85EF6">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Right Coronary Artery</w:t>
      </w:r>
    </w:p>
    <w:p w14:paraId="74A3F437" w14:textId="77777777" w:rsidR="00772D8B" w:rsidRPr="00EC6C19" w:rsidRDefault="00772D8B" w:rsidP="00C85EF6">
      <w:pPr>
        <w:spacing w:line="360" w:lineRule="auto"/>
        <w:rPr>
          <w:rFonts w:ascii="Times New Roman" w:hAnsi="Times New Roman" w:cs="Times New Roman"/>
          <w:sz w:val="24"/>
          <w:szCs w:val="24"/>
          <w:u w:val="single"/>
        </w:rPr>
      </w:pPr>
    </w:p>
    <w:p w14:paraId="50DCEAA6" w14:textId="77777777" w:rsidR="007F2F5D" w:rsidRPr="008630EC" w:rsidRDefault="007F2F5D" w:rsidP="00C85EF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mean delta change of 0.04 </w:t>
      </w:r>
      <w:r w:rsidR="00551DF2" w:rsidRPr="00EC6C19">
        <w:rPr>
          <w:rFonts w:ascii="Times New Roman" w:hAnsi="Times New Roman" w:cs="Times New Roman"/>
          <w:sz w:val="24"/>
          <w:szCs w:val="24"/>
        </w:rPr>
        <w:t>for</w:t>
      </w:r>
      <w:r w:rsidRPr="00EC6C19">
        <w:rPr>
          <w:rFonts w:ascii="Times New Roman" w:hAnsi="Times New Roman" w:cs="Times New Roman"/>
          <w:sz w:val="24"/>
          <w:szCs w:val="24"/>
        </w:rPr>
        <w:t xml:space="preserve"> both PLV and PDA was not statistically </w:t>
      </w:r>
      <w:r w:rsidRPr="008630EC">
        <w:rPr>
          <w:rFonts w:ascii="Times New Roman" w:hAnsi="Times New Roman" w:cs="Times New Roman"/>
          <w:sz w:val="24"/>
          <w:szCs w:val="24"/>
        </w:rPr>
        <w:t xml:space="preserve">significant. Table </w:t>
      </w:r>
      <w:r w:rsidR="008630EC" w:rsidRPr="008630EC">
        <w:rPr>
          <w:rFonts w:ascii="Times New Roman" w:hAnsi="Times New Roman" w:cs="Times New Roman"/>
          <w:sz w:val="24"/>
          <w:szCs w:val="24"/>
        </w:rPr>
        <w:t>23</w:t>
      </w:r>
      <w:r w:rsidRPr="008630EC">
        <w:rPr>
          <w:rFonts w:ascii="Times New Roman" w:hAnsi="Times New Roman" w:cs="Times New Roman"/>
          <w:sz w:val="24"/>
          <w:szCs w:val="24"/>
        </w:rPr>
        <w:t xml:space="preserve"> and </w:t>
      </w:r>
      <w:r w:rsidR="00D43074" w:rsidRPr="008630EC">
        <w:rPr>
          <w:rFonts w:ascii="Times New Roman" w:hAnsi="Times New Roman" w:cs="Times New Roman"/>
          <w:sz w:val="24"/>
          <w:szCs w:val="24"/>
        </w:rPr>
        <w:t>f</w:t>
      </w:r>
      <w:r w:rsidRPr="008630EC">
        <w:rPr>
          <w:rFonts w:ascii="Times New Roman" w:hAnsi="Times New Roman" w:cs="Times New Roman"/>
          <w:sz w:val="24"/>
          <w:szCs w:val="24"/>
        </w:rPr>
        <w:t xml:space="preserve">igure </w:t>
      </w:r>
      <w:r w:rsidR="00267C74" w:rsidRPr="008630EC">
        <w:rPr>
          <w:rFonts w:ascii="Times New Roman" w:hAnsi="Times New Roman" w:cs="Times New Roman"/>
          <w:sz w:val="24"/>
          <w:szCs w:val="24"/>
        </w:rPr>
        <w:t>40</w:t>
      </w:r>
      <w:r w:rsidRPr="008630EC">
        <w:rPr>
          <w:rFonts w:ascii="Times New Roman" w:hAnsi="Times New Roman" w:cs="Times New Roman"/>
          <w:sz w:val="24"/>
          <w:szCs w:val="24"/>
        </w:rPr>
        <w:t xml:space="preserve"> summarise these results.</w:t>
      </w:r>
    </w:p>
    <w:p w14:paraId="4622C822" w14:textId="77777777" w:rsidR="007F2F5D" w:rsidRPr="00EC6C19" w:rsidRDefault="007F2F5D" w:rsidP="00C85EF6">
      <w:pPr>
        <w:spacing w:line="360" w:lineRule="auto"/>
        <w:rPr>
          <w:rFonts w:ascii="Times New Roman" w:hAnsi="Times New Roman" w:cs="Times New Roman"/>
          <w:sz w:val="24"/>
          <w:szCs w:val="24"/>
        </w:rPr>
      </w:pPr>
    </w:p>
    <w:p w14:paraId="3F64946C" w14:textId="77777777" w:rsidR="007F2F5D" w:rsidRDefault="007F2F5D" w:rsidP="00C85EF6">
      <w:pPr>
        <w:spacing w:line="360" w:lineRule="auto"/>
        <w:rPr>
          <w:rFonts w:ascii="Times New Roman" w:hAnsi="Times New Roman" w:cs="Times New Roman"/>
          <w:sz w:val="24"/>
          <w:szCs w:val="24"/>
        </w:rPr>
      </w:pPr>
    </w:p>
    <w:p w14:paraId="109EC56F" w14:textId="77777777" w:rsidR="00CE002A" w:rsidRPr="00EC6C19" w:rsidRDefault="00CE002A" w:rsidP="00C85EF6">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2186"/>
        <w:gridCol w:w="1636"/>
        <w:gridCol w:w="1912"/>
        <w:gridCol w:w="1936"/>
        <w:gridCol w:w="1690"/>
      </w:tblGrid>
      <w:tr w:rsidR="00772D8B" w:rsidRPr="00EC6C19" w14:paraId="6480F6CE" w14:textId="77777777" w:rsidTr="007F2F5D">
        <w:tc>
          <w:tcPr>
            <w:tcW w:w="2235" w:type="dxa"/>
            <w:tcBorders>
              <w:bottom w:val="single" w:sz="18" w:space="0" w:color="000000" w:themeColor="text1"/>
            </w:tcBorders>
            <w:shd w:val="clear" w:color="auto" w:fill="F2F2F2" w:themeFill="background1" w:themeFillShade="F2"/>
          </w:tcPr>
          <w:p w14:paraId="3608F0C4" w14:textId="77777777" w:rsidR="00772D8B" w:rsidRPr="00EC6C19" w:rsidRDefault="00772D8B"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p w14:paraId="100966F3" w14:textId="77777777" w:rsidR="00772D8B" w:rsidRPr="00EC6C19" w:rsidRDefault="00772D8B" w:rsidP="007F2F5D">
            <w:pPr>
              <w:spacing w:line="360" w:lineRule="auto"/>
              <w:jc w:val="center"/>
              <w:rPr>
                <w:rFonts w:ascii="Times New Roman" w:hAnsi="Times New Roman" w:cs="Times New Roman"/>
                <w:sz w:val="24"/>
                <w:szCs w:val="24"/>
              </w:rPr>
            </w:pPr>
          </w:p>
        </w:tc>
        <w:tc>
          <w:tcPr>
            <w:tcW w:w="1672" w:type="dxa"/>
            <w:tcBorders>
              <w:bottom w:val="single" w:sz="18" w:space="0" w:color="000000" w:themeColor="text1"/>
            </w:tcBorders>
            <w:shd w:val="clear" w:color="auto" w:fill="F2F2F2" w:themeFill="background1" w:themeFillShade="F2"/>
          </w:tcPr>
          <w:p w14:paraId="53BF204A" w14:textId="77777777" w:rsidR="00772D8B" w:rsidRPr="00EC6C19" w:rsidRDefault="00772D8B"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Prone Pd/Pa</w:t>
            </w:r>
          </w:p>
        </w:tc>
        <w:tc>
          <w:tcPr>
            <w:tcW w:w="1956" w:type="dxa"/>
            <w:tcBorders>
              <w:bottom w:val="single" w:sz="18" w:space="0" w:color="000000" w:themeColor="text1"/>
            </w:tcBorders>
            <w:shd w:val="clear" w:color="auto" w:fill="F2F2F2" w:themeFill="background1" w:themeFillShade="F2"/>
          </w:tcPr>
          <w:p w14:paraId="66469092" w14:textId="77777777" w:rsidR="00772D8B" w:rsidRPr="00EC6C19" w:rsidRDefault="00772D8B"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Supine Pd/Pa</w:t>
            </w:r>
          </w:p>
        </w:tc>
        <w:tc>
          <w:tcPr>
            <w:tcW w:w="1978" w:type="dxa"/>
            <w:tcBorders>
              <w:bottom w:val="single" w:sz="18" w:space="0" w:color="000000" w:themeColor="text1"/>
            </w:tcBorders>
            <w:shd w:val="clear" w:color="auto" w:fill="F2F2F2" w:themeFill="background1" w:themeFillShade="F2"/>
          </w:tcPr>
          <w:p w14:paraId="3C251B23" w14:textId="77777777" w:rsidR="00772D8B" w:rsidRPr="00EC6C19" w:rsidRDefault="00772D8B"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Delta Change</w:t>
            </w:r>
          </w:p>
        </w:tc>
        <w:tc>
          <w:tcPr>
            <w:tcW w:w="1735" w:type="dxa"/>
            <w:tcBorders>
              <w:bottom w:val="single" w:sz="18" w:space="0" w:color="000000" w:themeColor="text1"/>
            </w:tcBorders>
            <w:shd w:val="clear" w:color="auto" w:fill="F2F2F2" w:themeFill="background1" w:themeFillShade="F2"/>
          </w:tcPr>
          <w:p w14:paraId="768EEF58" w14:textId="77777777" w:rsidR="00772D8B" w:rsidRPr="00EC6C19" w:rsidRDefault="00772D8B" w:rsidP="007F2F5D">
            <w:pPr>
              <w:spacing w:line="360" w:lineRule="auto"/>
              <w:jc w:val="center"/>
              <w:rPr>
                <w:rFonts w:ascii="Times New Roman" w:hAnsi="Times New Roman" w:cs="Times New Roman"/>
                <w:sz w:val="24"/>
                <w:szCs w:val="24"/>
              </w:rPr>
            </w:pPr>
          </w:p>
        </w:tc>
      </w:tr>
      <w:tr w:rsidR="007F2F5D" w:rsidRPr="00EC6C19" w14:paraId="48143228" w14:textId="77777777" w:rsidTr="007F2F5D">
        <w:tc>
          <w:tcPr>
            <w:tcW w:w="2235" w:type="dxa"/>
            <w:tcBorders>
              <w:top w:val="single" w:sz="18" w:space="0" w:color="000000" w:themeColor="text1"/>
            </w:tcBorders>
            <w:shd w:val="clear" w:color="auto" w:fill="FFFFFF" w:themeFill="background1"/>
          </w:tcPr>
          <w:p w14:paraId="42893625" w14:textId="77777777" w:rsidR="007F2F5D" w:rsidRPr="00EC6C19" w:rsidRDefault="007F2F5D" w:rsidP="007F2F5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5 (PDA)</w:t>
            </w:r>
          </w:p>
          <w:p w14:paraId="24EF0634" w14:textId="77777777" w:rsidR="007F2F5D" w:rsidRPr="00EC6C19" w:rsidRDefault="007F2F5D" w:rsidP="007F2F5D">
            <w:pPr>
              <w:spacing w:line="360" w:lineRule="auto"/>
              <w:jc w:val="center"/>
              <w:rPr>
                <w:rFonts w:ascii="Times New Roman" w:hAnsi="Times New Roman" w:cs="Times New Roman"/>
                <w:b/>
                <w:sz w:val="24"/>
                <w:szCs w:val="24"/>
              </w:rPr>
            </w:pPr>
          </w:p>
        </w:tc>
        <w:tc>
          <w:tcPr>
            <w:tcW w:w="1672" w:type="dxa"/>
            <w:tcBorders>
              <w:top w:val="single" w:sz="18" w:space="0" w:color="000000" w:themeColor="text1"/>
            </w:tcBorders>
            <w:shd w:val="clear" w:color="auto" w:fill="FFFFFF" w:themeFill="background1"/>
          </w:tcPr>
          <w:p w14:paraId="00CDCDCA"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0.79</w:t>
            </w:r>
          </w:p>
        </w:tc>
        <w:tc>
          <w:tcPr>
            <w:tcW w:w="1956" w:type="dxa"/>
            <w:tcBorders>
              <w:top w:val="single" w:sz="18" w:space="0" w:color="000000" w:themeColor="text1"/>
            </w:tcBorders>
            <w:shd w:val="clear" w:color="auto" w:fill="FFFFFF" w:themeFill="background1"/>
          </w:tcPr>
          <w:p w14:paraId="725C6A23"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0.77</w:t>
            </w:r>
          </w:p>
        </w:tc>
        <w:tc>
          <w:tcPr>
            <w:tcW w:w="1978" w:type="dxa"/>
            <w:tcBorders>
              <w:top w:val="single" w:sz="18" w:space="0" w:color="000000" w:themeColor="text1"/>
            </w:tcBorders>
            <w:shd w:val="clear" w:color="auto" w:fill="FFFFFF" w:themeFill="background1"/>
          </w:tcPr>
          <w:p w14:paraId="5E60C3EA"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735" w:type="dxa"/>
            <w:vMerge w:val="restart"/>
            <w:tcBorders>
              <w:top w:val="single" w:sz="18" w:space="0" w:color="000000" w:themeColor="text1"/>
            </w:tcBorders>
            <w:shd w:val="clear" w:color="auto" w:fill="FFFFFF" w:themeFill="background1"/>
          </w:tcPr>
          <w:p w14:paraId="4148CF7C" w14:textId="77777777" w:rsidR="007F2F5D" w:rsidRPr="00EC6C19" w:rsidRDefault="007F2F5D" w:rsidP="007F2F5D">
            <w:pPr>
              <w:spacing w:line="360" w:lineRule="auto"/>
              <w:rPr>
                <w:rFonts w:ascii="Times New Roman" w:hAnsi="Times New Roman" w:cs="Times New Roman"/>
                <w:sz w:val="24"/>
                <w:szCs w:val="24"/>
              </w:rPr>
            </w:pPr>
          </w:p>
          <w:p w14:paraId="214C9BF8" w14:textId="77777777" w:rsidR="007F2F5D" w:rsidRPr="00EC6C19" w:rsidRDefault="007F2F5D" w:rsidP="007F2F5D">
            <w:pPr>
              <w:spacing w:line="360" w:lineRule="auto"/>
              <w:rPr>
                <w:rFonts w:ascii="Times New Roman" w:hAnsi="Times New Roman" w:cs="Times New Roman"/>
                <w:sz w:val="24"/>
                <w:szCs w:val="24"/>
              </w:rPr>
            </w:pPr>
          </w:p>
          <w:p w14:paraId="13083D5B" w14:textId="77777777" w:rsidR="007F2F5D" w:rsidRPr="00EC6C19" w:rsidRDefault="007F2F5D" w:rsidP="007F2F5D">
            <w:pPr>
              <w:spacing w:line="360" w:lineRule="auto"/>
              <w:rPr>
                <w:rFonts w:ascii="Times New Roman" w:hAnsi="Times New Roman" w:cs="Times New Roman"/>
                <w:sz w:val="24"/>
                <w:szCs w:val="24"/>
              </w:rPr>
            </w:pPr>
          </w:p>
          <w:p w14:paraId="3E2691BE" w14:textId="77777777" w:rsidR="007F2F5D" w:rsidRPr="00EC6C19" w:rsidRDefault="007F2F5D" w:rsidP="007F2F5D">
            <w:pPr>
              <w:spacing w:line="360" w:lineRule="auto"/>
              <w:rPr>
                <w:rFonts w:ascii="Times New Roman" w:hAnsi="Times New Roman" w:cs="Times New Roman"/>
                <w:sz w:val="24"/>
                <w:szCs w:val="24"/>
              </w:rPr>
            </w:pPr>
          </w:p>
          <w:p w14:paraId="68B1FD03" w14:textId="77777777" w:rsidR="007F2F5D" w:rsidRPr="00EC6C19" w:rsidRDefault="007F2F5D" w:rsidP="007F2F5D">
            <w:pPr>
              <w:spacing w:line="360" w:lineRule="auto"/>
              <w:rPr>
                <w:rFonts w:ascii="Times New Roman" w:hAnsi="Times New Roman" w:cs="Times New Roman"/>
                <w:sz w:val="24"/>
                <w:szCs w:val="24"/>
              </w:rPr>
            </w:pPr>
          </w:p>
          <w:p w14:paraId="0F4457E0" w14:textId="77777777" w:rsidR="007F2F5D" w:rsidRPr="00EC6C19" w:rsidRDefault="007F2F5D" w:rsidP="007F2F5D">
            <w:pPr>
              <w:spacing w:line="360" w:lineRule="auto"/>
              <w:rPr>
                <w:rFonts w:ascii="Times New Roman" w:hAnsi="Times New Roman" w:cs="Times New Roman"/>
                <w:sz w:val="24"/>
                <w:szCs w:val="24"/>
              </w:rPr>
            </w:pPr>
          </w:p>
          <w:p w14:paraId="4BEBE28C" w14:textId="77777777" w:rsidR="007F2F5D" w:rsidRPr="00EC6C19" w:rsidRDefault="007F2F5D" w:rsidP="007F2F5D">
            <w:pPr>
              <w:spacing w:line="360" w:lineRule="auto"/>
              <w:rPr>
                <w:rFonts w:ascii="Times New Roman" w:hAnsi="Times New Roman" w:cs="Times New Roman"/>
                <w:sz w:val="24"/>
                <w:szCs w:val="24"/>
              </w:rPr>
            </w:pPr>
          </w:p>
          <w:p w14:paraId="335EFB36" w14:textId="77777777" w:rsidR="007F2F5D" w:rsidRPr="00EC6C19" w:rsidRDefault="007F2F5D" w:rsidP="007F2F5D">
            <w:pPr>
              <w:spacing w:line="360" w:lineRule="auto"/>
              <w:rPr>
                <w:rFonts w:ascii="Times New Roman" w:hAnsi="Times New Roman" w:cs="Times New Roman"/>
                <w:sz w:val="24"/>
                <w:szCs w:val="24"/>
              </w:rPr>
            </w:pPr>
          </w:p>
          <w:p w14:paraId="5DD8251A"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 = 0.19</w:t>
            </w:r>
          </w:p>
        </w:tc>
      </w:tr>
      <w:tr w:rsidR="007F2F5D" w:rsidRPr="00EC6C19" w14:paraId="28868D79" w14:textId="77777777" w:rsidTr="007F2F5D">
        <w:tc>
          <w:tcPr>
            <w:tcW w:w="2235" w:type="dxa"/>
            <w:shd w:val="clear" w:color="auto" w:fill="FFFFFF" w:themeFill="background1"/>
          </w:tcPr>
          <w:p w14:paraId="49D50EF5" w14:textId="77777777" w:rsidR="007F2F5D" w:rsidRPr="00EC6C19" w:rsidRDefault="007F2F5D" w:rsidP="007F2F5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14  (PDA)</w:t>
            </w:r>
          </w:p>
          <w:p w14:paraId="0DABB276" w14:textId="77777777" w:rsidR="007F2F5D" w:rsidRPr="00EC6C19" w:rsidRDefault="007F2F5D" w:rsidP="007F2F5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0EEA0A19"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0.92</w:t>
            </w:r>
          </w:p>
        </w:tc>
        <w:tc>
          <w:tcPr>
            <w:tcW w:w="1956" w:type="dxa"/>
            <w:shd w:val="clear" w:color="auto" w:fill="FFFFFF" w:themeFill="background1"/>
          </w:tcPr>
          <w:p w14:paraId="43922185"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0.93</w:t>
            </w:r>
          </w:p>
        </w:tc>
        <w:tc>
          <w:tcPr>
            <w:tcW w:w="1978" w:type="dxa"/>
            <w:shd w:val="clear" w:color="auto" w:fill="FFFFFF" w:themeFill="background1"/>
          </w:tcPr>
          <w:p w14:paraId="581CCD3F"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-0.01</w:t>
            </w:r>
          </w:p>
        </w:tc>
        <w:tc>
          <w:tcPr>
            <w:tcW w:w="1735" w:type="dxa"/>
            <w:vMerge/>
            <w:shd w:val="clear" w:color="auto" w:fill="FFFFFF" w:themeFill="background1"/>
          </w:tcPr>
          <w:p w14:paraId="63FAD33C" w14:textId="77777777" w:rsidR="007F2F5D" w:rsidRPr="00EC6C19" w:rsidRDefault="007F2F5D" w:rsidP="00772D8B">
            <w:pPr>
              <w:spacing w:line="360" w:lineRule="auto"/>
              <w:rPr>
                <w:rFonts w:ascii="Times New Roman" w:hAnsi="Times New Roman" w:cs="Times New Roman"/>
                <w:sz w:val="24"/>
                <w:szCs w:val="24"/>
              </w:rPr>
            </w:pPr>
          </w:p>
        </w:tc>
      </w:tr>
      <w:tr w:rsidR="007F2F5D" w:rsidRPr="00EC6C19" w14:paraId="28AC9C8E" w14:textId="77777777" w:rsidTr="007F2F5D">
        <w:tc>
          <w:tcPr>
            <w:tcW w:w="2235" w:type="dxa"/>
            <w:shd w:val="clear" w:color="auto" w:fill="FFFFFF" w:themeFill="background1"/>
          </w:tcPr>
          <w:p w14:paraId="4CEE2B48" w14:textId="77777777" w:rsidR="007F2F5D" w:rsidRPr="00EC6C19" w:rsidRDefault="007F2F5D" w:rsidP="007F2F5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PDA Mean (+SD)</w:t>
            </w:r>
          </w:p>
          <w:p w14:paraId="67FF3834" w14:textId="77777777" w:rsidR="007F2F5D" w:rsidRPr="00EC6C19" w:rsidRDefault="007F2F5D" w:rsidP="007F2F5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451C14EE"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0.85 (0.10)</w:t>
            </w:r>
          </w:p>
        </w:tc>
        <w:tc>
          <w:tcPr>
            <w:tcW w:w="1956" w:type="dxa"/>
            <w:shd w:val="clear" w:color="auto" w:fill="FFFFFF" w:themeFill="background1"/>
          </w:tcPr>
          <w:p w14:paraId="615BD9D5"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0.85 (0.11)</w:t>
            </w:r>
          </w:p>
        </w:tc>
        <w:tc>
          <w:tcPr>
            <w:tcW w:w="1978" w:type="dxa"/>
            <w:shd w:val="clear" w:color="auto" w:fill="FFFFFF" w:themeFill="background1"/>
          </w:tcPr>
          <w:p w14:paraId="1BC0A563"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0.00 (0.02)</w:t>
            </w:r>
          </w:p>
        </w:tc>
        <w:tc>
          <w:tcPr>
            <w:tcW w:w="1735" w:type="dxa"/>
            <w:vMerge/>
            <w:shd w:val="clear" w:color="auto" w:fill="FFFFFF" w:themeFill="background1"/>
          </w:tcPr>
          <w:p w14:paraId="489574BF" w14:textId="77777777" w:rsidR="007F2F5D" w:rsidRPr="00EC6C19" w:rsidRDefault="007F2F5D" w:rsidP="00772D8B">
            <w:pPr>
              <w:spacing w:line="360" w:lineRule="auto"/>
              <w:rPr>
                <w:rFonts w:ascii="Times New Roman" w:hAnsi="Times New Roman" w:cs="Times New Roman"/>
                <w:sz w:val="24"/>
                <w:szCs w:val="24"/>
              </w:rPr>
            </w:pPr>
          </w:p>
        </w:tc>
      </w:tr>
      <w:tr w:rsidR="007F2F5D" w:rsidRPr="00EC6C19" w14:paraId="30ACD3E1" w14:textId="77777777" w:rsidTr="007F2F5D">
        <w:tc>
          <w:tcPr>
            <w:tcW w:w="2235" w:type="dxa"/>
            <w:shd w:val="clear" w:color="auto" w:fill="FFFFFF" w:themeFill="background1"/>
          </w:tcPr>
          <w:p w14:paraId="00FEACE9" w14:textId="77777777" w:rsidR="007F2F5D" w:rsidRPr="00EC6C19" w:rsidRDefault="007F2F5D" w:rsidP="007F2F5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12 (PLV)</w:t>
            </w:r>
          </w:p>
          <w:p w14:paraId="453C1866" w14:textId="77777777" w:rsidR="007F2F5D" w:rsidRPr="00EC6C19" w:rsidRDefault="007F2F5D" w:rsidP="007F2F5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2D80CBE9"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956" w:type="dxa"/>
            <w:shd w:val="clear" w:color="auto" w:fill="FFFFFF" w:themeFill="background1"/>
          </w:tcPr>
          <w:p w14:paraId="411B7A31"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0.99</w:t>
            </w:r>
          </w:p>
        </w:tc>
        <w:tc>
          <w:tcPr>
            <w:tcW w:w="1978" w:type="dxa"/>
            <w:shd w:val="clear" w:color="auto" w:fill="FFFFFF" w:themeFill="background1"/>
          </w:tcPr>
          <w:p w14:paraId="562B8DC1"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735" w:type="dxa"/>
            <w:vMerge/>
            <w:shd w:val="clear" w:color="auto" w:fill="FFFFFF" w:themeFill="background1"/>
          </w:tcPr>
          <w:p w14:paraId="5FEA0ACA" w14:textId="77777777" w:rsidR="007F2F5D" w:rsidRPr="00EC6C19" w:rsidRDefault="007F2F5D" w:rsidP="00772D8B">
            <w:pPr>
              <w:spacing w:line="360" w:lineRule="auto"/>
              <w:rPr>
                <w:rFonts w:ascii="Times New Roman" w:hAnsi="Times New Roman" w:cs="Times New Roman"/>
                <w:sz w:val="24"/>
                <w:szCs w:val="24"/>
              </w:rPr>
            </w:pPr>
          </w:p>
        </w:tc>
      </w:tr>
      <w:tr w:rsidR="007F2F5D" w:rsidRPr="00EC6C19" w14:paraId="74C05E8A" w14:textId="77777777" w:rsidTr="007F2F5D">
        <w:tc>
          <w:tcPr>
            <w:tcW w:w="2235" w:type="dxa"/>
            <w:shd w:val="clear" w:color="auto" w:fill="FFFFFF" w:themeFill="background1"/>
          </w:tcPr>
          <w:p w14:paraId="7149392D" w14:textId="77777777" w:rsidR="007F2F5D" w:rsidRPr="00EC6C19" w:rsidRDefault="007F2F5D" w:rsidP="007F2F5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13 (PLV)</w:t>
            </w:r>
          </w:p>
          <w:p w14:paraId="21235668" w14:textId="77777777" w:rsidR="007F2F5D" w:rsidRPr="00EC6C19" w:rsidRDefault="007F2F5D" w:rsidP="007F2F5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63B68C5A"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0.77</w:t>
            </w:r>
          </w:p>
        </w:tc>
        <w:tc>
          <w:tcPr>
            <w:tcW w:w="1956" w:type="dxa"/>
            <w:shd w:val="clear" w:color="auto" w:fill="FFFFFF" w:themeFill="background1"/>
          </w:tcPr>
          <w:p w14:paraId="6D3337DA"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0.92</w:t>
            </w:r>
          </w:p>
        </w:tc>
        <w:tc>
          <w:tcPr>
            <w:tcW w:w="1978" w:type="dxa"/>
            <w:shd w:val="clear" w:color="auto" w:fill="FFFFFF" w:themeFill="background1"/>
          </w:tcPr>
          <w:p w14:paraId="60F29A42"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0.15</w:t>
            </w:r>
          </w:p>
        </w:tc>
        <w:tc>
          <w:tcPr>
            <w:tcW w:w="1735" w:type="dxa"/>
            <w:vMerge/>
            <w:shd w:val="clear" w:color="auto" w:fill="FFFFFF" w:themeFill="background1"/>
          </w:tcPr>
          <w:p w14:paraId="5614BDC0" w14:textId="77777777" w:rsidR="007F2F5D" w:rsidRPr="00EC6C19" w:rsidRDefault="007F2F5D" w:rsidP="00772D8B">
            <w:pPr>
              <w:spacing w:line="360" w:lineRule="auto"/>
              <w:rPr>
                <w:rFonts w:ascii="Times New Roman" w:hAnsi="Times New Roman" w:cs="Times New Roman"/>
                <w:sz w:val="24"/>
                <w:szCs w:val="24"/>
              </w:rPr>
            </w:pPr>
          </w:p>
        </w:tc>
      </w:tr>
      <w:tr w:rsidR="007F2F5D" w:rsidRPr="00EC6C19" w14:paraId="6FF3E82A" w14:textId="77777777" w:rsidTr="007F2F5D">
        <w:tc>
          <w:tcPr>
            <w:tcW w:w="2235" w:type="dxa"/>
            <w:shd w:val="clear" w:color="auto" w:fill="FFFFFF" w:themeFill="background1"/>
          </w:tcPr>
          <w:p w14:paraId="12F7D4A3" w14:textId="77777777" w:rsidR="007F2F5D" w:rsidRPr="00EC6C19" w:rsidRDefault="007F2F5D" w:rsidP="007F2F5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19 (PLV)</w:t>
            </w:r>
          </w:p>
          <w:p w14:paraId="48A53879" w14:textId="77777777" w:rsidR="007F2F5D" w:rsidRPr="00EC6C19" w:rsidRDefault="007F2F5D" w:rsidP="007F2F5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057449D6"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0.87</w:t>
            </w:r>
          </w:p>
        </w:tc>
        <w:tc>
          <w:tcPr>
            <w:tcW w:w="1956" w:type="dxa"/>
            <w:shd w:val="clear" w:color="auto" w:fill="FFFFFF" w:themeFill="background1"/>
          </w:tcPr>
          <w:p w14:paraId="59413BFB"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w:t>
            </w:r>
          </w:p>
        </w:tc>
        <w:tc>
          <w:tcPr>
            <w:tcW w:w="1978" w:type="dxa"/>
            <w:shd w:val="clear" w:color="auto" w:fill="FFFFFF" w:themeFill="background1"/>
          </w:tcPr>
          <w:p w14:paraId="36A6F097"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0.04</w:t>
            </w:r>
          </w:p>
        </w:tc>
        <w:tc>
          <w:tcPr>
            <w:tcW w:w="1735" w:type="dxa"/>
            <w:vMerge/>
            <w:shd w:val="clear" w:color="auto" w:fill="FFFFFF" w:themeFill="background1"/>
          </w:tcPr>
          <w:p w14:paraId="3D68939E" w14:textId="77777777" w:rsidR="007F2F5D" w:rsidRPr="00EC6C19" w:rsidRDefault="007F2F5D" w:rsidP="00772D8B">
            <w:pPr>
              <w:spacing w:line="360" w:lineRule="auto"/>
              <w:rPr>
                <w:rFonts w:ascii="Times New Roman" w:hAnsi="Times New Roman" w:cs="Times New Roman"/>
                <w:sz w:val="24"/>
                <w:szCs w:val="24"/>
              </w:rPr>
            </w:pPr>
          </w:p>
        </w:tc>
      </w:tr>
      <w:tr w:rsidR="007F2F5D" w:rsidRPr="00EC6C19" w14:paraId="4208EEEA" w14:textId="77777777" w:rsidTr="007F2F5D">
        <w:tc>
          <w:tcPr>
            <w:tcW w:w="2235" w:type="dxa"/>
            <w:shd w:val="clear" w:color="auto" w:fill="FFFFFF" w:themeFill="background1"/>
          </w:tcPr>
          <w:p w14:paraId="7B1E964E" w14:textId="77777777" w:rsidR="007F2F5D" w:rsidRPr="00EC6C19" w:rsidRDefault="007F2F5D" w:rsidP="007F2F5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20 (PLV)</w:t>
            </w:r>
          </w:p>
          <w:p w14:paraId="5F7922B3" w14:textId="77777777" w:rsidR="007F2F5D" w:rsidRPr="00EC6C19" w:rsidRDefault="007F2F5D" w:rsidP="007F2F5D">
            <w:pPr>
              <w:spacing w:line="360" w:lineRule="auto"/>
              <w:jc w:val="center"/>
              <w:rPr>
                <w:rFonts w:ascii="Times New Roman" w:hAnsi="Times New Roman" w:cs="Times New Roman"/>
                <w:b/>
                <w:sz w:val="24"/>
                <w:szCs w:val="24"/>
              </w:rPr>
            </w:pPr>
          </w:p>
        </w:tc>
        <w:tc>
          <w:tcPr>
            <w:tcW w:w="1672" w:type="dxa"/>
            <w:shd w:val="clear" w:color="auto" w:fill="FFFFFF" w:themeFill="background1"/>
          </w:tcPr>
          <w:p w14:paraId="45350A50"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N/A</w:t>
            </w:r>
          </w:p>
        </w:tc>
        <w:tc>
          <w:tcPr>
            <w:tcW w:w="1956" w:type="dxa"/>
            <w:shd w:val="clear" w:color="auto" w:fill="FFFFFF" w:themeFill="background1"/>
          </w:tcPr>
          <w:p w14:paraId="1ED97E60"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N/A</w:t>
            </w:r>
          </w:p>
        </w:tc>
        <w:tc>
          <w:tcPr>
            <w:tcW w:w="1978" w:type="dxa"/>
            <w:shd w:val="clear" w:color="auto" w:fill="FFFFFF" w:themeFill="background1"/>
          </w:tcPr>
          <w:p w14:paraId="18D1DE27"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N/A</w:t>
            </w:r>
          </w:p>
        </w:tc>
        <w:tc>
          <w:tcPr>
            <w:tcW w:w="1735" w:type="dxa"/>
            <w:vMerge/>
            <w:shd w:val="clear" w:color="auto" w:fill="FFFFFF" w:themeFill="background1"/>
          </w:tcPr>
          <w:p w14:paraId="46443743" w14:textId="77777777" w:rsidR="007F2F5D" w:rsidRPr="00EC6C19" w:rsidRDefault="007F2F5D" w:rsidP="00772D8B">
            <w:pPr>
              <w:spacing w:line="360" w:lineRule="auto"/>
              <w:rPr>
                <w:rFonts w:ascii="Times New Roman" w:hAnsi="Times New Roman" w:cs="Times New Roman"/>
                <w:sz w:val="24"/>
                <w:szCs w:val="24"/>
              </w:rPr>
            </w:pPr>
          </w:p>
        </w:tc>
      </w:tr>
      <w:tr w:rsidR="007F2F5D" w:rsidRPr="00EC6C19" w14:paraId="693E2460" w14:textId="77777777" w:rsidTr="007F2F5D">
        <w:tc>
          <w:tcPr>
            <w:tcW w:w="2235" w:type="dxa"/>
            <w:shd w:val="clear" w:color="auto" w:fill="FFFFFF" w:themeFill="background1"/>
          </w:tcPr>
          <w:p w14:paraId="6BC25E39" w14:textId="1A6FFA1B" w:rsidR="007F2F5D" w:rsidRPr="00EC6C19" w:rsidRDefault="007F2F5D" w:rsidP="007F2F5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PLV Mean (</w:t>
            </w:r>
            <w:r w:rsidR="00D97E85">
              <w:rPr>
                <w:rFonts w:ascii="Times New Roman" w:hAnsi="Times New Roman" w:cs="Times New Roman"/>
                <w:sz w:val="24"/>
                <w:szCs w:val="24"/>
              </w:rPr>
              <w:t>±</w:t>
            </w:r>
            <w:r w:rsidRPr="00EC6C19">
              <w:rPr>
                <w:rFonts w:ascii="Times New Roman" w:hAnsi="Times New Roman" w:cs="Times New Roman"/>
                <w:b/>
                <w:sz w:val="24"/>
                <w:szCs w:val="24"/>
              </w:rPr>
              <w:t>SD)</w:t>
            </w:r>
          </w:p>
        </w:tc>
        <w:tc>
          <w:tcPr>
            <w:tcW w:w="1672" w:type="dxa"/>
            <w:shd w:val="clear" w:color="auto" w:fill="FFFFFF" w:themeFill="background1"/>
          </w:tcPr>
          <w:p w14:paraId="1AA59B08"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0.87 (0.10)</w:t>
            </w:r>
          </w:p>
        </w:tc>
        <w:tc>
          <w:tcPr>
            <w:tcW w:w="1956" w:type="dxa"/>
            <w:shd w:val="clear" w:color="auto" w:fill="FFFFFF" w:themeFill="background1"/>
          </w:tcPr>
          <w:p w14:paraId="5E395227"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0.94 (0.04)</w:t>
            </w:r>
          </w:p>
        </w:tc>
        <w:tc>
          <w:tcPr>
            <w:tcW w:w="1978" w:type="dxa"/>
            <w:shd w:val="clear" w:color="auto" w:fill="FFFFFF" w:themeFill="background1"/>
          </w:tcPr>
          <w:p w14:paraId="5811909C"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0.07 (0.07)</w:t>
            </w:r>
          </w:p>
        </w:tc>
        <w:tc>
          <w:tcPr>
            <w:tcW w:w="1735" w:type="dxa"/>
            <w:vMerge/>
            <w:shd w:val="clear" w:color="auto" w:fill="FFFFFF" w:themeFill="background1"/>
          </w:tcPr>
          <w:p w14:paraId="34E5A6D6" w14:textId="77777777" w:rsidR="007F2F5D" w:rsidRPr="00EC6C19" w:rsidRDefault="007F2F5D" w:rsidP="00772D8B">
            <w:pPr>
              <w:spacing w:line="360" w:lineRule="auto"/>
              <w:rPr>
                <w:rFonts w:ascii="Times New Roman" w:hAnsi="Times New Roman" w:cs="Times New Roman"/>
                <w:sz w:val="24"/>
                <w:szCs w:val="24"/>
              </w:rPr>
            </w:pPr>
          </w:p>
        </w:tc>
      </w:tr>
      <w:tr w:rsidR="007F2F5D" w:rsidRPr="00EC6C19" w14:paraId="3FE36A16" w14:textId="77777777" w:rsidTr="007F2F5D">
        <w:tc>
          <w:tcPr>
            <w:tcW w:w="2235" w:type="dxa"/>
            <w:shd w:val="clear" w:color="auto" w:fill="FFFFFF" w:themeFill="background1"/>
          </w:tcPr>
          <w:p w14:paraId="10065F67" w14:textId="77777777" w:rsidR="007F2F5D" w:rsidRPr="00EC6C19" w:rsidRDefault="007F2F5D" w:rsidP="007F2F5D">
            <w:pPr>
              <w:spacing w:line="360" w:lineRule="auto"/>
              <w:jc w:val="center"/>
              <w:rPr>
                <w:rFonts w:ascii="Times New Roman" w:hAnsi="Times New Roman" w:cs="Times New Roman"/>
                <w:b/>
                <w:sz w:val="24"/>
                <w:szCs w:val="24"/>
              </w:rPr>
            </w:pPr>
          </w:p>
          <w:p w14:paraId="5F86B4CE" w14:textId="4D18D6E0" w:rsidR="007F2F5D" w:rsidRPr="00EC6C19" w:rsidRDefault="007F2F5D" w:rsidP="007F2F5D">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PLV and PDA</w:t>
            </w:r>
            <w:r w:rsidR="00D43074" w:rsidRPr="00EC6C19">
              <w:rPr>
                <w:rFonts w:ascii="Times New Roman" w:hAnsi="Times New Roman" w:cs="Times New Roman"/>
                <w:b/>
                <w:sz w:val="24"/>
                <w:szCs w:val="24"/>
              </w:rPr>
              <w:t xml:space="preserve"> Mean</w:t>
            </w:r>
            <w:r w:rsidR="00596B9E" w:rsidRPr="00EC6C19">
              <w:rPr>
                <w:rFonts w:ascii="Times New Roman" w:hAnsi="Times New Roman" w:cs="Times New Roman"/>
                <w:b/>
                <w:sz w:val="24"/>
                <w:szCs w:val="24"/>
              </w:rPr>
              <w:t xml:space="preserve"> (</w:t>
            </w:r>
            <w:r w:rsidR="00D97E85">
              <w:rPr>
                <w:rFonts w:ascii="Times New Roman" w:hAnsi="Times New Roman" w:cs="Times New Roman"/>
                <w:sz w:val="24"/>
                <w:szCs w:val="24"/>
              </w:rPr>
              <w:t>±</w:t>
            </w:r>
            <w:r w:rsidR="00596B9E" w:rsidRPr="00EC6C19">
              <w:rPr>
                <w:rFonts w:ascii="Times New Roman" w:hAnsi="Times New Roman" w:cs="Times New Roman"/>
                <w:b/>
                <w:sz w:val="24"/>
                <w:szCs w:val="24"/>
              </w:rPr>
              <w:t>SD)</w:t>
            </w:r>
          </w:p>
        </w:tc>
        <w:tc>
          <w:tcPr>
            <w:tcW w:w="1672" w:type="dxa"/>
            <w:shd w:val="clear" w:color="auto" w:fill="FFFFFF" w:themeFill="background1"/>
          </w:tcPr>
          <w:p w14:paraId="4DD31A20" w14:textId="77777777" w:rsidR="007F2F5D" w:rsidRPr="00EC6C19" w:rsidRDefault="007F2F5D" w:rsidP="007F2F5D">
            <w:pPr>
              <w:spacing w:line="360" w:lineRule="auto"/>
              <w:jc w:val="center"/>
              <w:rPr>
                <w:rFonts w:ascii="Times New Roman" w:hAnsi="Times New Roman" w:cs="Times New Roman"/>
                <w:sz w:val="24"/>
                <w:szCs w:val="24"/>
              </w:rPr>
            </w:pPr>
          </w:p>
        </w:tc>
        <w:tc>
          <w:tcPr>
            <w:tcW w:w="1956" w:type="dxa"/>
            <w:shd w:val="clear" w:color="auto" w:fill="FFFFFF" w:themeFill="background1"/>
          </w:tcPr>
          <w:p w14:paraId="369E2EEB" w14:textId="77777777" w:rsidR="007F2F5D" w:rsidRPr="00EC6C19" w:rsidRDefault="007F2F5D" w:rsidP="007F2F5D">
            <w:pPr>
              <w:spacing w:line="360" w:lineRule="auto"/>
              <w:jc w:val="center"/>
              <w:rPr>
                <w:rFonts w:ascii="Times New Roman" w:hAnsi="Times New Roman" w:cs="Times New Roman"/>
                <w:sz w:val="24"/>
                <w:szCs w:val="24"/>
              </w:rPr>
            </w:pPr>
          </w:p>
        </w:tc>
        <w:tc>
          <w:tcPr>
            <w:tcW w:w="1978" w:type="dxa"/>
            <w:shd w:val="clear" w:color="auto" w:fill="FFFFFF" w:themeFill="background1"/>
          </w:tcPr>
          <w:p w14:paraId="6D7AB96C" w14:textId="77777777" w:rsidR="007F2F5D" w:rsidRPr="00EC6C19" w:rsidRDefault="007F2F5D" w:rsidP="007F2F5D">
            <w:pPr>
              <w:spacing w:line="360" w:lineRule="auto"/>
              <w:jc w:val="center"/>
              <w:rPr>
                <w:rFonts w:ascii="Times New Roman" w:hAnsi="Times New Roman" w:cs="Times New Roman"/>
                <w:sz w:val="24"/>
                <w:szCs w:val="24"/>
              </w:rPr>
            </w:pPr>
          </w:p>
          <w:p w14:paraId="18284C16" w14:textId="77777777" w:rsidR="007F2F5D" w:rsidRPr="00EC6C19" w:rsidRDefault="007F2F5D" w:rsidP="007F2F5D">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0.04 (0.09)</w:t>
            </w:r>
          </w:p>
        </w:tc>
        <w:tc>
          <w:tcPr>
            <w:tcW w:w="1735" w:type="dxa"/>
            <w:shd w:val="clear" w:color="auto" w:fill="FFFFFF" w:themeFill="background1"/>
          </w:tcPr>
          <w:p w14:paraId="5CFBB88A" w14:textId="77777777" w:rsidR="007F2F5D" w:rsidRPr="00EC6C19" w:rsidRDefault="007F2F5D" w:rsidP="00772D8B">
            <w:pPr>
              <w:spacing w:line="360" w:lineRule="auto"/>
              <w:rPr>
                <w:rFonts w:ascii="Times New Roman" w:hAnsi="Times New Roman" w:cs="Times New Roman"/>
                <w:sz w:val="24"/>
                <w:szCs w:val="24"/>
              </w:rPr>
            </w:pPr>
          </w:p>
        </w:tc>
      </w:tr>
    </w:tbl>
    <w:p w14:paraId="1269B3AC" w14:textId="77777777" w:rsidR="007F2F5D" w:rsidRPr="00EC6C19" w:rsidRDefault="007F2F5D" w:rsidP="00B01A70">
      <w:pPr>
        <w:spacing w:line="360" w:lineRule="auto"/>
        <w:rPr>
          <w:rFonts w:ascii="Times New Roman" w:hAnsi="Times New Roman" w:cs="Times New Roman"/>
          <w:i/>
          <w:sz w:val="24"/>
          <w:szCs w:val="24"/>
        </w:rPr>
      </w:pPr>
    </w:p>
    <w:p w14:paraId="7C1E939D" w14:textId="77777777" w:rsidR="00B01A70" w:rsidRPr="008630EC" w:rsidRDefault="008630EC" w:rsidP="008630EC">
      <w:pPr>
        <w:pStyle w:val="Caption"/>
        <w:spacing w:line="360" w:lineRule="auto"/>
        <w:rPr>
          <w:rFonts w:ascii="Times New Roman" w:hAnsi="Times New Roman" w:cs="Times New Roman"/>
          <w:b w:val="0"/>
          <w:i/>
          <w:color w:val="auto"/>
          <w:sz w:val="24"/>
          <w:szCs w:val="24"/>
        </w:rPr>
      </w:pPr>
      <w:bookmarkStart w:id="172" w:name="_Toc44962599"/>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23</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RCA iFR. </w:t>
      </w:r>
      <w:r w:rsidR="00A00D25" w:rsidRPr="008630EC">
        <w:rPr>
          <w:rFonts w:ascii="Times New Roman" w:hAnsi="Times New Roman" w:cs="Times New Roman"/>
          <w:b w:val="0"/>
          <w:i/>
          <w:color w:val="auto"/>
          <w:sz w:val="24"/>
          <w:szCs w:val="24"/>
        </w:rPr>
        <w:t>Delta change</w:t>
      </w:r>
      <w:r w:rsidR="00B01A70" w:rsidRPr="008630EC">
        <w:rPr>
          <w:rFonts w:ascii="Times New Roman" w:hAnsi="Times New Roman" w:cs="Times New Roman"/>
          <w:b w:val="0"/>
          <w:i/>
          <w:color w:val="auto"/>
          <w:sz w:val="24"/>
          <w:szCs w:val="24"/>
        </w:rPr>
        <w:t xml:space="preserve"> in iFR between prone and supine positioning in the right coronary artery. The results are not statistically significant (p&gt;0.05).</w:t>
      </w:r>
      <w:bookmarkEnd w:id="172"/>
      <w:r w:rsidR="00B01A70" w:rsidRPr="008630EC">
        <w:rPr>
          <w:rFonts w:ascii="Times New Roman" w:hAnsi="Times New Roman" w:cs="Times New Roman"/>
          <w:b w:val="0"/>
          <w:i/>
          <w:color w:val="auto"/>
          <w:sz w:val="24"/>
          <w:szCs w:val="24"/>
        </w:rPr>
        <w:t xml:space="preserve"> </w:t>
      </w:r>
    </w:p>
    <w:p w14:paraId="3C11EED6" w14:textId="77777777" w:rsidR="005E79E0" w:rsidRPr="00EC6C19" w:rsidRDefault="005E79E0" w:rsidP="00B01A70">
      <w:pPr>
        <w:spacing w:line="360" w:lineRule="auto"/>
        <w:rPr>
          <w:rFonts w:ascii="Times New Roman" w:hAnsi="Times New Roman" w:cs="Times New Roman"/>
          <w:i/>
          <w:sz w:val="24"/>
          <w:szCs w:val="24"/>
        </w:rPr>
      </w:pPr>
    </w:p>
    <w:p w14:paraId="17046AE0" w14:textId="77777777" w:rsidR="005E79E0" w:rsidRPr="00EC6C19" w:rsidRDefault="005E79E0" w:rsidP="005E79E0">
      <w:pPr>
        <w:spacing w:line="360" w:lineRule="auto"/>
        <w:rPr>
          <w:rFonts w:ascii="Times New Roman" w:hAnsi="Times New Roman" w:cs="Times New Roman"/>
          <w:i/>
          <w:sz w:val="24"/>
          <w:szCs w:val="24"/>
        </w:rPr>
      </w:pPr>
      <w:r w:rsidRPr="00EC6C19">
        <w:rPr>
          <w:rFonts w:ascii="Times New Roman" w:hAnsi="Times New Roman" w:cs="Times New Roman"/>
          <w:i/>
          <w:noProof/>
          <w:sz w:val="24"/>
          <w:szCs w:val="24"/>
          <w:lang w:eastAsia="en-GB"/>
        </w:rPr>
        <w:drawing>
          <wp:inline distT="0" distB="0" distL="0" distR="0" wp14:anchorId="01474A2C" wp14:editId="26F51DBA">
            <wp:extent cx="5943600" cy="4121652"/>
            <wp:effectExtent l="0" t="0" r="0" b="0"/>
            <wp:docPr id="6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1F84D2C4" w14:textId="77777777" w:rsidR="005E79E0" w:rsidRPr="00267C74" w:rsidRDefault="00267C74" w:rsidP="00267C74">
      <w:pPr>
        <w:pStyle w:val="Caption"/>
        <w:spacing w:line="360" w:lineRule="auto"/>
        <w:rPr>
          <w:rFonts w:ascii="Times New Roman" w:hAnsi="Times New Roman" w:cs="Times New Roman"/>
          <w:b w:val="0"/>
          <w:i/>
          <w:color w:val="auto"/>
          <w:sz w:val="24"/>
          <w:szCs w:val="24"/>
        </w:rPr>
      </w:pPr>
      <w:bookmarkStart w:id="173" w:name="_Toc44684929"/>
      <w:r w:rsidRPr="00267C74">
        <w:rPr>
          <w:rFonts w:ascii="Times New Roman" w:hAnsi="Times New Roman" w:cs="Times New Roman"/>
          <w:b w:val="0"/>
          <w:i/>
          <w:color w:val="auto"/>
          <w:sz w:val="24"/>
          <w:szCs w:val="24"/>
        </w:rPr>
        <w:t xml:space="preserve">Figure </w:t>
      </w:r>
      <w:r w:rsidR="00106A32" w:rsidRPr="00267C74">
        <w:rPr>
          <w:rFonts w:ascii="Times New Roman" w:hAnsi="Times New Roman" w:cs="Times New Roman"/>
          <w:b w:val="0"/>
          <w:i/>
          <w:color w:val="auto"/>
          <w:sz w:val="24"/>
          <w:szCs w:val="24"/>
        </w:rPr>
        <w:fldChar w:fldCharType="begin"/>
      </w:r>
      <w:r w:rsidRPr="00267C74">
        <w:rPr>
          <w:rFonts w:ascii="Times New Roman" w:hAnsi="Times New Roman" w:cs="Times New Roman"/>
          <w:b w:val="0"/>
          <w:i/>
          <w:color w:val="auto"/>
          <w:sz w:val="24"/>
          <w:szCs w:val="24"/>
        </w:rPr>
        <w:instrText xml:space="preserve"> SEQ Figure \* ARABIC </w:instrText>
      </w:r>
      <w:r w:rsidR="00106A32" w:rsidRPr="00267C74">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40</w:t>
      </w:r>
      <w:r w:rsidR="00106A32" w:rsidRPr="00267C74">
        <w:rPr>
          <w:rFonts w:ascii="Times New Roman" w:hAnsi="Times New Roman" w:cs="Times New Roman"/>
          <w:b w:val="0"/>
          <w:i/>
          <w:color w:val="auto"/>
          <w:sz w:val="24"/>
          <w:szCs w:val="24"/>
        </w:rPr>
        <w:fldChar w:fldCharType="end"/>
      </w:r>
      <w:r w:rsidRPr="00267C74">
        <w:rPr>
          <w:rFonts w:ascii="Times New Roman" w:hAnsi="Times New Roman" w:cs="Times New Roman"/>
          <w:b w:val="0"/>
          <w:i/>
          <w:color w:val="auto"/>
          <w:sz w:val="24"/>
          <w:szCs w:val="24"/>
        </w:rPr>
        <w:t xml:space="preserve"> - RCA iFR Delta Change </w:t>
      </w:r>
      <w:r w:rsidR="00A00D25" w:rsidRPr="00267C74">
        <w:rPr>
          <w:rFonts w:ascii="Times New Roman" w:hAnsi="Times New Roman" w:cs="Times New Roman"/>
          <w:b w:val="0"/>
          <w:i/>
          <w:color w:val="auto"/>
          <w:sz w:val="24"/>
          <w:szCs w:val="24"/>
        </w:rPr>
        <w:t>between prone a</w:t>
      </w:r>
      <w:r w:rsidR="005E79E0" w:rsidRPr="00267C74">
        <w:rPr>
          <w:rFonts w:ascii="Times New Roman" w:hAnsi="Times New Roman" w:cs="Times New Roman"/>
          <w:b w:val="0"/>
          <w:i/>
          <w:color w:val="auto"/>
          <w:sz w:val="24"/>
          <w:szCs w:val="24"/>
        </w:rPr>
        <w:t>nd supine positioning</w:t>
      </w:r>
      <w:r w:rsidR="00D43074" w:rsidRPr="00267C74">
        <w:rPr>
          <w:rFonts w:ascii="Times New Roman" w:hAnsi="Times New Roman" w:cs="Times New Roman"/>
          <w:b w:val="0"/>
          <w:i/>
          <w:color w:val="auto"/>
          <w:sz w:val="24"/>
          <w:szCs w:val="24"/>
        </w:rPr>
        <w:t>.</w:t>
      </w:r>
      <w:r w:rsidR="005E79E0" w:rsidRPr="00267C74">
        <w:rPr>
          <w:rFonts w:ascii="Times New Roman" w:hAnsi="Times New Roman" w:cs="Times New Roman"/>
          <w:b w:val="0"/>
          <w:i/>
          <w:color w:val="auto"/>
          <w:sz w:val="24"/>
          <w:szCs w:val="24"/>
        </w:rPr>
        <w:t xml:space="preserve"> </w:t>
      </w:r>
      <w:r w:rsidR="00D43074" w:rsidRPr="00267C74">
        <w:rPr>
          <w:rFonts w:ascii="Times New Roman" w:hAnsi="Times New Roman" w:cs="Times New Roman"/>
          <w:b w:val="0"/>
          <w:i/>
          <w:color w:val="auto"/>
          <w:sz w:val="24"/>
          <w:szCs w:val="24"/>
        </w:rPr>
        <w:t>Mean</w:t>
      </w:r>
      <w:r w:rsidR="005E79E0" w:rsidRPr="00267C74">
        <w:rPr>
          <w:rFonts w:ascii="Times New Roman" w:hAnsi="Times New Roman" w:cs="Times New Roman"/>
          <w:b w:val="0"/>
          <w:i/>
          <w:color w:val="auto"/>
          <w:sz w:val="24"/>
          <w:szCs w:val="24"/>
        </w:rPr>
        <w:t xml:space="preserve"> difference is not statistically significant</w:t>
      </w:r>
      <w:r w:rsidR="00A00D25" w:rsidRPr="00267C74">
        <w:rPr>
          <w:rFonts w:ascii="Times New Roman" w:hAnsi="Times New Roman" w:cs="Times New Roman"/>
          <w:b w:val="0"/>
          <w:i/>
          <w:color w:val="auto"/>
          <w:sz w:val="24"/>
          <w:szCs w:val="24"/>
        </w:rPr>
        <w:t xml:space="preserve"> (p&gt;0.05)</w:t>
      </w:r>
      <w:r w:rsidR="005E79E0" w:rsidRPr="00267C74">
        <w:rPr>
          <w:rFonts w:ascii="Times New Roman" w:hAnsi="Times New Roman" w:cs="Times New Roman"/>
          <w:b w:val="0"/>
          <w:i/>
          <w:color w:val="auto"/>
          <w:sz w:val="24"/>
          <w:szCs w:val="24"/>
        </w:rPr>
        <w:t>.</w:t>
      </w:r>
      <w:bookmarkEnd w:id="173"/>
    </w:p>
    <w:p w14:paraId="4596764E" w14:textId="77777777" w:rsidR="00C85EF6" w:rsidRDefault="00C85EF6">
      <w:pPr>
        <w:rPr>
          <w:rFonts w:ascii="Times New Roman" w:hAnsi="Times New Roman" w:cs="Times New Roman"/>
          <w:sz w:val="24"/>
          <w:szCs w:val="24"/>
        </w:rPr>
      </w:pPr>
    </w:p>
    <w:p w14:paraId="384564A7" w14:textId="77777777" w:rsidR="00DA254C" w:rsidRPr="006E04BF" w:rsidRDefault="006E04BF" w:rsidP="006E04BF">
      <w:pPr>
        <w:pStyle w:val="Heading3"/>
        <w:rPr>
          <w:rFonts w:ascii="Times New Roman" w:hAnsi="Times New Roman" w:cs="Times New Roman"/>
          <w:b w:val="0"/>
          <w:i/>
          <w:color w:val="auto"/>
          <w:sz w:val="24"/>
          <w:szCs w:val="24"/>
        </w:rPr>
      </w:pPr>
      <w:bookmarkStart w:id="174" w:name="_Toc80302255"/>
      <w:r w:rsidRPr="006E04BF">
        <w:rPr>
          <w:rFonts w:ascii="Times New Roman" w:hAnsi="Times New Roman" w:cs="Times New Roman"/>
          <w:b w:val="0"/>
          <w:i/>
          <w:color w:val="auto"/>
          <w:sz w:val="24"/>
          <w:szCs w:val="24"/>
        </w:rPr>
        <w:t xml:space="preserve">3.16.4 - </w:t>
      </w:r>
      <w:r w:rsidR="000B71DA" w:rsidRPr="006E04BF">
        <w:rPr>
          <w:rFonts w:ascii="Times New Roman" w:hAnsi="Times New Roman" w:cs="Times New Roman"/>
          <w:b w:val="0"/>
          <w:i/>
          <w:color w:val="auto"/>
          <w:sz w:val="24"/>
          <w:szCs w:val="24"/>
        </w:rPr>
        <w:t>Fractional Flow Reserve</w:t>
      </w:r>
      <w:bookmarkEnd w:id="174"/>
      <w:r>
        <w:rPr>
          <w:rFonts w:ascii="Times New Roman" w:hAnsi="Times New Roman" w:cs="Times New Roman"/>
          <w:b w:val="0"/>
          <w:i/>
          <w:color w:val="auto"/>
          <w:sz w:val="24"/>
          <w:szCs w:val="24"/>
        </w:rPr>
        <w:br/>
      </w:r>
    </w:p>
    <w:p w14:paraId="59333E19" w14:textId="77777777" w:rsidR="00492536" w:rsidRPr="00EC6C19" w:rsidRDefault="00492536" w:rsidP="001E2E10">
      <w:pPr>
        <w:spacing w:line="360" w:lineRule="auto"/>
        <w:rPr>
          <w:rFonts w:ascii="Times New Roman" w:hAnsi="Times New Roman" w:cs="Times New Roman"/>
          <w:b/>
          <w:sz w:val="24"/>
          <w:szCs w:val="24"/>
        </w:rPr>
      </w:pPr>
    </w:p>
    <w:p w14:paraId="1DE22059" w14:textId="77777777" w:rsidR="00492536" w:rsidRPr="00EC6C19" w:rsidRDefault="00492536" w:rsidP="001E2E10">
      <w:pPr>
        <w:spacing w:line="360" w:lineRule="auto"/>
        <w:rPr>
          <w:rFonts w:ascii="Times New Roman" w:hAnsi="Times New Roman" w:cs="Times New Roman"/>
          <w:sz w:val="24"/>
          <w:szCs w:val="24"/>
        </w:rPr>
      </w:pPr>
      <w:r w:rsidRPr="00EC6C19">
        <w:rPr>
          <w:rFonts w:ascii="Times New Roman" w:hAnsi="Times New Roman" w:cs="Times New Roman"/>
          <w:sz w:val="24"/>
          <w:szCs w:val="24"/>
        </w:rPr>
        <w:t>Fractional flow reserv</w:t>
      </w:r>
      <w:r w:rsidR="00D86C1D" w:rsidRPr="00EC6C19">
        <w:rPr>
          <w:rFonts w:ascii="Times New Roman" w:hAnsi="Times New Roman" w:cs="Times New Roman"/>
          <w:sz w:val="24"/>
          <w:szCs w:val="24"/>
        </w:rPr>
        <w:t xml:space="preserve">e across all arteries is summarised </w:t>
      </w:r>
      <w:r w:rsidR="00D86C1D" w:rsidRPr="008630EC">
        <w:rPr>
          <w:rFonts w:ascii="Times New Roman" w:hAnsi="Times New Roman" w:cs="Times New Roman"/>
          <w:sz w:val="24"/>
          <w:szCs w:val="24"/>
        </w:rPr>
        <w:t xml:space="preserve">in table </w:t>
      </w:r>
      <w:r w:rsidR="008630EC" w:rsidRPr="008630EC">
        <w:rPr>
          <w:rFonts w:ascii="Times New Roman" w:hAnsi="Times New Roman" w:cs="Times New Roman"/>
          <w:sz w:val="24"/>
          <w:szCs w:val="24"/>
        </w:rPr>
        <w:t>24</w:t>
      </w:r>
      <w:r w:rsidR="00267C74">
        <w:rPr>
          <w:rFonts w:ascii="Times New Roman" w:hAnsi="Times New Roman" w:cs="Times New Roman"/>
          <w:sz w:val="24"/>
          <w:szCs w:val="24"/>
        </w:rPr>
        <w:t xml:space="preserve"> and figure 41</w:t>
      </w:r>
      <w:r w:rsidR="00D86C1D" w:rsidRPr="00EC6C19">
        <w:rPr>
          <w:rFonts w:ascii="Times New Roman" w:hAnsi="Times New Roman" w:cs="Times New Roman"/>
          <w:sz w:val="24"/>
          <w:szCs w:val="24"/>
        </w:rPr>
        <w:t>. The</w:t>
      </w:r>
      <w:r w:rsidR="006B72EE" w:rsidRPr="00EC6C19">
        <w:rPr>
          <w:rFonts w:ascii="Times New Roman" w:hAnsi="Times New Roman" w:cs="Times New Roman"/>
          <w:sz w:val="24"/>
          <w:szCs w:val="24"/>
        </w:rPr>
        <w:t xml:space="preserve"> mean change in FFR was 0.06 (p &lt;0.0001). Superior vs. inferior FFR was 0.78 vs. 0.84 respectively. Each group of arteries was also statistically significant.</w:t>
      </w:r>
    </w:p>
    <w:p w14:paraId="06FFB2F4" w14:textId="77777777" w:rsidR="00492536" w:rsidRPr="00EC6C19" w:rsidRDefault="00492536" w:rsidP="001E2E10">
      <w:pPr>
        <w:spacing w:line="360" w:lineRule="auto"/>
        <w:rPr>
          <w:rFonts w:ascii="Times New Roman" w:hAnsi="Times New Roman" w:cs="Times New Roman"/>
          <w:b/>
          <w:sz w:val="24"/>
          <w:szCs w:val="24"/>
        </w:rPr>
      </w:pPr>
    </w:p>
    <w:tbl>
      <w:tblPr>
        <w:tblW w:w="0" w:type="auto"/>
        <w:tblLook w:val="04A0" w:firstRow="1" w:lastRow="0" w:firstColumn="1" w:lastColumn="0" w:noHBand="0" w:noVBand="1"/>
      </w:tblPr>
      <w:tblGrid>
        <w:gridCol w:w="1907"/>
        <w:gridCol w:w="1871"/>
        <w:gridCol w:w="1913"/>
        <w:gridCol w:w="1917"/>
        <w:gridCol w:w="1752"/>
      </w:tblGrid>
      <w:tr w:rsidR="00492536" w:rsidRPr="00EC6C19" w14:paraId="148ECEE6" w14:textId="77777777" w:rsidTr="00492536">
        <w:tc>
          <w:tcPr>
            <w:tcW w:w="1940" w:type="dxa"/>
            <w:tcBorders>
              <w:top w:val="single" w:sz="8" w:space="0" w:color="000000" w:themeColor="text1"/>
              <w:bottom w:val="single" w:sz="18" w:space="0" w:color="000000" w:themeColor="text1"/>
            </w:tcBorders>
            <w:shd w:val="clear" w:color="auto" w:fill="F2F2F2" w:themeFill="background1" w:themeFillShade="F2"/>
          </w:tcPr>
          <w:p w14:paraId="1A80EC19" w14:textId="77777777" w:rsidR="00492536" w:rsidRPr="00EC6C19" w:rsidRDefault="00492536" w:rsidP="00492536">
            <w:pPr>
              <w:spacing w:line="360" w:lineRule="auto"/>
              <w:jc w:val="center"/>
              <w:rPr>
                <w:rFonts w:ascii="Times New Roman" w:hAnsi="Times New Roman" w:cs="Times New Roman"/>
              </w:rPr>
            </w:pPr>
            <w:r w:rsidRPr="00EC6C19">
              <w:rPr>
                <w:rFonts w:ascii="Times New Roman" w:hAnsi="Times New Roman" w:cs="Times New Roman"/>
              </w:rPr>
              <w:t>Vessel (n)</w:t>
            </w:r>
          </w:p>
          <w:p w14:paraId="5EEE2A0F" w14:textId="77777777" w:rsidR="00492536" w:rsidRPr="00EC6C19" w:rsidRDefault="00492536" w:rsidP="00492536">
            <w:pPr>
              <w:spacing w:line="360" w:lineRule="auto"/>
              <w:jc w:val="center"/>
              <w:rPr>
                <w:rFonts w:ascii="Times New Roman" w:hAnsi="Times New Roman" w:cs="Times New Roman"/>
              </w:rPr>
            </w:pPr>
          </w:p>
        </w:tc>
        <w:tc>
          <w:tcPr>
            <w:tcW w:w="1929" w:type="dxa"/>
            <w:tcBorders>
              <w:top w:val="single" w:sz="8" w:space="0" w:color="000000" w:themeColor="text1"/>
              <w:bottom w:val="single" w:sz="18" w:space="0" w:color="000000" w:themeColor="text1"/>
            </w:tcBorders>
            <w:shd w:val="clear" w:color="auto" w:fill="F2F2F2" w:themeFill="background1" w:themeFillShade="F2"/>
          </w:tcPr>
          <w:p w14:paraId="71D07D61" w14:textId="3868A140" w:rsidR="00492536" w:rsidRPr="00EC6C19" w:rsidRDefault="00492536" w:rsidP="00492536">
            <w:pPr>
              <w:spacing w:line="360" w:lineRule="auto"/>
              <w:jc w:val="center"/>
              <w:rPr>
                <w:rFonts w:ascii="Times New Roman" w:hAnsi="Times New Roman" w:cs="Times New Roman"/>
              </w:rPr>
            </w:pPr>
            <w:r w:rsidRPr="00EC6C19">
              <w:rPr>
                <w:rFonts w:ascii="Times New Roman" w:hAnsi="Times New Roman" w:cs="Times New Roman"/>
              </w:rPr>
              <w:t>Prone FFR Mean (</w:t>
            </w:r>
            <w:r w:rsidR="00D97E85">
              <w:rPr>
                <w:rFonts w:ascii="Times New Roman" w:hAnsi="Times New Roman" w:cs="Times New Roman"/>
                <w:sz w:val="24"/>
                <w:szCs w:val="24"/>
              </w:rPr>
              <w:t>±</w:t>
            </w:r>
            <w:r w:rsidRPr="00EC6C19">
              <w:rPr>
                <w:rFonts w:ascii="Times New Roman" w:hAnsi="Times New Roman" w:cs="Times New Roman"/>
              </w:rPr>
              <w:t>SD)</w:t>
            </w:r>
          </w:p>
        </w:tc>
        <w:tc>
          <w:tcPr>
            <w:tcW w:w="1950" w:type="dxa"/>
            <w:tcBorders>
              <w:top w:val="single" w:sz="8" w:space="0" w:color="000000" w:themeColor="text1"/>
              <w:bottom w:val="single" w:sz="18" w:space="0" w:color="000000" w:themeColor="text1"/>
            </w:tcBorders>
            <w:shd w:val="clear" w:color="auto" w:fill="F2F2F2" w:themeFill="background1" w:themeFillShade="F2"/>
          </w:tcPr>
          <w:p w14:paraId="6666DCB6" w14:textId="698DD125" w:rsidR="00492536" w:rsidRPr="00EC6C19" w:rsidRDefault="00492536" w:rsidP="00492536">
            <w:pPr>
              <w:spacing w:line="360" w:lineRule="auto"/>
              <w:jc w:val="center"/>
              <w:rPr>
                <w:rFonts w:ascii="Times New Roman" w:hAnsi="Times New Roman" w:cs="Times New Roman"/>
              </w:rPr>
            </w:pPr>
            <w:r w:rsidRPr="00EC6C19">
              <w:rPr>
                <w:rFonts w:ascii="Times New Roman" w:hAnsi="Times New Roman" w:cs="Times New Roman"/>
              </w:rPr>
              <w:t>Supine FFR Mean (</w:t>
            </w:r>
            <w:r w:rsidR="00D97E85">
              <w:rPr>
                <w:rFonts w:ascii="Times New Roman" w:hAnsi="Times New Roman" w:cs="Times New Roman"/>
                <w:sz w:val="24"/>
                <w:szCs w:val="24"/>
              </w:rPr>
              <w:t>±</w:t>
            </w:r>
            <w:r w:rsidRPr="00EC6C19">
              <w:rPr>
                <w:rFonts w:ascii="Times New Roman" w:hAnsi="Times New Roman" w:cs="Times New Roman"/>
              </w:rPr>
              <w:t xml:space="preserve"> SD)</w:t>
            </w:r>
          </w:p>
        </w:tc>
        <w:tc>
          <w:tcPr>
            <w:tcW w:w="1972" w:type="dxa"/>
            <w:tcBorders>
              <w:top w:val="single" w:sz="8" w:space="0" w:color="000000" w:themeColor="text1"/>
              <w:bottom w:val="single" w:sz="18" w:space="0" w:color="000000" w:themeColor="text1"/>
            </w:tcBorders>
            <w:shd w:val="clear" w:color="auto" w:fill="F2F2F2" w:themeFill="background1" w:themeFillShade="F2"/>
          </w:tcPr>
          <w:p w14:paraId="132E104E" w14:textId="37F77E1A" w:rsidR="00492536" w:rsidRPr="00EC6C19" w:rsidRDefault="00492536" w:rsidP="00492536">
            <w:pPr>
              <w:spacing w:line="360" w:lineRule="auto"/>
              <w:jc w:val="center"/>
              <w:rPr>
                <w:rFonts w:ascii="Times New Roman" w:hAnsi="Times New Roman" w:cs="Times New Roman"/>
              </w:rPr>
            </w:pPr>
            <w:r w:rsidRPr="00EC6C19">
              <w:rPr>
                <w:rFonts w:ascii="Times New Roman" w:hAnsi="Times New Roman" w:cs="Times New Roman"/>
              </w:rPr>
              <w:t>Delta Change Mean (</w:t>
            </w:r>
            <w:r w:rsidR="00D97E85">
              <w:rPr>
                <w:rFonts w:ascii="Times New Roman" w:hAnsi="Times New Roman" w:cs="Times New Roman"/>
                <w:sz w:val="24"/>
                <w:szCs w:val="24"/>
              </w:rPr>
              <w:t>±</w:t>
            </w:r>
            <w:r w:rsidRPr="00EC6C19">
              <w:rPr>
                <w:rFonts w:ascii="Times New Roman" w:hAnsi="Times New Roman" w:cs="Times New Roman"/>
              </w:rPr>
              <w:t>SD)</w:t>
            </w:r>
          </w:p>
        </w:tc>
        <w:tc>
          <w:tcPr>
            <w:tcW w:w="1785" w:type="dxa"/>
            <w:tcBorders>
              <w:top w:val="single" w:sz="8" w:space="0" w:color="000000" w:themeColor="text1"/>
              <w:bottom w:val="single" w:sz="18" w:space="0" w:color="000000" w:themeColor="text1"/>
            </w:tcBorders>
            <w:shd w:val="clear" w:color="auto" w:fill="F2F2F2" w:themeFill="background1" w:themeFillShade="F2"/>
          </w:tcPr>
          <w:p w14:paraId="6934402C" w14:textId="77777777" w:rsidR="00492536" w:rsidRPr="00EC6C19" w:rsidRDefault="00492536" w:rsidP="00492536">
            <w:pPr>
              <w:spacing w:line="360" w:lineRule="auto"/>
              <w:jc w:val="center"/>
              <w:rPr>
                <w:rFonts w:ascii="Times New Roman" w:hAnsi="Times New Roman" w:cs="Times New Roman"/>
              </w:rPr>
            </w:pPr>
            <w:r w:rsidRPr="00EC6C19">
              <w:rPr>
                <w:rFonts w:ascii="Times New Roman" w:hAnsi="Times New Roman" w:cs="Times New Roman"/>
              </w:rPr>
              <w:t>P Value</w:t>
            </w:r>
          </w:p>
        </w:tc>
      </w:tr>
      <w:tr w:rsidR="00492536" w:rsidRPr="00EC6C19" w14:paraId="0AC6F6E2" w14:textId="77777777" w:rsidTr="00492536">
        <w:tc>
          <w:tcPr>
            <w:tcW w:w="1940" w:type="dxa"/>
            <w:tcBorders>
              <w:top w:val="single" w:sz="18" w:space="0" w:color="000000" w:themeColor="text1"/>
            </w:tcBorders>
          </w:tcPr>
          <w:p w14:paraId="45A40B25"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LAD (10)</w:t>
            </w:r>
          </w:p>
          <w:p w14:paraId="414C701F" w14:textId="77777777" w:rsidR="00492536" w:rsidRPr="00EC6C19" w:rsidRDefault="00492536" w:rsidP="00492536">
            <w:pPr>
              <w:spacing w:line="360" w:lineRule="auto"/>
              <w:jc w:val="center"/>
              <w:rPr>
                <w:rFonts w:ascii="Times New Roman" w:hAnsi="Times New Roman" w:cs="Times New Roman"/>
                <w:sz w:val="24"/>
                <w:szCs w:val="24"/>
              </w:rPr>
            </w:pPr>
          </w:p>
        </w:tc>
        <w:tc>
          <w:tcPr>
            <w:tcW w:w="1929" w:type="dxa"/>
            <w:tcBorders>
              <w:top w:val="single" w:sz="18" w:space="0" w:color="000000" w:themeColor="text1"/>
            </w:tcBorders>
            <w:shd w:val="clear" w:color="auto" w:fill="FFFFFF" w:themeFill="background1"/>
          </w:tcPr>
          <w:p w14:paraId="2C761B65"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 (0.11)</w:t>
            </w:r>
          </w:p>
        </w:tc>
        <w:tc>
          <w:tcPr>
            <w:tcW w:w="1950" w:type="dxa"/>
            <w:tcBorders>
              <w:top w:val="single" w:sz="18" w:space="0" w:color="000000" w:themeColor="text1"/>
            </w:tcBorders>
            <w:shd w:val="clear" w:color="auto" w:fill="FFFFFF" w:themeFill="background1"/>
          </w:tcPr>
          <w:p w14:paraId="4A05CC21"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0.77 (0.14)</w:t>
            </w:r>
          </w:p>
        </w:tc>
        <w:tc>
          <w:tcPr>
            <w:tcW w:w="1972" w:type="dxa"/>
            <w:tcBorders>
              <w:top w:val="single" w:sz="18" w:space="0" w:color="000000" w:themeColor="text1"/>
            </w:tcBorders>
            <w:shd w:val="clear" w:color="auto" w:fill="FFFFFF" w:themeFill="background1"/>
          </w:tcPr>
          <w:p w14:paraId="5B74F10B"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0.09 (0.07)</w:t>
            </w:r>
          </w:p>
        </w:tc>
        <w:tc>
          <w:tcPr>
            <w:tcW w:w="1785" w:type="dxa"/>
            <w:tcBorders>
              <w:top w:val="single" w:sz="18" w:space="0" w:color="000000" w:themeColor="text1"/>
              <w:right w:val="nil"/>
            </w:tcBorders>
            <w:shd w:val="clear" w:color="auto" w:fill="FFFFFF" w:themeFill="background1"/>
          </w:tcPr>
          <w:p w14:paraId="305011C8"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0.003*</w:t>
            </w:r>
          </w:p>
        </w:tc>
      </w:tr>
      <w:tr w:rsidR="00492536" w:rsidRPr="00EC6C19" w14:paraId="0390A5AC" w14:textId="77777777" w:rsidTr="00492536">
        <w:tc>
          <w:tcPr>
            <w:tcW w:w="1940" w:type="dxa"/>
          </w:tcPr>
          <w:p w14:paraId="0DF9EBAF"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Circumflex (7)</w:t>
            </w:r>
          </w:p>
          <w:p w14:paraId="47D3592A" w14:textId="77777777" w:rsidR="00492536" w:rsidRPr="00EC6C19" w:rsidRDefault="00492536" w:rsidP="00492536">
            <w:pPr>
              <w:spacing w:line="360" w:lineRule="auto"/>
              <w:jc w:val="center"/>
              <w:rPr>
                <w:rFonts w:ascii="Times New Roman" w:hAnsi="Times New Roman" w:cs="Times New Roman"/>
                <w:sz w:val="24"/>
                <w:szCs w:val="24"/>
              </w:rPr>
            </w:pPr>
          </w:p>
        </w:tc>
        <w:tc>
          <w:tcPr>
            <w:tcW w:w="1929" w:type="dxa"/>
            <w:shd w:val="clear" w:color="auto" w:fill="FFFFFF" w:themeFill="background1"/>
          </w:tcPr>
          <w:p w14:paraId="121069C4"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0.82 (0.06)</w:t>
            </w:r>
          </w:p>
        </w:tc>
        <w:tc>
          <w:tcPr>
            <w:tcW w:w="1950" w:type="dxa"/>
            <w:shd w:val="clear" w:color="auto" w:fill="FFFFFF" w:themeFill="background1"/>
          </w:tcPr>
          <w:p w14:paraId="1AB63EF3"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0.87 (0.07)</w:t>
            </w:r>
          </w:p>
        </w:tc>
        <w:tc>
          <w:tcPr>
            <w:tcW w:w="1972" w:type="dxa"/>
            <w:shd w:val="clear" w:color="auto" w:fill="FFFFFF" w:themeFill="background1"/>
          </w:tcPr>
          <w:p w14:paraId="5C99B356"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 (0.03)</w:t>
            </w:r>
          </w:p>
        </w:tc>
        <w:tc>
          <w:tcPr>
            <w:tcW w:w="1785" w:type="dxa"/>
            <w:tcBorders>
              <w:right w:val="nil"/>
            </w:tcBorders>
            <w:shd w:val="clear" w:color="auto" w:fill="FFFFFF" w:themeFill="background1"/>
          </w:tcPr>
          <w:p w14:paraId="0F81D9E3"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0.006*</w:t>
            </w:r>
          </w:p>
        </w:tc>
      </w:tr>
      <w:tr w:rsidR="00492536" w:rsidRPr="00EC6C19" w14:paraId="3967F946" w14:textId="77777777" w:rsidTr="00492536">
        <w:tc>
          <w:tcPr>
            <w:tcW w:w="1940" w:type="dxa"/>
          </w:tcPr>
          <w:p w14:paraId="5F30608B"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RCA-PDA(2)</w:t>
            </w:r>
          </w:p>
          <w:p w14:paraId="5DF4A304" w14:textId="77777777" w:rsidR="00492536" w:rsidRPr="00EC6C19" w:rsidRDefault="00492536" w:rsidP="00492536">
            <w:pPr>
              <w:spacing w:line="360" w:lineRule="auto"/>
              <w:jc w:val="center"/>
              <w:rPr>
                <w:rFonts w:ascii="Times New Roman" w:hAnsi="Times New Roman" w:cs="Times New Roman"/>
                <w:sz w:val="24"/>
                <w:szCs w:val="24"/>
              </w:rPr>
            </w:pPr>
          </w:p>
        </w:tc>
        <w:tc>
          <w:tcPr>
            <w:tcW w:w="1929" w:type="dxa"/>
            <w:shd w:val="clear" w:color="auto" w:fill="FFFFFF" w:themeFill="background1"/>
          </w:tcPr>
          <w:p w14:paraId="0D1EA739"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0.75 (0.10)</w:t>
            </w:r>
          </w:p>
        </w:tc>
        <w:tc>
          <w:tcPr>
            <w:tcW w:w="1950" w:type="dxa"/>
            <w:shd w:val="clear" w:color="auto" w:fill="FFFFFF" w:themeFill="background1"/>
          </w:tcPr>
          <w:p w14:paraId="6C01F638"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0.69(0.10)</w:t>
            </w:r>
          </w:p>
        </w:tc>
        <w:tc>
          <w:tcPr>
            <w:tcW w:w="1972" w:type="dxa"/>
            <w:shd w:val="clear" w:color="auto" w:fill="FFFFFF" w:themeFill="background1"/>
          </w:tcPr>
          <w:p w14:paraId="224FAB3F"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 (0.02)</w:t>
            </w:r>
          </w:p>
        </w:tc>
        <w:tc>
          <w:tcPr>
            <w:tcW w:w="1785" w:type="dxa"/>
            <w:vMerge w:val="restart"/>
            <w:tcBorders>
              <w:right w:val="nil"/>
            </w:tcBorders>
            <w:shd w:val="clear" w:color="auto" w:fill="FFFFFF" w:themeFill="background1"/>
          </w:tcPr>
          <w:p w14:paraId="65694EC0" w14:textId="77777777" w:rsidR="00492536" w:rsidRPr="00EC6C19" w:rsidRDefault="00492536" w:rsidP="00492536">
            <w:pPr>
              <w:spacing w:line="360" w:lineRule="auto"/>
              <w:jc w:val="center"/>
              <w:rPr>
                <w:rFonts w:ascii="Times New Roman" w:hAnsi="Times New Roman" w:cs="Times New Roman"/>
                <w:sz w:val="24"/>
                <w:szCs w:val="24"/>
              </w:rPr>
            </w:pPr>
          </w:p>
          <w:p w14:paraId="13FF04CD"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0.004*</w:t>
            </w:r>
          </w:p>
        </w:tc>
      </w:tr>
      <w:tr w:rsidR="00492536" w:rsidRPr="00EC6C19" w14:paraId="0B0A433E" w14:textId="77777777" w:rsidTr="00492536">
        <w:tc>
          <w:tcPr>
            <w:tcW w:w="1940" w:type="dxa"/>
          </w:tcPr>
          <w:p w14:paraId="64D2D33C"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RCA-PLV (4)</w:t>
            </w:r>
          </w:p>
          <w:p w14:paraId="06FE98B7" w14:textId="77777777" w:rsidR="00492536" w:rsidRPr="00EC6C19" w:rsidRDefault="00492536" w:rsidP="00492536">
            <w:pPr>
              <w:spacing w:line="360" w:lineRule="auto"/>
              <w:jc w:val="center"/>
              <w:rPr>
                <w:rFonts w:ascii="Times New Roman" w:hAnsi="Times New Roman" w:cs="Times New Roman"/>
                <w:sz w:val="24"/>
                <w:szCs w:val="24"/>
              </w:rPr>
            </w:pPr>
          </w:p>
        </w:tc>
        <w:tc>
          <w:tcPr>
            <w:tcW w:w="1929" w:type="dxa"/>
            <w:tcBorders>
              <w:bottom w:val="nil"/>
            </w:tcBorders>
            <w:shd w:val="clear" w:color="auto" w:fill="FFFFFF" w:themeFill="background1"/>
          </w:tcPr>
          <w:p w14:paraId="703557E1"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0.82 (0.10)</w:t>
            </w:r>
          </w:p>
        </w:tc>
        <w:tc>
          <w:tcPr>
            <w:tcW w:w="1950" w:type="dxa"/>
            <w:tcBorders>
              <w:bottom w:val="nil"/>
            </w:tcBorders>
            <w:shd w:val="clear" w:color="auto" w:fill="FFFFFF" w:themeFill="background1"/>
          </w:tcPr>
          <w:p w14:paraId="497943CE"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 (0.08)</w:t>
            </w:r>
          </w:p>
        </w:tc>
        <w:tc>
          <w:tcPr>
            <w:tcW w:w="1972" w:type="dxa"/>
            <w:tcBorders>
              <w:bottom w:val="nil"/>
            </w:tcBorders>
            <w:shd w:val="clear" w:color="auto" w:fill="FFFFFF" w:themeFill="background1"/>
          </w:tcPr>
          <w:p w14:paraId="4C2B136C"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0.04 (0.03)</w:t>
            </w:r>
          </w:p>
        </w:tc>
        <w:tc>
          <w:tcPr>
            <w:tcW w:w="1785" w:type="dxa"/>
            <w:vMerge/>
            <w:tcBorders>
              <w:bottom w:val="nil"/>
              <w:right w:val="nil"/>
            </w:tcBorders>
            <w:shd w:val="clear" w:color="auto" w:fill="FFFFFF" w:themeFill="background1"/>
          </w:tcPr>
          <w:p w14:paraId="2B94EB0E" w14:textId="77777777" w:rsidR="00492536" w:rsidRPr="00EC6C19" w:rsidRDefault="00492536" w:rsidP="00492536">
            <w:pPr>
              <w:spacing w:line="360" w:lineRule="auto"/>
              <w:jc w:val="center"/>
              <w:rPr>
                <w:rFonts w:ascii="Times New Roman" w:hAnsi="Times New Roman" w:cs="Times New Roman"/>
                <w:i/>
                <w:sz w:val="24"/>
                <w:szCs w:val="24"/>
              </w:rPr>
            </w:pPr>
          </w:p>
        </w:tc>
      </w:tr>
      <w:tr w:rsidR="00492536" w:rsidRPr="00EC6C19" w14:paraId="6490A3EB" w14:textId="77777777" w:rsidTr="00492536">
        <w:tc>
          <w:tcPr>
            <w:tcW w:w="1940" w:type="dxa"/>
            <w:tcBorders>
              <w:bottom w:val="single" w:sz="8" w:space="0" w:color="000000" w:themeColor="text1"/>
            </w:tcBorders>
          </w:tcPr>
          <w:p w14:paraId="23C25C1F" w14:textId="647DAB05"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All</w:t>
            </w:r>
            <w:r w:rsidR="00596B9E" w:rsidRPr="00EC6C19">
              <w:rPr>
                <w:rFonts w:ascii="Times New Roman" w:hAnsi="Times New Roman" w:cs="Times New Roman"/>
                <w:sz w:val="24"/>
                <w:szCs w:val="24"/>
              </w:rPr>
              <w:t xml:space="preserve"> (</w:t>
            </w:r>
            <w:r w:rsidR="00D97E85">
              <w:rPr>
                <w:rFonts w:ascii="Times New Roman" w:hAnsi="Times New Roman" w:cs="Times New Roman"/>
                <w:sz w:val="24"/>
                <w:szCs w:val="24"/>
              </w:rPr>
              <w:t>±</w:t>
            </w:r>
            <w:r w:rsidR="00596B9E" w:rsidRPr="00EC6C19">
              <w:rPr>
                <w:rFonts w:ascii="Times New Roman" w:hAnsi="Times New Roman" w:cs="Times New Roman"/>
                <w:sz w:val="24"/>
                <w:szCs w:val="24"/>
              </w:rPr>
              <w:t xml:space="preserve"> SD)</w:t>
            </w:r>
            <w:r w:rsidRPr="00EC6C19">
              <w:rPr>
                <w:rFonts w:ascii="Times New Roman" w:hAnsi="Times New Roman" w:cs="Times New Roman"/>
                <w:sz w:val="24"/>
                <w:szCs w:val="24"/>
              </w:rPr>
              <w:t xml:space="preserve"> (23)</w:t>
            </w:r>
          </w:p>
          <w:p w14:paraId="7254C662" w14:textId="77777777" w:rsidR="00492536" w:rsidRPr="00EC6C19" w:rsidRDefault="00492536" w:rsidP="00492536">
            <w:pPr>
              <w:spacing w:line="360" w:lineRule="auto"/>
              <w:jc w:val="center"/>
              <w:rPr>
                <w:rFonts w:ascii="Times New Roman" w:hAnsi="Times New Roman" w:cs="Times New Roman"/>
                <w:sz w:val="24"/>
                <w:szCs w:val="24"/>
              </w:rPr>
            </w:pPr>
          </w:p>
        </w:tc>
        <w:tc>
          <w:tcPr>
            <w:tcW w:w="1929" w:type="dxa"/>
            <w:tcBorders>
              <w:bottom w:val="single" w:sz="8" w:space="0" w:color="000000" w:themeColor="text1"/>
            </w:tcBorders>
            <w:shd w:val="clear" w:color="auto" w:fill="FFFFFF" w:themeFill="background1"/>
          </w:tcPr>
          <w:p w14:paraId="394B957D"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w:t>
            </w:r>
          </w:p>
        </w:tc>
        <w:tc>
          <w:tcPr>
            <w:tcW w:w="1950" w:type="dxa"/>
            <w:tcBorders>
              <w:bottom w:val="single" w:sz="8" w:space="0" w:color="000000" w:themeColor="text1"/>
            </w:tcBorders>
            <w:shd w:val="clear" w:color="auto" w:fill="FFFFFF" w:themeFill="background1"/>
          </w:tcPr>
          <w:p w14:paraId="23B2A7DD"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w:t>
            </w:r>
          </w:p>
        </w:tc>
        <w:tc>
          <w:tcPr>
            <w:tcW w:w="1972" w:type="dxa"/>
            <w:tcBorders>
              <w:bottom w:val="single" w:sz="8" w:space="0" w:color="000000" w:themeColor="text1"/>
            </w:tcBorders>
            <w:shd w:val="clear" w:color="auto" w:fill="FFFFFF" w:themeFill="background1"/>
          </w:tcPr>
          <w:p w14:paraId="17DE9FC1"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w:t>
            </w:r>
            <w:r w:rsidR="00596B9E" w:rsidRPr="00EC6C19">
              <w:rPr>
                <w:rFonts w:ascii="Times New Roman" w:hAnsi="Times New Roman" w:cs="Times New Roman"/>
                <w:sz w:val="24"/>
                <w:szCs w:val="24"/>
              </w:rPr>
              <w:t xml:space="preserve"> (0.04)</w:t>
            </w:r>
          </w:p>
        </w:tc>
        <w:tc>
          <w:tcPr>
            <w:tcW w:w="1785" w:type="dxa"/>
            <w:tcBorders>
              <w:bottom w:val="single" w:sz="8" w:space="0" w:color="000000" w:themeColor="text1"/>
              <w:right w:val="nil"/>
            </w:tcBorders>
            <w:shd w:val="clear" w:color="auto" w:fill="FFFFFF" w:themeFill="background1"/>
          </w:tcPr>
          <w:p w14:paraId="52A37A1E" w14:textId="77777777" w:rsidR="00492536" w:rsidRPr="00EC6C19" w:rsidRDefault="00492536" w:rsidP="00492536">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&lt;0.0001*</w:t>
            </w:r>
          </w:p>
        </w:tc>
      </w:tr>
    </w:tbl>
    <w:p w14:paraId="1BED521A" w14:textId="77777777" w:rsidR="00492536" w:rsidRPr="00EC6C19" w:rsidRDefault="00492536" w:rsidP="00492536">
      <w:pPr>
        <w:spacing w:line="360" w:lineRule="auto"/>
        <w:rPr>
          <w:rFonts w:ascii="Times New Roman" w:hAnsi="Times New Roman" w:cs="Times New Roman"/>
          <w:i/>
          <w:sz w:val="24"/>
          <w:szCs w:val="24"/>
        </w:rPr>
      </w:pPr>
    </w:p>
    <w:p w14:paraId="7A738037" w14:textId="77777777" w:rsidR="006B72EE" w:rsidRPr="008630EC" w:rsidRDefault="008630EC" w:rsidP="008630EC">
      <w:pPr>
        <w:pStyle w:val="Caption"/>
        <w:spacing w:line="360" w:lineRule="auto"/>
        <w:rPr>
          <w:rFonts w:ascii="Times New Roman" w:hAnsi="Times New Roman" w:cs="Times New Roman"/>
          <w:b w:val="0"/>
          <w:i/>
          <w:color w:val="auto"/>
          <w:sz w:val="24"/>
          <w:szCs w:val="24"/>
        </w:rPr>
      </w:pPr>
      <w:bookmarkStart w:id="175" w:name="_Toc44962600"/>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24</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Prone vs. Supine FFR. </w:t>
      </w:r>
      <w:r w:rsidR="00492536" w:rsidRPr="008630EC">
        <w:rPr>
          <w:rFonts w:ascii="Times New Roman" w:hAnsi="Times New Roman" w:cs="Times New Roman"/>
          <w:b w:val="0"/>
          <w:i/>
          <w:color w:val="auto"/>
          <w:sz w:val="24"/>
          <w:szCs w:val="24"/>
        </w:rPr>
        <w:t>Prone mean FFR and supine mean FFR with the delta change and standard deviation. * represent statistical significance.</w:t>
      </w:r>
      <w:bookmarkEnd w:id="175"/>
      <w:r w:rsidR="00492536" w:rsidRPr="008630EC">
        <w:rPr>
          <w:rFonts w:ascii="Times New Roman" w:hAnsi="Times New Roman" w:cs="Times New Roman"/>
          <w:b w:val="0"/>
          <w:i/>
          <w:color w:val="auto"/>
          <w:sz w:val="24"/>
          <w:szCs w:val="24"/>
        </w:rPr>
        <w:t xml:space="preserve"> </w:t>
      </w:r>
    </w:p>
    <w:p w14:paraId="3C0AB6D7" w14:textId="77777777" w:rsidR="006B72EE" w:rsidRPr="00EC6C19" w:rsidRDefault="006B72EE" w:rsidP="006B72EE">
      <w:pPr>
        <w:spacing w:line="360" w:lineRule="auto"/>
        <w:rPr>
          <w:rFonts w:ascii="Times New Roman" w:hAnsi="Times New Roman" w:cs="Times New Roman"/>
          <w:i/>
          <w:sz w:val="24"/>
          <w:szCs w:val="24"/>
        </w:rPr>
      </w:pPr>
    </w:p>
    <w:p w14:paraId="02152F80" w14:textId="77777777" w:rsidR="006B72EE" w:rsidRPr="00EC6C19" w:rsidRDefault="006B72EE" w:rsidP="006B72EE">
      <w:pPr>
        <w:spacing w:line="360" w:lineRule="auto"/>
        <w:ind w:left="-737"/>
        <w:rPr>
          <w:rFonts w:ascii="Times New Roman" w:hAnsi="Times New Roman" w:cs="Times New Roman"/>
          <w:i/>
          <w:sz w:val="24"/>
          <w:szCs w:val="24"/>
        </w:rPr>
      </w:pPr>
    </w:p>
    <w:p w14:paraId="01CBE95E" w14:textId="77777777" w:rsidR="00F534CC" w:rsidRPr="00EC6C19" w:rsidRDefault="00F534CC" w:rsidP="00F534CC">
      <w:pPr>
        <w:spacing w:line="360" w:lineRule="auto"/>
        <w:rPr>
          <w:rFonts w:ascii="Times New Roman" w:hAnsi="Times New Roman" w:cs="Times New Roman"/>
          <w:i/>
          <w:sz w:val="24"/>
          <w:szCs w:val="24"/>
        </w:rPr>
      </w:pPr>
      <w:r w:rsidRPr="00EC6C19">
        <w:rPr>
          <w:rFonts w:ascii="Times New Roman" w:hAnsi="Times New Roman" w:cs="Times New Roman"/>
          <w:i/>
          <w:noProof/>
          <w:sz w:val="24"/>
          <w:szCs w:val="24"/>
          <w:lang w:eastAsia="en-GB"/>
        </w:rPr>
        <w:drawing>
          <wp:inline distT="0" distB="0" distL="0" distR="0" wp14:anchorId="248234B3" wp14:editId="322C8AFC">
            <wp:extent cx="5943600" cy="4121652"/>
            <wp:effectExtent l="0" t="0" r="0" b="0"/>
            <wp:docPr id="3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6C4608B" w14:textId="77777777" w:rsidR="006B72EE" w:rsidRPr="00267C74" w:rsidRDefault="00267C74" w:rsidP="00267C74">
      <w:pPr>
        <w:pStyle w:val="Caption"/>
        <w:spacing w:line="360" w:lineRule="auto"/>
        <w:rPr>
          <w:rFonts w:ascii="Times New Roman" w:hAnsi="Times New Roman" w:cs="Times New Roman"/>
          <w:b w:val="0"/>
          <w:i/>
          <w:color w:val="auto"/>
          <w:sz w:val="24"/>
          <w:szCs w:val="24"/>
        </w:rPr>
      </w:pPr>
      <w:bookmarkStart w:id="176" w:name="_Toc44684930"/>
      <w:r w:rsidRPr="00267C74">
        <w:rPr>
          <w:rFonts w:ascii="Times New Roman" w:hAnsi="Times New Roman" w:cs="Times New Roman"/>
          <w:b w:val="0"/>
          <w:i/>
          <w:color w:val="auto"/>
          <w:sz w:val="24"/>
          <w:szCs w:val="24"/>
        </w:rPr>
        <w:t xml:space="preserve">Figure </w:t>
      </w:r>
      <w:r w:rsidR="00106A32" w:rsidRPr="00267C74">
        <w:rPr>
          <w:rFonts w:ascii="Times New Roman" w:hAnsi="Times New Roman" w:cs="Times New Roman"/>
          <w:b w:val="0"/>
          <w:i/>
          <w:color w:val="auto"/>
          <w:sz w:val="24"/>
          <w:szCs w:val="24"/>
        </w:rPr>
        <w:fldChar w:fldCharType="begin"/>
      </w:r>
      <w:r w:rsidRPr="00267C74">
        <w:rPr>
          <w:rFonts w:ascii="Times New Roman" w:hAnsi="Times New Roman" w:cs="Times New Roman"/>
          <w:b w:val="0"/>
          <w:i/>
          <w:color w:val="auto"/>
          <w:sz w:val="24"/>
          <w:szCs w:val="24"/>
        </w:rPr>
        <w:instrText xml:space="preserve"> SEQ Figure \* ARABIC </w:instrText>
      </w:r>
      <w:r w:rsidR="00106A32" w:rsidRPr="00267C74">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41</w:t>
      </w:r>
      <w:r w:rsidR="00106A32" w:rsidRPr="00267C74">
        <w:rPr>
          <w:rFonts w:ascii="Times New Roman" w:hAnsi="Times New Roman" w:cs="Times New Roman"/>
          <w:b w:val="0"/>
          <w:i/>
          <w:color w:val="auto"/>
          <w:sz w:val="24"/>
          <w:szCs w:val="24"/>
        </w:rPr>
        <w:fldChar w:fldCharType="end"/>
      </w:r>
      <w:r w:rsidRPr="00267C74">
        <w:rPr>
          <w:rFonts w:ascii="Times New Roman" w:hAnsi="Times New Roman" w:cs="Times New Roman"/>
          <w:b w:val="0"/>
          <w:i/>
          <w:color w:val="auto"/>
          <w:sz w:val="24"/>
          <w:szCs w:val="24"/>
        </w:rPr>
        <w:t xml:space="preserve"> -FFR Delta Change - Superior vs. Inferior.</w:t>
      </w:r>
      <w:r w:rsidR="00E80F29" w:rsidRPr="00267C74">
        <w:rPr>
          <w:rFonts w:ascii="Times New Roman" w:hAnsi="Times New Roman" w:cs="Times New Roman"/>
          <w:b w:val="0"/>
          <w:i/>
          <w:color w:val="auto"/>
          <w:sz w:val="24"/>
          <w:szCs w:val="24"/>
        </w:rPr>
        <w:t xml:space="preserve"> Mean values are in red. Results were statistically significant -</w:t>
      </w:r>
      <w:r w:rsidR="006B72EE" w:rsidRPr="00267C74">
        <w:rPr>
          <w:rFonts w:ascii="Times New Roman" w:hAnsi="Times New Roman" w:cs="Times New Roman"/>
          <w:b w:val="0"/>
          <w:i/>
          <w:color w:val="auto"/>
          <w:sz w:val="24"/>
          <w:szCs w:val="24"/>
        </w:rPr>
        <w:t xml:space="preserve"> p=&lt;0.0001.</w:t>
      </w:r>
      <w:bookmarkEnd w:id="176"/>
      <w:r w:rsidR="006B72EE" w:rsidRPr="00267C74">
        <w:rPr>
          <w:rFonts w:ascii="Times New Roman" w:hAnsi="Times New Roman" w:cs="Times New Roman"/>
          <w:b w:val="0"/>
          <w:i/>
          <w:color w:val="auto"/>
          <w:sz w:val="24"/>
          <w:szCs w:val="24"/>
        </w:rPr>
        <w:t xml:space="preserve"> </w:t>
      </w:r>
    </w:p>
    <w:p w14:paraId="36B8711C" w14:textId="77777777" w:rsidR="006B72EE" w:rsidRPr="00EC6C19" w:rsidRDefault="006B72EE" w:rsidP="00492536">
      <w:pPr>
        <w:spacing w:line="360" w:lineRule="auto"/>
        <w:rPr>
          <w:rFonts w:ascii="Times New Roman" w:hAnsi="Times New Roman" w:cs="Times New Roman"/>
          <w:i/>
          <w:sz w:val="24"/>
          <w:szCs w:val="24"/>
        </w:rPr>
      </w:pPr>
    </w:p>
    <w:p w14:paraId="5CD80F5D" w14:textId="77777777" w:rsidR="00492536" w:rsidRPr="00EC6C19" w:rsidRDefault="00492536" w:rsidP="001E2E10">
      <w:pPr>
        <w:spacing w:line="360" w:lineRule="auto"/>
        <w:rPr>
          <w:rFonts w:ascii="Times New Roman" w:hAnsi="Times New Roman" w:cs="Times New Roman"/>
          <w:i/>
          <w:sz w:val="24"/>
          <w:szCs w:val="24"/>
          <w:u w:val="single"/>
        </w:rPr>
      </w:pPr>
    </w:p>
    <w:p w14:paraId="67D24264" w14:textId="77777777" w:rsidR="00EE56BD" w:rsidRPr="00EC6C19" w:rsidRDefault="002D232F" w:rsidP="00E84B08">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Left Anterior Descending Artery</w:t>
      </w:r>
    </w:p>
    <w:p w14:paraId="0849EDD8" w14:textId="77777777" w:rsidR="00E84B08" w:rsidRPr="00EC6C19" w:rsidRDefault="00E84B08" w:rsidP="00E84B08">
      <w:pPr>
        <w:spacing w:line="360" w:lineRule="auto"/>
        <w:rPr>
          <w:rFonts w:ascii="Times New Roman" w:hAnsi="Times New Roman" w:cs="Times New Roman"/>
          <w:i/>
          <w:sz w:val="24"/>
          <w:szCs w:val="24"/>
          <w:u w:val="single"/>
        </w:rPr>
      </w:pPr>
    </w:p>
    <w:p w14:paraId="17362015" w14:textId="77777777" w:rsidR="006B72EE" w:rsidRDefault="006B72EE" w:rsidP="00E84B08">
      <w:pPr>
        <w:spacing w:line="360" w:lineRule="auto"/>
        <w:rPr>
          <w:rFonts w:ascii="Times New Roman" w:hAnsi="Times New Roman" w:cs="Times New Roman"/>
          <w:sz w:val="24"/>
          <w:szCs w:val="24"/>
        </w:rPr>
      </w:pPr>
      <w:r w:rsidRPr="00EC6C19">
        <w:rPr>
          <w:rFonts w:ascii="Times New Roman" w:hAnsi="Times New Roman" w:cs="Times New Roman"/>
          <w:sz w:val="24"/>
          <w:szCs w:val="24"/>
        </w:rPr>
        <w:t>In the LAD,  mean prone versus supine FFR was 0.86 vs. 0.77 respectively. The delta change of 0.09 was significant.</w:t>
      </w:r>
      <w:r w:rsidR="00551DF2" w:rsidRPr="00EC6C19">
        <w:rPr>
          <w:rFonts w:ascii="Times New Roman" w:hAnsi="Times New Roman" w:cs="Times New Roman"/>
          <w:sz w:val="24"/>
          <w:szCs w:val="24"/>
        </w:rPr>
        <w:t xml:space="preserve"> </w:t>
      </w:r>
      <w:r w:rsidR="00551DF2" w:rsidRPr="00EC6C19">
        <w:rPr>
          <w:rFonts w:ascii="Times New Roman" w:hAnsi="Times New Roman" w:cs="Times New Roman"/>
          <w:color w:val="FF0000"/>
          <w:sz w:val="24"/>
          <w:szCs w:val="24"/>
        </w:rPr>
        <w:t xml:space="preserve">Table </w:t>
      </w:r>
      <w:r w:rsidR="008630EC">
        <w:rPr>
          <w:rFonts w:ascii="Times New Roman" w:hAnsi="Times New Roman" w:cs="Times New Roman"/>
          <w:color w:val="FF0000"/>
          <w:sz w:val="24"/>
          <w:szCs w:val="24"/>
        </w:rPr>
        <w:t>25</w:t>
      </w:r>
      <w:r w:rsidR="00551DF2" w:rsidRPr="00EC6C19">
        <w:rPr>
          <w:rFonts w:ascii="Times New Roman" w:hAnsi="Times New Roman" w:cs="Times New Roman"/>
          <w:color w:val="FF0000"/>
          <w:sz w:val="24"/>
          <w:szCs w:val="24"/>
        </w:rPr>
        <w:t xml:space="preserve"> </w:t>
      </w:r>
      <w:r w:rsidR="00551DF2" w:rsidRPr="00267C74">
        <w:rPr>
          <w:rFonts w:ascii="Times New Roman" w:hAnsi="Times New Roman" w:cs="Times New Roman"/>
          <w:sz w:val="24"/>
          <w:szCs w:val="24"/>
        </w:rPr>
        <w:t xml:space="preserve">and figure </w:t>
      </w:r>
      <w:r w:rsidR="00267C74" w:rsidRPr="00267C74">
        <w:rPr>
          <w:rFonts w:ascii="Times New Roman" w:hAnsi="Times New Roman" w:cs="Times New Roman"/>
          <w:sz w:val="24"/>
          <w:szCs w:val="24"/>
        </w:rPr>
        <w:t>42</w:t>
      </w:r>
      <w:r w:rsidR="00551DF2" w:rsidRPr="00267C74">
        <w:rPr>
          <w:rFonts w:ascii="Times New Roman" w:hAnsi="Times New Roman" w:cs="Times New Roman"/>
          <w:sz w:val="24"/>
          <w:szCs w:val="24"/>
        </w:rPr>
        <w:t xml:space="preserve"> summarise the results.</w:t>
      </w:r>
    </w:p>
    <w:p w14:paraId="12798A57" w14:textId="77777777" w:rsidR="00CE002A" w:rsidRPr="00267C74" w:rsidRDefault="00CE002A" w:rsidP="00E84B08">
      <w:pPr>
        <w:spacing w:line="360" w:lineRule="auto"/>
        <w:rPr>
          <w:rFonts w:ascii="Times New Roman" w:hAnsi="Times New Roman" w:cs="Times New Roman"/>
          <w:sz w:val="24"/>
          <w:szCs w:val="24"/>
        </w:rPr>
      </w:pPr>
    </w:p>
    <w:p w14:paraId="5BBCF4BC" w14:textId="77777777" w:rsidR="00E84B08" w:rsidRPr="00EC6C19" w:rsidRDefault="001074F7" w:rsidP="00E84B08">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 </w:t>
      </w:r>
    </w:p>
    <w:tbl>
      <w:tblPr>
        <w:tblW w:w="0" w:type="auto"/>
        <w:tblLook w:val="04A0" w:firstRow="1" w:lastRow="0" w:firstColumn="1" w:lastColumn="0" w:noHBand="0" w:noVBand="1"/>
      </w:tblPr>
      <w:tblGrid>
        <w:gridCol w:w="1905"/>
        <w:gridCol w:w="2075"/>
        <w:gridCol w:w="1666"/>
        <w:gridCol w:w="2348"/>
        <w:gridCol w:w="1366"/>
      </w:tblGrid>
      <w:tr w:rsidR="00551DF2" w:rsidRPr="00EC6C19" w14:paraId="5AB9DAA4" w14:textId="77777777" w:rsidTr="00551DF2">
        <w:tc>
          <w:tcPr>
            <w:tcW w:w="1945" w:type="dxa"/>
            <w:tcBorders>
              <w:bottom w:val="single" w:sz="18" w:space="0" w:color="000000" w:themeColor="text1"/>
            </w:tcBorders>
            <w:shd w:val="clear" w:color="auto" w:fill="F2F2F2" w:themeFill="background1" w:themeFillShade="F2"/>
          </w:tcPr>
          <w:p w14:paraId="7B05B4EC"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p w14:paraId="24FABFC4" w14:textId="77777777" w:rsidR="00551DF2" w:rsidRPr="00EC6C19" w:rsidRDefault="00551DF2" w:rsidP="00551DF2">
            <w:pPr>
              <w:spacing w:line="360" w:lineRule="auto"/>
              <w:jc w:val="center"/>
              <w:rPr>
                <w:rFonts w:ascii="Times New Roman" w:hAnsi="Times New Roman" w:cs="Times New Roman"/>
                <w:sz w:val="24"/>
                <w:szCs w:val="24"/>
              </w:rPr>
            </w:pPr>
          </w:p>
        </w:tc>
        <w:tc>
          <w:tcPr>
            <w:tcW w:w="2132" w:type="dxa"/>
            <w:tcBorders>
              <w:bottom w:val="single" w:sz="18" w:space="0" w:color="000000" w:themeColor="text1"/>
            </w:tcBorders>
            <w:shd w:val="clear" w:color="auto" w:fill="F2F2F2" w:themeFill="background1" w:themeFillShade="F2"/>
          </w:tcPr>
          <w:p w14:paraId="429B89C3"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Prone FFR</w:t>
            </w:r>
          </w:p>
        </w:tc>
        <w:tc>
          <w:tcPr>
            <w:tcW w:w="1701" w:type="dxa"/>
            <w:tcBorders>
              <w:bottom w:val="single" w:sz="18" w:space="0" w:color="000000" w:themeColor="text1"/>
            </w:tcBorders>
            <w:shd w:val="clear" w:color="auto" w:fill="F2F2F2" w:themeFill="background1" w:themeFillShade="F2"/>
          </w:tcPr>
          <w:p w14:paraId="6400C339"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Supine FFR</w:t>
            </w:r>
          </w:p>
        </w:tc>
        <w:tc>
          <w:tcPr>
            <w:tcW w:w="2410" w:type="dxa"/>
            <w:tcBorders>
              <w:bottom w:val="single" w:sz="18" w:space="0" w:color="000000" w:themeColor="text1"/>
            </w:tcBorders>
            <w:shd w:val="clear" w:color="auto" w:fill="F2F2F2" w:themeFill="background1" w:themeFillShade="F2"/>
          </w:tcPr>
          <w:p w14:paraId="0C4E4331"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Delta Change</w:t>
            </w:r>
          </w:p>
        </w:tc>
        <w:tc>
          <w:tcPr>
            <w:tcW w:w="1388" w:type="dxa"/>
            <w:tcBorders>
              <w:bottom w:val="single" w:sz="18" w:space="0" w:color="000000" w:themeColor="text1"/>
            </w:tcBorders>
            <w:shd w:val="clear" w:color="auto" w:fill="F2F2F2" w:themeFill="background1" w:themeFillShade="F2"/>
          </w:tcPr>
          <w:p w14:paraId="31746E57"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7328E6B8" w14:textId="77777777" w:rsidTr="00551DF2">
        <w:tc>
          <w:tcPr>
            <w:tcW w:w="1945" w:type="dxa"/>
            <w:tcBorders>
              <w:top w:val="single" w:sz="18" w:space="0" w:color="000000" w:themeColor="text1"/>
            </w:tcBorders>
            <w:shd w:val="clear" w:color="auto" w:fill="FFFFFF" w:themeFill="background1"/>
          </w:tcPr>
          <w:p w14:paraId="2705BA05"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w:t>
            </w:r>
          </w:p>
          <w:p w14:paraId="21BE0FA2"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tcBorders>
              <w:top w:val="single" w:sz="18" w:space="0" w:color="000000" w:themeColor="text1"/>
            </w:tcBorders>
            <w:shd w:val="clear" w:color="auto" w:fill="FFFFFF" w:themeFill="background1"/>
          </w:tcPr>
          <w:p w14:paraId="136A8E13"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0.92</w:t>
            </w:r>
          </w:p>
        </w:tc>
        <w:tc>
          <w:tcPr>
            <w:tcW w:w="1701" w:type="dxa"/>
            <w:tcBorders>
              <w:top w:val="single" w:sz="18" w:space="0" w:color="000000" w:themeColor="text1"/>
            </w:tcBorders>
            <w:shd w:val="clear" w:color="auto" w:fill="FFFFFF" w:themeFill="background1"/>
          </w:tcPr>
          <w:p w14:paraId="79D928AB"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0.94</w:t>
            </w:r>
          </w:p>
        </w:tc>
        <w:tc>
          <w:tcPr>
            <w:tcW w:w="2410" w:type="dxa"/>
            <w:tcBorders>
              <w:top w:val="single" w:sz="18" w:space="0" w:color="000000" w:themeColor="text1"/>
            </w:tcBorders>
            <w:shd w:val="clear" w:color="auto" w:fill="FFFFFF" w:themeFill="background1"/>
          </w:tcPr>
          <w:p w14:paraId="1AFA2A0D"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388" w:type="dxa"/>
            <w:vMerge w:val="restart"/>
            <w:tcBorders>
              <w:top w:val="single" w:sz="18" w:space="0" w:color="000000" w:themeColor="text1"/>
            </w:tcBorders>
            <w:shd w:val="clear" w:color="auto" w:fill="FFFFFF" w:themeFill="background1"/>
          </w:tcPr>
          <w:p w14:paraId="0A2BE701" w14:textId="77777777" w:rsidR="00551DF2" w:rsidRPr="00EC6C19" w:rsidRDefault="00551DF2" w:rsidP="00551DF2">
            <w:pPr>
              <w:spacing w:line="360" w:lineRule="auto"/>
              <w:jc w:val="center"/>
              <w:rPr>
                <w:rFonts w:ascii="Times New Roman" w:hAnsi="Times New Roman" w:cs="Times New Roman"/>
                <w:sz w:val="24"/>
                <w:szCs w:val="24"/>
              </w:rPr>
            </w:pPr>
          </w:p>
          <w:p w14:paraId="5149C045" w14:textId="77777777" w:rsidR="00551DF2" w:rsidRPr="00EC6C19" w:rsidRDefault="00551DF2" w:rsidP="00551DF2">
            <w:pPr>
              <w:spacing w:line="360" w:lineRule="auto"/>
              <w:jc w:val="center"/>
              <w:rPr>
                <w:rFonts w:ascii="Times New Roman" w:hAnsi="Times New Roman" w:cs="Times New Roman"/>
                <w:sz w:val="24"/>
                <w:szCs w:val="24"/>
              </w:rPr>
            </w:pPr>
          </w:p>
          <w:p w14:paraId="1561E5AB" w14:textId="77777777" w:rsidR="00551DF2" w:rsidRPr="00EC6C19" w:rsidRDefault="00551DF2" w:rsidP="00551DF2">
            <w:pPr>
              <w:spacing w:line="360" w:lineRule="auto"/>
              <w:jc w:val="center"/>
              <w:rPr>
                <w:rFonts w:ascii="Times New Roman" w:hAnsi="Times New Roman" w:cs="Times New Roman"/>
                <w:sz w:val="24"/>
                <w:szCs w:val="24"/>
              </w:rPr>
            </w:pPr>
          </w:p>
          <w:p w14:paraId="67B4995A" w14:textId="77777777" w:rsidR="00551DF2" w:rsidRPr="00EC6C19" w:rsidRDefault="00551DF2" w:rsidP="00551DF2">
            <w:pPr>
              <w:spacing w:line="360" w:lineRule="auto"/>
              <w:jc w:val="center"/>
              <w:rPr>
                <w:rFonts w:ascii="Times New Roman" w:hAnsi="Times New Roman" w:cs="Times New Roman"/>
                <w:sz w:val="24"/>
                <w:szCs w:val="24"/>
              </w:rPr>
            </w:pPr>
          </w:p>
          <w:p w14:paraId="166BEF6F" w14:textId="77777777" w:rsidR="00551DF2" w:rsidRPr="00EC6C19" w:rsidRDefault="00551DF2" w:rsidP="00551DF2">
            <w:pPr>
              <w:spacing w:line="360" w:lineRule="auto"/>
              <w:jc w:val="center"/>
              <w:rPr>
                <w:rFonts w:ascii="Times New Roman" w:hAnsi="Times New Roman" w:cs="Times New Roman"/>
                <w:sz w:val="24"/>
                <w:szCs w:val="24"/>
              </w:rPr>
            </w:pPr>
          </w:p>
          <w:p w14:paraId="45CD31B7" w14:textId="77777777" w:rsidR="00551DF2" w:rsidRPr="00EC6C19" w:rsidRDefault="00551DF2" w:rsidP="00551DF2">
            <w:pPr>
              <w:spacing w:line="360" w:lineRule="auto"/>
              <w:jc w:val="center"/>
              <w:rPr>
                <w:rFonts w:ascii="Times New Roman" w:hAnsi="Times New Roman" w:cs="Times New Roman"/>
                <w:sz w:val="24"/>
                <w:szCs w:val="24"/>
              </w:rPr>
            </w:pPr>
          </w:p>
          <w:p w14:paraId="6BF922C1" w14:textId="77777777" w:rsidR="00551DF2" w:rsidRPr="00EC6C19" w:rsidRDefault="00551DF2" w:rsidP="00551DF2">
            <w:pPr>
              <w:spacing w:line="360" w:lineRule="auto"/>
              <w:jc w:val="center"/>
              <w:rPr>
                <w:rFonts w:ascii="Times New Roman" w:hAnsi="Times New Roman" w:cs="Times New Roman"/>
                <w:sz w:val="24"/>
                <w:szCs w:val="24"/>
              </w:rPr>
            </w:pPr>
          </w:p>
          <w:p w14:paraId="4FB727D2" w14:textId="77777777" w:rsidR="00551DF2" w:rsidRPr="00EC6C19" w:rsidRDefault="00551DF2" w:rsidP="00551DF2">
            <w:pPr>
              <w:spacing w:line="360" w:lineRule="auto"/>
              <w:jc w:val="center"/>
              <w:rPr>
                <w:rFonts w:ascii="Times New Roman" w:hAnsi="Times New Roman" w:cs="Times New Roman"/>
                <w:sz w:val="24"/>
                <w:szCs w:val="24"/>
              </w:rPr>
            </w:pPr>
          </w:p>
          <w:p w14:paraId="407F77BC" w14:textId="77777777" w:rsidR="00551DF2" w:rsidRPr="00EC6C19" w:rsidRDefault="00551DF2" w:rsidP="00551DF2">
            <w:pPr>
              <w:spacing w:line="360" w:lineRule="auto"/>
              <w:jc w:val="center"/>
              <w:rPr>
                <w:rFonts w:ascii="Times New Roman" w:hAnsi="Times New Roman" w:cs="Times New Roman"/>
                <w:sz w:val="24"/>
                <w:szCs w:val="24"/>
              </w:rPr>
            </w:pPr>
          </w:p>
          <w:p w14:paraId="752135F8" w14:textId="77777777" w:rsidR="00551DF2" w:rsidRPr="00EC6C19" w:rsidRDefault="00551DF2" w:rsidP="00551DF2">
            <w:pPr>
              <w:spacing w:line="360" w:lineRule="auto"/>
              <w:jc w:val="center"/>
              <w:rPr>
                <w:rFonts w:ascii="Times New Roman" w:hAnsi="Times New Roman" w:cs="Times New Roman"/>
                <w:sz w:val="24"/>
                <w:szCs w:val="24"/>
              </w:rPr>
            </w:pPr>
          </w:p>
          <w:p w14:paraId="162060A9"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 = 0.0027</w:t>
            </w:r>
          </w:p>
        </w:tc>
      </w:tr>
      <w:tr w:rsidR="00551DF2" w:rsidRPr="00EC6C19" w14:paraId="706EC31A" w14:textId="77777777" w:rsidTr="00551DF2">
        <w:tc>
          <w:tcPr>
            <w:tcW w:w="1945" w:type="dxa"/>
            <w:shd w:val="clear" w:color="auto" w:fill="FFFFFF" w:themeFill="background1"/>
          </w:tcPr>
          <w:p w14:paraId="03280AF2"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4</w:t>
            </w:r>
          </w:p>
          <w:p w14:paraId="3238A12F"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418C558D"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w:t>
            </w:r>
          </w:p>
        </w:tc>
        <w:tc>
          <w:tcPr>
            <w:tcW w:w="1701" w:type="dxa"/>
            <w:shd w:val="clear" w:color="auto" w:fill="FFFFFF" w:themeFill="background1"/>
          </w:tcPr>
          <w:p w14:paraId="3FBAEC06"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0.72</w:t>
            </w:r>
          </w:p>
        </w:tc>
        <w:tc>
          <w:tcPr>
            <w:tcW w:w="2410" w:type="dxa"/>
            <w:shd w:val="clear" w:color="auto" w:fill="FFFFFF" w:themeFill="background1"/>
          </w:tcPr>
          <w:p w14:paraId="00FD67F1"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0.10</w:t>
            </w:r>
          </w:p>
        </w:tc>
        <w:tc>
          <w:tcPr>
            <w:tcW w:w="1388" w:type="dxa"/>
            <w:vMerge/>
            <w:shd w:val="clear" w:color="auto" w:fill="FFFFFF" w:themeFill="background1"/>
          </w:tcPr>
          <w:p w14:paraId="14894027"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0E20C547" w14:textId="77777777" w:rsidTr="00551DF2">
        <w:tc>
          <w:tcPr>
            <w:tcW w:w="1945" w:type="dxa"/>
            <w:shd w:val="clear" w:color="auto" w:fill="FFFFFF" w:themeFill="background1"/>
          </w:tcPr>
          <w:p w14:paraId="643FA4DB"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7</w:t>
            </w:r>
          </w:p>
          <w:p w14:paraId="78A45712"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53AD54DC"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0.82</w:t>
            </w:r>
          </w:p>
        </w:tc>
        <w:tc>
          <w:tcPr>
            <w:tcW w:w="1701" w:type="dxa"/>
            <w:shd w:val="clear" w:color="auto" w:fill="FFFFFF" w:themeFill="background1"/>
          </w:tcPr>
          <w:p w14:paraId="3B9D578F"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0.64</w:t>
            </w:r>
          </w:p>
        </w:tc>
        <w:tc>
          <w:tcPr>
            <w:tcW w:w="2410" w:type="dxa"/>
            <w:shd w:val="clear" w:color="auto" w:fill="FFFFFF" w:themeFill="background1"/>
          </w:tcPr>
          <w:p w14:paraId="1E34E869"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0.18</w:t>
            </w:r>
          </w:p>
        </w:tc>
        <w:tc>
          <w:tcPr>
            <w:tcW w:w="1388" w:type="dxa"/>
            <w:vMerge/>
            <w:shd w:val="clear" w:color="auto" w:fill="FFFFFF" w:themeFill="background1"/>
          </w:tcPr>
          <w:p w14:paraId="6EC4C75A"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262EC8D6" w14:textId="77777777" w:rsidTr="00551DF2">
        <w:tc>
          <w:tcPr>
            <w:tcW w:w="1945" w:type="dxa"/>
            <w:shd w:val="clear" w:color="auto" w:fill="FFFFFF" w:themeFill="background1"/>
          </w:tcPr>
          <w:p w14:paraId="1A3CF8C1"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9</w:t>
            </w:r>
          </w:p>
          <w:p w14:paraId="301FD44A"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501FDBFF"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701" w:type="dxa"/>
            <w:shd w:val="clear" w:color="auto" w:fill="FFFFFF" w:themeFill="background1"/>
          </w:tcPr>
          <w:p w14:paraId="7147998E"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0.84</w:t>
            </w:r>
          </w:p>
        </w:tc>
        <w:tc>
          <w:tcPr>
            <w:tcW w:w="2410" w:type="dxa"/>
            <w:shd w:val="clear" w:color="auto" w:fill="FFFFFF" w:themeFill="background1"/>
          </w:tcPr>
          <w:p w14:paraId="62DAC735"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0.13</w:t>
            </w:r>
          </w:p>
        </w:tc>
        <w:tc>
          <w:tcPr>
            <w:tcW w:w="1388" w:type="dxa"/>
            <w:vMerge/>
            <w:shd w:val="clear" w:color="auto" w:fill="FFFFFF" w:themeFill="background1"/>
          </w:tcPr>
          <w:p w14:paraId="7E19285F"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38C41F3C" w14:textId="77777777" w:rsidTr="00551DF2">
        <w:tc>
          <w:tcPr>
            <w:tcW w:w="1945" w:type="dxa"/>
            <w:shd w:val="clear" w:color="auto" w:fill="FFFFFF" w:themeFill="background1"/>
          </w:tcPr>
          <w:p w14:paraId="6BDB8B30"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10</w:t>
            </w:r>
          </w:p>
          <w:p w14:paraId="60779B49"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678D1A41"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0.95</w:t>
            </w:r>
          </w:p>
        </w:tc>
        <w:tc>
          <w:tcPr>
            <w:tcW w:w="1701" w:type="dxa"/>
            <w:shd w:val="clear" w:color="auto" w:fill="FFFFFF" w:themeFill="background1"/>
          </w:tcPr>
          <w:p w14:paraId="2B352E8B"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0.85</w:t>
            </w:r>
          </w:p>
        </w:tc>
        <w:tc>
          <w:tcPr>
            <w:tcW w:w="2410" w:type="dxa"/>
            <w:shd w:val="clear" w:color="auto" w:fill="FFFFFF" w:themeFill="background1"/>
          </w:tcPr>
          <w:p w14:paraId="324758CC"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0.10</w:t>
            </w:r>
          </w:p>
        </w:tc>
        <w:tc>
          <w:tcPr>
            <w:tcW w:w="1388" w:type="dxa"/>
            <w:vMerge/>
            <w:shd w:val="clear" w:color="auto" w:fill="FFFFFF" w:themeFill="background1"/>
          </w:tcPr>
          <w:p w14:paraId="76265CD4"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3D9B219C" w14:textId="77777777" w:rsidTr="00551DF2">
        <w:tc>
          <w:tcPr>
            <w:tcW w:w="1945" w:type="dxa"/>
            <w:shd w:val="clear" w:color="auto" w:fill="FFFFFF" w:themeFill="background1"/>
          </w:tcPr>
          <w:p w14:paraId="56EF2221"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11</w:t>
            </w:r>
          </w:p>
          <w:p w14:paraId="2EFD23F5"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40592AEC"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701" w:type="dxa"/>
            <w:shd w:val="clear" w:color="auto" w:fill="FFFFFF" w:themeFill="background1"/>
          </w:tcPr>
          <w:p w14:paraId="37D06D10"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w:t>
            </w:r>
          </w:p>
        </w:tc>
        <w:tc>
          <w:tcPr>
            <w:tcW w:w="2410" w:type="dxa"/>
            <w:shd w:val="clear" w:color="auto" w:fill="FFFFFF" w:themeFill="background1"/>
          </w:tcPr>
          <w:p w14:paraId="51F4C3AC"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w:t>
            </w:r>
          </w:p>
        </w:tc>
        <w:tc>
          <w:tcPr>
            <w:tcW w:w="1388" w:type="dxa"/>
            <w:vMerge/>
            <w:shd w:val="clear" w:color="auto" w:fill="FFFFFF" w:themeFill="background1"/>
          </w:tcPr>
          <w:p w14:paraId="3603748D"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5654A11A" w14:textId="77777777" w:rsidTr="00551DF2">
        <w:tc>
          <w:tcPr>
            <w:tcW w:w="1945" w:type="dxa"/>
            <w:shd w:val="clear" w:color="auto" w:fill="FFFFFF" w:themeFill="background1"/>
          </w:tcPr>
          <w:p w14:paraId="03653617"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15</w:t>
            </w:r>
          </w:p>
          <w:p w14:paraId="5CD8D0B8"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04CBFDD0"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0.72</w:t>
            </w:r>
          </w:p>
        </w:tc>
        <w:tc>
          <w:tcPr>
            <w:tcW w:w="1701" w:type="dxa"/>
            <w:shd w:val="clear" w:color="auto" w:fill="FFFFFF" w:themeFill="background1"/>
          </w:tcPr>
          <w:p w14:paraId="20D4B54F"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0.75</w:t>
            </w:r>
          </w:p>
        </w:tc>
        <w:tc>
          <w:tcPr>
            <w:tcW w:w="2410" w:type="dxa"/>
            <w:shd w:val="clear" w:color="auto" w:fill="FFFFFF" w:themeFill="background1"/>
          </w:tcPr>
          <w:p w14:paraId="1B3C59A4"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-0.03</w:t>
            </w:r>
          </w:p>
        </w:tc>
        <w:tc>
          <w:tcPr>
            <w:tcW w:w="1388" w:type="dxa"/>
            <w:vMerge/>
            <w:shd w:val="clear" w:color="auto" w:fill="FFFFFF" w:themeFill="background1"/>
          </w:tcPr>
          <w:p w14:paraId="7547960F"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67BF69B6" w14:textId="77777777" w:rsidTr="00551DF2">
        <w:tc>
          <w:tcPr>
            <w:tcW w:w="1945" w:type="dxa"/>
            <w:shd w:val="clear" w:color="auto" w:fill="FFFFFF" w:themeFill="background1"/>
          </w:tcPr>
          <w:p w14:paraId="07B552C4"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16</w:t>
            </w:r>
          </w:p>
          <w:p w14:paraId="5234E765"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529DDE63"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701" w:type="dxa"/>
            <w:shd w:val="clear" w:color="auto" w:fill="FFFFFF" w:themeFill="background1"/>
          </w:tcPr>
          <w:p w14:paraId="0D696DDC"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0.89</w:t>
            </w:r>
          </w:p>
        </w:tc>
        <w:tc>
          <w:tcPr>
            <w:tcW w:w="2410" w:type="dxa"/>
            <w:shd w:val="clear" w:color="auto" w:fill="FFFFFF" w:themeFill="background1"/>
          </w:tcPr>
          <w:p w14:paraId="20A847FF"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0.08</w:t>
            </w:r>
          </w:p>
        </w:tc>
        <w:tc>
          <w:tcPr>
            <w:tcW w:w="1388" w:type="dxa"/>
            <w:vMerge/>
            <w:shd w:val="clear" w:color="auto" w:fill="FFFFFF" w:themeFill="background1"/>
          </w:tcPr>
          <w:p w14:paraId="72DEC884"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30144154" w14:textId="77777777" w:rsidTr="00551DF2">
        <w:tc>
          <w:tcPr>
            <w:tcW w:w="1945" w:type="dxa"/>
            <w:shd w:val="clear" w:color="auto" w:fill="FFFFFF" w:themeFill="background1"/>
          </w:tcPr>
          <w:p w14:paraId="35474B67"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17</w:t>
            </w:r>
          </w:p>
          <w:p w14:paraId="0B24718F"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102524D6"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0.66</w:t>
            </w:r>
          </w:p>
        </w:tc>
        <w:tc>
          <w:tcPr>
            <w:tcW w:w="1701" w:type="dxa"/>
            <w:shd w:val="clear" w:color="auto" w:fill="FFFFFF" w:themeFill="background1"/>
          </w:tcPr>
          <w:p w14:paraId="7C02EDD2"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0.54</w:t>
            </w:r>
          </w:p>
        </w:tc>
        <w:tc>
          <w:tcPr>
            <w:tcW w:w="2410" w:type="dxa"/>
            <w:shd w:val="clear" w:color="auto" w:fill="FFFFFF" w:themeFill="background1"/>
          </w:tcPr>
          <w:p w14:paraId="176A8774"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0.12</w:t>
            </w:r>
          </w:p>
        </w:tc>
        <w:tc>
          <w:tcPr>
            <w:tcW w:w="1388" w:type="dxa"/>
            <w:vMerge/>
            <w:shd w:val="clear" w:color="auto" w:fill="FFFFFF" w:themeFill="background1"/>
          </w:tcPr>
          <w:p w14:paraId="6CDB31D9"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23C40D4B" w14:textId="77777777" w:rsidTr="00551DF2">
        <w:tc>
          <w:tcPr>
            <w:tcW w:w="1945" w:type="dxa"/>
            <w:shd w:val="clear" w:color="auto" w:fill="FFFFFF" w:themeFill="background1"/>
          </w:tcPr>
          <w:p w14:paraId="141AF1C9" w14:textId="77777777"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18</w:t>
            </w:r>
          </w:p>
          <w:p w14:paraId="68BA5D52"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509B008F"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0.78</w:t>
            </w:r>
          </w:p>
        </w:tc>
        <w:tc>
          <w:tcPr>
            <w:tcW w:w="1701" w:type="dxa"/>
            <w:shd w:val="clear" w:color="auto" w:fill="FFFFFF" w:themeFill="background1"/>
          </w:tcPr>
          <w:p w14:paraId="65714BC2"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0.63</w:t>
            </w:r>
          </w:p>
        </w:tc>
        <w:tc>
          <w:tcPr>
            <w:tcW w:w="2410" w:type="dxa"/>
            <w:shd w:val="clear" w:color="auto" w:fill="FFFFFF" w:themeFill="background1"/>
          </w:tcPr>
          <w:p w14:paraId="46743B33"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0.15</w:t>
            </w:r>
          </w:p>
        </w:tc>
        <w:tc>
          <w:tcPr>
            <w:tcW w:w="1388" w:type="dxa"/>
            <w:vMerge/>
            <w:shd w:val="clear" w:color="auto" w:fill="FFFFFF" w:themeFill="background1"/>
          </w:tcPr>
          <w:p w14:paraId="740FF8AD" w14:textId="77777777" w:rsidR="00551DF2" w:rsidRPr="00EC6C19" w:rsidRDefault="00551DF2" w:rsidP="00551DF2">
            <w:pPr>
              <w:spacing w:line="360" w:lineRule="auto"/>
              <w:jc w:val="center"/>
              <w:rPr>
                <w:rFonts w:ascii="Times New Roman" w:hAnsi="Times New Roman" w:cs="Times New Roman"/>
                <w:sz w:val="24"/>
                <w:szCs w:val="24"/>
              </w:rPr>
            </w:pPr>
          </w:p>
        </w:tc>
      </w:tr>
      <w:tr w:rsidR="00551DF2" w:rsidRPr="00EC6C19" w14:paraId="565ABE2D" w14:textId="77777777" w:rsidTr="00551DF2">
        <w:tc>
          <w:tcPr>
            <w:tcW w:w="1945" w:type="dxa"/>
            <w:shd w:val="clear" w:color="auto" w:fill="FFFFFF" w:themeFill="background1"/>
          </w:tcPr>
          <w:p w14:paraId="333EC73F" w14:textId="56DB8B99" w:rsidR="00551DF2" w:rsidRPr="00EC6C19" w:rsidRDefault="00551DF2" w:rsidP="00551DF2">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Mean (</w:t>
            </w:r>
            <w:r w:rsidR="00D97E85">
              <w:rPr>
                <w:rFonts w:ascii="Times New Roman" w:hAnsi="Times New Roman" w:cs="Times New Roman"/>
                <w:sz w:val="24"/>
                <w:szCs w:val="24"/>
              </w:rPr>
              <w:t>±</w:t>
            </w:r>
            <w:r w:rsidRPr="00EC6C19">
              <w:rPr>
                <w:rFonts w:ascii="Times New Roman" w:hAnsi="Times New Roman" w:cs="Times New Roman"/>
                <w:b/>
                <w:sz w:val="24"/>
                <w:szCs w:val="24"/>
              </w:rPr>
              <w:t xml:space="preserve"> SD)</w:t>
            </w:r>
          </w:p>
          <w:p w14:paraId="0A6E7CEE" w14:textId="77777777" w:rsidR="00551DF2" w:rsidRPr="00EC6C19" w:rsidRDefault="00551DF2" w:rsidP="00551DF2">
            <w:pPr>
              <w:spacing w:line="360" w:lineRule="auto"/>
              <w:jc w:val="center"/>
              <w:rPr>
                <w:rFonts w:ascii="Times New Roman" w:hAnsi="Times New Roman" w:cs="Times New Roman"/>
                <w:b/>
                <w:sz w:val="24"/>
                <w:szCs w:val="24"/>
              </w:rPr>
            </w:pPr>
          </w:p>
        </w:tc>
        <w:tc>
          <w:tcPr>
            <w:tcW w:w="2132" w:type="dxa"/>
            <w:shd w:val="clear" w:color="auto" w:fill="FFFFFF" w:themeFill="background1"/>
          </w:tcPr>
          <w:p w14:paraId="4BBB5D0C"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 (0.11)</w:t>
            </w:r>
          </w:p>
        </w:tc>
        <w:tc>
          <w:tcPr>
            <w:tcW w:w="1701" w:type="dxa"/>
            <w:shd w:val="clear" w:color="auto" w:fill="FFFFFF" w:themeFill="background1"/>
          </w:tcPr>
          <w:p w14:paraId="6DED841A"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0.77 (0.14)</w:t>
            </w:r>
          </w:p>
          <w:p w14:paraId="4BF1C51E" w14:textId="77777777" w:rsidR="00551DF2" w:rsidRPr="00EC6C19" w:rsidRDefault="00551DF2" w:rsidP="00551DF2">
            <w:pPr>
              <w:spacing w:line="360" w:lineRule="auto"/>
              <w:jc w:val="center"/>
              <w:rPr>
                <w:rFonts w:ascii="Times New Roman" w:hAnsi="Times New Roman" w:cs="Times New Roman"/>
                <w:sz w:val="24"/>
                <w:szCs w:val="24"/>
              </w:rPr>
            </w:pPr>
          </w:p>
        </w:tc>
        <w:tc>
          <w:tcPr>
            <w:tcW w:w="2410" w:type="dxa"/>
            <w:shd w:val="clear" w:color="auto" w:fill="FFFFFF" w:themeFill="background1"/>
          </w:tcPr>
          <w:p w14:paraId="1523EA7D" w14:textId="77777777" w:rsidR="00551DF2" w:rsidRPr="00EC6C19" w:rsidRDefault="00551DF2" w:rsidP="00551DF2">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0.09 (0.07)</w:t>
            </w:r>
          </w:p>
        </w:tc>
        <w:tc>
          <w:tcPr>
            <w:tcW w:w="1388" w:type="dxa"/>
            <w:vMerge/>
            <w:shd w:val="clear" w:color="auto" w:fill="FFFFFF" w:themeFill="background1"/>
          </w:tcPr>
          <w:p w14:paraId="1DE7880B" w14:textId="77777777" w:rsidR="00551DF2" w:rsidRPr="00EC6C19" w:rsidRDefault="00551DF2" w:rsidP="00551DF2">
            <w:pPr>
              <w:spacing w:line="360" w:lineRule="auto"/>
              <w:jc w:val="center"/>
              <w:rPr>
                <w:rFonts w:ascii="Times New Roman" w:hAnsi="Times New Roman" w:cs="Times New Roman"/>
                <w:sz w:val="24"/>
                <w:szCs w:val="24"/>
              </w:rPr>
            </w:pPr>
          </w:p>
        </w:tc>
      </w:tr>
    </w:tbl>
    <w:p w14:paraId="723E9651" w14:textId="77777777" w:rsidR="000A2287" w:rsidRPr="00EC6C19" w:rsidRDefault="000A2287" w:rsidP="002D232F">
      <w:pPr>
        <w:spacing w:line="360" w:lineRule="auto"/>
        <w:rPr>
          <w:rFonts w:ascii="Times New Roman" w:hAnsi="Times New Roman" w:cs="Times New Roman"/>
          <w:i/>
          <w:sz w:val="24"/>
          <w:szCs w:val="24"/>
        </w:rPr>
      </w:pPr>
    </w:p>
    <w:p w14:paraId="661996B0" w14:textId="77777777" w:rsidR="002D232F" w:rsidRPr="008630EC" w:rsidRDefault="008630EC" w:rsidP="008630EC">
      <w:pPr>
        <w:pStyle w:val="Caption"/>
        <w:spacing w:line="360" w:lineRule="auto"/>
        <w:rPr>
          <w:rFonts w:ascii="Times New Roman" w:hAnsi="Times New Roman" w:cs="Times New Roman"/>
          <w:b w:val="0"/>
          <w:i/>
          <w:color w:val="auto"/>
          <w:sz w:val="24"/>
          <w:szCs w:val="24"/>
        </w:rPr>
      </w:pPr>
      <w:bookmarkStart w:id="177" w:name="_Toc44962601"/>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25</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LAD FFR. </w:t>
      </w:r>
      <w:r w:rsidR="007A7F0D" w:rsidRPr="008630EC">
        <w:rPr>
          <w:rFonts w:ascii="Times New Roman" w:hAnsi="Times New Roman" w:cs="Times New Roman"/>
          <w:b w:val="0"/>
          <w:i/>
          <w:color w:val="auto"/>
          <w:sz w:val="24"/>
          <w:szCs w:val="24"/>
        </w:rPr>
        <w:t xml:space="preserve">Delta change </w:t>
      </w:r>
      <w:r w:rsidR="002D232F" w:rsidRPr="008630EC">
        <w:rPr>
          <w:rFonts w:ascii="Times New Roman" w:hAnsi="Times New Roman" w:cs="Times New Roman"/>
          <w:b w:val="0"/>
          <w:i/>
          <w:color w:val="auto"/>
          <w:sz w:val="24"/>
          <w:szCs w:val="24"/>
        </w:rPr>
        <w:t xml:space="preserve">in </w:t>
      </w:r>
      <w:r w:rsidR="00C62F6A" w:rsidRPr="008630EC">
        <w:rPr>
          <w:rFonts w:ascii="Times New Roman" w:hAnsi="Times New Roman" w:cs="Times New Roman"/>
          <w:b w:val="0"/>
          <w:i/>
          <w:color w:val="auto"/>
          <w:sz w:val="24"/>
          <w:szCs w:val="24"/>
        </w:rPr>
        <w:t xml:space="preserve">FFR </w:t>
      </w:r>
      <w:r w:rsidR="002D232F" w:rsidRPr="008630EC">
        <w:rPr>
          <w:rFonts w:ascii="Times New Roman" w:hAnsi="Times New Roman" w:cs="Times New Roman"/>
          <w:b w:val="0"/>
          <w:i/>
          <w:color w:val="auto"/>
          <w:sz w:val="24"/>
          <w:szCs w:val="24"/>
        </w:rPr>
        <w:t>between prone and supine positioning in the left anterior descending artery. The results are statistically significant (p&lt;0.05)</w:t>
      </w:r>
      <w:bookmarkEnd w:id="177"/>
    </w:p>
    <w:p w14:paraId="7EB6C21D" w14:textId="77777777" w:rsidR="006B72EE" w:rsidRPr="00EC6C19" w:rsidRDefault="006B72EE" w:rsidP="002D232F">
      <w:pPr>
        <w:spacing w:line="360" w:lineRule="auto"/>
        <w:rPr>
          <w:rFonts w:ascii="Times New Roman" w:hAnsi="Times New Roman" w:cs="Times New Roman"/>
          <w:i/>
          <w:sz w:val="24"/>
          <w:szCs w:val="24"/>
        </w:rPr>
      </w:pPr>
    </w:p>
    <w:p w14:paraId="4441CD1E" w14:textId="77777777" w:rsidR="00EE56BD" w:rsidRPr="00EC6C19" w:rsidRDefault="00C62F6A" w:rsidP="00C62F6A">
      <w:pPr>
        <w:ind w:left="-737"/>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71DCC078" wp14:editId="3CD0B8C3">
            <wp:extent cx="6858000" cy="4762500"/>
            <wp:effectExtent l="0" t="0" r="0" b="0"/>
            <wp:docPr id="4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B66D808" w14:textId="77777777" w:rsidR="00C62F6A" w:rsidRPr="00267C74" w:rsidRDefault="00267C74" w:rsidP="00267C74">
      <w:pPr>
        <w:pStyle w:val="Caption"/>
        <w:spacing w:line="360" w:lineRule="auto"/>
        <w:rPr>
          <w:rFonts w:ascii="Times New Roman" w:hAnsi="Times New Roman" w:cs="Times New Roman"/>
          <w:b w:val="0"/>
          <w:i/>
          <w:color w:val="auto"/>
          <w:sz w:val="24"/>
          <w:szCs w:val="24"/>
        </w:rPr>
      </w:pPr>
      <w:bookmarkStart w:id="178" w:name="_Toc44684931"/>
      <w:r w:rsidRPr="00267C74">
        <w:rPr>
          <w:rFonts w:ascii="Times New Roman" w:hAnsi="Times New Roman" w:cs="Times New Roman"/>
          <w:b w:val="0"/>
          <w:i/>
          <w:color w:val="auto"/>
          <w:sz w:val="24"/>
          <w:szCs w:val="24"/>
        </w:rPr>
        <w:t xml:space="preserve">Figure </w:t>
      </w:r>
      <w:r w:rsidR="00106A32" w:rsidRPr="00267C74">
        <w:rPr>
          <w:rFonts w:ascii="Times New Roman" w:hAnsi="Times New Roman" w:cs="Times New Roman"/>
          <w:b w:val="0"/>
          <w:i/>
          <w:color w:val="auto"/>
          <w:sz w:val="24"/>
          <w:szCs w:val="24"/>
        </w:rPr>
        <w:fldChar w:fldCharType="begin"/>
      </w:r>
      <w:r w:rsidRPr="00267C74">
        <w:rPr>
          <w:rFonts w:ascii="Times New Roman" w:hAnsi="Times New Roman" w:cs="Times New Roman"/>
          <w:b w:val="0"/>
          <w:i/>
          <w:color w:val="auto"/>
          <w:sz w:val="24"/>
          <w:szCs w:val="24"/>
        </w:rPr>
        <w:instrText xml:space="preserve"> SEQ Figure \* ARABIC </w:instrText>
      </w:r>
      <w:r w:rsidR="00106A32" w:rsidRPr="00267C74">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42</w:t>
      </w:r>
      <w:r w:rsidR="00106A32" w:rsidRPr="00267C74">
        <w:rPr>
          <w:rFonts w:ascii="Times New Roman" w:hAnsi="Times New Roman" w:cs="Times New Roman"/>
          <w:b w:val="0"/>
          <w:i/>
          <w:color w:val="auto"/>
          <w:sz w:val="24"/>
          <w:szCs w:val="24"/>
        </w:rPr>
        <w:fldChar w:fldCharType="end"/>
      </w:r>
      <w:r w:rsidRPr="00267C74">
        <w:rPr>
          <w:rFonts w:ascii="Times New Roman" w:hAnsi="Times New Roman" w:cs="Times New Roman"/>
          <w:b w:val="0"/>
          <w:i/>
          <w:color w:val="auto"/>
          <w:sz w:val="24"/>
          <w:szCs w:val="24"/>
        </w:rPr>
        <w:t xml:space="preserve">- LAD FFR Delta Change </w:t>
      </w:r>
      <w:r w:rsidR="000B71DA" w:rsidRPr="00267C74">
        <w:rPr>
          <w:rFonts w:ascii="Times New Roman" w:hAnsi="Times New Roman" w:cs="Times New Roman"/>
          <w:b w:val="0"/>
          <w:i/>
          <w:color w:val="auto"/>
          <w:sz w:val="24"/>
          <w:szCs w:val="24"/>
        </w:rPr>
        <w:t>between prone and supine positioning</w:t>
      </w:r>
      <w:r w:rsidR="007A7F0D" w:rsidRPr="00267C74">
        <w:rPr>
          <w:rFonts w:ascii="Times New Roman" w:hAnsi="Times New Roman" w:cs="Times New Roman"/>
          <w:b w:val="0"/>
          <w:i/>
          <w:color w:val="auto"/>
          <w:sz w:val="24"/>
          <w:szCs w:val="24"/>
        </w:rPr>
        <w:t>.</w:t>
      </w:r>
      <w:r w:rsidR="00E80F29" w:rsidRPr="00267C74">
        <w:rPr>
          <w:rFonts w:ascii="Times New Roman" w:hAnsi="Times New Roman" w:cs="Times New Roman"/>
          <w:b w:val="0"/>
          <w:i/>
          <w:color w:val="auto"/>
          <w:sz w:val="24"/>
          <w:szCs w:val="24"/>
        </w:rPr>
        <w:t xml:space="preserve"> Mean values are in red.</w:t>
      </w:r>
      <w:r w:rsidR="007A7F0D" w:rsidRPr="00267C74">
        <w:rPr>
          <w:rFonts w:ascii="Times New Roman" w:hAnsi="Times New Roman" w:cs="Times New Roman"/>
          <w:b w:val="0"/>
          <w:i/>
          <w:color w:val="auto"/>
          <w:sz w:val="24"/>
          <w:szCs w:val="24"/>
        </w:rPr>
        <w:t xml:space="preserve"> The results are statistically significant (p&lt;0.05)</w:t>
      </w:r>
      <w:bookmarkEnd w:id="178"/>
    </w:p>
    <w:p w14:paraId="237A8678" w14:textId="77777777" w:rsidR="00A0307C" w:rsidRPr="00EC6C19" w:rsidRDefault="00A0307C">
      <w:pPr>
        <w:rPr>
          <w:rFonts w:ascii="Times New Roman" w:hAnsi="Times New Roman" w:cs="Times New Roman"/>
          <w:i/>
          <w:sz w:val="24"/>
          <w:szCs w:val="24"/>
        </w:rPr>
      </w:pPr>
      <w:r w:rsidRPr="00EC6C19">
        <w:rPr>
          <w:rFonts w:ascii="Times New Roman" w:hAnsi="Times New Roman" w:cs="Times New Roman"/>
          <w:i/>
          <w:sz w:val="24"/>
          <w:szCs w:val="24"/>
        </w:rPr>
        <w:t>Circumflex Artery</w:t>
      </w:r>
    </w:p>
    <w:p w14:paraId="2E858216" w14:textId="77777777" w:rsidR="00A0307C" w:rsidRPr="00EC6C19" w:rsidRDefault="00A0307C">
      <w:pPr>
        <w:rPr>
          <w:rFonts w:ascii="Times New Roman" w:hAnsi="Times New Roman" w:cs="Times New Roman"/>
          <w:sz w:val="24"/>
          <w:szCs w:val="24"/>
        </w:rPr>
      </w:pPr>
    </w:p>
    <w:p w14:paraId="52DC4D53" w14:textId="77777777" w:rsidR="001074F7" w:rsidRPr="00EC6C19" w:rsidRDefault="00953E8A">
      <w:pPr>
        <w:rPr>
          <w:rFonts w:ascii="Times New Roman" w:hAnsi="Times New Roman" w:cs="Times New Roman"/>
          <w:sz w:val="24"/>
          <w:szCs w:val="24"/>
        </w:rPr>
      </w:pPr>
      <w:r w:rsidRPr="00EC6C19">
        <w:rPr>
          <w:rFonts w:ascii="Times New Roman" w:hAnsi="Times New Roman" w:cs="Times New Roman"/>
          <w:sz w:val="24"/>
          <w:szCs w:val="24"/>
        </w:rPr>
        <w:t xml:space="preserve">FFR in the circumflex artery, prone vs. supine was 0.82 vs. 0.87 respectively. This delta change was </w:t>
      </w:r>
      <w:r w:rsidRPr="008630EC">
        <w:rPr>
          <w:rFonts w:ascii="Times New Roman" w:hAnsi="Times New Roman" w:cs="Times New Roman"/>
          <w:sz w:val="24"/>
          <w:szCs w:val="24"/>
        </w:rPr>
        <w:t xml:space="preserve">statistically significant. Table </w:t>
      </w:r>
      <w:r w:rsidR="008630EC" w:rsidRPr="008630EC">
        <w:rPr>
          <w:rFonts w:ascii="Times New Roman" w:hAnsi="Times New Roman" w:cs="Times New Roman"/>
          <w:sz w:val="24"/>
          <w:szCs w:val="24"/>
        </w:rPr>
        <w:t>26</w:t>
      </w:r>
      <w:r w:rsidRPr="008630EC">
        <w:rPr>
          <w:rFonts w:ascii="Times New Roman" w:hAnsi="Times New Roman" w:cs="Times New Roman"/>
          <w:sz w:val="24"/>
          <w:szCs w:val="24"/>
        </w:rPr>
        <w:t xml:space="preserve"> and figure </w:t>
      </w:r>
      <w:r w:rsidR="00267C74" w:rsidRPr="008630EC">
        <w:rPr>
          <w:rFonts w:ascii="Times New Roman" w:hAnsi="Times New Roman" w:cs="Times New Roman"/>
          <w:sz w:val="24"/>
          <w:szCs w:val="24"/>
        </w:rPr>
        <w:t>43</w:t>
      </w:r>
      <w:r w:rsidRPr="008630EC">
        <w:rPr>
          <w:rFonts w:ascii="Times New Roman" w:hAnsi="Times New Roman" w:cs="Times New Roman"/>
          <w:sz w:val="24"/>
          <w:szCs w:val="24"/>
        </w:rPr>
        <w:t xml:space="preserve"> summarise</w:t>
      </w:r>
      <w:r w:rsidRPr="00267C74">
        <w:rPr>
          <w:rFonts w:ascii="Times New Roman" w:hAnsi="Times New Roman" w:cs="Times New Roman"/>
          <w:sz w:val="24"/>
          <w:szCs w:val="24"/>
        </w:rPr>
        <w:t xml:space="preserve"> the results.</w:t>
      </w:r>
    </w:p>
    <w:p w14:paraId="688F3FFE" w14:textId="77777777" w:rsidR="00953E8A" w:rsidRPr="00EC6C19" w:rsidRDefault="00953E8A">
      <w:pPr>
        <w:rPr>
          <w:rFonts w:ascii="Times New Roman" w:hAnsi="Times New Roman" w:cs="Times New Roman"/>
          <w:sz w:val="24"/>
          <w:szCs w:val="24"/>
        </w:rPr>
      </w:pPr>
    </w:p>
    <w:p w14:paraId="5A96E11E" w14:textId="77777777" w:rsidR="00953E8A" w:rsidRPr="00EC6C19" w:rsidRDefault="00953E8A">
      <w:pPr>
        <w:rPr>
          <w:rFonts w:ascii="Times New Roman" w:hAnsi="Times New Roman" w:cs="Times New Roman"/>
          <w:sz w:val="24"/>
          <w:szCs w:val="24"/>
        </w:rPr>
      </w:pPr>
    </w:p>
    <w:tbl>
      <w:tblPr>
        <w:tblW w:w="0" w:type="auto"/>
        <w:tblLook w:val="04A0" w:firstRow="1" w:lastRow="0" w:firstColumn="1" w:lastColumn="0" w:noHBand="0" w:noVBand="1"/>
      </w:tblPr>
      <w:tblGrid>
        <w:gridCol w:w="1944"/>
        <w:gridCol w:w="1874"/>
        <w:gridCol w:w="1910"/>
        <w:gridCol w:w="1934"/>
        <w:gridCol w:w="1698"/>
      </w:tblGrid>
      <w:tr w:rsidR="00DC00F9" w:rsidRPr="00EC6C19" w14:paraId="15EA0952" w14:textId="77777777" w:rsidTr="00953E8A">
        <w:trPr>
          <w:trHeight w:val="689"/>
        </w:trPr>
        <w:tc>
          <w:tcPr>
            <w:tcW w:w="1985" w:type="dxa"/>
            <w:tcBorders>
              <w:bottom w:val="single" w:sz="18" w:space="0" w:color="000000" w:themeColor="text1"/>
            </w:tcBorders>
            <w:shd w:val="clear" w:color="auto" w:fill="F2F2F2" w:themeFill="background1" w:themeFillShade="F2"/>
          </w:tcPr>
          <w:p w14:paraId="694720AD" w14:textId="77777777" w:rsidR="00DC00F9" w:rsidRPr="00EC6C19" w:rsidRDefault="00DC00F9"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tc>
        <w:tc>
          <w:tcPr>
            <w:tcW w:w="1922" w:type="dxa"/>
            <w:tcBorders>
              <w:bottom w:val="single" w:sz="18" w:space="0" w:color="000000" w:themeColor="text1"/>
            </w:tcBorders>
            <w:shd w:val="clear" w:color="auto" w:fill="F2F2F2" w:themeFill="background1" w:themeFillShade="F2"/>
          </w:tcPr>
          <w:p w14:paraId="68BD7273" w14:textId="77777777" w:rsidR="00DC00F9" w:rsidRPr="00EC6C19" w:rsidRDefault="00DC00F9"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Prone FFR</w:t>
            </w:r>
          </w:p>
        </w:tc>
        <w:tc>
          <w:tcPr>
            <w:tcW w:w="1956" w:type="dxa"/>
            <w:tcBorders>
              <w:bottom w:val="single" w:sz="18" w:space="0" w:color="000000" w:themeColor="text1"/>
            </w:tcBorders>
            <w:shd w:val="clear" w:color="auto" w:fill="F2F2F2" w:themeFill="background1" w:themeFillShade="F2"/>
          </w:tcPr>
          <w:p w14:paraId="46DC8B4E" w14:textId="77777777" w:rsidR="00DC00F9" w:rsidRPr="00EC6C19" w:rsidRDefault="00DC00F9"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Supine FFR</w:t>
            </w:r>
          </w:p>
        </w:tc>
        <w:tc>
          <w:tcPr>
            <w:tcW w:w="1978" w:type="dxa"/>
            <w:tcBorders>
              <w:bottom w:val="single" w:sz="18" w:space="0" w:color="000000" w:themeColor="text1"/>
            </w:tcBorders>
            <w:shd w:val="clear" w:color="auto" w:fill="F2F2F2" w:themeFill="background1" w:themeFillShade="F2"/>
          </w:tcPr>
          <w:p w14:paraId="15D90DE6" w14:textId="77777777" w:rsidR="00DC00F9" w:rsidRPr="00EC6C19" w:rsidRDefault="00DC00F9"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Delta Change</w:t>
            </w:r>
          </w:p>
        </w:tc>
        <w:tc>
          <w:tcPr>
            <w:tcW w:w="1735" w:type="dxa"/>
            <w:tcBorders>
              <w:bottom w:val="single" w:sz="18" w:space="0" w:color="000000" w:themeColor="text1"/>
            </w:tcBorders>
            <w:shd w:val="clear" w:color="auto" w:fill="F2F2F2" w:themeFill="background1" w:themeFillShade="F2"/>
          </w:tcPr>
          <w:p w14:paraId="42F6ECDF" w14:textId="77777777" w:rsidR="00DC00F9" w:rsidRPr="00EC6C19" w:rsidRDefault="00DC00F9" w:rsidP="000B71DA">
            <w:pPr>
              <w:spacing w:line="360" w:lineRule="auto"/>
              <w:rPr>
                <w:rFonts w:ascii="Times New Roman" w:hAnsi="Times New Roman" w:cs="Times New Roman"/>
                <w:sz w:val="24"/>
                <w:szCs w:val="24"/>
              </w:rPr>
            </w:pPr>
          </w:p>
        </w:tc>
      </w:tr>
      <w:tr w:rsidR="00953E8A" w:rsidRPr="00EC6C19" w14:paraId="5BB39780" w14:textId="77777777" w:rsidTr="00953E8A">
        <w:tc>
          <w:tcPr>
            <w:tcW w:w="1985" w:type="dxa"/>
            <w:tcBorders>
              <w:top w:val="single" w:sz="18" w:space="0" w:color="000000" w:themeColor="text1"/>
            </w:tcBorders>
            <w:shd w:val="clear" w:color="auto" w:fill="FFFFFF" w:themeFill="background1"/>
          </w:tcPr>
          <w:p w14:paraId="4E744E41" w14:textId="77777777" w:rsidR="00953E8A" w:rsidRPr="00EC6C19" w:rsidRDefault="00953E8A" w:rsidP="00953E8A">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w:t>
            </w:r>
          </w:p>
          <w:p w14:paraId="5EEAE7AE" w14:textId="77777777" w:rsidR="00953E8A" w:rsidRPr="00EC6C19" w:rsidRDefault="00953E8A" w:rsidP="00953E8A">
            <w:pPr>
              <w:spacing w:line="360" w:lineRule="auto"/>
              <w:jc w:val="center"/>
              <w:rPr>
                <w:rFonts w:ascii="Times New Roman" w:hAnsi="Times New Roman" w:cs="Times New Roman"/>
                <w:b/>
                <w:sz w:val="24"/>
                <w:szCs w:val="24"/>
              </w:rPr>
            </w:pPr>
          </w:p>
        </w:tc>
        <w:tc>
          <w:tcPr>
            <w:tcW w:w="1922" w:type="dxa"/>
            <w:tcBorders>
              <w:top w:val="single" w:sz="18" w:space="0" w:color="000000" w:themeColor="text1"/>
            </w:tcBorders>
            <w:shd w:val="clear" w:color="auto" w:fill="FFFFFF" w:themeFill="background1"/>
          </w:tcPr>
          <w:p w14:paraId="74C6F6C5"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0.79</w:t>
            </w:r>
          </w:p>
        </w:tc>
        <w:tc>
          <w:tcPr>
            <w:tcW w:w="1956" w:type="dxa"/>
            <w:tcBorders>
              <w:top w:val="single" w:sz="18" w:space="0" w:color="000000" w:themeColor="text1"/>
            </w:tcBorders>
            <w:shd w:val="clear" w:color="auto" w:fill="FFFFFF" w:themeFill="background1"/>
          </w:tcPr>
          <w:p w14:paraId="0FF5C760"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w:t>
            </w:r>
          </w:p>
        </w:tc>
        <w:tc>
          <w:tcPr>
            <w:tcW w:w="1978" w:type="dxa"/>
            <w:tcBorders>
              <w:top w:val="single" w:sz="18" w:space="0" w:color="000000" w:themeColor="text1"/>
            </w:tcBorders>
            <w:shd w:val="clear" w:color="auto" w:fill="FFFFFF" w:themeFill="background1"/>
          </w:tcPr>
          <w:p w14:paraId="62EE5F40"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0.07</w:t>
            </w:r>
          </w:p>
        </w:tc>
        <w:tc>
          <w:tcPr>
            <w:tcW w:w="1735" w:type="dxa"/>
            <w:vMerge w:val="restart"/>
            <w:tcBorders>
              <w:top w:val="single" w:sz="18" w:space="0" w:color="000000" w:themeColor="text1"/>
            </w:tcBorders>
            <w:shd w:val="clear" w:color="auto" w:fill="FFFFFF" w:themeFill="background1"/>
          </w:tcPr>
          <w:p w14:paraId="6DC90EFC" w14:textId="77777777" w:rsidR="00953E8A" w:rsidRPr="00EC6C19" w:rsidRDefault="00953E8A" w:rsidP="00953E8A">
            <w:pPr>
              <w:spacing w:line="360" w:lineRule="auto"/>
              <w:jc w:val="center"/>
              <w:rPr>
                <w:rFonts w:ascii="Times New Roman" w:hAnsi="Times New Roman" w:cs="Times New Roman"/>
                <w:sz w:val="24"/>
                <w:szCs w:val="24"/>
              </w:rPr>
            </w:pPr>
          </w:p>
          <w:p w14:paraId="5550D999" w14:textId="77777777" w:rsidR="00953E8A" w:rsidRPr="00EC6C19" w:rsidRDefault="00953E8A" w:rsidP="00953E8A">
            <w:pPr>
              <w:spacing w:line="360" w:lineRule="auto"/>
              <w:jc w:val="center"/>
              <w:rPr>
                <w:rFonts w:ascii="Times New Roman" w:hAnsi="Times New Roman" w:cs="Times New Roman"/>
                <w:sz w:val="24"/>
                <w:szCs w:val="24"/>
              </w:rPr>
            </w:pPr>
          </w:p>
          <w:p w14:paraId="19B8ACC2" w14:textId="77777777" w:rsidR="00953E8A" w:rsidRPr="00EC6C19" w:rsidRDefault="00953E8A" w:rsidP="00953E8A">
            <w:pPr>
              <w:spacing w:line="360" w:lineRule="auto"/>
              <w:jc w:val="center"/>
              <w:rPr>
                <w:rFonts w:ascii="Times New Roman" w:hAnsi="Times New Roman" w:cs="Times New Roman"/>
                <w:sz w:val="24"/>
                <w:szCs w:val="24"/>
              </w:rPr>
            </w:pPr>
          </w:p>
          <w:p w14:paraId="5CC850B6" w14:textId="77777777" w:rsidR="00953E8A" w:rsidRPr="00EC6C19" w:rsidRDefault="00953E8A" w:rsidP="00953E8A">
            <w:pPr>
              <w:spacing w:line="360" w:lineRule="auto"/>
              <w:jc w:val="center"/>
              <w:rPr>
                <w:rFonts w:ascii="Times New Roman" w:hAnsi="Times New Roman" w:cs="Times New Roman"/>
                <w:sz w:val="24"/>
                <w:szCs w:val="24"/>
              </w:rPr>
            </w:pPr>
          </w:p>
          <w:p w14:paraId="0BCD45D7" w14:textId="77777777" w:rsidR="00953E8A" w:rsidRPr="00EC6C19" w:rsidRDefault="00953E8A" w:rsidP="00953E8A">
            <w:pPr>
              <w:spacing w:line="360" w:lineRule="auto"/>
              <w:jc w:val="center"/>
              <w:rPr>
                <w:rFonts w:ascii="Times New Roman" w:hAnsi="Times New Roman" w:cs="Times New Roman"/>
                <w:sz w:val="24"/>
                <w:szCs w:val="24"/>
              </w:rPr>
            </w:pPr>
          </w:p>
          <w:p w14:paraId="5CFCF5E9" w14:textId="77777777" w:rsidR="00953E8A" w:rsidRPr="00EC6C19" w:rsidRDefault="00953E8A" w:rsidP="00953E8A">
            <w:pPr>
              <w:spacing w:line="360" w:lineRule="auto"/>
              <w:jc w:val="center"/>
              <w:rPr>
                <w:rFonts w:ascii="Times New Roman" w:hAnsi="Times New Roman" w:cs="Times New Roman"/>
                <w:sz w:val="24"/>
                <w:szCs w:val="24"/>
              </w:rPr>
            </w:pPr>
          </w:p>
          <w:p w14:paraId="6F72DD4F" w14:textId="77777777" w:rsidR="00953E8A" w:rsidRPr="00EC6C19" w:rsidRDefault="00953E8A" w:rsidP="00953E8A">
            <w:pPr>
              <w:spacing w:line="360" w:lineRule="auto"/>
              <w:jc w:val="center"/>
              <w:rPr>
                <w:rFonts w:ascii="Times New Roman" w:hAnsi="Times New Roman" w:cs="Times New Roman"/>
                <w:sz w:val="24"/>
                <w:szCs w:val="24"/>
              </w:rPr>
            </w:pPr>
          </w:p>
          <w:p w14:paraId="24A10E98" w14:textId="77777777" w:rsidR="00953E8A" w:rsidRPr="00EC6C19" w:rsidRDefault="00953E8A" w:rsidP="00953E8A">
            <w:pPr>
              <w:spacing w:line="360" w:lineRule="auto"/>
              <w:jc w:val="center"/>
              <w:rPr>
                <w:rFonts w:ascii="Times New Roman" w:hAnsi="Times New Roman" w:cs="Times New Roman"/>
                <w:sz w:val="24"/>
                <w:szCs w:val="24"/>
              </w:rPr>
            </w:pPr>
          </w:p>
          <w:p w14:paraId="51B9B077"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 = 0.0056</w:t>
            </w:r>
          </w:p>
        </w:tc>
      </w:tr>
      <w:tr w:rsidR="00953E8A" w:rsidRPr="00EC6C19" w14:paraId="1EDFDEDB" w14:textId="77777777" w:rsidTr="00953E8A">
        <w:tc>
          <w:tcPr>
            <w:tcW w:w="1985" w:type="dxa"/>
            <w:shd w:val="clear" w:color="auto" w:fill="FFFFFF" w:themeFill="background1"/>
          </w:tcPr>
          <w:p w14:paraId="13C7F447" w14:textId="77777777" w:rsidR="00953E8A" w:rsidRPr="00EC6C19" w:rsidRDefault="00953E8A" w:rsidP="00953E8A">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3</w:t>
            </w:r>
          </w:p>
          <w:p w14:paraId="78F2F50C" w14:textId="77777777" w:rsidR="00953E8A" w:rsidRPr="00EC6C19" w:rsidRDefault="00953E8A" w:rsidP="00953E8A">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1BAFC27A"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0.85</w:t>
            </w:r>
          </w:p>
        </w:tc>
        <w:tc>
          <w:tcPr>
            <w:tcW w:w="1956" w:type="dxa"/>
            <w:shd w:val="clear" w:color="auto" w:fill="FFFFFF" w:themeFill="background1"/>
          </w:tcPr>
          <w:p w14:paraId="40C47233"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0.84</w:t>
            </w:r>
          </w:p>
        </w:tc>
        <w:tc>
          <w:tcPr>
            <w:tcW w:w="1978" w:type="dxa"/>
            <w:shd w:val="clear" w:color="auto" w:fill="FFFFFF" w:themeFill="background1"/>
          </w:tcPr>
          <w:p w14:paraId="4B5DEAFD"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-0.01</w:t>
            </w:r>
          </w:p>
        </w:tc>
        <w:tc>
          <w:tcPr>
            <w:tcW w:w="1735" w:type="dxa"/>
            <w:vMerge/>
            <w:shd w:val="clear" w:color="auto" w:fill="FFFFFF" w:themeFill="background1"/>
          </w:tcPr>
          <w:p w14:paraId="6D0CCB4B" w14:textId="77777777" w:rsidR="00953E8A" w:rsidRPr="00EC6C19" w:rsidRDefault="00953E8A" w:rsidP="00953E8A">
            <w:pPr>
              <w:spacing w:line="360" w:lineRule="auto"/>
              <w:jc w:val="center"/>
              <w:rPr>
                <w:rFonts w:ascii="Times New Roman" w:hAnsi="Times New Roman" w:cs="Times New Roman"/>
                <w:sz w:val="24"/>
                <w:szCs w:val="24"/>
              </w:rPr>
            </w:pPr>
          </w:p>
        </w:tc>
      </w:tr>
      <w:tr w:rsidR="00953E8A" w:rsidRPr="00EC6C19" w14:paraId="54878F36" w14:textId="77777777" w:rsidTr="00953E8A">
        <w:tc>
          <w:tcPr>
            <w:tcW w:w="1985" w:type="dxa"/>
            <w:shd w:val="clear" w:color="auto" w:fill="FFFFFF" w:themeFill="background1"/>
          </w:tcPr>
          <w:p w14:paraId="0D752C89" w14:textId="77777777" w:rsidR="00953E8A" w:rsidRPr="00EC6C19" w:rsidRDefault="00953E8A" w:rsidP="00953E8A">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6</w:t>
            </w:r>
          </w:p>
          <w:p w14:paraId="633A475A" w14:textId="77777777" w:rsidR="00953E8A" w:rsidRPr="00EC6C19" w:rsidRDefault="00953E8A" w:rsidP="00953E8A">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4DD041C1"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0.87</w:t>
            </w:r>
          </w:p>
        </w:tc>
        <w:tc>
          <w:tcPr>
            <w:tcW w:w="1956" w:type="dxa"/>
            <w:shd w:val="clear" w:color="auto" w:fill="FFFFFF" w:themeFill="background1"/>
          </w:tcPr>
          <w:p w14:paraId="49775ED5"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w:t>
            </w:r>
          </w:p>
        </w:tc>
        <w:tc>
          <w:tcPr>
            <w:tcW w:w="1978" w:type="dxa"/>
            <w:shd w:val="clear" w:color="auto" w:fill="FFFFFF" w:themeFill="background1"/>
          </w:tcPr>
          <w:p w14:paraId="037DE36E"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0.04</w:t>
            </w:r>
          </w:p>
        </w:tc>
        <w:tc>
          <w:tcPr>
            <w:tcW w:w="1735" w:type="dxa"/>
            <w:vMerge/>
            <w:shd w:val="clear" w:color="auto" w:fill="FFFFFF" w:themeFill="background1"/>
          </w:tcPr>
          <w:p w14:paraId="0F8AA278" w14:textId="77777777" w:rsidR="00953E8A" w:rsidRPr="00EC6C19" w:rsidRDefault="00953E8A" w:rsidP="00953E8A">
            <w:pPr>
              <w:spacing w:line="360" w:lineRule="auto"/>
              <w:jc w:val="center"/>
              <w:rPr>
                <w:rFonts w:ascii="Times New Roman" w:hAnsi="Times New Roman" w:cs="Times New Roman"/>
                <w:sz w:val="24"/>
                <w:szCs w:val="24"/>
              </w:rPr>
            </w:pPr>
          </w:p>
        </w:tc>
      </w:tr>
      <w:tr w:rsidR="00953E8A" w:rsidRPr="00EC6C19" w14:paraId="190134F3" w14:textId="77777777" w:rsidTr="00953E8A">
        <w:tc>
          <w:tcPr>
            <w:tcW w:w="1985" w:type="dxa"/>
            <w:shd w:val="clear" w:color="auto" w:fill="FFFFFF" w:themeFill="background1"/>
          </w:tcPr>
          <w:p w14:paraId="6F8DFE9B" w14:textId="77777777" w:rsidR="00953E8A" w:rsidRPr="00EC6C19" w:rsidRDefault="00953E8A" w:rsidP="00953E8A">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8</w:t>
            </w:r>
          </w:p>
          <w:p w14:paraId="356D610B" w14:textId="77777777" w:rsidR="00953E8A" w:rsidRPr="00EC6C19" w:rsidRDefault="00953E8A" w:rsidP="00953E8A">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4030A9A7"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w:t>
            </w:r>
          </w:p>
        </w:tc>
        <w:tc>
          <w:tcPr>
            <w:tcW w:w="1956" w:type="dxa"/>
            <w:shd w:val="clear" w:color="auto" w:fill="FFFFFF" w:themeFill="background1"/>
          </w:tcPr>
          <w:p w14:paraId="25E95086"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w:t>
            </w:r>
          </w:p>
        </w:tc>
        <w:tc>
          <w:tcPr>
            <w:tcW w:w="1978" w:type="dxa"/>
            <w:shd w:val="clear" w:color="auto" w:fill="FFFFFF" w:themeFill="background1"/>
          </w:tcPr>
          <w:p w14:paraId="02C2EAE4"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w:t>
            </w:r>
          </w:p>
        </w:tc>
        <w:tc>
          <w:tcPr>
            <w:tcW w:w="1735" w:type="dxa"/>
            <w:vMerge/>
            <w:shd w:val="clear" w:color="auto" w:fill="FFFFFF" w:themeFill="background1"/>
          </w:tcPr>
          <w:p w14:paraId="0AB9E7E0" w14:textId="77777777" w:rsidR="00953E8A" w:rsidRPr="00EC6C19" w:rsidRDefault="00953E8A" w:rsidP="00953E8A">
            <w:pPr>
              <w:spacing w:line="360" w:lineRule="auto"/>
              <w:jc w:val="center"/>
              <w:rPr>
                <w:rFonts w:ascii="Times New Roman" w:hAnsi="Times New Roman" w:cs="Times New Roman"/>
                <w:sz w:val="24"/>
                <w:szCs w:val="24"/>
              </w:rPr>
            </w:pPr>
          </w:p>
        </w:tc>
      </w:tr>
      <w:tr w:rsidR="00953E8A" w:rsidRPr="00EC6C19" w14:paraId="711AC465" w14:textId="77777777" w:rsidTr="00953E8A">
        <w:tc>
          <w:tcPr>
            <w:tcW w:w="1985" w:type="dxa"/>
            <w:shd w:val="clear" w:color="auto" w:fill="FFFFFF" w:themeFill="background1"/>
          </w:tcPr>
          <w:p w14:paraId="5E591E11" w14:textId="77777777" w:rsidR="00953E8A" w:rsidRPr="00EC6C19" w:rsidRDefault="00953E8A" w:rsidP="00953E8A">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21</w:t>
            </w:r>
          </w:p>
          <w:p w14:paraId="1BE34DEE" w14:textId="77777777" w:rsidR="00953E8A" w:rsidRPr="00EC6C19" w:rsidRDefault="00953E8A" w:rsidP="00953E8A">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7A3153DD"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0.77</w:t>
            </w:r>
          </w:p>
        </w:tc>
        <w:tc>
          <w:tcPr>
            <w:tcW w:w="1956" w:type="dxa"/>
            <w:shd w:val="clear" w:color="auto" w:fill="FFFFFF" w:themeFill="background1"/>
          </w:tcPr>
          <w:p w14:paraId="516B2C29"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0.83</w:t>
            </w:r>
          </w:p>
        </w:tc>
        <w:tc>
          <w:tcPr>
            <w:tcW w:w="1978" w:type="dxa"/>
            <w:shd w:val="clear" w:color="auto" w:fill="FFFFFF" w:themeFill="background1"/>
          </w:tcPr>
          <w:p w14:paraId="178A09DF"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w:t>
            </w:r>
          </w:p>
        </w:tc>
        <w:tc>
          <w:tcPr>
            <w:tcW w:w="1735" w:type="dxa"/>
            <w:vMerge/>
            <w:shd w:val="clear" w:color="auto" w:fill="FFFFFF" w:themeFill="background1"/>
          </w:tcPr>
          <w:p w14:paraId="25A975D9" w14:textId="77777777" w:rsidR="00953E8A" w:rsidRPr="00EC6C19" w:rsidRDefault="00953E8A" w:rsidP="00953E8A">
            <w:pPr>
              <w:spacing w:line="360" w:lineRule="auto"/>
              <w:jc w:val="center"/>
              <w:rPr>
                <w:rFonts w:ascii="Times New Roman" w:hAnsi="Times New Roman" w:cs="Times New Roman"/>
                <w:sz w:val="24"/>
                <w:szCs w:val="24"/>
              </w:rPr>
            </w:pPr>
          </w:p>
        </w:tc>
      </w:tr>
      <w:tr w:rsidR="00953E8A" w:rsidRPr="00EC6C19" w14:paraId="2B45E0BA" w14:textId="77777777" w:rsidTr="00953E8A">
        <w:tc>
          <w:tcPr>
            <w:tcW w:w="1985" w:type="dxa"/>
            <w:shd w:val="clear" w:color="auto" w:fill="FFFFFF" w:themeFill="background1"/>
          </w:tcPr>
          <w:p w14:paraId="2AED4A3C" w14:textId="77777777" w:rsidR="00953E8A" w:rsidRPr="00EC6C19" w:rsidRDefault="00953E8A" w:rsidP="00953E8A">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22</w:t>
            </w:r>
          </w:p>
          <w:p w14:paraId="6C4596DE" w14:textId="77777777" w:rsidR="00953E8A" w:rsidRPr="00EC6C19" w:rsidRDefault="00953E8A" w:rsidP="00953E8A">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44B9AFE5"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0.73</w:t>
            </w:r>
          </w:p>
        </w:tc>
        <w:tc>
          <w:tcPr>
            <w:tcW w:w="1956" w:type="dxa"/>
            <w:shd w:val="clear" w:color="auto" w:fill="FFFFFF" w:themeFill="background1"/>
          </w:tcPr>
          <w:p w14:paraId="229DB7BD"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0.76</w:t>
            </w:r>
          </w:p>
        </w:tc>
        <w:tc>
          <w:tcPr>
            <w:tcW w:w="1978" w:type="dxa"/>
            <w:shd w:val="clear" w:color="auto" w:fill="FFFFFF" w:themeFill="background1"/>
          </w:tcPr>
          <w:p w14:paraId="179E9572"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0.03</w:t>
            </w:r>
          </w:p>
        </w:tc>
        <w:tc>
          <w:tcPr>
            <w:tcW w:w="1735" w:type="dxa"/>
            <w:vMerge/>
            <w:shd w:val="clear" w:color="auto" w:fill="FFFFFF" w:themeFill="background1"/>
          </w:tcPr>
          <w:p w14:paraId="39D7EA57" w14:textId="77777777" w:rsidR="00953E8A" w:rsidRPr="00EC6C19" w:rsidRDefault="00953E8A" w:rsidP="00953E8A">
            <w:pPr>
              <w:spacing w:line="360" w:lineRule="auto"/>
              <w:jc w:val="center"/>
              <w:rPr>
                <w:rFonts w:ascii="Times New Roman" w:hAnsi="Times New Roman" w:cs="Times New Roman"/>
                <w:sz w:val="24"/>
                <w:szCs w:val="24"/>
              </w:rPr>
            </w:pPr>
          </w:p>
        </w:tc>
      </w:tr>
      <w:tr w:rsidR="00953E8A" w:rsidRPr="00EC6C19" w14:paraId="7A9E9F99" w14:textId="77777777" w:rsidTr="00953E8A">
        <w:tc>
          <w:tcPr>
            <w:tcW w:w="1985" w:type="dxa"/>
            <w:shd w:val="clear" w:color="auto" w:fill="FFFFFF" w:themeFill="background1"/>
          </w:tcPr>
          <w:p w14:paraId="32CB003C" w14:textId="77777777" w:rsidR="00953E8A" w:rsidRPr="00EC6C19" w:rsidRDefault="00953E8A" w:rsidP="00953E8A">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23</w:t>
            </w:r>
          </w:p>
          <w:p w14:paraId="30D4CE45" w14:textId="77777777" w:rsidR="00953E8A" w:rsidRPr="00EC6C19" w:rsidRDefault="00953E8A" w:rsidP="00953E8A">
            <w:pPr>
              <w:spacing w:line="360" w:lineRule="auto"/>
              <w:jc w:val="center"/>
              <w:rPr>
                <w:rFonts w:ascii="Times New Roman" w:hAnsi="Times New Roman" w:cs="Times New Roman"/>
                <w:b/>
                <w:sz w:val="24"/>
                <w:szCs w:val="24"/>
              </w:rPr>
            </w:pPr>
          </w:p>
        </w:tc>
        <w:tc>
          <w:tcPr>
            <w:tcW w:w="1922" w:type="dxa"/>
            <w:shd w:val="clear" w:color="auto" w:fill="FFFFFF" w:themeFill="background1"/>
          </w:tcPr>
          <w:p w14:paraId="6EFA0A0D"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0.90</w:t>
            </w:r>
          </w:p>
        </w:tc>
        <w:tc>
          <w:tcPr>
            <w:tcW w:w="1956" w:type="dxa"/>
            <w:shd w:val="clear" w:color="auto" w:fill="FFFFFF" w:themeFill="background1"/>
          </w:tcPr>
          <w:p w14:paraId="09607E86"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0.96</w:t>
            </w:r>
          </w:p>
        </w:tc>
        <w:tc>
          <w:tcPr>
            <w:tcW w:w="1978" w:type="dxa"/>
            <w:shd w:val="clear" w:color="auto" w:fill="FFFFFF" w:themeFill="background1"/>
          </w:tcPr>
          <w:p w14:paraId="55E2A070"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w:t>
            </w:r>
          </w:p>
        </w:tc>
        <w:tc>
          <w:tcPr>
            <w:tcW w:w="1735" w:type="dxa"/>
            <w:vMerge/>
            <w:shd w:val="clear" w:color="auto" w:fill="FFFFFF" w:themeFill="background1"/>
          </w:tcPr>
          <w:p w14:paraId="7231C6A5" w14:textId="77777777" w:rsidR="00953E8A" w:rsidRPr="00EC6C19" w:rsidRDefault="00953E8A" w:rsidP="00953E8A">
            <w:pPr>
              <w:spacing w:line="360" w:lineRule="auto"/>
              <w:jc w:val="center"/>
              <w:rPr>
                <w:rFonts w:ascii="Times New Roman" w:hAnsi="Times New Roman" w:cs="Times New Roman"/>
                <w:sz w:val="24"/>
                <w:szCs w:val="24"/>
              </w:rPr>
            </w:pPr>
          </w:p>
        </w:tc>
      </w:tr>
      <w:tr w:rsidR="00953E8A" w:rsidRPr="00EC6C19" w14:paraId="64F4EC65" w14:textId="77777777" w:rsidTr="00953E8A">
        <w:tc>
          <w:tcPr>
            <w:tcW w:w="1985" w:type="dxa"/>
            <w:shd w:val="clear" w:color="auto" w:fill="FFFFFF" w:themeFill="background1"/>
          </w:tcPr>
          <w:p w14:paraId="325DB3EF" w14:textId="6AB4CB31" w:rsidR="00953E8A" w:rsidRPr="00EC6C19" w:rsidRDefault="00953E8A" w:rsidP="00953E8A">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Mean (</w:t>
            </w:r>
            <w:r w:rsidR="00D97E85">
              <w:rPr>
                <w:rFonts w:ascii="Times New Roman" w:hAnsi="Times New Roman" w:cs="Times New Roman"/>
                <w:sz w:val="24"/>
                <w:szCs w:val="24"/>
              </w:rPr>
              <w:t>±</w:t>
            </w:r>
            <w:r w:rsidRPr="00EC6C19">
              <w:rPr>
                <w:rFonts w:ascii="Times New Roman" w:hAnsi="Times New Roman" w:cs="Times New Roman"/>
                <w:b/>
                <w:sz w:val="24"/>
                <w:szCs w:val="24"/>
              </w:rPr>
              <w:t xml:space="preserve"> SD)</w:t>
            </w:r>
          </w:p>
        </w:tc>
        <w:tc>
          <w:tcPr>
            <w:tcW w:w="1922" w:type="dxa"/>
            <w:shd w:val="clear" w:color="auto" w:fill="FFFFFF" w:themeFill="background1"/>
          </w:tcPr>
          <w:p w14:paraId="4FCC9B55"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0.82 (0.06)</w:t>
            </w:r>
          </w:p>
        </w:tc>
        <w:tc>
          <w:tcPr>
            <w:tcW w:w="1956" w:type="dxa"/>
            <w:shd w:val="clear" w:color="auto" w:fill="FFFFFF" w:themeFill="background1"/>
          </w:tcPr>
          <w:p w14:paraId="776FFEF7"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0.87 (0.07)</w:t>
            </w:r>
          </w:p>
        </w:tc>
        <w:tc>
          <w:tcPr>
            <w:tcW w:w="1978" w:type="dxa"/>
            <w:shd w:val="clear" w:color="auto" w:fill="FFFFFF" w:themeFill="background1"/>
          </w:tcPr>
          <w:p w14:paraId="1E9549EF" w14:textId="77777777" w:rsidR="00953E8A" w:rsidRPr="00EC6C19" w:rsidRDefault="00953E8A" w:rsidP="00953E8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0.04 (0.03)</w:t>
            </w:r>
          </w:p>
        </w:tc>
        <w:tc>
          <w:tcPr>
            <w:tcW w:w="1735" w:type="dxa"/>
            <w:vMerge/>
            <w:shd w:val="clear" w:color="auto" w:fill="FFFFFF" w:themeFill="background1"/>
          </w:tcPr>
          <w:p w14:paraId="60422792" w14:textId="77777777" w:rsidR="00953E8A" w:rsidRPr="00EC6C19" w:rsidRDefault="00953E8A" w:rsidP="00953E8A">
            <w:pPr>
              <w:spacing w:line="360" w:lineRule="auto"/>
              <w:jc w:val="center"/>
              <w:rPr>
                <w:rFonts w:ascii="Times New Roman" w:hAnsi="Times New Roman" w:cs="Times New Roman"/>
                <w:sz w:val="24"/>
                <w:szCs w:val="24"/>
              </w:rPr>
            </w:pPr>
          </w:p>
        </w:tc>
      </w:tr>
    </w:tbl>
    <w:p w14:paraId="231DCF29" w14:textId="77777777" w:rsidR="00953E8A" w:rsidRPr="00EC6C19" w:rsidRDefault="00953E8A" w:rsidP="00DC00F9">
      <w:pPr>
        <w:spacing w:line="360" w:lineRule="auto"/>
        <w:rPr>
          <w:rFonts w:ascii="Times New Roman" w:hAnsi="Times New Roman" w:cs="Times New Roman"/>
          <w:i/>
          <w:sz w:val="24"/>
          <w:szCs w:val="24"/>
        </w:rPr>
      </w:pPr>
    </w:p>
    <w:p w14:paraId="49A12405" w14:textId="77777777" w:rsidR="00DC00F9" w:rsidRPr="008630EC" w:rsidRDefault="008630EC" w:rsidP="008630EC">
      <w:pPr>
        <w:pStyle w:val="Caption"/>
        <w:spacing w:line="360" w:lineRule="auto"/>
        <w:rPr>
          <w:rFonts w:ascii="Times New Roman" w:hAnsi="Times New Roman" w:cs="Times New Roman"/>
          <w:b w:val="0"/>
          <w:i/>
          <w:color w:val="auto"/>
          <w:sz w:val="24"/>
          <w:szCs w:val="24"/>
        </w:rPr>
      </w:pPr>
      <w:bookmarkStart w:id="179" w:name="_Toc44962602"/>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26</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Cx FFR. </w:t>
      </w:r>
      <w:r w:rsidR="00DC00F9" w:rsidRPr="008630EC">
        <w:rPr>
          <w:rFonts w:ascii="Times New Roman" w:hAnsi="Times New Roman" w:cs="Times New Roman"/>
          <w:b w:val="0"/>
          <w:i/>
          <w:color w:val="auto"/>
          <w:sz w:val="24"/>
          <w:szCs w:val="24"/>
        </w:rPr>
        <w:t>delta change in FFR</w:t>
      </w:r>
      <w:r w:rsidR="007A7F0D" w:rsidRPr="008630EC">
        <w:rPr>
          <w:rFonts w:ascii="Times New Roman" w:hAnsi="Times New Roman" w:cs="Times New Roman"/>
          <w:b w:val="0"/>
          <w:i/>
          <w:color w:val="auto"/>
          <w:sz w:val="24"/>
          <w:szCs w:val="24"/>
        </w:rPr>
        <w:t xml:space="preserve"> between prone and supine positioning</w:t>
      </w:r>
      <w:r w:rsidR="000B71DA" w:rsidRPr="008630EC">
        <w:rPr>
          <w:rFonts w:ascii="Times New Roman" w:hAnsi="Times New Roman" w:cs="Times New Roman"/>
          <w:b w:val="0"/>
          <w:i/>
          <w:color w:val="auto"/>
          <w:sz w:val="24"/>
          <w:szCs w:val="24"/>
        </w:rPr>
        <w:t xml:space="preserve"> in the Circumflex artery</w:t>
      </w:r>
      <w:r w:rsidR="006B26E9" w:rsidRPr="008630EC">
        <w:rPr>
          <w:rFonts w:ascii="Times New Roman" w:hAnsi="Times New Roman" w:cs="Times New Roman"/>
          <w:b w:val="0"/>
          <w:i/>
          <w:color w:val="auto"/>
          <w:sz w:val="24"/>
          <w:szCs w:val="24"/>
        </w:rPr>
        <w:t>. One delta changed</w:t>
      </w:r>
      <w:r w:rsidR="00DC00F9" w:rsidRPr="008630EC">
        <w:rPr>
          <w:rFonts w:ascii="Times New Roman" w:hAnsi="Times New Roman" w:cs="Times New Roman"/>
          <w:b w:val="0"/>
          <w:i/>
          <w:color w:val="auto"/>
          <w:sz w:val="24"/>
          <w:szCs w:val="24"/>
        </w:rPr>
        <w:t xml:space="preserve"> the opposite direction as anticipated. Results are statistically significant</w:t>
      </w:r>
      <w:r w:rsidR="000B71DA" w:rsidRPr="008630EC">
        <w:rPr>
          <w:rFonts w:ascii="Times New Roman" w:hAnsi="Times New Roman" w:cs="Times New Roman"/>
          <w:b w:val="0"/>
          <w:i/>
          <w:color w:val="auto"/>
          <w:sz w:val="24"/>
          <w:szCs w:val="24"/>
        </w:rPr>
        <w:t xml:space="preserve"> (p &lt;0.05)</w:t>
      </w:r>
      <w:r w:rsidR="00DC00F9" w:rsidRPr="008630EC">
        <w:rPr>
          <w:rFonts w:ascii="Times New Roman" w:hAnsi="Times New Roman" w:cs="Times New Roman"/>
          <w:b w:val="0"/>
          <w:i/>
          <w:color w:val="auto"/>
          <w:sz w:val="24"/>
          <w:szCs w:val="24"/>
        </w:rPr>
        <w:t>.</w:t>
      </w:r>
      <w:bookmarkEnd w:id="179"/>
    </w:p>
    <w:p w14:paraId="45EFC2A3" w14:textId="77777777" w:rsidR="000B71DA" w:rsidRPr="00EC6C19" w:rsidRDefault="000B71DA" w:rsidP="00DC00F9">
      <w:pPr>
        <w:spacing w:line="360" w:lineRule="auto"/>
        <w:rPr>
          <w:rFonts w:ascii="Times New Roman" w:hAnsi="Times New Roman" w:cs="Times New Roman"/>
          <w:i/>
          <w:sz w:val="24"/>
          <w:szCs w:val="24"/>
        </w:rPr>
      </w:pPr>
    </w:p>
    <w:p w14:paraId="1A0AB37F" w14:textId="77777777" w:rsidR="00A0307C" w:rsidRPr="00EC6C19" w:rsidRDefault="000B71DA" w:rsidP="000B71DA">
      <w:pPr>
        <w:ind w:left="-737"/>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2E4CE822" wp14:editId="57722B47">
            <wp:extent cx="6743700" cy="4829175"/>
            <wp:effectExtent l="0" t="0" r="0" b="0"/>
            <wp:docPr id="4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794BF2B" w14:textId="77777777" w:rsidR="007A7F0D" w:rsidRPr="00267C74" w:rsidRDefault="00267C74" w:rsidP="00267C74">
      <w:pPr>
        <w:pStyle w:val="Caption"/>
        <w:spacing w:line="360" w:lineRule="auto"/>
        <w:rPr>
          <w:rFonts w:ascii="Times New Roman" w:hAnsi="Times New Roman" w:cs="Times New Roman"/>
          <w:b w:val="0"/>
          <w:i/>
          <w:color w:val="auto"/>
          <w:sz w:val="24"/>
          <w:szCs w:val="24"/>
        </w:rPr>
      </w:pPr>
      <w:bookmarkStart w:id="180" w:name="_Toc44684932"/>
      <w:r w:rsidRPr="00267C74">
        <w:rPr>
          <w:rFonts w:ascii="Times New Roman" w:hAnsi="Times New Roman" w:cs="Times New Roman"/>
          <w:b w:val="0"/>
          <w:i/>
          <w:color w:val="auto"/>
          <w:sz w:val="24"/>
          <w:szCs w:val="24"/>
        </w:rPr>
        <w:t xml:space="preserve">Figure </w:t>
      </w:r>
      <w:r w:rsidR="00106A32" w:rsidRPr="00267C74">
        <w:rPr>
          <w:rFonts w:ascii="Times New Roman" w:hAnsi="Times New Roman" w:cs="Times New Roman"/>
          <w:b w:val="0"/>
          <w:i/>
          <w:color w:val="auto"/>
          <w:sz w:val="24"/>
          <w:szCs w:val="24"/>
        </w:rPr>
        <w:fldChar w:fldCharType="begin"/>
      </w:r>
      <w:r w:rsidRPr="00267C74">
        <w:rPr>
          <w:rFonts w:ascii="Times New Roman" w:hAnsi="Times New Roman" w:cs="Times New Roman"/>
          <w:b w:val="0"/>
          <w:i/>
          <w:color w:val="auto"/>
          <w:sz w:val="24"/>
          <w:szCs w:val="24"/>
        </w:rPr>
        <w:instrText xml:space="preserve"> SEQ Figure \* ARABIC </w:instrText>
      </w:r>
      <w:r w:rsidR="00106A32" w:rsidRPr="00267C74">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43</w:t>
      </w:r>
      <w:r w:rsidR="00106A32" w:rsidRPr="00267C74">
        <w:rPr>
          <w:rFonts w:ascii="Times New Roman" w:hAnsi="Times New Roman" w:cs="Times New Roman"/>
          <w:b w:val="0"/>
          <w:i/>
          <w:color w:val="auto"/>
          <w:sz w:val="24"/>
          <w:szCs w:val="24"/>
        </w:rPr>
        <w:fldChar w:fldCharType="end"/>
      </w:r>
      <w:r w:rsidRPr="00267C74">
        <w:rPr>
          <w:rFonts w:ascii="Times New Roman" w:hAnsi="Times New Roman" w:cs="Times New Roman"/>
          <w:b w:val="0"/>
          <w:i/>
          <w:color w:val="auto"/>
          <w:sz w:val="24"/>
          <w:szCs w:val="24"/>
        </w:rPr>
        <w:t>- Cx FFR Delta Change between</w:t>
      </w:r>
      <w:r w:rsidR="000B71DA" w:rsidRPr="00267C74">
        <w:rPr>
          <w:rFonts w:ascii="Times New Roman" w:hAnsi="Times New Roman" w:cs="Times New Roman"/>
          <w:b w:val="0"/>
          <w:i/>
          <w:color w:val="auto"/>
          <w:sz w:val="24"/>
          <w:szCs w:val="24"/>
        </w:rPr>
        <w:t xml:space="preserve"> prone</w:t>
      </w:r>
      <w:r w:rsidRPr="00267C74">
        <w:rPr>
          <w:rFonts w:ascii="Times New Roman" w:hAnsi="Times New Roman" w:cs="Times New Roman"/>
          <w:b w:val="0"/>
          <w:i/>
          <w:color w:val="auto"/>
          <w:sz w:val="24"/>
          <w:szCs w:val="24"/>
        </w:rPr>
        <w:t xml:space="preserve"> and supine positioning</w:t>
      </w:r>
      <w:r w:rsidR="00B87EF8" w:rsidRPr="00267C74">
        <w:rPr>
          <w:rFonts w:ascii="Times New Roman" w:hAnsi="Times New Roman" w:cs="Times New Roman"/>
          <w:b w:val="0"/>
          <w:i/>
          <w:color w:val="auto"/>
          <w:sz w:val="24"/>
          <w:szCs w:val="24"/>
        </w:rPr>
        <w:t>.</w:t>
      </w:r>
      <w:r w:rsidR="00E80F29" w:rsidRPr="00267C74">
        <w:rPr>
          <w:rFonts w:ascii="Times New Roman" w:hAnsi="Times New Roman" w:cs="Times New Roman"/>
          <w:b w:val="0"/>
          <w:i/>
          <w:color w:val="auto"/>
          <w:sz w:val="24"/>
          <w:szCs w:val="24"/>
        </w:rPr>
        <w:t xml:space="preserve"> Mean values are in red.</w:t>
      </w:r>
      <w:r w:rsidR="00B87EF8" w:rsidRPr="00267C74">
        <w:rPr>
          <w:rFonts w:ascii="Times New Roman" w:hAnsi="Times New Roman" w:cs="Times New Roman"/>
          <w:b w:val="0"/>
          <w:i/>
          <w:color w:val="auto"/>
          <w:sz w:val="24"/>
          <w:szCs w:val="24"/>
        </w:rPr>
        <w:t xml:space="preserve"> The</w:t>
      </w:r>
      <w:r w:rsidR="007A7F0D" w:rsidRPr="00267C74">
        <w:rPr>
          <w:rFonts w:ascii="Times New Roman" w:hAnsi="Times New Roman" w:cs="Times New Roman"/>
          <w:b w:val="0"/>
          <w:i/>
          <w:color w:val="auto"/>
          <w:sz w:val="24"/>
          <w:szCs w:val="24"/>
        </w:rPr>
        <w:t xml:space="preserve"> results are statistically significant (p&lt;0.05)</w:t>
      </w:r>
      <w:bookmarkEnd w:id="180"/>
    </w:p>
    <w:p w14:paraId="107698A9" w14:textId="77777777" w:rsidR="00EE56BD" w:rsidRDefault="00EE56BD">
      <w:pPr>
        <w:rPr>
          <w:rFonts w:ascii="Times New Roman" w:hAnsi="Times New Roman" w:cs="Times New Roman"/>
          <w:i/>
          <w:sz w:val="24"/>
          <w:szCs w:val="24"/>
        </w:rPr>
      </w:pPr>
    </w:p>
    <w:p w14:paraId="30CB3C2D" w14:textId="77777777" w:rsidR="00B35A6A" w:rsidRDefault="00B35A6A">
      <w:pPr>
        <w:rPr>
          <w:rFonts w:ascii="Times New Roman" w:hAnsi="Times New Roman" w:cs="Times New Roman"/>
          <w:i/>
          <w:sz w:val="24"/>
          <w:szCs w:val="24"/>
        </w:rPr>
      </w:pPr>
    </w:p>
    <w:p w14:paraId="7FD04756" w14:textId="77777777" w:rsidR="00B35A6A" w:rsidRPr="00EC6C19" w:rsidRDefault="00B35A6A">
      <w:pPr>
        <w:rPr>
          <w:rFonts w:ascii="Times New Roman" w:hAnsi="Times New Roman" w:cs="Times New Roman"/>
          <w:i/>
          <w:sz w:val="24"/>
          <w:szCs w:val="24"/>
        </w:rPr>
      </w:pPr>
    </w:p>
    <w:p w14:paraId="744DA8E6" w14:textId="77777777" w:rsidR="000B71DA" w:rsidRPr="00EC6C19" w:rsidRDefault="000B71DA">
      <w:pPr>
        <w:rPr>
          <w:rFonts w:ascii="Times New Roman" w:hAnsi="Times New Roman" w:cs="Times New Roman"/>
          <w:i/>
          <w:sz w:val="24"/>
          <w:szCs w:val="24"/>
        </w:rPr>
      </w:pPr>
      <w:r w:rsidRPr="00EC6C19">
        <w:rPr>
          <w:rFonts w:ascii="Times New Roman" w:hAnsi="Times New Roman" w:cs="Times New Roman"/>
          <w:i/>
          <w:sz w:val="24"/>
          <w:szCs w:val="24"/>
        </w:rPr>
        <w:t>Right Coronary Artery</w:t>
      </w:r>
    </w:p>
    <w:p w14:paraId="625566BB" w14:textId="77777777" w:rsidR="00EE56BD" w:rsidRPr="00EC6C19" w:rsidRDefault="00EE56BD">
      <w:pPr>
        <w:rPr>
          <w:rFonts w:ascii="Times New Roman" w:hAnsi="Times New Roman" w:cs="Times New Roman"/>
          <w:i/>
          <w:sz w:val="24"/>
          <w:szCs w:val="24"/>
          <w:u w:val="single"/>
        </w:rPr>
      </w:pPr>
    </w:p>
    <w:p w14:paraId="0152F26C" w14:textId="77777777" w:rsidR="00953E8A" w:rsidRPr="00CF154F" w:rsidRDefault="00953E8A">
      <w:pPr>
        <w:rPr>
          <w:rFonts w:ascii="Times New Roman" w:hAnsi="Times New Roman" w:cs="Times New Roman"/>
          <w:sz w:val="24"/>
          <w:szCs w:val="24"/>
        </w:rPr>
      </w:pPr>
      <w:r w:rsidRPr="00EC6C19">
        <w:rPr>
          <w:rFonts w:ascii="Times New Roman" w:hAnsi="Times New Roman" w:cs="Times New Roman"/>
          <w:sz w:val="24"/>
          <w:szCs w:val="24"/>
        </w:rPr>
        <w:t>Delta change between positions in the RCA was 0.04 (p &lt; 0.05</w:t>
      </w:r>
      <w:r w:rsidRPr="008630EC">
        <w:rPr>
          <w:rFonts w:ascii="Times New Roman" w:hAnsi="Times New Roman" w:cs="Times New Roman"/>
          <w:sz w:val="24"/>
          <w:szCs w:val="24"/>
        </w:rPr>
        <w:t xml:space="preserve">). Table </w:t>
      </w:r>
      <w:r w:rsidR="008630EC" w:rsidRPr="008630EC">
        <w:rPr>
          <w:rFonts w:ascii="Times New Roman" w:hAnsi="Times New Roman" w:cs="Times New Roman"/>
          <w:sz w:val="24"/>
          <w:szCs w:val="24"/>
        </w:rPr>
        <w:t>27</w:t>
      </w:r>
      <w:r w:rsidRPr="008630EC">
        <w:rPr>
          <w:rFonts w:ascii="Times New Roman" w:hAnsi="Times New Roman" w:cs="Times New Roman"/>
          <w:sz w:val="24"/>
          <w:szCs w:val="24"/>
        </w:rPr>
        <w:t xml:space="preserve"> and figure</w:t>
      </w:r>
      <w:r w:rsidRPr="00CF154F">
        <w:rPr>
          <w:rFonts w:ascii="Times New Roman" w:hAnsi="Times New Roman" w:cs="Times New Roman"/>
          <w:sz w:val="24"/>
          <w:szCs w:val="24"/>
        </w:rPr>
        <w:t xml:space="preserve"> </w:t>
      </w:r>
      <w:r w:rsidR="00CF154F" w:rsidRPr="00CF154F">
        <w:rPr>
          <w:rFonts w:ascii="Times New Roman" w:hAnsi="Times New Roman" w:cs="Times New Roman"/>
          <w:sz w:val="24"/>
          <w:szCs w:val="24"/>
        </w:rPr>
        <w:t>44</w:t>
      </w:r>
      <w:r w:rsidRPr="00CF154F">
        <w:rPr>
          <w:rFonts w:ascii="Times New Roman" w:hAnsi="Times New Roman" w:cs="Times New Roman"/>
          <w:sz w:val="24"/>
          <w:szCs w:val="24"/>
        </w:rPr>
        <w:t xml:space="preserve"> summarise the results.</w:t>
      </w:r>
    </w:p>
    <w:p w14:paraId="662ACE95" w14:textId="77777777" w:rsidR="00953E8A" w:rsidRPr="00EC6C19" w:rsidRDefault="00953E8A">
      <w:pPr>
        <w:rPr>
          <w:rFonts w:ascii="Times New Roman" w:hAnsi="Times New Roman" w:cs="Times New Roman"/>
          <w:sz w:val="24"/>
          <w:szCs w:val="24"/>
        </w:rPr>
      </w:pPr>
    </w:p>
    <w:p w14:paraId="1344108F" w14:textId="77777777" w:rsidR="00953E8A" w:rsidRPr="00EC6C19" w:rsidRDefault="00953E8A">
      <w:pPr>
        <w:rPr>
          <w:rFonts w:ascii="Times New Roman" w:hAnsi="Times New Roman" w:cs="Times New Roman"/>
          <w:sz w:val="24"/>
          <w:szCs w:val="24"/>
        </w:rPr>
      </w:pPr>
    </w:p>
    <w:tbl>
      <w:tblPr>
        <w:tblW w:w="0" w:type="auto"/>
        <w:tblLook w:val="04A0" w:firstRow="1" w:lastRow="0" w:firstColumn="1" w:lastColumn="0" w:noHBand="0" w:noVBand="1"/>
      </w:tblPr>
      <w:tblGrid>
        <w:gridCol w:w="2456"/>
        <w:gridCol w:w="1364"/>
        <w:gridCol w:w="1911"/>
        <w:gridCol w:w="1935"/>
        <w:gridCol w:w="1694"/>
      </w:tblGrid>
      <w:tr w:rsidR="00953E8A" w:rsidRPr="00EC6C19" w14:paraId="716E5B76" w14:textId="77777777" w:rsidTr="00953E8A">
        <w:tc>
          <w:tcPr>
            <w:tcW w:w="2518" w:type="dxa"/>
            <w:tcBorders>
              <w:bottom w:val="single" w:sz="18" w:space="0" w:color="000000" w:themeColor="text1"/>
            </w:tcBorders>
            <w:shd w:val="clear" w:color="auto" w:fill="F2F2F2" w:themeFill="background1" w:themeFillShade="F2"/>
          </w:tcPr>
          <w:p w14:paraId="353C0881"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Case Number</w:t>
            </w:r>
          </w:p>
          <w:p w14:paraId="5B1F0C70" w14:textId="77777777" w:rsidR="00953E8A" w:rsidRPr="00EC6C19" w:rsidRDefault="00953E8A" w:rsidP="000B71DA">
            <w:pPr>
              <w:spacing w:line="360" w:lineRule="auto"/>
              <w:rPr>
                <w:rFonts w:ascii="Times New Roman" w:hAnsi="Times New Roman" w:cs="Times New Roman"/>
                <w:sz w:val="24"/>
                <w:szCs w:val="24"/>
              </w:rPr>
            </w:pPr>
          </w:p>
        </w:tc>
        <w:tc>
          <w:tcPr>
            <w:tcW w:w="1389" w:type="dxa"/>
            <w:tcBorders>
              <w:bottom w:val="single" w:sz="18" w:space="0" w:color="000000" w:themeColor="text1"/>
            </w:tcBorders>
            <w:shd w:val="clear" w:color="auto" w:fill="F2F2F2" w:themeFill="background1" w:themeFillShade="F2"/>
          </w:tcPr>
          <w:p w14:paraId="512CFAC8"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Prone FFR</w:t>
            </w:r>
          </w:p>
        </w:tc>
        <w:tc>
          <w:tcPr>
            <w:tcW w:w="1956" w:type="dxa"/>
            <w:tcBorders>
              <w:bottom w:val="single" w:sz="18" w:space="0" w:color="000000" w:themeColor="text1"/>
            </w:tcBorders>
            <w:shd w:val="clear" w:color="auto" w:fill="F2F2F2" w:themeFill="background1" w:themeFillShade="F2"/>
          </w:tcPr>
          <w:p w14:paraId="459D992E"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Supine FFR</w:t>
            </w:r>
          </w:p>
        </w:tc>
        <w:tc>
          <w:tcPr>
            <w:tcW w:w="1978" w:type="dxa"/>
            <w:tcBorders>
              <w:bottom w:val="single" w:sz="18" w:space="0" w:color="000000" w:themeColor="text1"/>
            </w:tcBorders>
            <w:shd w:val="clear" w:color="auto" w:fill="F2F2F2" w:themeFill="background1" w:themeFillShade="F2"/>
          </w:tcPr>
          <w:p w14:paraId="4A0A6156"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Delta Change</w:t>
            </w:r>
          </w:p>
        </w:tc>
        <w:tc>
          <w:tcPr>
            <w:tcW w:w="1735" w:type="dxa"/>
            <w:tcBorders>
              <w:bottom w:val="single" w:sz="18" w:space="0" w:color="000000" w:themeColor="text1"/>
            </w:tcBorders>
            <w:shd w:val="clear" w:color="auto" w:fill="F2F2F2" w:themeFill="background1" w:themeFillShade="F2"/>
          </w:tcPr>
          <w:p w14:paraId="0B45021A" w14:textId="77777777" w:rsidR="00953E8A" w:rsidRPr="00EC6C19" w:rsidRDefault="00953E8A" w:rsidP="000B71DA">
            <w:pPr>
              <w:spacing w:line="360" w:lineRule="auto"/>
              <w:rPr>
                <w:rFonts w:ascii="Times New Roman" w:hAnsi="Times New Roman" w:cs="Times New Roman"/>
                <w:sz w:val="24"/>
                <w:szCs w:val="24"/>
              </w:rPr>
            </w:pPr>
          </w:p>
        </w:tc>
      </w:tr>
      <w:tr w:rsidR="00953E8A" w:rsidRPr="00EC6C19" w14:paraId="6927707A" w14:textId="77777777" w:rsidTr="00953E8A">
        <w:tc>
          <w:tcPr>
            <w:tcW w:w="2518" w:type="dxa"/>
            <w:tcBorders>
              <w:top w:val="single" w:sz="18" w:space="0" w:color="000000" w:themeColor="text1"/>
            </w:tcBorders>
            <w:shd w:val="clear" w:color="auto" w:fill="FFFFFF" w:themeFill="background1"/>
          </w:tcPr>
          <w:p w14:paraId="31B7AAAA" w14:textId="77777777" w:rsidR="00953E8A" w:rsidRPr="00EC6C19" w:rsidRDefault="00953E8A" w:rsidP="000B71DA">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5 (PDA)</w:t>
            </w:r>
          </w:p>
          <w:p w14:paraId="6E1B0BB4" w14:textId="77777777" w:rsidR="00953E8A" w:rsidRPr="00EC6C19" w:rsidRDefault="00953E8A" w:rsidP="000B71DA">
            <w:pPr>
              <w:spacing w:line="360" w:lineRule="auto"/>
              <w:rPr>
                <w:rFonts w:ascii="Times New Roman" w:hAnsi="Times New Roman" w:cs="Times New Roman"/>
                <w:b/>
                <w:sz w:val="24"/>
                <w:szCs w:val="24"/>
              </w:rPr>
            </w:pPr>
          </w:p>
        </w:tc>
        <w:tc>
          <w:tcPr>
            <w:tcW w:w="1389" w:type="dxa"/>
            <w:tcBorders>
              <w:top w:val="single" w:sz="18" w:space="0" w:color="000000" w:themeColor="text1"/>
            </w:tcBorders>
            <w:shd w:val="clear" w:color="auto" w:fill="FFFFFF" w:themeFill="background1"/>
          </w:tcPr>
          <w:p w14:paraId="1E9CF154"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0.68</w:t>
            </w:r>
          </w:p>
        </w:tc>
        <w:tc>
          <w:tcPr>
            <w:tcW w:w="1956" w:type="dxa"/>
            <w:tcBorders>
              <w:top w:val="single" w:sz="18" w:space="0" w:color="000000" w:themeColor="text1"/>
            </w:tcBorders>
            <w:shd w:val="clear" w:color="auto" w:fill="FFFFFF" w:themeFill="background1"/>
          </w:tcPr>
          <w:p w14:paraId="05E2DD97"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0.62</w:t>
            </w:r>
          </w:p>
        </w:tc>
        <w:tc>
          <w:tcPr>
            <w:tcW w:w="1978" w:type="dxa"/>
            <w:tcBorders>
              <w:top w:val="single" w:sz="18" w:space="0" w:color="000000" w:themeColor="text1"/>
            </w:tcBorders>
            <w:shd w:val="clear" w:color="auto" w:fill="FFFFFF" w:themeFill="background1"/>
          </w:tcPr>
          <w:p w14:paraId="6B5B9490"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0.06</w:t>
            </w:r>
          </w:p>
        </w:tc>
        <w:tc>
          <w:tcPr>
            <w:tcW w:w="1735" w:type="dxa"/>
            <w:tcBorders>
              <w:top w:val="single" w:sz="18" w:space="0" w:color="000000" w:themeColor="text1"/>
            </w:tcBorders>
            <w:shd w:val="clear" w:color="auto" w:fill="FFFFFF" w:themeFill="background1"/>
          </w:tcPr>
          <w:p w14:paraId="335F46AF" w14:textId="77777777" w:rsidR="00953E8A" w:rsidRPr="00EC6C19" w:rsidRDefault="00953E8A" w:rsidP="000B71DA">
            <w:pPr>
              <w:spacing w:line="360" w:lineRule="auto"/>
              <w:rPr>
                <w:rFonts w:ascii="Times New Roman" w:hAnsi="Times New Roman" w:cs="Times New Roman"/>
                <w:sz w:val="24"/>
                <w:szCs w:val="24"/>
              </w:rPr>
            </w:pPr>
          </w:p>
        </w:tc>
      </w:tr>
      <w:tr w:rsidR="00953E8A" w:rsidRPr="00EC6C19" w14:paraId="048D4260" w14:textId="77777777" w:rsidTr="00953E8A">
        <w:tc>
          <w:tcPr>
            <w:tcW w:w="2518" w:type="dxa"/>
            <w:shd w:val="clear" w:color="auto" w:fill="FFFFFF" w:themeFill="background1"/>
          </w:tcPr>
          <w:p w14:paraId="2912EE69" w14:textId="77777777" w:rsidR="00953E8A" w:rsidRPr="00EC6C19" w:rsidRDefault="00953E8A" w:rsidP="00357833">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14  (PDA)</w:t>
            </w:r>
          </w:p>
          <w:p w14:paraId="5650EFCF" w14:textId="77777777" w:rsidR="00953E8A" w:rsidRPr="00EC6C19" w:rsidRDefault="00953E8A" w:rsidP="00357833">
            <w:pPr>
              <w:spacing w:line="360" w:lineRule="auto"/>
              <w:rPr>
                <w:rFonts w:ascii="Times New Roman" w:hAnsi="Times New Roman" w:cs="Times New Roman"/>
                <w:b/>
                <w:sz w:val="24"/>
                <w:szCs w:val="24"/>
              </w:rPr>
            </w:pPr>
          </w:p>
        </w:tc>
        <w:tc>
          <w:tcPr>
            <w:tcW w:w="1389" w:type="dxa"/>
            <w:shd w:val="clear" w:color="auto" w:fill="FFFFFF" w:themeFill="background1"/>
          </w:tcPr>
          <w:p w14:paraId="7A0CC4D8" w14:textId="77777777" w:rsidR="00953E8A" w:rsidRPr="00EC6C19" w:rsidRDefault="00953E8A"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0.82</w:t>
            </w:r>
          </w:p>
        </w:tc>
        <w:tc>
          <w:tcPr>
            <w:tcW w:w="1956" w:type="dxa"/>
            <w:shd w:val="clear" w:color="auto" w:fill="FFFFFF" w:themeFill="background1"/>
          </w:tcPr>
          <w:p w14:paraId="56E87AD8" w14:textId="77777777" w:rsidR="00953E8A" w:rsidRPr="00EC6C19" w:rsidRDefault="00953E8A"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0.75</w:t>
            </w:r>
          </w:p>
        </w:tc>
        <w:tc>
          <w:tcPr>
            <w:tcW w:w="1978" w:type="dxa"/>
            <w:shd w:val="clear" w:color="auto" w:fill="FFFFFF" w:themeFill="background1"/>
          </w:tcPr>
          <w:p w14:paraId="2FBD8B5C" w14:textId="77777777" w:rsidR="00953E8A" w:rsidRPr="00EC6C19" w:rsidRDefault="00953E8A"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0.07</w:t>
            </w:r>
          </w:p>
        </w:tc>
        <w:tc>
          <w:tcPr>
            <w:tcW w:w="1735" w:type="dxa"/>
            <w:shd w:val="clear" w:color="auto" w:fill="FFFFFF" w:themeFill="background1"/>
          </w:tcPr>
          <w:p w14:paraId="15980890" w14:textId="77777777" w:rsidR="00953E8A" w:rsidRPr="00EC6C19" w:rsidRDefault="00953E8A" w:rsidP="000B71DA">
            <w:pPr>
              <w:spacing w:line="360" w:lineRule="auto"/>
              <w:rPr>
                <w:rFonts w:ascii="Times New Roman" w:hAnsi="Times New Roman" w:cs="Times New Roman"/>
                <w:sz w:val="24"/>
                <w:szCs w:val="24"/>
              </w:rPr>
            </w:pPr>
          </w:p>
        </w:tc>
      </w:tr>
      <w:tr w:rsidR="00953E8A" w:rsidRPr="00EC6C19" w14:paraId="4173F3E8" w14:textId="77777777" w:rsidTr="00953E8A">
        <w:tc>
          <w:tcPr>
            <w:tcW w:w="2518" w:type="dxa"/>
            <w:shd w:val="clear" w:color="auto" w:fill="FFFFFF" w:themeFill="background1"/>
          </w:tcPr>
          <w:p w14:paraId="3A3809FC" w14:textId="40C5121F" w:rsidR="00953E8A" w:rsidRPr="00EC6C19" w:rsidRDefault="00953E8A" w:rsidP="00357833">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PDA Mean (</w:t>
            </w:r>
            <w:r w:rsidR="00D97E85">
              <w:rPr>
                <w:rFonts w:ascii="Times New Roman" w:hAnsi="Times New Roman" w:cs="Times New Roman"/>
                <w:sz w:val="24"/>
                <w:szCs w:val="24"/>
              </w:rPr>
              <w:t>±</w:t>
            </w:r>
            <w:r w:rsidRPr="00EC6C19">
              <w:rPr>
                <w:rFonts w:ascii="Times New Roman" w:hAnsi="Times New Roman" w:cs="Times New Roman"/>
                <w:b/>
                <w:sz w:val="24"/>
                <w:szCs w:val="24"/>
              </w:rPr>
              <w:t>SD(+)</w:t>
            </w:r>
          </w:p>
          <w:p w14:paraId="12E3C95D" w14:textId="77777777" w:rsidR="00953E8A" w:rsidRPr="00EC6C19" w:rsidRDefault="00953E8A" w:rsidP="00357833">
            <w:pPr>
              <w:spacing w:line="360" w:lineRule="auto"/>
              <w:rPr>
                <w:rFonts w:ascii="Times New Roman" w:hAnsi="Times New Roman" w:cs="Times New Roman"/>
                <w:b/>
                <w:sz w:val="24"/>
                <w:szCs w:val="24"/>
              </w:rPr>
            </w:pPr>
          </w:p>
        </w:tc>
        <w:tc>
          <w:tcPr>
            <w:tcW w:w="1389" w:type="dxa"/>
            <w:shd w:val="clear" w:color="auto" w:fill="FFFFFF" w:themeFill="background1"/>
          </w:tcPr>
          <w:p w14:paraId="47B0ACD5" w14:textId="77777777" w:rsidR="00953E8A" w:rsidRPr="00EC6C19" w:rsidRDefault="00953E8A"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0.75 (0.10)</w:t>
            </w:r>
          </w:p>
        </w:tc>
        <w:tc>
          <w:tcPr>
            <w:tcW w:w="1956" w:type="dxa"/>
            <w:shd w:val="clear" w:color="auto" w:fill="FFFFFF" w:themeFill="background1"/>
          </w:tcPr>
          <w:p w14:paraId="5FE33C1F" w14:textId="77777777" w:rsidR="00953E8A" w:rsidRPr="00EC6C19" w:rsidRDefault="00953E8A"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0.69 (0.10)</w:t>
            </w:r>
          </w:p>
        </w:tc>
        <w:tc>
          <w:tcPr>
            <w:tcW w:w="1978" w:type="dxa"/>
            <w:shd w:val="clear" w:color="auto" w:fill="FFFFFF" w:themeFill="background1"/>
          </w:tcPr>
          <w:p w14:paraId="2B865BD0" w14:textId="77777777" w:rsidR="00953E8A" w:rsidRPr="00EC6C19" w:rsidRDefault="00953E8A"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0.07 (0.01)</w:t>
            </w:r>
          </w:p>
        </w:tc>
        <w:tc>
          <w:tcPr>
            <w:tcW w:w="1735" w:type="dxa"/>
            <w:shd w:val="clear" w:color="auto" w:fill="FFFFFF" w:themeFill="background1"/>
          </w:tcPr>
          <w:p w14:paraId="5C7CF947" w14:textId="77777777" w:rsidR="00953E8A" w:rsidRPr="00EC6C19" w:rsidRDefault="00953E8A" w:rsidP="000B71DA">
            <w:pPr>
              <w:spacing w:line="360" w:lineRule="auto"/>
              <w:rPr>
                <w:rFonts w:ascii="Times New Roman" w:hAnsi="Times New Roman" w:cs="Times New Roman"/>
                <w:sz w:val="24"/>
                <w:szCs w:val="24"/>
              </w:rPr>
            </w:pPr>
          </w:p>
        </w:tc>
      </w:tr>
      <w:tr w:rsidR="00953E8A" w:rsidRPr="00EC6C19" w14:paraId="3F606E55" w14:textId="77777777" w:rsidTr="00953E8A">
        <w:tc>
          <w:tcPr>
            <w:tcW w:w="2518" w:type="dxa"/>
            <w:shd w:val="clear" w:color="auto" w:fill="FFFFFF" w:themeFill="background1"/>
          </w:tcPr>
          <w:p w14:paraId="1860E054" w14:textId="77777777" w:rsidR="00953E8A" w:rsidRPr="00EC6C19" w:rsidRDefault="00953E8A" w:rsidP="000B71DA">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12 (PLV)</w:t>
            </w:r>
          </w:p>
          <w:p w14:paraId="578AB036" w14:textId="77777777" w:rsidR="00953E8A" w:rsidRPr="00EC6C19" w:rsidRDefault="00953E8A" w:rsidP="000B71DA">
            <w:pPr>
              <w:spacing w:line="360" w:lineRule="auto"/>
              <w:rPr>
                <w:rFonts w:ascii="Times New Roman" w:hAnsi="Times New Roman" w:cs="Times New Roman"/>
                <w:b/>
                <w:sz w:val="24"/>
                <w:szCs w:val="24"/>
              </w:rPr>
            </w:pPr>
          </w:p>
        </w:tc>
        <w:tc>
          <w:tcPr>
            <w:tcW w:w="1389" w:type="dxa"/>
            <w:shd w:val="clear" w:color="auto" w:fill="FFFFFF" w:themeFill="background1"/>
          </w:tcPr>
          <w:p w14:paraId="7E96DC35"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0.89</w:t>
            </w:r>
          </w:p>
        </w:tc>
        <w:tc>
          <w:tcPr>
            <w:tcW w:w="1956" w:type="dxa"/>
            <w:shd w:val="clear" w:color="auto" w:fill="FFFFFF" w:themeFill="background1"/>
          </w:tcPr>
          <w:p w14:paraId="7C8AE03A"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0.91</w:t>
            </w:r>
          </w:p>
        </w:tc>
        <w:tc>
          <w:tcPr>
            <w:tcW w:w="1978" w:type="dxa"/>
            <w:shd w:val="clear" w:color="auto" w:fill="FFFFFF" w:themeFill="background1"/>
          </w:tcPr>
          <w:p w14:paraId="76C8FE63"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0.02</w:t>
            </w:r>
          </w:p>
        </w:tc>
        <w:tc>
          <w:tcPr>
            <w:tcW w:w="1735" w:type="dxa"/>
            <w:shd w:val="clear" w:color="auto" w:fill="FFFFFF" w:themeFill="background1"/>
          </w:tcPr>
          <w:p w14:paraId="17D41CC5"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P = 0.004</w:t>
            </w:r>
          </w:p>
        </w:tc>
      </w:tr>
      <w:tr w:rsidR="00953E8A" w:rsidRPr="00EC6C19" w14:paraId="76BF7624" w14:textId="77777777" w:rsidTr="00953E8A">
        <w:tc>
          <w:tcPr>
            <w:tcW w:w="2518" w:type="dxa"/>
            <w:shd w:val="clear" w:color="auto" w:fill="FFFFFF" w:themeFill="background1"/>
          </w:tcPr>
          <w:p w14:paraId="717598A1" w14:textId="77777777" w:rsidR="00953E8A" w:rsidRPr="00EC6C19" w:rsidRDefault="00953E8A" w:rsidP="000B71DA">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13 (PLV)</w:t>
            </w:r>
          </w:p>
          <w:p w14:paraId="476D4BF4" w14:textId="77777777" w:rsidR="00953E8A" w:rsidRPr="00EC6C19" w:rsidRDefault="00953E8A" w:rsidP="000B71DA">
            <w:pPr>
              <w:spacing w:line="360" w:lineRule="auto"/>
              <w:rPr>
                <w:rFonts w:ascii="Times New Roman" w:hAnsi="Times New Roman" w:cs="Times New Roman"/>
                <w:b/>
                <w:sz w:val="24"/>
                <w:szCs w:val="24"/>
              </w:rPr>
            </w:pPr>
          </w:p>
        </w:tc>
        <w:tc>
          <w:tcPr>
            <w:tcW w:w="1389" w:type="dxa"/>
            <w:shd w:val="clear" w:color="auto" w:fill="FFFFFF" w:themeFill="background1"/>
          </w:tcPr>
          <w:p w14:paraId="4707A608"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0.74</w:t>
            </w:r>
          </w:p>
        </w:tc>
        <w:tc>
          <w:tcPr>
            <w:tcW w:w="1956" w:type="dxa"/>
            <w:shd w:val="clear" w:color="auto" w:fill="FFFFFF" w:themeFill="background1"/>
          </w:tcPr>
          <w:p w14:paraId="0B796B4F"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0.80</w:t>
            </w:r>
          </w:p>
        </w:tc>
        <w:tc>
          <w:tcPr>
            <w:tcW w:w="1978" w:type="dxa"/>
            <w:shd w:val="clear" w:color="auto" w:fill="FFFFFF" w:themeFill="background1"/>
          </w:tcPr>
          <w:p w14:paraId="4C16667A"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0.06</w:t>
            </w:r>
          </w:p>
        </w:tc>
        <w:tc>
          <w:tcPr>
            <w:tcW w:w="1735" w:type="dxa"/>
            <w:shd w:val="clear" w:color="auto" w:fill="FFFFFF" w:themeFill="background1"/>
          </w:tcPr>
          <w:p w14:paraId="126639AE" w14:textId="77777777" w:rsidR="00953E8A" w:rsidRPr="00EC6C19" w:rsidRDefault="00953E8A" w:rsidP="000B71DA">
            <w:pPr>
              <w:spacing w:line="360" w:lineRule="auto"/>
              <w:rPr>
                <w:rFonts w:ascii="Times New Roman" w:hAnsi="Times New Roman" w:cs="Times New Roman"/>
                <w:sz w:val="24"/>
                <w:szCs w:val="24"/>
              </w:rPr>
            </w:pPr>
          </w:p>
        </w:tc>
      </w:tr>
      <w:tr w:rsidR="00953E8A" w:rsidRPr="00EC6C19" w14:paraId="728F1BE3" w14:textId="77777777" w:rsidTr="00953E8A">
        <w:tc>
          <w:tcPr>
            <w:tcW w:w="2518" w:type="dxa"/>
            <w:shd w:val="clear" w:color="auto" w:fill="FFFFFF" w:themeFill="background1"/>
          </w:tcPr>
          <w:p w14:paraId="2A242A2E" w14:textId="77777777" w:rsidR="00953E8A" w:rsidRPr="00EC6C19" w:rsidRDefault="00953E8A" w:rsidP="000B71DA">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19 (PLV)</w:t>
            </w:r>
          </w:p>
          <w:p w14:paraId="4872FE27" w14:textId="77777777" w:rsidR="00953E8A" w:rsidRPr="00EC6C19" w:rsidRDefault="00953E8A" w:rsidP="000B71DA">
            <w:pPr>
              <w:spacing w:line="360" w:lineRule="auto"/>
              <w:rPr>
                <w:rFonts w:ascii="Times New Roman" w:hAnsi="Times New Roman" w:cs="Times New Roman"/>
                <w:b/>
                <w:sz w:val="24"/>
                <w:szCs w:val="24"/>
              </w:rPr>
            </w:pPr>
          </w:p>
        </w:tc>
        <w:tc>
          <w:tcPr>
            <w:tcW w:w="1389" w:type="dxa"/>
            <w:shd w:val="clear" w:color="auto" w:fill="FFFFFF" w:themeFill="background1"/>
          </w:tcPr>
          <w:p w14:paraId="7E8CF708"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0.73</w:t>
            </w:r>
          </w:p>
        </w:tc>
        <w:tc>
          <w:tcPr>
            <w:tcW w:w="1956" w:type="dxa"/>
            <w:shd w:val="clear" w:color="auto" w:fill="FFFFFF" w:themeFill="background1"/>
          </w:tcPr>
          <w:p w14:paraId="00EDD815"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0.77</w:t>
            </w:r>
          </w:p>
        </w:tc>
        <w:tc>
          <w:tcPr>
            <w:tcW w:w="1978" w:type="dxa"/>
            <w:shd w:val="clear" w:color="auto" w:fill="FFFFFF" w:themeFill="background1"/>
          </w:tcPr>
          <w:p w14:paraId="3F875FF1"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0.04</w:t>
            </w:r>
          </w:p>
        </w:tc>
        <w:tc>
          <w:tcPr>
            <w:tcW w:w="1735" w:type="dxa"/>
            <w:shd w:val="clear" w:color="auto" w:fill="FFFFFF" w:themeFill="background1"/>
          </w:tcPr>
          <w:p w14:paraId="477870E0" w14:textId="77777777" w:rsidR="00953E8A" w:rsidRPr="00EC6C19" w:rsidRDefault="00953E8A" w:rsidP="000B71DA">
            <w:pPr>
              <w:spacing w:line="360" w:lineRule="auto"/>
              <w:rPr>
                <w:rFonts w:ascii="Times New Roman" w:hAnsi="Times New Roman" w:cs="Times New Roman"/>
                <w:sz w:val="24"/>
                <w:szCs w:val="24"/>
              </w:rPr>
            </w:pPr>
          </w:p>
        </w:tc>
      </w:tr>
      <w:tr w:rsidR="00953E8A" w:rsidRPr="00EC6C19" w14:paraId="484EBFCC" w14:textId="77777777" w:rsidTr="00953E8A">
        <w:tc>
          <w:tcPr>
            <w:tcW w:w="2518" w:type="dxa"/>
            <w:shd w:val="clear" w:color="auto" w:fill="FFFFFF" w:themeFill="background1"/>
          </w:tcPr>
          <w:p w14:paraId="772DBD7C" w14:textId="77777777" w:rsidR="00953E8A" w:rsidRPr="00EC6C19" w:rsidRDefault="00953E8A" w:rsidP="000B71DA">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20 (PLV)</w:t>
            </w:r>
          </w:p>
          <w:p w14:paraId="30CB3F26" w14:textId="77777777" w:rsidR="00953E8A" w:rsidRPr="00EC6C19" w:rsidRDefault="00953E8A" w:rsidP="000B71DA">
            <w:pPr>
              <w:spacing w:line="360" w:lineRule="auto"/>
              <w:rPr>
                <w:rFonts w:ascii="Times New Roman" w:hAnsi="Times New Roman" w:cs="Times New Roman"/>
                <w:b/>
                <w:sz w:val="24"/>
                <w:szCs w:val="24"/>
              </w:rPr>
            </w:pPr>
          </w:p>
        </w:tc>
        <w:tc>
          <w:tcPr>
            <w:tcW w:w="1389" w:type="dxa"/>
            <w:shd w:val="clear" w:color="auto" w:fill="FFFFFF" w:themeFill="background1"/>
          </w:tcPr>
          <w:p w14:paraId="00426D73"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0.68</w:t>
            </w:r>
          </w:p>
        </w:tc>
        <w:tc>
          <w:tcPr>
            <w:tcW w:w="1956" w:type="dxa"/>
            <w:shd w:val="clear" w:color="auto" w:fill="FFFFFF" w:themeFill="background1"/>
          </w:tcPr>
          <w:p w14:paraId="0F6D83B0"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0.70</w:t>
            </w:r>
          </w:p>
        </w:tc>
        <w:tc>
          <w:tcPr>
            <w:tcW w:w="1978" w:type="dxa"/>
            <w:shd w:val="clear" w:color="auto" w:fill="FFFFFF" w:themeFill="background1"/>
          </w:tcPr>
          <w:p w14:paraId="77619F2C"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0.02</w:t>
            </w:r>
          </w:p>
        </w:tc>
        <w:tc>
          <w:tcPr>
            <w:tcW w:w="1735" w:type="dxa"/>
            <w:shd w:val="clear" w:color="auto" w:fill="FFFFFF" w:themeFill="background1"/>
          </w:tcPr>
          <w:p w14:paraId="772457F1" w14:textId="77777777" w:rsidR="00953E8A" w:rsidRPr="00EC6C19" w:rsidRDefault="00953E8A" w:rsidP="000B71DA">
            <w:pPr>
              <w:spacing w:line="360" w:lineRule="auto"/>
              <w:rPr>
                <w:rFonts w:ascii="Times New Roman" w:hAnsi="Times New Roman" w:cs="Times New Roman"/>
                <w:sz w:val="24"/>
                <w:szCs w:val="24"/>
              </w:rPr>
            </w:pPr>
          </w:p>
        </w:tc>
      </w:tr>
      <w:tr w:rsidR="00953E8A" w:rsidRPr="00EC6C19" w14:paraId="73E9B484" w14:textId="77777777" w:rsidTr="00953E8A">
        <w:tc>
          <w:tcPr>
            <w:tcW w:w="2518" w:type="dxa"/>
            <w:shd w:val="clear" w:color="auto" w:fill="FFFFFF" w:themeFill="background1"/>
          </w:tcPr>
          <w:p w14:paraId="1020C9B5" w14:textId="7639C954" w:rsidR="00953E8A" w:rsidRPr="00EC6C19" w:rsidRDefault="00953E8A" w:rsidP="000B71DA">
            <w:pPr>
              <w:spacing w:line="360" w:lineRule="auto"/>
              <w:rPr>
                <w:rFonts w:ascii="Times New Roman" w:hAnsi="Times New Roman" w:cs="Times New Roman"/>
                <w:b/>
                <w:sz w:val="24"/>
                <w:szCs w:val="24"/>
              </w:rPr>
            </w:pPr>
            <w:r w:rsidRPr="00EC6C19">
              <w:rPr>
                <w:rFonts w:ascii="Times New Roman" w:hAnsi="Times New Roman" w:cs="Times New Roman"/>
                <w:b/>
                <w:sz w:val="24"/>
                <w:szCs w:val="24"/>
              </w:rPr>
              <w:t>PLV Mean (</w:t>
            </w:r>
            <w:r w:rsidR="00D97E85">
              <w:rPr>
                <w:rFonts w:ascii="Times New Roman" w:hAnsi="Times New Roman" w:cs="Times New Roman"/>
                <w:sz w:val="24"/>
                <w:szCs w:val="24"/>
              </w:rPr>
              <w:t>±</w:t>
            </w:r>
            <w:r w:rsidRPr="00EC6C19">
              <w:rPr>
                <w:rFonts w:ascii="Times New Roman" w:hAnsi="Times New Roman" w:cs="Times New Roman"/>
                <w:b/>
                <w:sz w:val="24"/>
                <w:szCs w:val="24"/>
              </w:rPr>
              <w:t xml:space="preserve"> SD)</w:t>
            </w:r>
          </w:p>
        </w:tc>
        <w:tc>
          <w:tcPr>
            <w:tcW w:w="1389" w:type="dxa"/>
            <w:shd w:val="clear" w:color="auto" w:fill="FFFFFF" w:themeFill="background1"/>
          </w:tcPr>
          <w:p w14:paraId="54E6DB00"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0.82 (0.10)</w:t>
            </w:r>
          </w:p>
        </w:tc>
        <w:tc>
          <w:tcPr>
            <w:tcW w:w="1956" w:type="dxa"/>
            <w:shd w:val="clear" w:color="auto" w:fill="FFFFFF" w:themeFill="background1"/>
          </w:tcPr>
          <w:p w14:paraId="376C7C52"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0.86 (0.08)</w:t>
            </w:r>
          </w:p>
        </w:tc>
        <w:tc>
          <w:tcPr>
            <w:tcW w:w="1978" w:type="dxa"/>
            <w:shd w:val="clear" w:color="auto" w:fill="FFFFFF" w:themeFill="background1"/>
          </w:tcPr>
          <w:p w14:paraId="57EA3027" w14:textId="77777777" w:rsidR="00953E8A" w:rsidRPr="00EC6C19" w:rsidRDefault="00953E8A" w:rsidP="000B71DA">
            <w:pPr>
              <w:spacing w:line="360" w:lineRule="auto"/>
              <w:rPr>
                <w:rFonts w:ascii="Times New Roman" w:hAnsi="Times New Roman" w:cs="Times New Roman"/>
                <w:sz w:val="24"/>
                <w:szCs w:val="24"/>
              </w:rPr>
            </w:pPr>
            <w:r w:rsidRPr="00EC6C19">
              <w:rPr>
                <w:rFonts w:ascii="Times New Roman" w:hAnsi="Times New Roman" w:cs="Times New Roman"/>
                <w:sz w:val="24"/>
                <w:szCs w:val="24"/>
              </w:rPr>
              <w:t>0.04 (0.03)</w:t>
            </w:r>
          </w:p>
        </w:tc>
        <w:tc>
          <w:tcPr>
            <w:tcW w:w="1735" w:type="dxa"/>
            <w:shd w:val="clear" w:color="auto" w:fill="FFFFFF" w:themeFill="background1"/>
          </w:tcPr>
          <w:p w14:paraId="4E462441" w14:textId="77777777" w:rsidR="00953E8A" w:rsidRPr="00EC6C19" w:rsidRDefault="00953E8A" w:rsidP="000B71DA">
            <w:pPr>
              <w:spacing w:line="360" w:lineRule="auto"/>
              <w:rPr>
                <w:rFonts w:ascii="Times New Roman" w:hAnsi="Times New Roman" w:cs="Times New Roman"/>
                <w:sz w:val="24"/>
                <w:szCs w:val="24"/>
              </w:rPr>
            </w:pPr>
          </w:p>
        </w:tc>
      </w:tr>
    </w:tbl>
    <w:p w14:paraId="67BF2329" w14:textId="77777777" w:rsidR="000A2287" w:rsidRPr="00EC6C19" w:rsidRDefault="000A2287">
      <w:pPr>
        <w:rPr>
          <w:rFonts w:ascii="Times New Roman" w:hAnsi="Times New Roman" w:cs="Times New Roman"/>
          <w:sz w:val="24"/>
          <w:szCs w:val="24"/>
        </w:rPr>
      </w:pPr>
    </w:p>
    <w:p w14:paraId="2AB4DBCC" w14:textId="77777777" w:rsidR="00EE56BD" w:rsidRPr="008630EC" w:rsidRDefault="008630EC" w:rsidP="008630EC">
      <w:pPr>
        <w:pStyle w:val="Caption"/>
        <w:spacing w:line="360" w:lineRule="auto"/>
        <w:rPr>
          <w:rFonts w:ascii="Times New Roman" w:hAnsi="Times New Roman" w:cs="Times New Roman"/>
          <w:b w:val="0"/>
          <w:i/>
          <w:color w:val="auto"/>
          <w:sz w:val="24"/>
          <w:szCs w:val="24"/>
        </w:rPr>
      </w:pPr>
      <w:bookmarkStart w:id="181" w:name="_Toc44962603"/>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27</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RCA FFR. </w:t>
      </w:r>
      <w:r w:rsidR="007A7F0D" w:rsidRPr="008630EC">
        <w:rPr>
          <w:rFonts w:ascii="Times New Roman" w:hAnsi="Times New Roman" w:cs="Times New Roman"/>
          <w:b w:val="0"/>
          <w:i/>
          <w:color w:val="auto"/>
          <w:sz w:val="24"/>
          <w:szCs w:val="24"/>
        </w:rPr>
        <w:t>D</w:t>
      </w:r>
      <w:r w:rsidR="000B71DA" w:rsidRPr="008630EC">
        <w:rPr>
          <w:rFonts w:ascii="Times New Roman" w:hAnsi="Times New Roman" w:cs="Times New Roman"/>
          <w:b w:val="0"/>
          <w:i/>
          <w:color w:val="auto"/>
          <w:sz w:val="24"/>
          <w:szCs w:val="24"/>
        </w:rPr>
        <w:t>elta change in FFR</w:t>
      </w:r>
      <w:r w:rsidR="00ED2AE5" w:rsidRPr="008630EC">
        <w:rPr>
          <w:rFonts w:ascii="Times New Roman" w:hAnsi="Times New Roman" w:cs="Times New Roman"/>
          <w:b w:val="0"/>
          <w:i/>
          <w:color w:val="auto"/>
          <w:sz w:val="24"/>
          <w:szCs w:val="24"/>
        </w:rPr>
        <w:t xml:space="preserve"> between prone and supine positioning</w:t>
      </w:r>
      <w:r w:rsidR="000B71DA" w:rsidRPr="008630EC">
        <w:rPr>
          <w:rFonts w:ascii="Times New Roman" w:hAnsi="Times New Roman" w:cs="Times New Roman"/>
          <w:b w:val="0"/>
          <w:i/>
          <w:color w:val="auto"/>
          <w:sz w:val="24"/>
          <w:szCs w:val="24"/>
        </w:rPr>
        <w:t xml:space="preserve"> in the right coronary artery.</w:t>
      </w:r>
      <w:r w:rsidR="006B26E9" w:rsidRPr="008630EC">
        <w:rPr>
          <w:rFonts w:ascii="Times New Roman" w:hAnsi="Times New Roman" w:cs="Times New Roman"/>
          <w:b w:val="0"/>
          <w:i/>
          <w:color w:val="auto"/>
          <w:sz w:val="24"/>
          <w:szCs w:val="24"/>
        </w:rPr>
        <w:t xml:space="preserve"> All delta changes are in the anticipated direction.</w:t>
      </w:r>
      <w:r w:rsidR="000B71DA" w:rsidRPr="008630EC">
        <w:rPr>
          <w:rFonts w:ascii="Times New Roman" w:hAnsi="Times New Roman" w:cs="Times New Roman"/>
          <w:b w:val="0"/>
          <w:i/>
          <w:color w:val="auto"/>
          <w:sz w:val="24"/>
          <w:szCs w:val="24"/>
        </w:rPr>
        <w:t xml:space="preserve"> The results are statistically significant (p&lt;0.05).</w:t>
      </w:r>
      <w:bookmarkEnd w:id="181"/>
    </w:p>
    <w:p w14:paraId="7760FD45" w14:textId="77777777" w:rsidR="000B71DA" w:rsidRPr="00EC6C19" w:rsidRDefault="000B71DA" w:rsidP="00EA04CA">
      <w:pPr>
        <w:ind w:left="-737"/>
        <w:rPr>
          <w:rFonts w:ascii="Times New Roman" w:hAnsi="Times New Roman" w:cs="Times New Roman"/>
          <w:sz w:val="24"/>
          <w:szCs w:val="24"/>
        </w:rPr>
      </w:pPr>
    </w:p>
    <w:p w14:paraId="5EE129F0" w14:textId="77777777" w:rsidR="00EA04CA" w:rsidRPr="00EC6C19" w:rsidRDefault="00EA04CA" w:rsidP="00EA04CA">
      <w:pPr>
        <w:rPr>
          <w:rFonts w:ascii="Times New Roman" w:hAnsi="Times New Roman" w:cs="Times New Roman"/>
          <w:i/>
          <w:sz w:val="24"/>
          <w:szCs w:val="24"/>
        </w:rPr>
      </w:pPr>
    </w:p>
    <w:p w14:paraId="7F12CF59" w14:textId="77777777" w:rsidR="00EA04CA" w:rsidRPr="00EC6C19" w:rsidRDefault="00EA04CA" w:rsidP="00EA04CA">
      <w:pPr>
        <w:rPr>
          <w:rFonts w:ascii="Times New Roman" w:hAnsi="Times New Roman" w:cs="Times New Roman"/>
          <w:i/>
          <w:sz w:val="24"/>
          <w:szCs w:val="24"/>
        </w:rPr>
      </w:pPr>
      <w:r w:rsidRPr="00EC6C19">
        <w:rPr>
          <w:rFonts w:ascii="Times New Roman" w:hAnsi="Times New Roman" w:cs="Times New Roman"/>
          <w:i/>
          <w:noProof/>
          <w:sz w:val="24"/>
          <w:szCs w:val="24"/>
          <w:lang w:eastAsia="en-GB"/>
        </w:rPr>
        <w:drawing>
          <wp:inline distT="0" distB="0" distL="0" distR="0" wp14:anchorId="51F33535" wp14:editId="7A4D1A1A">
            <wp:extent cx="6553200" cy="4533900"/>
            <wp:effectExtent l="0" t="0" r="0" b="0"/>
            <wp:docPr id="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FA99082" w14:textId="77777777" w:rsidR="00EA04CA" w:rsidRPr="00CF154F" w:rsidRDefault="00CF154F" w:rsidP="00CF154F">
      <w:pPr>
        <w:pStyle w:val="Caption"/>
        <w:spacing w:line="360" w:lineRule="auto"/>
        <w:rPr>
          <w:rFonts w:ascii="Times New Roman" w:hAnsi="Times New Roman" w:cs="Times New Roman"/>
          <w:b w:val="0"/>
          <w:i/>
          <w:color w:val="auto"/>
          <w:sz w:val="24"/>
          <w:szCs w:val="24"/>
        </w:rPr>
      </w:pPr>
      <w:bookmarkStart w:id="182" w:name="_Toc44684933"/>
      <w:r w:rsidRPr="00CF154F">
        <w:rPr>
          <w:rFonts w:ascii="Times New Roman" w:hAnsi="Times New Roman" w:cs="Times New Roman"/>
          <w:b w:val="0"/>
          <w:i/>
          <w:color w:val="auto"/>
          <w:sz w:val="24"/>
          <w:szCs w:val="24"/>
        </w:rPr>
        <w:t xml:space="preserve">Figure </w:t>
      </w:r>
      <w:r w:rsidR="00106A32" w:rsidRPr="00CF154F">
        <w:rPr>
          <w:rFonts w:ascii="Times New Roman" w:hAnsi="Times New Roman" w:cs="Times New Roman"/>
          <w:b w:val="0"/>
          <w:i/>
          <w:color w:val="auto"/>
          <w:sz w:val="24"/>
          <w:szCs w:val="24"/>
        </w:rPr>
        <w:fldChar w:fldCharType="begin"/>
      </w:r>
      <w:r w:rsidRPr="00CF154F">
        <w:rPr>
          <w:rFonts w:ascii="Times New Roman" w:hAnsi="Times New Roman" w:cs="Times New Roman"/>
          <w:b w:val="0"/>
          <w:i/>
          <w:color w:val="auto"/>
          <w:sz w:val="24"/>
          <w:szCs w:val="24"/>
        </w:rPr>
        <w:instrText xml:space="preserve"> SEQ Figure \* ARABIC </w:instrText>
      </w:r>
      <w:r w:rsidR="00106A32" w:rsidRPr="00CF154F">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44</w:t>
      </w:r>
      <w:r w:rsidR="00106A32" w:rsidRPr="00CF154F">
        <w:rPr>
          <w:rFonts w:ascii="Times New Roman" w:hAnsi="Times New Roman" w:cs="Times New Roman"/>
          <w:b w:val="0"/>
          <w:i/>
          <w:color w:val="auto"/>
          <w:sz w:val="24"/>
          <w:szCs w:val="24"/>
        </w:rPr>
        <w:fldChar w:fldCharType="end"/>
      </w:r>
      <w:r w:rsidRPr="00CF154F">
        <w:rPr>
          <w:rFonts w:ascii="Times New Roman" w:hAnsi="Times New Roman" w:cs="Times New Roman"/>
          <w:b w:val="0"/>
          <w:i/>
          <w:color w:val="auto"/>
          <w:sz w:val="24"/>
          <w:szCs w:val="24"/>
        </w:rPr>
        <w:t xml:space="preserve"> - RCA FFR Delta Change </w:t>
      </w:r>
      <w:r w:rsidR="00ED2AE5" w:rsidRPr="00CF154F">
        <w:rPr>
          <w:rFonts w:ascii="Times New Roman" w:hAnsi="Times New Roman" w:cs="Times New Roman"/>
          <w:b w:val="0"/>
          <w:i/>
          <w:color w:val="auto"/>
          <w:sz w:val="24"/>
          <w:szCs w:val="24"/>
        </w:rPr>
        <w:t>between prone and supine</w:t>
      </w:r>
      <w:r w:rsidRPr="00CF154F">
        <w:rPr>
          <w:rFonts w:ascii="Times New Roman" w:hAnsi="Times New Roman" w:cs="Times New Roman"/>
          <w:b w:val="0"/>
          <w:i/>
          <w:color w:val="auto"/>
          <w:sz w:val="24"/>
          <w:szCs w:val="24"/>
        </w:rPr>
        <w:t xml:space="preserve"> position</w:t>
      </w:r>
      <w:r w:rsidR="00EA04CA" w:rsidRPr="00CF154F">
        <w:rPr>
          <w:rFonts w:ascii="Times New Roman" w:hAnsi="Times New Roman" w:cs="Times New Roman"/>
          <w:b w:val="0"/>
          <w:i/>
          <w:color w:val="auto"/>
          <w:sz w:val="24"/>
          <w:szCs w:val="24"/>
        </w:rPr>
        <w:t>.</w:t>
      </w:r>
      <w:r w:rsidR="00D852FC" w:rsidRPr="00CF154F">
        <w:rPr>
          <w:rFonts w:ascii="Times New Roman" w:hAnsi="Times New Roman" w:cs="Times New Roman"/>
          <w:b w:val="0"/>
          <w:i/>
          <w:color w:val="auto"/>
          <w:sz w:val="24"/>
          <w:szCs w:val="24"/>
        </w:rPr>
        <w:t xml:space="preserve"> </w:t>
      </w:r>
      <w:r w:rsidR="00ED2AE5" w:rsidRPr="00CF154F">
        <w:rPr>
          <w:rFonts w:ascii="Times New Roman" w:hAnsi="Times New Roman" w:cs="Times New Roman"/>
          <w:b w:val="0"/>
          <w:i/>
          <w:color w:val="auto"/>
          <w:sz w:val="24"/>
          <w:szCs w:val="24"/>
        </w:rPr>
        <w:t>The results are statistically significant (p&lt;0.05) when combined with PDA data.</w:t>
      </w:r>
      <w:bookmarkEnd w:id="182"/>
    </w:p>
    <w:p w14:paraId="77197269" w14:textId="77777777" w:rsidR="007C2EF7" w:rsidRPr="00B35A6A" w:rsidRDefault="00CF154F" w:rsidP="00B35A6A">
      <w:pPr>
        <w:pStyle w:val="Heading3"/>
        <w:rPr>
          <w:rFonts w:ascii="Times New Roman" w:hAnsi="Times New Roman" w:cs="Times New Roman"/>
          <w:b w:val="0"/>
          <w:i/>
          <w:color w:val="auto"/>
          <w:sz w:val="24"/>
          <w:szCs w:val="24"/>
        </w:rPr>
      </w:pPr>
      <w:r>
        <w:rPr>
          <w:rFonts w:ascii="Times New Roman" w:hAnsi="Times New Roman" w:cs="Times New Roman"/>
          <w:i/>
          <w:sz w:val="24"/>
          <w:szCs w:val="24"/>
        </w:rPr>
        <w:br/>
      </w:r>
      <w:bookmarkStart w:id="183" w:name="_Toc80302256"/>
      <w:r w:rsidR="006E04BF" w:rsidRPr="00B35A6A">
        <w:rPr>
          <w:rFonts w:ascii="Times New Roman" w:hAnsi="Times New Roman" w:cs="Times New Roman"/>
          <w:b w:val="0"/>
          <w:i/>
          <w:color w:val="auto"/>
          <w:sz w:val="24"/>
          <w:szCs w:val="24"/>
        </w:rPr>
        <w:t xml:space="preserve">3.16.5 - </w:t>
      </w:r>
      <w:r w:rsidR="00441E93" w:rsidRPr="00B35A6A">
        <w:rPr>
          <w:rFonts w:ascii="Times New Roman" w:hAnsi="Times New Roman" w:cs="Times New Roman"/>
          <w:b w:val="0"/>
          <w:i/>
          <w:color w:val="auto"/>
          <w:sz w:val="24"/>
          <w:szCs w:val="24"/>
        </w:rPr>
        <w:t xml:space="preserve">FFR </w:t>
      </w:r>
      <w:r w:rsidR="007C2EF7" w:rsidRPr="00B35A6A">
        <w:rPr>
          <w:rFonts w:ascii="Times New Roman" w:hAnsi="Times New Roman" w:cs="Times New Roman"/>
          <w:b w:val="0"/>
          <w:i/>
          <w:color w:val="auto"/>
          <w:sz w:val="24"/>
          <w:szCs w:val="24"/>
        </w:rPr>
        <w:t>Clinical Measurement</w:t>
      </w:r>
      <w:r w:rsidR="00C42B79" w:rsidRPr="00B35A6A">
        <w:rPr>
          <w:rFonts w:ascii="Times New Roman" w:hAnsi="Times New Roman" w:cs="Times New Roman"/>
          <w:b w:val="0"/>
          <w:i/>
          <w:color w:val="auto"/>
          <w:sz w:val="24"/>
          <w:szCs w:val="24"/>
        </w:rPr>
        <w:t xml:space="preserve"> Point</w:t>
      </w:r>
      <w:bookmarkEnd w:id="183"/>
    </w:p>
    <w:p w14:paraId="26472646" w14:textId="77777777" w:rsidR="00152E95" w:rsidRPr="00EC6C19" w:rsidRDefault="006E04BF" w:rsidP="0059143E">
      <w:pPr>
        <w:spacing w:line="360" w:lineRule="auto"/>
        <w:rPr>
          <w:rFonts w:ascii="Times New Roman" w:hAnsi="Times New Roman" w:cs="Times New Roman"/>
          <w:sz w:val="24"/>
          <w:szCs w:val="24"/>
        </w:rPr>
      </w:pPr>
      <w:r>
        <w:rPr>
          <w:rFonts w:ascii="Times New Roman" w:hAnsi="Times New Roman" w:cs="Times New Roman"/>
          <w:sz w:val="24"/>
          <w:szCs w:val="24"/>
        </w:rPr>
        <w:br/>
      </w:r>
    </w:p>
    <w:p w14:paraId="12941649" w14:textId="77777777" w:rsidR="001074F7" w:rsidRPr="00EC6C19" w:rsidRDefault="009021F7" w:rsidP="001074F7">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Left Anterior Descending Artery</w:t>
      </w:r>
    </w:p>
    <w:p w14:paraId="5627B39A" w14:textId="77777777" w:rsidR="001074F7" w:rsidRPr="00EC6C19" w:rsidRDefault="001074F7" w:rsidP="001074F7">
      <w:pPr>
        <w:spacing w:line="360" w:lineRule="auto"/>
        <w:rPr>
          <w:rFonts w:ascii="Times New Roman" w:hAnsi="Times New Roman" w:cs="Times New Roman"/>
          <w:sz w:val="24"/>
          <w:szCs w:val="24"/>
        </w:rPr>
      </w:pPr>
    </w:p>
    <w:p w14:paraId="4C2206EB" w14:textId="77777777" w:rsidR="001074F7" w:rsidRDefault="001074F7" w:rsidP="001074F7">
      <w:pPr>
        <w:spacing w:line="360" w:lineRule="auto"/>
        <w:rPr>
          <w:rFonts w:ascii="Times New Roman" w:hAnsi="Times New Roman" w:cs="Times New Roman"/>
          <w:sz w:val="24"/>
          <w:szCs w:val="24"/>
        </w:rPr>
      </w:pPr>
      <w:r w:rsidRPr="00EC6C19">
        <w:rPr>
          <w:rFonts w:ascii="Times New Roman" w:hAnsi="Times New Roman" w:cs="Times New Roman"/>
          <w:sz w:val="24"/>
          <w:szCs w:val="24"/>
        </w:rPr>
        <w:t>Measurements at the clinical point in the LAD are shown below.</w:t>
      </w:r>
      <w:r w:rsidR="00441E93" w:rsidRPr="00EC6C19">
        <w:rPr>
          <w:rFonts w:ascii="Times New Roman" w:hAnsi="Times New Roman" w:cs="Times New Roman"/>
          <w:sz w:val="24"/>
          <w:szCs w:val="24"/>
        </w:rPr>
        <w:t xml:space="preserve"> Prone FFR vs. supine FFR was 0.91 vs. 0.85 respectively, giving a mean change of 0.06.</w:t>
      </w:r>
      <w:r w:rsidRPr="00EC6C19">
        <w:rPr>
          <w:rFonts w:ascii="Times New Roman" w:hAnsi="Times New Roman" w:cs="Times New Roman"/>
          <w:sz w:val="24"/>
          <w:szCs w:val="24"/>
        </w:rPr>
        <w:t xml:space="preserve"> These values were statistically significant (p&lt;0.05).</w:t>
      </w:r>
      <w:r w:rsidR="00E80F29">
        <w:rPr>
          <w:rFonts w:ascii="Times New Roman" w:hAnsi="Times New Roman" w:cs="Times New Roman"/>
          <w:sz w:val="24"/>
          <w:szCs w:val="24"/>
        </w:rPr>
        <w:t xml:space="preserve"> Results are summarised in table </w:t>
      </w:r>
      <w:r w:rsidR="008630EC">
        <w:rPr>
          <w:rFonts w:ascii="Times New Roman" w:hAnsi="Times New Roman" w:cs="Times New Roman"/>
          <w:sz w:val="24"/>
          <w:szCs w:val="24"/>
        </w:rPr>
        <w:t>28</w:t>
      </w:r>
      <w:r w:rsidR="00E80F29">
        <w:rPr>
          <w:rFonts w:ascii="Times New Roman" w:hAnsi="Times New Roman" w:cs="Times New Roman"/>
          <w:sz w:val="24"/>
          <w:szCs w:val="24"/>
        </w:rPr>
        <w:t xml:space="preserve"> and figure </w:t>
      </w:r>
      <w:r w:rsidR="00CF154F">
        <w:rPr>
          <w:rFonts w:ascii="Times New Roman" w:hAnsi="Times New Roman" w:cs="Times New Roman"/>
          <w:sz w:val="24"/>
          <w:szCs w:val="24"/>
        </w:rPr>
        <w:t>45</w:t>
      </w:r>
      <w:r w:rsidR="00E80F29">
        <w:rPr>
          <w:rFonts w:ascii="Times New Roman" w:hAnsi="Times New Roman" w:cs="Times New Roman"/>
          <w:sz w:val="24"/>
          <w:szCs w:val="24"/>
        </w:rPr>
        <w:t>.</w:t>
      </w:r>
    </w:p>
    <w:p w14:paraId="50703565" w14:textId="77777777" w:rsidR="00F151F9" w:rsidRDefault="00F151F9" w:rsidP="001074F7">
      <w:pPr>
        <w:spacing w:line="360" w:lineRule="auto"/>
        <w:rPr>
          <w:rFonts w:ascii="Times New Roman" w:hAnsi="Times New Roman" w:cs="Times New Roman"/>
          <w:sz w:val="24"/>
          <w:szCs w:val="24"/>
        </w:rPr>
      </w:pPr>
    </w:p>
    <w:p w14:paraId="7BBD3D3A" w14:textId="77777777" w:rsidR="00F151F9" w:rsidRDefault="00F151F9" w:rsidP="001074F7">
      <w:pPr>
        <w:spacing w:line="360" w:lineRule="auto"/>
        <w:rPr>
          <w:rFonts w:ascii="Times New Roman" w:hAnsi="Times New Roman" w:cs="Times New Roman"/>
          <w:sz w:val="24"/>
          <w:szCs w:val="24"/>
        </w:rPr>
      </w:pPr>
    </w:p>
    <w:p w14:paraId="25E2DC99" w14:textId="77777777" w:rsidR="00F151F9" w:rsidRDefault="00F151F9" w:rsidP="001074F7">
      <w:pPr>
        <w:spacing w:line="360" w:lineRule="auto"/>
        <w:rPr>
          <w:rFonts w:ascii="Times New Roman" w:hAnsi="Times New Roman" w:cs="Times New Roman"/>
          <w:sz w:val="24"/>
          <w:szCs w:val="24"/>
        </w:rPr>
      </w:pPr>
    </w:p>
    <w:p w14:paraId="0B359D3F" w14:textId="77777777" w:rsidR="00F151F9" w:rsidRDefault="00F151F9" w:rsidP="001074F7">
      <w:pPr>
        <w:spacing w:line="360" w:lineRule="auto"/>
        <w:rPr>
          <w:rFonts w:ascii="Times New Roman" w:hAnsi="Times New Roman" w:cs="Times New Roman"/>
          <w:sz w:val="24"/>
          <w:szCs w:val="24"/>
        </w:rPr>
      </w:pPr>
    </w:p>
    <w:p w14:paraId="22DE2E30" w14:textId="77777777" w:rsidR="00F151F9" w:rsidRDefault="00F151F9" w:rsidP="001074F7">
      <w:pPr>
        <w:spacing w:line="360" w:lineRule="auto"/>
        <w:rPr>
          <w:rFonts w:ascii="Times New Roman" w:hAnsi="Times New Roman" w:cs="Times New Roman"/>
          <w:sz w:val="24"/>
          <w:szCs w:val="24"/>
        </w:rPr>
      </w:pPr>
    </w:p>
    <w:p w14:paraId="409EB909" w14:textId="77777777" w:rsidR="00F151F9" w:rsidRDefault="00F151F9" w:rsidP="001074F7">
      <w:pPr>
        <w:spacing w:line="360" w:lineRule="auto"/>
        <w:rPr>
          <w:rFonts w:ascii="Times New Roman" w:hAnsi="Times New Roman" w:cs="Times New Roman"/>
          <w:sz w:val="24"/>
          <w:szCs w:val="24"/>
        </w:rPr>
      </w:pPr>
    </w:p>
    <w:p w14:paraId="242D60B1" w14:textId="77777777" w:rsidR="00F151F9" w:rsidRDefault="00F151F9" w:rsidP="001074F7">
      <w:pPr>
        <w:spacing w:line="360" w:lineRule="auto"/>
        <w:rPr>
          <w:rFonts w:ascii="Times New Roman" w:hAnsi="Times New Roman" w:cs="Times New Roman"/>
          <w:sz w:val="24"/>
          <w:szCs w:val="24"/>
        </w:rPr>
      </w:pPr>
    </w:p>
    <w:p w14:paraId="7BE338A5" w14:textId="77777777" w:rsidR="00F151F9" w:rsidRDefault="00F151F9" w:rsidP="001074F7">
      <w:pPr>
        <w:spacing w:line="360" w:lineRule="auto"/>
        <w:rPr>
          <w:rFonts w:ascii="Times New Roman" w:hAnsi="Times New Roman" w:cs="Times New Roman"/>
          <w:sz w:val="24"/>
          <w:szCs w:val="24"/>
        </w:rPr>
      </w:pPr>
    </w:p>
    <w:p w14:paraId="570103AE" w14:textId="77777777" w:rsidR="00F151F9" w:rsidRDefault="00F151F9" w:rsidP="001074F7">
      <w:pPr>
        <w:spacing w:line="360" w:lineRule="auto"/>
        <w:rPr>
          <w:rFonts w:ascii="Times New Roman" w:hAnsi="Times New Roman" w:cs="Times New Roman"/>
          <w:sz w:val="24"/>
          <w:szCs w:val="24"/>
        </w:rPr>
      </w:pPr>
    </w:p>
    <w:p w14:paraId="5CF72039" w14:textId="77777777" w:rsidR="00F151F9" w:rsidRDefault="00F151F9" w:rsidP="001074F7">
      <w:pPr>
        <w:spacing w:line="360" w:lineRule="auto"/>
        <w:rPr>
          <w:rFonts w:ascii="Times New Roman" w:hAnsi="Times New Roman" w:cs="Times New Roman"/>
          <w:sz w:val="24"/>
          <w:szCs w:val="24"/>
        </w:rPr>
      </w:pPr>
    </w:p>
    <w:p w14:paraId="0F9C07C5" w14:textId="77777777" w:rsidR="00F151F9" w:rsidRDefault="00F151F9" w:rsidP="001074F7">
      <w:pPr>
        <w:spacing w:line="360" w:lineRule="auto"/>
        <w:rPr>
          <w:rFonts w:ascii="Times New Roman" w:hAnsi="Times New Roman" w:cs="Times New Roman"/>
          <w:sz w:val="24"/>
          <w:szCs w:val="24"/>
        </w:rPr>
      </w:pPr>
    </w:p>
    <w:p w14:paraId="6FE2DAF8" w14:textId="77777777" w:rsidR="00F151F9" w:rsidRPr="00EC6C19" w:rsidRDefault="00F151F9" w:rsidP="001074F7">
      <w:pPr>
        <w:spacing w:line="360" w:lineRule="auto"/>
        <w:rPr>
          <w:rFonts w:ascii="Times New Roman" w:hAnsi="Times New Roman" w:cs="Times New Roman"/>
          <w:sz w:val="24"/>
          <w:szCs w:val="24"/>
        </w:rPr>
      </w:pPr>
    </w:p>
    <w:p w14:paraId="6CF74418" w14:textId="77777777" w:rsidR="001074F7" w:rsidRPr="00EC6C19" w:rsidRDefault="001074F7" w:rsidP="0059143E">
      <w:pPr>
        <w:spacing w:line="360" w:lineRule="auto"/>
        <w:rPr>
          <w:rFonts w:ascii="Times New Roman" w:hAnsi="Times New Roman" w:cs="Times New Roman"/>
          <w:i/>
          <w:sz w:val="24"/>
          <w:szCs w:val="24"/>
        </w:rPr>
      </w:pPr>
    </w:p>
    <w:tbl>
      <w:tblPr>
        <w:tblW w:w="0" w:type="auto"/>
        <w:tblLook w:val="04A0" w:firstRow="1" w:lastRow="0" w:firstColumn="1" w:lastColumn="0" w:noHBand="0" w:noVBand="1"/>
      </w:tblPr>
      <w:tblGrid>
        <w:gridCol w:w="1876"/>
        <w:gridCol w:w="2104"/>
        <w:gridCol w:w="1802"/>
        <w:gridCol w:w="2076"/>
        <w:gridCol w:w="1502"/>
      </w:tblGrid>
      <w:tr w:rsidR="00441E93" w:rsidRPr="00EC6C19" w14:paraId="09E73127" w14:textId="77777777" w:rsidTr="00441E93">
        <w:trPr>
          <w:trHeight w:val="619"/>
        </w:trPr>
        <w:tc>
          <w:tcPr>
            <w:tcW w:w="1915" w:type="dxa"/>
            <w:tcBorders>
              <w:bottom w:val="single" w:sz="18" w:space="0" w:color="000000" w:themeColor="text1"/>
            </w:tcBorders>
            <w:shd w:val="clear" w:color="auto" w:fill="F2F2F2" w:themeFill="background1" w:themeFillShade="F2"/>
          </w:tcPr>
          <w:p w14:paraId="64FC2B0D"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tc>
        <w:tc>
          <w:tcPr>
            <w:tcW w:w="2162" w:type="dxa"/>
            <w:tcBorders>
              <w:bottom w:val="single" w:sz="18" w:space="0" w:color="000000" w:themeColor="text1"/>
            </w:tcBorders>
            <w:shd w:val="clear" w:color="auto" w:fill="F2F2F2" w:themeFill="background1" w:themeFillShade="F2"/>
          </w:tcPr>
          <w:p w14:paraId="390C85F0"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Prone FFR</w:t>
            </w:r>
          </w:p>
        </w:tc>
        <w:tc>
          <w:tcPr>
            <w:tcW w:w="1843" w:type="dxa"/>
            <w:tcBorders>
              <w:bottom w:val="single" w:sz="18" w:space="0" w:color="000000" w:themeColor="text1"/>
            </w:tcBorders>
            <w:shd w:val="clear" w:color="auto" w:fill="F2F2F2" w:themeFill="background1" w:themeFillShade="F2"/>
          </w:tcPr>
          <w:p w14:paraId="307B1777"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Supine FFR</w:t>
            </w:r>
          </w:p>
        </w:tc>
        <w:tc>
          <w:tcPr>
            <w:tcW w:w="2126" w:type="dxa"/>
            <w:tcBorders>
              <w:bottom w:val="single" w:sz="18" w:space="0" w:color="000000" w:themeColor="text1"/>
            </w:tcBorders>
            <w:shd w:val="clear" w:color="auto" w:fill="F2F2F2" w:themeFill="background1" w:themeFillShade="F2"/>
          </w:tcPr>
          <w:p w14:paraId="7D3FEA72"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Delta Change</w:t>
            </w:r>
          </w:p>
        </w:tc>
        <w:tc>
          <w:tcPr>
            <w:tcW w:w="1530" w:type="dxa"/>
            <w:tcBorders>
              <w:bottom w:val="single" w:sz="18" w:space="0" w:color="000000" w:themeColor="text1"/>
            </w:tcBorders>
            <w:shd w:val="clear" w:color="auto" w:fill="F2F2F2" w:themeFill="background1" w:themeFillShade="F2"/>
          </w:tcPr>
          <w:p w14:paraId="18121CCA"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3E50DED8" w14:textId="77777777" w:rsidTr="00441E93">
        <w:tc>
          <w:tcPr>
            <w:tcW w:w="1915" w:type="dxa"/>
            <w:tcBorders>
              <w:top w:val="single" w:sz="18" w:space="0" w:color="000000" w:themeColor="text1"/>
            </w:tcBorders>
            <w:shd w:val="clear" w:color="auto" w:fill="FFFFFF" w:themeFill="background1"/>
          </w:tcPr>
          <w:p w14:paraId="05554863" w14:textId="7777777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9</w:t>
            </w:r>
          </w:p>
          <w:p w14:paraId="33C6BFAE" w14:textId="77777777" w:rsidR="00441E93" w:rsidRPr="00EC6C19" w:rsidRDefault="00441E93" w:rsidP="00441E93">
            <w:pPr>
              <w:spacing w:line="360" w:lineRule="auto"/>
              <w:jc w:val="center"/>
              <w:rPr>
                <w:rFonts w:ascii="Times New Roman" w:hAnsi="Times New Roman" w:cs="Times New Roman"/>
                <w:b/>
                <w:sz w:val="24"/>
                <w:szCs w:val="24"/>
              </w:rPr>
            </w:pPr>
          </w:p>
        </w:tc>
        <w:tc>
          <w:tcPr>
            <w:tcW w:w="2162" w:type="dxa"/>
            <w:tcBorders>
              <w:top w:val="single" w:sz="18" w:space="0" w:color="000000" w:themeColor="text1"/>
            </w:tcBorders>
            <w:shd w:val="clear" w:color="auto" w:fill="FFFFFF" w:themeFill="background1"/>
          </w:tcPr>
          <w:p w14:paraId="6AB43526"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1.0</w:t>
            </w:r>
          </w:p>
        </w:tc>
        <w:tc>
          <w:tcPr>
            <w:tcW w:w="1843" w:type="dxa"/>
            <w:tcBorders>
              <w:top w:val="single" w:sz="18" w:space="0" w:color="000000" w:themeColor="text1"/>
            </w:tcBorders>
            <w:shd w:val="clear" w:color="auto" w:fill="FFFFFF" w:themeFill="background1"/>
          </w:tcPr>
          <w:p w14:paraId="1E67E2D3"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0.93</w:t>
            </w:r>
          </w:p>
        </w:tc>
        <w:tc>
          <w:tcPr>
            <w:tcW w:w="2126" w:type="dxa"/>
            <w:tcBorders>
              <w:top w:val="single" w:sz="18" w:space="0" w:color="000000" w:themeColor="text1"/>
            </w:tcBorders>
            <w:shd w:val="clear" w:color="auto" w:fill="FFFFFF" w:themeFill="background1"/>
          </w:tcPr>
          <w:p w14:paraId="12758156"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0.07</w:t>
            </w:r>
          </w:p>
        </w:tc>
        <w:tc>
          <w:tcPr>
            <w:tcW w:w="1530" w:type="dxa"/>
            <w:tcBorders>
              <w:top w:val="single" w:sz="18" w:space="0" w:color="000000" w:themeColor="text1"/>
            </w:tcBorders>
            <w:shd w:val="clear" w:color="auto" w:fill="FFFFFF" w:themeFill="background1"/>
          </w:tcPr>
          <w:p w14:paraId="40EF7B10"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281A139C" w14:textId="77777777" w:rsidTr="00441E93">
        <w:tc>
          <w:tcPr>
            <w:tcW w:w="1915" w:type="dxa"/>
            <w:shd w:val="clear" w:color="auto" w:fill="FFFFFF" w:themeFill="background1"/>
          </w:tcPr>
          <w:p w14:paraId="3F81C9A1" w14:textId="7777777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10</w:t>
            </w:r>
          </w:p>
          <w:p w14:paraId="7120F210" w14:textId="77777777" w:rsidR="00441E93" w:rsidRPr="00EC6C19" w:rsidRDefault="00441E93" w:rsidP="00441E93">
            <w:pPr>
              <w:spacing w:line="360" w:lineRule="auto"/>
              <w:jc w:val="center"/>
              <w:rPr>
                <w:rFonts w:ascii="Times New Roman" w:hAnsi="Times New Roman" w:cs="Times New Roman"/>
                <w:b/>
                <w:sz w:val="24"/>
                <w:szCs w:val="24"/>
              </w:rPr>
            </w:pPr>
          </w:p>
        </w:tc>
        <w:tc>
          <w:tcPr>
            <w:tcW w:w="2162" w:type="dxa"/>
            <w:shd w:val="clear" w:color="auto" w:fill="FFFFFF" w:themeFill="background1"/>
          </w:tcPr>
          <w:p w14:paraId="17F34215"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0.98</w:t>
            </w:r>
          </w:p>
        </w:tc>
        <w:tc>
          <w:tcPr>
            <w:tcW w:w="1843" w:type="dxa"/>
            <w:shd w:val="clear" w:color="auto" w:fill="FFFFFF" w:themeFill="background1"/>
          </w:tcPr>
          <w:p w14:paraId="6A3AD341"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0.93</w:t>
            </w:r>
          </w:p>
        </w:tc>
        <w:tc>
          <w:tcPr>
            <w:tcW w:w="2126" w:type="dxa"/>
            <w:shd w:val="clear" w:color="auto" w:fill="FFFFFF" w:themeFill="background1"/>
          </w:tcPr>
          <w:p w14:paraId="6DC74438"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w:t>
            </w:r>
          </w:p>
        </w:tc>
        <w:tc>
          <w:tcPr>
            <w:tcW w:w="1530" w:type="dxa"/>
            <w:shd w:val="clear" w:color="auto" w:fill="FFFFFF" w:themeFill="background1"/>
          </w:tcPr>
          <w:p w14:paraId="10910FDC"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055E1D00" w14:textId="77777777" w:rsidTr="00441E93">
        <w:tc>
          <w:tcPr>
            <w:tcW w:w="1915" w:type="dxa"/>
            <w:shd w:val="clear" w:color="auto" w:fill="FFFFFF" w:themeFill="background1"/>
          </w:tcPr>
          <w:p w14:paraId="0B6F135A" w14:textId="7777777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11</w:t>
            </w:r>
          </w:p>
          <w:p w14:paraId="3F4628B4" w14:textId="77777777" w:rsidR="00441E93" w:rsidRPr="00EC6C19" w:rsidRDefault="00441E93" w:rsidP="00441E93">
            <w:pPr>
              <w:spacing w:line="360" w:lineRule="auto"/>
              <w:jc w:val="center"/>
              <w:rPr>
                <w:rFonts w:ascii="Times New Roman" w:hAnsi="Times New Roman" w:cs="Times New Roman"/>
                <w:b/>
                <w:sz w:val="24"/>
                <w:szCs w:val="24"/>
              </w:rPr>
            </w:pPr>
          </w:p>
        </w:tc>
        <w:tc>
          <w:tcPr>
            <w:tcW w:w="2162" w:type="dxa"/>
            <w:shd w:val="clear" w:color="auto" w:fill="FFFFFF" w:themeFill="background1"/>
          </w:tcPr>
          <w:p w14:paraId="01946666"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0.95</w:t>
            </w:r>
          </w:p>
        </w:tc>
        <w:tc>
          <w:tcPr>
            <w:tcW w:w="1843" w:type="dxa"/>
            <w:shd w:val="clear" w:color="auto" w:fill="FFFFFF" w:themeFill="background1"/>
          </w:tcPr>
          <w:p w14:paraId="352904D6"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w:t>
            </w:r>
          </w:p>
        </w:tc>
        <w:tc>
          <w:tcPr>
            <w:tcW w:w="2126" w:type="dxa"/>
            <w:shd w:val="clear" w:color="auto" w:fill="FFFFFF" w:themeFill="background1"/>
          </w:tcPr>
          <w:p w14:paraId="01AB5EEA"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0.04</w:t>
            </w:r>
          </w:p>
        </w:tc>
        <w:tc>
          <w:tcPr>
            <w:tcW w:w="1530" w:type="dxa"/>
            <w:shd w:val="clear" w:color="auto" w:fill="FFFFFF" w:themeFill="background1"/>
          </w:tcPr>
          <w:p w14:paraId="2664D578"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61B2CD7C" w14:textId="77777777" w:rsidTr="00441E93">
        <w:tc>
          <w:tcPr>
            <w:tcW w:w="1915" w:type="dxa"/>
            <w:shd w:val="clear" w:color="auto" w:fill="FFFFFF" w:themeFill="background1"/>
          </w:tcPr>
          <w:p w14:paraId="068B44E9" w14:textId="7777777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15</w:t>
            </w:r>
          </w:p>
          <w:p w14:paraId="27DF4772" w14:textId="77777777" w:rsidR="00441E93" w:rsidRPr="00EC6C19" w:rsidRDefault="00441E93" w:rsidP="00441E93">
            <w:pPr>
              <w:spacing w:line="360" w:lineRule="auto"/>
              <w:jc w:val="center"/>
              <w:rPr>
                <w:rFonts w:ascii="Times New Roman" w:hAnsi="Times New Roman" w:cs="Times New Roman"/>
                <w:b/>
                <w:sz w:val="24"/>
                <w:szCs w:val="24"/>
              </w:rPr>
            </w:pPr>
          </w:p>
        </w:tc>
        <w:tc>
          <w:tcPr>
            <w:tcW w:w="2162" w:type="dxa"/>
            <w:shd w:val="clear" w:color="auto" w:fill="FFFFFF" w:themeFill="background1"/>
          </w:tcPr>
          <w:p w14:paraId="3BC4A35D"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0.89</w:t>
            </w:r>
          </w:p>
        </w:tc>
        <w:tc>
          <w:tcPr>
            <w:tcW w:w="1843" w:type="dxa"/>
            <w:shd w:val="clear" w:color="auto" w:fill="FFFFFF" w:themeFill="background1"/>
          </w:tcPr>
          <w:p w14:paraId="01BBF8CC"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0.86</w:t>
            </w:r>
          </w:p>
        </w:tc>
        <w:tc>
          <w:tcPr>
            <w:tcW w:w="2126" w:type="dxa"/>
            <w:shd w:val="clear" w:color="auto" w:fill="FFFFFF" w:themeFill="background1"/>
          </w:tcPr>
          <w:p w14:paraId="2344695A"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0.03</w:t>
            </w:r>
          </w:p>
        </w:tc>
        <w:tc>
          <w:tcPr>
            <w:tcW w:w="1530" w:type="dxa"/>
            <w:shd w:val="clear" w:color="auto" w:fill="FFFFFF" w:themeFill="background1"/>
          </w:tcPr>
          <w:p w14:paraId="128A60DE"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 = 0.0028</w:t>
            </w:r>
          </w:p>
        </w:tc>
      </w:tr>
      <w:tr w:rsidR="00441E93" w:rsidRPr="00EC6C19" w14:paraId="1B9BDCF4" w14:textId="77777777" w:rsidTr="00441E93">
        <w:tc>
          <w:tcPr>
            <w:tcW w:w="1915" w:type="dxa"/>
            <w:shd w:val="clear" w:color="auto" w:fill="FFFFFF" w:themeFill="background1"/>
          </w:tcPr>
          <w:p w14:paraId="2381E7AA" w14:textId="7777777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16*</w:t>
            </w:r>
          </w:p>
          <w:p w14:paraId="49A12186" w14:textId="77777777" w:rsidR="00441E93" w:rsidRPr="00EC6C19" w:rsidRDefault="00441E93" w:rsidP="00441E93">
            <w:pPr>
              <w:spacing w:line="360" w:lineRule="auto"/>
              <w:jc w:val="center"/>
              <w:rPr>
                <w:rFonts w:ascii="Times New Roman" w:hAnsi="Times New Roman" w:cs="Times New Roman"/>
                <w:b/>
                <w:sz w:val="24"/>
                <w:szCs w:val="24"/>
              </w:rPr>
            </w:pPr>
          </w:p>
        </w:tc>
        <w:tc>
          <w:tcPr>
            <w:tcW w:w="2162" w:type="dxa"/>
            <w:shd w:val="clear" w:color="auto" w:fill="FFFFFF" w:themeFill="background1"/>
          </w:tcPr>
          <w:p w14:paraId="458FF76F"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0.97</w:t>
            </w:r>
          </w:p>
        </w:tc>
        <w:tc>
          <w:tcPr>
            <w:tcW w:w="1843" w:type="dxa"/>
            <w:shd w:val="clear" w:color="auto" w:fill="FFFFFF" w:themeFill="background1"/>
          </w:tcPr>
          <w:p w14:paraId="3F142A6D"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0.89</w:t>
            </w:r>
          </w:p>
        </w:tc>
        <w:tc>
          <w:tcPr>
            <w:tcW w:w="2126" w:type="dxa"/>
            <w:shd w:val="clear" w:color="auto" w:fill="FFFFFF" w:themeFill="background1"/>
          </w:tcPr>
          <w:p w14:paraId="03AC6DEB"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0.08</w:t>
            </w:r>
          </w:p>
        </w:tc>
        <w:tc>
          <w:tcPr>
            <w:tcW w:w="1530" w:type="dxa"/>
            <w:shd w:val="clear" w:color="auto" w:fill="FFFFFF" w:themeFill="background1"/>
          </w:tcPr>
          <w:p w14:paraId="09018D71"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2B21AE05" w14:textId="77777777" w:rsidTr="00441E93">
        <w:tc>
          <w:tcPr>
            <w:tcW w:w="1915" w:type="dxa"/>
            <w:shd w:val="clear" w:color="auto" w:fill="FFFFFF" w:themeFill="background1"/>
          </w:tcPr>
          <w:p w14:paraId="45783942" w14:textId="77777777" w:rsidR="00441E93" w:rsidRPr="00EC6C19" w:rsidRDefault="00587338" w:rsidP="00441E9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17</w:t>
            </w:r>
          </w:p>
          <w:p w14:paraId="303970CB" w14:textId="77777777" w:rsidR="00441E93" w:rsidRPr="00EC6C19" w:rsidRDefault="00441E93" w:rsidP="00441E93">
            <w:pPr>
              <w:spacing w:line="360" w:lineRule="auto"/>
              <w:jc w:val="center"/>
              <w:rPr>
                <w:rFonts w:ascii="Times New Roman" w:hAnsi="Times New Roman" w:cs="Times New Roman"/>
                <w:b/>
                <w:sz w:val="24"/>
                <w:szCs w:val="24"/>
              </w:rPr>
            </w:pPr>
          </w:p>
        </w:tc>
        <w:tc>
          <w:tcPr>
            <w:tcW w:w="2162" w:type="dxa"/>
            <w:shd w:val="clear" w:color="auto" w:fill="FFFFFF" w:themeFill="background1"/>
          </w:tcPr>
          <w:p w14:paraId="26A8F117"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0.66</w:t>
            </w:r>
          </w:p>
        </w:tc>
        <w:tc>
          <w:tcPr>
            <w:tcW w:w="1843" w:type="dxa"/>
            <w:shd w:val="clear" w:color="auto" w:fill="FFFFFF" w:themeFill="background1"/>
          </w:tcPr>
          <w:p w14:paraId="3A35D4ED"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0.54</w:t>
            </w:r>
          </w:p>
        </w:tc>
        <w:tc>
          <w:tcPr>
            <w:tcW w:w="2126" w:type="dxa"/>
            <w:shd w:val="clear" w:color="auto" w:fill="FFFFFF" w:themeFill="background1"/>
          </w:tcPr>
          <w:p w14:paraId="3E364C35"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0.12</w:t>
            </w:r>
          </w:p>
        </w:tc>
        <w:tc>
          <w:tcPr>
            <w:tcW w:w="1530" w:type="dxa"/>
            <w:shd w:val="clear" w:color="auto" w:fill="FFFFFF" w:themeFill="background1"/>
          </w:tcPr>
          <w:p w14:paraId="44166B5D"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532504FE" w14:textId="77777777" w:rsidTr="00441E93">
        <w:tc>
          <w:tcPr>
            <w:tcW w:w="1915" w:type="dxa"/>
            <w:shd w:val="clear" w:color="auto" w:fill="FFFFFF" w:themeFill="background1"/>
          </w:tcPr>
          <w:p w14:paraId="461DCA7C" w14:textId="7777777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18</w:t>
            </w:r>
            <w:r w:rsidR="00587338">
              <w:rPr>
                <w:rFonts w:ascii="Times New Roman" w:hAnsi="Times New Roman" w:cs="Times New Roman"/>
                <w:b/>
                <w:sz w:val="24"/>
                <w:szCs w:val="24"/>
              </w:rPr>
              <w:t>*</w:t>
            </w:r>
          </w:p>
          <w:p w14:paraId="7FEDDA9F" w14:textId="77777777" w:rsidR="00441E93" w:rsidRPr="00EC6C19" w:rsidRDefault="00441E93" w:rsidP="00441E93">
            <w:pPr>
              <w:spacing w:line="360" w:lineRule="auto"/>
              <w:jc w:val="center"/>
              <w:rPr>
                <w:rFonts w:ascii="Times New Roman" w:hAnsi="Times New Roman" w:cs="Times New Roman"/>
                <w:b/>
                <w:sz w:val="24"/>
                <w:szCs w:val="24"/>
              </w:rPr>
            </w:pPr>
          </w:p>
        </w:tc>
        <w:tc>
          <w:tcPr>
            <w:tcW w:w="2162" w:type="dxa"/>
            <w:shd w:val="clear" w:color="auto" w:fill="FFFFFF" w:themeFill="background1"/>
          </w:tcPr>
          <w:p w14:paraId="62E91553"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0.92</w:t>
            </w:r>
          </w:p>
        </w:tc>
        <w:tc>
          <w:tcPr>
            <w:tcW w:w="1843" w:type="dxa"/>
            <w:shd w:val="clear" w:color="auto" w:fill="FFFFFF" w:themeFill="background1"/>
          </w:tcPr>
          <w:p w14:paraId="22E3EBE5"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0.89</w:t>
            </w:r>
          </w:p>
        </w:tc>
        <w:tc>
          <w:tcPr>
            <w:tcW w:w="2126" w:type="dxa"/>
            <w:shd w:val="clear" w:color="auto" w:fill="FFFFFF" w:themeFill="background1"/>
          </w:tcPr>
          <w:p w14:paraId="1CDD6265"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0.03</w:t>
            </w:r>
          </w:p>
        </w:tc>
        <w:tc>
          <w:tcPr>
            <w:tcW w:w="1530" w:type="dxa"/>
            <w:shd w:val="clear" w:color="auto" w:fill="FFFFFF" w:themeFill="background1"/>
          </w:tcPr>
          <w:p w14:paraId="74148AFD"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1EA67868" w14:textId="77777777" w:rsidTr="00441E93">
        <w:tc>
          <w:tcPr>
            <w:tcW w:w="1915" w:type="dxa"/>
            <w:shd w:val="clear" w:color="auto" w:fill="FFFFFF" w:themeFill="background1"/>
          </w:tcPr>
          <w:p w14:paraId="4E3D727E" w14:textId="57E5664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Mean (</w:t>
            </w:r>
            <w:r w:rsidR="00D97E85">
              <w:rPr>
                <w:rFonts w:ascii="Times New Roman" w:hAnsi="Times New Roman" w:cs="Times New Roman"/>
                <w:sz w:val="24"/>
                <w:szCs w:val="24"/>
              </w:rPr>
              <w:t>±</w:t>
            </w:r>
            <w:r w:rsidRPr="00EC6C19">
              <w:rPr>
                <w:rFonts w:ascii="Times New Roman" w:hAnsi="Times New Roman" w:cs="Times New Roman"/>
                <w:b/>
                <w:sz w:val="24"/>
                <w:szCs w:val="24"/>
              </w:rPr>
              <w:t xml:space="preserve"> SD)</w:t>
            </w:r>
          </w:p>
        </w:tc>
        <w:tc>
          <w:tcPr>
            <w:tcW w:w="2162" w:type="dxa"/>
            <w:shd w:val="clear" w:color="auto" w:fill="FFFFFF" w:themeFill="background1"/>
          </w:tcPr>
          <w:p w14:paraId="265E2D08"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 (0.12)</w:t>
            </w:r>
          </w:p>
        </w:tc>
        <w:tc>
          <w:tcPr>
            <w:tcW w:w="1843" w:type="dxa"/>
            <w:shd w:val="clear" w:color="auto" w:fill="FFFFFF" w:themeFill="background1"/>
          </w:tcPr>
          <w:p w14:paraId="05F25CE8"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0.85 (0.14)</w:t>
            </w:r>
          </w:p>
        </w:tc>
        <w:tc>
          <w:tcPr>
            <w:tcW w:w="2126" w:type="dxa"/>
            <w:shd w:val="clear" w:color="auto" w:fill="FFFFFF" w:themeFill="background1"/>
          </w:tcPr>
          <w:p w14:paraId="3DE2F152"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0.06 (0.03)</w:t>
            </w:r>
          </w:p>
        </w:tc>
        <w:tc>
          <w:tcPr>
            <w:tcW w:w="1530" w:type="dxa"/>
            <w:shd w:val="clear" w:color="auto" w:fill="FFFFFF" w:themeFill="background1"/>
          </w:tcPr>
          <w:p w14:paraId="4650A3BE" w14:textId="77777777" w:rsidR="00441E93" w:rsidRPr="00EC6C19" w:rsidRDefault="00441E93" w:rsidP="00441E93">
            <w:pPr>
              <w:spacing w:line="360" w:lineRule="auto"/>
              <w:jc w:val="center"/>
              <w:rPr>
                <w:rFonts w:ascii="Times New Roman" w:hAnsi="Times New Roman" w:cs="Times New Roman"/>
                <w:sz w:val="24"/>
                <w:szCs w:val="24"/>
              </w:rPr>
            </w:pPr>
          </w:p>
        </w:tc>
      </w:tr>
    </w:tbl>
    <w:p w14:paraId="7365F316" w14:textId="77777777" w:rsidR="00CF4536" w:rsidRPr="00EC6C19" w:rsidRDefault="00CF4536" w:rsidP="0059143E">
      <w:pPr>
        <w:spacing w:line="360" w:lineRule="auto"/>
        <w:rPr>
          <w:rFonts w:ascii="Times New Roman" w:hAnsi="Times New Roman" w:cs="Times New Roman"/>
          <w:i/>
          <w:sz w:val="24"/>
          <w:szCs w:val="24"/>
        </w:rPr>
      </w:pPr>
    </w:p>
    <w:p w14:paraId="292B93DF" w14:textId="77777777" w:rsidR="00F37451" w:rsidRDefault="008630EC" w:rsidP="008630EC">
      <w:pPr>
        <w:pStyle w:val="Caption"/>
        <w:spacing w:line="360" w:lineRule="auto"/>
        <w:rPr>
          <w:rFonts w:ascii="Times New Roman" w:hAnsi="Times New Roman" w:cs="Times New Roman"/>
          <w:b w:val="0"/>
          <w:i/>
          <w:color w:val="auto"/>
          <w:sz w:val="24"/>
          <w:szCs w:val="24"/>
        </w:rPr>
      </w:pPr>
      <w:bookmarkStart w:id="184" w:name="_Toc44962604"/>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28</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LAD Clinical Measurement Point.</w:t>
      </w:r>
      <w:r w:rsidR="009021F7" w:rsidRPr="008630EC">
        <w:rPr>
          <w:rFonts w:ascii="Times New Roman" w:hAnsi="Times New Roman" w:cs="Times New Roman"/>
          <w:b w:val="0"/>
          <w:i/>
          <w:color w:val="auto"/>
          <w:sz w:val="24"/>
          <w:szCs w:val="24"/>
        </w:rPr>
        <w:t xml:space="preserve"> </w:t>
      </w:r>
      <w:r w:rsidRPr="008630EC">
        <w:rPr>
          <w:rFonts w:ascii="Times New Roman" w:hAnsi="Times New Roman" w:cs="Times New Roman"/>
          <w:b w:val="0"/>
          <w:i/>
          <w:color w:val="auto"/>
          <w:sz w:val="24"/>
          <w:szCs w:val="24"/>
        </w:rPr>
        <w:t>C</w:t>
      </w:r>
      <w:r w:rsidR="009021F7" w:rsidRPr="008630EC">
        <w:rPr>
          <w:rFonts w:ascii="Times New Roman" w:hAnsi="Times New Roman" w:cs="Times New Roman"/>
          <w:b w:val="0"/>
          <w:i/>
          <w:color w:val="auto"/>
          <w:sz w:val="24"/>
          <w:szCs w:val="24"/>
        </w:rPr>
        <w:t>linical measurement points for FFR. All values changed in the appropriate direction. The clinical values are statistically significant (p &lt;0.05).</w:t>
      </w:r>
      <w:r w:rsidR="00864990" w:rsidRPr="008630EC">
        <w:rPr>
          <w:rFonts w:ascii="Times New Roman" w:hAnsi="Times New Roman" w:cs="Times New Roman"/>
          <w:b w:val="0"/>
          <w:i/>
          <w:color w:val="auto"/>
          <w:sz w:val="24"/>
          <w:szCs w:val="24"/>
        </w:rPr>
        <w:t xml:space="preserve"> *Clinical point as per distal point.</w:t>
      </w:r>
      <w:bookmarkEnd w:id="184"/>
    </w:p>
    <w:p w14:paraId="07D495AD" w14:textId="77777777" w:rsidR="00B35A6A" w:rsidRPr="00B35A6A" w:rsidRDefault="00B35A6A" w:rsidP="00B35A6A"/>
    <w:p w14:paraId="017EC227" w14:textId="77777777" w:rsidR="00CF154F" w:rsidRPr="00EC6C19" w:rsidRDefault="00CF154F" w:rsidP="0059143E">
      <w:pPr>
        <w:spacing w:line="360" w:lineRule="auto"/>
        <w:rPr>
          <w:rFonts w:ascii="Times New Roman" w:hAnsi="Times New Roman" w:cs="Times New Roman"/>
          <w:i/>
          <w:sz w:val="24"/>
          <w:szCs w:val="24"/>
        </w:rPr>
      </w:pPr>
    </w:p>
    <w:p w14:paraId="76EAFD66" w14:textId="77777777" w:rsidR="00853408" w:rsidRPr="00EC6C19" w:rsidRDefault="00853408" w:rsidP="00853408">
      <w:pPr>
        <w:spacing w:line="360" w:lineRule="auto"/>
        <w:ind w:left="-737"/>
        <w:rPr>
          <w:rFonts w:ascii="Times New Roman" w:hAnsi="Times New Roman" w:cs="Times New Roman"/>
          <w:i/>
          <w:sz w:val="24"/>
          <w:szCs w:val="24"/>
        </w:rPr>
      </w:pPr>
      <w:r w:rsidRPr="00EC6C19">
        <w:rPr>
          <w:rFonts w:ascii="Times New Roman" w:hAnsi="Times New Roman" w:cs="Times New Roman"/>
          <w:i/>
          <w:noProof/>
          <w:sz w:val="24"/>
          <w:szCs w:val="24"/>
          <w:lang w:eastAsia="en-GB"/>
        </w:rPr>
        <w:drawing>
          <wp:inline distT="0" distB="0" distL="0" distR="0" wp14:anchorId="7AEF4E34" wp14:editId="49981D59">
            <wp:extent cx="6966541" cy="4944140"/>
            <wp:effectExtent l="0" t="0" r="0" b="0"/>
            <wp:docPr id="5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082AD7" w14:textId="77777777" w:rsidR="00853408" w:rsidRDefault="00CF154F" w:rsidP="00CF154F">
      <w:pPr>
        <w:pStyle w:val="Caption"/>
        <w:spacing w:line="360" w:lineRule="auto"/>
        <w:rPr>
          <w:rFonts w:ascii="Times New Roman" w:hAnsi="Times New Roman" w:cs="Times New Roman"/>
          <w:b w:val="0"/>
          <w:i/>
          <w:color w:val="auto"/>
          <w:sz w:val="24"/>
          <w:szCs w:val="24"/>
        </w:rPr>
      </w:pPr>
      <w:bookmarkStart w:id="185" w:name="_Toc44684934"/>
      <w:r w:rsidRPr="00CF154F">
        <w:rPr>
          <w:rFonts w:ascii="Times New Roman" w:hAnsi="Times New Roman" w:cs="Times New Roman"/>
          <w:b w:val="0"/>
          <w:i/>
          <w:color w:val="auto"/>
          <w:sz w:val="24"/>
          <w:szCs w:val="24"/>
        </w:rPr>
        <w:t xml:space="preserve">Figure </w:t>
      </w:r>
      <w:r w:rsidR="00106A32" w:rsidRPr="00CF154F">
        <w:rPr>
          <w:rFonts w:ascii="Times New Roman" w:hAnsi="Times New Roman" w:cs="Times New Roman"/>
          <w:b w:val="0"/>
          <w:i/>
          <w:color w:val="auto"/>
          <w:sz w:val="24"/>
          <w:szCs w:val="24"/>
        </w:rPr>
        <w:fldChar w:fldCharType="begin"/>
      </w:r>
      <w:r w:rsidRPr="00CF154F">
        <w:rPr>
          <w:rFonts w:ascii="Times New Roman" w:hAnsi="Times New Roman" w:cs="Times New Roman"/>
          <w:b w:val="0"/>
          <w:i/>
          <w:color w:val="auto"/>
          <w:sz w:val="24"/>
          <w:szCs w:val="24"/>
        </w:rPr>
        <w:instrText xml:space="preserve"> SEQ Figure \* ARABIC </w:instrText>
      </w:r>
      <w:r w:rsidR="00106A32" w:rsidRPr="00CF154F">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45</w:t>
      </w:r>
      <w:r w:rsidR="00106A32" w:rsidRPr="00CF154F">
        <w:rPr>
          <w:rFonts w:ascii="Times New Roman" w:hAnsi="Times New Roman" w:cs="Times New Roman"/>
          <w:b w:val="0"/>
          <w:i/>
          <w:color w:val="auto"/>
          <w:sz w:val="24"/>
          <w:szCs w:val="24"/>
        </w:rPr>
        <w:fldChar w:fldCharType="end"/>
      </w:r>
      <w:r w:rsidRPr="00CF154F">
        <w:rPr>
          <w:rFonts w:ascii="Times New Roman" w:hAnsi="Times New Roman" w:cs="Times New Roman"/>
          <w:b w:val="0"/>
          <w:i/>
          <w:color w:val="auto"/>
          <w:sz w:val="24"/>
          <w:szCs w:val="24"/>
        </w:rPr>
        <w:t xml:space="preserve"> - LAD Clinical Measurement Point</w:t>
      </w:r>
      <w:r w:rsidR="00853408" w:rsidRPr="00CF154F">
        <w:rPr>
          <w:rFonts w:ascii="Times New Roman" w:hAnsi="Times New Roman" w:cs="Times New Roman"/>
          <w:b w:val="0"/>
          <w:i/>
          <w:color w:val="auto"/>
          <w:sz w:val="24"/>
          <w:szCs w:val="24"/>
        </w:rPr>
        <w:t xml:space="preserve">. </w:t>
      </w:r>
      <w:r w:rsidR="00E80F29" w:rsidRPr="00CF154F">
        <w:rPr>
          <w:rFonts w:ascii="Times New Roman" w:hAnsi="Times New Roman" w:cs="Times New Roman"/>
          <w:b w:val="0"/>
          <w:i/>
          <w:color w:val="auto"/>
          <w:sz w:val="24"/>
          <w:szCs w:val="24"/>
        </w:rPr>
        <w:t xml:space="preserve">Mean values in red. </w:t>
      </w:r>
      <w:r w:rsidR="00853408" w:rsidRPr="00CF154F">
        <w:rPr>
          <w:rFonts w:ascii="Times New Roman" w:hAnsi="Times New Roman" w:cs="Times New Roman"/>
          <w:b w:val="0"/>
          <w:i/>
          <w:color w:val="auto"/>
          <w:sz w:val="24"/>
          <w:szCs w:val="24"/>
        </w:rPr>
        <w:t>Values are statistically significant (p&lt;0.05).</w:t>
      </w:r>
      <w:bookmarkEnd w:id="185"/>
    </w:p>
    <w:p w14:paraId="446057FE" w14:textId="77777777" w:rsidR="00CF154F" w:rsidRPr="00CF154F" w:rsidRDefault="00CF154F" w:rsidP="00CF154F"/>
    <w:p w14:paraId="3F1C759A" w14:textId="77777777" w:rsidR="00853408" w:rsidRPr="00EC6C19" w:rsidRDefault="00853408" w:rsidP="0059143E">
      <w:pPr>
        <w:spacing w:line="360" w:lineRule="auto"/>
        <w:rPr>
          <w:rFonts w:ascii="Times New Roman" w:hAnsi="Times New Roman" w:cs="Times New Roman"/>
          <w:i/>
          <w:sz w:val="24"/>
          <w:szCs w:val="24"/>
        </w:rPr>
      </w:pPr>
    </w:p>
    <w:p w14:paraId="41D875FA" w14:textId="77777777" w:rsidR="002F324E" w:rsidRPr="00EC6C19" w:rsidRDefault="002F324E" w:rsidP="0059143E">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Circumflex Artery</w:t>
      </w:r>
    </w:p>
    <w:p w14:paraId="2832DA47" w14:textId="77777777" w:rsidR="002F324E" w:rsidRPr="00EC6C19" w:rsidRDefault="002F324E" w:rsidP="0059143E">
      <w:pPr>
        <w:spacing w:line="360" w:lineRule="auto"/>
        <w:rPr>
          <w:rFonts w:ascii="Times New Roman" w:hAnsi="Times New Roman" w:cs="Times New Roman"/>
          <w:i/>
          <w:sz w:val="24"/>
          <w:szCs w:val="24"/>
        </w:rPr>
      </w:pPr>
    </w:p>
    <w:p w14:paraId="41ECA332" w14:textId="77777777" w:rsidR="001074F7" w:rsidRPr="00EC6C19" w:rsidRDefault="001074F7" w:rsidP="0059143E">
      <w:pPr>
        <w:spacing w:line="360" w:lineRule="auto"/>
        <w:rPr>
          <w:rFonts w:ascii="Times New Roman" w:hAnsi="Times New Roman" w:cs="Times New Roman"/>
          <w:sz w:val="24"/>
          <w:szCs w:val="24"/>
        </w:rPr>
      </w:pPr>
      <w:r w:rsidRPr="00EC6C19">
        <w:rPr>
          <w:rFonts w:ascii="Times New Roman" w:hAnsi="Times New Roman" w:cs="Times New Roman"/>
          <w:sz w:val="24"/>
          <w:szCs w:val="24"/>
        </w:rPr>
        <w:t>Only three cases were recorded at the clinical point</w:t>
      </w:r>
      <w:r w:rsidR="00DE7318" w:rsidRPr="00EC6C19">
        <w:rPr>
          <w:rFonts w:ascii="Times New Roman" w:hAnsi="Times New Roman" w:cs="Times New Roman"/>
          <w:sz w:val="24"/>
          <w:szCs w:val="24"/>
        </w:rPr>
        <w:t xml:space="preserve"> which is insufficient for adequate statistical power</w:t>
      </w:r>
      <w:r w:rsidRPr="00EC6C19">
        <w:rPr>
          <w:rFonts w:ascii="Times New Roman" w:hAnsi="Times New Roman" w:cs="Times New Roman"/>
          <w:sz w:val="24"/>
          <w:szCs w:val="24"/>
        </w:rPr>
        <w:t xml:space="preserve">. The results </w:t>
      </w:r>
      <w:r w:rsidR="00DE7318" w:rsidRPr="00EC6C19">
        <w:rPr>
          <w:rFonts w:ascii="Times New Roman" w:hAnsi="Times New Roman" w:cs="Times New Roman"/>
          <w:sz w:val="24"/>
          <w:szCs w:val="24"/>
        </w:rPr>
        <w:t>were</w:t>
      </w:r>
      <w:r w:rsidR="00441E93" w:rsidRPr="00EC6C19">
        <w:rPr>
          <w:rFonts w:ascii="Times New Roman" w:hAnsi="Times New Roman" w:cs="Times New Roman"/>
          <w:sz w:val="24"/>
          <w:szCs w:val="24"/>
        </w:rPr>
        <w:t xml:space="preserve"> not </w:t>
      </w:r>
      <w:r w:rsidRPr="00EC6C19">
        <w:rPr>
          <w:rFonts w:ascii="Times New Roman" w:hAnsi="Times New Roman" w:cs="Times New Roman"/>
          <w:sz w:val="24"/>
          <w:szCs w:val="24"/>
        </w:rPr>
        <w:t>significant</w:t>
      </w:r>
      <w:r w:rsidR="008630EC">
        <w:rPr>
          <w:rFonts w:ascii="Times New Roman" w:hAnsi="Times New Roman" w:cs="Times New Roman"/>
          <w:sz w:val="24"/>
          <w:szCs w:val="24"/>
        </w:rPr>
        <w:t xml:space="preserve"> (Table 29)</w:t>
      </w:r>
      <w:r w:rsidRPr="00EC6C19">
        <w:rPr>
          <w:rFonts w:ascii="Times New Roman" w:hAnsi="Times New Roman" w:cs="Times New Roman"/>
          <w:sz w:val="24"/>
          <w:szCs w:val="24"/>
        </w:rPr>
        <w:t>.</w:t>
      </w:r>
    </w:p>
    <w:p w14:paraId="2E3D80FE" w14:textId="77777777" w:rsidR="001074F7" w:rsidRPr="00EC6C19" w:rsidRDefault="001074F7" w:rsidP="0059143E">
      <w:pPr>
        <w:spacing w:line="360" w:lineRule="auto"/>
        <w:rPr>
          <w:rFonts w:ascii="Times New Roman" w:hAnsi="Times New Roman" w:cs="Times New Roman"/>
          <w:i/>
          <w:sz w:val="24"/>
          <w:szCs w:val="24"/>
        </w:rPr>
      </w:pPr>
    </w:p>
    <w:tbl>
      <w:tblPr>
        <w:tblW w:w="0" w:type="auto"/>
        <w:tblLook w:val="04A0" w:firstRow="1" w:lastRow="0" w:firstColumn="1" w:lastColumn="0" w:noHBand="0" w:noVBand="1"/>
      </w:tblPr>
      <w:tblGrid>
        <w:gridCol w:w="1878"/>
        <w:gridCol w:w="1869"/>
        <w:gridCol w:w="1873"/>
        <w:gridCol w:w="1876"/>
        <w:gridCol w:w="1864"/>
      </w:tblGrid>
      <w:tr w:rsidR="00441E93" w:rsidRPr="00EC6C19" w14:paraId="792AE704" w14:textId="77777777" w:rsidTr="000265D0">
        <w:tc>
          <w:tcPr>
            <w:tcW w:w="1915" w:type="dxa"/>
            <w:shd w:val="clear" w:color="auto" w:fill="F2F2F2" w:themeFill="background1" w:themeFillShade="F2"/>
          </w:tcPr>
          <w:p w14:paraId="088A6339"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Case Number</w:t>
            </w:r>
          </w:p>
        </w:tc>
        <w:tc>
          <w:tcPr>
            <w:tcW w:w="1915" w:type="dxa"/>
            <w:shd w:val="clear" w:color="auto" w:fill="F2F2F2" w:themeFill="background1" w:themeFillShade="F2"/>
          </w:tcPr>
          <w:p w14:paraId="400D381B"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Prone FFR</w:t>
            </w:r>
          </w:p>
          <w:p w14:paraId="562E38B4" w14:textId="77777777" w:rsidR="00441E93" w:rsidRPr="00EC6C19" w:rsidRDefault="00441E93" w:rsidP="00441E93">
            <w:pPr>
              <w:spacing w:line="360" w:lineRule="auto"/>
              <w:jc w:val="center"/>
              <w:rPr>
                <w:rFonts w:ascii="Times New Roman" w:hAnsi="Times New Roman" w:cs="Times New Roman"/>
                <w:sz w:val="24"/>
                <w:szCs w:val="24"/>
              </w:rPr>
            </w:pPr>
          </w:p>
        </w:tc>
        <w:tc>
          <w:tcPr>
            <w:tcW w:w="1915" w:type="dxa"/>
            <w:shd w:val="clear" w:color="auto" w:fill="F2F2F2" w:themeFill="background1" w:themeFillShade="F2"/>
          </w:tcPr>
          <w:p w14:paraId="46422383"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Supine FFR</w:t>
            </w:r>
          </w:p>
        </w:tc>
        <w:tc>
          <w:tcPr>
            <w:tcW w:w="1915" w:type="dxa"/>
            <w:shd w:val="clear" w:color="auto" w:fill="F2F2F2" w:themeFill="background1" w:themeFillShade="F2"/>
          </w:tcPr>
          <w:p w14:paraId="7259356C"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Delta Change</w:t>
            </w:r>
          </w:p>
        </w:tc>
        <w:tc>
          <w:tcPr>
            <w:tcW w:w="1916" w:type="dxa"/>
            <w:shd w:val="clear" w:color="auto" w:fill="F2F2F2" w:themeFill="background1" w:themeFillShade="F2"/>
          </w:tcPr>
          <w:p w14:paraId="63637275"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2C71F7C4" w14:textId="77777777" w:rsidTr="000265D0">
        <w:tc>
          <w:tcPr>
            <w:tcW w:w="1915" w:type="dxa"/>
            <w:shd w:val="clear" w:color="auto" w:fill="FFFFFF" w:themeFill="background1"/>
          </w:tcPr>
          <w:p w14:paraId="7DED6F99" w14:textId="7777777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21</w:t>
            </w:r>
          </w:p>
          <w:p w14:paraId="18DF3732" w14:textId="77777777" w:rsidR="00441E93" w:rsidRPr="00EC6C19" w:rsidRDefault="00441E93" w:rsidP="00441E93">
            <w:pPr>
              <w:spacing w:line="360" w:lineRule="auto"/>
              <w:jc w:val="center"/>
              <w:rPr>
                <w:rFonts w:ascii="Times New Roman" w:hAnsi="Times New Roman" w:cs="Times New Roman"/>
                <w:b/>
                <w:sz w:val="24"/>
                <w:szCs w:val="24"/>
              </w:rPr>
            </w:pPr>
          </w:p>
        </w:tc>
        <w:tc>
          <w:tcPr>
            <w:tcW w:w="1915" w:type="dxa"/>
            <w:shd w:val="clear" w:color="auto" w:fill="FFFFFF" w:themeFill="background1"/>
          </w:tcPr>
          <w:p w14:paraId="46554152"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0.90</w:t>
            </w:r>
          </w:p>
        </w:tc>
        <w:tc>
          <w:tcPr>
            <w:tcW w:w="1915" w:type="dxa"/>
            <w:shd w:val="clear" w:color="auto" w:fill="FFFFFF" w:themeFill="background1"/>
          </w:tcPr>
          <w:p w14:paraId="4FB7BD8E"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0.89</w:t>
            </w:r>
          </w:p>
        </w:tc>
        <w:tc>
          <w:tcPr>
            <w:tcW w:w="1915" w:type="dxa"/>
            <w:shd w:val="clear" w:color="auto" w:fill="FFFFFF" w:themeFill="background1"/>
          </w:tcPr>
          <w:p w14:paraId="56EFD776"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-0.01</w:t>
            </w:r>
          </w:p>
        </w:tc>
        <w:tc>
          <w:tcPr>
            <w:tcW w:w="1916" w:type="dxa"/>
            <w:vMerge w:val="restart"/>
            <w:shd w:val="clear" w:color="auto" w:fill="FFFFFF" w:themeFill="background1"/>
          </w:tcPr>
          <w:p w14:paraId="4A29B2C4" w14:textId="77777777" w:rsidR="00441E93" w:rsidRPr="00EC6C19" w:rsidRDefault="00441E93" w:rsidP="00441E93">
            <w:pPr>
              <w:spacing w:line="360" w:lineRule="auto"/>
              <w:jc w:val="center"/>
              <w:rPr>
                <w:rFonts w:ascii="Times New Roman" w:hAnsi="Times New Roman" w:cs="Times New Roman"/>
                <w:sz w:val="24"/>
                <w:szCs w:val="24"/>
              </w:rPr>
            </w:pPr>
          </w:p>
          <w:p w14:paraId="3CBBEE6F" w14:textId="77777777" w:rsidR="00441E93" w:rsidRPr="00EC6C19" w:rsidRDefault="00441E93" w:rsidP="00441E93">
            <w:pPr>
              <w:spacing w:line="360" w:lineRule="auto"/>
              <w:jc w:val="center"/>
              <w:rPr>
                <w:rFonts w:ascii="Times New Roman" w:hAnsi="Times New Roman" w:cs="Times New Roman"/>
                <w:sz w:val="24"/>
                <w:szCs w:val="24"/>
              </w:rPr>
            </w:pPr>
          </w:p>
          <w:p w14:paraId="10B6DB03" w14:textId="77777777" w:rsidR="00441E93" w:rsidRPr="00EC6C19" w:rsidRDefault="00441E93" w:rsidP="00441E93">
            <w:pPr>
              <w:spacing w:line="360" w:lineRule="auto"/>
              <w:jc w:val="center"/>
              <w:rPr>
                <w:rFonts w:ascii="Times New Roman" w:hAnsi="Times New Roman" w:cs="Times New Roman"/>
                <w:sz w:val="24"/>
                <w:szCs w:val="24"/>
              </w:rPr>
            </w:pPr>
          </w:p>
          <w:p w14:paraId="51FCCEE4" w14:textId="77777777" w:rsidR="00441E93" w:rsidRPr="00EC6C19" w:rsidRDefault="00441E93" w:rsidP="00441E93">
            <w:pPr>
              <w:spacing w:line="360" w:lineRule="auto"/>
              <w:jc w:val="center"/>
              <w:rPr>
                <w:rFonts w:ascii="Times New Roman" w:hAnsi="Times New Roman" w:cs="Times New Roman"/>
                <w:sz w:val="24"/>
                <w:szCs w:val="24"/>
              </w:rPr>
            </w:pPr>
          </w:p>
          <w:p w14:paraId="6A99E1A2"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 = 0.37</w:t>
            </w:r>
          </w:p>
        </w:tc>
      </w:tr>
      <w:tr w:rsidR="00441E93" w:rsidRPr="00EC6C19" w14:paraId="5D800D2A" w14:textId="77777777" w:rsidTr="000265D0">
        <w:tc>
          <w:tcPr>
            <w:tcW w:w="1915" w:type="dxa"/>
            <w:shd w:val="clear" w:color="auto" w:fill="FFFFFF" w:themeFill="background1"/>
          </w:tcPr>
          <w:p w14:paraId="2B3AF3F8" w14:textId="7777777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22</w:t>
            </w:r>
          </w:p>
          <w:p w14:paraId="0FAE3BCD" w14:textId="77777777" w:rsidR="00441E93" w:rsidRPr="00EC6C19" w:rsidRDefault="00441E93" w:rsidP="00441E93">
            <w:pPr>
              <w:spacing w:line="360" w:lineRule="auto"/>
              <w:jc w:val="center"/>
              <w:rPr>
                <w:rFonts w:ascii="Times New Roman" w:hAnsi="Times New Roman" w:cs="Times New Roman"/>
                <w:b/>
                <w:sz w:val="24"/>
                <w:szCs w:val="24"/>
              </w:rPr>
            </w:pPr>
          </w:p>
        </w:tc>
        <w:tc>
          <w:tcPr>
            <w:tcW w:w="1915" w:type="dxa"/>
            <w:shd w:val="clear" w:color="auto" w:fill="FFFFFF" w:themeFill="background1"/>
          </w:tcPr>
          <w:p w14:paraId="2A38DE9F"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0.89</w:t>
            </w:r>
          </w:p>
        </w:tc>
        <w:tc>
          <w:tcPr>
            <w:tcW w:w="1915" w:type="dxa"/>
            <w:shd w:val="clear" w:color="auto" w:fill="FFFFFF" w:themeFill="background1"/>
          </w:tcPr>
          <w:p w14:paraId="62C1479C"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w:t>
            </w:r>
          </w:p>
        </w:tc>
        <w:tc>
          <w:tcPr>
            <w:tcW w:w="1915" w:type="dxa"/>
            <w:shd w:val="clear" w:color="auto" w:fill="FFFFFF" w:themeFill="background1"/>
          </w:tcPr>
          <w:p w14:paraId="2BE52150"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w:t>
            </w:r>
          </w:p>
        </w:tc>
        <w:tc>
          <w:tcPr>
            <w:tcW w:w="1916" w:type="dxa"/>
            <w:vMerge/>
            <w:shd w:val="clear" w:color="auto" w:fill="FFFFFF" w:themeFill="background1"/>
          </w:tcPr>
          <w:p w14:paraId="103BB449"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1CEE7239" w14:textId="77777777" w:rsidTr="000265D0">
        <w:tc>
          <w:tcPr>
            <w:tcW w:w="1915" w:type="dxa"/>
            <w:shd w:val="clear" w:color="auto" w:fill="FFFFFF" w:themeFill="background1"/>
          </w:tcPr>
          <w:p w14:paraId="1485EA63" w14:textId="77777777"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23</w:t>
            </w:r>
          </w:p>
          <w:p w14:paraId="707DA18B" w14:textId="77777777" w:rsidR="00441E93" w:rsidRPr="00EC6C19" w:rsidRDefault="00441E93" w:rsidP="00441E93">
            <w:pPr>
              <w:spacing w:line="360" w:lineRule="auto"/>
              <w:jc w:val="center"/>
              <w:rPr>
                <w:rFonts w:ascii="Times New Roman" w:hAnsi="Times New Roman" w:cs="Times New Roman"/>
                <w:b/>
                <w:sz w:val="24"/>
                <w:szCs w:val="24"/>
              </w:rPr>
            </w:pPr>
          </w:p>
        </w:tc>
        <w:tc>
          <w:tcPr>
            <w:tcW w:w="1915" w:type="dxa"/>
            <w:shd w:val="clear" w:color="auto" w:fill="FFFFFF" w:themeFill="background1"/>
          </w:tcPr>
          <w:p w14:paraId="1EAB3993"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0.94</w:t>
            </w:r>
          </w:p>
        </w:tc>
        <w:tc>
          <w:tcPr>
            <w:tcW w:w="1915" w:type="dxa"/>
            <w:shd w:val="clear" w:color="auto" w:fill="FFFFFF" w:themeFill="background1"/>
          </w:tcPr>
          <w:p w14:paraId="29CC7B6B"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0.99</w:t>
            </w:r>
          </w:p>
        </w:tc>
        <w:tc>
          <w:tcPr>
            <w:tcW w:w="1915" w:type="dxa"/>
            <w:shd w:val="clear" w:color="auto" w:fill="FFFFFF" w:themeFill="background1"/>
          </w:tcPr>
          <w:p w14:paraId="24A7887F"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0.05</w:t>
            </w:r>
          </w:p>
        </w:tc>
        <w:tc>
          <w:tcPr>
            <w:tcW w:w="1916" w:type="dxa"/>
            <w:vMerge/>
            <w:shd w:val="clear" w:color="auto" w:fill="FFFFFF" w:themeFill="background1"/>
          </w:tcPr>
          <w:p w14:paraId="4A2C34B2" w14:textId="77777777" w:rsidR="00441E93" w:rsidRPr="00EC6C19" w:rsidRDefault="00441E93" w:rsidP="00441E93">
            <w:pPr>
              <w:spacing w:line="360" w:lineRule="auto"/>
              <w:jc w:val="center"/>
              <w:rPr>
                <w:rFonts w:ascii="Times New Roman" w:hAnsi="Times New Roman" w:cs="Times New Roman"/>
                <w:sz w:val="24"/>
                <w:szCs w:val="24"/>
              </w:rPr>
            </w:pPr>
          </w:p>
        </w:tc>
      </w:tr>
      <w:tr w:rsidR="00441E93" w:rsidRPr="00EC6C19" w14:paraId="5DAF7A51" w14:textId="77777777" w:rsidTr="000265D0">
        <w:tc>
          <w:tcPr>
            <w:tcW w:w="1915" w:type="dxa"/>
            <w:shd w:val="clear" w:color="auto" w:fill="FFFFFF" w:themeFill="background1"/>
          </w:tcPr>
          <w:p w14:paraId="02A0BB38" w14:textId="0A469BA6" w:rsidR="00441E93" w:rsidRPr="00EC6C19" w:rsidRDefault="00441E93" w:rsidP="00441E93">
            <w:pPr>
              <w:spacing w:line="360" w:lineRule="auto"/>
              <w:jc w:val="center"/>
              <w:rPr>
                <w:rFonts w:ascii="Times New Roman" w:hAnsi="Times New Roman" w:cs="Times New Roman"/>
                <w:b/>
                <w:sz w:val="24"/>
                <w:szCs w:val="24"/>
              </w:rPr>
            </w:pPr>
            <w:r w:rsidRPr="00EC6C19">
              <w:rPr>
                <w:rFonts w:ascii="Times New Roman" w:hAnsi="Times New Roman" w:cs="Times New Roman"/>
                <w:b/>
                <w:sz w:val="24"/>
                <w:szCs w:val="24"/>
              </w:rPr>
              <w:t>Mean (</w:t>
            </w:r>
            <w:r w:rsidR="00D97E85">
              <w:rPr>
                <w:rFonts w:ascii="Times New Roman" w:hAnsi="Times New Roman" w:cs="Times New Roman"/>
                <w:sz w:val="24"/>
                <w:szCs w:val="24"/>
              </w:rPr>
              <w:t>±</w:t>
            </w:r>
            <w:r w:rsidRPr="00EC6C19">
              <w:rPr>
                <w:rFonts w:ascii="Times New Roman" w:hAnsi="Times New Roman" w:cs="Times New Roman"/>
                <w:b/>
                <w:sz w:val="24"/>
                <w:szCs w:val="24"/>
              </w:rPr>
              <w:t xml:space="preserve"> SD)</w:t>
            </w:r>
          </w:p>
          <w:p w14:paraId="6B3B03E5" w14:textId="77777777" w:rsidR="00441E93" w:rsidRPr="00EC6C19" w:rsidRDefault="00441E93" w:rsidP="00441E93">
            <w:pPr>
              <w:spacing w:line="360" w:lineRule="auto"/>
              <w:jc w:val="center"/>
              <w:rPr>
                <w:rFonts w:ascii="Times New Roman" w:hAnsi="Times New Roman" w:cs="Times New Roman"/>
                <w:b/>
                <w:sz w:val="24"/>
                <w:szCs w:val="24"/>
              </w:rPr>
            </w:pPr>
          </w:p>
        </w:tc>
        <w:tc>
          <w:tcPr>
            <w:tcW w:w="1915" w:type="dxa"/>
            <w:shd w:val="clear" w:color="auto" w:fill="FFFFFF" w:themeFill="background1"/>
          </w:tcPr>
          <w:p w14:paraId="52115D02"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0.91 (0.03)</w:t>
            </w:r>
          </w:p>
        </w:tc>
        <w:tc>
          <w:tcPr>
            <w:tcW w:w="1915" w:type="dxa"/>
            <w:shd w:val="clear" w:color="auto" w:fill="FFFFFF" w:themeFill="background1"/>
          </w:tcPr>
          <w:p w14:paraId="7F29E705"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0.93 (0.05)</w:t>
            </w:r>
          </w:p>
        </w:tc>
        <w:tc>
          <w:tcPr>
            <w:tcW w:w="1915" w:type="dxa"/>
            <w:shd w:val="clear" w:color="auto" w:fill="FFFFFF" w:themeFill="background1"/>
          </w:tcPr>
          <w:p w14:paraId="0590AE18" w14:textId="77777777" w:rsidR="00441E93" w:rsidRPr="00EC6C19" w:rsidRDefault="00441E93" w:rsidP="00441E9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0.02  (0.03)</w:t>
            </w:r>
          </w:p>
        </w:tc>
        <w:tc>
          <w:tcPr>
            <w:tcW w:w="1916" w:type="dxa"/>
            <w:vMerge/>
            <w:shd w:val="clear" w:color="auto" w:fill="FFFFFF" w:themeFill="background1"/>
          </w:tcPr>
          <w:p w14:paraId="1A738B30" w14:textId="77777777" w:rsidR="00441E93" w:rsidRPr="00EC6C19" w:rsidRDefault="00441E93" w:rsidP="00441E93">
            <w:pPr>
              <w:spacing w:line="360" w:lineRule="auto"/>
              <w:jc w:val="center"/>
              <w:rPr>
                <w:rFonts w:ascii="Times New Roman" w:hAnsi="Times New Roman" w:cs="Times New Roman"/>
                <w:sz w:val="24"/>
                <w:szCs w:val="24"/>
              </w:rPr>
            </w:pPr>
          </w:p>
        </w:tc>
      </w:tr>
    </w:tbl>
    <w:p w14:paraId="2FF45303" w14:textId="77777777" w:rsidR="00441E93" w:rsidRDefault="00441E93" w:rsidP="0059143E">
      <w:pPr>
        <w:spacing w:line="360" w:lineRule="auto"/>
        <w:rPr>
          <w:rFonts w:ascii="Times New Roman" w:hAnsi="Times New Roman" w:cs="Times New Roman"/>
          <w:i/>
          <w:sz w:val="24"/>
          <w:szCs w:val="24"/>
        </w:rPr>
      </w:pPr>
    </w:p>
    <w:p w14:paraId="4B216EE9" w14:textId="77777777" w:rsidR="008630EC" w:rsidRPr="008630EC" w:rsidRDefault="008630EC" w:rsidP="008630EC">
      <w:pPr>
        <w:pStyle w:val="Caption"/>
        <w:spacing w:line="360" w:lineRule="auto"/>
        <w:rPr>
          <w:rFonts w:ascii="Times New Roman" w:hAnsi="Times New Roman" w:cs="Times New Roman"/>
          <w:b w:val="0"/>
          <w:i/>
          <w:color w:val="auto"/>
          <w:sz w:val="22"/>
          <w:szCs w:val="22"/>
        </w:rPr>
      </w:pPr>
      <w:bookmarkStart w:id="186" w:name="_Toc44962605"/>
      <w:r w:rsidRPr="008630EC">
        <w:rPr>
          <w:rFonts w:ascii="Times New Roman" w:hAnsi="Times New Roman" w:cs="Times New Roman"/>
          <w:b w:val="0"/>
          <w:i/>
          <w:color w:val="auto"/>
          <w:sz w:val="22"/>
          <w:szCs w:val="22"/>
        </w:rPr>
        <w:t xml:space="preserve">Table </w:t>
      </w:r>
      <w:r w:rsidR="00106A32" w:rsidRPr="008630EC">
        <w:rPr>
          <w:rFonts w:ascii="Times New Roman" w:hAnsi="Times New Roman" w:cs="Times New Roman"/>
          <w:b w:val="0"/>
          <w:i/>
          <w:color w:val="auto"/>
          <w:sz w:val="22"/>
          <w:szCs w:val="22"/>
        </w:rPr>
        <w:fldChar w:fldCharType="begin"/>
      </w:r>
      <w:r w:rsidRPr="008630EC">
        <w:rPr>
          <w:rFonts w:ascii="Times New Roman" w:hAnsi="Times New Roman" w:cs="Times New Roman"/>
          <w:b w:val="0"/>
          <w:i/>
          <w:color w:val="auto"/>
          <w:sz w:val="22"/>
          <w:szCs w:val="22"/>
        </w:rPr>
        <w:instrText xml:space="preserve"> SEQ Table \* ARABIC </w:instrText>
      </w:r>
      <w:r w:rsidR="00106A32" w:rsidRPr="008630EC">
        <w:rPr>
          <w:rFonts w:ascii="Times New Roman" w:hAnsi="Times New Roman" w:cs="Times New Roman"/>
          <w:b w:val="0"/>
          <w:i/>
          <w:color w:val="auto"/>
          <w:sz w:val="22"/>
          <w:szCs w:val="22"/>
        </w:rPr>
        <w:fldChar w:fldCharType="separate"/>
      </w:r>
      <w:r w:rsidR="00816506">
        <w:rPr>
          <w:rFonts w:ascii="Times New Roman" w:hAnsi="Times New Roman" w:cs="Times New Roman"/>
          <w:b w:val="0"/>
          <w:i/>
          <w:noProof/>
          <w:color w:val="auto"/>
          <w:sz w:val="22"/>
          <w:szCs w:val="22"/>
        </w:rPr>
        <w:t>29</w:t>
      </w:r>
      <w:r w:rsidR="00106A32" w:rsidRPr="008630EC">
        <w:rPr>
          <w:rFonts w:ascii="Times New Roman" w:hAnsi="Times New Roman" w:cs="Times New Roman"/>
          <w:b w:val="0"/>
          <w:i/>
          <w:color w:val="auto"/>
          <w:sz w:val="22"/>
          <w:szCs w:val="22"/>
        </w:rPr>
        <w:fldChar w:fldCharType="end"/>
      </w:r>
      <w:r w:rsidRPr="008630EC">
        <w:rPr>
          <w:rFonts w:ascii="Times New Roman" w:hAnsi="Times New Roman" w:cs="Times New Roman"/>
          <w:b w:val="0"/>
          <w:i/>
          <w:color w:val="auto"/>
          <w:sz w:val="22"/>
          <w:szCs w:val="22"/>
        </w:rPr>
        <w:t xml:space="preserve"> - Cx Clinical Measurement Point</w:t>
      </w:r>
      <w:bookmarkEnd w:id="186"/>
    </w:p>
    <w:p w14:paraId="5CA8ABCC" w14:textId="77777777" w:rsidR="00441E93" w:rsidRPr="00EC6C19" w:rsidRDefault="002F324E" w:rsidP="0059143E">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 xml:space="preserve"> </w:t>
      </w:r>
      <w:r w:rsidR="008630EC">
        <w:rPr>
          <w:rFonts w:ascii="Times New Roman" w:hAnsi="Times New Roman" w:cs="Times New Roman"/>
          <w:i/>
          <w:sz w:val="24"/>
          <w:szCs w:val="24"/>
        </w:rPr>
        <w:br/>
      </w:r>
    </w:p>
    <w:p w14:paraId="4DD39211" w14:textId="77777777" w:rsidR="00864990" w:rsidRPr="00EC6C19" w:rsidRDefault="00864990" w:rsidP="0059143E">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Posterior Descending Artery</w:t>
      </w:r>
    </w:p>
    <w:p w14:paraId="489771AA" w14:textId="77777777" w:rsidR="00864990" w:rsidRPr="00EC6C19" w:rsidRDefault="00864990" w:rsidP="0059143E">
      <w:pPr>
        <w:spacing w:line="360" w:lineRule="auto"/>
        <w:rPr>
          <w:rFonts w:ascii="Times New Roman" w:hAnsi="Times New Roman" w:cs="Times New Roman"/>
          <w:i/>
          <w:sz w:val="24"/>
          <w:szCs w:val="24"/>
        </w:rPr>
      </w:pPr>
    </w:p>
    <w:p w14:paraId="74F05847" w14:textId="77777777" w:rsidR="00864990" w:rsidRPr="00EC6C19" w:rsidRDefault="00864990" w:rsidP="0059143E">
      <w:pPr>
        <w:spacing w:line="360" w:lineRule="auto"/>
        <w:rPr>
          <w:rFonts w:ascii="Times New Roman" w:hAnsi="Times New Roman" w:cs="Times New Roman"/>
          <w:sz w:val="24"/>
          <w:szCs w:val="24"/>
        </w:rPr>
      </w:pPr>
      <w:r w:rsidRPr="00EC6C19">
        <w:rPr>
          <w:rFonts w:ascii="Times New Roman" w:hAnsi="Times New Roman" w:cs="Times New Roman"/>
          <w:sz w:val="24"/>
          <w:szCs w:val="24"/>
        </w:rPr>
        <w:t>Only one result was obtained for the PDA.  The clinical FFR did not change and remained at 0.8 in both positions.</w:t>
      </w:r>
    </w:p>
    <w:p w14:paraId="43778D9C" w14:textId="77777777" w:rsidR="00864990" w:rsidRPr="00EC6C19" w:rsidRDefault="00864990" w:rsidP="0059143E">
      <w:pPr>
        <w:spacing w:line="360" w:lineRule="auto"/>
        <w:rPr>
          <w:rFonts w:ascii="Times New Roman" w:hAnsi="Times New Roman" w:cs="Times New Roman"/>
          <w:sz w:val="24"/>
          <w:szCs w:val="24"/>
        </w:rPr>
      </w:pPr>
    </w:p>
    <w:p w14:paraId="5C807036" w14:textId="77777777" w:rsidR="00864990" w:rsidRPr="00EC6C19" w:rsidRDefault="00864990" w:rsidP="0059143E">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Posterior Left Ventricular Artery</w:t>
      </w:r>
    </w:p>
    <w:p w14:paraId="465DBFF4" w14:textId="77777777" w:rsidR="008630EC" w:rsidRDefault="001074F7" w:rsidP="0059143E">
      <w:pPr>
        <w:spacing w:line="360" w:lineRule="auto"/>
        <w:rPr>
          <w:rFonts w:ascii="Times New Roman" w:hAnsi="Times New Roman" w:cs="Times New Roman"/>
          <w:sz w:val="24"/>
          <w:szCs w:val="24"/>
        </w:rPr>
      </w:pPr>
      <w:r w:rsidRPr="00EC6C19">
        <w:rPr>
          <w:rFonts w:ascii="Times New Roman" w:hAnsi="Times New Roman" w:cs="Times New Roman"/>
          <w:sz w:val="24"/>
          <w:szCs w:val="24"/>
        </w:rPr>
        <w:br/>
        <w:t xml:space="preserve">Four cases are available for comparison of clinical measurement points in the </w:t>
      </w:r>
      <w:r w:rsidR="00DE7318" w:rsidRPr="00EC6C19">
        <w:rPr>
          <w:rFonts w:ascii="Times New Roman" w:hAnsi="Times New Roman" w:cs="Times New Roman"/>
          <w:sz w:val="24"/>
          <w:szCs w:val="24"/>
        </w:rPr>
        <w:t>PLV, which is insufficient for adequate statistical power</w:t>
      </w:r>
      <w:r w:rsidR="008630EC">
        <w:rPr>
          <w:rFonts w:ascii="Times New Roman" w:hAnsi="Times New Roman" w:cs="Times New Roman"/>
          <w:sz w:val="24"/>
          <w:szCs w:val="24"/>
        </w:rPr>
        <w:t xml:space="preserve"> (Table 30)</w:t>
      </w:r>
      <w:r w:rsidRPr="00EC6C19">
        <w:rPr>
          <w:rFonts w:ascii="Times New Roman" w:hAnsi="Times New Roman" w:cs="Times New Roman"/>
          <w:sz w:val="24"/>
          <w:szCs w:val="24"/>
        </w:rPr>
        <w:t>. The results were not significant statistically (p&lt;0.05).</w:t>
      </w:r>
    </w:p>
    <w:p w14:paraId="1599C28B" w14:textId="77777777" w:rsidR="00441E93" w:rsidRPr="00EC6C19" w:rsidRDefault="008630EC" w:rsidP="0059143E">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 </w:t>
      </w:r>
    </w:p>
    <w:tbl>
      <w:tblPr>
        <w:tblStyle w:val="LightShading1"/>
        <w:tblW w:w="0" w:type="auto"/>
        <w:tblLook w:val="04A0" w:firstRow="1" w:lastRow="0" w:firstColumn="1" w:lastColumn="0" w:noHBand="0" w:noVBand="1"/>
      </w:tblPr>
      <w:tblGrid>
        <w:gridCol w:w="1880"/>
        <w:gridCol w:w="1869"/>
        <w:gridCol w:w="1873"/>
        <w:gridCol w:w="1876"/>
        <w:gridCol w:w="1862"/>
      </w:tblGrid>
      <w:tr w:rsidR="00441E93" w:rsidRPr="00EC6C19" w14:paraId="38ECB84C" w14:textId="77777777" w:rsidTr="00441E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Borders>
              <w:top w:val="single" w:sz="8" w:space="0" w:color="4F81BD" w:themeColor="accent1"/>
              <w:bottom w:val="single" w:sz="18" w:space="0" w:color="000000" w:themeColor="text1"/>
            </w:tcBorders>
            <w:shd w:val="clear" w:color="auto" w:fill="F2F2F2" w:themeFill="background1" w:themeFillShade="F2"/>
          </w:tcPr>
          <w:p w14:paraId="46C90C3D" w14:textId="77777777" w:rsidR="00441E93" w:rsidRPr="00EC6C19" w:rsidRDefault="00441E93" w:rsidP="00441E93">
            <w:pPr>
              <w:spacing w:line="360" w:lineRule="auto"/>
              <w:jc w:val="center"/>
              <w:rPr>
                <w:rFonts w:ascii="Times New Roman" w:hAnsi="Times New Roman" w:cs="Times New Roman"/>
                <w:color w:val="auto"/>
                <w:sz w:val="24"/>
                <w:szCs w:val="24"/>
              </w:rPr>
            </w:pPr>
            <w:r w:rsidRPr="00EC6C19">
              <w:rPr>
                <w:rFonts w:ascii="Times New Roman" w:hAnsi="Times New Roman" w:cs="Times New Roman"/>
                <w:color w:val="auto"/>
                <w:sz w:val="24"/>
                <w:szCs w:val="24"/>
              </w:rPr>
              <w:t>Case Number</w:t>
            </w:r>
          </w:p>
        </w:tc>
        <w:tc>
          <w:tcPr>
            <w:tcW w:w="1915" w:type="dxa"/>
            <w:tcBorders>
              <w:top w:val="single" w:sz="8" w:space="0" w:color="4F81BD" w:themeColor="accent1"/>
              <w:bottom w:val="single" w:sz="18" w:space="0" w:color="000000" w:themeColor="text1"/>
            </w:tcBorders>
            <w:shd w:val="clear" w:color="auto" w:fill="F2F2F2" w:themeFill="background1" w:themeFillShade="F2"/>
          </w:tcPr>
          <w:p w14:paraId="29E74D6A" w14:textId="77777777" w:rsidR="00441E93" w:rsidRPr="00EC6C19" w:rsidRDefault="00441E93" w:rsidP="00441E9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C6C19">
              <w:rPr>
                <w:rFonts w:ascii="Times New Roman" w:hAnsi="Times New Roman" w:cs="Times New Roman"/>
                <w:color w:val="auto"/>
                <w:sz w:val="24"/>
                <w:szCs w:val="24"/>
              </w:rPr>
              <w:t>Prone FFR</w:t>
            </w:r>
          </w:p>
          <w:p w14:paraId="29919966" w14:textId="77777777" w:rsidR="00441E93" w:rsidRPr="00EC6C19" w:rsidRDefault="00441E93" w:rsidP="00441E9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tc>
        <w:tc>
          <w:tcPr>
            <w:tcW w:w="1915" w:type="dxa"/>
            <w:tcBorders>
              <w:top w:val="single" w:sz="8" w:space="0" w:color="4F81BD" w:themeColor="accent1"/>
              <w:bottom w:val="single" w:sz="18" w:space="0" w:color="000000" w:themeColor="text1"/>
            </w:tcBorders>
            <w:shd w:val="clear" w:color="auto" w:fill="F2F2F2" w:themeFill="background1" w:themeFillShade="F2"/>
          </w:tcPr>
          <w:p w14:paraId="51B6B93E" w14:textId="77777777" w:rsidR="00441E93" w:rsidRPr="00EC6C19" w:rsidRDefault="00441E93" w:rsidP="00441E9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C6C19">
              <w:rPr>
                <w:rFonts w:ascii="Times New Roman" w:hAnsi="Times New Roman" w:cs="Times New Roman"/>
                <w:color w:val="auto"/>
                <w:sz w:val="24"/>
                <w:szCs w:val="24"/>
              </w:rPr>
              <w:t>Supine FFR</w:t>
            </w:r>
          </w:p>
        </w:tc>
        <w:tc>
          <w:tcPr>
            <w:tcW w:w="1915" w:type="dxa"/>
            <w:tcBorders>
              <w:top w:val="single" w:sz="8" w:space="0" w:color="4F81BD" w:themeColor="accent1"/>
              <w:bottom w:val="single" w:sz="18" w:space="0" w:color="000000" w:themeColor="text1"/>
            </w:tcBorders>
            <w:shd w:val="clear" w:color="auto" w:fill="F2F2F2" w:themeFill="background1" w:themeFillShade="F2"/>
          </w:tcPr>
          <w:p w14:paraId="69ED5B88" w14:textId="77777777" w:rsidR="00441E93" w:rsidRPr="00EC6C19" w:rsidRDefault="00441E93" w:rsidP="00441E9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C6C19">
              <w:rPr>
                <w:rFonts w:ascii="Times New Roman" w:hAnsi="Times New Roman" w:cs="Times New Roman"/>
                <w:color w:val="auto"/>
                <w:sz w:val="24"/>
                <w:szCs w:val="24"/>
              </w:rPr>
              <w:t>Delta Change</w:t>
            </w:r>
          </w:p>
        </w:tc>
        <w:tc>
          <w:tcPr>
            <w:tcW w:w="1916" w:type="dxa"/>
            <w:tcBorders>
              <w:top w:val="single" w:sz="8" w:space="0" w:color="4F81BD" w:themeColor="accent1"/>
              <w:bottom w:val="single" w:sz="18" w:space="0" w:color="000000" w:themeColor="text1"/>
            </w:tcBorders>
            <w:shd w:val="clear" w:color="auto" w:fill="F2F2F2" w:themeFill="background1" w:themeFillShade="F2"/>
          </w:tcPr>
          <w:p w14:paraId="51DD72B5" w14:textId="77777777" w:rsidR="00441E93" w:rsidRPr="00EC6C19" w:rsidRDefault="00441E93" w:rsidP="00441E9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p w14:paraId="37865EB9" w14:textId="77777777" w:rsidR="00441E93" w:rsidRPr="00EC6C19" w:rsidRDefault="00441E93" w:rsidP="00441E9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tc>
      </w:tr>
      <w:tr w:rsidR="00441E93" w:rsidRPr="00EC6C19" w14:paraId="1C7A2588" w14:textId="77777777" w:rsidTr="00441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Borders>
              <w:top w:val="single" w:sz="18" w:space="0" w:color="000000" w:themeColor="text1"/>
            </w:tcBorders>
            <w:shd w:val="clear" w:color="auto" w:fill="FFFFFF" w:themeFill="background1"/>
          </w:tcPr>
          <w:p w14:paraId="6C671452" w14:textId="77777777" w:rsidR="00441E93" w:rsidRPr="00EC6C19" w:rsidRDefault="00441E93" w:rsidP="00441E93">
            <w:pPr>
              <w:spacing w:line="360" w:lineRule="auto"/>
              <w:jc w:val="center"/>
              <w:rPr>
                <w:rFonts w:ascii="Times New Roman" w:hAnsi="Times New Roman" w:cs="Times New Roman"/>
                <w:b w:val="0"/>
                <w:sz w:val="24"/>
                <w:szCs w:val="24"/>
              </w:rPr>
            </w:pPr>
            <w:r w:rsidRPr="00EC6C19">
              <w:rPr>
                <w:rFonts w:ascii="Times New Roman" w:hAnsi="Times New Roman" w:cs="Times New Roman"/>
                <w:b w:val="0"/>
                <w:sz w:val="24"/>
                <w:szCs w:val="24"/>
              </w:rPr>
              <w:t>12</w:t>
            </w:r>
          </w:p>
          <w:p w14:paraId="49839064" w14:textId="77777777" w:rsidR="00441E93" w:rsidRPr="00EC6C19" w:rsidRDefault="00441E93" w:rsidP="00441E93">
            <w:pPr>
              <w:spacing w:line="360" w:lineRule="auto"/>
              <w:jc w:val="center"/>
              <w:rPr>
                <w:rFonts w:ascii="Times New Roman" w:hAnsi="Times New Roman" w:cs="Times New Roman"/>
                <w:b w:val="0"/>
                <w:sz w:val="24"/>
                <w:szCs w:val="24"/>
              </w:rPr>
            </w:pPr>
          </w:p>
        </w:tc>
        <w:tc>
          <w:tcPr>
            <w:tcW w:w="1915" w:type="dxa"/>
            <w:tcBorders>
              <w:top w:val="single" w:sz="18" w:space="0" w:color="000000" w:themeColor="text1"/>
            </w:tcBorders>
            <w:shd w:val="clear" w:color="auto" w:fill="FFFFFF" w:themeFill="background1"/>
          </w:tcPr>
          <w:p w14:paraId="574716E1" w14:textId="77777777" w:rsidR="00441E93" w:rsidRPr="00EC6C19" w:rsidRDefault="00441E93" w:rsidP="00441E9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0.91</w:t>
            </w:r>
          </w:p>
        </w:tc>
        <w:tc>
          <w:tcPr>
            <w:tcW w:w="1915" w:type="dxa"/>
            <w:tcBorders>
              <w:top w:val="single" w:sz="18" w:space="0" w:color="000000" w:themeColor="text1"/>
            </w:tcBorders>
            <w:shd w:val="clear" w:color="auto" w:fill="FFFFFF" w:themeFill="background1"/>
          </w:tcPr>
          <w:p w14:paraId="5D45ABAD" w14:textId="77777777" w:rsidR="00441E93" w:rsidRPr="00EC6C19" w:rsidRDefault="00441E93" w:rsidP="00441E9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0.99</w:t>
            </w:r>
          </w:p>
        </w:tc>
        <w:tc>
          <w:tcPr>
            <w:tcW w:w="1915" w:type="dxa"/>
            <w:tcBorders>
              <w:top w:val="single" w:sz="18" w:space="0" w:color="000000" w:themeColor="text1"/>
            </w:tcBorders>
            <w:shd w:val="clear" w:color="auto" w:fill="FFFFFF" w:themeFill="background1"/>
          </w:tcPr>
          <w:p w14:paraId="54D7E1F0" w14:textId="77777777" w:rsidR="00441E93" w:rsidRPr="00EC6C19" w:rsidRDefault="00441E93" w:rsidP="00441E9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0.08</w:t>
            </w:r>
          </w:p>
        </w:tc>
        <w:tc>
          <w:tcPr>
            <w:tcW w:w="1916" w:type="dxa"/>
            <w:tcBorders>
              <w:top w:val="single" w:sz="18" w:space="0" w:color="000000" w:themeColor="text1"/>
            </w:tcBorders>
            <w:shd w:val="clear" w:color="auto" w:fill="FFFFFF" w:themeFill="background1"/>
          </w:tcPr>
          <w:p w14:paraId="7903A913" w14:textId="77777777" w:rsidR="00441E93" w:rsidRPr="00EC6C19" w:rsidRDefault="00441E93" w:rsidP="00441E9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441E93" w:rsidRPr="00EC6C19" w14:paraId="18A3ABDF" w14:textId="77777777" w:rsidTr="00441E93">
        <w:tc>
          <w:tcPr>
            <w:cnfStyle w:val="001000000000" w:firstRow="0" w:lastRow="0" w:firstColumn="1" w:lastColumn="0" w:oddVBand="0" w:evenVBand="0" w:oddHBand="0" w:evenHBand="0" w:firstRowFirstColumn="0" w:firstRowLastColumn="0" w:lastRowFirstColumn="0" w:lastRowLastColumn="0"/>
            <w:tcW w:w="1915" w:type="dxa"/>
            <w:shd w:val="clear" w:color="auto" w:fill="FFFFFF" w:themeFill="background1"/>
          </w:tcPr>
          <w:p w14:paraId="14FE8DFA" w14:textId="77777777" w:rsidR="00441E93" w:rsidRPr="00EC6C19" w:rsidRDefault="00441E93" w:rsidP="00441E93">
            <w:pPr>
              <w:spacing w:line="360" w:lineRule="auto"/>
              <w:jc w:val="center"/>
              <w:rPr>
                <w:rFonts w:ascii="Times New Roman" w:hAnsi="Times New Roman" w:cs="Times New Roman"/>
                <w:b w:val="0"/>
                <w:sz w:val="24"/>
                <w:szCs w:val="24"/>
              </w:rPr>
            </w:pPr>
            <w:r w:rsidRPr="00EC6C19">
              <w:rPr>
                <w:rFonts w:ascii="Times New Roman" w:hAnsi="Times New Roman" w:cs="Times New Roman"/>
                <w:b w:val="0"/>
                <w:sz w:val="24"/>
                <w:szCs w:val="24"/>
              </w:rPr>
              <w:t>13</w:t>
            </w:r>
          </w:p>
          <w:p w14:paraId="049972CF" w14:textId="77777777" w:rsidR="00441E93" w:rsidRPr="00EC6C19" w:rsidRDefault="00441E93" w:rsidP="00441E93">
            <w:pPr>
              <w:spacing w:line="360" w:lineRule="auto"/>
              <w:jc w:val="center"/>
              <w:rPr>
                <w:rFonts w:ascii="Times New Roman" w:hAnsi="Times New Roman" w:cs="Times New Roman"/>
                <w:b w:val="0"/>
                <w:sz w:val="24"/>
                <w:szCs w:val="24"/>
              </w:rPr>
            </w:pPr>
          </w:p>
        </w:tc>
        <w:tc>
          <w:tcPr>
            <w:tcW w:w="1915" w:type="dxa"/>
            <w:shd w:val="clear" w:color="auto" w:fill="FFFFFF" w:themeFill="background1"/>
          </w:tcPr>
          <w:p w14:paraId="0DD63184" w14:textId="77777777" w:rsidR="00441E93" w:rsidRPr="00EC6C19" w:rsidRDefault="00441E93" w:rsidP="00441E9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0.79</w:t>
            </w:r>
          </w:p>
        </w:tc>
        <w:tc>
          <w:tcPr>
            <w:tcW w:w="1915" w:type="dxa"/>
            <w:shd w:val="clear" w:color="auto" w:fill="FFFFFF" w:themeFill="background1"/>
          </w:tcPr>
          <w:p w14:paraId="6D363EE9" w14:textId="77777777" w:rsidR="00441E93" w:rsidRPr="00EC6C19" w:rsidRDefault="00441E93" w:rsidP="00441E9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0.79</w:t>
            </w:r>
          </w:p>
        </w:tc>
        <w:tc>
          <w:tcPr>
            <w:tcW w:w="1915" w:type="dxa"/>
            <w:shd w:val="clear" w:color="auto" w:fill="FFFFFF" w:themeFill="background1"/>
          </w:tcPr>
          <w:p w14:paraId="5518660E" w14:textId="77777777" w:rsidR="00441E93" w:rsidRPr="00EC6C19" w:rsidRDefault="00441E93" w:rsidP="00441E9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0.00</w:t>
            </w:r>
          </w:p>
        </w:tc>
        <w:tc>
          <w:tcPr>
            <w:tcW w:w="1916" w:type="dxa"/>
            <w:shd w:val="clear" w:color="auto" w:fill="FFFFFF" w:themeFill="background1"/>
          </w:tcPr>
          <w:p w14:paraId="24101934" w14:textId="77777777" w:rsidR="00441E93" w:rsidRPr="00EC6C19" w:rsidRDefault="00441E93" w:rsidP="00441E9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441E93" w:rsidRPr="00EC6C19" w14:paraId="77DE07D7" w14:textId="77777777" w:rsidTr="00441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shd w:val="clear" w:color="auto" w:fill="FFFFFF" w:themeFill="background1"/>
          </w:tcPr>
          <w:p w14:paraId="5A054488" w14:textId="77777777" w:rsidR="00441E93" w:rsidRPr="00EC6C19" w:rsidRDefault="00441E93" w:rsidP="00441E93">
            <w:pPr>
              <w:spacing w:line="360" w:lineRule="auto"/>
              <w:jc w:val="center"/>
              <w:rPr>
                <w:rFonts w:ascii="Times New Roman" w:hAnsi="Times New Roman" w:cs="Times New Roman"/>
                <w:b w:val="0"/>
                <w:sz w:val="24"/>
                <w:szCs w:val="24"/>
              </w:rPr>
            </w:pPr>
            <w:r w:rsidRPr="00EC6C19">
              <w:rPr>
                <w:rFonts w:ascii="Times New Roman" w:hAnsi="Times New Roman" w:cs="Times New Roman"/>
                <w:b w:val="0"/>
                <w:sz w:val="24"/>
                <w:szCs w:val="24"/>
              </w:rPr>
              <w:t>19</w:t>
            </w:r>
          </w:p>
          <w:p w14:paraId="1722E9EE" w14:textId="77777777" w:rsidR="00441E93" w:rsidRPr="00EC6C19" w:rsidRDefault="00441E93" w:rsidP="00441E93">
            <w:pPr>
              <w:spacing w:line="360" w:lineRule="auto"/>
              <w:jc w:val="center"/>
              <w:rPr>
                <w:rFonts w:ascii="Times New Roman" w:hAnsi="Times New Roman" w:cs="Times New Roman"/>
                <w:b w:val="0"/>
                <w:sz w:val="24"/>
                <w:szCs w:val="24"/>
              </w:rPr>
            </w:pPr>
          </w:p>
        </w:tc>
        <w:tc>
          <w:tcPr>
            <w:tcW w:w="1915" w:type="dxa"/>
            <w:shd w:val="clear" w:color="auto" w:fill="FFFFFF" w:themeFill="background1"/>
          </w:tcPr>
          <w:p w14:paraId="3174FEBE" w14:textId="77777777" w:rsidR="00441E93" w:rsidRPr="00EC6C19" w:rsidRDefault="00441E93" w:rsidP="00441E9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0.76</w:t>
            </w:r>
          </w:p>
        </w:tc>
        <w:tc>
          <w:tcPr>
            <w:tcW w:w="1915" w:type="dxa"/>
            <w:shd w:val="clear" w:color="auto" w:fill="FFFFFF" w:themeFill="background1"/>
          </w:tcPr>
          <w:p w14:paraId="705D8A19" w14:textId="77777777" w:rsidR="00441E93" w:rsidRPr="00EC6C19" w:rsidRDefault="00441E93" w:rsidP="00441E9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0.75</w:t>
            </w:r>
          </w:p>
        </w:tc>
        <w:tc>
          <w:tcPr>
            <w:tcW w:w="1915" w:type="dxa"/>
            <w:shd w:val="clear" w:color="auto" w:fill="FFFFFF" w:themeFill="background1"/>
          </w:tcPr>
          <w:p w14:paraId="4F87E16F" w14:textId="77777777" w:rsidR="00441E93" w:rsidRPr="00EC6C19" w:rsidRDefault="00441E93" w:rsidP="00441E9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-0.01</w:t>
            </w:r>
          </w:p>
        </w:tc>
        <w:tc>
          <w:tcPr>
            <w:tcW w:w="1916" w:type="dxa"/>
            <w:shd w:val="clear" w:color="auto" w:fill="FFFFFF" w:themeFill="background1"/>
          </w:tcPr>
          <w:p w14:paraId="2AE03F02" w14:textId="77777777" w:rsidR="00441E93" w:rsidRPr="00EC6C19" w:rsidRDefault="00441E93" w:rsidP="00441E9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P = 0.35</w:t>
            </w:r>
          </w:p>
        </w:tc>
      </w:tr>
      <w:tr w:rsidR="00441E93" w:rsidRPr="00EC6C19" w14:paraId="46310F62" w14:textId="77777777" w:rsidTr="00441E93">
        <w:tc>
          <w:tcPr>
            <w:cnfStyle w:val="001000000000" w:firstRow="0" w:lastRow="0" w:firstColumn="1" w:lastColumn="0" w:oddVBand="0" w:evenVBand="0" w:oddHBand="0" w:evenHBand="0" w:firstRowFirstColumn="0" w:firstRowLastColumn="0" w:lastRowFirstColumn="0" w:lastRowLastColumn="0"/>
            <w:tcW w:w="1915" w:type="dxa"/>
            <w:shd w:val="clear" w:color="auto" w:fill="FFFFFF" w:themeFill="background1"/>
          </w:tcPr>
          <w:p w14:paraId="1BDFB453" w14:textId="77777777" w:rsidR="00441E93" w:rsidRPr="00EC6C19" w:rsidRDefault="00441E93" w:rsidP="00441E93">
            <w:pPr>
              <w:spacing w:line="360" w:lineRule="auto"/>
              <w:jc w:val="center"/>
              <w:rPr>
                <w:rFonts w:ascii="Times New Roman" w:hAnsi="Times New Roman" w:cs="Times New Roman"/>
                <w:b w:val="0"/>
                <w:sz w:val="24"/>
                <w:szCs w:val="24"/>
              </w:rPr>
            </w:pPr>
            <w:r w:rsidRPr="00EC6C19">
              <w:rPr>
                <w:rFonts w:ascii="Times New Roman" w:hAnsi="Times New Roman" w:cs="Times New Roman"/>
                <w:b w:val="0"/>
                <w:sz w:val="24"/>
                <w:szCs w:val="24"/>
              </w:rPr>
              <w:t>20</w:t>
            </w:r>
          </w:p>
          <w:p w14:paraId="7015994F" w14:textId="77777777" w:rsidR="00441E93" w:rsidRPr="00EC6C19" w:rsidRDefault="00441E93" w:rsidP="00441E93">
            <w:pPr>
              <w:spacing w:line="360" w:lineRule="auto"/>
              <w:jc w:val="center"/>
              <w:rPr>
                <w:rFonts w:ascii="Times New Roman" w:hAnsi="Times New Roman" w:cs="Times New Roman"/>
                <w:b w:val="0"/>
                <w:sz w:val="24"/>
                <w:szCs w:val="24"/>
              </w:rPr>
            </w:pPr>
          </w:p>
        </w:tc>
        <w:tc>
          <w:tcPr>
            <w:tcW w:w="1915" w:type="dxa"/>
            <w:shd w:val="clear" w:color="auto" w:fill="FFFFFF" w:themeFill="background1"/>
          </w:tcPr>
          <w:p w14:paraId="07A75EA5" w14:textId="77777777" w:rsidR="00441E93" w:rsidRPr="00EC6C19" w:rsidRDefault="00441E93" w:rsidP="00441E9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0.68</w:t>
            </w:r>
          </w:p>
        </w:tc>
        <w:tc>
          <w:tcPr>
            <w:tcW w:w="1915" w:type="dxa"/>
            <w:shd w:val="clear" w:color="auto" w:fill="FFFFFF" w:themeFill="background1"/>
          </w:tcPr>
          <w:p w14:paraId="3AE685A2" w14:textId="77777777" w:rsidR="00441E93" w:rsidRPr="00EC6C19" w:rsidRDefault="00441E93" w:rsidP="00441E9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0.70</w:t>
            </w:r>
          </w:p>
        </w:tc>
        <w:tc>
          <w:tcPr>
            <w:tcW w:w="1915" w:type="dxa"/>
            <w:shd w:val="clear" w:color="auto" w:fill="FFFFFF" w:themeFill="background1"/>
          </w:tcPr>
          <w:p w14:paraId="38A15957" w14:textId="77777777" w:rsidR="00441E93" w:rsidRPr="00EC6C19" w:rsidRDefault="00441E93" w:rsidP="00441E9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0.02</w:t>
            </w:r>
          </w:p>
        </w:tc>
        <w:tc>
          <w:tcPr>
            <w:tcW w:w="1916" w:type="dxa"/>
            <w:shd w:val="clear" w:color="auto" w:fill="FFFFFF" w:themeFill="background1"/>
          </w:tcPr>
          <w:p w14:paraId="20ED2F01" w14:textId="77777777" w:rsidR="00441E93" w:rsidRPr="00EC6C19" w:rsidRDefault="00441E93" w:rsidP="00441E9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441E93" w:rsidRPr="00EC6C19" w14:paraId="3AC45998" w14:textId="77777777" w:rsidTr="00441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shd w:val="clear" w:color="auto" w:fill="FFFFFF" w:themeFill="background1"/>
          </w:tcPr>
          <w:p w14:paraId="6327EA28" w14:textId="61BE3677" w:rsidR="00441E93" w:rsidRPr="00EC6C19" w:rsidRDefault="00441E93" w:rsidP="00441E93">
            <w:pPr>
              <w:spacing w:after="200" w:line="360" w:lineRule="auto"/>
              <w:jc w:val="center"/>
              <w:rPr>
                <w:rFonts w:ascii="Times New Roman" w:hAnsi="Times New Roman" w:cs="Times New Roman"/>
                <w:b w:val="0"/>
                <w:sz w:val="24"/>
                <w:szCs w:val="24"/>
              </w:rPr>
            </w:pPr>
            <w:r w:rsidRPr="00EC6C19">
              <w:rPr>
                <w:rFonts w:ascii="Times New Roman" w:hAnsi="Times New Roman" w:cs="Times New Roman"/>
                <w:b w:val="0"/>
                <w:sz w:val="24"/>
                <w:szCs w:val="24"/>
              </w:rPr>
              <w:t>Mean (</w:t>
            </w:r>
            <w:r w:rsidR="00D97E85">
              <w:rPr>
                <w:rFonts w:ascii="Times New Roman" w:hAnsi="Times New Roman" w:cs="Times New Roman"/>
                <w:sz w:val="24"/>
                <w:szCs w:val="24"/>
              </w:rPr>
              <w:t>±</w:t>
            </w:r>
            <w:r w:rsidRPr="00EC6C19">
              <w:rPr>
                <w:rFonts w:ascii="Times New Roman" w:hAnsi="Times New Roman" w:cs="Times New Roman"/>
                <w:b w:val="0"/>
                <w:sz w:val="24"/>
                <w:szCs w:val="24"/>
              </w:rPr>
              <w:t xml:space="preserve"> SD)</w:t>
            </w:r>
          </w:p>
          <w:p w14:paraId="0D4EEC48" w14:textId="77777777" w:rsidR="00441E93" w:rsidRPr="00EC6C19" w:rsidRDefault="00441E93" w:rsidP="00441E93">
            <w:pPr>
              <w:spacing w:after="200" w:line="360" w:lineRule="auto"/>
              <w:jc w:val="center"/>
              <w:rPr>
                <w:rFonts w:ascii="Times New Roman" w:hAnsi="Times New Roman" w:cs="Times New Roman"/>
                <w:b w:val="0"/>
                <w:sz w:val="24"/>
                <w:szCs w:val="24"/>
              </w:rPr>
            </w:pPr>
          </w:p>
        </w:tc>
        <w:tc>
          <w:tcPr>
            <w:tcW w:w="1915" w:type="dxa"/>
            <w:shd w:val="clear" w:color="auto" w:fill="FFFFFF" w:themeFill="background1"/>
          </w:tcPr>
          <w:p w14:paraId="27CB4147" w14:textId="77777777" w:rsidR="00441E93" w:rsidRPr="00EC6C19" w:rsidRDefault="00441E93" w:rsidP="00441E93">
            <w:pPr>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0.79 (0.10)</w:t>
            </w:r>
          </w:p>
        </w:tc>
        <w:tc>
          <w:tcPr>
            <w:tcW w:w="1915" w:type="dxa"/>
            <w:shd w:val="clear" w:color="auto" w:fill="FFFFFF" w:themeFill="background1"/>
          </w:tcPr>
          <w:p w14:paraId="3B940055" w14:textId="77777777" w:rsidR="00441E93" w:rsidRPr="00EC6C19" w:rsidRDefault="00441E93" w:rsidP="00441E93">
            <w:pPr>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0.81 (0.13)</w:t>
            </w:r>
          </w:p>
        </w:tc>
        <w:tc>
          <w:tcPr>
            <w:tcW w:w="1915" w:type="dxa"/>
            <w:shd w:val="clear" w:color="auto" w:fill="FFFFFF" w:themeFill="background1"/>
          </w:tcPr>
          <w:p w14:paraId="37DD97EB" w14:textId="77777777" w:rsidR="00441E93" w:rsidRPr="00EC6C19" w:rsidRDefault="00441E93" w:rsidP="00441E93">
            <w:pPr>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0.02 (0.04)</w:t>
            </w:r>
          </w:p>
        </w:tc>
        <w:tc>
          <w:tcPr>
            <w:tcW w:w="1916" w:type="dxa"/>
            <w:shd w:val="clear" w:color="auto" w:fill="FFFFFF" w:themeFill="background1"/>
          </w:tcPr>
          <w:p w14:paraId="4B19E072" w14:textId="77777777" w:rsidR="00441E93" w:rsidRPr="00EC6C19" w:rsidRDefault="00441E93" w:rsidP="00441E9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bl>
    <w:p w14:paraId="19ADF071" w14:textId="77777777" w:rsidR="00441E93" w:rsidRDefault="00441E93" w:rsidP="0059143E">
      <w:pPr>
        <w:spacing w:line="360" w:lineRule="auto"/>
        <w:rPr>
          <w:rFonts w:ascii="Times New Roman" w:hAnsi="Times New Roman" w:cs="Times New Roman"/>
          <w:i/>
          <w:sz w:val="24"/>
          <w:szCs w:val="24"/>
        </w:rPr>
      </w:pPr>
    </w:p>
    <w:p w14:paraId="40EDD8D2" w14:textId="77777777" w:rsidR="008630EC" w:rsidRPr="008630EC" w:rsidRDefault="008630EC" w:rsidP="008630EC">
      <w:pPr>
        <w:pStyle w:val="Caption"/>
        <w:spacing w:line="360" w:lineRule="auto"/>
        <w:rPr>
          <w:rFonts w:ascii="Times New Roman" w:hAnsi="Times New Roman" w:cs="Times New Roman"/>
          <w:b w:val="0"/>
          <w:i/>
          <w:color w:val="auto"/>
          <w:sz w:val="24"/>
          <w:szCs w:val="24"/>
        </w:rPr>
      </w:pPr>
      <w:bookmarkStart w:id="187" w:name="_Toc44962606"/>
      <w:r w:rsidRPr="008630EC">
        <w:rPr>
          <w:rFonts w:ascii="Times New Roman" w:hAnsi="Times New Roman" w:cs="Times New Roman"/>
          <w:b w:val="0"/>
          <w:i/>
          <w:color w:val="auto"/>
          <w:sz w:val="24"/>
          <w:szCs w:val="24"/>
        </w:rPr>
        <w:t xml:space="preserve">Table </w:t>
      </w:r>
      <w:r w:rsidR="00106A32" w:rsidRPr="008630EC">
        <w:rPr>
          <w:rFonts w:ascii="Times New Roman" w:hAnsi="Times New Roman" w:cs="Times New Roman"/>
          <w:b w:val="0"/>
          <w:i/>
          <w:color w:val="auto"/>
          <w:sz w:val="24"/>
          <w:szCs w:val="24"/>
        </w:rPr>
        <w:fldChar w:fldCharType="begin"/>
      </w:r>
      <w:r w:rsidRPr="008630EC">
        <w:rPr>
          <w:rFonts w:ascii="Times New Roman" w:hAnsi="Times New Roman" w:cs="Times New Roman"/>
          <w:b w:val="0"/>
          <w:i/>
          <w:color w:val="auto"/>
          <w:sz w:val="24"/>
          <w:szCs w:val="24"/>
        </w:rPr>
        <w:instrText xml:space="preserve"> SEQ Table \* ARABIC </w:instrText>
      </w:r>
      <w:r w:rsidR="00106A32" w:rsidRPr="008630EC">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30</w:t>
      </w:r>
      <w:r w:rsidR="00106A32" w:rsidRPr="008630EC">
        <w:rPr>
          <w:rFonts w:ascii="Times New Roman" w:hAnsi="Times New Roman" w:cs="Times New Roman"/>
          <w:b w:val="0"/>
          <w:i/>
          <w:color w:val="auto"/>
          <w:sz w:val="24"/>
          <w:szCs w:val="24"/>
        </w:rPr>
        <w:fldChar w:fldCharType="end"/>
      </w:r>
      <w:r w:rsidRPr="008630EC">
        <w:rPr>
          <w:rFonts w:ascii="Times New Roman" w:hAnsi="Times New Roman" w:cs="Times New Roman"/>
          <w:b w:val="0"/>
          <w:i/>
          <w:color w:val="auto"/>
          <w:sz w:val="24"/>
          <w:szCs w:val="24"/>
        </w:rPr>
        <w:t xml:space="preserve"> - RCA Clinical Measurement Point</w:t>
      </w:r>
      <w:bookmarkEnd w:id="187"/>
    </w:p>
    <w:p w14:paraId="7FA3CBD9" w14:textId="77777777" w:rsidR="00C81DA1" w:rsidRPr="00EC6C19" w:rsidRDefault="00C81DA1" w:rsidP="00C81DA1">
      <w:pPr>
        <w:spacing w:line="360" w:lineRule="auto"/>
        <w:ind w:left="-737"/>
        <w:rPr>
          <w:rFonts w:ascii="Times New Roman" w:hAnsi="Times New Roman" w:cs="Times New Roman"/>
          <w:i/>
          <w:sz w:val="24"/>
          <w:szCs w:val="24"/>
        </w:rPr>
      </w:pPr>
    </w:p>
    <w:p w14:paraId="49D042AF" w14:textId="77777777" w:rsidR="00C42B79" w:rsidRPr="00EC6C19" w:rsidRDefault="00C42B79" w:rsidP="0059143E">
      <w:pPr>
        <w:spacing w:line="360" w:lineRule="auto"/>
        <w:rPr>
          <w:rFonts w:ascii="Times New Roman" w:hAnsi="Times New Roman" w:cs="Times New Roman"/>
          <w:i/>
          <w:sz w:val="24"/>
          <w:szCs w:val="24"/>
        </w:rPr>
      </w:pPr>
    </w:p>
    <w:p w14:paraId="559B2158" w14:textId="77777777" w:rsidR="00AA6527" w:rsidRPr="006E04BF" w:rsidRDefault="006E04BF" w:rsidP="006E04BF">
      <w:pPr>
        <w:pStyle w:val="Heading2"/>
        <w:rPr>
          <w:rFonts w:ascii="Times New Roman" w:hAnsi="Times New Roman" w:cs="Times New Roman"/>
          <w:color w:val="auto"/>
          <w:sz w:val="24"/>
          <w:szCs w:val="24"/>
        </w:rPr>
      </w:pPr>
      <w:bookmarkStart w:id="188" w:name="_Toc80302257"/>
      <w:r w:rsidRPr="006E04BF">
        <w:rPr>
          <w:rFonts w:ascii="Times New Roman" w:hAnsi="Times New Roman" w:cs="Times New Roman"/>
          <w:color w:val="auto"/>
          <w:sz w:val="24"/>
          <w:szCs w:val="24"/>
        </w:rPr>
        <w:t xml:space="preserve">3.17 - </w:t>
      </w:r>
      <w:r w:rsidR="00AA6527" w:rsidRPr="006E04BF">
        <w:rPr>
          <w:rFonts w:ascii="Times New Roman" w:hAnsi="Times New Roman" w:cs="Times New Roman"/>
          <w:color w:val="auto"/>
          <w:sz w:val="24"/>
          <w:szCs w:val="24"/>
        </w:rPr>
        <w:t>Summary of Pressure Based Measurements</w:t>
      </w:r>
      <w:bookmarkEnd w:id="188"/>
      <w:r>
        <w:rPr>
          <w:rFonts w:ascii="Times New Roman" w:hAnsi="Times New Roman" w:cs="Times New Roman"/>
          <w:color w:val="auto"/>
          <w:sz w:val="24"/>
          <w:szCs w:val="24"/>
        </w:rPr>
        <w:br/>
      </w:r>
    </w:p>
    <w:p w14:paraId="3B5B0AC8" w14:textId="77777777" w:rsidR="00AA6527" w:rsidRPr="00EC6C19" w:rsidRDefault="00AA6527" w:rsidP="0059143E">
      <w:pPr>
        <w:spacing w:line="360" w:lineRule="auto"/>
        <w:rPr>
          <w:rFonts w:ascii="Times New Roman" w:hAnsi="Times New Roman" w:cs="Times New Roman"/>
          <w:b/>
          <w:sz w:val="24"/>
          <w:szCs w:val="24"/>
          <w:u w:val="single"/>
        </w:rPr>
      </w:pPr>
    </w:p>
    <w:p w14:paraId="2EB95E05" w14:textId="77777777" w:rsidR="003267E7" w:rsidRPr="00EC6C19" w:rsidRDefault="00B01A70" w:rsidP="0059143E">
      <w:pPr>
        <w:spacing w:line="360" w:lineRule="auto"/>
        <w:rPr>
          <w:rFonts w:ascii="Times New Roman" w:hAnsi="Times New Roman" w:cs="Times New Roman"/>
          <w:sz w:val="24"/>
          <w:szCs w:val="24"/>
        </w:rPr>
      </w:pPr>
      <w:r w:rsidRPr="00EC6C19">
        <w:rPr>
          <w:rFonts w:ascii="Times New Roman" w:hAnsi="Times New Roman" w:cs="Times New Roman"/>
          <w:sz w:val="24"/>
          <w:szCs w:val="24"/>
        </w:rPr>
        <w:t>To summarise</w:t>
      </w:r>
      <w:r w:rsidR="00CF6D6E" w:rsidRPr="00EC6C19">
        <w:rPr>
          <w:rFonts w:ascii="Times New Roman" w:hAnsi="Times New Roman" w:cs="Times New Roman"/>
          <w:sz w:val="24"/>
          <w:szCs w:val="24"/>
        </w:rPr>
        <w:t xml:space="preserve"> the data </w:t>
      </w:r>
      <w:r w:rsidR="00B87EF8" w:rsidRPr="00EC6C19">
        <w:rPr>
          <w:rFonts w:ascii="Times New Roman" w:hAnsi="Times New Roman" w:cs="Times New Roman"/>
          <w:sz w:val="24"/>
          <w:szCs w:val="24"/>
        </w:rPr>
        <w:t>for Pd</w:t>
      </w:r>
      <w:r w:rsidR="003267E7" w:rsidRPr="00EC6C19">
        <w:rPr>
          <w:rFonts w:ascii="Times New Roman" w:hAnsi="Times New Roman" w:cs="Times New Roman"/>
          <w:sz w:val="24"/>
          <w:szCs w:val="24"/>
        </w:rPr>
        <w:t>/Pa</w:t>
      </w:r>
      <w:r w:rsidRPr="00EC6C19">
        <w:rPr>
          <w:rFonts w:ascii="Times New Roman" w:hAnsi="Times New Roman" w:cs="Times New Roman"/>
          <w:sz w:val="24"/>
          <w:szCs w:val="24"/>
        </w:rPr>
        <w:t>, iFR</w:t>
      </w:r>
      <w:r w:rsidR="003267E7" w:rsidRPr="00EC6C19">
        <w:rPr>
          <w:rFonts w:ascii="Times New Roman" w:hAnsi="Times New Roman" w:cs="Times New Roman"/>
          <w:sz w:val="24"/>
          <w:szCs w:val="24"/>
        </w:rPr>
        <w:t xml:space="preserve"> and FFR;</w:t>
      </w:r>
    </w:p>
    <w:p w14:paraId="1858A49C" w14:textId="77777777" w:rsidR="006B26E9" w:rsidRPr="00EC6C19" w:rsidRDefault="006B26E9" w:rsidP="003267E7">
      <w:pPr>
        <w:spacing w:line="360" w:lineRule="auto"/>
        <w:rPr>
          <w:rFonts w:ascii="Times New Roman" w:hAnsi="Times New Roman" w:cs="Times New Roman"/>
          <w:sz w:val="24"/>
          <w:szCs w:val="24"/>
        </w:rPr>
      </w:pPr>
    </w:p>
    <w:p w14:paraId="1BAFB064" w14:textId="77777777" w:rsidR="00977CA6" w:rsidRPr="00EC6C19" w:rsidRDefault="00977CA6">
      <w:pPr>
        <w:pStyle w:val="ListParagraph"/>
        <w:spacing w:line="360" w:lineRule="auto"/>
        <w:rPr>
          <w:rFonts w:ascii="Times New Roman" w:hAnsi="Times New Roman" w:cs="Times New Roman"/>
          <w:sz w:val="24"/>
          <w:szCs w:val="24"/>
        </w:rPr>
      </w:pPr>
    </w:p>
    <w:p w14:paraId="3E0EBD40" w14:textId="77777777" w:rsidR="003267E7" w:rsidRPr="00EC6C19" w:rsidRDefault="00CF6D6E" w:rsidP="003267E7">
      <w:pPr>
        <w:pStyle w:val="ListParagraph"/>
        <w:numPr>
          <w:ilvl w:val="0"/>
          <w:numId w:val="28"/>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is a statistically significant difference</w:t>
      </w:r>
      <w:r w:rsidR="00D852FC" w:rsidRPr="00EC6C19">
        <w:rPr>
          <w:rFonts w:ascii="Times New Roman" w:hAnsi="Times New Roman" w:cs="Times New Roman"/>
          <w:sz w:val="24"/>
          <w:szCs w:val="24"/>
        </w:rPr>
        <w:t xml:space="preserve"> </w:t>
      </w:r>
      <w:r w:rsidR="003B4D5A" w:rsidRPr="00EC6C19">
        <w:rPr>
          <w:rFonts w:ascii="Times New Roman" w:hAnsi="Times New Roman" w:cs="Times New Roman"/>
          <w:sz w:val="24"/>
          <w:szCs w:val="24"/>
        </w:rPr>
        <w:t>in prone versus supine</w:t>
      </w:r>
      <w:r w:rsidR="00B46271" w:rsidRPr="00EC6C19">
        <w:rPr>
          <w:rFonts w:ascii="Times New Roman" w:hAnsi="Times New Roman" w:cs="Times New Roman"/>
          <w:sz w:val="24"/>
          <w:szCs w:val="24"/>
        </w:rPr>
        <w:t xml:space="preserve"> position for</w:t>
      </w:r>
      <w:r w:rsidR="00D852FC" w:rsidRPr="00EC6C19">
        <w:rPr>
          <w:rFonts w:ascii="Times New Roman" w:hAnsi="Times New Roman" w:cs="Times New Roman"/>
          <w:sz w:val="24"/>
          <w:szCs w:val="24"/>
        </w:rPr>
        <w:t xml:space="preserve"> </w:t>
      </w:r>
      <w:r w:rsidR="003B4D5A" w:rsidRPr="00EC6C19">
        <w:rPr>
          <w:rFonts w:ascii="Times New Roman" w:hAnsi="Times New Roman" w:cs="Times New Roman"/>
          <w:sz w:val="24"/>
          <w:szCs w:val="24"/>
        </w:rPr>
        <w:t>Pd/Pa</w:t>
      </w:r>
      <w:r w:rsidR="00B46271" w:rsidRPr="00EC6C19">
        <w:rPr>
          <w:rFonts w:ascii="Times New Roman" w:hAnsi="Times New Roman" w:cs="Times New Roman"/>
          <w:sz w:val="24"/>
          <w:szCs w:val="24"/>
        </w:rPr>
        <w:t xml:space="preserve"> (delta change 0.05)</w:t>
      </w:r>
      <w:r w:rsidR="00441E93" w:rsidRPr="00EC6C19">
        <w:rPr>
          <w:rFonts w:ascii="Times New Roman" w:hAnsi="Times New Roman" w:cs="Times New Roman"/>
          <w:sz w:val="24"/>
          <w:szCs w:val="24"/>
        </w:rPr>
        <w:t xml:space="preserve"> across all arteries and also when grouped per artery</w:t>
      </w:r>
      <w:r w:rsidR="003B4D5A" w:rsidRPr="00EC6C19">
        <w:rPr>
          <w:rFonts w:ascii="Times New Roman" w:hAnsi="Times New Roman" w:cs="Times New Roman"/>
          <w:sz w:val="24"/>
          <w:szCs w:val="24"/>
        </w:rPr>
        <w:t xml:space="preserve"> (p&lt;0.05)</w:t>
      </w:r>
      <w:r w:rsidR="00441E93" w:rsidRPr="00EC6C19">
        <w:rPr>
          <w:rFonts w:ascii="Times New Roman" w:hAnsi="Times New Roman" w:cs="Times New Roman"/>
          <w:sz w:val="24"/>
          <w:szCs w:val="24"/>
        </w:rPr>
        <w:t xml:space="preserve">. </w:t>
      </w:r>
    </w:p>
    <w:p w14:paraId="567F20AF" w14:textId="77777777" w:rsidR="00441E93" w:rsidRPr="00EC6C19" w:rsidRDefault="00441E93" w:rsidP="00441E93">
      <w:pPr>
        <w:pStyle w:val="ListParagraph"/>
        <w:spacing w:line="360" w:lineRule="auto"/>
        <w:rPr>
          <w:rFonts w:ascii="Times New Roman" w:hAnsi="Times New Roman" w:cs="Times New Roman"/>
          <w:sz w:val="24"/>
          <w:szCs w:val="24"/>
        </w:rPr>
      </w:pPr>
    </w:p>
    <w:p w14:paraId="6615AAA5" w14:textId="77777777" w:rsidR="003267E7" w:rsidRPr="00EC6C19" w:rsidRDefault="00CF6D6E" w:rsidP="006B26E9">
      <w:pPr>
        <w:pStyle w:val="ListParagraph"/>
        <w:numPr>
          <w:ilvl w:val="0"/>
          <w:numId w:val="28"/>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is a statistically significant difference in prone versus supine FFR</w:t>
      </w:r>
      <w:r w:rsidR="00531A77" w:rsidRPr="00EC6C19">
        <w:rPr>
          <w:rFonts w:ascii="Times New Roman" w:hAnsi="Times New Roman" w:cs="Times New Roman"/>
          <w:sz w:val="24"/>
          <w:szCs w:val="24"/>
        </w:rPr>
        <w:t xml:space="preserve"> (delta change 0.06)</w:t>
      </w:r>
      <w:r w:rsidRPr="00EC6C19">
        <w:rPr>
          <w:rFonts w:ascii="Times New Roman" w:hAnsi="Times New Roman" w:cs="Times New Roman"/>
          <w:sz w:val="24"/>
          <w:szCs w:val="24"/>
        </w:rPr>
        <w:t xml:space="preserve"> </w:t>
      </w:r>
      <w:r w:rsidR="00441E93" w:rsidRPr="00EC6C19">
        <w:rPr>
          <w:rFonts w:ascii="Times New Roman" w:hAnsi="Times New Roman" w:cs="Times New Roman"/>
          <w:sz w:val="24"/>
          <w:szCs w:val="24"/>
        </w:rPr>
        <w:t>across all arteries and also when grouped per artery</w:t>
      </w:r>
      <w:r w:rsidRPr="00EC6C19">
        <w:rPr>
          <w:rFonts w:ascii="Times New Roman" w:hAnsi="Times New Roman" w:cs="Times New Roman"/>
          <w:sz w:val="24"/>
          <w:szCs w:val="24"/>
        </w:rPr>
        <w:t xml:space="preserve"> (p&lt;0.05)</w:t>
      </w:r>
    </w:p>
    <w:p w14:paraId="68406A4F" w14:textId="77777777" w:rsidR="00977CA6" w:rsidRPr="00EC6C19" w:rsidRDefault="00977CA6">
      <w:pPr>
        <w:pStyle w:val="ListParagraph"/>
        <w:spacing w:line="360" w:lineRule="auto"/>
        <w:rPr>
          <w:rFonts w:ascii="Times New Roman" w:hAnsi="Times New Roman" w:cs="Times New Roman"/>
          <w:sz w:val="24"/>
          <w:szCs w:val="24"/>
        </w:rPr>
      </w:pPr>
    </w:p>
    <w:p w14:paraId="0A3B47E5" w14:textId="77777777" w:rsidR="00B01A70" w:rsidRPr="00EC6C19" w:rsidRDefault="00B01A70" w:rsidP="006B26E9">
      <w:pPr>
        <w:pStyle w:val="ListParagraph"/>
        <w:numPr>
          <w:ilvl w:val="0"/>
          <w:numId w:val="28"/>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is a statistically significant difference</w:t>
      </w:r>
      <w:r w:rsidR="00D852FC" w:rsidRPr="00EC6C19">
        <w:rPr>
          <w:rFonts w:ascii="Times New Roman" w:hAnsi="Times New Roman" w:cs="Times New Roman"/>
          <w:sz w:val="24"/>
          <w:szCs w:val="24"/>
        </w:rPr>
        <w:t xml:space="preserve"> </w:t>
      </w:r>
      <w:r w:rsidRPr="00EC6C19">
        <w:rPr>
          <w:rFonts w:ascii="Times New Roman" w:hAnsi="Times New Roman" w:cs="Times New Roman"/>
          <w:sz w:val="24"/>
          <w:szCs w:val="24"/>
        </w:rPr>
        <w:t>in prone versus supine iFR</w:t>
      </w:r>
      <w:r w:rsidR="00B46271" w:rsidRPr="00EC6C19">
        <w:rPr>
          <w:rFonts w:ascii="Times New Roman" w:hAnsi="Times New Roman" w:cs="Times New Roman"/>
          <w:sz w:val="24"/>
          <w:szCs w:val="24"/>
        </w:rPr>
        <w:t xml:space="preserve"> (delta change 0.06) </w:t>
      </w:r>
      <w:r w:rsidR="00531A77" w:rsidRPr="00EC6C19">
        <w:rPr>
          <w:rFonts w:ascii="Times New Roman" w:hAnsi="Times New Roman" w:cs="Times New Roman"/>
          <w:sz w:val="24"/>
          <w:szCs w:val="24"/>
        </w:rPr>
        <w:t>(p &lt;0.05)</w:t>
      </w:r>
      <w:r w:rsidR="00441E93" w:rsidRPr="00EC6C19">
        <w:rPr>
          <w:rFonts w:ascii="Times New Roman" w:hAnsi="Times New Roman" w:cs="Times New Roman"/>
          <w:sz w:val="24"/>
          <w:szCs w:val="24"/>
        </w:rPr>
        <w:t xml:space="preserve"> across all arteries.</w:t>
      </w:r>
    </w:p>
    <w:p w14:paraId="1F41E4F3" w14:textId="77777777" w:rsidR="006B26E9" w:rsidRPr="00EC6C19" w:rsidRDefault="006B26E9" w:rsidP="006B26E9">
      <w:pPr>
        <w:pStyle w:val="ListParagraph"/>
        <w:spacing w:line="360" w:lineRule="auto"/>
        <w:rPr>
          <w:rFonts w:ascii="Times New Roman" w:hAnsi="Times New Roman" w:cs="Times New Roman"/>
          <w:sz w:val="24"/>
          <w:szCs w:val="24"/>
        </w:rPr>
      </w:pPr>
    </w:p>
    <w:p w14:paraId="3DF90011" w14:textId="77777777" w:rsidR="006B26E9" w:rsidRPr="00EC6C19" w:rsidRDefault="006B26E9" w:rsidP="006B26E9">
      <w:pPr>
        <w:pStyle w:val="ListParagraph"/>
        <w:numPr>
          <w:ilvl w:val="0"/>
          <w:numId w:val="28"/>
        </w:numPr>
        <w:spacing w:line="360" w:lineRule="auto"/>
        <w:rPr>
          <w:rFonts w:ascii="Times New Roman" w:hAnsi="Times New Roman" w:cs="Times New Roman"/>
          <w:sz w:val="24"/>
          <w:szCs w:val="24"/>
        </w:rPr>
      </w:pPr>
      <w:r w:rsidRPr="00EC6C19">
        <w:rPr>
          <w:rFonts w:ascii="Times New Roman" w:hAnsi="Times New Roman" w:cs="Times New Roman"/>
          <w:sz w:val="24"/>
          <w:szCs w:val="24"/>
        </w:rPr>
        <w:t>All 23 measurements for Pd/Pa changed in the expected direction, apart from two measurements, which did not change.</w:t>
      </w:r>
    </w:p>
    <w:p w14:paraId="14845216" w14:textId="77777777" w:rsidR="00977CA6" w:rsidRPr="00EC6C19" w:rsidRDefault="00977CA6">
      <w:pPr>
        <w:pStyle w:val="ListParagraph"/>
        <w:spacing w:line="360" w:lineRule="auto"/>
        <w:rPr>
          <w:rFonts w:ascii="Times New Roman" w:hAnsi="Times New Roman" w:cs="Times New Roman"/>
          <w:sz w:val="24"/>
          <w:szCs w:val="24"/>
        </w:rPr>
      </w:pPr>
    </w:p>
    <w:p w14:paraId="334DDB87" w14:textId="77777777" w:rsidR="00B01A70" w:rsidRPr="00EC6C19" w:rsidRDefault="00B01A70" w:rsidP="006B26E9">
      <w:pPr>
        <w:pStyle w:val="ListParagraph"/>
        <w:numPr>
          <w:ilvl w:val="0"/>
          <w:numId w:val="28"/>
        </w:numPr>
        <w:spacing w:line="360" w:lineRule="auto"/>
        <w:rPr>
          <w:rFonts w:ascii="Times New Roman" w:hAnsi="Times New Roman" w:cs="Times New Roman"/>
          <w:sz w:val="24"/>
          <w:szCs w:val="24"/>
        </w:rPr>
      </w:pPr>
      <w:r w:rsidRPr="00EC6C19">
        <w:rPr>
          <w:rFonts w:ascii="Times New Roman" w:hAnsi="Times New Roman" w:cs="Times New Roman"/>
          <w:sz w:val="24"/>
          <w:szCs w:val="24"/>
        </w:rPr>
        <w:t>All but two iFR measurements changed in the anticipated direction</w:t>
      </w:r>
    </w:p>
    <w:p w14:paraId="4CEB9319" w14:textId="77777777" w:rsidR="006B26E9" w:rsidRPr="00EC6C19" w:rsidRDefault="006B26E9" w:rsidP="006B26E9">
      <w:pPr>
        <w:pStyle w:val="ListParagraph"/>
        <w:spacing w:line="360" w:lineRule="auto"/>
        <w:rPr>
          <w:rFonts w:ascii="Times New Roman" w:hAnsi="Times New Roman" w:cs="Times New Roman"/>
          <w:sz w:val="24"/>
          <w:szCs w:val="24"/>
        </w:rPr>
      </w:pPr>
    </w:p>
    <w:p w14:paraId="047703BF" w14:textId="77777777" w:rsidR="006B26E9" w:rsidRPr="00EC6C19" w:rsidRDefault="006B26E9" w:rsidP="006B26E9">
      <w:pPr>
        <w:pStyle w:val="ListParagraph"/>
        <w:numPr>
          <w:ilvl w:val="0"/>
          <w:numId w:val="28"/>
        </w:numPr>
        <w:spacing w:line="360" w:lineRule="auto"/>
        <w:rPr>
          <w:rFonts w:ascii="Times New Roman" w:hAnsi="Times New Roman" w:cs="Times New Roman"/>
          <w:sz w:val="24"/>
          <w:szCs w:val="24"/>
        </w:rPr>
      </w:pPr>
      <w:r w:rsidRPr="00EC6C19">
        <w:rPr>
          <w:rFonts w:ascii="Times New Roman" w:hAnsi="Times New Roman" w:cs="Times New Roman"/>
          <w:sz w:val="24"/>
          <w:szCs w:val="24"/>
        </w:rPr>
        <w:t>All but three FFR measurements changed in the anticipated direction.</w:t>
      </w:r>
    </w:p>
    <w:p w14:paraId="64D76BCF" w14:textId="77777777" w:rsidR="00131982" w:rsidRPr="00EC6C19" w:rsidRDefault="00131982" w:rsidP="00131982">
      <w:pPr>
        <w:pStyle w:val="ListParagraph"/>
        <w:spacing w:line="360" w:lineRule="auto"/>
        <w:rPr>
          <w:rFonts w:ascii="Times New Roman" w:hAnsi="Times New Roman" w:cs="Times New Roman"/>
          <w:sz w:val="24"/>
          <w:szCs w:val="24"/>
        </w:rPr>
      </w:pPr>
    </w:p>
    <w:p w14:paraId="374FD198" w14:textId="77777777" w:rsidR="00B01A70" w:rsidRPr="00EC6C19" w:rsidRDefault="00CF6D6E" w:rsidP="00936B2D">
      <w:pPr>
        <w:pStyle w:val="ListParagraph"/>
        <w:numPr>
          <w:ilvl w:val="0"/>
          <w:numId w:val="28"/>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is a statistically significant difference in prone versus supine clinical FFR measurement in the LAD only</w:t>
      </w:r>
      <w:r w:rsidR="00B46271" w:rsidRPr="00EC6C19">
        <w:rPr>
          <w:rFonts w:ascii="Times New Roman" w:hAnsi="Times New Roman" w:cs="Times New Roman"/>
          <w:sz w:val="24"/>
          <w:szCs w:val="24"/>
        </w:rPr>
        <w:t xml:space="preserve"> (p&lt;0.05)</w:t>
      </w:r>
      <w:r w:rsidR="00131982" w:rsidRPr="00EC6C19">
        <w:rPr>
          <w:rFonts w:ascii="Times New Roman" w:hAnsi="Times New Roman" w:cs="Times New Roman"/>
          <w:sz w:val="24"/>
          <w:szCs w:val="24"/>
        </w:rPr>
        <w:t xml:space="preserve"> The RCA and Cx measurements were </w:t>
      </w:r>
      <w:r w:rsidR="00441E93" w:rsidRPr="00EC6C19">
        <w:rPr>
          <w:rFonts w:ascii="Times New Roman" w:hAnsi="Times New Roman" w:cs="Times New Roman"/>
          <w:sz w:val="24"/>
          <w:szCs w:val="24"/>
        </w:rPr>
        <w:t>not adequately powered.</w:t>
      </w:r>
    </w:p>
    <w:p w14:paraId="0C28958E" w14:textId="77777777" w:rsidR="00B01A70" w:rsidRPr="00EC6C19" w:rsidRDefault="00B01A70" w:rsidP="00936B2D">
      <w:pPr>
        <w:spacing w:line="360" w:lineRule="auto"/>
        <w:rPr>
          <w:rFonts w:ascii="Times New Roman" w:hAnsi="Times New Roman" w:cs="Times New Roman"/>
          <w:i/>
          <w:sz w:val="24"/>
          <w:szCs w:val="24"/>
        </w:rPr>
      </w:pPr>
    </w:p>
    <w:p w14:paraId="0BFE1A31" w14:textId="77777777" w:rsidR="006565A1" w:rsidRPr="00EC6C19" w:rsidRDefault="006565A1" w:rsidP="00936B2D">
      <w:pPr>
        <w:spacing w:line="360" w:lineRule="auto"/>
        <w:rPr>
          <w:rFonts w:ascii="Times New Roman" w:hAnsi="Times New Roman" w:cs="Times New Roman"/>
          <w:i/>
          <w:sz w:val="24"/>
          <w:szCs w:val="24"/>
        </w:rPr>
      </w:pPr>
    </w:p>
    <w:p w14:paraId="2E3F86B8" w14:textId="77777777" w:rsidR="006565A1" w:rsidRPr="006E04BF" w:rsidRDefault="006E04BF" w:rsidP="006E04BF">
      <w:pPr>
        <w:pStyle w:val="Heading2"/>
        <w:rPr>
          <w:rFonts w:ascii="Times New Roman" w:hAnsi="Times New Roman" w:cs="Times New Roman"/>
          <w:color w:val="auto"/>
          <w:sz w:val="24"/>
          <w:szCs w:val="24"/>
        </w:rPr>
      </w:pPr>
      <w:bookmarkStart w:id="189" w:name="_Toc80302258"/>
      <w:r w:rsidRPr="006E04BF">
        <w:rPr>
          <w:rFonts w:ascii="Times New Roman" w:hAnsi="Times New Roman" w:cs="Times New Roman"/>
          <w:color w:val="auto"/>
          <w:sz w:val="24"/>
          <w:szCs w:val="24"/>
        </w:rPr>
        <w:t xml:space="preserve">3.18 - </w:t>
      </w:r>
      <w:r w:rsidR="006565A1" w:rsidRPr="006E04BF">
        <w:rPr>
          <w:rFonts w:ascii="Times New Roman" w:hAnsi="Times New Roman" w:cs="Times New Roman"/>
          <w:color w:val="auto"/>
          <w:sz w:val="24"/>
          <w:szCs w:val="24"/>
        </w:rPr>
        <w:t>Stenosis Re-classification</w:t>
      </w:r>
      <w:bookmarkEnd w:id="189"/>
      <w:r>
        <w:rPr>
          <w:rFonts w:ascii="Times New Roman" w:hAnsi="Times New Roman" w:cs="Times New Roman"/>
          <w:color w:val="auto"/>
          <w:sz w:val="24"/>
          <w:szCs w:val="24"/>
        </w:rPr>
        <w:br/>
      </w:r>
    </w:p>
    <w:p w14:paraId="56200E2B" w14:textId="77777777" w:rsidR="006565A1" w:rsidRPr="00EC6C19" w:rsidRDefault="006565A1" w:rsidP="00936B2D">
      <w:pPr>
        <w:spacing w:line="360" w:lineRule="auto"/>
        <w:rPr>
          <w:rFonts w:ascii="Times New Roman" w:hAnsi="Times New Roman" w:cs="Times New Roman"/>
          <w:sz w:val="24"/>
          <w:szCs w:val="24"/>
        </w:rPr>
      </w:pPr>
    </w:p>
    <w:p w14:paraId="26CC72D8" w14:textId="77777777" w:rsidR="006565A1" w:rsidRPr="008630EC" w:rsidRDefault="004C64D6" w:rsidP="00936B2D">
      <w:pPr>
        <w:spacing w:line="360" w:lineRule="auto"/>
        <w:rPr>
          <w:rFonts w:ascii="Times New Roman" w:hAnsi="Times New Roman" w:cs="Times New Roman"/>
          <w:sz w:val="24"/>
          <w:szCs w:val="24"/>
        </w:rPr>
      </w:pPr>
      <w:r w:rsidRPr="00EC6C19">
        <w:rPr>
          <w:rFonts w:ascii="Times New Roman" w:hAnsi="Times New Roman" w:cs="Times New Roman"/>
          <w:sz w:val="24"/>
          <w:szCs w:val="24"/>
        </w:rPr>
        <w:t>When c</w:t>
      </w:r>
      <w:r w:rsidR="006565A1" w:rsidRPr="00EC6C19">
        <w:rPr>
          <w:rFonts w:ascii="Times New Roman" w:hAnsi="Times New Roman" w:cs="Times New Roman"/>
          <w:sz w:val="24"/>
          <w:szCs w:val="24"/>
        </w:rPr>
        <w:t>orrecting iFR and FFR by a magnitude of 0.06 (the mean delta change across all measurements</w:t>
      </w:r>
      <w:r w:rsidRPr="00EC6C19">
        <w:rPr>
          <w:rFonts w:ascii="Times New Roman" w:hAnsi="Times New Roman" w:cs="Times New Roman"/>
          <w:sz w:val="24"/>
          <w:szCs w:val="24"/>
        </w:rPr>
        <w:t xml:space="preserve">), </w:t>
      </w:r>
      <w:r w:rsidR="006565A1" w:rsidRPr="00EC6C19">
        <w:rPr>
          <w:rFonts w:ascii="Times New Roman" w:hAnsi="Times New Roman" w:cs="Times New Roman"/>
          <w:sz w:val="24"/>
          <w:szCs w:val="24"/>
        </w:rPr>
        <w:t>36% of iFR and 26% of FFR measurements re-classify from positive to negative, or vice versa</w:t>
      </w:r>
      <w:r w:rsidRPr="00EC6C19">
        <w:rPr>
          <w:rFonts w:ascii="Times New Roman" w:hAnsi="Times New Roman" w:cs="Times New Roman"/>
          <w:sz w:val="24"/>
          <w:szCs w:val="24"/>
        </w:rPr>
        <w:t xml:space="preserve"> across a predefined threshold</w:t>
      </w:r>
      <w:r w:rsidR="006565A1" w:rsidRPr="008630EC">
        <w:rPr>
          <w:rFonts w:ascii="Times New Roman" w:hAnsi="Times New Roman" w:cs="Times New Roman"/>
          <w:sz w:val="24"/>
          <w:szCs w:val="24"/>
        </w:rPr>
        <w:t xml:space="preserve">. </w:t>
      </w:r>
      <w:r w:rsidRPr="008630EC">
        <w:rPr>
          <w:rFonts w:ascii="Times New Roman" w:hAnsi="Times New Roman" w:cs="Times New Roman"/>
          <w:sz w:val="24"/>
          <w:szCs w:val="24"/>
        </w:rPr>
        <w:t xml:space="preserve">This is shown in table </w:t>
      </w:r>
      <w:r w:rsidR="008630EC" w:rsidRPr="008630EC">
        <w:rPr>
          <w:rFonts w:ascii="Times New Roman" w:hAnsi="Times New Roman" w:cs="Times New Roman"/>
          <w:sz w:val="24"/>
          <w:szCs w:val="24"/>
        </w:rPr>
        <w:t>31</w:t>
      </w:r>
      <w:r w:rsidR="006565A1" w:rsidRPr="008630EC">
        <w:rPr>
          <w:rFonts w:ascii="Times New Roman" w:hAnsi="Times New Roman" w:cs="Times New Roman"/>
          <w:sz w:val="24"/>
          <w:szCs w:val="24"/>
        </w:rPr>
        <w:t>.</w:t>
      </w:r>
    </w:p>
    <w:p w14:paraId="0C5E9F8A" w14:textId="77777777" w:rsidR="00920FA3" w:rsidRPr="00EC6C19" w:rsidRDefault="00920FA3" w:rsidP="00936B2D">
      <w:pPr>
        <w:spacing w:line="360" w:lineRule="auto"/>
        <w:rPr>
          <w:rFonts w:ascii="Times New Roman" w:hAnsi="Times New Roman" w:cs="Times New Roman"/>
          <w:sz w:val="24"/>
          <w:szCs w:val="24"/>
        </w:rPr>
      </w:pPr>
    </w:p>
    <w:tbl>
      <w:tblPr>
        <w:tblW w:w="5000" w:type="pct"/>
        <w:tblLook w:val="04A0" w:firstRow="1" w:lastRow="0" w:firstColumn="1" w:lastColumn="0" w:noHBand="0" w:noVBand="1"/>
      </w:tblPr>
      <w:tblGrid>
        <w:gridCol w:w="2483"/>
        <w:gridCol w:w="2621"/>
        <w:gridCol w:w="2128"/>
        <w:gridCol w:w="2128"/>
      </w:tblGrid>
      <w:tr w:rsidR="006565A1" w:rsidRPr="00EC6C19" w14:paraId="3A14909B" w14:textId="77777777" w:rsidTr="00920FA3">
        <w:tc>
          <w:tcPr>
            <w:tcW w:w="1326" w:type="pct"/>
            <w:tcBorders>
              <w:bottom w:val="single" w:sz="8" w:space="0" w:color="000000" w:themeColor="text1"/>
            </w:tcBorders>
            <w:shd w:val="clear" w:color="auto" w:fill="F2F2F2" w:themeFill="background1" w:themeFillShade="F2"/>
          </w:tcPr>
          <w:p w14:paraId="251B2728" w14:textId="77777777" w:rsidR="006565A1" w:rsidRPr="00EC6C19" w:rsidRDefault="00920FA3" w:rsidP="00920FA3">
            <w:pPr>
              <w:spacing w:line="480" w:lineRule="auto"/>
              <w:jc w:val="center"/>
              <w:rPr>
                <w:rFonts w:ascii="Times New Roman" w:hAnsi="Times New Roman" w:cs="Times New Roman"/>
                <w:b/>
              </w:rPr>
            </w:pPr>
            <w:r w:rsidRPr="00EC6C19">
              <w:rPr>
                <w:rFonts w:ascii="Times New Roman" w:hAnsi="Times New Roman" w:cs="Times New Roman"/>
                <w:b/>
              </w:rPr>
              <w:t>Index</w:t>
            </w:r>
          </w:p>
        </w:tc>
        <w:tc>
          <w:tcPr>
            <w:tcW w:w="1400" w:type="pct"/>
            <w:tcBorders>
              <w:bottom w:val="single" w:sz="8" w:space="0" w:color="000000" w:themeColor="text1"/>
            </w:tcBorders>
            <w:shd w:val="clear" w:color="auto" w:fill="F2F2F2" w:themeFill="background1" w:themeFillShade="F2"/>
          </w:tcPr>
          <w:p w14:paraId="1DBA01F3" w14:textId="77777777" w:rsidR="006565A1" w:rsidRPr="00EC6C19" w:rsidRDefault="006565A1" w:rsidP="004C64D6">
            <w:pPr>
              <w:spacing w:line="480" w:lineRule="auto"/>
              <w:jc w:val="center"/>
              <w:rPr>
                <w:rFonts w:ascii="Times New Roman" w:hAnsi="Times New Roman" w:cs="Times New Roman"/>
                <w:b/>
              </w:rPr>
            </w:pPr>
            <w:r w:rsidRPr="00EC6C19">
              <w:rPr>
                <w:rFonts w:ascii="Times New Roman" w:hAnsi="Times New Roman" w:cs="Times New Roman"/>
                <w:b/>
              </w:rPr>
              <w:t>Total Number</w:t>
            </w:r>
          </w:p>
        </w:tc>
        <w:tc>
          <w:tcPr>
            <w:tcW w:w="1137" w:type="pct"/>
            <w:tcBorders>
              <w:bottom w:val="single" w:sz="8" w:space="0" w:color="000000" w:themeColor="text1"/>
            </w:tcBorders>
            <w:shd w:val="clear" w:color="auto" w:fill="F2F2F2" w:themeFill="background1" w:themeFillShade="F2"/>
          </w:tcPr>
          <w:p w14:paraId="03E987A5" w14:textId="77777777" w:rsidR="006565A1" w:rsidRPr="00EC6C19" w:rsidRDefault="006565A1" w:rsidP="00920FA3">
            <w:pPr>
              <w:spacing w:line="480" w:lineRule="auto"/>
              <w:jc w:val="center"/>
              <w:rPr>
                <w:rFonts w:ascii="Times New Roman" w:hAnsi="Times New Roman" w:cs="Times New Roman"/>
                <w:b/>
              </w:rPr>
            </w:pPr>
            <w:r w:rsidRPr="00EC6C19">
              <w:rPr>
                <w:rFonts w:ascii="Times New Roman" w:hAnsi="Times New Roman" w:cs="Times New Roman"/>
                <w:b/>
              </w:rPr>
              <w:t>N Crossing Threshold</w:t>
            </w:r>
          </w:p>
        </w:tc>
        <w:tc>
          <w:tcPr>
            <w:tcW w:w="1137" w:type="pct"/>
            <w:tcBorders>
              <w:bottom w:val="single" w:sz="8" w:space="0" w:color="000000" w:themeColor="text1"/>
            </w:tcBorders>
            <w:shd w:val="clear" w:color="auto" w:fill="F2F2F2" w:themeFill="background1" w:themeFillShade="F2"/>
          </w:tcPr>
          <w:p w14:paraId="3105798B" w14:textId="77777777" w:rsidR="006565A1" w:rsidRPr="00EC6C19" w:rsidRDefault="00920FA3" w:rsidP="004C64D6">
            <w:pPr>
              <w:spacing w:line="480" w:lineRule="auto"/>
              <w:jc w:val="center"/>
              <w:rPr>
                <w:rFonts w:ascii="Times New Roman" w:hAnsi="Times New Roman" w:cs="Times New Roman"/>
                <w:b/>
              </w:rPr>
            </w:pPr>
            <w:r w:rsidRPr="00EC6C19">
              <w:rPr>
                <w:rFonts w:ascii="Times New Roman" w:hAnsi="Times New Roman" w:cs="Times New Roman"/>
                <w:b/>
              </w:rPr>
              <w:t xml:space="preserve">% </w:t>
            </w:r>
            <w:r w:rsidR="006565A1" w:rsidRPr="00EC6C19">
              <w:rPr>
                <w:rFonts w:ascii="Times New Roman" w:hAnsi="Times New Roman" w:cs="Times New Roman"/>
                <w:b/>
              </w:rPr>
              <w:t>Crossing Threshold</w:t>
            </w:r>
          </w:p>
        </w:tc>
      </w:tr>
      <w:tr w:rsidR="006565A1" w:rsidRPr="00EC6C19" w14:paraId="4DF73507" w14:textId="77777777" w:rsidTr="00920FA3">
        <w:tc>
          <w:tcPr>
            <w:tcW w:w="1326" w:type="pct"/>
            <w:tcBorders>
              <w:top w:val="single" w:sz="8" w:space="0" w:color="000000" w:themeColor="text1"/>
              <w:left w:val="nil"/>
              <w:bottom w:val="nil"/>
              <w:right w:val="nil"/>
            </w:tcBorders>
          </w:tcPr>
          <w:p w14:paraId="41FC4C3F" w14:textId="77777777" w:rsidR="006565A1" w:rsidRPr="00EC6C19" w:rsidRDefault="006565A1" w:rsidP="006565A1">
            <w:pPr>
              <w:spacing w:line="480" w:lineRule="auto"/>
              <w:rPr>
                <w:rFonts w:ascii="Times New Roman" w:hAnsi="Times New Roman" w:cs="Times New Roman"/>
                <w:sz w:val="24"/>
                <w:szCs w:val="24"/>
              </w:rPr>
            </w:pPr>
            <w:r w:rsidRPr="00EC6C19">
              <w:rPr>
                <w:rFonts w:ascii="Times New Roman" w:hAnsi="Times New Roman" w:cs="Times New Roman"/>
                <w:sz w:val="24"/>
                <w:szCs w:val="24"/>
              </w:rPr>
              <w:t>iFR (&lt;0.89)</w:t>
            </w:r>
          </w:p>
          <w:p w14:paraId="0705E0BC" w14:textId="77777777" w:rsidR="006565A1" w:rsidRPr="00EC6C19" w:rsidRDefault="006565A1" w:rsidP="006565A1">
            <w:pPr>
              <w:spacing w:line="480" w:lineRule="auto"/>
              <w:rPr>
                <w:rFonts w:ascii="Times New Roman" w:hAnsi="Times New Roman" w:cs="Times New Roman"/>
                <w:sz w:val="24"/>
                <w:szCs w:val="24"/>
              </w:rPr>
            </w:pPr>
          </w:p>
        </w:tc>
        <w:tc>
          <w:tcPr>
            <w:tcW w:w="1400" w:type="pct"/>
            <w:tcBorders>
              <w:top w:val="single" w:sz="8" w:space="0" w:color="000000" w:themeColor="text1"/>
              <w:left w:val="nil"/>
              <w:bottom w:val="nil"/>
              <w:right w:val="nil"/>
            </w:tcBorders>
          </w:tcPr>
          <w:p w14:paraId="078B4998" w14:textId="77777777" w:rsidR="006565A1" w:rsidRPr="00EC6C19" w:rsidRDefault="006565A1" w:rsidP="006565A1">
            <w:pPr>
              <w:spacing w:line="480" w:lineRule="auto"/>
              <w:rPr>
                <w:rFonts w:ascii="Times New Roman" w:hAnsi="Times New Roman" w:cs="Times New Roman"/>
                <w:sz w:val="24"/>
                <w:szCs w:val="24"/>
              </w:rPr>
            </w:pPr>
            <w:r w:rsidRPr="00EC6C19">
              <w:rPr>
                <w:rFonts w:ascii="Times New Roman" w:hAnsi="Times New Roman" w:cs="Times New Roman"/>
                <w:sz w:val="24"/>
                <w:szCs w:val="24"/>
              </w:rPr>
              <w:t>22</w:t>
            </w:r>
          </w:p>
        </w:tc>
        <w:tc>
          <w:tcPr>
            <w:tcW w:w="1137" w:type="pct"/>
            <w:tcBorders>
              <w:top w:val="single" w:sz="8" w:space="0" w:color="000000" w:themeColor="text1"/>
              <w:left w:val="nil"/>
              <w:bottom w:val="nil"/>
              <w:right w:val="nil"/>
            </w:tcBorders>
          </w:tcPr>
          <w:p w14:paraId="0592EFAA" w14:textId="77777777" w:rsidR="006565A1" w:rsidRPr="00EC6C19" w:rsidRDefault="006565A1" w:rsidP="006565A1">
            <w:pPr>
              <w:spacing w:line="480" w:lineRule="auto"/>
              <w:rPr>
                <w:rFonts w:ascii="Times New Roman" w:hAnsi="Times New Roman" w:cs="Times New Roman"/>
                <w:sz w:val="24"/>
                <w:szCs w:val="24"/>
              </w:rPr>
            </w:pPr>
            <w:r w:rsidRPr="00EC6C19">
              <w:rPr>
                <w:rFonts w:ascii="Times New Roman" w:hAnsi="Times New Roman" w:cs="Times New Roman"/>
                <w:sz w:val="24"/>
                <w:szCs w:val="24"/>
              </w:rPr>
              <w:t>8</w:t>
            </w:r>
          </w:p>
        </w:tc>
        <w:tc>
          <w:tcPr>
            <w:tcW w:w="1137" w:type="pct"/>
            <w:tcBorders>
              <w:top w:val="single" w:sz="8" w:space="0" w:color="000000" w:themeColor="text1"/>
              <w:left w:val="nil"/>
              <w:bottom w:val="nil"/>
              <w:right w:val="nil"/>
            </w:tcBorders>
          </w:tcPr>
          <w:p w14:paraId="7100FD02" w14:textId="77777777" w:rsidR="006565A1" w:rsidRPr="00EC6C19" w:rsidRDefault="006565A1" w:rsidP="006565A1">
            <w:pPr>
              <w:spacing w:line="480" w:lineRule="auto"/>
              <w:rPr>
                <w:rFonts w:ascii="Times New Roman" w:hAnsi="Times New Roman" w:cs="Times New Roman"/>
                <w:sz w:val="24"/>
                <w:szCs w:val="24"/>
              </w:rPr>
            </w:pPr>
            <w:r w:rsidRPr="00EC6C19">
              <w:rPr>
                <w:rFonts w:ascii="Times New Roman" w:hAnsi="Times New Roman" w:cs="Times New Roman"/>
                <w:sz w:val="24"/>
                <w:szCs w:val="24"/>
              </w:rPr>
              <w:t>36%</w:t>
            </w:r>
          </w:p>
        </w:tc>
      </w:tr>
      <w:tr w:rsidR="006565A1" w:rsidRPr="00EC6C19" w14:paraId="54DBED9D" w14:textId="77777777" w:rsidTr="00920FA3">
        <w:trPr>
          <w:trHeight w:val="80"/>
        </w:trPr>
        <w:tc>
          <w:tcPr>
            <w:tcW w:w="1326" w:type="pct"/>
            <w:tcBorders>
              <w:top w:val="nil"/>
              <w:left w:val="nil"/>
              <w:bottom w:val="single" w:sz="8" w:space="0" w:color="000000" w:themeColor="text1"/>
              <w:right w:val="nil"/>
            </w:tcBorders>
          </w:tcPr>
          <w:p w14:paraId="1FBA3EC3" w14:textId="77777777" w:rsidR="006565A1" w:rsidRPr="00EC6C19" w:rsidRDefault="006565A1" w:rsidP="006565A1">
            <w:pPr>
              <w:spacing w:line="480" w:lineRule="auto"/>
              <w:rPr>
                <w:rFonts w:ascii="Times New Roman" w:hAnsi="Times New Roman" w:cs="Times New Roman"/>
                <w:sz w:val="24"/>
                <w:szCs w:val="24"/>
              </w:rPr>
            </w:pPr>
            <w:r w:rsidRPr="00EC6C19">
              <w:rPr>
                <w:rFonts w:ascii="Times New Roman" w:hAnsi="Times New Roman" w:cs="Times New Roman"/>
                <w:sz w:val="24"/>
                <w:szCs w:val="24"/>
              </w:rPr>
              <w:t>FFR (&lt;0.80)</w:t>
            </w:r>
          </w:p>
          <w:p w14:paraId="470683EC" w14:textId="77777777" w:rsidR="006667B9" w:rsidRPr="00EC6C19" w:rsidRDefault="006667B9" w:rsidP="006565A1">
            <w:pPr>
              <w:spacing w:line="480" w:lineRule="auto"/>
              <w:rPr>
                <w:rFonts w:ascii="Times New Roman" w:hAnsi="Times New Roman" w:cs="Times New Roman"/>
                <w:sz w:val="24"/>
                <w:szCs w:val="24"/>
              </w:rPr>
            </w:pPr>
          </w:p>
        </w:tc>
        <w:tc>
          <w:tcPr>
            <w:tcW w:w="1400" w:type="pct"/>
            <w:tcBorders>
              <w:top w:val="nil"/>
              <w:left w:val="nil"/>
              <w:bottom w:val="single" w:sz="8" w:space="0" w:color="000000" w:themeColor="text1"/>
              <w:right w:val="nil"/>
            </w:tcBorders>
          </w:tcPr>
          <w:p w14:paraId="5FFFE0B4" w14:textId="77777777" w:rsidR="006565A1" w:rsidRPr="00EC6C19" w:rsidRDefault="006565A1" w:rsidP="006565A1">
            <w:pPr>
              <w:spacing w:line="480" w:lineRule="auto"/>
              <w:rPr>
                <w:rFonts w:ascii="Times New Roman" w:hAnsi="Times New Roman" w:cs="Times New Roman"/>
                <w:sz w:val="24"/>
                <w:szCs w:val="24"/>
              </w:rPr>
            </w:pPr>
            <w:r w:rsidRPr="00EC6C19">
              <w:rPr>
                <w:rFonts w:ascii="Times New Roman" w:hAnsi="Times New Roman" w:cs="Times New Roman"/>
                <w:sz w:val="24"/>
                <w:szCs w:val="24"/>
              </w:rPr>
              <w:t>2</w:t>
            </w:r>
            <w:r w:rsidR="006667B9" w:rsidRPr="00EC6C19">
              <w:rPr>
                <w:rFonts w:ascii="Times New Roman" w:hAnsi="Times New Roman" w:cs="Times New Roman"/>
                <w:sz w:val="24"/>
                <w:szCs w:val="24"/>
              </w:rPr>
              <w:t>3</w:t>
            </w:r>
          </w:p>
        </w:tc>
        <w:tc>
          <w:tcPr>
            <w:tcW w:w="1137" w:type="pct"/>
            <w:tcBorders>
              <w:top w:val="nil"/>
              <w:left w:val="nil"/>
              <w:bottom w:val="single" w:sz="8" w:space="0" w:color="000000" w:themeColor="text1"/>
              <w:right w:val="nil"/>
            </w:tcBorders>
          </w:tcPr>
          <w:p w14:paraId="765C4FC6" w14:textId="77777777" w:rsidR="006565A1" w:rsidRPr="00EC6C19" w:rsidRDefault="006565A1" w:rsidP="006565A1">
            <w:pPr>
              <w:spacing w:line="480" w:lineRule="auto"/>
              <w:rPr>
                <w:rFonts w:ascii="Times New Roman" w:hAnsi="Times New Roman" w:cs="Times New Roman"/>
                <w:sz w:val="24"/>
                <w:szCs w:val="24"/>
              </w:rPr>
            </w:pPr>
            <w:r w:rsidRPr="00EC6C19">
              <w:rPr>
                <w:rFonts w:ascii="Times New Roman" w:hAnsi="Times New Roman" w:cs="Times New Roman"/>
                <w:sz w:val="24"/>
                <w:szCs w:val="24"/>
              </w:rPr>
              <w:t>6</w:t>
            </w:r>
          </w:p>
        </w:tc>
        <w:tc>
          <w:tcPr>
            <w:tcW w:w="1137" w:type="pct"/>
            <w:tcBorders>
              <w:top w:val="nil"/>
              <w:left w:val="nil"/>
              <w:bottom w:val="single" w:sz="8" w:space="0" w:color="000000" w:themeColor="text1"/>
              <w:right w:val="nil"/>
            </w:tcBorders>
          </w:tcPr>
          <w:p w14:paraId="4E6D5ED5" w14:textId="77777777" w:rsidR="006565A1" w:rsidRPr="00EC6C19" w:rsidRDefault="006565A1" w:rsidP="006565A1">
            <w:pPr>
              <w:spacing w:line="480" w:lineRule="auto"/>
              <w:rPr>
                <w:rFonts w:ascii="Times New Roman" w:hAnsi="Times New Roman" w:cs="Times New Roman"/>
                <w:sz w:val="24"/>
                <w:szCs w:val="24"/>
              </w:rPr>
            </w:pPr>
            <w:r w:rsidRPr="00EC6C19">
              <w:rPr>
                <w:rFonts w:ascii="Times New Roman" w:hAnsi="Times New Roman" w:cs="Times New Roman"/>
                <w:sz w:val="24"/>
                <w:szCs w:val="24"/>
              </w:rPr>
              <w:t>26%</w:t>
            </w:r>
          </w:p>
        </w:tc>
      </w:tr>
    </w:tbl>
    <w:p w14:paraId="143790E1" w14:textId="77777777" w:rsidR="004C64D6" w:rsidRPr="00EC6C19" w:rsidRDefault="004C64D6" w:rsidP="00936B2D">
      <w:pPr>
        <w:spacing w:line="360" w:lineRule="auto"/>
        <w:rPr>
          <w:rFonts w:ascii="Times New Roman" w:hAnsi="Times New Roman" w:cs="Times New Roman"/>
          <w:i/>
          <w:sz w:val="24"/>
          <w:szCs w:val="24"/>
        </w:rPr>
      </w:pPr>
    </w:p>
    <w:p w14:paraId="32BDD058" w14:textId="77777777" w:rsidR="006565A1" w:rsidRPr="007C0B62" w:rsidRDefault="007C0B62" w:rsidP="007C0B62">
      <w:pPr>
        <w:pStyle w:val="Caption"/>
        <w:spacing w:line="360" w:lineRule="auto"/>
        <w:rPr>
          <w:rFonts w:ascii="Times New Roman" w:hAnsi="Times New Roman" w:cs="Times New Roman"/>
          <w:b w:val="0"/>
          <w:i/>
          <w:color w:val="auto"/>
          <w:sz w:val="24"/>
          <w:szCs w:val="24"/>
        </w:rPr>
      </w:pPr>
      <w:bookmarkStart w:id="190" w:name="_Toc44962607"/>
      <w:r w:rsidRPr="007C0B62">
        <w:rPr>
          <w:rFonts w:ascii="Times New Roman" w:hAnsi="Times New Roman" w:cs="Times New Roman"/>
          <w:b w:val="0"/>
          <w:i/>
          <w:color w:val="auto"/>
          <w:sz w:val="24"/>
          <w:szCs w:val="24"/>
        </w:rPr>
        <w:t xml:space="preserve">Table </w:t>
      </w:r>
      <w:r w:rsidR="00106A32" w:rsidRPr="007C0B62">
        <w:rPr>
          <w:rFonts w:ascii="Times New Roman" w:hAnsi="Times New Roman" w:cs="Times New Roman"/>
          <w:b w:val="0"/>
          <w:i/>
          <w:color w:val="auto"/>
          <w:sz w:val="24"/>
          <w:szCs w:val="24"/>
        </w:rPr>
        <w:fldChar w:fldCharType="begin"/>
      </w:r>
      <w:r w:rsidRPr="007C0B62">
        <w:rPr>
          <w:rFonts w:ascii="Times New Roman" w:hAnsi="Times New Roman" w:cs="Times New Roman"/>
          <w:b w:val="0"/>
          <w:i/>
          <w:color w:val="auto"/>
          <w:sz w:val="24"/>
          <w:szCs w:val="24"/>
        </w:rPr>
        <w:instrText xml:space="preserve"> SEQ Table \* ARABIC </w:instrText>
      </w:r>
      <w:r w:rsidR="00106A32" w:rsidRPr="007C0B6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31</w:t>
      </w:r>
      <w:r w:rsidR="00106A32" w:rsidRPr="007C0B62">
        <w:rPr>
          <w:rFonts w:ascii="Times New Roman" w:hAnsi="Times New Roman" w:cs="Times New Roman"/>
          <w:b w:val="0"/>
          <w:i/>
          <w:color w:val="auto"/>
          <w:sz w:val="24"/>
          <w:szCs w:val="24"/>
        </w:rPr>
        <w:fldChar w:fldCharType="end"/>
      </w:r>
      <w:r w:rsidRPr="007C0B62">
        <w:rPr>
          <w:rFonts w:ascii="Times New Roman" w:hAnsi="Times New Roman" w:cs="Times New Roman"/>
          <w:b w:val="0"/>
          <w:i/>
          <w:color w:val="auto"/>
          <w:sz w:val="24"/>
          <w:szCs w:val="24"/>
        </w:rPr>
        <w:t xml:space="preserve"> - Stenosis Re-classification.</w:t>
      </w:r>
      <w:r w:rsidR="006565A1" w:rsidRPr="007C0B62">
        <w:rPr>
          <w:rFonts w:ascii="Times New Roman" w:hAnsi="Times New Roman" w:cs="Times New Roman"/>
          <w:b w:val="0"/>
          <w:i/>
          <w:color w:val="auto"/>
          <w:sz w:val="24"/>
          <w:szCs w:val="24"/>
        </w:rPr>
        <w:t xml:space="preserve"> </w:t>
      </w:r>
      <w:r w:rsidRPr="007C0B62">
        <w:rPr>
          <w:rFonts w:ascii="Times New Roman" w:hAnsi="Times New Roman" w:cs="Times New Roman"/>
          <w:b w:val="0"/>
          <w:i/>
          <w:color w:val="auto"/>
          <w:sz w:val="24"/>
          <w:szCs w:val="24"/>
        </w:rPr>
        <w:t>P</w:t>
      </w:r>
      <w:r w:rsidR="006565A1" w:rsidRPr="007C0B62">
        <w:rPr>
          <w:rFonts w:ascii="Times New Roman" w:hAnsi="Times New Roman" w:cs="Times New Roman"/>
          <w:b w:val="0"/>
          <w:i/>
          <w:color w:val="auto"/>
          <w:sz w:val="24"/>
          <w:szCs w:val="24"/>
        </w:rPr>
        <w:t>ercentage of values crossing iFR and FFR threshold, once corrected for hydrostatic pressure effects.</w:t>
      </w:r>
      <w:bookmarkEnd w:id="190"/>
    </w:p>
    <w:p w14:paraId="36EE9A2F" w14:textId="77777777" w:rsidR="00277F2E" w:rsidRPr="00EC6C19" w:rsidRDefault="00277F2E" w:rsidP="00936B2D">
      <w:pPr>
        <w:spacing w:line="360" w:lineRule="auto"/>
        <w:rPr>
          <w:rFonts w:ascii="Times New Roman" w:hAnsi="Times New Roman" w:cs="Times New Roman"/>
          <w:i/>
          <w:sz w:val="24"/>
          <w:szCs w:val="24"/>
        </w:rPr>
      </w:pPr>
    </w:p>
    <w:p w14:paraId="7A9DCB39" w14:textId="77777777" w:rsidR="00277F2E" w:rsidRPr="00B15CB5" w:rsidRDefault="00B15CB5" w:rsidP="00B15CB5">
      <w:pPr>
        <w:pStyle w:val="Heading2"/>
        <w:rPr>
          <w:rFonts w:ascii="Times New Roman" w:hAnsi="Times New Roman" w:cs="Times New Roman"/>
          <w:color w:val="auto"/>
          <w:sz w:val="24"/>
          <w:szCs w:val="24"/>
        </w:rPr>
      </w:pPr>
      <w:bookmarkStart w:id="191" w:name="_Toc80302259"/>
      <w:r w:rsidRPr="00B15CB5">
        <w:rPr>
          <w:rFonts w:ascii="Times New Roman" w:hAnsi="Times New Roman" w:cs="Times New Roman"/>
          <w:color w:val="auto"/>
          <w:sz w:val="24"/>
          <w:szCs w:val="24"/>
        </w:rPr>
        <w:t xml:space="preserve">3.19 - </w:t>
      </w:r>
      <w:r w:rsidR="00C42B79" w:rsidRPr="00B15CB5">
        <w:rPr>
          <w:rFonts w:ascii="Times New Roman" w:hAnsi="Times New Roman" w:cs="Times New Roman"/>
          <w:color w:val="auto"/>
          <w:sz w:val="24"/>
          <w:szCs w:val="24"/>
        </w:rPr>
        <w:t>Doppler Measurements</w:t>
      </w:r>
      <w:bookmarkEnd w:id="191"/>
      <w:r>
        <w:rPr>
          <w:rFonts w:ascii="Times New Roman" w:hAnsi="Times New Roman" w:cs="Times New Roman"/>
          <w:color w:val="auto"/>
          <w:sz w:val="24"/>
          <w:szCs w:val="24"/>
        </w:rPr>
        <w:br/>
      </w:r>
    </w:p>
    <w:p w14:paraId="128A34DC" w14:textId="77777777" w:rsidR="00C42B79" w:rsidRPr="00EC6C19" w:rsidRDefault="00C42B79" w:rsidP="00936B2D">
      <w:pPr>
        <w:spacing w:line="360" w:lineRule="auto"/>
        <w:rPr>
          <w:rFonts w:ascii="Times New Roman" w:hAnsi="Times New Roman" w:cs="Times New Roman"/>
          <w:b/>
          <w:sz w:val="24"/>
          <w:szCs w:val="24"/>
        </w:rPr>
      </w:pPr>
    </w:p>
    <w:p w14:paraId="5B1A85CE" w14:textId="77777777" w:rsidR="002825D6" w:rsidRDefault="006667B9" w:rsidP="00936B2D">
      <w:pPr>
        <w:spacing w:line="360" w:lineRule="auto"/>
        <w:rPr>
          <w:rFonts w:ascii="Times New Roman" w:hAnsi="Times New Roman" w:cs="Times New Roman"/>
          <w:sz w:val="24"/>
          <w:szCs w:val="24"/>
        </w:rPr>
      </w:pPr>
      <w:r w:rsidRPr="00EC6C19">
        <w:rPr>
          <w:rFonts w:ascii="Times New Roman" w:hAnsi="Times New Roman" w:cs="Times New Roman"/>
          <w:sz w:val="24"/>
          <w:szCs w:val="24"/>
        </w:rPr>
        <w:t>Combined and grouped mean doppler velocity between prone and supine positions at rest and hyperaemia were not statistically significant</w:t>
      </w:r>
      <w:r w:rsidR="007C0B62">
        <w:rPr>
          <w:rFonts w:ascii="Times New Roman" w:hAnsi="Times New Roman" w:cs="Times New Roman"/>
          <w:sz w:val="24"/>
          <w:szCs w:val="24"/>
        </w:rPr>
        <w:t xml:space="preserve"> (Table 32 and 33)</w:t>
      </w:r>
      <w:r w:rsidRPr="00EC6C19">
        <w:rPr>
          <w:rFonts w:ascii="Times New Roman" w:hAnsi="Times New Roman" w:cs="Times New Roman"/>
          <w:sz w:val="24"/>
          <w:szCs w:val="24"/>
        </w:rPr>
        <w:t>.</w:t>
      </w:r>
      <w:r w:rsidR="00920FA3" w:rsidRPr="00EC6C19">
        <w:rPr>
          <w:rFonts w:ascii="Times New Roman" w:hAnsi="Times New Roman" w:cs="Times New Roman"/>
          <w:sz w:val="24"/>
          <w:szCs w:val="24"/>
        </w:rPr>
        <w:t xml:space="preserve"> Resting doppler flow superior vs. inferior was 17cm/s vs. 15cm/s and 29cm/s vs. 28cm/s at hyperaemia.</w:t>
      </w:r>
      <w:r w:rsidRPr="00EC6C19">
        <w:rPr>
          <w:rFonts w:ascii="Times New Roman" w:hAnsi="Times New Roman" w:cs="Times New Roman"/>
          <w:sz w:val="24"/>
          <w:szCs w:val="24"/>
        </w:rPr>
        <w:t xml:space="preserve"> </w:t>
      </w:r>
      <w:r w:rsidR="002825D6" w:rsidRPr="00EC6C19">
        <w:rPr>
          <w:rFonts w:ascii="Times New Roman" w:hAnsi="Times New Roman" w:cs="Times New Roman"/>
          <w:sz w:val="24"/>
          <w:szCs w:val="24"/>
        </w:rPr>
        <w:t>At rest, the mean delta change was 1.6cm/s (p = 0.31) and at hyperaemia -0.9cm/s (p = 0.85).</w:t>
      </w:r>
    </w:p>
    <w:p w14:paraId="238C1E48" w14:textId="77777777" w:rsidR="00B35A6A" w:rsidRDefault="00B35A6A" w:rsidP="00936B2D">
      <w:pPr>
        <w:spacing w:line="360" w:lineRule="auto"/>
        <w:rPr>
          <w:rFonts w:ascii="Times New Roman" w:hAnsi="Times New Roman" w:cs="Times New Roman"/>
          <w:sz w:val="24"/>
          <w:szCs w:val="24"/>
        </w:rPr>
      </w:pPr>
    </w:p>
    <w:p w14:paraId="51727FF4" w14:textId="77777777" w:rsidR="00B35A6A" w:rsidRDefault="00B35A6A" w:rsidP="00936B2D">
      <w:pPr>
        <w:spacing w:line="360" w:lineRule="auto"/>
        <w:rPr>
          <w:rFonts w:ascii="Times New Roman" w:hAnsi="Times New Roman" w:cs="Times New Roman"/>
          <w:sz w:val="24"/>
          <w:szCs w:val="24"/>
        </w:rPr>
      </w:pPr>
    </w:p>
    <w:p w14:paraId="30A39EA4" w14:textId="77777777" w:rsidR="00B35A6A" w:rsidRDefault="00B35A6A" w:rsidP="00936B2D">
      <w:pPr>
        <w:spacing w:line="360" w:lineRule="auto"/>
        <w:rPr>
          <w:rFonts w:ascii="Times New Roman" w:hAnsi="Times New Roman" w:cs="Times New Roman"/>
          <w:sz w:val="24"/>
          <w:szCs w:val="24"/>
        </w:rPr>
      </w:pPr>
    </w:p>
    <w:p w14:paraId="1009BBBE" w14:textId="77777777" w:rsidR="00B35A6A" w:rsidRDefault="00B35A6A" w:rsidP="00936B2D">
      <w:pPr>
        <w:spacing w:line="360" w:lineRule="auto"/>
        <w:rPr>
          <w:rFonts w:ascii="Times New Roman" w:hAnsi="Times New Roman" w:cs="Times New Roman"/>
          <w:sz w:val="24"/>
          <w:szCs w:val="24"/>
        </w:rPr>
      </w:pPr>
    </w:p>
    <w:p w14:paraId="60742A69" w14:textId="77777777" w:rsidR="00B35A6A" w:rsidRPr="00EC6C19" w:rsidRDefault="00B35A6A" w:rsidP="00936B2D">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1912"/>
        <w:gridCol w:w="1884"/>
        <w:gridCol w:w="1904"/>
        <w:gridCol w:w="1925"/>
        <w:gridCol w:w="1735"/>
      </w:tblGrid>
      <w:tr w:rsidR="006667B9" w:rsidRPr="00EC6C19" w14:paraId="28C01D74" w14:textId="77777777" w:rsidTr="006667B9">
        <w:tc>
          <w:tcPr>
            <w:tcW w:w="9576" w:type="dxa"/>
            <w:gridSpan w:val="5"/>
            <w:tcBorders>
              <w:bottom w:val="nil"/>
            </w:tcBorders>
            <w:shd w:val="clear" w:color="auto" w:fill="F2F2F2" w:themeFill="background1" w:themeFillShade="F2"/>
          </w:tcPr>
          <w:p w14:paraId="638BD56F"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RESTING FLOW</w:t>
            </w:r>
          </w:p>
          <w:p w14:paraId="0687F49F" w14:textId="77777777" w:rsidR="006667B9" w:rsidRPr="00EC6C19" w:rsidRDefault="006667B9" w:rsidP="006667B9">
            <w:pPr>
              <w:jc w:val="center"/>
              <w:rPr>
                <w:rFonts w:ascii="Times New Roman" w:hAnsi="Times New Roman" w:cs="Times New Roman"/>
                <w:b/>
                <w:sz w:val="24"/>
                <w:szCs w:val="24"/>
              </w:rPr>
            </w:pPr>
          </w:p>
        </w:tc>
      </w:tr>
      <w:tr w:rsidR="006667B9" w:rsidRPr="00EC6C19" w14:paraId="75E81A13" w14:textId="77777777" w:rsidTr="006667B9">
        <w:tc>
          <w:tcPr>
            <w:tcW w:w="1940" w:type="dxa"/>
            <w:tcBorders>
              <w:top w:val="nil"/>
              <w:bottom w:val="single" w:sz="18" w:space="0" w:color="000000" w:themeColor="text1"/>
            </w:tcBorders>
            <w:shd w:val="clear" w:color="auto" w:fill="F2F2F2" w:themeFill="background1" w:themeFillShade="F2"/>
          </w:tcPr>
          <w:p w14:paraId="6D36ACA0"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Vessel (n)</w:t>
            </w:r>
          </w:p>
          <w:p w14:paraId="65896CE2" w14:textId="77777777" w:rsidR="006667B9" w:rsidRPr="00EC6C19" w:rsidRDefault="006667B9" w:rsidP="006667B9">
            <w:pPr>
              <w:jc w:val="center"/>
              <w:rPr>
                <w:rFonts w:ascii="Times New Roman" w:hAnsi="Times New Roman" w:cs="Times New Roman"/>
                <w:sz w:val="24"/>
                <w:szCs w:val="24"/>
              </w:rPr>
            </w:pPr>
          </w:p>
        </w:tc>
        <w:tc>
          <w:tcPr>
            <w:tcW w:w="1929" w:type="dxa"/>
            <w:tcBorders>
              <w:top w:val="nil"/>
              <w:bottom w:val="single" w:sz="18" w:space="0" w:color="000000" w:themeColor="text1"/>
            </w:tcBorders>
            <w:shd w:val="clear" w:color="auto" w:fill="F2F2F2" w:themeFill="background1" w:themeFillShade="F2"/>
          </w:tcPr>
          <w:p w14:paraId="6423168E" w14:textId="1EE45E1E"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Prone Velocity Mean (</w:t>
            </w:r>
            <w:r w:rsidR="00D97E85">
              <w:rPr>
                <w:rFonts w:ascii="Times New Roman" w:hAnsi="Times New Roman" w:cs="Times New Roman"/>
                <w:sz w:val="24"/>
                <w:szCs w:val="24"/>
              </w:rPr>
              <w:t>±</w:t>
            </w:r>
            <w:r w:rsidRPr="00EC6C19">
              <w:rPr>
                <w:rFonts w:ascii="Times New Roman" w:hAnsi="Times New Roman" w:cs="Times New Roman"/>
                <w:b/>
                <w:sz w:val="24"/>
                <w:szCs w:val="24"/>
              </w:rPr>
              <w:t>SD) - cm/s</w:t>
            </w:r>
          </w:p>
        </w:tc>
        <w:tc>
          <w:tcPr>
            <w:tcW w:w="1950" w:type="dxa"/>
            <w:tcBorders>
              <w:top w:val="nil"/>
              <w:bottom w:val="single" w:sz="18" w:space="0" w:color="000000" w:themeColor="text1"/>
            </w:tcBorders>
            <w:shd w:val="clear" w:color="auto" w:fill="F2F2F2" w:themeFill="background1" w:themeFillShade="F2"/>
          </w:tcPr>
          <w:p w14:paraId="31253A7A" w14:textId="3A876D84"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Supine Velocity Mean (</w:t>
            </w:r>
            <w:r w:rsidR="00D97E85">
              <w:rPr>
                <w:rFonts w:ascii="Times New Roman" w:hAnsi="Times New Roman" w:cs="Times New Roman"/>
                <w:sz w:val="24"/>
                <w:szCs w:val="24"/>
              </w:rPr>
              <w:t>±</w:t>
            </w:r>
            <w:r w:rsidRPr="00EC6C19">
              <w:rPr>
                <w:rFonts w:ascii="Times New Roman" w:hAnsi="Times New Roman" w:cs="Times New Roman"/>
                <w:b/>
                <w:sz w:val="24"/>
                <w:szCs w:val="24"/>
              </w:rPr>
              <w:t xml:space="preserve"> SD) - cm/s</w:t>
            </w:r>
          </w:p>
        </w:tc>
        <w:tc>
          <w:tcPr>
            <w:tcW w:w="1972" w:type="dxa"/>
            <w:tcBorders>
              <w:top w:val="nil"/>
              <w:bottom w:val="single" w:sz="18" w:space="0" w:color="000000" w:themeColor="text1"/>
            </w:tcBorders>
            <w:shd w:val="clear" w:color="auto" w:fill="F2F2F2" w:themeFill="background1" w:themeFillShade="F2"/>
          </w:tcPr>
          <w:p w14:paraId="7C411B94" w14:textId="2F5E334C"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Delta Change Velocity Mean (</w:t>
            </w:r>
            <w:r w:rsidR="00D97E85">
              <w:rPr>
                <w:rFonts w:ascii="Times New Roman" w:hAnsi="Times New Roman" w:cs="Times New Roman"/>
                <w:sz w:val="24"/>
                <w:szCs w:val="24"/>
              </w:rPr>
              <w:t>±</w:t>
            </w:r>
            <w:r w:rsidRPr="00EC6C19">
              <w:rPr>
                <w:rFonts w:ascii="Times New Roman" w:hAnsi="Times New Roman" w:cs="Times New Roman"/>
                <w:b/>
                <w:sz w:val="24"/>
                <w:szCs w:val="24"/>
              </w:rPr>
              <w:t>SD) - cm/s</w:t>
            </w:r>
          </w:p>
        </w:tc>
        <w:tc>
          <w:tcPr>
            <w:tcW w:w="1785" w:type="dxa"/>
            <w:tcBorders>
              <w:top w:val="nil"/>
              <w:bottom w:val="single" w:sz="18" w:space="0" w:color="000000" w:themeColor="text1"/>
            </w:tcBorders>
            <w:shd w:val="clear" w:color="auto" w:fill="F2F2F2" w:themeFill="background1" w:themeFillShade="F2"/>
          </w:tcPr>
          <w:p w14:paraId="68CC04FC"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P Value</w:t>
            </w:r>
          </w:p>
        </w:tc>
      </w:tr>
      <w:tr w:rsidR="006667B9" w:rsidRPr="00EC6C19" w14:paraId="43BE086B" w14:textId="77777777" w:rsidTr="006667B9">
        <w:tc>
          <w:tcPr>
            <w:tcW w:w="1940" w:type="dxa"/>
            <w:tcBorders>
              <w:top w:val="single" w:sz="18" w:space="0" w:color="000000" w:themeColor="text1"/>
            </w:tcBorders>
            <w:shd w:val="clear" w:color="auto" w:fill="FFFFFF" w:themeFill="background1"/>
          </w:tcPr>
          <w:p w14:paraId="643D45A2"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LAD (10)</w:t>
            </w:r>
          </w:p>
          <w:p w14:paraId="1DA54613" w14:textId="77777777" w:rsidR="006667B9" w:rsidRPr="00EC6C19" w:rsidRDefault="006667B9" w:rsidP="006667B9">
            <w:pPr>
              <w:jc w:val="center"/>
              <w:rPr>
                <w:rFonts w:ascii="Times New Roman" w:hAnsi="Times New Roman" w:cs="Times New Roman"/>
                <w:b/>
                <w:sz w:val="24"/>
                <w:szCs w:val="24"/>
              </w:rPr>
            </w:pPr>
          </w:p>
        </w:tc>
        <w:tc>
          <w:tcPr>
            <w:tcW w:w="1929" w:type="dxa"/>
            <w:tcBorders>
              <w:top w:val="single" w:sz="18" w:space="0" w:color="000000" w:themeColor="text1"/>
            </w:tcBorders>
            <w:shd w:val="clear" w:color="auto" w:fill="FFFFFF" w:themeFill="background1"/>
          </w:tcPr>
          <w:p w14:paraId="687E01CB"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15.8 (4.2)</w:t>
            </w:r>
          </w:p>
        </w:tc>
        <w:tc>
          <w:tcPr>
            <w:tcW w:w="1950" w:type="dxa"/>
            <w:tcBorders>
              <w:top w:val="single" w:sz="18" w:space="0" w:color="000000" w:themeColor="text1"/>
            </w:tcBorders>
            <w:shd w:val="clear" w:color="auto" w:fill="FFFFFF" w:themeFill="background1"/>
          </w:tcPr>
          <w:p w14:paraId="4517C01B"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15.4 (3.8)</w:t>
            </w:r>
          </w:p>
        </w:tc>
        <w:tc>
          <w:tcPr>
            <w:tcW w:w="1972" w:type="dxa"/>
            <w:tcBorders>
              <w:top w:val="single" w:sz="18" w:space="0" w:color="000000" w:themeColor="text1"/>
            </w:tcBorders>
            <w:shd w:val="clear" w:color="auto" w:fill="FFFFFF" w:themeFill="background1"/>
          </w:tcPr>
          <w:p w14:paraId="3B31B336"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0.4 (2.9)</w:t>
            </w:r>
          </w:p>
        </w:tc>
        <w:tc>
          <w:tcPr>
            <w:tcW w:w="1785" w:type="dxa"/>
            <w:tcBorders>
              <w:top w:val="single" w:sz="18" w:space="0" w:color="000000" w:themeColor="text1"/>
            </w:tcBorders>
            <w:shd w:val="clear" w:color="auto" w:fill="FFFFFF" w:themeFill="background1"/>
          </w:tcPr>
          <w:p w14:paraId="7CB4EB91"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0.71</w:t>
            </w:r>
          </w:p>
        </w:tc>
      </w:tr>
      <w:tr w:rsidR="006667B9" w:rsidRPr="00EC6C19" w14:paraId="3E2B87D4" w14:textId="77777777" w:rsidTr="006667B9">
        <w:tc>
          <w:tcPr>
            <w:tcW w:w="1940" w:type="dxa"/>
            <w:shd w:val="clear" w:color="auto" w:fill="FFFFFF" w:themeFill="background1"/>
          </w:tcPr>
          <w:p w14:paraId="6C55DCB1"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Circumflex (7)</w:t>
            </w:r>
          </w:p>
          <w:p w14:paraId="35005AC0" w14:textId="77777777" w:rsidR="006667B9" w:rsidRPr="00EC6C19" w:rsidRDefault="006667B9" w:rsidP="006667B9">
            <w:pPr>
              <w:jc w:val="center"/>
              <w:rPr>
                <w:rFonts w:ascii="Times New Roman" w:hAnsi="Times New Roman" w:cs="Times New Roman"/>
                <w:b/>
                <w:sz w:val="24"/>
                <w:szCs w:val="24"/>
              </w:rPr>
            </w:pPr>
          </w:p>
        </w:tc>
        <w:tc>
          <w:tcPr>
            <w:tcW w:w="1929" w:type="dxa"/>
            <w:shd w:val="clear" w:color="auto" w:fill="FFFFFF" w:themeFill="background1"/>
          </w:tcPr>
          <w:p w14:paraId="69A659AE"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16.8 (5.4)</w:t>
            </w:r>
          </w:p>
        </w:tc>
        <w:tc>
          <w:tcPr>
            <w:tcW w:w="1950" w:type="dxa"/>
            <w:shd w:val="clear" w:color="auto" w:fill="FFFFFF" w:themeFill="background1"/>
          </w:tcPr>
          <w:p w14:paraId="2DCB5190"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21.3 (6.7)</w:t>
            </w:r>
          </w:p>
        </w:tc>
        <w:tc>
          <w:tcPr>
            <w:tcW w:w="1972" w:type="dxa"/>
            <w:shd w:val="clear" w:color="auto" w:fill="FFFFFF" w:themeFill="background1"/>
          </w:tcPr>
          <w:p w14:paraId="6C04C39F"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4.5 (7.0)</w:t>
            </w:r>
          </w:p>
        </w:tc>
        <w:tc>
          <w:tcPr>
            <w:tcW w:w="1785" w:type="dxa"/>
            <w:shd w:val="clear" w:color="auto" w:fill="FFFFFF" w:themeFill="background1"/>
          </w:tcPr>
          <w:p w14:paraId="0DD1A174"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0.15</w:t>
            </w:r>
          </w:p>
        </w:tc>
      </w:tr>
      <w:tr w:rsidR="006667B9" w:rsidRPr="00EC6C19" w14:paraId="352616ED" w14:textId="77777777" w:rsidTr="006667B9">
        <w:tc>
          <w:tcPr>
            <w:tcW w:w="1940" w:type="dxa"/>
            <w:shd w:val="clear" w:color="auto" w:fill="FFFFFF" w:themeFill="background1"/>
          </w:tcPr>
          <w:p w14:paraId="27069BB2"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RCA -PDA(2)</w:t>
            </w:r>
          </w:p>
          <w:p w14:paraId="438FC0AC" w14:textId="77777777" w:rsidR="006667B9" w:rsidRPr="00EC6C19" w:rsidRDefault="006667B9" w:rsidP="006667B9">
            <w:pPr>
              <w:jc w:val="center"/>
              <w:rPr>
                <w:rFonts w:ascii="Times New Roman" w:hAnsi="Times New Roman" w:cs="Times New Roman"/>
                <w:b/>
                <w:sz w:val="24"/>
                <w:szCs w:val="24"/>
              </w:rPr>
            </w:pPr>
          </w:p>
        </w:tc>
        <w:tc>
          <w:tcPr>
            <w:tcW w:w="1929" w:type="dxa"/>
            <w:shd w:val="clear" w:color="auto" w:fill="FFFFFF" w:themeFill="background1"/>
          </w:tcPr>
          <w:p w14:paraId="7CDF6B7C"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13.8 (3.4)</w:t>
            </w:r>
          </w:p>
        </w:tc>
        <w:tc>
          <w:tcPr>
            <w:tcW w:w="1950" w:type="dxa"/>
            <w:shd w:val="clear" w:color="auto" w:fill="FFFFFF" w:themeFill="background1"/>
          </w:tcPr>
          <w:p w14:paraId="222B6E8F"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12.6 (1.7)</w:t>
            </w:r>
          </w:p>
        </w:tc>
        <w:tc>
          <w:tcPr>
            <w:tcW w:w="1972" w:type="dxa"/>
            <w:shd w:val="clear" w:color="auto" w:fill="FFFFFF" w:themeFill="background1"/>
          </w:tcPr>
          <w:p w14:paraId="773D16D3"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1.2 (1.7)</w:t>
            </w:r>
          </w:p>
        </w:tc>
        <w:tc>
          <w:tcPr>
            <w:tcW w:w="1785" w:type="dxa"/>
            <w:vMerge w:val="restart"/>
            <w:shd w:val="clear" w:color="auto" w:fill="FFFFFF" w:themeFill="background1"/>
          </w:tcPr>
          <w:p w14:paraId="7DA1834D" w14:textId="77777777" w:rsidR="006667B9" w:rsidRPr="00EC6C19" w:rsidRDefault="006667B9" w:rsidP="006667B9">
            <w:pPr>
              <w:jc w:val="center"/>
              <w:rPr>
                <w:rFonts w:ascii="Times New Roman" w:hAnsi="Times New Roman" w:cs="Times New Roman"/>
                <w:sz w:val="24"/>
                <w:szCs w:val="24"/>
              </w:rPr>
            </w:pPr>
          </w:p>
          <w:p w14:paraId="38371B7B"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0.58</w:t>
            </w:r>
          </w:p>
        </w:tc>
      </w:tr>
      <w:tr w:rsidR="006667B9" w:rsidRPr="00EC6C19" w14:paraId="57D50E03" w14:textId="77777777" w:rsidTr="006667B9">
        <w:tc>
          <w:tcPr>
            <w:tcW w:w="1940" w:type="dxa"/>
            <w:shd w:val="clear" w:color="auto" w:fill="FFFFFF" w:themeFill="background1"/>
          </w:tcPr>
          <w:p w14:paraId="114A4264"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RCA-PLV (4)</w:t>
            </w:r>
          </w:p>
          <w:p w14:paraId="68E1A3F5" w14:textId="77777777" w:rsidR="006667B9" w:rsidRPr="00EC6C19" w:rsidRDefault="006667B9" w:rsidP="006667B9">
            <w:pPr>
              <w:jc w:val="center"/>
              <w:rPr>
                <w:rFonts w:ascii="Times New Roman" w:hAnsi="Times New Roman" w:cs="Times New Roman"/>
                <w:b/>
                <w:sz w:val="24"/>
                <w:szCs w:val="24"/>
              </w:rPr>
            </w:pPr>
          </w:p>
        </w:tc>
        <w:tc>
          <w:tcPr>
            <w:tcW w:w="1929" w:type="dxa"/>
            <w:shd w:val="clear" w:color="auto" w:fill="FFFFFF" w:themeFill="background1"/>
          </w:tcPr>
          <w:p w14:paraId="335BDF99"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11.8 (2.9)</w:t>
            </w:r>
          </w:p>
        </w:tc>
        <w:tc>
          <w:tcPr>
            <w:tcW w:w="1950" w:type="dxa"/>
            <w:shd w:val="clear" w:color="auto" w:fill="FFFFFF" w:themeFill="background1"/>
          </w:tcPr>
          <w:p w14:paraId="669DB224"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11.5 (2.7)</w:t>
            </w:r>
          </w:p>
        </w:tc>
        <w:tc>
          <w:tcPr>
            <w:tcW w:w="1972" w:type="dxa"/>
            <w:shd w:val="clear" w:color="auto" w:fill="FFFFFF" w:themeFill="background1"/>
          </w:tcPr>
          <w:p w14:paraId="4AC80CCF"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-0.3 (3.1)</w:t>
            </w:r>
          </w:p>
        </w:tc>
        <w:tc>
          <w:tcPr>
            <w:tcW w:w="1785" w:type="dxa"/>
            <w:vMerge/>
            <w:shd w:val="clear" w:color="auto" w:fill="FFFFFF" w:themeFill="background1"/>
          </w:tcPr>
          <w:p w14:paraId="77A03318" w14:textId="77777777" w:rsidR="006667B9" w:rsidRPr="00EC6C19" w:rsidRDefault="006667B9" w:rsidP="006667B9">
            <w:pPr>
              <w:jc w:val="center"/>
              <w:rPr>
                <w:rFonts w:ascii="Times New Roman" w:hAnsi="Times New Roman" w:cs="Times New Roman"/>
                <w:sz w:val="24"/>
                <w:szCs w:val="24"/>
              </w:rPr>
            </w:pPr>
          </w:p>
        </w:tc>
      </w:tr>
      <w:tr w:rsidR="006667B9" w:rsidRPr="00EC6C19" w14:paraId="01A60F05" w14:textId="77777777" w:rsidTr="006667B9">
        <w:tc>
          <w:tcPr>
            <w:tcW w:w="1940" w:type="dxa"/>
            <w:tcBorders>
              <w:bottom w:val="single" w:sz="8" w:space="0" w:color="000000" w:themeColor="text1"/>
            </w:tcBorders>
            <w:shd w:val="clear" w:color="auto" w:fill="FFFFFF" w:themeFill="background1"/>
          </w:tcPr>
          <w:p w14:paraId="23877151"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All (23)</w:t>
            </w:r>
          </w:p>
          <w:p w14:paraId="1E12FD4E" w14:textId="77777777" w:rsidR="006667B9" w:rsidRPr="00EC6C19" w:rsidRDefault="006667B9" w:rsidP="006667B9">
            <w:pPr>
              <w:jc w:val="center"/>
              <w:rPr>
                <w:rFonts w:ascii="Times New Roman" w:hAnsi="Times New Roman" w:cs="Times New Roman"/>
                <w:b/>
                <w:sz w:val="24"/>
                <w:szCs w:val="24"/>
              </w:rPr>
            </w:pPr>
          </w:p>
        </w:tc>
        <w:tc>
          <w:tcPr>
            <w:tcW w:w="1929" w:type="dxa"/>
            <w:tcBorders>
              <w:bottom w:val="single" w:sz="8" w:space="0" w:color="000000" w:themeColor="text1"/>
            </w:tcBorders>
            <w:shd w:val="clear" w:color="auto" w:fill="FFFFFF" w:themeFill="background1"/>
          </w:tcPr>
          <w:p w14:paraId="598C5ABF"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w:t>
            </w:r>
          </w:p>
        </w:tc>
        <w:tc>
          <w:tcPr>
            <w:tcW w:w="1950" w:type="dxa"/>
            <w:tcBorders>
              <w:bottom w:val="single" w:sz="8" w:space="0" w:color="000000" w:themeColor="text1"/>
            </w:tcBorders>
            <w:shd w:val="clear" w:color="auto" w:fill="FFFFFF" w:themeFill="background1"/>
          </w:tcPr>
          <w:p w14:paraId="7882412D"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w:t>
            </w:r>
          </w:p>
        </w:tc>
        <w:tc>
          <w:tcPr>
            <w:tcW w:w="1972" w:type="dxa"/>
            <w:tcBorders>
              <w:bottom w:val="single" w:sz="8" w:space="0" w:color="000000" w:themeColor="text1"/>
            </w:tcBorders>
            <w:shd w:val="clear" w:color="auto" w:fill="FFFFFF" w:themeFill="background1"/>
          </w:tcPr>
          <w:p w14:paraId="380B5BDA"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1.6</w:t>
            </w:r>
          </w:p>
        </w:tc>
        <w:tc>
          <w:tcPr>
            <w:tcW w:w="1785" w:type="dxa"/>
            <w:tcBorders>
              <w:bottom w:val="single" w:sz="8" w:space="0" w:color="000000" w:themeColor="text1"/>
            </w:tcBorders>
            <w:shd w:val="clear" w:color="auto" w:fill="FFFFFF" w:themeFill="background1"/>
          </w:tcPr>
          <w:p w14:paraId="26CF8174"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0.31</w:t>
            </w:r>
          </w:p>
        </w:tc>
      </w:tr>
    </w:tbl>
    <w:p w14:paraId="5A9AD80E" w14:textId="77777777" w:rsidR="006667B9" w:rsidRPr="00EC6C19" w:rsidRDefault="006667B9" w:rsidP="006667B9">
      <w:pPr>
        <w:rPr>
          <w:rFonts w:ascii="Times New Roman" w:hAnsi="Times New Roman" w:cs="Times New Roman"/>
          <w:i/>
          <w:sz w:val="24"/>
          <w:szCs w:val="24"/>
        </w:rPr>
      </w:pPr>
    </w:p>
    <w:p w14:paraId="015F757F" w14:textId="77777777" w:rsidR="006667B9" w:rsidRDefault="007C0B62" w:rsidP="007C0B62">
      <w:pPr>
        <w:pStyle w:val="Caption"/>
        <w:spacing w:line="360" w:lineRule="auto"/>
        <w:rPr>
          <w:rFonts w:ascii="Times New Roman" w:hAnsi="Times New Roman" w:cs="Times New Roman"/>
          <w:b w:val="0"/>
          <w:i/>
          <w:color w:val="auto"/>
          <w:sz w:val="24"/>
          <w:szCs w:val="24"/>
        </w:rPr>
      </w:pPr>
      <w:bookmarkStart w:id="192" w:name="_Toc44962608"/>
      <w:r w:rsidRPr="007C0B62">
        <w:rPr>
          <w:rFonts w:ascii="Times New Roman" w:hAnsi="Times New Roman" w:cs="Times New Roman"/>
          <w:b w:val="0"/>
          <w:i/>
          <w:color w:val="auto"/>
          <w:sz w:val="24"/>
          <w:szCs w:val="24"/>
        </w:rPr>
        <w:t xml:space="preserve">Table </w:t>
      </w:r>
      <w:r w:rsidR="00106A32" w:rsidRPr="007C0B62">
        <w:rPr>
          <w:rFonts w:ascii="Times New Roman" w:hAnsi="Times New Roman" w:cs="Times New Roman"/>
          <w:b w:val="0"/>
          <w:i/>
          <w:color w:val="auto"/>
          <w:sz w:val="24"/>
          <w:szCs w:val="24"/>
        </w:rPr>
        <w:fldChar w:fldCharType="begin"/>
      </w:r>
      <w:r w:rsidRPr="007C0B62">
        <w:rPr>
          <w:rFonts w:ascii="Times New Roman" w:hAnsi="Times New Roman" w:cs="Times New Roman"/>
          <w:b w:val="0"/>
          <w:i/>
          <w:color w:val="auto"/>
          <w:sz w:val="24"/>
          <w:szCs w:val="24"/>
        </w:rPr>
        <w:instrText xml:space="preserve"> SEQ Table \* ARABIC </w:instrText>
      </w:r>
      <w:r w:rsidR="00106A32" w:rsidRPr="007C0B6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32</w:t>
      </w:r>
      <w:r w:rsidR="00106A32" w:rsidRPr="007C0B62">
        <w:rPr>
          <w:rFonts w:ascii="Times New Roman" w:hAnsi="Times New Roman" w:cs="Times New Roman"/>
          <w:b w:val="0"/>
          <w:i/>
          <w:color w:val="auto"/>
          <w:sz w:val="24"/>
          <w:szCs w:val="24"/>
        </w:rPr>
        <w:fldChar w:fldCharType="end"/>
      </w:r>
      <w:r w:rsidRPr="007C0B62">
        <w:rPr>
          <w:rFonts w:ascii="Times New Roman" w:hAnsi="Times New Roman" w:cs="Times New Roman"/>
          <w:b w:val="0"/>
          <w:i/>
          <w:color w:val="auto"/>
          <w:sz w:val="24"/>
          <w:szCs w:val="24"/>
        </w:rPr>
        <w:t>- Prone vs. Supine Resting Doppler Flow.</w:t>
      </w:r>
      <w:r w:rsidR="006667B9" w:rsidRPr="007C0B62">
        <w:rPr>
          <w:rFonts w:ascii="Times New Roman" w:hAnsi="Times New Roman" w:cs="Times New Roman"/>
          <w:b w:val="0"/>
          <w:i/>
          <w:color w:val="auto"/>
          <w:sz w:val="24"/>
          <w:szCs w:val="24"/>
        </w:rPr>
        <w:t xml:space="preserve"> There were no statistical differences across all arteries between the positions.</w:t>
      </w:r>
      <w:bookmarkEnd w:id="192"/>
    </w:p>
    <w:p w14:paraId="462B3100" w14:textId="77777777" w:rsidR="00857042" w:rsidRDefault="00857042" w:rsidP="00857042"/>
    <w:p w14:paraId="020398C2" w14:textId="77777777" w:rsidR="00857042" w:rsidRDefault="00857042" w:rsidP="00857042"/>
    <w:p w14:paraId="5F07FB8E" w14:textId="77777777" w:rsidR="00857042" w:rsidRDefault="00857042" w:rsidP="00857042"/>
    <w:p w14:paraId="504A4F74" w14:textId="77777777" w:rsidR="00857042" w:rsidRDefault="00857042" w:rsidP="00857042"/>
    <w:p w14:paraId="4DD6EFF4" w14:textId="77777777" w:rsidR="00857042" w:rsidRDefault="00857042" w:rsidP="00857042"/>
    <w:p w14:paraId="49C0432D" w14:textId="77777777" w:rsidR="00857042" w:rsidRPr="00857042" w:rsidRDefault="00857042" w:rsidP="00857042"/>
    <w:p w14:paraId="6FDDDF86" w14:textId="77777777" w:rsidR="00920FA3" w:rsidRPr="00EC6C19" w:rsidRDefault="00920FA3" w:rsidP="006667B9">
      <w:pPr>
        <w:rPr>
          <w:rFonts w:ascii="Times New Roman" w:hAnsi="Times New Roman" w:cs="Times New Roman"/>
          <w:i/>
          <w:sz w:val="24"/>
          <w:szCs w:val="24"/>
        </w:rPr>
      </w:pPr>
    </w:p>
    <w:tbl>
      <w:tblPr>
        <w:tblW w:w="0" w:type="auto"/>
        <w:tblLook w:val="04A0" w:firstRow="1" w:lastRow="0" w:firstColumn="1" w:lastColumn="0" w:noHBand="0" w:noVBand="1"/>
      </w:tblPr>
      <w:tblGrid>
        <w:gridCol w:w="1912"/>
        <w:gridCol w:w="1884"/>
        <w:gridCol w:w="1904"/>
        <w:gridCol w:w="1925"/>
        <w:gridCol w:w="1735"/>
      </w:tblGrid>
      <w:tr w:rsidR="006667B9" w:rsidRPr="00EC6C19" w14:paraId="1BA5CD08" w14:textId="77777777" w:rsidTr="006667B9">
        <w:tc>
          <w:tcPr>
            <w:tcW w:w="9576" w:type="dxa"/>
            <w:gridSpan w:val="5"/>
            <w:tcBorders>
              <w:bottom w:val="nil"/>
            </w:tcBorders>
            <w:shd w:val="clear" w:color="auto" w:fill="F2F2F2" w:themeFill="background1" w:themeFillShade="F2"/>
          </w:tcPr>
          <w:p w14:paraId="2DD51124"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HYPERAEMIC FLOW</w:t>
            </w:r>
          </w:p>
          <w:p w14:paraId="61FF567C" w14:textId="77777777" w:rsidR="006667B9" w:rsidRPr="00EC6C19" w:rsidRDefault="006667B9" w:rsidP="006667B9">
            <w:pPr>
              <w:jc w:val="center"/>
              <w:rPr>
                <w:rFonts w:ascii="Times New Roman" w:hAnsi="Times New Roman" w:cs="Times New Roman"/>
                <w:b/>
                <w:sz w:val="24"/>
                <w:szCs w:val="24"/>
              </w:rPr>
            </w:pPr>
          </w:p>
        </w:tc>
      </w:tr>
      <w:tr w:rsidR="006667B9" w:rsidRPr="00EC6C19" w14:paraId="54A6310A" w14:textId="77777777" w:rsidTr="006667B9">
        <w:tc>
          <w:tcPr>
            <w:tcW w:w="1940" w:type="dxa"/>
            <w:tcBorders>
              <w:top w:val="nil"/>
              <w:bottom w:val="single" w:sz="18" w:space="0" w:color="000000" w:themeColor="text1"/>
            </w:tcBorders>
            <w:shd w:val="clear" w:color="auto" w:fill="F2F2F2" w:themeFill="background1" w:themeFillShade="F2"/>
          </w:tcPr>
          <w:p w14:paraId="42B77AA8"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Vessel (n)</w:t>
            </w:r>
          </w:p>
          <w:p w14:paraId="13E95534" w14:textId="77777777" w:rsidR="006667B9" w:rsidRPr="00EC6C19" w:rsidRDefault="006667B9" w:rsidP="006667B9">
            <w:pPr>
              <w:jc w:val="center"/>
              <w:rPr>
                <w:rFonts w:ascii="Times New Roman" w:hAnsi="Times New Roman" w:cs="Times New Roman"/>
                <w:sz w:val="24"/>
                <w:szCs w:val="24"/>
              </w:rPr>
            </w:pPr>
          </w:p>
        </w:tc>
        <w:tc>
          <w:tcPr>
            <w:tcW w:w="1929" w:type="dxa"/>
            <w:tcBorders>
              <w:top w:val="nil"/>
              <w:bottom w:val="single" w:sz="18" w:space="0" w:color="000000" w:themeColor="text1"/>
            </w:tcBorders>
            <w:shd w:val="clear" w:color="auto" w:fill="F2F2F2" w:themeFill="background1" w:themeFillShade="F2"/>
          </w:tcPr>
          <w:p w14:paraId="79765B04" w14:textId="053B8D80"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Prone Velocity Mean (</w:t>
            </w:r>
            <w:r w:rsidR="00D97E85">
              <w:rPr>
                <w:rFonts w:ascii="Times New Roman" w:hAnsi="Times New Roman" w:cs="Times New Roman"/>
                <w:sz w:val="24"/>
                <w:szCs w:val="24"/>
              </w:rPr>
              <w:t>±</w:t>
            </w:r>
            <w:r w:rsidRPr="00EC6C19">
              <w:rPr>
                <w:rFonts w:ascii="Times New Roman" w:hAnsi="Times New Roman" w:cs="Times New Roman"/>
                <w:b/>
                <w:sz w:val="24"/>
                <w:szCs w:val="24"/>
              </w:rPr>
              <w:t>SD) - cm/s</w:t>
            </w:r>
          </w:p>
        </w:tc>
        <w:tc>
          <w:tcPr>
            <w:tcW w:w="1950" w:type="dxa"/>
            <w:tcBorders>
              <w:top w:val="nil"/>
              <w:bottom w:val="single" w:sz="18" w:space="0" w:color="000000" w:themeColor="text1"/>
            </w:tcBorders>
            <w:shd w:val="clear" w:color="auto" w:fill="F2F2F2" w:themeFill="background1" w:themeFillShade="F2"/>
          </w:tcPr>
          <w:p w14:paraId="4C8EB252" w14:textId="79C3F08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Supine Velocity Mean (</w:t>
            </w:r>
            <w:r w:rsidR="00D97E85">
              <w:rPr>
                <w:rFonts w:ascii="Times New Roman" w:hAnsi="Times New Roman" w:cs="Times New Roman"/>
                <w:sz w:val="24"/>
                <w:szCs w:val="24"/>
              </w:rPr>
              <w:t>±</w:t>
            </w:r>
            <w:r w:rsidRPr="00EC6C19">
              <w:rPr>
                <w:rFonts w:ascii="Times New Roman" w:hAnsi="Times New Roman" w:cs="Times New Roman"/>
                <w:b/>
                <w:sz w:val="24"/>
                <w:szCs w:val="24"/>
              </w:rPr>
              <w:t xml:space="preserve"> SD) - cm/s</w:t>
            </w:r>
          </w:p>
        </w:tc>
        <w:tc>
          <w:tcPr>
            <w:tcW w:w="1972" w:type="dxa"/>
            <w:tcBorders>
              <w:top w:val="nil"/>
              <w:bottom w:val="single" w:sz="18" w:space="0" w:color="000000" w:themeColor="text1"/>
            </w:tcBorders>
            <w:shd w:val="clear" w:color="auto" w:fill="F2F2F2" w:themeFill="background1" w:themeFillShade="F2"/>
          </w:tcPr>
          <w:p w14:paraId="195BD606" w14:textId="744953B3"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Delta Change Velocity Mean (</w:t>
            </w:r>
            <w:r w:rsidR="00D97E85">
              <w:rPr>
                <w:rFonts w:ascii="Times New Roman" w:hAnsi="Times New Roman" w:cs="Times New Roman"/>
                <w:sz w:val="24"/>
                <w:szCs w:val="24"/>
              </w:rPr>
              <w:t>±</w:t>
            </w:r>
            <w:r w:rsidRPr="00EC6C19">
              <w:rPr>
                <w:rFonts w:ascii="Times New Roman" w:hAnsi="Times New Roman" w:cs="Times New Roman"/>
                <w:b/>
                <w:sz w:val="24"/>
                <w:szCs w:val="24"/>
              </w:rPr>
              <w:t>SD) - cm/s</w:t>
            </w:r>
          </w:p>
        </w:tc>
        <w:tc>
          <w:tcPr>
            <w:tcW w:w="1785" w:type="dxa"/>
            <w:tcBorders>
              <w:top w:val="nil"/>
              <w:bottom w:val="single" w:sz="18" w:space="0" w:color="000000" w:themeColor="text1"/>
            </w:tcBorders>
            <w:shd w:val="clear" w:color="auto" w:fill="F2F2F2" w:themeFill="background1" w:themeFillShade="F2"/>
          </w:tcPr>
          <w:p w14:paraId="732E5CAC"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P Value</w:t>
            </w:r>
          </w:p>
        </w:tc>
      </w:tr>
      <w:tr w:rsidR="006667B9" w:rsidRPr="00EC6C19" w14:paraId="286501FD" w14:textId="77777777" w:rsidTr="006667B9">
        <w:tc>
          <w:tcPr>
            <w:tcW w:w="1940" w:type="dxa"/>
            <w:tcBorders>
              <w:top w:val="single" w:sz="18" w:space="0" w:color="000000" w:themeColor="text1"/>
            </w:tcBorders>
            <w:shd w:val="clear" w:color="auto" w:fill="FFFFFF" w:themeFill="background1"/>
          </w:tcPr>
          <w:p w14:paraId="06B41E89"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LAD (10)</w:t>
            </w:r>
          </w:p>
          <w:p w14:paraId="47040F56" w14:textId="77777777" w:rsidR="006667B9" w:rsidRPr="00EC6C19" w:rsidRDefault="006667B9" w:rsidP="006667B9">
            <w:pPr>
              <w:jc w:val="center"/>
              <w:rPr>
                <w:rFonts w:ascii="Times New Roman" w:hAnsi="Times New Roman" w:cs="Times New Roman"/>
                <w:b/>
                <w:sz w:val="24"/>
                <w:szCs w:val="24"/>
              </w:rPr>
            </w:pPr>
          </w:p>
        </w:tc>
        <w:tc>
          <w:tcPr>
            <w:tcW w:w="1929" w:type="dxa"/>
            <w:tcBorders>
              <w:top w:val="single" w:sz="18" w:space="0" w:color="000000" w:themeColor="text1"/>
            </w:tcBorders>
            <w:shd w:val="clear" w:color="auto" w:fill="FFFFFF" w:themeFill="background1"/>
          </w:tcPr>
          <w:p w14:paraId="01CD3E79"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30.6 (9.7)</w:t>
            </w:r>
          </w:p>
        </w:tc>
        <w:tc>
          <w:tcPr>
            <w:tcW w:w="1950" w:type="dxa"/>
            <w:tcBorders>
              <w:top w:val="single" w:sz="18" w:space="0" w:color="000000" w:themeColor="text1"/>
            </w:tcBorders>
            <w:shd w:val="clear" w:color="auto" w:fill="FFFFFF" w:themeFill="background1"/>
          </w:tcPr>
          <w:p w14:paraId="39E24E79"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30.4 (14.1)</w:t>
            </w:r>
          </w:p>
        </w:tc>
        <w:tc>
          <w:tcPr>
            <w:tcW w:w="1972" w:type="dxa"/>
            <w:tcBorders>
              <w:top w:val="single" w:sz="18" w:space="0" w:color="000000" w:themeColor="text1"/>
            </w:tcBorders>
            <w:shd w:val="clear" w:color="auto" w:fill="FFFFFF" w:themeFill="background1"/>
          </w:tcPr>
          <w:p w14:paraId="39E9395F"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0.2 (12.1)</w:t>
            </w:r>
          </w:p>
        </w:tc>
        <w:tc>
          <w:tcPr>
            <w:tcW w:w="1785" w:type="dxa"/>
            <w:tcBorders>
              <w:top w:val="single" w:sz="18" w:space="0" w:color="000000" w:themeColor="text1"/>
            </w:tcBorders>
            <w:shd w:val="clear" w:color="auto" w:fill="FFFFFF" w:themeFill="background1"/>
          </w:tcPr>
          <w:p w14:paraId="434AD1F2"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0.96</w:t>
            </w:r>
          </w:p>
        </w:tc>
      </w:tr>
      <w:tr w:rsidR="006667B9" w:rsidRPr="00EC6C19" w14:paraId="306E6A04" w14:textId="77777777" w:rsidTr="006667B9">
        <w:tc>
          <w:tcPr>
            <w:tcW w:w="1940" w:type="dxa"/>
            <w:shd w:val="clear" w:color="auto" w:fill="FFFFFF" w:themeFill="background1"/>
          </w:tcPr>
          <w:p w14:paraId="460A0EEB"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Circumflex (7)</w:t>
            </w:r>
          </w:p>
          <w:p w14:paraId="0AEB1634" w14:textId="77777777" w:rsidR="006667B9" w:rsidRPr="00EC6C19" w:rsidRDefault="006667B9" w:rsidP="006667B9">
            <w:pPr>
              <w:jc w:val="center"/>
              <w:rPr>
                <w:rFonts w:ascii="Times New Roman" w:hAnsi="Times New Roman" w:cs="Times New Roman"/>
                <w:b/>
                <w:sz w:val="24"/>
                <w:szCs w:val="24"/>
              </w:rPr>
            </w:pPr>
          </w:p>
        </w:tc>
        <w:tc>
          <w:tcPr>
            <w:tcW w:w="1929" w:type="dxa"/>
            <w:shd w:val="clear" w:color="auto" w:fill="FFFFFF" w:themeFill="background1"/>
          </w:tcPr>
          <w:p w14:paraId="77BF91A5"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31.5 (7.3)</w:t>
            </w:r>
          </w:p>
        </w:tc>
        <w:tc>
          <w:tcPr>
            <w:tcW w:w="1950" w:type="dxa"/>
            <w:shd w:val="clear" w:color="auto" w:fill="FFFFFF" w:themeFill="background1"/>
          </w:tcPr>
          <w:p w14:paraId="0B434F18"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33.5 (11.4)</w:t>
            </w:r>
          </w:p>
        </w:tc>
        <w:tc>
          <w:tcPr>
            <w:tcW w:w="1972" w:type="dxa"/>
            <w:shd w:val="clear" w:color="auto" w:fill="FFFFFF" w:themeFill="background1"/>
          </w:tcPr>
          <w:p w14:paraId="303E11C7"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-2 (10.9)</w:t>
            </w:r>
          </w:p>
        </w:tc>
        <w:tc>
          <w:tcPr>
            <w:tcW w:w="1785" w:type="dxa"/>
            <w:shd w:val="clear" w:color="auto" w:fill="FFFFFF" w:themeFill="background1"/>
          </w:tcPr>
          <w:p w14:paraId="583CD2C3"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0.64</w:t>
            </w:r>
          </w:p>
        </w:tc>
      </w:tr>
      <w:tr w:rsidR="006667B9" w:rsidRPr="00EC6C19" w14:paraId="3CBBA605" w14:textId="77777777" w:rsidTr="006667B9">
        <w:tc>
          <w:tcPr>
            <w:tcW w:w="1940" w:type="dxa"/>
            <w:shd w:val="clear" w:color="auto" w:fill="FFFFFF" w:themeFill="background1"/>
          </w:tcPr>
          <w:p w14:paraId="16E5F9DE"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RCA -PDA(2)</w:t>
            </w:r>
          </w:p>
          <w:p w14:paraId="0FAF6808" w14:textId="77777777" w:rsidR="006667B9" w:rsidRPr="00EC6C19" w:rsidRDefault="006667B9" w:rsidP="006667B9">
            <w:pPr>
              <w:jc w:val="center"/>
              <w:rPr>
                <w:rFonts w:ascii="Times New Roman" w:hAnsi="Times New Roman" w:cs="Times New Roman"/>
                <w:b/>
                <w:sz w:val="24"/>
                <w:szCs w:val="24"/>
              </w:rPr>
            </w:pPr>
          </w:p>
        </w:tc>
        <w:tc>
          <w:tcPr>
            <w:tcW w:w="1929" w:type="dxa"/>
            <w:shd w:val="clear" w:color="auto" w:fill="FFFFFF" w:themeFill="background1"/>
          </w:tcPr>
          <w:p w14:paraId="5736BF17"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30.0 (4.3)</w:t>
            </w:r>
          </w:p>
        </w:tc>
        <w:tc>
          <w:tcPr>
            <w:tcW w:w="1950" w:type="dxa"/>
            <w:shd w:val="clear" w:color="auto" w:fill="FFFFFF" w:themeFill="background1"/>
          </w:tcPr>
          <w:p w14:paraId="6A4DBA6E"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20.9 (5.0)</w:t>
            </w:r>
          </w:p>
        </w:tc>
        <w:tc>
          <w:tcPr>
            <w:tcW w:w="1972" w:type="dxa"/>
            <w:shd w:val="clear" w:color="auto" w:fill="FFFFFF" w:themeFill="background1"/>
          </w:tcPr>
          <w:p w14:paraId="42F60F70"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0.1 (1.1)</w:t>
            </w:r>
          </w:p>
        </w:tc>
        <w:tc>
          <w:tcPr>
            <w:tcW w:w="1785" w:type="dxa"/>
            <w:vMerge w:val="restart"/>
            <w:shd w:val="clear" w:color="auto" w:fill="FFFFFF" w:themeFill="background1"/>
          </w:tcPr>
          <w:p w14:paraId="74BB10BA" w14:textId="77777777" w:rsidR="006667B9" w:rsidRPr="00EC6C19" w:rsidRDefault="006667B9" w:rsidP="006667B9">
            <w:pPr>
              <w:jc w:val="center"/>
              <w:rPr>
                <w:rFonts w:ascii="Times New Roman" w:hAnsi="Times New Roman" w:cs="Times New Roman"/>
                <w:sz w:val="24"/>
                <w:szCs w:val="24"/>
              </w:rPr>
            </w:pPr>
          </w:p>
          <w:p w14:paraId="477DB5FE"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0.84</w:t>
            </w:r>
          </w:p>
        </w:tc>
      </w:tr>
      <w:tr w:rsidR="006667B9" w:rsidRPr="00EC6C19" w14:paraId="02793B05" w14:textId="77777777" w:rsidTr="006667B9">
        <w:tc>
          <w:tcPr>
            <w:tcW w:w="1940" w:type="dxa"/>
            <w:shd w:val="clear" w:color="auto" w:fill="FFFFFF" w:themeFill="background1"/>
          </w:tcPr>
          <w:p w14:paraId="05DCD201"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RCA-PLV (4)</w:t>
            </w:r>
          </w:p>
          <w:p w14:paraId="03712F15" w14:textId="77777777" w:rsidR="006667B9" w:rsidRPr="00EC6C19" w:rsidRDefault="006667B9" w:rsidP="006667B9">
            <w:pPr>
              <w:jc w:val="center"/>
              <w:rPr>
                <w:rFonts w:ascii="Times New Roman" w:hAnsi="Times New Roman" w:cs="Times New Roman"/>
                <w:b/>
                <w:sz w:val="24"/>
                <w:szCs w:val="24"/>
              </w:rPr>
            </w:pPr>
          </w:p>
        </w:tc>
        <w:tc>
          <w:tcPr>
            <w:tcW w:w="1929" w:type="dxa"/>
            <w:shd w:val="clear" w:color="auto" w:fill="FFFFFF" w:themeFill="background1"/>
          </w:tcPr>
          <w:p w14:paraId="2827ED61"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18.9 (5.5)</w:t>
            </w:r>
          </w:p>
        </w:tc>
        <w:tc>
          <w:tcPr>
            <w:tcW w:w="1950" w:type="dxa"/>
            <w:shd w:val="clear" w:color="auto" w:fill="FFFFFF" w:themeFill="background1"/>
          </w:tcPr>
          <w:p w14:paraId="1ECA7749"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19.4 (3.7)</w:t>
            </w:r>
          </w:p>
        </w:tc>
        <w:tc>
          <w:tcPr>
            <w:tcW w:w="1972" w:type="dxa"/>
            <w:shd w:val="clear" w:color="auto" w:fill="FFFFFF" w:themeFill="background1"/>
          </w:tcPr>
          <w:p w14:paraId="584EE537"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0.5 (3.1)</w:t>
            </w:r>
          </w:p>
        </w:tc>
        <w:tc>
          <w:tcPr>
            <w:tcW w:w="1785" w:type="dxa"/>
            <w:vMerge/>
            <w:shd w:val="clear" w:color="auto" w:fill="FFFFFF" w:themeFill="background1"/>
          </w:tcPr>
          <w:p w14:paraId="65BC4393" w14:textId="77777777" w:rsidR="006667B9" w:rsidRPr="00EC6C19" w:rsidRDefault="006667B9" w:rsidP="006667B9">
            <w:pPr>
              <w:jc w:val="center"/>
              <w:rPr>
                <w:rFonts w:ascii="Times New Roman" w:hAnsi="Times New Roman" w:cs="Times New Roman"/>
                <w:sz w:val="24"/>
                <w:szCs w:val="24"/>
              </w:rPr>
            </w:pPr>
          </w:p>
        </w:tc>
      </w:tr>
      <w:tr w:rsidR="006667B9" w:rsidRPr="00EC6C19" w14:paraId="5604084C" w14:textId="77777777" w:rsidTr="006667B9">
        <w:tc>
          <w:tcPr>
            <w:tcW w:w="1940" w:type="dxa"/>
            <w:shd w:val="clear" w:color="auto" w:fill="FFFFFF" w:themeFill="background1"/>
          </w:tcPr>
          <w:p w14:paraId="7FD9CF68" w14:textId="77777777" w:rsidR="006667B9" w:rsidRPr="00EC6C19" w:rsidRDefault="006667B9" w:rsidP="006667B9">
            <w:pPr>
              <w:jc w:val="center"/>
              <w:rPr>
                <w:rFonts w:ascii="Times New Roman" w:hAnsi="Times New Roman" w:cs="Times New Roman"/>
                <w:b/>
                <w:sz w:val="24"/>
                <w:szCs w:val="24"/>
              </w:rPr>
            </w:pPr>
            <w:r w:rsidRPr="00EC6C19">
              <w:rPr>
                <w:rFonts w:ascii="Times New Roman" w:hAnsi="Times New Roman" w:cs="Times New Roman"/>
                <w:b/>
                <w:sz w:val="24"/>
                <w:szCs w:val="24"/>
              </w:rPr>
              <w:t>All (23)</w:t>
            </w:r>
          </w:p>
          <w:p w14:paraId="61F6C982" w14:textId="77777777" w:rsidR="006667B9" w:rsidRPr="00EC6C19" w:rsidRDefault="006667B9" w:rsidP="006667B9">
            <w:pPr>
              <w:jc w:val="center"/>
              <w:rPr>
                <w:rFonts w:ascii="Times New Roman" w:hAnsi="Times New Roman" w:cs="Times New Roman"/>
                <w:b/>
                <w:sz w:val="24"/>
                <w:szCs w:val="24"/>
              </w:rPr>
            </w:pPr>
          </w:p>
        </w:tc>
        <w:tc>
          <w:tcPr>
            <w:tcW w:w="1929" w:type="dxa"/>
            <w:shd w:val="clear" w:color="auto" w:fill="FFFFFF" w:themeFill="background1"/>
          </w:tcPr>
          <w:p w14:paraId="539D7364"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w:t>
            </w:r>
          </w:p>
        </w:tc>
        <w:tc>
          <w:tcPr>
            <w:tcW w:w="1950" w:type="dxa"/>
            <w:shd w:val="clear" w:color="auto" w:fill="FFFFFF" w:themeFill="background1"/>
          </w:tcPr>
          <w:p w14:paraId="5A60A422"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w:t>
            </w:r>
          </w:p>
        </w:tc>
        <w:tc>
          <w:tcPr>
            <w:tcW w:w="1972" w:type="dxa"/>
            <w:shd w:val="clear" w:color="auto" w:fill="FFFFFF" w:themeFill="background1"/>
          </w:tcPr>
          <w:p w14:paraId="4885A044"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-0.9</w:t>
            </w:r>
          </w:p>
        </w:tc>
        <w:tc>
          <w:tcPr>
            <w:tcW w:w="1785" w:type="dxa"/>
            <w:shd w:val="clear" w:color="auto" w:fill="FFFFFF" w:themeFill="background1"/>
          </w:tcPr>
          <w:p w14:paraId="49622A78" w14:textId="77777777" w:rsidR="006667B9" w:rsidRPr="00EC6C19" w:rsidRDefault="006667B9" w:rsidP="006667B9">
            <w:pPr>
              <w:jc w:val="center"/>
              <w:rPr>
                <w:rFonts w:ascii="Times New Roman" w:hAnsi="Times New Roman" w:cs="Times New Roman"/>
                <w:sz w:val="24"/>
                <w:szCs w:val="24"/>
              </w:rPr>
            </w:pPr>
            <w:r w:rsidRPr="00EC6C19">
              <w:rPr>
                <w:rFonts w:ascii="Times New Roman" w:hAnsi="Times New Roman" w:cs="Times New Roman"/>
                <w:sz w:val="24"/>
                <w:szCs w:val="24"/>
              </w:rPr>
              <w:t>0.85</w:t>
            </w:r>
          </w:p>
        </w:tc>
      </w:tr>
    </w:tbl>
    <w:p w14:paraId="73BF291E" w14:textId="77777777" w:rsidR="006667B9" w:rsidRPr="00EC6C19" w:rsidRDefault="006667B9" w:rsidP="006667B9">
      <w:pPr>
        <w:rPr>
          <w:rFonts w:ascii="Times New Roman" w:hAnsi="Times New Roman" w:cs="Times New Roman"/>
          <w:i/>
          <w:sz w:val="24"/>
          <w:szCs w:val="24"/>
        </w:rPr>
      </w:pPr>
    </w:p>
    <w:p w14:paraId="0799581E" w14:textId="77777777" w:rsidR="006667B9" w:rsidRPr="007C0B62" w:rsidRDefault="007C0B62" w:rsidP="007C0B62">
      <w:pPr>
        <w:pStyle w:val="Caption"/>
        <w:spacing w:line="360" w:lineRule="auto"/>
        <w:rPr>
          <w:rFonts w:ascii="Times New Roman" w:hAnsi="Times New Roman" w:cs="Times New Roman"/>
          <w:b w:val="0"/>
          <w:i/>
          <w:color w:val="auto"/>
          <w:sz w:val="24"/>
          <w:szCs w:val="24"/>
        </w:rPr>
      </w:pPr>
      <w:bookmarkStart w:id="193" w:name="_Toc44962609"/>
      <w:r w:rsidRPr="007C0B62">
        <w:rPr>
          <w:rFonts w:ascii="Times New Roman" w:hAnsi="Times New Roman" w:cs="Times New Roman"/>
          <w:b w:val="0"/>
          <w:i/>
          <w:color w:val="auto"/>
          <w:sz w:val="24"/>
          <w:szCs w:val="24"/>
        </w:rPr>
        <w:t xml:space="preserve">Table </w:t>
      </w:r>
      <w:r w:rsidR="00106A32" w:rsidRPr="007C0B62">
        <w:rPr>
          <w:rFonts w:ascii="Times New Roman" w:hAnsi="Times New Roman" w:cs="Times New Roman"/>
          <w:b w:val="0"/>
          <w:i/>
          <w:color w:val="auto"/>
          <w:sz w:val="24"/>
          <w:szCs w:val="24"/>
        </w:rPr>
        <w:fldChar w:fldCharType="begin"/>
      </w:r>
      <w:r w:rsidRPr="007C0B62">
        <w:rPr>
          <w:rFonts w:ascii="Times New Roman" w:hAnsi="Times New Roman" w:cs="Times New Roman"/>
          <w:b w:val="0"/>
          <w:i/>
          <w:color w:val="auto"/>
          <w:sz w:val="24"/>
          <w:szCs w:val="24"/>
        </w:rPr>
        <w:instrText xml:space="preserve"> SEQ Table \* ARABIC </w:instrText>
      </w:r>
      <w:r w:rsidR="00106A32" w:rsidRPr="007C0B6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33</w:t>
      </w:r>
      <w:r w:rsidR="00106A32" w:rsidRPr="007C0B62">
        <w:rPr>
          <w:rFonts w:ascii="Times New Roman" w:hAnsi="Times New Roman" w:cs="Times New Roman"/>
          <w:b w:val="0"/>
          <w:i/>
          <w:color w:val="auto"/>
          <w:sz w:val="24"/>
          <w:szCs w:val="24"/>
        </w:rPr>
        <w:fldChar w:fldCharType="end"/>
      </w:r>
      <w:r w:rsidRPr="007C0B62">
        <w:rPr>
          <w:rFonts w:ascii="Times New Roman" w:hAnsi="Times New Roman" w:cs="Times New Roman"/>
          <w:b w:val="0"/>
          <w:i/>
          <w:color w:val="auto"/>
          <w:sz w:val="24"/>
          <w:szCs w:val="24"/>
        </w:rPr>
        <w:t xml:space="preserve"> - Prone vs. Supine Hyperaemic Doppler Flow.</w:t>
      </w:r>
      <w:r w:rsidR="006667B9" w:rsidRPr="007C0B62">
        <w:rPr>
          <w:rFonts w:ascii="Times New Roman" w:hAnsi="Times New Roman" w:cs="Times New Roman"/>
          <w:b w:val="0"/>
          <w:i/>
          <w:color w:val="auto"/>
          <w:sz w:val="24"/>
          <w:szCs w:val="24"/>
        </w:rPr>
        <w:t xml:space="preserve"> As for resting flow, there were no statistical differences across any artery between both positions.</w:t>
      </w:r>
      <w:bookmarkEnd w:id="193"/>
    </w:p>
    <w:p w14:paraId="20D61FE3" w14:textId="77777777" w:rsidR="00F37451" w:rsidRDefault="00F37451" w:rsidP="00936B2D">
      <w:pPr>
        <w:spacing w:line="360" w:lineRule="auto"/>
        <w:rPr>
          <w:rFonts w:ascii="Times New Roman" w:hAnsi="Times New Roman" w:cs="Times New Roman"/>
          <w:sz w:val="24"/>
          <w:szCs w:val="24"/>
        </w:rPr>
      </w:pPr>
    </w:p>
    <w:p w14:paraId="519208A7" w14:textId="77777777" w:rsidR="00F37451" w:rsidRPr="00EC6C19" w:rsidRDefault="00F37451" w:rsidP="00936B2D">
      <w:pPr>
        <w:spacing w:line="360" w:lineRule="auto"/>
        <w:rPr>
          <w:rFonts w:ascii="Times New Roman" w:hAnsi="Times New Roman" w:cs="Times New Roman"/>
          <w:sz w:val="24"/>
          <w:szCs w:val="24"/>
        </w:rPr>
      </w:pPr>
    </w:p>
    <w:p w14:paraId="6A62C98E" w14:textId="15AB77F7" w:rsidR="006667B9" w:rsidRPr="00EC6C19" w:rsidRDefault="00AA7419" w:rsidP="006667B9">
      <w:pPr>
        <w:spacing w:line="360" w:lineRule="auto"/>
        <w:rPr>
          <w:rFonts w:ascii="Times New Roman" w:hAnsi="Times New Roman" w:cs="Times New Roman"/>
          <w:sz w:val="24"/>
          <w:szCs w:val="24"/>
        </w:rPr>
      </w:pPr>
      <w:r>
        <w:rPr>
          <w:rFonts w:ascii="Times New Roman" w:hAnsi="Times New Roman" w:cs="Times New Roman"/>
          <w:noProof/>
          <w:sz w:val="24"/>
          <w:szCs w:val="24"/>
          <w:lang w:eastAsia="en-GB"/>
        </w:rPr>
        <mc:AlternateContent>
          <mc:Choice Requires="wps">
            <w:drawing>
              <wp:anchor distT="0" distB="0" distL="114300" distR="114300" simplePos="0" relativeHeight="251684864" behindDoc="0" locked="0" layoutInCell="1" allowOverlap="1" wp14:anchorId="6BAAADEE" wp14:editId="67DAC8BA">
                <wp:simplePos x="0" y="0"/>
                <wp:positionH relativeFrom="column">
                  <wp:posOffset>4505325</wp:posOffset>
                </wp:positionH>
                <wp:positionV relativeFrom="paragraph">
                  <wp:posOffset>590550</wp:posOffset>
                </wp:positionV>
                <wp:extent cx="685800" cy="238125"/>
                <wp:effectExtent l="0" t="0" r="0" b="0"/>
                <wp:wrapNone/>
                <wp:docPr id="87" name="Text Box 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47DBAB" w14:textId="77777777" w:rsidR="00D35073" w:rsidRPr="00F37451" w:rsidRDefault="00D35073">
                            <w:pPr>
                              <w:rPr>
                                <w:rFonts w:ascii="Times New Roman" w:hAnsi="Times New Roman" w:cs="Times New Roman"/>
                              </w:rPr>
                            </w:pPr>
                            <w:r w:rsidRPr="00F37451">
                              <w:rPr>
                                <w:rFonts w:ascii="Times New Roman" w:hAnsi="Times New Roman" w:cs="Times New Roman"/>
                              </w:rPr>
                              <w:t>p = 0.85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AAADEE" id="Text Box 48" o:spid="_x0000_s1047" type="#_x0000_t202" alt="&quot;&quot;" style="position:absolute;margin-left:354.75pt;margin-top:46.5pt;width:54pt;height:18.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" stroked="f">
                <v:textbox>
                  <w:txbxContent>
                    <w:p w14:paraId="7B47DBAB" w14:textId="77777777" w:rsidR="00D35073" w:rsidRPr="00F37451" w:rsidRDefault="00D35073">
                      <w:pPr>
                        <w:rPr>
                          <w:rFonts w:ascii="Times New Roman" w:hAnsi="Times New Roman" w:cs="Times New Roman"/>
                        </w:rPr>
                      </w:pPr>
                      <w:r w:rsidRPr="00F37451">
                        <w:rPr>
                          <w:rFonts w:ascii="Times New Roman" w:hAnsi="Times New Roman" w:cs="Times New Roman"/>
                        </w:rPr>
                        <w:t>p = 0.85</w:t>
                      </w:r>
                    </w:p>
                  </w:txbxContent>
                </v:textbox>
              </v:shape>
            </w:pict>
          </mc:Fallback>
        </mc:AlternateContent>
      </w:r>
      <w:r>
        <w:rPr>
          <w:rFonts w:ascii="Times New Roman" w:hAnsi="Times New Roman" w:cs="Times New Roman"/>
          <w:noProof/>
          <w:sz w:val="24"/>
          <w:szCs w:val="24"/>
          <w:lang w:eastAsia="en-GB"/>
        </w:rPr>
        <mc:AlternateContent>
          <mc:Choice Requires="wps">
            <w:drawing>
              <wp:anchor distT="0" distB="0" distL="114300" distR="114300" simplePos="0" relativeHeight="251683840" behindDoc="0" locked="0" layoutInCell="1" allowOverlap="1" wp14:anchorId="0DDF720F" wp14:editId="4F537663">
                <wp:simplePos x="0" y="0"/>
                <wp:positionH relativeFrom="column">
                  <wp:posOffset>1341755</wp:posOffset>
                </wp:positionH>
                <wp:positionV relativeFrom="paragraph">
                  <wp:posOffset>1657350</wp:posOffset>
                </wp:positionV>
                <wp:extent cx="669290" cy="347345"/>
                <wp:effectExtent l="0" t="0" r="0" b="0"/>
                <wp:wrapNone/>
                <wp:docPr id="86" name="Text Box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290" cy="347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62A4A8" w14:textId="77777777" w:rsidR="00D35073" w:rsidRPr="00F37451" w:rsidRDefault="00D35073">
                            <w:pPr>
                              <w:rPr>
                                <w:rFonts w:ascii="Times New Roman" w:hAnsi="Times New Roman" w:cs="Times New Roman"/>
                              </w:rPr>
                            </w:pPr>
                            <w:r w:rsidRPr="00F37451">
                              <w:rPr>
                                <w:rFonts w:ascii="Times New Roman" w:hAnsi="Times New Roman" w:cs="Times New Roman"/>
                              </w:rPr>
                              <w:t>p = 0.31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F720F" id="Text Box 47" o:spid="_x0000_s1048" type="#_x0000_t202" alt="&quot;&quot;" style="position:absolute;margin-left:105.65pt;margin-top:130.5pt;width:52.7pt;height:27.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" stroked="f">
                <v:textbox>
                  <w:txbxContent>
                    <w:p w14:paraId="7262A4A8" w14:textId="77777777" w:rsidR="00D35073" w:rsidRPr="00F37451" w:rsidRDefault="00D35073">
                      <w:pPr>
                        <w:rPr>
                          <w:rFonts w:ascii="Times New Roman" w:hAnsi="Times New Roman" w:cs="Times New Roman"/>
                        </w:rPr>
                      </w:pPr>
                      <w:r w:rsidRPr="00F37451">
                        <w:rPr>
                          <w:rFonts w:ascii="Times New Roman" w:hAnsi="Times New Roman" w:cs="Times New Roman"/>
                        </w:rPr>
                        <w:t>p = 0.31</w:t>
                      </w:r>
                    </w:p>
                  </w:txbxContent>
                </v:textbox>
              </v:shape>
            </w:pict>
          </mc:Fallback>
        </mc:AlternateContent>
      </w:r>
      <w:r w:rsidR="006667B9" w:rsidRPr="00EC6C19">
        <w:rPr>
          <w:rFonts w:ascii="Times New Roman" w:hAnsi="Times New Roman" w:cs="Times New Roman"/>
          <w:noProof/>
          <w:sz w:val="24"/>
          <w:szCs w:val="24"/>
          <w:lang w:eastAsia="en-GB"/>
        </w:rPr>
        <w:drawing>
          <wp:inline distT="0" distB="0" distL="0" distR="0" wp14:anchorId="502760D2" wp14:editId="11BA3B0C">
            <wp:extent cx="5943600" cy="5139690"/>
            <wp:effectExtent l="0" t="0" r="0" b="0"/>
            <wp:docPr id="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ADB3316" w14:textId="77777777" w:rsidR="006667B9" w:rsidRPr="002551CE" w:rsidRDefault="002551CE" w:rsidP="002551CE">
      <w:pPr>
        <w:pStyle w:val="Caption"/>
        <w:spacing w:line="360" w:lineRule="auto"/>
        <w:rPr>
          <w:rFonts w:ascii="Times New Roman" w:hAnsi="Times New Roman" w:cs="Times New Roman"/>
          <w:b w:val="0"/>
          <w:i/>
          <w:color w:val="auto"/>
          <w:sz w:val="24"/>
          <w:szCs w:val="24"/>
        </w:rPr>
      </w:pPr>
      <w:bookmarkStart w:id="194" w:name="_Toc44684935"/>
      <w:r w:rsidRPr="002551CE">
        <w:rPr>
          <w:rFonts w:ascii="Times New Roman" w:hAnsi="Times New Roman" w:cs="Times New Roman"/>
          <w:b w:val="0"/>
          <w:i/>
          <w:color w:val="auto"/>
          <w:sz w:val="24"/>
          <w:szCs w:val="24"/>
        </w:rPr>
        <w:t xml:space="preserve">Figure </w:t>
      </w:r>
      <w:r w:rsidR="00106A32" w:rsidRPr="002551CE">
        <w:rPr>
          <w:rFonts w:ascii="Times New Roman" w:hAnsi="Times New Roman" w:cs="Times New Roman"/>
          <w:b w:val="0"/>
          <w:i/>
          <w:color w:val="auto"/>
          <w:sz w:val="24"/>
          <w:szCs w:val="24"/>
        </w:rPr>
        <w:fldChar w:fldCharType="begin"/>
      </w:r>
      <w:r w:rsidRPr="002551CE">
        <w:rPr>
          <w:rFonts w:ascii="Times New Roman" w:hAnsi="Times New Roman" w:cs="Times New Roman"/>
          <w:b w:val="0"/>
          <w:i/>
          <w:color w:val="auto"/>
          <w:sz w:val="24"/>
          <w:szCs w:val="24"/>
        </w:rPr>
        <w:instrText xml:space="preserve"> SEQ Figure \* ARABIC </w:instrText>
      </w:r>
      <w:r w:rsidR="00106A32" w:rsidRPr="002551CE">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46</w:t>
      </w:r>
      <w:r w:rsidR="00106A32" w:rsidRPr="002551CE">
        <w:rPr>
          <w:rFonts w:ascii="Times New Roman" w:hAnsi="Times New Roman" w:cs="Times New Roman"/>
          <w:b w:val="0"/>
          <w:i/>
          <w:color w:val="auto"/>
          <w:sz w:val="24"/>
          <w:szCs w:val="24"/>
        </w:rPr>
        <w:fldChar w:fldCharType="end"/>
      </w:r>
      <w:r w:rsidRPr="002551CE">
        <w:rPr>
          <w:rFonts w:ascii="Times New Roman" w:hAnsi="Times New Roman" w:cs="Times New Roman"/>
          <w:b w:val="0"/>
          <w:i/>
          <w:color w:val="auto"/>
          <w:sz w:val="24"/>
          <w:szCs w:val="24"/>
        </w:rPr>
        <w:t xml:space="preserve"> -Doppler Flow Data - </w:t>
      </w:r>
      <w:r w:rsidR="006667B9" w:rsidRPr="002551CE">
        <w:rPr>
          <w:rFonts w:ascii="Times New Roman" w:hAnsi="Times New Roman" w:cs="Times New Roman"/>
          <w:b w:val="0"/>
          <w:i/>
          <w:color w:val="auto"/>
          <w:sz w:val="24"/>
          <w:szCs w:val="24"/>
        </w:rPr>
        <w:t xml:space="preserve"> superior versus inferior artery position, at rest and hyperaemia. There was no statistical difference between superior and inferior artery position, at rest or hyperaemia. Red lines and data labels represent </w:t>
      </w:r>
      <w:r w:rsidR="00E80F29" w:rsidRPr="002551CE">
        <w:rPr>
          <w:rFonts w:ascii="Times New Roman" w:hAnsi="Times New Roman" w:cs="Times New Roman"/>
          <w:b w:val="0"/>
          <w:i/>
          <w:color w:val="auto"/>
          <w:sz w:val="24"/>
          <w:szCs w:val="24"/>
        </w:rPr>
        <w:t>mean</w:t>
      </w:r>
      <w:r w:rsidR="006667B9" w:rsidRPr="002551CE">
        <w:rPr>
          <w:rFonts w:ascii="Times New Roman" w:hAnsi="Times New Roman" w:cs="Times New Roman"/>
          <w:b w:val="0"/>
          <w:i/>
          <w:color w:val="auto"/>
          <w:sz w:val="24"/>
          <w:szCs w:val="24"/>
        </w:rPr>
        <w:t xml:space="preserve"> values.</w:t>
      </w:r>
      <w:bookmarkEnd w:id="194"/>
    </w:p>
    <w:p w14:paraId="7643BF69" w14:textId="77777777" w:rsidR="002825D6" w:rsidRPr="00EC6C19" w:rsidRDefault="002825D6" w:rsidP="006667B9">
      <w:pPr>
        <w:spacing w:line="360" w:lineRule="auto"/>
        <w:rPr>
          <w:rFonts w:ascii="Times New Roman" w:hAnsi="Times New Roman" w:cs="Times New Roman"/>
          <w:i/>
          <w:sz w:val="24"/>
          <w:szCs w:val="24"/>
        </w:rPr>
      </w:pPr>
    </w:p>
    <w:p w14:paraId="2013190E" w14:textId="77777777" w:rsidR="002825D6" w:rsidRPr="00D44E9D" w:rsidRDefault="002825D6" w:rsidP="006667B9">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Case by case data is shown </w:t>
      </w:r>
      <w:r w:rsidRPr="007C0B62">
        <w:rPr>
          <w:rFonts w:ascii="Times New Roman" w:hAnsi="Times New Roman" w:cs="Times New Roman"/>
          <w:sz w:val="24"/>
          <w:szCs w:val="24"/>
        </w:rPr>
        <w:t xml:space="preserve">in table </w:t>
      </w:r>
      <w:r w:rsidR="007C0B62" w:rsidRPr="007C0B62">
        <w:rPr>
          <w:rFonts w:ascii="Times New Roman" w:hAnsi="Times New Roman" w:cs="Times New Roman"/>
          <w:sz w:val="24"/>
          <w:szCs w:val="24"/>
        </w:rPr>
        <w:t>34</w:t>
      </w:r>
      <w:r w:rsidR="00D44E9D" w:rsidRPr="007C0B62">
        <w:rPr>
          <w:rFonts w:ascii="Times New Roman" w:hAnsi="Times New Roman" w:cs="Times New Roman"/>
          <w:sz w:val="24"/>
          <w:szCs w:val="24"/>
        </w:rPr>
        <w:t>. Breakdown</w:t>
      </w:r>
      <w:r w:rsidR="00D44E9D" w:rsidRPr="00D44E9D">
        <w:rPr>
          <w:rFonts w:ascii="Times New Roman" w:hAnsi="Times New Roman" w:cs="Times New Roman"/>
          <w:sz w:val="24"/>
          <w:szCs w:val="24"/>
        </w:rPr>
        <w:t xml:space="preserve"> per artery is shown in </w:t>
      </w:r>
      <w:r w:rsidRPr="00D44E9D">
        <w:rPr>
          <w:rFonts w:ascii="Times New Roman" w:hAnsi="Times New Roman" w:cs="Times New Roman"/>
          <w:sz w:val="24"/>
          <w:szCs w:val="24"/>
        </w:rPr>
        <w:t xml:space="preserve">figure </w:t>
      </w:r>
      <w:r w:rsidR="00D44E9D" w:rsidRPr="00D44E9D">
        <w:rPr>
          <w:rFonts w:ascii="Times New Roman" w:hAnsi="Times New Roman" w:cs="Times New Roman"/>
          <w:sz w:val="24"/>
          <w:szCs w:val="24"/>
        </w:rPr>
        <w:t>47</w:t>
      </w:r>
      <w:r w:rsidRPr="00D44E9D">
        <w:rPr>
          <w:rFonts w:ascii="Times New Roman" w:hAnsi="Times New Roman" w:cs="Times New Roman"/>
          <w:sz w:val="24"/>
          <w:szCs w:val="24"/>
        </w:rPr>
        <w:t>.</w:t>
      </w:r>
    </w:p>
    <w:p w14:paraId="17B4F5F2" w14:textId="77777777" w:rsidR="002825D6" w:rsidRDefault="002825D6" w:rsidP="006667B9">
      <w:pPr>
        <w:spacing w:line="360" w:lineRule="auto"/>
        <w:rPr>
          <w:rFonts w:ascii="Times New Roman" w:hAnsi="Times New Roman" w:cs="Times New Roman"/>
          <w:sz w:val="24"/>
          <w:szCs w:val="24"/>
        </w:rPr>
      </w:pPr>
    </w:p>
    <w:p w14:paraId="144BFFD0" w14:textId="77777777" w:rsidR="00B35A6A" w:rsidRPr="00EC6C19" w:rsidRDefault="00B35A6A" w:rsidP="006667B9">
      <w:pPr>
        <w:spacing w:line="360" w:lineRule="auto"/>
        <w:rPr>
          <w:rFonts w:ascii="Times New Roman" w:hAnsi="Times New Roman" w:cs="Times New Roman"/>
          <w:sz w:val="24"/>
          <w:szCs w:val="24"/>
        </w:rPr>
      </w:pPr>
    </w:p>
    <w:tbl>
      <w:tblPr>
        <w:tblW w:w="10284" w:type="dxa"/>
        <w:tblLayout w:type="fixed"/>
        <w:tblLook w:val="04A0" w:firstRow="1" w:lastRow="0" w:firstColumn="1" w:lastColumn="0" w:noHBand="0" w:noVBand="1"/>
      </w:tblPr>
      <w:tblGrid>
        <w:gridCol w:w="817"/>
        <w:gridCol w:w="1418"/>
        <w:gridCol w:w="1417"/>
        <w:gridCol w:w="1559"/>
        <w:gridCol w:w="1560"/>
        <w:gridCol w:w="141"/>
        <w:gridCol w:w="1701"/>
        <w:gridCol w:w="1671"/>
      </w:tblGrid>
      <w:tr w:rsidR="002825D6" w:rsidRPr="00EC6C19" w14:paraId="736F5AD4" w14:textId="77777777" w:rsidTr="002825D6">
        <w:trPr>
          <w:trHeight w:val="300"/>
        </w:trPr>
        <w:tc>
          <w:tcPr>
            <w:tcW w:w="817" w:type="dxa"/>
            <w:tcBorders>
              <w:bottom w:val="single" w:sz="18" w:space="0" w:color="000000" w:themeColor="text1"/>
            </w:tcBorders>
            <w:shd w:val="clear" w:color="auto" w:fill="F2F2F2" w:themeFill="background1" w:themeFillShade="F2"/>
          </w:tcPr>
          <w:p w14:paraId="42A17932"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Case</w:t>
            </w:r>
          </w:p>
        </w:tc>
        <w:tc>
          <w:tcPr>
            <w:tcW w:w="1418" w:type="dxa"/>
            <w:tcBorders>
              <w:bottom w:val="single" w:sz="18" w:space="0" w:color="000000" w:themeColor="text1"/>
            </w:tcBorders>
            <w:shd w:val="clear" w:color="auto" w:fill="F2F2F2" w:themeFill="background1" w:themeFillShade="F2"/>
            <w:noWrap/>
            <w:hideMark/>
          </w:tcPr>
          <w:p w14:paraId="47B35A9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Resting Prone Flow (cm/s)</w:t>
            </w:r>
          </w:p>
          <w:p w14:paraId="46A639A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tcBorders>
              <w:bottom w:val="single" w:sz="18" w:space="0" w:color="000000" w:themeColor="text1"/>
            </w:tcBorders>
            <w:shd w:val="clear" w:color="auto" w:fill="F2F2F2" w:themeFill="background1" w:themeFillShade="F2"/>
            <w:noWrap/>
            <w:hideMark/>
          </w:tcPr>
          <w:p w14:paraId="71FD9DD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Resting Supine Flow (cm/s)</w:t>
            </w:r>
          </w:p>
        </w:tc>
        <w:tc>
          <w:tcPr>
            <w:tcW w:w="1559" w:type="dxa"/>
            <w:tcBorders>
              <w:bottom w:val="single" w:sz="18" w:space="0" w:color="000000" w:themeColor="text1"/>
            </w:tcBorders>
            <w:shd w:val="clear" w:color="auto" w:fill="F2F2F2" w:themeFill="background1" w:themeFillShade="F2"/>
          </w:tcPr>
          <w:p w14:paraId="299E3952"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Delta Change (cm/s)</w:t>
            </w:r>
          </w:p>
        </w:tc>
        <w:tc>
          <w:tcPr>
            <w:tcW w:w="1701" w:type="dxa"/>
            <w:gridSpan w:val="2"/>
            <w:tcBorders>
              <w:bottom w:val="single" w:sz="18" w:space="0" w:color="000000" w:themeColor="text1"/>
            </w:tcBorders>
            <w:shd w:val="clear" w:color="auto" w:fill="F2F2F2" w:themeFill="background1" w:themeFillShade="F2"/>
          </w:tcPr>
          <w:p w14:paraId="3609D96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Hyperaemic Prone Flow (cm/s)</w:t>
            </w:r>
          </w:p>
        </w:tc>
        <w:tc>
          <w:tcPr>
            <w:tcW w:w="1701" w:type="dxa"/>
            <w:tcBorders>
              <w:bottom w:val="single" w:sz="18" w:space="0" w:color="000000" w:themeColor="text1"/>
            </w:tcBorders>
            <w:shd w:val="clear" w:color="auto" w:fill="F2F2F2" w:themeFill="background1" w:themeFillShade="F2"/>
          </w:tcPr>
          <w:p w14:paraId="32E528D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Hyperaemic Supine Flow</w:t>
            </w:r>
          </w:p>
          <w:p w14:paraId="1C5DA33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(cm/s)</w:t>
            </w:r>
          </w:p>
        </w:tc>
        <w:tc>
          <w:tcPr>
            <w:tcW w:w="1671" w:type="dxa"/>
            <w:tcBorders>
              <w:bottom w:val="single" w:sz="18" w:space="0" w:color="000000" w:themeColor="text1"/>
            </w:tcBorders>
            <w:shd w:val="clear" w:color="auto" w:fill="F2F2F2" w:themeFill="background1" w:themeFillShade="F2"/>
          </w:tcPr>
          <w:p w14:paraId="4F4A60C6"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Delta Change (cm/s)</w:t>
            </w:r>
          </w:p>
        </w:tc>
      </w:tr>
      <w:tr w:rsidR="002825D6" w:rsidRPr="00EC6C19" w14:paraId="3B12CA59" w14:textId="77777777" w:rsidTr="002825D6">
        <w:trPr>
          <w:trHeight w:val="300"/>
        </w:trPr>
        <w:tc>
          <w:tcPr>
            <w:tcW w:w="817" w:type="dxa"/>
            <w:tcBorders>
              <w:top w:val="single" w:sz="18" w:space="0" w:color="000000" w:themeColor="text1"/>
            </w:tcBorders>
            <w:shd w:val="clear" w:color="auto" w:fill="FFFFFF" w:themeFill="background1"/>
          </w:tcPr>
          <w:p w14:paraId="11FC5B1F"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w:t>
            </w:r>
          </w:p>
        </w:tc>
        <w:tc>
          <w:tcPr>
            <w:tcW w:w="1418" w:type="dxa"/>
            <w:tcBorders>
              <w:top w:val="single" w:sz="18" w:space="0" w:color="000000" w:themeColor="text1"/>
            </w:tcBorders>
            <w:shd w:val="clear" w:color="auto" w:fill="FFFFFF" w:themeFill="background1"/>
            <w:noWrap/>
            <w:hideMark/>
          </w:tcPr>
          <w:p w14:paraId="19408184"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7.0</w:t>
            </w:r>
          </w:p>
          <w:p w14:paraId="5AB562D8"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tcBorders>
              <w:top w:val="single" w:sz="18" w:space="0" w:color="000000" w:themeColor="text1"/>
            </w:tcBorders>
            <w:shd w:val="clear" w:color="auto" w:fill="FFFFFF" w:themeFill="background1"/>
            <w:noWrap/>
            <w:hideMark/>
          </w:tcPr>
          <w:p w14:paraId="7B9DD3A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9.0</w:t>
            </w:r>
          </w:p>
        </w:tc>
        <w:tc>
          <w:tcPr>
            <w:tcW w:w="1559" w:type="dxa"/>
            <w:tcBorders>
              <w:top w:val="single" w:sz="18" w:space="0" w:color="000000" w:themeColor="text1"/>
            </w:tcBorders>
            <w:shd w:val="clear" w:color="auto" w:fill="FFFFFF" w:themeFill="background1"/>
          </w:tcPr>
          <w:p w14:paraId="70CDB00A"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2.0</w:t>
            </w:r>
          </w:p>
        </w:tc>
        <w:tc>
          <w:tcPr>
            <w:tcW w:w="1560" w:type="dxa"/>
            <w:tcBorders>
              <w:top w:val="single" w:sz="18" w:space="0" w:color="000000" w:themeColor="text1"/>
            </w:tcBorders>
            <w:shd w:val="clear" w:color="auto" w:fill="FFFFFF" w:themeFill="background1"/>
          </w:tcPr>
          <w:p w14:paraId="1DE771E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46.7</w:t>
            </w:r>
          </w:p>
        </w:tc>
        <w:tc>
          <w:tcPr>
            <w:tcW w:w="1842" w:type="dxa"/>
            <w:gridSpan w:val="2"/>
            <w:tcBorders>
              <w:top w:val="single" w:sz="18" w:space="0" w:color="000000" w:themeColor="text1"/>
            </w:tcBorders>
            <w:shd w:val="clear" w:color="auto" w:fill="FFFFFF" w:themeFill="background1"/>
          </w:tcPr>
          <w:p w14:paraId="530AB2D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20.5</w:t>
            </w:r>
          </w:p>
        </w:tc>
        <w:tc>
          <w:tcPr>
            <w:tcW w:w="1671" w:type="dxa"/>
            <w:tcBorders>
              <w:top w:val="single" w:sz="18" w:space="0" w:color="000000" w:themeColor="text1"/>
            </w:tcBorders>
            <w:shd w:val="clear" w:color="auto" w:fill="FFFFFF" w:themeFill="background1"/>
          </w:tcPr>
          <w:p w14:paraId="5C7CCEB5"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-26.2</w:t>
            </w:r>
          </w:p>
        </w:tc>
      </w:tr>
      <w:tr w:rsidR="002825D6" w:rsidRPr="00EC6C19" w14:paraId="4D8236DD" w14:textId="77777777" w:rsidTr="002825D6">
        <w:trPr>
          <w:trHeight w:val="300"/>
        </w:trPr>
        <w:tc>
          <w:tcPr>
            <w:tcW w:w="817" w:type="dxa"/>
            <w:shd w:val="clear" w:color="auto" w:fill="FFFFFF" w:themeFill="background1"/>
          </w:tcPr>
          <w:p w14:paraId="5AE994F1"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2</w:t>
            </w:r>
          </w:p>
        </w:tc>
        <w:tc>
          <w:tcPr>
            <w:tcW w:w="1418" w:type="dxa"/>
            <w:shd w:val="clear" w:color="auto" w:fill="FFFFFF" w:themeFill="background1"/>
            <w:noWrap/>
            <w:hideMark/>
          </w:tcPr>
          <w:p w14:paraId="4E03CED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15.0</w:t>
            </w:r>
          </w:p>
          <w:p w14:paraId="03241B6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1B3B0DF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16.0</w:t>
            </w:r>
          </w:p>
        </w:tc>
        <w:tc>
          <w:tcPr>
            <w:tcW w:w="1559" w:type="dxa"/>
            <w:shd w:val="clear" w:color="auto" w:fill="FFFFFF" w:themeFill="background1"/>
          </w:tcPr>
          <w:p w14:paraId="43937946"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1.0</w:t>
            </w:r>
          </w:p>
        </w:tc>
        <w:tc>
          <w:tcPr>
            <w:tcW w:w="1560" w:type="dxa"/>
            <w:shd w:val="clear" w:color="auto" w:fill="FFFFFF" w:themeFill="background1"/>
          </w:tcPr>
          <w:p w14:paraId="0BA05A49"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39.0</w:t>
            </w:r>
          </w:p>
        </w:tc>
        <w:tc>
          <w:tcPr>
            <w:tcW w:w="1842" w:type="dxa"/>
            <w:gridSpan w:val="2"/>
            <w:shd w:val="clear" w:color="auto" w:fill="FFFFFF" w:themeFill="background1"/>
          </w:tcPr>
          <w:p w14:paraId="21B44C8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41.3</w:t>
            </w:r>
          </w:p>
        </w:tc>
        <w:tc>
          <w:tcPr>
            <w:tcW w:w="1671" w:type="dxa"/>
            <w:shd w:val="clear" w:color="auto" w:fill="FFFFFF" w:themeFill="background1"/>
          </w:tcPr>
          <w:p w14:paraId="1CE9B99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2.3</w:t>
            </w:r>
          </w:p>
        </w:tc>
      </w:tr>
      <w:tr w:rsidR="002825D6" w:rsidRPr="00EC6C19" w14:paraId="2BCDB83B" w14:textId="77777777" w:rsidTr="002825D6">
        <w:trPr>
          <w:trHeight w:val="300"/>
        </w:trPr>
        <w:tc>
          <w:tcPr>
            <w:tcW w:w="817" w:type="dxa"/>
            <w:shd w:val="clear" w:color="auto" w:fill="FFFFFF" w:themeFill="background1"/>
          </w:tcPr>
          <w:p w14:paraId="177FA809"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3</w:t>
            </w:r>
          </w:p>
        </w:tc>
        <w:tc>
          <w:tcPr>
            <w:tcW w:w="1418" w:type="dxa"/>
            <w:shd w:val="clear" w:color="auto" w:fill="FFFFFF" w:themeFill="background1"/>
            <w:noWrap/>
            <w:hideMark/>
          </w:tcPr>
          <w:p w14:paraId="175E1C64"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22.6</w:t>
            </w:r>
          </w:p>
          <w:p w14:paraId="1073E7D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49930AB0"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13.2</w:t>
            </w:r>
          </w:p>
        </w:tc>
        <w:tc>
          <w:tcPr>
            <w:tcW w:w="1559" w:type="dxa"/>
            <w:shd w:val="clear" w:color="auto" w:fill="FFFFFF" w:themeFill="background1"/>
          </w:tcPr>
          <w:p w14:paraId="290DD004"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-9.4</w:t>
            </w:r>
          </w:p>
        </w:tc>
        <w:tc>
          <w:tcPr>
            <w:tcW w:w="1560" w:type="dxa"/>
            <w:shd w:val="clear" w:color="auto" w:fill="FFFFFF" w:themeFill="background1"/>
          </w:tcPr>
          <w:p w14:paraId="11F1E746"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35.3</w:t>
            </w:r>
          </w:p>
        </w:tc>
        <w:tc>
          <w:tcPr>
            <w:tcW w:w="1842" w:type="dxa"/>
            <w:gridSpan w:val="2"/>
            <w:shd w:val="clear" w:color="auto" w:fill="FFFFFF" w:themeFill="background1"/>
          </w:tcPr>
          <w:p w14:paraId="0842164A"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35.8</w:t>
            </w:r>
          </w:p>
        </w:tc>
        <w:tc>
          <w:tcPr>
            <w:tcW w:w="1671" w:type="dxa"/>
            <w:shd w:val="clear" w:color="auto" w:fill="FFFFFF" w:themeFill="background1"/>
          </w:tcPr>
          <w:p w14:paraId="6A5DCEA6"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0.5</w:t>
            </w:r>
          </w:p>
        </w:tc>
      </w:tr>
      <w:tr w:rsidR="002825D6" w:rsidRPr="00EC6C19" w14:paraId="38FB7F44" w14:textId="77777777" w:rsidTr="002825D6">
        <w:trPr>
          <w:trHeight w:val="300"/>
        </w:trPr>
        <w:tc>
          <w:tcPr>
            <w:tcW w:w="817" w:type="dxa"/>
            <w:shd w:val="clear" w:color="auto" w:fill="FFFFFF" w:themeFill="background1"/>
          </w:tcPr>
          <w:p w14:paraId="0E2187ED"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4</w:t>
            </w:r>
          </w:p>
        </w:tc>
        <w:tc>
          <w:tcPr>
            <w:tcW w:w="1418" w:type="dxa"/>
            <w:shd w:val="clear" w:color="auto" w:fill="FFFFFF" w:themeFill="background1"/>
            <w:noWrap/>
            <w:hideMark/>
          </w:tcPr>
          <w:p w14:paraId="3768566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16.7</w:t>
            </w:r>
          </w:p>
          <w:p w14:paraId="38C890C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0167F652"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16.2</w:t>
            </w:r>
          </w:p>
        </w:tc>
        <w:tc>
          <w:tcPr>
            <w:tcW w:w="1559" w:type="dxa"/>
            <w:shd w:val="clear" w:color="auto" w:fill="FFFFFF" w:themeFill="background1"/>
          </w:tcPr>
          <w:p w14:paraId="0C616635"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-0.5</w:t>
            </w:r>
          </w:p>
        </w:tc>
        <w:tc>
          <w:tcPr>
            <w:tcW w:w="1560" w:type="dxa"/>
            <w:shd w:val="clear" w:color="auto" w:fill="FFFFFF" w:themeFill="background1"/>
          </w:tcPr>
          <w:p w14:paraId="0F9ABE7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29.7</w:t>
            </w:r>
          </w:p>
        </w:tc>
        <w:tc>
          <w:tcPr>
            <w:tcW w:w="1842" w:type="dxa"/>
            <w:gridSpan w:val="2"/>
            <w:shd w:val="clear" w:color="auto" w:fill="FFFFFF" w:themeFill="background1"/>
          </w:tcPr>
          <w:p w14:paraId="3E8AD8C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26.9</w:t>
            </w:r>
          </w:p>
        </w:tc>
        <w:tc>
          <w:tcPr>
            <w:tcW w:w="1671" w:type="dxa"/>
            <w:shd w:val="clear" w:color="auto" w:fill="FFFFFF" w:themeFill="background1"/>
          </w:tcPr>
          <w:p w14:paraId="6FAC1DA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-2.8</w:t>
            </w:r>
          </w:p>
        </w:tc>
      </w:tr>
      <w:tr w:rsidR="002825D6" w:rsidRPr="00EC6C19" w14:paraId="3BA59AF7" w14:textId="77777777" w:rsidTr="002825D6">
        <w:trPr>
          <w:trHeight w:val="300"/>
        </w:trPr>
        <w:tc>
          <w:tcPr>
            <w:tcW w:w="817" w:type="dxa"/>
            <w:shd w:val="clear" w:color="auto" w:fill="FFFFFF" w:themeFill="background1"/>
          </w:tcPr>
          <w:p w14:paraId="234E32A4"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5</w:t>
            </w:r>
          </w:p>
        </w:tc>
        <w:tc>
          <w:tcPr>
            <w:tcW w:w="1418" w:type="dxa"/>
            <w:shd w:val="clear" w:color="auto" w:fill="FFFFFF" w:themeFill="background1"/>
            <w:noWrap/>
            <w:hideMark/>
          </w:tcPr>
          <w:p w14:paraId="09F9766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16.2</w:t>
            </w:r>
          </w:p>
          <w:p w14:paraId="423F0E9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081F051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13.8</w:t>
            </w:r>
          </w:p>
        </w:tc>
        <w:tc>
          <w:tcPr>
            <w:tcW w:w="1559" w:type="dxa"/>
            <w:shd w:val="clear" w:color="auto" w:fill="FFFFFF" w:themeFill="background1"/>
          </w:tcPr>
          <w:p w14:paraId="29139F46"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-2.4</w:t>
            </w:r>
          </w:p>
        </w:tc>
        <w:tc>
          <w:tcPr>
            <w:tcW w:w="1560" w:type="dxa"/>
            <w:shd w:val="clear" w:color="auto" w:fill="FFFFFF" w:themeFill="background1"/>
          </w:tcPr>
          <w:p w14:paraId="70D1F85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24.8</w:t>
            </w:r>
          </w:p>
        </w:tc>
        <w:tc>
          <w:tcPr>
            <w:tcW w:w="1842" w:type="dxa"/>
            <w:gridSpan w:val="2"/>
            <w:shd w:val="clear" w:color="auto" w:fill="FFFFFF" w:themeFill="background1"/>
          </w:tcPr>
          <w:p w14:paraId="4230755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23.9</w:t>
            </w:r>
          </w:p>
        </w:tc>
        <w:tc>
          <w:tcPr>
            <w:tcW w:w="1671" w:type="dxa"/>
            <w:shd w:val="clear" w:color="auto" w:fill="FFFFFF" w:themeFill="background1"/>
          </w:tcPr>
          <w:p w14:paraId="5811BDA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-0.9</w:t>
            </w:r>
          </w:p>
        </w:tc>
      </w:tr>
      <w:tr w:rsidR="002825D6" w:rsidRPr="00EC6C19" w14:paraId="36BAC3ED" w14:textId="77777777" w:rsidTr="002825D6">
        <w:trPr>
          <w:trHeight w:val="300"/>
        </w:trPr>
        <w:tc>
          <w:tcPr>
            <w:tcW w:w="817" w:type="dxa"/>
            <w:shd w:val="clear" w:color="auto" w:fill="FFFFFF" w:themeFill="background1"/>
          </w:tcPr>
          <w:p w14:paraId="5B36D3C4"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6</w:t>
            </w:r>
          </w:p>
        </w:tc>
        <w:tc>
          <w:tcPr>
            <w:tcW w:w="1418" w:type="dxa"/>
            <w:shd w:val="clear" w:color="auto" w:fill="FFFFFF" w:themeFill="background1"/>
            <w:noWrap/>
            <w:hideMark/>
          </w:tcPr>
          <w:p w14:paraId="6166DE78"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18.3</w:t>
            </w:r>
          </w:p>
          <w:p w14:paraId="42717A62"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1670E4C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15.8</w:t>
            </w:r>
          </w:p>
        </w:tc>
        <w:tc>
          <w:tcPr>
            <w:tcW w:w="1559" w:type="dxa"/>
            <w:shd w:val="clear" w:color="auto" w:fill="FFFFFF" w:themeFill="background1"/>
          </w:tcPr>
          <w:p w14:paraId="04069F90"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-2.5</w:t>
            </w:r>
          </w:p>
        </w:tc>
        <w:tc>
          <w:tcPr>
            <w:tcW w:w="1560" w:type="dxa"/>
            <w:shd w:val="clear" w:color="auto" w:fill="FFFFFF" w:themeFill="background1"/>
          </w:tcPr>
          <w:p w14:paraId="0D23F9E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29.9</w:t>
            </w:r>
          </w:p>
        </w:tc>
        <w:tc>
          <w:tcPr>
            <w:tcW w:w="1842" w:type="dxa"/>
            <w:gridSpan w:val="2"/>
            <w:shd w:val="clear" w:color="auto" w:fill="FFFFFF" w:themeFill="background1"/>
          </w:tcPr>
          <w:p w14:paraId="3837F62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31.3</w:t>
            </w:r>
          </w:p>
        </w:tc>
        <w:tc>
          <w:tcPr>
            <w:tcW w:w="1671" w:type="dxa"/>
            <w:shd w:val="clear" w:color="auto" w:fill="FFFFFF" w:themeFill="background1"/>
          </w:tcPr>
          <w:p w14:paraId="55EB161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1.4</w:t>
            </w:r>
          </w:p>
        </w:tc>
      </w:tr>
      <w:tr w:rsidR="002825D6" w:rsidRPr="00EC6C19" w14:paraId="10AE0229" w14:textId="77777777" w:rsidTr="002825D6">
        <w:trPr>
          <w:trHeight w:val="300"/>
        </w:trPr>
        <w:tc>
          <w:tcPr>
            <w:tcW w:w="817" w:type="dxa"/>
            <w:shd w:val="clear" w:color="auto" w:fill="FFFFFF" w:themeFill="background1"/>
          </w:tcPr>
          <w:p w14:paraId="35FB1997"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7</w:t>
            </w:r>
          </w:p>
        </w:tc>
        <w:tc>
          <w:tcPr>
            <w:tcW w:w="1418" w:type="dxa"/>
            <w:shd w:val="clear" w:color="auto" w:fill="FFFFFF" w:themeFill="background1"/>
            <w:noWrap/>
            <w:hideMark/>
          </w:tcPr>
          <w:p w14:paraId="7D117C0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16.2</w:t>
            </w:r>
          </w:p>
          <w:p w14:paraId="22D15339"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53726A4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14.0</w:t>
            </w:r>
          </w:p>
        </w:tc>
        <w:tc>
          <w:tcPr>
            <w:tcW w:w="1559" w:type="dxa"/>
            <w:shd w:val="clear" w:color="auto" w:fill="FFFFFF" w:themeFill="background1"/>
          </w:tcPr>
          <w:p w14:paraId="676404F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-2.2</w:t>
            </w:r>
          </w:p>
        </w:tc>
        <w:tc>
          <w:tcPr>
            <w:tcW w:w="1560" w:type="dxa"/>
            <w:shd w:val="clear" w:color="auto" w:fill="FFFFFF" w:themeFill="background1"/>
          </w:tcPr>
          <w:p w14:paraId="031ED258"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19.1</w:t>
            </w:r>
          </w:p>
        </w:tc>
        <w:tc>
          <w:tcPr>
            <w:tcW w:w="1842" w:type="dxa"/>
            <w:gridSpan w:val="2"/>
            <w:shd w:val="clear" w:color="auto" w:fill="FFFFFF" w:themeFill="background1"/>
          </w:tcPr>
          <w:p w14:paraId="50783B4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18.5</w:t>
            </w:r>
          </w:p>
        </w:tc>
        <w:tc>
          <w:tcPr>
            <w:tcW w:w="1671" w:type="dxa"/>
            <w:shd w:val="clear" w:color="auto" w:fill="FFFFFF" w:themeFill="background1"/>
          </w:tcPr>
          <w:p w14:paraId="2F88082A"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-0.6</w:t>
            </w:r>
          </w:p>
        </w:tc>
      </w:tr>
      <w:tr w:rsidR="002825D6" w:rsidRPr="00EC6C19" w14:paraId="266EB4A1" w14:textId="77777777" w:rsidTr="002825D6">
        <w:trPr>
          <w:trHeight w:val="300"/>
        </w:trPr>
        <w:tc>
          <w:tcPr>
            <w:tcW w:w="817" w:type="dxa"/>
            <w:shd w:val="clear" w:color="auto" w:fill="FFFFFF" w:themeFill="background1"/>
          </w:tcPr>
          <w:p w14:paraId="7E959CA2"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8</w:t>
            </w:r>
          </w:p>
        </w:tc>
        <w:tc>
          <w:tcPr>
            <w:tcW w:w="1418" w:type="dxa"/>
            <w:shd w:val="clear" w:color="auto" w:fill="FFFFFF" w:themeFill="background1"/>
            <w:noWrap/>
            <w:hideMark/>
          </w:tcPr>
          <w:p w14:paraId="4CA6E67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31.6</w:t>
            </w:r>
          </w:p>
          <w:p w14:paraId="39E4478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059A1B1C"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17.4</w:t>
            </w:r>
          </w:p>
        </w:tc>
        <w:tc>
          <w:tcPr>
            <w:tcW w:w="1559" w:type="dxa"/>
            <w:shd w:val="clear" w:color="auto" w:fill="FFFFFF" w:themeFill="background1"/>
          </w:tcPr>
          <w:p w14:paraId="040EB2B4"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-14.2</w:t>
            </w:r>
          </w:p>
        </w:tc>
        <w:tc>
          <w:tcPr>
            <w:tcW w:w="1560" w:type="dxa"/>
            <w:shd w:val="clear" w:color="auto" w:fill="FFFFFF" w:themeFill="background1"/>
          </w:tcPr>
          <w:p w14:paraId="42EA595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41.7</w:t>
            </w:r>
          </w:p>
        </w:tc>
        <w:tc>
          <w:tcPr>
            <w:tcW w:w="1842" w:type="dxa"/>
            <w:gridSpan w:val="2"/>
            <w:shd w:val="clear" w:color="auto" w:fill="FFFFFF" w:themeFill="background1"/>
          </w:tcPr>
          <w:p w14:paraId="3372300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33.8</w:t>
            </w:r>
          </w:p>
        </w:tc>
        <w:tc>
          <w:tcPr>
            <w:tcW w:w="1671" w:type="dxa"/>
            <w:shd w:val="clear" w:color="auto" w:fill="FFFFFF" w:themeFill="background1"/>
          </w:tcPr>
          <w:p w14:paraId="3EAA4D92"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-7.9</w:t>
            </w:r>
          </w:p>
        </w:tc>
      </w:tr>
      <w:tr w:rsidR="002825D6" w:rsidRPr="00EC6C19" w14:paraId="3D327DAA" w14:textId="77777777" w:rsidTr="002825D6">
        <w:trPr>
          <w:trHeight w:val="300"/>
        </w:trPr>
        <w:tc>
          <w:tcPr>
            <w:tcW w:w="817" w:type="dxa"/>
            <w:shd w:val="clear" w:color="auto" w:fill="FFFFFF" w:themeFill="background1"/>
          </w:tcPr>
          <w:p w14:paraId="00144F1F"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9</w:t>
            </w:r>
          </w:p>
        </w:tc>
        <w:tc>
          <w:tcPr>
            <w:tcW w:w="1418" w:type="dxa"/>
            <w:shd w:val="clear" w:color="auto" w:fill="FFFFFF" w:themeFill="background1"/>
            <w:noWrap/>
            <w:hideMark/>
          </w:tcPr>
          <w:p w14:paraId="262C087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15.4</w:t>
            </w:r>
          </w:p>
          <w:p w14:paraId="024CA90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51FD27B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12.1</w:t>
            </w:r>
          </w:p>
        </w:tc>
        <w:tc>
          <w:tcPr>
            <w:tcW w:w="1559" w:type="dxa"/>
            <w:shd w:val="clear" w:color="auto" w:fill="FFFFFF" w:themeFill="background1"/>
          </w:tcPr>
          <w:p w14:paraId="77E97DD5"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-3.3</w:t>
            </w:r>
          </w:p>
        </w:tc>
        <w:tc>
          <w:tcPr>
            <w:tcW w:w="1560" w:type="dxa"/>
            <w:shd w:val="clear" w:color="auto" w:fill="FFFFFF" w:themeFill="background1"/>
          </w:tcPr>
          <w:p w14:paraId="538D49D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25.0</w:t>
            </w:r>
          </w:p>
        </w:tc>
        <w:tc>
          <w:tcPr>
            <w:tcW w:w="1842" w:type="dxa"/>
            <w:gridSpan w:val="2"/>
            <w:shd w:val="clear" w:color="auto" w:fill="FFFFFF" w:themeFill="background1"/>
          </w:tcPr>
          <w:p w14:paraId="6E579C4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24.8</w:t>
            </w:r>
          </w:p>
        </w:tc>
        <w:tc>
          <w:tcPr>
            <w:tcW w:w="1671" w:type="dxa"/>
            <w:shd w:val="clear" w:color="auto" w:fill="FFFFFF" w:themeFill="background1"/>
          </w:tcPr>
          <w:p w14:paraId="3213D080"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-0.2</w:t>
            </w:r>
          </w:p>
        </w:tc>
      </w:tr>
      <w:tr w:rsidR="002825D6" w:rsidRPr="00EC6C19" w14:paraId="689B05E8" w14:textId="77777777" w:rsidTr="002825D6">
        <w:trPr>
          <w:trHeight w:val="300"/>
        </w:trPr>
        <w:tc>
          <w:tcPr>
            <w:tcW w:w="817" w:type="dxa"/>
            <w:shd w:val="clear" w:color="auto" w:fill="FFFFFF" w:themeFill="background1"/>
          </w:tcPr>
          <w:p w14:paraId="550BC151"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10</w:t>
            </w:r>
          </w:p>
        </w:tc>
        <w:tc>
          <w:tcPr>
            <w:tcW w:w="1418" w:type="dxa"/>
            <w:shd w:val="clear" w:color="auto" w:fill="FFFFFF" w:themeFill="background1"/>
            <w:noWrap/>
            <w:hideMark/>
          </w:tcPr>
          <w:p w14:paraId="3F04231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17.7</w:t>
            </w:r>
          </w:p>
          <w:p w14:paraId="1CC3A51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18A22F5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17.4</w:t>
            </w:r>
          </w:p>
        </w:tc>
        <w:tc>
          <w:tcPr>
            <w:tcW w:w="1559" w:type="dxa"/>
            <w:shd w:val="clear" w:color="auto" w:fill="FFFFFF" w:themeFill="background1"/>
          </w:tcPr>
          <w:p w14:paraId="20FFD6D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-0.3</w:t>
            </w:r>
          </w:p>
        </w:tc>
        <w:tc>
          <w:tcPr>
            <w:tcW w:w="1560" w:type="dxa"/>
            <w:shd w:val="clear" w:color="auto" w:fill="FFFFFF" w:themeFill="background1"/>
          </w:tcPr>
          <w:p w14:paraId="11E261C2"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37.8</w:t>
            </w:r>
          </w:p>
        </w:tc>
        <w:tc>
          <w:tcPr>
            <w:tcW w:w="1842" w:type="dxa"/>
            <w:gridSpan w:val="2"/>
            <w:shd w:val="clear" w:color="auto" w:fill="FFFFFF" w:themeFill="background1"/>
          </w:tcPr>
          <w:p w14:paraId="34CD0CE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56.4</w:t>
            </w:r>
          </w:p>
        </w:tc>
        <w:tc>
          <w:tcPr>
            <w:tcW w:w="1671" w:type="dxa"/>
            <w:shd w:val="clear" w:color="auto" w:fill="FFFFFF" w:themeFill="background1"/>
          </w:tcPr>
          <w:p w14:paraId="39756B1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18.6</w:t>
            </w:r>
          </w:p>
        </w:tc>
      </w:tr>
      <w:tr w:rsidR="002825D6" w:rsidRPr="00EC6C19" w14:paraId="0CE99BF7" w14:textId="77777777" w:rsidTr="002825D6">
        <w:trPr>
          <w:trHeight w:val="300"/>
        </w:trPr>
        <w:tc>
          <w:tcPr>
            <w:tcW w:w="817" w:type="dxa"/>
            <w:shd w:val="clear" w:color="auto" w:fill="FFFFFF" w:themeFill="background1"/>
          </w:tcPr>
          <w:p w14:paraId="1E3E9556"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11</w:t>
            </w:r>
          </w:p>
        </w:tc>
        <w:tc>
          <w:tcPr>
            <w:tcW w:w="1418" w:type="dxa"/>
            <w:shd w:val="clear" w:color="auto" w:fill="FFFFFF" w:themeFill="background1"/>
            <w:noWrap/>
            <w:hideMark/>
          </w:tcPr>
          <w:p w14:paraId="61F3C7FA"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21.2</w:t>
            </w:r>
          </w:p>
          <w:p w14:paraId="604BA37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50CA669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18.3</w:t>
            </w:r>
          </w:p>
        </w:tc>
        <w:tc>
          <w:tcPr>
            <w:tcW w:w="1559" w:type="dxa"/>
            <w:shd w:val="clear" w:color="auto" w:fill="FFFFFF" w:themeFill="background1"/>
          </w:tcPr>
          <w:p w14:paraId="7FCF8E3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-2.9</w:t>
            </w:r>
          </w:p>
        </w:tc>
        <w:tc>
          <w:tcPr>
            <w:tcW w:w="1560" w:type="dxa"/>
            <w:shd w:val="clear" w:color="auto" w:fill="FFFFFF" w:themeFill="background1"/>
          </w:tcPr>
          <w:p w14:paraId="588EE2F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34.4</w:t>
            </w:r>
          </w:p>
        </w:tc>
        <w:tc>
          <w:tcPr>
            <w:tcW w:w="1842" w:type="dxa"/>
            <w:gridSpan w:val="2"/>
            <w:shd w:val="clear" w:color="auto" w:fill="FFFFFF" w:themeFill="background1"/>
          </w:tcPr>
          <w:p w14:paraId="7CA6E10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48.3</w:t>
            </w:r>
          </w:p>
        </w:tc>
        <w:tc>
          <w:tcPr>
            <w:tcW w:w="1671" w:type="dxa"/>
            <w:shd w:val="clear" w:color="auto" w:fill="FFFFFF" w:themeFill="background1"/>
          </w:tcPr>
          <w:p w14:paraId="29145ABC"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13.9</w:t>
            </w:r>
          </w:p>
        </w:tc>
      </w:tr>
      <w:tr w:rsidR="002825D6" w:rsidRPr="00EC6C19" w14:paraId="6093732A" w14:textId="77777777" w:rsidTr="002825D6">
        <w:trPr>
          <w:trHeight w:val="300"/>
        </w:trPr>
        <w:tc>
          <w:tcPr>
            <w:tcW w:w="817" w:type="dxa"/>
            <w:shd w:val="clear" w:color="auto" w:fill="FFFFFF" w:themeFill="background1"/>
          </w:tcPr>
          <w:p w14:paraId="79111903"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12</w:t>
            </w:r>
          </w:p>
        </w:tc>
        <w:tc>
          <w:tcPr>
            <w:tcW w:w="1418" w:type="dxa"/>
            <w:shd w:val="clear" w:color="auto" w:fill="FFFFFF" w:themeFill="background1"/>
            <w:noWrap/>
            <w:hideMark/>
          </w:tcPr>
          <w:p w14:paraId="1FF97078"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10.4</w:t>
            </w:r>
          </w:p>
          <w:p w14:paraId="3F5C601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55E04566"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14.1</w:t>
            </w:r>
          </w:p>
        </w:tc>
        <w:tc>
          <w:tcPr>
            <w:tcW w:w="1559" w:type="dxa"/>
            <w:shd w:val="clear" w:color="auto" w:fill="FFFFFF" w:themeFill="background1"/>
          </w:tcPr>
          <w:p w14:paraId="17D3467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+3.7</w:t>
            </w:r>
          </w:p>
        </w:tc>
        <w:tc>
          <w:tcPr>
            <w:tcW w:w="1560" w:type="dxa"/>
            <w:shd w:val="clear" w:color="auto" w:fill="FFFFFF" w:themeFill="background1"/>
          </w:tcPr>
          <w:p w14:paraId="1F4389C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22.2</w:t>
            </w:r>
          </w:p>
        </w:tc>
        <w:tc>
          <w:tcPr>
            <w:tcW w:w="1842" w:type="dxa"/>
            <w:gridSpan w:val="2"/>
            <w:shd w:val="clear" w:color="auto" w:fill="FFFFFF" w:themeFill="background1"/>
          </w:tcPr>
          <w:p w14:paraId="7D09F18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26.5</w:t>
            </w:r>
          </w:p>
        </w:tc>
        <w:tc>
          <w:tcPr>
            <w:tcW w:w="1671" w:type="dxa"/>
            <w:shd w:val="clear" w:color="auto" w:fill="FFFFFF" w:themeFill="background1"/>
          </w:tcPr>
          <w:p w14:paraId="0184D95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4.3</w:t>
            </w:r>
          </w:p>
        </w:tc>
      </w:tr>
      <w:tr w:rsidR="002825D6" w:rsidRPr="00EC6C19" w14:paraId="03A4DE4D" w14:textId="77777777" w:rsidTr="002825D6">
        <w:trPr>
          <w:trHeight w:val="300"/>
        </w:trPr>
        <w:tc>
          <w:tcPr>
            <w:tcW w:w="817" w:type="dxa"/>
            <w:shd w:val="clear" w:color="auto" w:fill="FFFFFF" w:themeFill="background1"/>
          </w:tcPr>
          <w:p w14:paraId="13B5FCCF"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13</w:t>
            </w:r>
          </w:p>
        </w:tc>
        <w:tc>
          <w:tcPr>
            <w:tcW w:w="1418" w:type="dxa"/>
            <w:shd w:val="clear" w:color="auto" w:fill="FFFFFF" w:themeFill="background1"/>
            <w:noWrap/>
            <w:hideMark/>
          </w:tcPr>
          <w:p w14:paraId="47B05B6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15.4</w:t>
            </w:r>
          </w:p>
          <w:p w14:paraId="53AE6B55"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6558869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12.6</w:t>
            </w:r>
          </w:p>
        </w:tc>
        <w:tc>
          <w:tcPr>
            <w:tcW w:w="1559" w:type="dxa"/>
            <w:shd w:val="clear" w:color="auto" w:fill="FFFFFF" w:themeFill="background1"/>
          </w:tcPr>
          <w:p w14:paraId="102FA86C"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-2.8</w:t>
            </w:r>
          </w:p>
        </w:tc>
        <w:tc>
          <w:tcPr>
            <w:tcW w:w="1560" w:type="dxa"/>
            <w:shd w:val="clear" w:color="auto" w:fill="FFFFFF" w:themeFill="background1"/>
          </w:tcPr>
          <w:p w14:paraId="0F5CE3B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22.6</w:t>
            </w:r>
          </w:p>
        </w:tc>
        <w:tc>
          <w:tcPr>
            <w:tcW w:w="1842" w:type="dxa"/>
            <w:gridSpan w:val="2"/>
            <w:shd w:val="clear" w:color="auto" w:fill="FFFFFF" w:themeFill="background1"/>
          </w:tcPr>
          <w:p w14:paraId="7999C5D0"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19.1</w:t>
            </w:r>
          </w:p>
        </w:tc>
        <w:tc>
          <w:tcPr>
            <w:tcW w:w="1671" w:type="dxa"/>
            <w:shd w:val="clear" w:color="auto" w:fill="FFFFFF" w:themeFill="background1"/>
          </w:tcPr>
          <w:p w14:paraId="1B46BBF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-3.5</w:t>
            </w:r>
          </w:p>
        </w:tc>
      </w:tr>
      <w:tr w:rsidR="002825D6" w:rsidRPr="00EC6C19" w14:paraId="39A3A767" w14:textId="77777777" w:rsidTr="002825D6">
        <w:trPr>
          <w:trHeight w:val="300"/>
        </w:trPr>
        <w:tc>
          <w:tcPr>
            <w:tcW w:w="817" w:type="dxa"/>
            <w:shd w:val="clear" w:color="auto" w:fill="FFFFFF" w:themeFill="background1"/>
          </w:tcPr>
          <w:p w14:paraId="66F0E9F7"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14</w:t>
            </w:r>
          </w:p>
        </w:tc>
        <w:tc>
          <w:tcPr>
            <w:tcW w:w="1418" w:type="dxa"/>
            <w:shd w:val="clear" w:color="auto" w:fill="FFFFFF" w:themeFill="background1"/>
            <w:noWrap/>
            <w:hideMark/>
          </w:tcPr>
          <w:p w14:paraId="434C993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11.4</w:t>
            </w:r>
          </w:p>
          <w:p w14:paraId="6C9E05A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054BC67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11.4</w:t>
            </w:r>
          </w:p>
        </w:tc>
        <w:tc>
          <w:tcPr>
            <w:tcW w:w="1559" w:type="dxa"/>
            <w:shd w:val="clear" w:color="auto" w:fill="FFFFFF" w:themeFill="background1"/>
          </w:tcPr>
          <w:p w14:paraId="470A75C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w:t>
            </w:r>
          </w:p>
        </w:tc>
        <w:tc>
          <w:tcPr>
            <w:tcW w:w="1560" w:type="dxa"/>
            <w:shd w:val="clear" w:color="auto" w:fill="FFFFFF" w:themeFill="background1"/>
          </w:tcPr>
          <w:p w14:paraId="7754973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17.8</w:t>
            </w:r>
          </w:p>
        </w:tc>
        <w:tc>
          <w:tcPr>
            <w:tcW w:w="1842" w:type="dxa"/>
            <w:gridSpan w:val="2"/>
            <w:shd w:val="clear" w:color="auto" w:fill="FFFFFF" w:themeFill="background1"/>
          </w:tcPr>
          <w:p w14:paraId="033965C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17.1</w:t>
            </w:r>
          </w:p>
        </w:tc>
        <w:tc>
          <w:tcPr>
            <w:tcW w:w="1671" w:type="dxa"/>
            <w:shd w:val="clear" w:color="auto" w:fill="FFFFFF" w:themeFill="background1"/>
          </w:tcPr>
          <w:p w14:paraId="4C03676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-0.7</w:t>
            </w:r>
          </w:p>
        </w:tc>
      </w:tr>
      <w:tr w:rsidR="002825D6" w:rsidRPr="00EC6C19" w14:paraId="570C9FF2" w14:textId="77777777" w:rsidTr="002825D6">
        <w:trPr>
          <w:trHeight w:val="300"/>
        </w:trPr>
        <w:tc>
          <w:tcPr>
            <w:tcW w:w="817" w:type="dxa"/>
            <w:shd w:val="clear" w:color="auto" w:fill="FFFFFF" w:themeFill="background1"/>
          </w:tcPr>
          <w:p w14:paraId="5659ECFD"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15</w:t>
            </w:r>
          </w:p>
        </w:tc>
        <w:tc>
          <w:tcPr>
            <w:tcW w:w="1418" w:type="dxa"/>
            <w:shd w:val="clear" w:color="auto" w:fill="FFFFFF" w:themeFill="background1"/>
            <w:noWrap/>
            <w:hideMark/>
          </w:tcPr>
          <w:p w14:paraId="52E5863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11.7</w:t>
            </w:r>
          </w:p>
          <w:p w14:paraId="4A59EF4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773E2D38"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11.0</w:t>
            </w:r>
          </w:p>
        </w:tc>
        <w:tc>
          <w:tcPr>
            <w:tcW w:w="1559" w:type="dxa"/>
            <w:shd w:val="clear" w:color="auto" w:fill="FFFFFF" w:themeFill="background1"/>
          </w:tcPr>
          <w:p w14:paraId="2759ABCA"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-0.7</w:t>
            </w:r>
          </w:p>
        </w:tc>
        <w:tc>
          <w:tcPr>
            <w:tcW w:w="1560" w:type="dxa"/>
            <w:shd w:val="clear" w:color="auto" w:fill="FFFFFF" w:themeFill="background1"/>
          </w:tcPr>
          <w:p w14:paraId="36203455"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27.0</w:t>
            </w:r>
          </w:p>
        </w:tc>
        <w:tc>
          <w:tcPr>
            <w:tcW w:w="1842" w:type="dxa"/>
            <w:gridSpan w:val="2"/>
            <w:shd w:val="clear" w:color="auto" w:fill="FFFFFF" w:themeFill="background1"/>
          </w:tcPr>
          <w:p w14:paraId="0C847374"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22.2</w:t>
            </w:r>
          </w:p>
        </w:tc>
        <w:tc>
          <w:tcPr>
            <w:tcW w:w="1671" w:type="dxa"/>
            <w:shd w:val="clear" w:color="auto" w:fill="FFFFFF" w:themeFill="background1"/>
          </w:tcPr>
          <w:p w14:paraId="504DE30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-4.8</w:t>
            </w:r>
          </w:p>
        </w:tc>
      </w:tr>
      <w:tr w:rsidR="002825D6" w:rsidRPr="00EC6C19" w14:paraId="500CA82B" w14:textId="77777777" w:rsidTr="002825D6">
        <w:trPr>
          <w:trHeight w:val="300"/>
        </w:trPr>
        <w:tc>
          <w:tcPr>
            <w:tcW w:w="817" w:type="dxa"/>
            <w:shd w:val="clear" w:color="auto" w:fill="FFFFFF" w:themeFill="background1"/>
          </w:tcPr>
          <w:p w14:paraId="1A60FD87"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16</w:t>
            </w:r>
          </w:p>
        </w:tc>
        <w:tc>
          <w:tcPr>
            <w:tcW w:w="1418" w:type="dxa"/>
            <w:shd w:val="clear" w:color="auto" w:fill="FFFFFF" w:themeFill="background1"/>
            <w:noWrap/>
            <w:hideMark/>
          </w:tcPr>
          <w:p w14:paraId="15EAEC20"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19.5</w:t>
            </w:r>
          </w:p>
          <w:p w14:paraId="7071576C"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4733B53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20.5</w:t>
            </w:r>
          </w:p>
        </w:tc>
        <w:tc>
          <w:tcPr>
            <w:tcW w:w="1559" w:type="dxa"/>
            <w:shd w:val="clear" w:color="auto" w:fill="FFFFFF" w:themeFill="background1"/>
          </w:tcPr>
          <w:p w14:paraId="25BC80F6"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1.0</w:t>
            </w:r>
          </w:p>
        </w:tc>
        <w:tc>
          <w:tcPr>
            <w:tcW w:w="1560" w:type="dxa"/>
            <w:shd w:val="clear" w:color="auto" w:fill="FFFFFF" w:themeFill="background1"/>
          </w:tcPr>
          <w:p w14:paraId="4BAC1FC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42.1</w:t>
            </w:r>
          </w:p>
        </w:tc>
        <w:tc>
          <w:tcPr>
            <w:tcW w:w="1842" w:type="dxa"/>
            <w:gridSpan w:val="2"/>
            <w:shd w:val="clear" w:color="auto" w:fill="FFFFFF" w:themeFill="background1"/>
          </w:tcPr>
          <w:p w14:paraId="254B0668"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46.0</w:t>
            </w:r>
          </w:p>
        </w:tc>
        <w:tc>
          <w:tcPr>
            <w:tcW w:w="1671" w:type="dxa"/>
            <w:shd w:val="clear" w:color="auto" w:fill="FFFFFF" w:themeFill="background1"/>
          </w:tcPr>
          <w:p w14:paraId="4A418EB6"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3.9</w:t>
            </w:r>
          </w:p>
        </w:tc>
      </w:tr>
      <w:tr w:rsidR="002825D6" w:rsidRPr="00EC6C19" w14:paraId="60A8ADD4" w14:textId="77777777" w:rsidTr="002825D6">
        <w:trPr>
          <w:trHeight w:val="300"/>
        </w:trPr>
        <w:tc>
          <w:tcPr>
            <w:tcW w:w="817" w:type="dxa"/>
            <w:shd w:val="clear" w:color="auto" w:fill="FFFFFF" w:themeFill="background1"/>
          </w:tcPr>
          <w:p w14:paraId="109C617A"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17</w:t>
            </w:r>
          </w:p>
        </w:tc>
        <w:tc>
          <w:tcPr>
            <w:tcW w:w="1418" w:type="dxa"/>
            <w:shd w:val="clear" w:color="auto" w:fill="FFFFFF" w:themeFill="background1"/>
            <w:noWrap/>
            <w:hideMark/>
          </w:tcPr>
          <w:p w14:paraId="5A542F5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13.1</w:t>
            </w:r>
          </w:p>
          <w:p w14:paraId="6AA98C1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056FA2D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19.3</w:t>
            </w:r>
          </w:p>
        </w:tc>
        <w:tc>
          <w:tcPr>
            <w:tcW w:w="1559" w:type="dxa"/>
            <w:shd w:val="clear" w:color="auto" w:fill="FFFFFF" w:themeFill="background1"/>
          </w:tcPr>
          <w:p w14:paraId="26C63E0A"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6.2</w:t>
            </w:r>
          </w:p>
        </w:tc>
        <w:tc>
          <w:tcPr>
            <w:tcW w:w="1560" w:type="dxa"/>
            <w:shd w:val="clear" w:color="auto" w:fill="FFFFFF" w:themeFill="background1"/>
          </w:tcPr>
          <w:p w14:paraId="1E46C0C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16.2</w:t>
            </w:r>
          </w:p>
        </w:tc>
        <w:tc>
          <w:tcPr>
            <w:tcW w:w="1842" w:type="dxa"/>
            <w:gridSpan w:val="2"/>
            <w:shd w:val="clear" w:color="auto" w:fill="FFFFFF" w:themeFill="background1"/>
          </w:tcPr>
          <w:p w14:paraId="1B5D6BA8"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19.0</w:t>
            </w:r>
          </w:p>
        </w:tc>
        <w:tc>
          <w:tcPr>
            <w:tcW w:w="1671" w:type="dxa"/>
            <w:shd w:val="clear" w:color="auto" w:fill="FFFFFF" w:themeFill="background1"/>
          </w:tcPr>
          <w:p w14:paraId="69F7C0B4"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2.8</w:t>
            </w:r>
          </w:p>
        </w:tc>
      </w:tr>
      <w:tr w:rsidR="002825D6" w:rsidRPr="00EC6C19" w14:paraId="146ECD68" w14:textId="77777777" w:rsidTr="002825D6">
        <w:trPr>
          <w:trHeight w:val="300"/>
        </w:trPr>
        <w:tc>
          <w:tcPr>
            <w:tcW w:w="817" w:type="dxa"/>
            <w:shd w:val="clear" w:color="auto" w:fill="FFFFFF" w:themeFill="background1"/>
          </w:tcPr>
          <w:p w14:paraId="42218232"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18</w:t>
            </w:r>
          </w:p>
        </w:tc>
        <w:tc>
          <w:tcPr>
            <w:tcW w:w="1418" w:type="dxa"/>
            <w:shd w:val="clear" w:color="auto" w:fill="FFFFFF" w:themeFill="background1"/>
            <w:noWrap/>
            <w:hideMark/>
          </w:tcPr>
          <w:p w14:paraId="1A8C8C6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19.0</w:t>
            </w:r>
          </w:p>
          <w:p w14:paraId="1CF26BB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1B1BE6D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16.2</w:t>
            </w:r>
          </w:p>
        </w:tc>
        <w:tc>
          <w:tcPr>
            <w:tcW w:w="1559" w:type="dxa"/>
            <w:shd w:val="clear" w:color="auto" w:fill="FFFFFF" w:themeFill="background1"/>
          </w:tcPr>
          <w:p w14:paraId="18745E6A"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-2.8</w:t>
            </w:r>
          </w:p>
        </w:tc>
        <w:tc>
          <w:tcPr>
            <w:tcW w:w="1560" w:type="dxa"/>
            <w:shd w:val="clear" w:color="auto" w:fill="FFFFFF" w:themeFill="background1"/>
          </w:tcPr>
          <w:p w14:paraId="4356CFD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27.5</w:t>
            </w:r>
          </w:p>
        </w:tc>
        <w:tc>
          <w:tcPr>
            <w:tcW w:w="1842" w:type="dxa"/>
            <w:gridSpan w:val="2"/>
            <w:shd w:val="clear" w:color="auto" w:fill="FFFFFF" w:themeFill="background1"/>
          </w:tcPr>
          <w:p w14:paraId="747041F2"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21.1</w:t>
            </w:r>
          </w:p>
        </w:tc>
        <w:tc>
          <w:tcPr>
            <w:tcW w:w="1671" w:type="dxa"/>
            <w:shd w:val="clear" w:color="auto" w:fill="FFFFFF" w:themeFill="background1"/>
          </w:tcPr>
          <w:p w14:paraId="119ECEC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-6.4</w:t>
            </w:r>
          </w:p>
        </w:tc>
      </w:tr>
      <w:tr w:rsidR="002825D6" w:rsidRPr="00EC6C19" w14:paraId="095B87A7" w14:textId="77777777" w:rsidTr="002825D6">
        <w:trPr>
          <w:trHeight w:val="300"/>
        </w:trPr>
        <w:tc>
          <w:tcPr>
            <w:tcW w:w="817" w:type="dxa"/>
            <w:shd w:val="clear" w:color="auto" w:fill="FFFFFF" w:themeFill="background1"/>
          </w:tcPr>
          <w:p w14:paraId="79CADBF4"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19</w:t>
            </w:r>
          </w:p>
        </w:tc>
        <w:tc>
          <w:tcPr>
            <w:tcW w:w="1418" w:type="dxa"/>
            <w:shd w:val="clear" w:color="auto" w:fill="FFFFFF" w:themeFill="background1"/>
            <w:noWrap/>
            <w:hideMark/>
          </w:tcPr>
          <w:p w14:paraId="76652349"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10.8</w:t>
            </w:r>
          </w:p>
          <w:p w14:paraId="2107AD45"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3E8EEC62"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12.8</w:t>
            </w:r>
          </w:p>
        </w:tc>
        <w:tc>
          <w:tcPr>
            <w:tcW w:w="1559" w:type="dxa"/>
            <w:shd w:val="clear" w:color="auto" w:fill="FFFFFF" w:themeFill="background1"/>
          </w:tcPr>
          <w:p w14:paraId="0C0F4DE9"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2.0</w:t>
            </w:r>
          </w:p>
        </w:tc>
        <w:tc>
          <w:tcPr>
            <w:tcW w:w="1560" w:type="dxa"/>
            <w:shd w:val="clear" w:color="auto" w:fill="FFFFFF" w:themeFill="background1"/>
          </w:tcPr>
          <w:p w14:paraId="422CA31C"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17.7</w:t>
            </w:r>
          </w:p>
        </w:tc>
        <w:tc>
          <w:tcPr>
            <w:tcW w:w="1842" w:type="dxa"/>
            <w:gridSpan w:val="2"/>
            <w:shd w:val="clear" w:color="auto" w:fill="FFFFFF" w:themeFill="background1"/>
          </w:tcPr>
          <w:p w14:paraId="457A3D3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13.9</w:t>
            </w:r>
          </w:p>
        </w:tc>
        <w:tc>
          <w:tcPr>
            <w:tcW w:w="1671" w:type="dxa"/>
            <w:shd w:val="clear" w:color="auto" w:fill="FFFFFF" w:themeFill="background1"/>
          </w:tcPr>
          <w:p w14:paraId="7D8C45B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-3.8</w:t>
            </w:r>
          </w:p>
        </w:tc>
      </w:tr>
      <w:tr w:rsidR="002825D6" w:rsidRPr="00EC6C19" w14:paraId="539565C8" w14:textId="77777777" w:rsidTr="002825D6">
        <w:trPr>
          <w:trHeight w:val="300"/>
        </w:trPr>
        <w:tc>
          <w:tcPr>
            <w:tcW w:w="817" w:type="dxa"/>
            <w:shd w:val="clear" w:color="auto" w:fill="FFFFFF" w:themeFill="background1"/>
          </w:tcPr>
          <w:p w14:paraId="176FC30C"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20</w:t>
            </w:r>
          </w:p>
        </w:tc>
        <w:tc>
          <w:tcPr>
            <w:tcW w:w="1418" w:type="dxa"/>
            <w:shd w:val="clear" w:color="auto" w:fill="FFFFFF" w:themeFill="background1"/>
            <w:noWrap/>
            <w:hideMark/>
          </w:tcPr>
          <w:p w14:paraId="359A71BC"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9.4</w:t>
            </w:r>
          </w:p>
          <w:p w14:paraId="010A12F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7A8737A4"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7.6</w:t>
            </w:r>
          </w:p>
        </w:tc>
        <w:tc>
          <w:tcPr>
            <w:tcW w:w="1559" w:type="dxa"/>
            <w:shd w:val="clear" w:color="auto" w:fill="FFFFFF" w:themeFill="background1"/>
          </w:tcPr>
          <w:p w14:paraId="306E969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-1.8</w:t>
            </w:r>
          </w:p>
        </w:tc>
        <w:tc>
          <w:tcPr>
            <w:tcW w:w="1560" w:type="dxa"/>
            <w:shd w:val="clear" w:color="auto" w:fill="FFFFFF" w:themeFill="background1"/>
          </w:tcPr>
          <w:p w14:paraId="1D935E7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15.0</w:t>
            </w:r>
          </w:p>
        </w:tc>
        <w:tc>
          <w:tcPr>
            <w:tcW w:w="1842" w:type="dxa"/>
            <w:gridSpan w:val="2"/>
            <w:shd w:val="clear" w:color="auto" w:fill="FFFFFF" w:themeFill="background1"/>
          </w:tcPr>
          <w:p w14:paraId="399CE07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16.2</w:t>
            </w:r>
          </w:p>
        </w:tc>
        <w:tc>
          <w:tcPr>
            <w:tcW w:w="1671" w:type="dxa"/>
            <w:shd w:val="clear" w:color="auto" w:fill="FFFFFF" w:themeFill="background1"/>
          </w:tcPr>
          <w:p w14:paraId="525CF7A5"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1.2</w:t>
            </w:r>
          </w:p>
        </w:tc>
      </w:tr>
      <w:tr w:rsidR="002825D6" w:rsidRPr="00EC6C19" w14:paraId="25FAC249" w14:textId="77777777" w:rsidTr="002825D6">
        <w:trPr>
          <w:trHeight w:val="300"/>
        </w:trPr>
        <w:tc>
          <w:tcPr>
            <w:tcW w:w="817" w:type="dxa"/>
            <w:shd w:val="clear" w:color="auto" w:fill="FFFFFF" w:themeFill="background1"/>
          </w:tcPr>
          <w:p w14:paraId="256E98A1"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21</w:t>
            </w:r>
          </w:p>
        </w:tc>
        <w:tc>
          <w:tcPr>
            <w:tcW w:w="1418" w:type="dxa"/>
            <w:shd w:val="clear" w:color="auto" w:fill="FFFFFF" w:themeFill="background1"/>
            <w:noWrap/>
            <w:hideMark/>
          </w:tcPr>
          <w:p w14:paraId="1EE20C5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13.2</w:t>
            </w:r>
          </w:p>
          <w:p w14:paraId="610033C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5FCE5E42"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9.4</w:t>
            </w:r>
          </w:p>
        </w:tc>
        <w:tc>
          <w:tcPr>
            <w:tcW w:w="1559" w:type="dxa"/>
            <w:shd w:val="clear" w:color="auto" w:fill="FFFFFF" w:themeFill="background1"/>
          </w:tcPr>
          <w:p w14:paraId="0B03007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-3.8</w:t>
            </w:r>
          </w:p>
        </w:tc>
        <w:tc>
          <w:tcPr>
            <w:tcW w:w="1560" w:type="dxa"/>
            <w:shd w:val="clear" w:color="auto" w:fill="FFFFFF" w:themeFill="background1"/>
          </w:tcPr>
          <w:p w14:paraId="0D34A93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13.0</w:t>
            </w:r>
          </w:p>
        </w:tc>
        <w:tc>
          <w:tcPr>
            <w:tcW w:w="1842" w:type="dxa"/>
            <w:gridSpan w:val="2"/>
            <w:shd w:val="clear" w:color="auto" w:fill="FFFFFF" w:themeFill="background1"/>
          </w:tcPr>
          <w:p w14:paraId="384BBB35"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20.6</w:t>
            </w:r>
          </w:p>
        </w:tc>
        <w:tc>
          <w:tcPr>
            <w:tcW w:w="1671" w:type="dxa"/>
            <w:shd w:val="clear" w:color="auto" w:fill="FFFFFF" w:themeFill="background1"/>
          </w:tcPr>
          <w:p w14:paraId="4C59A42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7.6</w:t>
            </w:r>
          </w:p>
        </w:tc>
      </w:tr>
      <w:tr w:rsidR="002825D6" w:rsidRPr="00EC6C19" w14:paraId="0FD6F1C6" w14:textId="77777777" w:rsidTr="002825D6">
        <w:trPr>
          <w:trHeight w:val="300"/>
        </w:trPr>
        <w:tc>
          <w:tcPr>
            <w:tcW w:w="817" w:type="dxa"/>
            <w:shd w:val="clear" w:color="auto" w:fill="FFFFFF" w:themeFill="background1"/>
          </w:tcPr>
          <w:p w14:paraId="1FFC2FC1"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22</w:t>
            </w:r>
          </w:p>
        </w:tc>
        <w:tc>
          <w:tcPr>
            <w:tcW w:w="1418" w:type="dxa"/>
            <w:shd w:val="clear" w:color="auto" w:fill="FFFFFF" w:themeFill="background1"/>
            <w:noWrap/>
            <w:hideMark/>
          </w:tcPr>
          <w:p w14:paraId="28C0D2A9"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28.0</w:t>
            </w:r>
          </w:p>
          <w:p w14:paraId="085E652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285C49A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19.0</w:t>
            </w:r>
          </w:p>
        </w:tc>
        <w:tc>
          <w:tcPr>
            <w:tcW w:w="1559" w:type="dxa"/>
            <w:shd w:val="clear" w:color="auto" w:fill="FFFFFF" w:themeFill="background1"/>
          </w:tcPr>
          <w:p w14:paraId="7781C755"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-9.0</w:t>
            </w:r>
          </w:p>
        </w:tc>
        <w:tc>
          <w:tcPr>
            <w:tcW w:w="1560" w:type="dxa"/>
            <w:shd w:val="clear" w:color="auto" w:fill="FFFFFF" w:themeFill="background1"/>
          </w:tcPr>
          <w:p w14:paraId="48C8EEE8"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47.2</w:t>
            </w:r>
          </w:p>
        </w:tc>
        <w:tc>
          <w:tcPr>
            <w:tcW w:w="1842" w:type="dxa"/>
            <w:gridSpan w:val="2"/>
            <w:shd w:val="clear" w:color="auto" w:fill="FFFFFF" w:themeFill="background1"/>
          </w:tcPr>
          <w:p w14:paraId="5F820AD4"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23</w:t>
            </w:r>
          </w:p>
        </w:tc>
        <w:tc>
          <w:tcPr>
            <w:tcW w:w="1671" w:type="dxa"/>
            <w:shd w:val="clear" w:color="auto" w:fill="FFFFFF" w:themeFill="background1"/>
          </w:tcPr>
          <w:p w14:paraId="1AE64AF9"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-24.2</w:t>
            </w:r>
          </w:p>
        </w:tc>
      </w:tr>
      <w:tr w:rsidR="002825D6" w:rsidRPr="00EC6C19" w14:paraId="1E061F62" w14:textId="77777777" w:rsidTr="002825D6">
        <w:trPr>
          <w:trHeight w:val="300"/>
        </w:trPr>
        <w:tc>
          <w:tcPr>
            <w:tcW w:w="817" w:type="dxa"/>
            <w:shd w:val="clear" w:color="auto" w:fill="FFFFFF" w:themeFill="background1"/>
          </w:tcPr>
          <w:p w14:paraId="4405FF10" w14:textId="77777777"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23</w:t>
            </w:r>
          </w:p>
        </w:tc>
        <w:tc>
          <w:tcPr>
            <w:tcW w:w="1418" w:type="dxa"/>
            <w:shd w:val="clear" w:color="auto" w:fill="FFFFFF" w:themeFill="background1"/>
            <w:noWrap/>
            <w:hideMark/>
          </w:tcPr>
          <w:p w14:paraId="3516E340"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20.4</w:t>
            </w:r>
          </w:p>
          <w:p w14:paraId="4A18F14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39EE1C1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26.9</w:t>
            </w:r>
          </w:p>
        </w:tc>
        <w:tc>
          <w:tcPr>
            <w:tcW w:w="1559" w:type="dxa"/>
            <w:shd w:val="clear" w:color="auto" w:fill="FFFFFF" w:themeFill="background1"/>
          </w:tcPr>
          <w:p w14:paraId="7EB9A27B"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+6.5</w:t>
            </w:r>
          </w:p>
        </w:tc>
        <w:tc>
          <w:tcPr>
            <w:tcW w:w="1560" w:type="dxa"/>
            <w:shd w:val="clear" w:color="auto" w:fill="FFFFFF" w:themeFill="background1"/>
          </w:tcPr>
          <w:p w14:paraId="329B44FE"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28.6</w:t>
            </w:r>
          </w:p>
        </w:tc>
        <w:tc>
          <w:tcPr>
            <w:tcW w:w="1842" w:type="dxa"/>
            <w:gridSpan w:val="2"/>
            <w:shd w:val="clear" w:color="auto" w:fill="FFFFFF" w:themeFill="background1"/>
          </w:tcPr>
          <w:p w14:paraId="09B284F1"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34.5</w:t>
            </w:r>
          </w:p>
        </w:tc>
        <w:tc>
          <w:tcPr>
            <w:tcW w:w="1671" w:type="dxa"/>
            <w:shd w:val="clear" w:color="auto" w:fill="FFFFFF" w:themeFill="background1"/>
          </w:tcPr>
          <w:p w14:paraId="20A2BBAA"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5.9</w:t>
            </w:r>
          </w:p>
        </w:tc>
      </w:tr>
      <w:tr w:rsidR="002825D6" w:rsidRPr="00EC6C19" w14:paraId="0F869C0E" w14:textId="77777777" w:rsidTr="002825D6">
        <w:trPr>
          <w:trHeight w:val="300"/>
        </w:trPr>
        <w:tc>
          <w:tcPr>
            <w:tcW w:w="817" w:type="dxa"/>
            <w:shd w:val="clear" w:color="auto" w:fill="FFFFFF" w:themeFill="background1"/>
          </w:tcPr>
          <w:p w14:paraId="6BEEB609" w14:textId="639F0D36" w:rsidR="002825D6" w:rsidRPr="00EC6C19" w:rsidRDefault="002825D6" w:rsidP="002825D6">
            <w:pPr>
              <w:spacing w:line="360" w:lineRule="auto"/>
              <w:jc w:val="center"/>
              <w:rPr>
                <w:rFonts w:ascii="Times New Roman" w:eastAsia="Times New Roman" w:hAnsi="Times New Roman" w:cs="Times New Roman"/>
                <w:b/>
                <w:sz w:val="24"/>
                <w:szCs w:val="24"/>
                <w:lang w:val="en-US"/>
              </w:rPr>
            </w:pPr>
            <w:r w:rsidRPr="00EC6C19">
              <w:rPr>
                <w:rFonts w:ascii="Times New Roman" w:eastAsia="Times New Roman" w:hAnsi="Times New Roman" w:cs="Times New Roman"/>
                <w:b/>
                <w:sz w:val="24"/>
                <w:szCs w:val="24"/>
                <w:lang w:val="en-US"/>
              </w:rPr>
              <w:t>Mean (</w:t>
            </w:r>
            <w:r w:rsidR="00D97E85">
              <w:rPr>
                <w:rFonts w:ascii="Times New Roman" w:hAnsi="Times New Roman" w:cs="Times New Roman"/>
                <w:sz w:val="24"/>
                <w:szCs w:val="24"/>
              </w:rPr>
              <w:t>±</w:t>
            </w:r>
            <w:r w:rsidRPr="00EC6C19">
              <w:rPr>
                <w:rFonts w:ascii="Times New Roman" w:eastAsia="Times New Roman" w:hAnsi="Times New Roman" w:cs="Times New Roman"/>
                <w:b/>
                <w:sz w:val="24"/>
                <w:szCs w:val="24"/>
                <w:lang w:val="en-US"/>
              </w:rPr>
              <w:t xml:space="preserve"> SD)</w:t>
            </w:r>
          </w:p>
        </w:tc>
        <w:tc>
          <w:tcPr>
            <w:tcW w:w="1418" w:type="dxa"/>
            <w:shd w:val="clear" w:color="auto" w:fill="FFFFFF" w:themeFill="background1"/>
            <w:noWrap/>
            <w:hideMark/>
          </w:tcPr>
          <w:p w14:paraId="3FCA6364"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16.5 (5.8)</w:t>
            </w:r>
          </w:p>
          <w:p w14:paraId="5253D15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417" w:type="dxa"/>
            <w:shd w:val="clear" w:color="auto" w:fill="FFFFFF" w:themeFill="background1"/>
            <w:noWrap/>
            <w:hideMark/>
          </w:tcPr>
          <w:p w14:paraId="7493B50C"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15.0 (4.3)</w:t>
            </w:r>
          </w:p>
        </w:tc>
        <w:tc>
          <w:tcPr>
            <w:tcW w:w="1559" w:type="dxa"/>
            <w:shd w:val="clear" w:color="auto" w:fill="FFFFFF" w:themeFill="background1"/>
          </w:tcPr>
          <w:p w14:paraId="61958C83"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-1.5 (4.7)</w:t>
            </w:r>
          </w:p>
          <w:p w14:paraId="413C60D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c>
          <w:tcPr>
            <w:tcW w:w="1560" w:type="dxa"/>
            <w:shd w:val="clear" w:color="auto" w:fill="FFFFFF" w:themeFill="background1"/>
          </w:tcPr>
          <w:p w14:paraId="445D1856"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28.7 (10.3)</w:t>
            </w:r>
          </w:p>
        </w:tc>
        <w:tc>
          <w:tcPr>
            <w:tcW w:w="1842" w:type="dxa"/>
            <w:gridSpan w:val="2"/>
            <w:shd w:val="clear" w:color="auto" w:fill="FFFFFF" w:themeFill="background1"/>
          </w:tcPr>
          <w:p w14:paraId="427B8677"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27.9 (11.3)</w:t>
            </w:r>
          </w:p>
        </w:tc>
        <w:tc>
          <w:tcPr>
            <w:tcW w:w="1671" w:type="dxa"/>
            <w:shd w:val="clear" w:color="auto" w:fill="FFFFFF" w:themeFill="background1"/>
          </w:tcPr>
          <w:p w14:paraId="17E25A4D"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r w:rsidRPr="00EC6C19">
              <w:rPr>
                <w:rFonts w:ascii="Times New Roman" w:eastAsia="Times New Roman" w:hAnsi="Times New Roman" w:cs="Times New Roman"/>
                <w:sz w:val="24"/>
                <w:szCs w:val="24"/>
                <w:lang w:val="en-US"/>
              </w:rPr>
              <w:t>-0.8 (9.8)</w:t>
            </w:r>
          </w:p>
          <w:p w14:paraId="61AEF1FF" w14:textId="77777777" w:rsidR="002825D6" w:rsidRPr="00EC6C19" w:rsidRDefault="002825D6" w:rsidP="002825D6">
            <w:pPr>
              <w:spacing w:line="360" w:lineRule="auto"/>
              <w:jc w:val="center"/>
              <w:rPr>
                <w:rFonts w:ascii="Times New Roman" w:eastAsia="Times New Roman" w:hAnsi="Times New Roman" w:cs="Times New Roman"/>
                <w:sz w:val="24"/>
                <w:szCs w:val="24"/>
                <w:lang w:val="en-US"/>
              </w:rPr>
            </w:pPr>
          </w:p>
        </w:tc>
      </w:tr>
    </w:tbl>
    <w:p w14:paraId="3A1D8573" w14:textId="77777777" w:rsidR="002825D6" w:rsidRDefault="007C0B62" w:rsidP="006667B9">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
    <w:p w14:paraId="199567BE" w14:textId="77777777" w:rsidR="007C0B62" w:rsidRPr="007C0B62" w:rsidRDefault="007C0B62" w:rsidP="007C0B62">
      <w:pPr>
        <w:pStyle w:val="Caption"/>
        <w:spacing w:line="360" w:lineRule="auto"/>
        <w:rPr>
          <w:rFonts w:ascii="Times New Roman" w:hAnsi="Times New Roman" w:cs="Times New Roman"/>
          <w:b w:val="0"/>
          <w:i/>
          <w:color w:val="auto"/>
          <w:sz w:val="24"/>
          <w:szCs w:val="24"/>
        </w:rPr>
      </w:pPr>
      <w:bookmarkStart w:id="195" w:name="_Toc44962610"/>
      <w:r w:rsidRPr="007C0B62">
        <w:rPr>
          <w:rFonts w:ascii="Times New Roman" w:hAnsi="Times New Roman" w:cs="Times New Roman"/>
          <w:b w:val="0"/>
          <w:i/>
          <w:color w:val="auto"/>
          <w:sz w:val="24"/>
          <w:szCs w:val="24"/>
        </w:rPr>
        <w:t xml:space="preserve">Table </w:t>
      </w:r>
      <w:r w:rsidR="00106A32" w:rsidRPr="007C0B62">
        <w:rPr>
          <w:rFonts w:ascii="Times New Roman" w:hAnsi="Times New Roman" w:cs="Times New Roman"/>
          <w:b w:val="0"/>
          <w:i/>
          <w:color w:val="auto"/>
          <w:sz w:val="24"/>
          <w:szCs w:val="24"/>
        </w:rPr>
        <w:fldChar w:fldCharType="begin"/>
      </w:r>
      <w:r w:rsidRPr="007C0B62">
        <w:rPr>
          <w:rFonts w:ascii="Times New Roman" w:hAnsi="Times New Roman" w:cs="Times New Roman"/>
          <w:b w:val="0"/>
          <w:i/>
          <w:color w:val="auto"/>
          <w:sz w:val="24"/>
          <w:szCs w:val="24"/>
        </w:rPr>
        <w:instrText xml:space="preserve"> SEQ Table \* ARABIC </w:instrText>
      </w:r>
      <w:r w:rsidR="00106A32" w:rsidRPr="007C0B6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34</w:t>
      </w:r>
      <w:r w:rsidR="00106A32" w:rsidRPr="007C0B62">
        <w:rPr>
          <w:rFonts w:ascii="Times New Roman" w:hAnsi="Times New Roman" w:cs="Times New Roman"/>
          <w:b w:val="0"/>
          <w:i/>
          <w:color w:val="auto"/>
          <w:sz w:val="24"/>
          <w:szCs w:val="24"/>
        </w:rPr>
        <w:fldChar w:fldCharType="end"/>
      </w:r>
      <w:r w:rsidRPr="007C0B62">
        <w:rPr>
          <w:rFonts w:ascii="Times New Roman" w:hAnsi="Times New Roman" w:cs="Times New Roman"/>
          <w:b w:val="0"/>
          <w:i/>
          <w:color w:val="auto"/>
          <w:sz w:val="24"/>
          <w:szCs w:val="24"/>
        </w:rPr>
        <w:t xml:space="preserve"> - Per Artery Resting and Hyperaemic Doppler Flow.</w:t>
      </w:r>
      <w:bookmarkEnd w:id="195"/>
    </w:p>
    <w:p w14:paraId="13B9AB22" w14:textId="77777777" w:rsidR="009F46DA" w:rsidRPr="00EC6C19" w:rsidRDefault="009F46DA" w:rsidP="00936B2D">
      <w:pPr>
        <w:spacing w:line="360" w:lineRule="auto"/>
        <w:rPr>
          <w:rFonts w:ascii="Times New Roman" w:hAnsi="Times New Roman" w:cs="Times New Roman"/>
          <w:i/>
          <w:sz w:val="24"/>
          <w:szCs w:val="24"/>
        </w:rPr>
      </w:pPr>
    </w:p>
    <w:p w14:paraId="54E6F94A" w14:textId="77777777" w:rsidR="001074F7" w:rsidRPr="00EC6C19" w:rsidRDefault="001074F7" w:rsidP="00FE3F9D">
      <w:pPr>
        <w:spacing w:line="360" w:lineRule="auto"/>
        <w:ind w:left="-737"/>
        <w:rPr>
          <w:rFonts w:ascii="Times New Roman" w:hAnsi="Times New Roman" w:cs="Times New Roman"/>
          <w:i/>
          <w:sz w:val="24"/>
          <w:szCs w:val="24"/>
        </w:rPr>
      </w:pPr>
      <w:r w:rsidRPr="00EC6C19">
        <w:rPr>
          <w:rFonts w:ascii="Times New Roman" w:hAnsi="Times New Roman" w:cs="Times New Roman"/>
          <w:i/>
          <w:noProof/>
          <w:sz w:val="24"/>
          <w:szCs w:val="24"/>
          <w:lang w:eastAsia="en-GB"/>
        </w:rPr>
        <w:drawing>
          <wp:inline distT="0" distB="0" distL="0" distR="0" wp14:anchorId="3077FE46" wp14:editId="06627EC7">
            <wp:extent cx="6951766" cy="5367647"/>
            <wp:effectExtent l="0" t="0" r="1484" b="0"/>
            <wp:docPr id="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BF65FBA" w14:textId="7635DAD5" w:rsidR="00423D11" w:rsidRPr="00D44E9D" w:rsidRDefault="00D44E9D" w:rsidP="00D44E9D">
      <w:pPr>
        <w:pStyle w:val="Caption"/>
        <w:spacing w:line="360" w:lineRule="auto"/>
        <w:rPr>
          <w:rFonts w:ascii="Times New Roman" w:hAnsi="Times New Roman" w:cs="Times New Roman"/>
          <w:b w:val="0"/>
          <w:i/>
          <w:color w:val="auto"/>
          <w:sz w:val="24"/>
          <w:szCs w:val="24"/>
        </w:rPr>
      </w:pPr>
      <w:bookmarkStart w:id="196" w:name="_Toc44684936"/>
      <w:r w:rsidRPr="00D44E9D">
        <w:rPr>
          <w:rFonts w:ascii="Times New Roman" w:hAnsi="Times New Roman" w:cs="Times New Roman"/>
          <w:b w:val="0"/>
          <w:i/>
          <w:color w:val="auto"/>
          <w:sz w:val="24"/>
          <w:szCs w:val="24"/>
        </w:rPr>
        <w:t xml:space="preserve">Figure </w:t>
      </w:r>
      <w:r w:rsidR="00106A32" w:rsidRPr="00D44E9D">
        <w:rPr>
          <w:rFonts w:ascii="Times New Roman" w:hAnsi="Times New Roman" w:cs="Times New Roman"/>
          <w:b w:val="0"/>
          <w:i/>
          <w:color w:val="auto"/>
          <w:sz w:val="24"/>
          <w:szCs w:val="24"/>
        </w:rPr>
        <w:fldChar w:fldCharType="begin"/>
      </w:r>
      <w:r w:rsidRPr="00D44E9D">
        <w:rPr>
          <w:rFonts w:ascii="Times New Roman" w:hAnsi="Times New Roman" w:cs="Times New Roman"/>
          <w:b w:val="0"/>
          <w:i/>
          <w:color w:val="auto"/>
          <w:sz w:val="24"/>
          <w:szCs w:val="24"/>
        </w:rPr>
        <w:instrText xml:space="preserve"> SEQ Figure \* ARABIC </w:instrText>
      </w:r>
      <w:r w:rsidR="00106A32" w:rsidRPr="00D44E9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47</w:t>
      </w:r>
      <w:r w:rsidR="00106A32" w:rsidRPr="00D44E9D">
        <w:rPr>
          <w:rFonts w:ascii="Times New Roman" w:hAnsi="Times New Roman" w:cs="Times New Roman"/>
          <w:b w:val="0"/>
          <w:i/>
          <w:color w:val="auto"/>
          <w:sz w:val="24"/>
          <w:szCs w:val="24"/>
        </w:rPr>
        <w:fldChar w:fldCharType="end"/>
      </w:r>
      <w:r w:rsidRPr="00D44E9D">
        <w:rPr>
          <w:rFonts w:ascii="Times New Roman" w:hAnsi="Times New Roman" w:cs="Times New Roman"/>
          <w:b w:val="0"/>
          <w:i/>
          <w:color w:val="auto"/>
          <w:sz w:val="24"/>
          <w:szCs w:val="24"/>
        </w:rPr>
        <w:t xml:space="preserve"> -Resting and Hyperaemic Doppler flow per artery - </w:t>
      </w:r>
      <w:r w:rsidR="00557F86" w:rsidRPr="00D44E9D">
        <w:rPr>
          <w:rFonts w:ascii="Times New Roman" w:hAnsi="Times New Roman" w:cs="Times New Roman"/>
          <w:b w:val="0"/>
          <w:i/>
          <w:color w:val="auto"/>
          <w:sz w:val="24"/>
          <w:szCs w:val="24"/>
        </w:rPr>
        <w:t>prone versus supine</w:t>
      </w:r>
      <w:r w:rsidR="00CB5985" w:rsidRPr="00D44E9D">
        <w:rPr>
          <w:rFonts w:ascii="Times New Roman" w:hAnsi="Times New Roman" w:cs="Times New Roman"/>
          <w:b w:val="0"/>
          <w:i/>
          <w:color w:val="auto"/>
          <w:sz w:val="24"/>
          <w:szCs w:val="24"/>
        </w:rPr>
        <w:t xml:space="preserve"> </w:t>
      </w:r>
      <w:r w:rsidR="00D97E85">
        <w:rPr>
          <w:rFonts w:ascii="Times New Roman" w:hAnsi="Times New Roman" w:cs="Times New Roman"/>
          <w:sz w:val="24"/>
          <w:szCs w:val="24"/>
        </w:rPr>
        <w:t>±</w:t>
      </w:r>
      <w:r w:rsidR="00CB5985" w:rsidRPr="00D44E9D">
        <w:rPr>
          <w:rFonts w:ascii="Times New Roman" w:hAnsi="Times New Roman" w:cs="Times New Roman"/>
          <w:b w:val="0"/>
          <w:i/>
          <w:color w:val="auto"/>
          <w:sz w:val="24"/>
          <w:szCs w:val="24"/>
        </w:rPr>
        <w:t xml:space="preserve"> SD</w:t>
      </w:r>
      <w:r w:rsidR="00FE7A97" w:rsidRPr="00D44E9D">
        <w:rPr>
          <w:rFonts w:ascii="Times New Roman" w:hAnsi="Times New Roman" w:cs="Times New Roman"/>
          <w:b w:val="0"/>
          <w:i/>
          <w:color w:val="auto"/>
          <w:sz w:val="24"/>
          <w:szCs w:val="24"/>
        </w:rPr>
        <w:t>.</w:t>
      </w:r>
      <w:r w:rsidR="00081877" w:rsidRPr="00D44E9D">
        <w:rPr>
          <w:rFonts w:ascii="Times New Roman" w:hAnsi="Times New Roman" w:cs="Times New Roman"/>
          <w:b w:val="0"/>
          <w:i/>
          <w:color w:val="auto"/>
          <w:sz w:val="24"/>
          <w:szCs w:val="24"/>
        </w:rPr>
        <w:t xml:space="preserve"> </w:t>
      </w:r>
      <w:r w:rsidR="00CB5985" w:rsidRPr="00D44E9D">
        <w:rPr>
          <w:rFonts w:ascii="Times New Roman" w:hAnsi="Times New Roman" w:cs="Times New Roman"/>
          <w:b w:val="0"/>
          <w:i/>
          <w:color w:val="auto"/>
          <w:sz w:val="24"/>
          <w:szCs w:val="24"/>
        </w:rPr>
        <w:t>Delta change</w:t>
      </w:r>
      <w:r w:rsidR="00081877" w:rsidRPr="00D44E9D">
        <w:rPr>
          <w:rFonts w:ascii="Times New Roman" w:hAnsi="Times New Roman" w:cs="Times New Roman"/>
          <w:b w:val="0"/>
          <w:i/>
          <w:color w:val="auto"/>
          <w:sz w:val="24"/>
          <w:szCs w:val="24"/>
        </w:rPr>
        <w:t xml:space="preserve"> </w:t>
      </w:r>
      <w:r w:rsidR="00CB5985" w:rsidRPr="00D44E9D">
        <w:rPr>
          <w:rFonts w:ascii="Times New Roman" w:hAnsi="Times New Roman" w:cs="Times New Roman"/>
          <w:b w:val="0"/>
          <w:i/>
          <w:color w:val="auto"/>
          <w:sz w:val="24"/>
          <w:szCs w:val="24"/>
        </w:rPr>
        <w:t>in each artery is not</w:t>
      </w:r>
      <w:r w:rsidR="00081877" w:rsidRPr="00D44E9D">
        <w:rPr>
          <w:rFonts w:ascii="Times New Roman" w:hAnsi="Times New Roman" w:cs="Times New Roman"/>
          <w:b w:val="0"/>
          <w:i/>
          <w:color w:val="auto"/>
          <w:sz w:val="24"/>
          <w:szCs w:val="24"/>
        </w:rPr>
        <w:t xml:space="preserve"> statistically significant</w:t>
      </w:r>
      <w:r w:rsidR="00557F86" w:rsidRPr="00D44E9D">
        <w:rPr>
          <w:rFonts w:ascii="Times New Roman" w:hAnsi="Times New Roman" w:cs="Times New Roman"/>
          <w:b w:val="0"/>
          <w:i/>
          <w:color w:val="auto"/>
          <w:sz w:val="24"/>
          <w:szCs w:val="24"/>
        </w:rPr>
        <w:t xml:space="preserve"> (p&gt;0.05</w:t>
      </w:r>
      <w:r w:rsidR="00CB5985" w:rsidRPr="00D44E9D">
        <w:rPr>
          <w:rFonts w:ascii="Times New Roman" w:hAnsi="Times New Roman" w:cs="Times New Roman"/>
          <w:b w:val="0"/>
          <w:i/>
          <w:color w:val="auto"/>
          <w:sz w:val="24"/>
          <w:szCs w:val="24"/>
        </w:rPr>
        <w:t>.)</w:t>
      </w:r>
      <w:bookmarkEnd w:id="196"/>
    </w:p>
    <w:p w14:paraId="75C34639" w14:textId="77777777" w:rsidR="00936B2D" w:rsidRPr="00EC6C19" w:rsidRDefault="00936B2D" w:rsidP="00936B2D">
      <w:pPr>
        <w:spacing w:line="360" w:lineRule="auto"/>
        <w:rPr>
          <w:rFonts w:ascii="Times New Roman" w:hAnsi="Times New Roman" w:cs="Times New Roman"/>
          <w:sz w:val="24"/>
          <w:szCs w:val="24"/>
        </w:rPr>
      </w:pPr>
    </w:p>
    <w:p w14:paraId="5F69E8E0" w14:textId="77777777" w:rsidR="00A11D58" w:rsidRPr="00EC6C19" w:rsidRDefault="00A11D58" w:rsidP="00936B2D">
      <w:pPr>
        <w:spacing w:line="360" w:lineRule="auto"/>
        <w:rPr>
          <w:rFonts w:ascii="Times New Roman" w:hAnsi="Times New Roman" w:cs="Times New Roman"/>
          <w:sz w:val="24"/>
          <w:szCs w:val="24"/>
        </w:rPr>
      </w:pPr>
    </w:p>
    <w:p w14:paraId="7D17B010" w14:textId="77777777" w:rsidR="00D94B5D" w:rsidRPr="00EC6C19" w:rsidRDefault="00D94B5D" w:rsidP="00936B2D">
      <w:pPr>
        <w:spacing w:line="360" w:lineRule="auto"/>
        <w:rPr>
          <w:rFonts w:ascii="Times New Roman" w:hAnsi="Times New Roman" w:cs="Times New Roman"/>
          <w:sz w:val="24"/>
          <w:szCs w:val="24"/>
        </w:rPr>
      </w:pPr>
    </w:p>
    <w:p w14:paraId="10CA5C16" w14:textId="77777777" w:rsidR="00081877" w:rsidRDefault="00081877" w:rsidP="00936B2D">
      <w:pPr>
        <w:spacing w:line="360" w:lineRule="auto"/>
        <w:rPr>
          <w:rFonts w:ascii="Times New Roman" w:hAnsi="Times New Roman" w:cs="Times New Roman"/>
          <w:sz w:val="24"/>
          <w:szCs w:val="24"/>
        </w:rPr>
      </w:pPr>
    </w:p>
    <w:p w14:paraId="3E3B7EA6" w14:textId="77777777" w:rsidR="00F90268" w:rsidRPr="00EC6C19" w:rsidRDefault="00F90268" w:rsidP="00936B2D">
      <w:pPr>
        <w:spacing w:line="360" w:lineRule="auto"/>
        <w:rPr>
          <w:rFonts w:ascii="Times New Roman" w:hAnsi="Times New Roman" w:cs="Times New Roman"/>
          <w:sz w:val="24"/>
          <w:szCs w:val="24"/>
        </w:rPr>
      </w:pPr>
    </w:p>
    <w:p w14:paraId="0B768B29" w14:textId="77777777" w:rsidR="00D94B5D" w:rsidRPr="00B15CB5" w:rsidRDefault="00B15CB5" w:rsidP="00B15CB5">
      <w:pPr>
        <w:pStyle w:val="Heading2"/>
        <w:rPr>
          <w:rFonts w:ascii="Times New Roman" w:hAnsi="Times New Roman" w:cs="Times New Roman"/>
          <w:color w:val="auto"/>
          <w:sz w:val="24"/>
          <w:szCs w:val="24"/>
        </w:rPr>
      </w:pPr>
      <w:bookmarkStart w:id="197" w:name="_Toc80302260"/>
      <w:r w:rsidRPr="00B15CB5">
        <w:rPr>
          <w:rFonts w:ascii="Times New Roman" w:hAnsi="Times New Roman" w:cs="Times New Roman"/>
          <w:color w:val="auto"/>
          <w:sz w:val="24"/>
          <w:szCs w:val="24"/>
        </w:rPr>
        <w:t xml:space="preserve">3.20 - </w:t>
      </w:r>
      <w:r w:rsidR="00A11D58" w:rsidRPr="00B15CB5">
        <w:rPr>
          <w:rFonts w:ascii="Times New Roman" w:hAnsi="Times New Roman" w:cs="Times New Roman"/>
          <w:color w:val="auto"/>
          <w:sz w:val="24"/>
          <w:szCs w:val="24"/>
        </w:rPr>
        <w:t>Summary of Doppler Based Measurements</w:t>
      </w:r>
      <w:bookmarkEnd w:id="197"/>
      <w:r>
        <w:rPr>
          <w:rFonts w:ascii="Times New Roman" w:hAnsi="Times New Roman" w:cs="Times New Roman"/>
          <w:color w:val="auto"/>
          <w:sz w:val="24"/>
          <w:szCs w:val="24"/>
        </w:rPr>
        <w:br/>
      </w:r>
    </w:p>
    <w:p w14:paraId="5DC56A1A" w14:textId="77777777" w:rsidR="00A11D58" w:rsidRPr="00EC6C19" w:rsidRDefault="00A11D58" w:rsidP="0038722A">
      <w:pPr>
        <w:spacing w:line="360" w:lineRule="auto"/>
        <w:rPr>
          <w:rFonts w:ascii="Times New Roman" w:hAnsi="Times New Roman" w:cs="Times New Roman"/>
          <w:b/>
          <w:sz w:val="24"/>
          <w:szCs w:val="24"/>
        </w:rPr>
      </w:pPr>
    </w:p>
    <w:p w14:paraId="798448D9" w14:textId="77777777" w:rsidR="00A11D58" w:rsidRPr="00EC6C19" w:rsidRDefault="0038722A" w:rsidP="0038722A">
      <w:pPr>
        <w:spacing w:line="360" w:lineRule="auto"/>
        <w:rPr>
          <w:rFonts w:ascii="Times New Roman" w:hAnsi="Times New Roman" w:cs="Times New Roman"/>
          <w:sz w:val="24"/>
          <w:szCs w:val="24"/>
        </w:rPr>
      </w:pPr>
      <w:r w:rsidRPr="00EC6C19">
        <w:rPr>
          <w:rFonts w:ascii="Times New Roman" w:hAnsi="Times New Roman" w:cs="Times New Roman"/>
          <w:sz w:val="24"/>
          <w:szCs w:val="24"/>
        </w:rPr>
        <w:t>In summary, the doppler based measurements</w:t>
      </w:r>
      <w:r w:rsidR="00A11D58" w:rsidRPr="00EC6C19">
        <w:rPr>
          <w:rFonts w:ascii="Times New Roman" w:hAnsi="Times New Roman" w:cs="Times New Roman"/>
          <w:sz w:val="24"/>
          <w:szCs w:val="24"/>
        </w:rPr>
        <w:t xml:space="preserve"> demonstrated the following;</w:t>
      </w:r>
    </w:p>
    <w:p w14:paraId="62EBB221" w14:textId="77777777" w:rsidR="00A11D58" w:rsidRPr="00EC6C19" w:rsidRDefault="00A11D58" w:rsidP="0038722A">
      <w:pPr>
        <w:spacing w:line="360" w:lineRule="auto"/>
        <w:rPr>
          <w:rFonts w:ascii="Times New Roman" w:hAnsi="Times New Roman" w:cs="Times New Roman"/>
          <w:sz w:val="24"/>
          <w:szCs w:val="24"/>
        </w:rPr>
      </w:pPr>
    </w:p>
    <w:p w14:paraId="071D7B3A" w14:textId="77777777" w:rsidR="00A11D58" w:rsidRPr="00EC6C19" w:rsidRDefault="0091073F" w:rsidP="0038722A">
      <w:pPr>
        <w:pStyle w:val="ListParagraph"/>
        <w:numPr>
          <w:ilvl w:val="0"/>
          <w:numId w:val="29"/>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was no statistical difference between prone and supine doppler measurements in the resting state</w:t>
      </w:r>
      <w:r w:rsidR="0038722A" w:rsidRPr="00EC6C19">
        <w:rPr>
          <w:rFonts w:ascii="Times New Roman" w:hAnsi="Times New Roman" w:cs="Times New Roman"/>
          <w:sz w:val="24"/>
          <w:szCs w:val="24"/>
        </w:rPr>
        <w:t>, in all coronary arteries</w:t>
      </w:r>
      <w:r w:rsidR="00F37451">
        <w:rPr>
          <w:rFonts w:ascii="Times New Roman" w:hAnsi="Times New Roman" w:cs="Times New Roman"/>
          <w:sz w:val="24"/>
          <w:szCs w:val="24"/>
        </w:rPr>
        <w:t xml:space="preserve"> (in combination and individually)</w:t>
      </w:r>
      <w:r w:rsidRPr="00EC6C19">
        <w:rPr>
          <w:rFonts w:ascii="Times New Roman" w:hAnsi="Times New Roman" w:cs="Times New Roman"/>
          <w:sz w:val="24"/>
          <w:szCs w:val="24"/>
        </w:rPr>
        <w:t>.</w:t>
      </w:r>
    </w:p>
    <w:p w14:paraId="110D0E61" w14:textId="77777777" w:rsidR="00A11D58" w:rsidRPr="00EC6C19" w:rsidRDefault="00A11D58" w:rsidP="0038722A">
      <w:pPr>
        <w:pStyle w:val="ListParagraph"/>
        <w:spacing w:line="360" w:lineRule="auto"/>
        <w:rPr>
          <w:rFonts w:ascii="Times New Roman" w:hAnsi="Times New Roman" w:cs="Times New Roman"/>
          <w:sz w:val="24"/>
          <w:szCs w:val="24"/>
        </w:rPr>
      </w:pPr>
    </w:p>
    <w:p w14:paraId="3CED5C75" w14:textId="77777777" w:rsidR="00A11D58" w:rsidRPr="00EC6C19" w:rsidRDefault="0091073F" w:rsidP="0038722A">
      <w:pPr>
        <w:pStyle w:val="ListParagraph"/>
        <w:numPr>
          <w:ilvl w:val="0"/>
          <w:numId w:val="29"/>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was no statistical difference between prone and supine doppler measurements during steady state hyperaemia</w:t>
      </w:r>
      <w:r w:rsidR="0038722A" w:rsidRPr="00EC6C19">
        <w:rPr>
          <w:rFonts w:ascii="Times New Roman" w:hAnsi="Times New Roman" w:cs="Times New Roman"/>
          <w:sz w:val="24"/>
          <w:szCs w:val="24"/>
        </w:rPr>
        <w:t xml:space="preserve"> in all coronary arteries</w:t>
      </w:r>
      <w:r w:rsidR="00F37451">
        <w:rPr>
          <w:rFonts w:ascii="Times New Roman" w:hAnsi="Times New Roman" w:cs="Times New Roman"/>
          <w:sz w:val="24"/>
          <w:szCs w:val="24"/>
        </w:rPr>
        <w:t xml:space="preserve"> (in combination and individually)</w:t>
      </w:r>
      <w:r w:rsidRPr="00EC6C19">
        <w:rPr>
          <w:rFonts w:ascii="Times New Roman" w:hAnsi="Times New Roman" w:cs="Times New Roman"/>
          <w:sz w:val="24"/>
          <w:szCs w:val="24"/>
        </w:rPr>
        <w:t>.</w:t>
      </w:r>
    </w:p>
    <w:p w14:paraId="7900B756" w14:textId="77777777" w:rsidR="0038722A" w:rsidRPr="00EC6C19" w:rsidRDefault="0038722A" w:rsidP="0038722A">
      <w:pPr>
        <w:spacing w:line="360" w:lineRule="auto"/>
        <w:rPr>
          <w:rFonts w:ascii="Times New Roman" w:hAnsi="Times New Roman" w:cs="Times New Roman"/>
          <w:sz w:val="24"/>
          <w:szCs w:val="24"/>
        </w:rPr>
      </w:pPr>
    </w:p>
    <w:p w14:paraId="2B865F58" w14:textId="77777777" w:rsidR="0038722A" w:rsidRPr="00EC6C19" w:rsidRDefault="006565A1" w:rsidP="00796E52">
      <w:pPr>
        <w:spacing w:line="360" w:lineRule="auto"/>
        <w:rPr>
          <w:rFonts w:ascii="Times New Roman" w:hAnsi="Times New Roman" w:cs="Times New Roman"/>
          <w:sz w:val="24"/>
          <w:szCs w:val="24"/>
        </w:rPr>
      </w:pPr>
      <w:r w:rsidRPr="00EC6C19">
        <w:rPr>
          <w:rFonts w:ascii="Times New Roman" w:hAnsi="Times New Roman" w:cs="Times New Roman"/>
          <w:sz w:val="24"/>
          <w:szCs w:val="24"/>
        </w:rPr>
        <w:t>Results were non-significant</w:t>
      </w:r>
      <w:r w:rsidR="00B652E0" w:rsidRPr="00EC6C19">
        <w:rPr>
          <w:rFonts w:ascii="Times New Roman" w:hAnsi="Times New Roman" w:cs="Times New Roman"/>
          <w:sz w:val="24"/>
          <w:szCs w:val="24"/>
        </w:rPr>
        <w:t xml:space="preserve"> for </w:t>
      </w:r>
      <w:r w:rsidR="001D0220" w:rsidRPr="00EC6C19">
        <w:rPr>
          <w:rFonts w:ascii="Times New Roman" w:hAnsi="Times New Roman" w:cs="Times New Roman"/>
          <w:sz w:val="24"/>
          <w:szCs w:val="24"/>
        </w:rPr>
        <w:t xml:space="preserve">resting </w:t>
      </w:r>
      <w:r w:rsidR="00B652E0" w:rsidRPr="00EC6C19">
        <w:rPr>
          <w:rFonts w:ascii="Times New Roman" w:hAnsi="Times New Roman" w:cs="Times New Roman"/>
          <w:sz w:val="24"/>
          <w:szCs w:val="24"/>
        </w:rPr>
        <w:t>and hyperaemic measurements (p=</w:t>
      </w:r>
      <w:r w:rsidR="001D0220" w:rsidRPr="00EC6C19">
        <w:rPr>
          <w:rFonts w:ascii="Times New Roman" w:hAnsi="Times New Roman" w:cs="Times New Roman"/>
          <w:sz w:val="24"/>
          <w:szCs w:val="24"/>
        </w:rPr>
        <w:t xml:space="preserve"> 0.12</w:t>
      </w:r>
      <w:r w:rsidR="00B652E0" w:rsidRPr="00EC6C19">
        <w:rPr>
          <w:rFonts w:ascii="Times New Roman" w:hAnsi="Times New Roman" w:cs="Times New Roman"/>
          <w:sz w:val="24"/>
          <w:szCs w:val="24"/>
        </w:rPr>
        <w:t xml:space="preserve"> and 0.68 respectively).</w:t>
      </w:r>
    </w:p>
    <w:p w14:paraId="5D048B9C" w14:textId="77777777" w:rsidR="00D94B5D" w:rsidRPr="00EC6C19" w:rsidRDefault="00D94B5D" w:rsidP="00936B2D">
      <w:pPr>
        <w:spacing w:line="360" w:lineRule="auto"/>
        <w:rPr>
          <w:rFonts w:ascii="Times New Roman" w:hAnsi="Times New Roman" w:cs="Times New Roman"/>
          <w:sz w:val="24"/>
          <w:szCs w:val="24"/>
        </w:rPr>
      </w:pPr>
    </w:p>
    <w:p w14:paraId="126CB4F2" w14:textId="77777777" w:rsidR="0005334A" w:rsidRPr="00B15CB5" w:rsidRDefault="00B15CB5" w:rsidP="00B15CB5">
      <w:pPr>
        <w:pStyle w:val="Heading2"/>
        <w:rPr>
          <w:rFonts w:ascii="Times New Roman" w:hAnsi="Times New Roman" w:cs="Times New Roman"/>
          <w:color w:val="auto"/>
          <w:sz w:val="24"/>
          <w:szCs w:val="24"/>
        </w:rPr>
      </w:pPr>
      <w:bookmarkStart w:id="198" w:name="_Toc80302261"/>
      <w:r w:rsidRPr="00B15CB5">
        <w:rPr>
          <w:rFonts w:ascii="Times New Roman" w:hAnsi="Times New Roman" w:cs="Times New Roman"/>
          <w:color w:val="auto"/>
          <w:sz w:val="24"/>
          <w:szCs w:val="24"/>
        </w:rPr>
        <w:t xml:space="preserve">3.21 - </w:t>
      </w:r>
      <w:r>
        <w:rPr>
          <w:rFonts w:ascii="Times New Roman" w:hAnsi="Times New Roman" w:cs="Times New Roman"/>
          <w:color w:val="auto"/>
          <w:sz w:val="24"/>
          <w:szCs w:val="24"/>
        </w:rPr>
        <w:t>Guide to Wire Correlation Data</w:t>
      </w:r>
      <w:bookmarkEnd w:id="198"/>
      <w:r>
        <w:rPr>
          <w:rFonts w:ascii="Times New Roman" w:hAnsi="Times New Roman" w:cs="Times New Roman"/>
          <w:color w:val="auto"/>
          <w:sz w:val="24"/>
          <w:szCs w:val="24"/>
        </w:rPr>
        <w:br/>
      </w:r>
    </w:p>
    <w:p w14:paraId="6F665026" w14:textId="77777777" w:rsidR="002C0937" w:rsidRPr="00EC6C19" w:rsidRDefault="002C0937" w:rsidP="001C0BBF">
      <w:pPr>
        <w:spacing w:line="360" w:lineRule="auto"/>
        <w:rPr>
          <w:rFonts w:ascii="Times New Roman" w:hAnsi="Times New Roman" w:cs="Times New Roman"/>
          <w:i/>
          <w:sz w:val="24"/>
          <w:szCs w:val="24"/>
        </w:rPr>
      </w:pPr>
    </w:p>
    <w:p w14:paraId="431DB066" w14:textId="77777777" w:rsidR="002C0937" w:rsidRPr="00B15CB5" w:rsidRDefault="00B15CB5" w:rsidP="00B15CB5">
      <w:pPr>
        <w:pStyle w:val="Heading2"/>
        <w:rPr>
          <w:rFonts w:ascii="Times New Roman" w:hAnsi="Times New Roman" w:cs="Times New Roman"/>
          <w:b w:val="0"/>
          <w:i/>
          <w:color w:val="auto"/>
          <w:sz w:val="24"/>
          <w:szCs w:val="24"/>
        </w:rPr>
      </w:pPr>
      <w:bookmarkStart w:id="199" w:name="_Toc80302262"/>
      <w:r w:rsidRPr="00B15CB5">
        <w:rPr>
          <w:rFonts w:ascii="Times New Roman" w:hAnsi="Times New Roman" w:cs="Times New Roman"/>
          <w:b w:val="0"/>
          <w:i/>
          <w:color w:val="auto"/>
          <w:sz w:val="24"/>
          <w:szCs w:val="24"/>
        </w:rPr>
        <w:t xml:space="preserve">3.21.1 - </w:t>
      </w:r>
      <w:r w:rsidR="002C0937" w:rsidRPr="00B15CB5">
        <w:rPr>
          <w:rFonts w:ascii="Times New Roman" w:hAnsi="Times New Roman" w:cs="Times New Roman"/>
          <w:b w:val="0"/>
          <w:i/>
          <w:color w:val="auto"/>
          <w:sz w:val="24"/>
          <w:szCs w:val="24"/>
        </w:rPr>
        <w:t>Pd/Pa</w:t>
      </w:r>
      <w:bookmarkEnd w:id="199"/>
    </w:p>
    <w:p w14:paraId="650516CA" w14:textId="77777777" w:rsidR="005F65F2" w:rsidRPr="00EC6C19" w:rsidRDefault="00B15CB5" w:rsidP="001C0BBF">
      <w:pPr>
        <w:spacing w:line="360" w:lineRule="auto"/>
        <w:rPr>
          <w:rFonts w:ascii="Times New Roman" w:hAnsi="Times New Roman" w:cs="Times New Roman"/>
          <w:sz w:val="24"/>
          <w:szCs w:val="24"/>
        </w:rPr>
      </w:pPr>
      <w:r>
        <w:rPr>
          <w:rFonts w:ascii="Times New Roman" w:hAnsi="Times New Roman" w:cs="Times New Roman"/>
          <w:sz w:val="24"/>
          <w:szCs w:val="24"/>
        </w:rPr>
        <w:br/>
      </w:r>
    </w:p>
    <w:p w14:paraId="0F482624" w14:textId="77777777" w:rsidR="0005334A" w:rsidRPr="00EC6C19" w:rsidRDefault="00C029C6"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Each guide to wire measurement has been correlated with the delta change in Pd/Pa for that specific stenosis. A scatter plot below is </w:t>
      </w:r>
      <w:r w:rsidRPr="00D44E9D">
        <w:rPr>
          <w:rFonts w:ascii="Times New Roman" w:hAnsi="Times New Roman" w:cs="Times New Roman"/>
          <w:sz w:val="24"/>
          <w:szCs w:val="24"/>
        </w:rPr>
        <w:t xml:space="preserve">shown in figure </w:t>
      </w:r>
      <w:r w:rsidR="00D44E9D" w:rsidRPr="00D44E9D">
        <w:rPr>
          <w:rFonts w:ascii="Times New Roman" w:hAnsi="Times New Roman" w:cs="Times New Roman"/>
          <w:sz w:val="24"/>
          <w:szCs w:val="24"/>
        </w:rPr>
        <w:t>48</w:t>
      </w:r>
      <w:r w:rsidRPr="00D44E9D">
        <w:rPr>
          <w:rFonts w:ascii="Times New Roman" w:hAnsi="Times New Roman" w:cs="Times New Roman"/>
          <w:sz w:val="24"/>
          <w:szCs w:val="24"/>
        </w:rPr>
        <w:t xml:space="preserve">. </w:t>
      </w:r>
      <w:r w:rsidR="007D55C4" w:rsidRPr="00D44E9D">
        <w:rPr>
          <w:rFonts w:ascii="Times New Roman" w:hAnsi="Times New Roman" w:cs="Times New Roman"/>
          <w:sz w:val="24"/>
          <w:szCs w:val="24"/>
        </w:rPr>
        <w:t>Spearman</w:t>
      </w:r>
      <w:r w:rsidR="007F2E5D" w:rsidRPr="00D44E9D">
        <w:rPr>
          <w:rFonts w:ascii="Times New Roman" w:hAnsi="Times New Roman" w:cs="Times New Roman"/>
          <w:sz w:val="24"/>
          <w:szCs w:val="24"/>
        </w:rPr>
        <w:t>'s</w:t>
      </w:r>
      <w:r w:rsidRPr="00EC6C19">
        <w:rPr>
          <w:rFonts w:ascii="Times New Roman" w:hAnsi="Times New Roman" w:cs="Times New Roman"/>
          <w:sz w:val="24"/>
          <w:szCs w:val="24"/>
        </w:rPr>
        <w:t xml:space="preserve"> correlation </w:t>
      </w:r>
      <w:r w:rsidR="001C0BBF" w:rsidRPr="00EC6C19">
        <w:rPr>
          <w:rFonts w:ascii="Times New Roman" w:hAnsi="Times New Roman" w:cs="Times New Roman"/>
          <w:sz w:val="24"/>
          <w:szCs w:val="24"/>
        </w:rPr>
        <w:t>calculation</w:t>
      </w:r>
      <w:r w:rsidR="007F2E5D" w:rsidRPr="00EC6C19">
        <w:rPr>
          <w:rFonts w:ascii="Times New Roman" w:hAnsi="Times New Roman" w:cs="Times New Roman"/>
          <w:sz w:val="24"/>
          <w:szCs w:val="24"/>
        </w:rPr>
        <w:t xml:space="preserve"> is 0.49</w:t>
      </w:r>
      <w:r w:rsidR="00AA1EAA" w:rsidRPr="00EC6C19">
        <w:rPr>
          <w:rFonts w:ascii="Times New Roman" w:hAnsi="Times New Roman" w:cs="Times New Roman"/>
          <w:sz w:val="24"/>
          <w:szCs w:val="24"/>
        </w:rPr>
        <w:t>3</w:t>
      </w:r>
      <w:r w:rsidRPr="00EC6C19">
        <w:rPr>
          <w:rFonts w:ascii="Times New Roman" w:hAnsi="Times New Roman" w:cs="Times New Roman"/>
          <w:sz w:val="24"/>
          <w:szCs w:val="24"/>
        </w:rPr>
        <w:t xml:space="preserve">, which is not </w:t>
      </w:r>
      <w:r w:rsidR="007F2E5D" w:rsidRPr="00EC6C19">
        <w:rPr>
          <w:rFonts w:ascii="Times New Roman" w:hAnsi="Times New Roman" w:cs="Times New Roman"/>
          <w:sz w:val="24"/>
          <w:szCs w:val="24"/>
        </w:rPr>
        <w:t xml:space="preserve">statistically </w:t>
      </w:r>
      <w:r w:rsidRPr="00EC6C19">
        <w:rPr>
          <w:rFonts w:ascii="Times New Roman" w:hAnsi="Times New Roman" w:cs="Times New Roman"/>
          <w:sz w:val="24"/>
          <w:szCs w:val="24"/>
        </w:rPr>
        <w:t>significant.</w:t>
      </w:r>
    </w:p>
    <w:p w14:paraId="5DEBF5FD" w14:textId="77777777" w:rsidR="007F2E5D" w:rsidRPr="00EC6C19" w:rsidRDefault="007D55C4" w:rsidP="009962AA">
      <w:pPr>
        <w:autoSpaceDE w:val="0"/>
        <w:autoSpaceDN w:val="0"/>
        <w:adjustRightInd w:val="0"/>
        <w:spacing w:after="0" w:line="240" w:lineRule="auto"/>
        <w:rPr>
          <w:rFonts w:ascii="Times New Roman" w:hAnsi="Times New Roman" w:cs="Times New Roman"/>
          <w:sz w:val="24"/>
          <w:szCs w:val="24"/>
          <w:lang w:val="en-US"/>
        </w:rPr>
      </w:pPr>
      <w:r w:rsidRPr="00EC6C19">
        <w:rPr>
          <w:rFonts w:ascii="Times New Roman" w:hAnsi="Times New Roman" w:cs="Times New Roman"/>
          <w:noProof/>
          <w:sz w:val="24"/>
          <w:szCs w:val="24"/>
          <w:lang w:eastAsia="en-GB"/>
        </w:rPr>
        <w:drawing>
          <wp:inline distT="0" distB="0" distL="0" distR="0" wp14:anchorId="0BA64661" wp14:editId="04E69F8E">
            <wp:extent cx="5676900" cy="4467225"/>
            <wp:effectExtent l="19050" t="0" r="0" b="0"/>
            <wp:docPr id="7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srcRect/>
                    <a:stretch>
                      <a:fillRect/>
                    </a:stretch>
                  </pic:blipFill>
                  <pic:spPr bwMode="auto">
                    <a:xfrm>
                      <a:off x="0" y="0"/>
                      <a:ext cx="5676900" cy="4467225"/>
                    </a:xfrm>
                    <a:prstGeom prst="rect">
                      <a:avLst/>
                    </a:prstGeom>
                    <a:noFill/>
                    <a:ln w="9525">
                      <a:noFill/>
                      <a:miter lim="800000"/>
                      <a:headEnd/>
                      <a:tailEnd/>
                    </a:ln>
                  </pic:spPr>
                </pic:pic>
              </a:graphicData>
            </a:graphic>
          </wp:inline>
        </w:drawing>
      </w:r>
    </w:p>
    <w:p w14:paraId="4048CC9E" w14:textId="77777777" w:rsidR="007F2E5D" w:rsidRPr="00EC6C19" w:rsidRDefault="007F2E5D" w:rsidP="007F2E5D">
      <w:pPr>
        <w:autoSpaceDE w:val="0"/>
        <w:autoSpaceDN w:val="0"/>
        <w:adjustRightInd w:val="0"/>
        <w:spacing w:after="0" w:line="240" w:lineRule="auto"/>
        <w:rPr>
          <w:rFonts w:ascii="Times New Roman" w:hAnsi="Times New Roman" w:cs="Times New Roman"/>
          <w:sz w:val="24"/>
          <w:szCs w:val="24"/>
          <w:lang w:val="en-US"/>
        </w:rPr>
      </w:pPr>
    </w:p>
    <w:p w14:paraId="43DE9DD8" w14:textId="77777777" w:rsidR="007F2E5D" w:rsidRPr="00EC6C19" w:rsidRDefault="007F2E5D" w:rsidP="007F2E5D">
      <w:pPr>
        <w:autoSpaceDE w:val="0"/>
        <w:autoSpaceDN w:val="0"/>
        <w:adjustRightInd w:val="0"/>
        <w:spacing w:after="0" w:line="400" w:lineRule="atLeast"/>
        <w:rPr>
          <w:rFonts w:ascii="Times New Roman" w:hAnsi="Times New Roman" w:cs="Times New Roman"/>
          <w:sz w:val="24"/>
          <w:szCs w:val="24"/>
          <w:lang w:val="en-US"/>
        </w:rPr>
      </w:pPr>
    </w:p>
    <w:p w14:paraId="4E5A3625" w14:textId="77777777" w:rsidR="00C029C6" w:rsidRPr="00EC6C19" w:rsidRDefault="00C029C6" w:rsidP="001C0BBF">
      <w:pPr>
        <w:spacing w:line="360" w:lineRule="auto"/>
        <w:ind w:left="-737"/>
        <w:rPr>
          <w:rFonts w:ascii="Times New Roman" w:hAnsi="Times New Roman" w:cs="Times New Roman"/>
          <w:sz w:val="24"/>
          <w:szCs w:val="24"/>
        </w:rPr>
      </w:pPr>
    </w:p>
    <w:p w14:paraId="75DBF8A3" w14:textId="77777777" w:rsidR="005F65F2" w:rsidRDefault="00D44E9D" w:rsidP="00D44E9D">
      <w:pPr>
        <w:pStyle w:val="Caption"/>
        <w:spacing w:line="360" w:lineRule="auto"/>
        <w:rPr>
          <w:rFonts w:ascii="Times New Roman" w:hAnsi="Times New Roman" w:cs="Times New Roman"/>
          <w:b w:val="0"/>
          <w:i/>
          <w:color w:val="auto"/>
          <w:sz w:val="24"/>
          <w:szCs w:val="24"/>
        </w:rPr>
      </w:pPr>
      <w:bookmarkStart w:id="200" w:name="_Toc44684937"/>
      <w:r w:rsidRPr="00D44E9D">
        <w:rPr>
          <w:rFonts w:ascii="Times New Roman" w:hAnsi="Times New Roman" w:cs="Times New Roman"/>
          <w:b w:val="0"/>
          <w:i/>
          <w:color w:val="auto"/>
          <w:sz w:val="24"/>
          <w:szCs w:val="24"/>
        </w:rPr>
        <w:t xml:space="preserve">Figure </w:t>
      </w:r>
      <w:r w:rsidR="00106A32" w:rsidRPr="00D44E9D">
        <w:rPr>
          <w:rFonts w:ascii="Times New Roman" w:hAnsi="Times New Roman" w:cs="Times New Roman"/>
          <w:b w:val="0"/>
          <w:i/>
          <w:color w:val="auto"/>
          <w:sz w:val="24"/>
          <w:szCs w:val="24"/>
        </w:rPr>
        <w:fldChar w:fldCharType="begin"/>
      </w:r>
      <w:r w:rsidRPr="00D44E9D">
        <w:rPr>
          <w:rFonts w:ascii="Times New Roman" w:hAnsi="Times New Roman" w:cs="Times New Roman"/>
          <w:b w:val="0"/>
          <w:i/>
          <w:color w:val="auto"/>
          <w:sz w:val="24"/>
          <w:szCs w:val="24"/>
        </w:rPr>
        <w:instrText xml:space="preserve"> SEQ Figure \* ARABIC </w:instrText>
      </w:r>
      <w:r w:rsidR="00106A32" w:rsidRPr="00D44E9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48</w:t>
      </w:r>
      <w:r w:rsidR="00106A32" w:rsidRPr="00D44E9D">
        <w:rPr>
          <w:rFonts w:ascii="Times New Roman" w:hAnsi="Times New Roman" w:cs="Times New Roman"/>
          <w:b w:val="0"/>
          <w:i/>
          <w:color w:val="auto"/>
          <w:sz w:val="24"/>
          <w:szCs w:val="24"/>
        </w:rPr>
        <w:fldChar w:fldCharType="end"/>
      </w:r>
      <w:r w:rsidRPr="00D44E9D">
        <w:rPr>
          <w:rFonts w:ascii="Times New Roman" w:hAnsi="Times New Roman" w:cs="Times New Roman"/>
          <w:b w:val="0"/>
          <w:i/>
          <w:color w:val="auto"/>
          <w:sz w:val="24"/>
          <w:szCs w:val="24"/>
        </w:rPr>
        <w:t xml:space="preserve"> - Height Versus Delta Change in Pd/Pa</w:t>
      </w:r>
      <w:r w:rsidR="007F2E5D" w:rsidRPr="00D44E9D">
        <w:rPr>
          <w:rFonts w:ascii="Times New Roman" w:hAnsi="Times New Roman" w:cs="Times New Roman"/>
          <w:b w:val="0"/>
          <w:i/>
          <w:color w:val="auto"/>
          <w:sz w:val="24"/>
          <w:szCs w:val="24"/>
        </w:rPr>
        <w:t xml:space="preserve">. </w:t>
      </w:r>
      <w:r w:rsidR="007D55C4" w:rsidRPr="00D44E9D">
        <w:rPr>
          <w:rFonts w:ascii="Times New Roman" w:hAnsi="Times New Roman" w:cs="Times New Roman"/>
          <w:b w:val="0"/>
          <w:i/>
          <w:color w:val="auto"/>
          <w:sz w:val="24"/>
          <w:szCs w:val="24"/>
        </w:rPr>
        <w:t>Spearman</w:t>
      </w:r>
      <w:r w:rsidR="007F2E5D" w:rsidRPr="00D44E9D">
        <w:rPr>
          <w:rFonts w:ascii="Times New Roman" w:hAnsi="Times New Roman" w:cs="Times New Roman"/>
          <w:b w:val="0"/>
          <w:i/>
          <w:color w:val="auto"/>
          <w:sz w:val="24"/>
          <w:szCs w:val="24"/>
        </w:rPr>
        <w:t xml:space="preserve"> correlation was not </w:t>
      </w:r>
      <w:r w:rsidR="001C0BBF" w:rsidRPr="00D44E9D">
        <w:rPr>
          <w:rFonts w:ascii="Times New Roman" w:hAnsi="Times New Roman" w:cs="Times New Roman"/>
          <w:b w:val="0"/>
          <w:i/>
          <w:color w:val="auto"/>
          <w:sz w:val="24"/>
          <w:szCs w:val="24"/>
        </w:rPr>
        <w:t>significant.</w:t>
      </w:r>
      <w:bookmarkEnd w:id="200"/>
    </w:p>
    <w:p w14:paraId="12DE8532" w14:textId="77777777" w:rsidR="00D44E9D" w:rsidRPr="00D44E9D" w:rsidRDefault="00D44E9D" w:rsidP="00D44E9D"/>
    <w:p w14:paraId="7DA88BED" w14:textId="77777777" w:rsidR="00E114B3" w:rsidRPr="00EC6C19" w:rsidRDefault="00E114B3" w:rsidP="001C0BBF">
      <w:pPr>
        <w:spacing w:line="360" w:lineRule="auto"/>
        <w:rPr>
          <w:rFonts w:ascii="Times New Roman" w:hAnsi="Times New Roman" w:cs="Times New Roman"/>
          <w:i/>
          <w:sz w:val="24"/>
          <w:szCs w:val="24"/>
        </w:rPr>
      </w:pPr>
    </w:p>
    <w:p w14:paraId="460D0F37" w14:textId="77777777" w:rsidR="00E114B3" w:rsidRPr="00B15CB5" w:rsidRDefault="00B15CB5" w:rsidP="00B15CB5">
      <w:pPr>
        <w:pStyle w:val="Heading3"/>
        <w:rPr>
          <w:rFonts w:ascii="Times New Roman" w:hAnsi="Times New Roman" w:cs="Times New Roman"/>
          <w:b w:val="0"/>
          <w:i/>
          <w:color w:val="auto"/>
          <w:sz w:val="24"/>
          <w:szCs w:val="24"/>
        </w:rPr>
      </w:pPr>
      <w:bookmarkStart w:id="201" w:name="_Toc80302263"/>
      <w:r w:rsidRPr="00B15CB5">
        <w:rPr>
          <w:rFonts w:ascii="Times New Roman" w:hAnsi="Times New Roman" w:cs="Times New Roman"/>
          <w:b w:val="0"/>
          <w:i/>
          <w:color w:val="auto"/>
          <w:sz w:val="24"/>
          <w:szCs w:val="24"/>
        </w:rPr>
        <w:t xml:space="preserve">3.21.2 - </w:t>
      </w:r>
      <w:r w:rsidR="00E114B3" w:rsidRPr="00B15CB5">
        <w:rPr>
          <w:rFonts w:ascii="Times New Roman" w:hAnsi="Times New Roman" w:cs="Times New Roman"/>
          <w:b w:val="0"/>
          <w:i/>
          <w:color w:val="auto"/>
          <w:sz w:val="24"/>
          <w:szCs w:val="24"/>
        </w:rPr>
        <w:t>iFR</w:t>
      </w:r>
      <w:bookmarkEnd w:id="201"/>
    </w:p>
    <w:p w14:paraId="7E0D7E3A" w14:textId="77777777" w:rsidR="00E114B3" w:rsidRPr="00EC6C19" w:rsidRDefault="00B15CB5" w:rsidP="001C0BBF">
      <w:pPr>
        <w:spacing w:line="360" w:lineRule="auto"/>
        <w:rPr>
          <w:rFonts w:ascii="Times New Roman" w:hAnsi="Times New Roman" w:cs="Times New Roman"/>
          <w:i/>
          <w:sz w:val="24"/>
          <w:szCs w:val="24"/>
          <w:u w:val="single"/>
        </w:rPr>
      </w:pPr>
      <w:r>
        <w:rPr>
          <w:rFonts w:ascii="Times New Roman" w:hAnsi="Times New Roman" w:cs="Times New Roman"/>
          <w:i/>
          <w:sz w:val="24"/>
          <w:szCs w:val="24"/>
          <w:u w:val="single"/>
        </w:rPr>
        <w:br/>
      </w:r>
    </w:p>
    <w:p w14:paraId="66B081B0" w14:textId="77777777" w:rsidR="00E114B3" w:rsidRPr="00D44E9D" w:rsidRDefault="007D55C4"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A Spearman</w:t>
      </w:r>
      <w:r w:rsidR="00E114B3" w:rsidRPr="00EC6C19">
        <w:rPr>
          <w:rFonts w:ascii="Times New Roman" w:hAnsi="Times New Roman" w:cs="Times New Roman"/>
          <w:sz w:val="24"/>
          <w:szCs w:val="24"/>
        </w:rPr>
        <w:t>'s correlatio</w:t>
      </w:r>
      <w:r w:rsidRPr="00EC6C19">
        <w:rPr>
          <w:rFonts w:ascii="Times New Roman" w:hAnsi="Times New Roman" w:cs="Times New Roman"/>
          <w:sz w:val="24"/>
          <w:szCs w:val="24"/>
        </w:rPr>
        <w:t>n</w:t>
      </w:r>
      <w:r w:rsidR="00AA1EAA" w:rsidRPr="00EC6C19">
        <w:rPr>
          <w:rFonts w:ascii="Times New Roman" w:hAnsi="Times New Roman" w:cs="Times New Roman"/>
          <w:sz w:val="24"/>
          <w:szCs w:val="24"/>
        </w:rPr>
        <w:t xml:space="preserve"> value of 0.402</w:t>
      </w:r>
      <w:r w:rsidR="00E114B3" w:rsidRPr="00EC6C19">
        <w:rPr>
          <w:rFonts w:ascii="Times New Roman" w:hAnsi="Times New Roman" w:cs="Times New Roman"/>
          <w:sz w:val="24"/>
          <w:szCs w:val="24"/>
        </w:rPr>
        <w:t xml:space="preserve"> was obtained</w:t>
      </w:r>
      <w:r w:rsidR="007F2E5D" w:rsidRPr="00EC6C19">
        <w:rPr>
          <w:rFonts w:ascii="Times New Roman" w:hAnsi="Times New Roman" w:cs="Times New Roman"/>
          <w:sz w:val="24"/>
          <w:szCs w:val="24"/>
        </w:rPr>
        <w:t xml:space="preserve"> for iFR versus guide to wire distance. This was not statistically significant</w:t>
      </w:r>
      <w:r w:rsidR="00E114B3" w:rsidRPr="00EC6C19">
        <w:rPr>
          <w:rFonts w:ascii="Times New Roman" w:hAnsi="Times New Roman" w:cs="Times New Roman"/>
          <w:sz w:val="24"/>
          <w:szCs w:val="24"/>
        </w:rPr>
        <w:t xml:space="preserve">. A scatter plot </w:t>
      </w:r>
      <w:r w:rsidR="00E114B3" w:rsidRPr="00D44E9D">
        <w:rPr>
          <w:rFonts w:ascii="Times New Roman" w:hAnsi="Times New Roman" w:cs="Times New Roman"/>
          <w:sz w:val="24"/>
          <w:szCs w:val="24"/>
        </w:rPr>
        <w:t xml:space="preserve">demonstrates this in </w:t>
      </w:r>
      <w:r w:rsidR="003B4D5A" w:rsidRPr="00D44E9D">
        <w:rPr>
          <w:rFonts w:ascii="Times New Roman" w:hAnsi="Times New Roman" w:cs="Times New Roman"/>
          <w:sz w:val="24"/>
          <w:szCs w:val="24"/>
        </w:rPr>
        <w:t xml:space="preserve">figure </w:t>
      </w:r>
      <w:r w:rsidR="00D44E9D" w:rsidRPr="00D44E9D">
        <w:rPr>
          <w:rFonts w:ascii="Times New Roman" w:hAnsi="Times New Roman" w:cs="Times New Roman"/>
          <w:sz w:val="24"/>
          <w:szCs w:val="24"/>
        </w:rPr>
        <w:t>49</w:t>
      </w:r>
      <w:r w:rsidR="00E114B3" w:rsidRPr="00D44E9D">
        <w:rPr>
          <w:rFonts w:ascii="Times New Roman" w:hAnsi="Times New Roman" w:cs="Times New Roman"/>
          <w:sz w:val="24"/>
          <w:szCs w:val="24"/>
        </w:rPr>
        <w:t>.</w:t>
      </w:r>
    </w:p>
    <w:p w14:paraId="1C6C1847" w14:textId="77777777" w:rsidR="00F94A02" w:rsidRPr="00EC6C19" w:rsidRDefault="00F94A02" w:rsidP="001C0BBF">
      <w:pPr>
        <w:spacing w:line="360" w:lineRule="auto"/>
        <w:rPr>
          <w:rFonts w:ascii="Times New Roman" w:hAnsi="Times New Roman" w:cs="Times New Roman"/>
          <w:sz w:val="24"/>
          <w:szCs w:val="24"/>
        </w:rPr>
      </w:pPr>
    </w:p>
    <w:p w14:paraId="79EC1F60" w14:textId="77777777" w:rsidR="00977CA6" w:rsidRPr="00EC6C19" w:rsidRDefault="007D55C4">
      <w:pPr>
        <w:spacing w:line="360" w:lineRule="auto"/>
        <w:ind w:left="-510"/>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1E83B36D" wp14:editId="3D870FD9">
            <wp:extent cx="5943600" cy="4676775"/>
            <wp:effectExtent l="1905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srcRect/>
                    <a:stretch>
                      <a:fillRect/>
                    </a:stretch>
                  </pic:blipFill>
                  <pic:spPr bwMode="auto">
                    <a:xfrm>
                      <a:off x="0" y="0"/>
                      <a:ext cx="5943600" cy="4676775"/>
                    </a:xfrm>
                    <a:prstGeom prst="rect">
                      <a:avLst/>
                    </a:prstGeom>
                    <a:noFill/>
                    <a:ln w="9525">
                      <a:noFill/>
                      <a:miter lim="800000"/>
                      <a:headEnd/>
                      <a:tailEnd/>
                    </a:ln>
                  </pic:spPr>
                </pic:pic>
              </a:graphicData>
            </a:graphic>
          </wp:inline>
        </w:drawing>
      </w:r>
    </w:p>
    <w:p w14:paraId="727C9FEE" w14:textId="77777777" w:rsidR="00E114B3" w:rsidRDefault="00D44E9D" w:rsidP="00D44E9D">
      <w:pPr>
        <w:pStyle w:val="Caption"/>
        <w:spacing w:line="360" w:lineRule="auto"/>
        <w:rPr>
          <w:rFonts w:ascii="Times New Roman" w:hAnsi="Times New Roman" w:cs="Times New Roman"/>
          <w:b w:val="0"/>
          <w:i/>
          <w:color w:val="auto"/>
          <w:sz w:val="24"/>
          <w:szCs w:val="24"/>
        </w:rPr>
      </w:pPr>
      <w:bookmarkStart w:id="202" w:name="_Toc44684938"/>
      <w:r w:rsidRPr="00D44E9D">
        <w:rPr>
          <w:rFonts w:ascii="Times New Roman" w:hAnsi="Times New Roman" w:cs="Times New Roman"/>
          <w:b w:val="0"/>
          <w:i/>
          <w:color w:val="auto"/>
          <w:sz w:val="24"/>
          <w:szCs w:val="24"/>
        </w:rPr>
        <w:t xml:space="preserve">Figure </w:t>
      </w:r>
      <w:r w:rsidR="00106A32" w:rsidRPr="00D44E9D">
        <w:rPr>
          <w:rFonts w:ascii="Times New Roman" w:hAnsi="Times New Roman" w:cs="Times New Roman"/>
          <w:b w:val="0"/>
          <w:i/>
          <w:color w:val="auto"/>
          <w:sz w:val="24"/>
          <w:szCs w:val="24"/>
        </w:rPr>
        <w:fldChar w:fldCharType="begin"/>
      </w:r>
      <w:r w:rsidRPr="00D44E9D">
        <w:rPr>
          <w:rFonts w:ascii="Times New Roman" w:hAnsi="Times New Roman" w:cs="Times New Roman"/>
          <w:b w:val="0"/>
          <w:i/>
          <w:color w:val="auto"/>
          <w:sz w:val="24"/>
          <w:szCs w:val="24"/>
        </w:rPr>
        <w:instrText xml:space="preserve"> SEQ Figure \* ARABIC </w:instrText>
      </w:r>
      <w:r w:rsidR="00106A32" w:rsidRPr="00D44E9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49</w:t>
      </w:r>
      <w:r w:rsidR="00106A32" w:rsidRPr="00D44E9D">
        <w:rPr>
          <w:rFonts w:ascii="Times New Roman" w:hAnsi="Times New Roman" w:cs="Times New Roman"/>
          <w:b w:val="0"/>
          <w:i/>
          <w:color w:val="auto"/>
          <w:sz w:val="24"/>
          <w:szCs w:val="24"/>
        </w:rPr>
        <w:fldChar w:fldCharType="end"/>
      </w:r>
      <w:r w:rsidRPr="00D44E9D">
        <w:rPr>
          <w:rFonts w:ascii="Times New Roman" w:hAnsi="Times New Roman" w:cs="Times New Roman"/>
          <w:b w:val="0"/>
          <w:i/>
          <w:color w:val="auto"/>
          <w:sz w:val="24"/>
          <w:szCs w:val="24"/>
        </w:rPr>
        <w:t xml:space="preserve"> - Height Versus Delta Chaneg in iFR. </w:t>
      </w:r>
      <w:r w:rsidR="007F2E5D" w:rsidRPr="00D44E9D">
        <w:rPr>
          <w:rFonts w:ascii="Times New Roman" w:hAnsi="Times New Roman" w:cs="Times New Roman"/>
          <w:b w:val="0"/>
          <w:i/>
          <w:color w:val="auto"/>
          <w:sz w:val="24"/>
          <w:szCs w:val="24"/>
        </w:rPr>
        <w:t>Spearman's correlation was not significant.</w:t>
      </w:r>
      <w:bookmarkEnd w:id="202"/>
    </w:p>
    <w:p w14:paraId="3210699E" w14:textId="77777777" w:rsidR="00D44E9D" w:rsidRPr="00D44E9D" w:rsidRDefault="00D44E9D" w:rsidP="00D44E9D"/>
    <w:p w14:paraId="3AB0AB7D" w14:textId="77777777" w:rsidR="005F65F2" w:rsidRPr="00EC6C19" w:rsidRDefault="005F65F2" w:rsidP="001C0BBF">
      <w:pPr>
        <w:spacing w:line="360" w:lineRule="auto"/>
        <w:rPr>
          <w:rFonts w:ascii="Times New Roman" w:hAnsi="Times New Roman" w:cs="Times New Roman"/>
          <w:i/>
          <w:sz w:val="24"/>
          <w:szCs w:val="24"/>
        </w:rPr>
      </w:pPr>
    </w:p>
    <w:p w14:paraId="26AFB321" w14:textId="77777777" w:rsidR="001C0BBF" w:rsidRPr="00B15CB5" w:rsidRDefault="00B15CB5" w:rsidP="00B15CB5">
      <w:pPr>
        <w:pStyle w:val="Heading3"/>
        <w:rPr>
          <w:rFonts w:ascii="Times New Roman" w:hAnsi="Times New Roman" w:cs="Times New Roman"/>
          <w:b w:val="0"/>
          <w:i/>
          <w:color w:val="auto"/>
          <w:sz w:val="24"/>
          <w:szCs w:val="24"/>
        </w:rPr>
      </w:pPr>
      <w:bookmarkStart w:id="203" w:name="_Toc80302264"/>
      <w:r w:rsidRPr="00B15CB5">
        <w:rPr>
          <w:rFonts w:ascii="Times New Roman" w:hAnsi="Times New Roman" w:cs="Times New Roman"/>
          <w:b w:val="0"/>
          <w:i/>
          <w:color w:val="auto"/>
          <w:sz w:val="24"/>
          <w:szCs w:val="24"/>
        </w:rPr>
        <w:t xml:space="preserve">3.21.3 - </w:t>
      </w:r>
      <w:r w:rsidR="001C0BBF" w:rsidRPr="00B15CB5">
        <w:rPr>
          <w:rFonts w:ascii="Times New Roman" w:hAnsi="Times New Roman" w:cs="Times New Roman"/>
          <w:b w:val="0"/>
          <w:i/>
          <w:color w:val="auto"/>
          <w:sz w:val="24"/>
          <w:szCs w:val="24"/>
        </w:rPr>
        <w:t>FFR</w:t>
      </w:r>
      <w:bookmarkEnd w:id="203"/>
    </w:p>
    <w:p w14:paraId="3D77AEDD" w14:textId="77777777" w:rsidR="001C0BBF" w:rsidRPr="00EC6C19" w:rsidRDefault="00B15CB5" w:rsidP="001C0BBF">
      <w:pPr>
        <w:spacing w:line="360" w:lineRule="auto"/>
        <w:rPr>
          <w:rFonts w:ascii="Times New Roman" w:hAnsi="Times New Roman" w:cs="Times New Roman"/>
          <w:i/>
          <w:sz w:val="24"/>
          <w:szCs w:val="24"/>
          <w:u w:val="single"/>
        </w:rPr>
      </w:pPr>
      <w:r>
        <w:rPr>
          <w:rFonts w:ascii="Times New Roman" w:hAnsi="Times New Roman" w:cs="Times New Roman"/>
          <w:i/>
          <w:sz w:val="24"/>
          <w:szCs w:val="24"/>
          <w:u w:val="single"/>
        </w:rPr>
        <w:br/>
      </w:r>
    </w:p>
    <w:p w14:paraId="337C1EC4" w14:textId="77777777" w:rsidR="001C0BBF" w:rsidRPr="00EC6C19" w:rsidRDefault="007D55C4"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For FFR versus guide to wire distance resulted in a Spearman's correlation value of </w:t>
      </w:r>
      <w:r w:rsidR="001C0BBF" w:rsidRPr="00EC6C19">
        <w:rPr>
          <w:rFonts w:ascii="Times New Roman" w:hAnsi="Times New Roman" w:cs="Times New Roman"/>
          <w:sz w:val="24"/>
          <w:szCs w:val="24"/>
        </w:rPr>
        <w:t>0.</w:t>
      </w:r>
      <w:r w:rsidRPr="00EC6C19">
        <w:rPr>
          <w:rFonts w:ascii="Times New Roman" w:hAnsi="Times New Roman" w:cs="Times New Roman"/>
          <w:sz w:val="24"/>
          <w:szCs w:val="24"/>
        </w:rPr>
        <w:t>528</w:t>
      </w:r>
      <w:r w:rsidR="001C0BBF" w:rsidRPr="00EC6C19">
        <w:rPr>
          <w:rFonts w:ascii="Times New Roman" w:hAnsi="Times New Roman" w:cs="Times New Roman"/>
          <w:sz w:val="24"/>
          <w:szCs w:val="24"/>
        </w:rPr>
        <w:t xml:space="preserve">. This is statistically </w:t>
      </w:r>
      <w:r w:rsidRPr="00EC6C19">
        <w:rPr>
          <w:rFonts w:ascii="Times New Roman" w:hAnsi="Times New Roman" w:cs="Times New Roman"/>
          <w:sz w:val="24"/>
          <w:szCs w:val="24"/>
        </w:rPr>
        <w:t xml:space="preserve">not </w:t>
      </w:r>
      <w:r w:rsidR="001C0BBF" w:rsidRPr="00EC6C19">
        <w:rPr>
          <w:rFonts w:ascii="Times New Roman" w:hAnsi="Times New Roman" w:cs="Times New Roman"/>
          <w:sz w:val="24"/>
          <w:szCs w:val="24"/>
        </w:rPr>
        <w:t>significant. A scatter plot is shown below.</w:t>
      </w:r>
    </w:p>
    <w:p w14:paraId="3BB50DCF" w14:textId="77777777" w:rsidR="001C0BBF" w:rsidRPr="00EC6C19" w:rsidRDefault="007F2E5D" w:rsidP="001C0BBF">
      <w:pPr>
        <w:spacing w:line="360" w:lineRule="auto"/>
        <w:ind w:left="-737"/>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0177DAF7" wp14:editId="6E17F51E">
            <wp:extent cx="5943600" cy="4752975"/>
            <wp:effectExtent l="19050" t="0" r="0" b="0"/>
            <wp:docPr id="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srcRect/>
                    <a:stretch>
                      <a:fillRect/>
                    </a:stretch>
                  </pic:blipFill>
                  <pic:spPr bwMode="auto">
                    <a:xfrm>
                      <a:off x="0" y="0"/>
                      <a:ext cx="5943600" cy="4752975"/>
                    </a:xfrm>
                    <a:prstGeom prst="rect">
                      <a:avLst/>
                    </a:prstGeom>
                    <a:noFill/>
                    <a:ln w="9525">
                      <a:noFill/>
                      <a:miter lim="800000"/>
                      <a:headEnd/>
                      <a:tailEnd/>
                    </a:ln>
                  </pic:spPr>
                </pic:pic>
              </a:graphicData>
            </a:graphic>
          </wp:inline>
        </w:drawing>
      </w:r>
    </w:p>
    <w:p w14:paraId="2BDF986A" w14:textId="77777777" w:rsidR="00182C09" w:rsidRPr="00D44E9D" w:rsidRDefault="00D44E9D" w:rsidP="00D44E9D">
      <w:pPr>
        <w:pStyle w:val="Caption"/>
        <w:spacing w:line="360" w:lineRule="auto"/>
        <w:rPr>
          <w:rFonts w:ascii="Times New Roman" w:hAnsi="Times New Roman" w:cs="Times New Roman"/>
          <w:b w:val="0"/>
          <w:i/>
          <w:color w:val="auto"/>
          <w:sz w:val="24"/>
          <w:szCs w:val="24"/>
        </w:rPr>
      </w:pPr>
      <w:bookmarkStart w:id="204" w:name="_Toc44684939"/>
      <w:r w:rsidRPr="00D44E9D">
        <w:rPr>
          <w:rFonts w:ascii="Times New Roman" w:hAnsi="Times New Roman" w:cs="Times New Roman"/>
          <w:b w:val="0"/>
          <w:i/>
          <w:color w:val="auto"/>
          <w:sz w:val="24"/>
          <w:szCs w:val="24"/>
        </w:rPr>
        <w:t xml:space="preserve">Figure </w:t>
      </w:r>
      <w:r w:rsidR="00106A32" w:rsidRPr="00D44E9D">
        <w:rPr>
          <w:rFonts w:ascii="Times New Roman" w:hAnsi="Times New Roman" w:cs="Times New Roman"/>
          <w:b w:val="0"/>
          <w:i/>
          <w:color w:val="auto"/>
          <w:sz w:val="24"/>
          <w:szCs w:val="24"/>
        </w:rPr>
        <w:fldChar w:fldCharType="begin"/>
      </w:r>
      <w:r w:rsidRPr="00D44E9D">
        <w:rPr>
          <w:rFonts w:ascii="Times New Roman" w:hAnsi="Times New Roman" w:cs="Times New Roman"/>
          <w:b w:val="0"/>
          <w:i/>
          <w:color w:val="auto"/>
          <w:sz w:val="24"/>
          <w:szCs w:val="24"/>
        </w:rPr>
        <w:instrText xml:space="preserve"> SEQ Figure \* ARABIC </w:instrText>
      </w:r>
      <w:r w:rsidR="00106A32" w:rsidRPr="00D44E9D">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50</w:t>
      </w:r>
      <w:r w:rsidR="00106A32" w:rsidRPr="00D44E9D">
        <w:rPr>
          <w:rFonts w:ascii="Times New Roman" w:hAnsi="Times New Roman" w:cs="Times New Roman"/>
          <w:b w:val="0"/>
          <w:i/>
          <w:color w:val="auto"/>
          <w:sz w:val="24"/>
          <w:szCs w:val="24"/>
        </w:rPr>
        <w:fldChar w:fldCharType="end"/>
      </w:r>
      <w:r w:rsidRPr="00D44E9D">
        <w:rPr>
          <w:rFonts w:ascii="Times New Roman" w:hAnsi="Times New Roman" w:cs="Times New Roman"/>
          <w:b w:val="0"/>
          <w:i/>
          <w:color w:val="auto"/>
          <w:sz w:val="24"/>
          <w:szCs w:val="24"/>
        </w:rPr>
        <w:t xml:space="preserve"> -Height Versus Delta Change in FFR. </w:t>
      </w:r>
      <w:r w:rsidR="007D55C4" w:rsidRPr="00D44E9D">
        <w:rPr>
          <w:rFonts w:ascii="Times New Roman" w:hAnsi="Times New Roman" w:cs="Times New Roman"/>
          <w:b w:val="0"/>
          <w:i/>
          <w:color w:val="auto"/>
          <w:sz w:val="24"/>
          <w:szCs w:val="24"/>
        </w:rPr>
        <w:t>Spearman's correlation was not significant.</w:t>
      </w:r>
      <w:bookmarkEnd w:id="204"/>
    </w:p>
    <w:p w14:paraId="3BE6E8A9" w14:textId="77777777" w:rsidR="005F65F2" w:rsidRPr="00EC6C19" w:rsidRDefault="005F65F2" w:rsidP="001C0BBF">
      <w:pPr>
        <w:spacing w:line="360" w:lineRule="auto"/>
        <w:rPr>
          <w:rFonts w:ascii="Times New Roman" w:hAnsi="Times New Roman" w:cs="Times New Roman"/>
          <w:i/>
          <w:sz w:val="24"/>
          <w:szCs w:val="24"/>
        </w:rPr>
      </w:pPr>
    </w:p>
    <w:p w14:paraId="2478602E" w14:textId="77777777" w:rsidR="00396766" w:rsidRPr="00EC6C19" w:rsidRDefault="00396766" w:rsidP="001C0BBF">
      <w:pPr>
        <w:spacing w:line="360" w:lineRule="auto"/>
        <w:rPr>
          <w:rFonts w:ascii="Times New Roman" w:hAnsi="Times New Roman" w:cs="Times New Roman"/>
          <w:i/>
          <w:sz w:val="24"/>
          <w:szCs w:val="24"/>
        </w:rPr>
      </w:pPr>
    </w:p>
    <w:p w14:paraId="390E94CF" w14:textId="77777777" w:rsidR="00C16E5E" w:rsidRPr="00B15CB5" w:rsidRDefault="00B15CB5" w:rsidP="00B15CB5">
      <w:pPr>
        <w:pStyle w:val="Heading2"/>
        <w:rPr>
          <w:rFonts w:ascii="Times New Roman" w:hAnsi="Times New Roman" w:cs="Times New Roman"/>
          <w:color w:val="auto"/>
          <w:sz w:val="24"/>
          <w:szCs w:val="24"/>
        </w:rPr>
      </w:pPr>
      <w:bookmarkStart w:id="205" w:name="_Toc80302265"/>
      <w:r w:rsidRPr="00B15CB5">
        <w:rPr>
          <w:rFonts w:ascii="Times New Roman" w:hAnsi="Times New Roman" w:cs="Times New Roman"/>
          <w:color w:val="auto"/>
          <w:sz w:val="24"/>
          <w:szCs w:val="24"/>
        </w:rPr>
        <w:t xml:space="preserve">3.22 - </w:t>
      </w:r>
      <w:r w:rsidR="00C16E5E" w:rsidRPr="00B15CB5">
        <w:rPr>
          <w:rFonts w:ascii="Times New Roman" w:hAnsi="Times New Roman" w:cs="Times New Roman"/>
          <w:color w:val="auto"/>
          <w:sz w:val="24"/>
          <w:szCs w:val="24"/>
        </w:rPr>
        <w:t>Estimated Hydrostatic Effect versus in Vivo Effect</w:t>
      </w:r>
      <w:bookmarkEnd w:id="205"/>
      <w:r>
        <w:rPr>
          <w:rFonts w:ascii="Times New Roman" w:hAnsi="Times New Roman" w:cs="Times New Roman"/>
          <w:color w:val="auto"/>
          <w:sz w:val="24"/>
          <w:szCs w:val="24"/>
        </w:rPr>
        <w:br/>
      </w:r>
    </w:p>
    <w:p w14:paraId="7F6FA9B4" w14:textId="77777777" w:rsidR="00C16E5E" w:rsidRPr="00EC6C19" w:rsidRDefault="00C16E5E" w:rsidP="001C0BBF">
      <w:pPr>
        <w:spacing w:line="360" w:lineRule="auto"/>
        <w:rPr>
          <w:rFonts w:ascii="Times New Roman" w:hAnsi="Times New Roman" w:cs="Times New Roman"/>
          <w:i/>
          <w:sz w:val="24"/>
          <w:szCs w:val="24"/>
          <w:u w:val="single"/>
        </w:rPr>
      </w:pPr>
    </w:p>
    <w:p w14:paraId="79CE5CCB" w14:textId="77777777" w:rsidR="008F0E03" w:rsidRPr="00EC6C19" w:rsidRDefault="00C16E5E"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Guide to wire measurements</w:t>
      </w:r>
      <w:r w:rsidR="009962AA">
        <w:rPr>
          <w:rFonts w:ascii="Times New Roman" w:hAnsi="Times New Roman" w:cs="Times New Roman"/>
          <w:sz w:val="24"/>
          <w:szCs w:val="24"/>
        </w:rPr>
        <w:t xml:space="preserve"> from angiography were used to predict a</w:t>
      </w:r>
      <w:r w:rsidRPr="00EC6C19">
        <w:rPr>
          <w:rFonts w:ascii="Times New Roman" w:hAnsi="Times New Roman" w:cs="Times New Roman"/>
          <w:sz w:val="24"/>
          <w:szCs w:val="24"/>
        </w:rPr>
        <w:t xml:space="preserve"> mean </w:t>
      </w:r>
      <w:r w:rsidR="00204590">
        <w:rPr>
          <w:rFonts w:ascii="Times New Roman" w:hAnsi="Times New Roman" w:cs="Times New Roman"/>
          <w:sz w:val="24"/>
          <w:szCs w:val="24"/>
        </w:rPr>
        <w:t>hydrostatic effect</w:t>
      </w:r>
      <w:r w:rsidR="008F0E03" w:rsidRPr="00EC6C19">
        <w:rPr>
          <w:rFonts w:ascii="Times New Roman" w:hAnsi="Times New Roman" w:cs="Times New Roman"/>
          <w:sz w:val="24"/>
          <w:szCs w:val="24"/>
        </w:rPr>
        <w:t xml:space="preserve"> as </w:t>
      </w:r>
      <w:r w:rsidR="00FE21B7" w:rsidRPr="00EC6C19">
        <w:rPr>
          <w:rFonts w:ascii="Times New Roman" w:hAnsi="Times New Roman" w:cs="Times New Roman"/>
          <w:sz w:val="24"/>
          <w:szCs w:val="24"/>
        </w:rPr>
        <w:t>previously</w:t>
      </w:r>
      <w:r w:rsidR="008F0E03" w:rsidRPr="00EC6C19">
        <w:rPr>
          <w:rFonts w:ascii="Times New Roman" w:hAnsi="Times New Roman" w:cs="Times New Roman"/>
          <w:sz w:val="24"/>
          <w:szCs w:val="24"/>
        </w:rPr>
        <w:t xml:space="preserve"> </w:t>
      </w:r>
      <w:r w:rsidR="008F0E03" w:rsidRPr="007C0B62">
        <w:rPr>
          <w:rFonts w:ascii="Times New Roman" w:hAnsi="Times New Roman" w:cs="Times New Roman"/>
          <w:sz w:val="24"/>
          <w:szCs w:val="24"/>
        </w:rPr>
        <w:t xml:space="preserve">shown in </w:t>
      </w:r>
      <w:r w:rsidR="00204590" w:rsidRPr="007C0B62">
        <w:rPr>
          <w:rFonts w:ascii="Times New Roman" w:hAnsi="Times New Roman" w:cs="Times New Roman"/>
          <w:sz w:val="24"/>
          <w:szCs w:val="24"/>
        </w:rPr>
        <w:t xml:space="preserve">Figure </w:t>
      </w:r>
      <w:r w:rsidR="007C0B62" w:rsidRPr="007C0B62">
        <w:rPr>
          <w:rFonts w:ascii="Times New Roman" w:hAnsi="Times New Roman" w:cs="Times New Roman"/>
          <w:sz w:val="24"/>
          <w:szCs w:val="24"/>
        </w:rPr>
        <w:t>32</w:t>
      </w:r>
      <w:r w:rsidRPr="007C0B62">
        <w:rPr>
          <w:rFonts w:ascii="Times New Roman" w:hAnsi="Times New Roman" w:cs="Times New Roman"/>
          <w:sz w:val="24"/>
          <w:szCs w:val="24"/>
        </w:rPr>
        <w:t>.</w:t>
      </w:r>
      <w:r w:rsidR="00D852FC" w:rsidRPr="007C0B62">
        <w:rPr>
          <w:rFonts w:ascii="Times New Roman" w:hAnsi="Times New Roman" w:cs="Times New Roman"/>
          <w:sz w:val="24"/>
          <w:szCs w:val="24"/>
        </w:rPr>
        <w:t xml:space="preserve"> </w:t>
      </w:r>
      <w:r w:rsidR="009962AA" w:rsidRPr="007C0B62">
        <w:rPr>
          <w:rFonts w:ascii="Times New Roman" w:hAnsi="Times New Roman" w:cs="Times New Roman"/>
          <w:sz w:val="24"/>
          <w:szCs w:val="24"/>
        </w:rPr>
        <w:t>Now t</w:t>
      </w:r>
      <w:r w:rsidRPr="007C0B62">
        <w:rPr>
          <w:rFonts w:ascii="Times New Roman" w:hAnsi="Times New Roman" w:cs="Times New Roman"/>
          <w:sz w:val="24"/>
          <w:szCs w:val="24"/>
        </w:rPr>
        <w:t xml:space="preserve">able </w:t>
      </w:r>
      <w:r w:rsidR="007C0B62" w:rsidRPr="007C0B62">
        <w:rPr>
          <w:rFonts w:ascii="Times New Roman" w:hAnsi="Times New Roman" w:cs="Times New Roman"/>
          <w:sz w:val="24"/>
          <w:szCs w:val="24"/>
        </w:rPr>
        <w:t>35</w:t>
      </w:r>
      <w:r w:rsidRPr="007C0B62">
        <w:rPr>
          <w:rFonts w:ascii="Times New Roman" w:hAnsi="Times New Roman" w:cs="Times New Roman"/>
          <w:sz w:val="24"/>
          <w:szCs w:val="24"/>
        </w:rPr>
        <w:t xml:space="preserve"> compares</w:t>
      </w:r>
      <w:r w:rsidRPr="00EC6C19">
        <w:rPr>
          <w:rFonts w:ascii="Times New Roman" w:hAnsi="Times New Roman" w:cs="Times New Roman"/>
          <w:sz w:val="24"/>
          <w:szCs w:val="24"/>
        </w:rPr>
        <w:t xml:space="preserve"> the predicted mean change, to the actual mean change</w:t>
      </w:r>
      <w:r w:rsidR="008F0E03" w:rsidRPr="00EC6C19">
        <w:rPr>
          <w:rFonts w:ascii="Times New Roman" w:hAnsi="Times New Roman" w:cs="Times New Roman"/>
          <w:sz w:val="24"/>
          <w:szCs w:val="24"/>
        </w:rPr>
        <w:t xml:space="preserve"> seen in vivo,</w:t>
      </w:r>
      <w:r w:rsidRPr="00EC6C19">
        <w:rPr>
          <w:rFonts w:ascii="Times New Roman" w:hAnsi="Times New Roman" w:cs="Times New Roman"/>
          <w:sz w:val="24"/>
          <w:szCs w:val="24"/>
        </w:rPr>
        <w:t xml:space="preserve"> across measurements in </w:t>
      </w:r>
      <w:r w:rsidR="008F0E03" w:rsidRPr="00EC6C19">
        <w:rPr>
          <w:rFonts w:ascii="Times New Roman" w:hAnsi="Times New Roman" w:cs="Times New Roman"/>
          <w:sz w:val="24"/>
          <w:szCs w:val="24"/>
        </w:rPr>
        <w:t xml:space="preserve">all </w:t>
      </w:r>
      <w:r w:rsidRPr="00EC6C19">
        <w:rPr>
          <w:rFonts w:ascii="Times New Roman" w:hAnsi="Times New Roman" w:cs="Times New Roman"/>
          <w:sz w:val="24"/>
          <w:szCs w:val="24"/>
        </w:rPr>
        <w:t>three coronary arteries.</w:t>
      </w:r>
    </w:p>
    <w:p w14:paraId="7CCAC211" w14:textId="77777777" w:rsidR="008F0E03" w:rsidRPr="00EC6C19" w:rsidRDefault="008F0E03" w:rsidP="001C0BBF">
      <w:pPr>
        <w:spacing w:line="360" w:lineRule="auto"/>
        <w:rPr>
          <w:rFonts w:ascii="Times New Roman" w:hAnsi="Times New Roman" w:cs="Times New Roman"/>
          <w:sz w:val="24"/>
          <w:szCs w:val="24"/>
        </w:rPr>
      </w:pPr>
    </w:p>
    <w:tbl>
      <w:tblPr>
        <w:tblW w:w="5000" w:type="pct"/>
        <w:tblLook w:val="04A0" w:firstRow="1" w:lastRow="0" w:firstColumn="1" w:lastColumn="0" w:noHBand="0" w:noVBand="1"/>
      </w:tblPr>
      <w:tblGrid>
        <w:gridCol w:w="2344"/>
        <w:gridCol w:w="2477"/>
        <w:gridCol w:w="2115"/>
        <w:gridCol w:w="2424"/>
      </w:tblGrid>
      <w:tr w:rsidR="008F0E03" w:rsidRPr="00EC6C19" w14:paraId="6BB27C26" w14:textId="77777777" w:rsidTr="00337385">
        <w:tc>
          <w:tcPr>
            <w:tcW w:w="1252" w:type="pct"/>
            <w:shd w:val="clear" w:color="auto" w:fill="F2F2F2" w:themeFill="background1" w:themeFillShade="F2"/>
          </w:tcPr>
          <w:p w14:paraId="0983FCCA"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Artery</w:t>
            </w:r>
          </w:p>
          <w:p w14:paraId="2785998A" w14:textId="77777777" w:rsidR="008F0E03" w:rsidRPr="00EC6C19" w:rsidRDefault="008F0E03" w:rsidP="001C0BBF">
            <w:pPr>
              <w:spacing w:line="360" w:lineRule="auto"/>
              <w:rPr>
                <w:rFonts w:ascii="Times New Roman" w:hAnsi="Times New Roman" w:cs="Times New Roman"/>
                <w:sz w:val="24"/>
                <w:szCs w:val="24"/>
              </w:rPr>
            </w:pPr>
          </w:p>
        </w:tc>
        <w:tc>
          <w:tcPr>
            <w:tcW w:w="1323" w:type="pct"/>
            <w:shd w:val="clear" w:color="auto" w:fill="F2F2F2" w:themeFill="background1" w:themeFillShade="F2"/>
          </w:tcPr>
          <w:p w14:paraId="4B6019E6"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Predicted </w:t>
            </w:r>
            <w:r w:rsidR="005A3B9A" w:rsidRPr="00EC6C19">
              <w:rPr>
                <w:rFonts w:ascii="Times New Roman" w:hAnsi="Times New Roman" w:cs="Times New Roman"/>
                <w:sz w:val="24"/>
                <w:szCs w:val="24"/>
              </w:rPr>
              <w:t xml:space="preserve">Pressure </w:t>
            </w:r>
            <w:r w:rsidRPr="00EC6C19">
              <w:rPr>
                <w:rFonts w:ascii="Times New Roman" w:hAnsi="Times New Roman" w:cs="Times New Roman"/>
                <w:sz w:val="24"/>
                <w:szCs w:val="24"/>
              </w:rPr>
              <w:t>Change</w:t>
            </w:r>
            <w:r w:rsidR="00AD7B90" w:rsidRPr="00EC6C19">
              <w:rPr>
                <w:rFonts w:ascii="Times New Roman" w:hAnsi="Times New Roman" w:cs="Times New Roman"/>
                <w:sz w:val="24"/>
                <w:szCs w:val="24"/>
              </w:rPr>
              <w:t xml:space="preserve"> Based on Anatomy</w:t>
            </w:r>
            <w:r w:rsidRPr="00EC6C19">
              <w:rPr>
                <w:rFonts w:ascii="Times New Roman" w:hAnsi="Times New Roman" w:cs="Times New Roman"/>
                <w:sz w:val="24"/>
                <w:szCs w:val="24"/>
              </w:rPr>
              <w:t xml:space="preserve"> (mmHg)</w:t>
            </w:r>
          </w:p>
        </w:tc>
        <w:tc>
          <w:tcPr>
            <w:tcW w:w="1130" w:type="pct"/>
            <w:shd w:val="clear" w:color="auto" w:fill="F2F2F2" w:themeFill="background1" w:themeFillShade="F2"/>
          </w:tcPr>
          <w:p w14:paraId="40CE736E" w14:textId="77777777" w:rsidR="008F0E03" w:rsidRPr="00EC6C19" w:rsidRDefault="00C17825" w:rsidP="006206E3">
            <w:pPr>
              <w:spacing w:line="360" w:lineRule="auto"/>
              <w:rPr>
                <w:rFonts w:ascii="Times New Roman" w:hAnsi="Times New Roman" w:cs="Times New Roman"/>
                <w:sz w:val="24"/>
                <w:szCs w:val="24"/>
              </w:rPr>
            </w:pPr>
            <w:r>
              <w:rPr>
                <w:rFonts w:ascii="Times New Roman" w:hAnsi="Times New Roman" w:cs="Times New Roman"/>
                <w:sz w:val="24"/>
                <w:szCs w:val="24"/>
              </w:rPr>
              <w:t xml:space="preserve">Predicted Change in </w:t>
            </w:r>
            <w:r w:rsidR="00AE7803">
              <w:rPr>
                <w:rFonts w:ascii="Times New Roman" w:hAnsi="Times New Roman" w:cs="Times New Roman"/>
                <w:sz w:val="24"/>
                <w:szCs w:val="24"/>
              </w:rPr>
              <w:t>Pd/Pa, iFR and FFR</w:t>
            </w:r>
          </w:p>
        </w:tc>
        <w:tc>
          <w:tcPr>
            <w:tcW w:w="1295" w:type="pct"/>
            <w:shd w:val="clear" w:color="auto" w:fill="F2F2F2" w:themeFill="background1" w:themeFillShade="F2"/>
          </w:tcPr>
          <w:p w14:paraId="4B2F2BDC" w14:textId="77777777" w:rsidR="008F0E03" w:rsidRPr="00EC6C19" w:rsidRDefault="008F0E03" w:rsidP="006206E3">
            <w:pPr>
              <w:spacing w:line="360" w:lineRule="auto"/>
              <w:rPr>
                <w:rFonts w:ascii="Times New Roman" w:hAnsi="Times New Roman" w:cs="Times New Roman"/>
                <w:sz w:val="24"/>
                <w:szCs w:val="24"/>
              </w:rPr>
            </w:pPr>
            <w:r w:rsidRPr="00EC6C19">
              <w:rPr>
                <w:rFonts w:ascii="Times New Roman" w:hAnsi="Times New Roman" w:cs="Times New Roman"/>
                <w:sz w:val="24"/>
                <w:szCs w:val="24"/>
              </w:rPr>
              <w:t>Actual Change</w:t>
            </w:r>
            <w:r w:rsidR="006206E3">
              <w:rPr>
                <w:rFonts w:ascii="Times New Roman" w:hAnsi="Times New Roman" w:cs="Times New Roman"/>
                <w:sz w:val="24"/>
                <w:szCs w:val="24"/>
              </w:rPr>
              <w:t xml:space="preserve"> in</w:t>
            </w:r>
            <w:r w:rsidR="00AE7803">
              <w:rPr>
                <w:rFonts w:ascii="Times New Roman" w:hAnsi="Times New Roman" w:cs="Times New Roman"/>
                <w:sz w:val="24"/>
                <w:szCs w:val="24"/>
              </w:rPr>
              <w:t xml:space="preserve"> Pd/Pa, iFR and FFR</w:t>
            </w:r>
          </w:p>
        </w:tc>
      </w:tr>
      <w:tr w:rsidR="008F0E03" w:rsidRPr="00EC6C19" w14:paraId="46C14181" w14:textId="77777777" w:rsidTr="00337385">
        <w:tc>
          <w:tcPr>
            <w:tcW w:w="1252" w:type="pct"/>
            <w:shd w:val="clear" w:color="auto" w:fill="FFFFFF" w:themeFill="background1"/>
          </w:tcPr>
          <w:p w14:paraId="3951A6DB"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LAD</w:t>
            </w:r>
          </w:p>
          <w:p w14:paraId="0C7AEC83" w14:textId="77777777" w:rsidR="008F0E03" w:rsidRPr="00EC6C19" w:rsidRDefault="008F0E03" w:rsidP="001C0BBF">
            <w:pPr>
              <w:spacing w:line="360" w:lineRule="auto"/>
              <w:rPr>
                <w:rFonts w:ascii="Times New Roman" w:hAnsi="Times New Roman" w:cs="Times New Roman"/>
                <w:sz w:val="24"/>
                <w:szCs w:val="24"/>
              </w:rPr>
            </w:pPr>
          </w:p>
        </w:tc>
        <w:tc>
          <w:tcPr>
            <w:tcW w:w="1323" w:type="pct"/>
            <w:shd w:val="clear" w:color="auto" w:fill="FFFFFF" w:themeFill="background1"/>
          </w:tcPr>
          <w:p w14:paraId="62D025F8"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9.3</w:t>
            </w:r>
          </w:p>
        </w:tc>
        <w:tc>
          <w:tcPr>
            <w:tcW w:w="1130" w:type="pct"/>
            <w:shd w:val="clear" w:color="auto" w:fill="FFFFFF" w:themeFill="background1"/>
          </w:tcPr>
          <w:p w14:paraId="664D86C4"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0.09</w:t>
            </w:r>
          </w:p>
        </w:tc>
        <w:tc>
          <w:tcPr>
            <w:tcW w:w="1295" w:type="pct"/>
            <w:shd w:val="clear" w:color="auto" w:fill="FFFFFF" w:themeFill="background1"/>
          </w:tcPr>
          <w:p w14:paraId="4737E7B7" w14:textId="77777777" w:rsidR="008F0E03" w:rsidRPr="00EC6C19" w:rsidRDefault="009502CD" w:rsidP="001C0BBF">
            <w:pPr>
              <w:spacing w:line="360" w:lineRule="auto"/>
              <w:rPr>
                <w:rFonts w:ascii="Times New Roman" w:hAnsi="Times New Roman" w:cs="Times New Roman"/>
                <w:sz w:val="24"/>
                <w:szCs w:val="24"/>
              </w:rPr>
            </w:pPr>
            <w:r>
              <w:rPr>
                <w:rFonts w:ascii="Times New Roman" w:hAnsi="Times New Roman" w:cs="Times New Roman"/>
                <w:sz w:val="24"/>
                <w:szCs w:val="24"/>
              </w:rPr>
              <w:t>0.09</w:t>
            </w:r>
          </w:p>
        </w:tc>
      </w:tr>
      <w:tr w:rsidR="008F0E03" w:rsidRPr="00EC6C19" w14:paraId="4F753494" w14:textId="77777777" w:rsidTr="00337385">
        <w:tc>
          <w:tcPr>
            <w:tcW w:w="1252" w:type="pct"/>
            <w:shd w:val="clear" w:color="auto" w:fill="FFFFFF" w:themeFill="background1"/>
          </w:tcPr>
          <w:p w14:paraId="7EFACC86"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Cx</w:t>
            </w:r>
          </w:p>
          <w:p w14:paraId="768528A3" w14:textId="77777777" w:rsidR="008F0E03" w:rsidRPr="00EC6C19" w:rsidRDefault="008F0E03" w:rsidP="001C0BBF">
            <w:pPr>
              <w:spacing w:line="360" w:lineRule="auto"/>
              <w:rPr>
                <w:rFonts w:ascii="Times New Roman" w:hAnsi="Times New Roman" w:cs="Times New Roman"/>
                <w:sz w:val="24"/>
                <w:szCs w:val="24"/>
              </w:rPr>
            </w:pPr>
          </w:p>
        </w:tc>
        <w:tc>
          <w:tcPr>
            <w:tcW w:w="1323" w:type="pct"/>
            <w:shd w:val="clear" w:color="auto" w:fill="FFFFFF" w:themeFill="background1"/>
          </w:tcPr>
          <w:p w14:paraId="6D74EE12"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4.9</w:t>
            </w:r>
          </w:p>
        </w:tc>
        <w:tc>
          <w:tcPr>
            <w:tcW w:w="1130" w:type="pct"/>
            <w:shd w:val="clear" w:color="auto" w:fill="FFFFFF" w:themeFill="background1"/>
          </w:tcPr>
          <w:p w14:paraId="39DE284B"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0.05</w:t>
            </w:r>
          </w:p>
        </w:tc>
        <w:tc>
          <w:tcPr>
            <w:tcW w:w="1295" w:type="pct"/>
            <w:shd w:val="clear" w:color="auto" w:fill="FFFFFF" w:themeFill="background1"/>
          </w:tcPr>
          <w:p w14:paraId="1ABC938C" w14:textId="77777777" w:rsidR="008F0E03" w:rsidRPr="00EC6C19" w:rsidRDefault="009502CD" w:rsidP="001C0BBF">
            <w:pPr>
              <w:spacing w:line="360" w:lineRule="auto"/>
              <w:rPr>
                <w:rFonts w:ascii="Times New Roman" w:hAnsi="Times New Roman" w:cs="Times New Roman"/>
                <w:sz w:val="24"/>
                <w:szCs w:val="24"/>
              </w:rPr>
            </w:pPr>
            <w:r>
              <w:rPr>
                <w:rFonts w:ascii="Times New Roman" w:hAnsi="Times New Roman" w:cs="Times New Roman"/>
                <w:sz w:val="24"/>
                <w:szCs w:val="24"/>
              </w:rPr>
              <w:t>0.05</w:t>
            </w:r>
          </w:p>
        </w:tc>
      </w:tr>
      <w:tr w:rsidR="008F0E03" w:rsidRPr="00EC6C19" w14:paraId="2A12FE0E" w14:textId="77777777" w:rsidTr="00337385">
        <w:tc>
          <w:tcPr>
            <w:tcW w:w="1252" w:type="pct"/>
            <w:shd w:val="clear" w:color="auto" w:fill="FFFFFF" w:themeFill="background1"/>
          </w:tcPr>
          <w:p w14:paraId="5E6EFFFC"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RCA</w:t>
            </w:r>
          </w:p>
          <w:p w14:paraId="635F47CD" w14:textId="77777777" w:rsidR="008F0E03" w:rsidRPr="00EC6C19" w:rsidRDefault="008F0E03" w:rsidP="001C0BBF">
            <w:pPr>
              <w:spacing w:line="360" w:lineRule="auto"/>
              <w:rPr>
                <w:rFonts w:ascii="Times New Roman" w:hAnsi="Times New Roman" w:cs="Times New Roman"/>
                <w:sz w:val="24"/>
                <w:szCs w:val="24"/>
              </w:rPr>
            </w:pPr>
          </w:p>
        </w:tc>
        <w:tc>
          <w:tcPr>
            <w:tcW w:w="1323" w:type="pct"/>
            <w:shd w:val="clear" w:color="auto" w:fill="FFFFFF" w:themeFill="background1"/>
          </w:tcPr>
          <w:p w14:paraId="59527AD5"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5.2</w:t>
            </w:r>
          </w:p>
        </w:tc>
        <w:tc>
          <w:tcPr>
            <w:tcW w:w="1130" w:type="pct"/>
            <w:shd w:val="clear" w:color="auto" w:fill="FFFFFF" w:themeFill="background1"/>
          </w:tcPr>
          <w:p w14:paraId="4C3F24C8" w14:textId="77777777" w:rsidR="008F0E03" w:rsidRPr="00EC6C19" w:rsidRDefault="008F0E03" w:rsidP="001C0BBF">
            <w:pPr>
              <w:spacing w:line="360" w:lineRule="auto"/>
              <w:rPr>
                <w:rFonts w:ascii="Times New Roman" w:hAnsi="Times New Roman" w:cs="Times New Roman"/>
                <w:sz w:val="24"/>
                <w:szCs w:val="24"/>
              </w:rPr>
            </w:pPr>
            <w:r w:rsidRPr="00EC6C19">
              <w:rPr>
                <w:rFonts w:ascii="Times New Roman" w:hAnsi="Times New Roman" w:cs="Times New Roman"/>
                <w:sz w:val="24"/>
                <w:szCs w:val="24"/>
              </w:rPr>
              <w:t>0.05</w:t>
            </w:r>
          </w:p>
        </w:tc>
        <w:tc>
          <w:tcPr>
            <w:tcW w:w="1295" w:type="pct"/>
            <w:shd w:val="clear" w:color="auto" w:fill="FFFFFF" w:themeFill="background1"/>
          </w:tcPr>
          <w:p w14:paraId="2D72D99C" w14:textId="77777777" w:rsidR="008F0E03" w:rsidRPr="00EC6C19" w:rsidRDefault="009502CD" w:rsidP="001C0BBF">
            <w:pPr>
              <w:spacing w:line="360" w:lineRule="auto"/>
              <w:rPr>
                <w:rFonts w:ascii="Times New Roman" w:hAnsi="Times New Roman" w:cs="Times New Roman"/>
                <w:sz w:val="24"/>
                <w:szCs w:val="24"/>
              </w:rPr>
            </w:pPr>
            <w:r>
              <w:rPr>
                <w:rFonts w:ascii="Times New Roman" w:hAnsi="Times New Roman" w:cs="Times New Roman"/>
                <w:sz w:val="24"/>
                <w:szCs w:val="24"/>
              </w:rPr>
              <w:t>0.04</w:t>
            </w:r>
          </w:p>
        </w:tc>
      </w:tr>
    </w:tbl>
    <w:p w14:paraId="35A92465" w14:textId="77777777" w:rsidR="007C0B62" w:rsidRPr="007C0B62" w:rsidRDefault="007C0B62" w:rsidP="007C0B62">
      <w:pPr>
        <w:pStyle w:val="Caption"/>
        <w:spacing w:line="360" w:lineRule="auto"/>
        <w:rPr>
          <w:rFonts w:ascii="Times New Roman" w:hAnsi="Times New Roman" w:cs="Times New Roman"/>
          <w:b w:val="0"/>
          <w:i/>
          <w:color w:val="auto"/>
          <w:sz w:val="24"/>
          <w:szCs w:val="24"/>
        </w:rPr>
      </w:pPr>
      <w:r>
        <w:rPr>
          <w:rFonts w:ascii="Times New Roman" w:hAnsi="Times New Roman" w:cs="Times New Roman"/>
          <w:i/>
          <w:sz w:val="24"/>
          <w:szCs w:val="24"/>
        </w:rPr>
        <w:br/>
      </w:r>
      <w:bookmarkStart w:id="206" w:name="_Toc44962611"/>
      <w:r w:rsidRPr="007C0B62">
        <w:rPr>
          <w:rFonts w:ascii="Times New Roman" w:hAnsi="Times New Roman" w:cs="Times New Roman"/>
          <w:b w:val="0"/>
          <w:i/>
          <w:color w:val="auto"/>
          <w:sz w:val="24"/>
          <w:szCs w:val="24"/>
        </w:rPr>
        <w:t xml:space="preserve">Table </w:t>
      </w:r>
      <w:r w:rsidR="00106A32" w:rsidRPr="007C0B62">
        <w:rPr>
          <w:rFonts w:ascii="Times New Roman" w:hAnsi="Times New Roman" w:cs="Times New Roman"/>
          <w:b w:val="0"/>
          <w:i/>
          <w:color w:val="auto"/>
          <w:sz w:val="24"/>
          <w:szCs w:val="24"/>
        </w:rPr>
        <w:fldChar w:fldCharType="begin"/>
      </w:r>
      <w:r w:rsidRPr="007C0B62">
        <w:rPr>
          <w:rFonts w:ascii="Times New Roman" w:hAnsi="Times New Roman" w:cs="Times New Roman"/>
          <w:b w:val="0"/>
          <w:i/>
          <w:color w:val="auto"/>
          <w:sz w:val="24"/>
          <w:szCs w:val="24"/>
        </w:rPr>
        <w:instrText xml:space="preserve"> SEQ Table \* ARABIC </w:instrText>
      </w:r>
      <w:r w:rsidR="00106A32" w:rsidRPr="007C0B6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35</w:t>
      </w:r>
      <w:r w:rsidR="00106A32" w:rsidRPr="007C0B62">
        <w:rPr>
          <w:rFonts w:ascii="Times New Roman" w:hAnsi="Times New Roman" w:cs="Times New Roman"/>
          <w:b w:val="0"/>
          <w:i/>
          <w:color w:val="auto"/>
          <w:sz w:val="24"/>
          <w:szCs w:val="24"/>
        </w:rPr>
        <w:fldChar w:fldCharType="end"/>
      </w:r>
      <w:r w:rsidRPr="007C0B62">
        <w:rPr>
          <w:rFonts w:ascii="Times New Roman" w:hAnsi="Times New Roman" w:cs="Times New Roman"/>
          <w:b w:val="0"/>
          <w:i/>
          <w:color w:val="auto"/>
          <w:sz w:val="24"/>
          <w:szCs w:val="24"/>
        </w:rPr>
        <w:t xml:space="preserve"> - Predicted vs. A</w:t>
      </w:r>
      <w:r>
        <w:rPr>
          <w:rFonts w:ascii="Times New Roman" w:hAnsi="Times New Roman" w:cs="Times New Roman"/>
          <w:b w:val="0"/>
          <w:i/>
          <w:color w:val="auto"/>
          <w:sz w:val="24"/>
          <w:szCs w:val="24"/>
        </w:rPr>
        <w:t>ctual</w:t>
      </w:r>
      <w:r w:rsidRPr="007C0B62">
        <w:rPr>
          <w:rFonts w:ascii="Times New Roman" w:hAnsi="Times New Roman" w:cs="Times New Roman"/>
          <w:b w:val="0"/>
          <w:i/>
          <w:color w:val="auto"/>
          <w:sz w:val="24"/>
          <w:szCs w:val="24"/>
        </w:rPr>
        <w:t xml:space="preserve"> Hydrostatic Effect in Vivo</w:t>
      </w:r>
      <w:bookmarkEnd w:id="206"/>
    </w:p>
    <w:p w14:paraId="34E61135" w14:textId="77777777" w:rsidR="007C0B62" w:rsidRDefault="007C0B62" w:rsidP="007C0B62"/>
    <w:p w14:paraId="792EE1E9" w14:textId="77777777" w:rsidR="007C0B62" w:rsidRPr="007C0B62" w:rsidRDefault="007C0B62" w:rsidP="007C0B62"/>
    <w:p w14:paraId="169DA8AD" w14:textId="77777777" w:rsidR="000F6A8E" w:rsidRPr="00B15CB5" w:rsidRDefault="00B15CB5" w:rsidP="00B15CB5">
      <w:pPr>
        <w:pStyle w:val="Heading2"/>
        <w:rPr>
          <w:rFonts w:ascii="Times New Roman" w:hAnsi="Times New Roman" w:cs="Times New Roman"/>
          <w:color w:val="auto"/>
          <w:sz w:val="24"/>
          <w:szCs w:val="24"/>
        </w:rPr>
      </w:pPr>
      <w:bookmarkStart w:id="207" w:name="_Toc80302266"/>
      <w:r w:rsidRPr="00B15CB5">
        <w:rPr>
          <w:rFonts w:ascii="Times New Roman" w:hAnsi="Times New Roman" w:cs="Times New Roman"/>
          <w:color w:val="auto"/>
          <w:sz w:val="24"/>
          <w:szCs w:val="24"/>
        </w:rPr>
        <w:t xml:space="preserve">3.33 - </w:t>
      </w:r>
      <w:r w:rsidR="001C0BBF" w:rsidRPr="00B15CB5">
        <w:rPr>
          <w:rFonts w:ascii="Times New Roman" w:hAnsi="Times New Roman" w:cs="Times New Roman"/>
          <w:color w:val="auto"/>
          <w:sz w:val="24"/>
          <w:szCs w:val="24"/>
        </w:rPr>
        <w:t>Summary of All Results</w:t>
      </w:r>
      <w:bookmarkEnd w:id="207"/>
      <w:r>
        <w:rPr>
          <w:rFonts w:ascii="Times New Roman" w:hAnsi="Times New Roman" w:cs="Times New Roman"/>
          <w:color w:val="auto"/>
          <w:sz w:val="24"/>
          <w:szCs w:val="24"/>
        </w:rPr>
        <w:br/>
      </w:r>
    </w:p>
    <w:p w14:paraId="395CA03B" w14:textId="77777777" w:rsidR="000F6A8E" w:rsidRPr="00EC6C19" w:rsidRDefault="000F6A8E" w:rsidP="000F6A8E">
      <w:pPr>
        <w:pStyle w:val="ListParagraph"/>
        <w:spacing w:line="360" w:lineRule="auto"/>
        <w:rPr>
          <w:rFonts w:ascii="Times New Roman" w:hAnsi="Times New Roman" w:cs="Times New Roman"/>
          <w:sz w:val="24"/>
          <w:szCs w:val="24"/>
        </w:rPr>
      </w:pPr>
    </w:p>
    <w:p w14:paraId="317BD7CB" w14:textId="77777777" w:rsidR="000F6A8E" w:rsidRPr="003B2E9F" w:rsidRDefault="003B2E9F" w:rsidP="003B2E9F">
      <w:pPr>
        <w:pStyle w:val="ListParagraph"/>
        <w:numPr>
          <w:ilvl w:val="0"/>
          <w:numId w:val="32"/>
        </w:numPr>
        <w:spacing w:line="360" w:lineRule="auto"/>
        <w:rPr>
          <w:rFonts w:ascii="Times New Roman" w:hAnsi="Times New Roman" w:cs="Times New Roman"/>
          <w:sz w:val="24"/>
          <w:szCs w:val="24"/>
        </w:rPr>
      </w:pPr>
      <w:r>
        <w:rPr>
          <w:rFonts w:ascii="Times New Roman" w:hAnsi="Times New Roman" w:cs="Times New Roman"/>
          <w:sz w:val="24"/>
          <w:szCs w:val="24"/>
        </w:rPr>
        <w:t>For all lesions referred for pressure wire, s</w:t>
      </w:r>
      <w:r w:rsidR="000F6A8E" w:rsidRPr="003B2E9F">
        <w:rPr>
          <w:rFonts w:ascii="Times New Roman" w:hAnsi="Times New Roman" w:cs="Times New Roman"/>
          <w:sz w:val="24"/>
          <w:szCs w:val="24"/>
        </w:rPr>
        <w:t>tenosis severity</w:t>
      </w:r>
      <w:r>
        <w:rPr>
          <w:rFonts w:ascii="Times New Roman" w:hAnsi="Times New Roman" w:cs="Times New Roman"/>
          <w:sz w:val="24"/>
          <w:szCs w:val="24"/>
        </w:rPr>
        <w:t xml:space="preserve"> assessed by QCA</w:t>
      </w:r>
      <w:r w:rsidR="000F6A8E" w:rsidRPr="003B2E9F">
        <w:rPr>
          <w:rFonts w:ascii="Times New Roman" w:hAnsi="Times New Roman" w:cs="Times New Roman"/>
          <w:sz w:val="24"/>
          <w:szCs w:val="24"/>
        </w:rPr>
        <w:t xml:space="preserve"> varied significantly between the LAD and RCA.</w:t>
      </w:r>
    </w:p>
    <w:p w14:paraId="771250D9" w14:textId="77777777" w:rsidR="000F6A8E" w:rsidRPr="00EC6C19" w:rsidRDefault="000F6A8E" w:rsidP="000F6A8E">
      <w:pPr>
        <w:pStyle w:val="ListParagraph"/>
        <w:spacing w:line="360" w:lineRule="auto"/>
        <w:rPr>
          <w:rFonts w:ascii="Times New Roman" w:hAnsi="Times New Roman" w:cs="Times New Roman"/>
          <w:sz w:val="24"/>
          <w:szCs w:val="24"/>
        </w:rPr>
      </w:pPr>
    </w:p>
    <w:p w14:paraId="14B48753" w14:textId="77777777" w:rsidR="007D55C4" w:rsidRPr="00EC6C19" w:rsidRDefault="000F6A8E" w:rsidP="000F6A8E">
      <w:pPr>
        <w:pStyle w:val="ListParagraph"/>
        <w:numPr>
          <w:ilvl w:val="0"/>
          <w:numId w:val="32"/>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was a statistical</w:t>
      </w:r>
      <w:r w:rsidR="007D55C4" w:rsidRPr="00EC6C19">
        <w:rPr>
          <w:rFonts w:ascii="Times New Roman" w:hAnsi="Times New Roman" w:cs="Times New Roman"/>
          <w:sz w:val="24"/>
          <w:szCs w:val="24"/>
        </w:rPr>
        <w:t>ly significant</w:t>
      </w:r>
      <w:r w:rsidRPr="00EC6C19">
        <w:rPr>
          <w:rFonts w:ascii="Times New Roman" w:hAnsi="Times New Roman" w:cs="Times New Roman"/>
          <w:sz w:val="24"/>
          <w:szCs w:val="24"/>
        </w:rPr>
        <w:t xml:space="preserve"> difference between</w:t>
      </w:r>
      <w:r w:rsidR="00F05016">
        <w:rPr>
          <w:rFonts w:ascii="Times New Roman" w:hAnsi="Times New Roman" w:cs="Times New Roman"/>
          <w:sz w:val="24"/>
          <w:szCs w:val="24"/>
        </w:rPr>
        <w:t xml:space="preserve"> mean</w:t>
      </w:r>
      <w:r w:rsidRPr="00EC6C19">
        <w:rPr>
          <w:rFonts w:ascii="Times New Roman" w:hAnsi="Times New Roman" w:cs="Times New Roman"/>
          <w:sz w:val="24"/>
          <w:szCs w:val="24"/>
        </w:rPr>
        <w:t xml:space="preserve"> prone and supine Pd/Pa</w:t>
      </w:r>
      <w:r w:rsidR="00F05016">
        <w:rPr>
          <w:rFonts w:ascii="Times New Roman" w:hAnsi="Times New Roman" w:cs="Times New Roman"/>
          <w:sz w:val="24"/>
          <w:szCs w:val="24"/>
        </w:rPr>
        <w:t xml:space="preserve"> across all arteries</w:t>
      </w:r>
      <w:r w:rsidRPr="00EC6C19">
        <w:rPr>
          <w:rFonts w:ascii="Times New Roman" w:hAnsi="Times New Roman" w:cs="Times New Roman"/>
          <w:sz w:val="24"/>
          <w:szCs w:val="24"/>
        </w:rPr>
        <w:t xml:space="preserve"> </w:t>
      </w:r>
    </w:p>
    <w:p w14:paraId="6CB8439B" w14:textId="77777777" w:rsidR="007D55C4" w:rsidRPr="00EC6C19" w:rsidRDefault="007D55C4" w:rsidP="007D55C4">
      <w:pPr>
        <w:pStyle w:val="ListParagraph"/>
        <w:spacing w:line="360" w:lineRule="auto"/>
        <w:rPr>
          <w:rFonts w:ascii="Times New Roman" w:hAnsi="Times New Roman" w:cs="Times New Roman"/>
          <w:sz w:val="24"/>
          <w:szCs w:val="24"/>
        </w:rPr>
      </w:pPr>
    </w:p>
    <w:p w14:paraId="740683F2" w14:textId="77777777" w:rsidR="007D55C4" w:rsidRPr="00EC6C19" w:rsidRDefault="007D55C4" w:rsidP="007D55C4">
      <w:pPr>
        <w:pStyle w:val="ListParagraph"/>
        <w:numPr>
          <w:ilvl w:val="0"/>
          <w:numId w:val="32"/>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is a statistically significant difference between</w:t>
      </w:r>
      <w:r w:rsidR="00F05016">
        <w:rPr>
          <w:rFonts w:ascii="Times New Roman" w:hAnsi="Times New Roman" w:cs="Times New Roman"/>
          <w:sz w:val="24"/>
          <w:szCs w:val="24"/>
        </w:rPr>
        <w:t xml:space="preserve"> mean</w:t>
      </w:r>
      <w:r w:rsidRPr="00EC6C19">
        <w:rPr>
          <w:rFonts w:ascii="Times New Roman" w:hAnsi="Times New Roman" w:cs="Times New Roman"/>
          <w:sz w:val="24"/>
          <w:szCs w:val="24"/>
        </w:rPr>
        <w:t xml:space="preserve"> prone and supine iFR</w:t>
      </w:r>
      <w:r w:rsidR="00F05016">
        <w:rPr>
          <w:rFonts w:ascii="Times New Roman" w:hAnsi="Times New Roman" w:cs="Times New Roman"/>
          <w:sz w:val="24"/>
          <w:szCs w:val="24"/>
        </w:rPr>
        <w:t xml:space="preserve"> across all arteries</w:t>
      </w:r>
      <w:r w:rsidRPr="00EC6C19">
        <w:rPr>
          <w:rFonts w:ascii="Times New Roman" w:hAnsi="Times New Roman" w:cs="Times New Roman"/>
          <w:sz w:val="24"/>
          <w:szCs w:val="24"/>
        </w:rPr>
        <w:t>.</w:t>
      </w:r>
    </w:p>
    <w:p w14:paraId="3900D7D2" w14:textId="77777777" w:rsidR="000F6A8E" w:rsidRPr="00EC6C19" w:rsidRDefault="000F6A8E" w:rsidP="000F6A8E">
      <w:pPr>
        <w:pStyle w:val="ListParagraph"/>
        <w:spacing w:line="360" w:lineRule="auto"/>
        <w:rPr>
          <w:rFonts w:ascii="Times New Roman" w:hAnsi="Times New Roman" w:cs="Times New Roman"/>
          <w:sz w:val="24"/>
          <w:szCs w:val="24"/>
        </w:rPr>
      </w:pPr>
    </w:p>
    <w:p w14:paraId="70646555" w14:textId="77777777" w:rsidR="000F6A8E" w:rsidRPr="00EC6C19" w:rsidRDefault="000F6A8E" w:rsidP="000F6A8E">
      <w:pPr>
        <w:pStyle w:val="ListParagraph"/>
        <w:numPr>
          <w:ilvl w:val="0"/>
          <w:numId w:val="32"/>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was a statistical</w:t>
      </w:r>
      <w:r w:rsidR="007D55C4" w:rsidRPr="00EC6C19">
        <w:rPr>
          <w:rFonts w:ascii="Times New Roman" w:hAnsi="Times New Roman" w:cs="Times New Roman"/>
          <w:sz w:val="24"/>
          <w:szCs w:val="24"/>
        </w:rPr>
        <w:t>ly significant</w:t>
      </w:r>
      <w:r w:rsidRPr="00EC6C19">
        <w:rPr>
          <w:rFonts w:ascii="Times New Roman" w:hAnsi="Times New Roman" w:cs="Times New Roman"/>
          <w:sz w:val="24"/>
          <w:szCs w:val="24"/>
        </w:rPr>
        <w:t xml:space="preserve"> differen</w:t>
      </w:r>
      <w:r w:rsidR="007D55C4" w:rsidRPr="00EC6C19">
        <w:rPr>
          <w:rFonts w:ascii="Times New Roman" w:hAnsi="Times New Roman" w:cs="Times New Roman"/>
          <w:sz w:val="24"/>
          <w:szCs w:val="24"/>
        </w:rPr>
        <w:t>ce between</w:t>
      </w:r>
      <w:r w:rsidR="00F05016">
        <w:rPr>
          <w:rFonts w:ascii="Times New Roman" w:hAnsi="Times New Roman" w:cs="Times New Roman"/>
          <w:sz w:val="24"/>
          <w:szCs w:val="24"/>
        </w:rPr>
        <w:t xml:space="preserve"> mean</w:t>
      </w:r>
      <w:r w:rsidR="007D55C4" w:rsidRPr="00EC6C19">
        <w:rPr>
          <w:rFonts w:ascii="Times New Roman" w:hAnsi="Times New Roman" w:cs="Times New Roman"/>
          <w:sz w:val="24"/>
          <w:szCs w:val="24"/>
        </w:rPr>
        <w:t xml:space="preserve"> prone and supine FFR</w:t>
      </w:r>
      <w:r w:rsidR="00F05016">
        <w:rPr>
          <w:rFonts w:ascii="Times New Roman" w:hAnsi="Times New Roman" w:cs="Times New Roman"/>
          <w:sz w:val="24"/>
          <w:szCs w:val="24"/>
        </w:rPr>
        <w:t xml:space="preserve"> across all arteries</w:t>
      </w:r>
      <w:r w:rsidR="007D55C4" w:rsidRPr="00EC6C19">
        <w:rPr>
          <w:rFonts w:ascii="Times New Roman" w:hAnsi="Times New Roman" w:cs="Times New Roman"/>
          <w:sz w:val="24"/>
          <w:szCs w:val="24"/>
        </w:rPr>
        <w:t>.</w:t>
      </w:r>
    </w:p>
    <w:p w14:paraId="56906A1C" w14:textId="77777777" w:rsidR="007D55C4" w:rsidRPr="00EC6C19" w:rsidRDefault="007D55C4" w:rsidP="007D55C4">
      <w:pPr>
        <w:pStyle w:val="ListParagraph"/>
        <w:spacing w:line="360" w:lineRule="auto"/>
        <w:rPr>
          <w:rFonts w:ascii="Times New Roman" w:hAnsi="Times New Roman" w:cs="Times New Roman"/>
          <w:sz w:val="24"/>
          <w:szCs w:val="24"/>
        </w:rPr>
      </w:pPr>
    </w:p>
    <w:p w14:paraId="7D43944D" w14:textId="77777777" w:rsidR="00AF6A0B" w:rsidRPr="00EC6C19" w:rsidRDefault="000F6A8E" w:rsidP="007D55C4">
      <w:pPr>
        <w:pStyle w:val="ListParagraph"/>
        <w:numPr>
          <w:ilvl w:val="0"/>
          <w:numId w:val="32"/>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There was no statistical change in</w:t>
      </w:r>
      <w:r w:rsidR="00F05016">
        <w:rPr>
          <w:rFonts w:ascii="Times New Roman" w:hAnsi="Times New Roman" w:cs="Times New Roman"/>
          <w:sz w:val="24"/>
          <w:szCs w:val="24"/>
        </w:rPr>
        <w:t xml:space="preserve"> mean</w:t>
      </w:r>
      <w:r w:rsidRPr="00EC6C19">
        <w:rPr>
          <w:rFonts w:ascii="Times New Roman" w:hAnsi="Times New Roman" w:cs="Times New Roman"/>
          <w:sz w:val="24"/>
          <w:szCs w:val="24"/>
        </w:rPr>
        <w:t xml:space="preserve"> resting or hyperaemic</w:t>
      </w:r>
      <w:r w:rsidR="007D55C4" w:rsidRPr="00EC6C19">
        <w:rPr>
          <w:rFonts w:ascii="Times New Roman" w:hAnsi="Times New Roman" w:cs="Times New Roman"/>
          <w:sz w:val="24"/>
          <w:szCs w:val="24"/>
        </w:rPr>
        <w:t xml:space="preserve"> doppler</w:t>
      </w:r>
      <w:r w:rsidRPr="00EC6C19">
        <w:rPr>
          <w:rFonts w:ascii="Times New Roman" w:hAnsi="Times New Roman" w:cs="Times New Roman"/>
          <w:sz w:val="24"/>
          <w:szCs w:val="24"/>
        </w:rPr>
        <w:t xml:space="preserve"> flow</w:t>
      </w:r>
      <w:r w:rsidR="007D55C4" w:rsidRPr="00EC6C19">
        <w:rPr>
          <w:rFonts w:ascii="Times New Roman" w:hAnsi="Times New Roman" w:cs="Times New Roman"/>
          <w:sz w:val="24"/>
          <w:szCs w:val="24"/>
        </w:rPr>
        <w:t xml:space="preserve"> between prone and supine positions</w:t>
      </w:r>
      <w:r w:rsidR="00F05016">
        <w:rPr>
          <w:rFonts w:ascii="Times New Roman" w:hAnsi="Times New Roman" w:cs="Times New Roman"/>
          <w:sz w:val="24"/>
          <w:szCs w:val="24"/>
        </w:rPr>
        <w:t xml:space="preserve"> across all arteries</w:t>
      </w:r>
      <w:r w:rsidRPr="00EC6C19">
        <w:rPr>
          <w:rFonts w:ascii="Times New Roman" w:hAnsi="Times New Roman" w:cs="Times New Roman"/>
          <w:sz w:val="24"/>
          <w:szCs w:val="24"/>
        </w:rPr>
        <w:t>.</w:t>
      </w:r>
    </w:p>
    <w:p w14:paraId="249D4FE6" w14:textId="77777777" w:rsidR="00C37B57" w:rsidRPr="00EC6C19" w:rsidRDefault="00C37B57" w:rsidP="00C37B57">
      <w:pPr>
        <w:pStyle w:val="ListParagraph"/>
        <w:spacing w:line="360" w:lineRule="auto"/>
        <w:rPr>
          <w:rFonts w:ascii="Times New Roman" w:hAnsi="Times New Roman" w:cs="Times New Roman"/>
          <w:sz w:val="24"/>
          <w:szCs w:val="24"/>
        </w:rPr>
      </w:pPr>
    </w:p>
    <w:p w14:paraId="420F0332" w14:textId="77777777" w:rsidR="00C37B57" w:rsidRPr="00EC6C19" w:rsidRDefault="00C37B57" w:rsidP="000F6A8E">
      <w:pPr>
        <w:pStyle w:val="ListParagraph"/>
        <w:numPr>
          <w:ilvl w:val="0"/>
          <w:numId w:val="32"/>
        </w:numPr>
        <w:spacing w:line="360" w:lineRule="auto"/>
        <w:rPr>
          <w:rFonts w:ascii="Times New Roman" w:hAnsi="Times New Roman" w:cs="Times New Roman"/>
          <w:sz w:val="24"/>
          <w:szCs w:val="24"/>
        </w:rPr>
      </w:pPr>
      <w:r w:rsidRPr="00EC6C19">
        <w:rPr>
          <w:rFonts w:ascii="Times New Roman" w:hAnsi="Times New Roman" w:cs="Times New Roman"/>
          <w:sz w:val="24"/>
          <w:szCs w:val="24"/>
        </w:rPr>
        <w:t>Guide catheter to wire measurement</w:t>
      </w:r>
      <w:r w:rsidR="007D55C4" w:rsidRPr="00EC6C19">
        <w:rPr>
          <w:rFonts w:ascii="Times New Roman" w:hAnsi="Times New Roman" w:cs="Times New Roman"/>
          <w:sz w:val="24"/>
          <w:szCs w:val="24"/>
        </w:rPr>
        <w:t>s did not significantly correlate with delta change in PdPa, iFR or FFR</w:t>
      </w:r>
    </w:p>
    <w:p w14:paraId="54FA6A6E" w14:textId="77777777" w:rsidR="000F6A8E" w:rsidRPr="00EC6C19" w:rsidRDefault="000F6A8E" w:rsidP="001C0BBF">
      <w:pPr>
        <w:spacing w:line="360" w:lineRule="auto"/>
        <w:rPr>
          <w:rFonts w:ascii="Times New Roman" w:hAnsi="Times New Roman" w:cs="Times New Roman"/>
          <w:b/>
          <w:sz w:val="24"/>
          <w:szCs w:val="24"/>
        </w:rPr>
      </w:pPr>
    </w:p>
    <w:p w14:paraId="25D1F2ED" w14:textId="77777777" w:rsidR="001C0BBF" w:rsidRPr="00EC6C19" w:rsidRDefault="001C0BBF" w:rsidP="001C0BBF">
      <w:pPr>
        <w:spacing w:line="360" w:lineRule="auto"/>
        <w:rPr>
          <w:rFonts w:ascii="Times New Roman" w:hAnsi="Times New Roman" w:cs="Times New Roman"/>
          <w:b/>
          <w:sz w:val="24"/>
          <w:szCs w:val="24"/>
        </w:rPr>
      </w:pPr>
    </w:p>
    <w:p w14:paraId="02613655" w14:textId="77777777" w:rsidR="008F0E03" w:rsidRPr="00EC6C19" w:rsidRDefault="008F0E03" w:rsidP="001C0BBF">
      <w:pPr>
        <w:spacing w:line="360" w:lineRule="auto"/>
        <w:rPr>
          <w:rFonts w:ascii="Times New Roman" w:hAnsi="Times New Roman" w:cs="Times New Roman"/>
          <w:b/>
          <w:sz w:val="24"/>
          <w:szCs w:val="24"/>
        </w:rPr>
      </w:pPr>
    </w:p>
    <w:p w14:paraId="666E1240" w14:textId="77777777" w:rsidR="00C16E5E" w:rsidRPr="00EC6C19" w:rsidRDefault="00C16E5E" w:rsidP="001C0BBF">
      <w:pPr>
        <w:spacing w:line="360" w:lineRule="auto"/>
        <w:rPr>
          <w:rFonts w:ascii="Times New Roman" w:hAnsi="Times New Roman" w:cs="Times New Roman"/>
          <w:b/>
          <w:sz w:val="24"/>
          <w:szCs w:val="24"/>
        </w:rPr>
      </w:pPr>
    </w:p>
    <w:p w14:paraId="27BF0402" w14:textId="77777777" w:rsidR="001C0BBF" w:rsidRPr="00EC6C19" w:rsidRDefault="001C0BBF" w:rsidP="001C0BBF">
      <w:pPr>
        <w:spacing w:line="360" w:lineRule="auto"/>
        <w:rPr>
          <w:rFonts w:ascii="Times New Roman" w:hAnsi="Times New Roman" w:cs="Times New Roman"/>
          <w:i/>
          <w:sz w:val="24"/>
          <w:szCs w:val="24"/>
        </w:rPr>
      </w:pPr>
    </w:p>
    <w:p w14:paraId="66099AA3" w14:textId="77777777" w:rsidR="001C0BBF" w:rsidRPr="00EC6C19" w:rsidRDefault="001C0BBF">
      <w:pPr>
        <w:rPr>
          <w:rFonts w:ascii="Times New Roman" w:hAnsi="Times New Roman" w:cs="Times New Roman"/>
          <w:i/>
          <w:sz w:val="24"/>
          <w:szCs w:val="24"/>
        </w:rPr>
      </w:pPr>
    </w:p>
    <w:p w14:paraId="197E5E39" w14:textId="77777777" w:rsidR="00182C09" w:rsidRPr="00EC6C19" w:rsidRDefault="00182C09">
      <w:pPr>
        <w:rPr>
          <w:rFonts w:ascii="Times New Roman" w:hAnsi="Times New Roman" w:cs="Times New Roman"/>
          <w:sz w:val="24"/>
          <w:szCs w:val="24"/>
        </w:rPr>
      </w:pPr>
    </w:p>
    <w:p w14:paraId="1FF15F9D" w14:textId="77777777" w:rsidR="00182C09" w:rsidRPr="00EC6C19" w:rsidRDefault="00182C09">
      <w:pPr>
        <w:rPr>
          <w:rFonts w:ascii="Times New Roman" w:hAnsi="Times New Roman" w:cs="Times New Roman"/>
          <w:b/>
          <w:sz w:val="24"/>
          <w:szCs w:val="24"/>
        </w:rPr>
      </w:pPr>
    </w:p>
    <w:p w14:paraId="09EDD8A3" w14:textId="77777777" w:rsidR="001C0BBF" w:rsidRPr="00EC6C19" w:rsidRDefault="001C0BBF">
      <w:pPr>
        <w:rPr>
          <w:rFonts w:ascii="Times New Roman" w:hAnsi="Times New Roman" w:cs="Times New Roman"/>
          <w:b/>
          <w:sz w:val="24"/>
          <w:szCs w:val="24"/>
        </w:rPr>
      </w:pPr>
    </w:p>
    <w:p w14:paraId="049CAD73" w14:textId="77777777" w:rsidR="001C0BBF" w:rsidRPr="00EC6C19" w:rsidRDefault="001C0BBF">
      <w:pPr>
        <w:rPr>
          <w:rFonts w:ascii="Times New Roman" w:hAnsi="Times New Roman" w:cs="Times New Roman"/>
          <w:b/>
          <w:sz w:val="24"/>
          <w:szCs w:val="24"/>
        </w:rPr>
      </w:pPr>
    </w:p>
    <w:p w14:paraId="09B6CC27" w14:textId="77777777" w:rsidR="001C0BBF" w:rsidRPr="00EC6C19" w:rsidRDefault="001C0BBF">
      <w:pPr>
        <w:rPr>
          <w:rFonts w:ascii="Times New Roman" w:hAnsi="Times New Roman" w:cs="Times New Roman"/>
          <w:b/>
          <w:sz w:val="24"/>
          <w:szCs w:val="24"/>
        </w:rPr>
      </w:pPr>
    </w:p>
    <w:p w14:paraId="44C2B08F" w14:textId="77777777" w:rsidR="001C0BBF" w:rsidRPr="00EC6C19" w:rsidRDefault="001C0BBF">
      <w:pPr>
        <w:rPr>
          <w:rFonts w:ascii="Times New Roman" w:hAnsi="Times New Roman" w:cs="Times New Roman"/>
          <w:b/>
          <w:sz w:val="24"/>
          <w:szCs w:val="24"/>
        </w:rPr>
      </w:pPr>
    </w:p>
    <w:p w14:paraId="7BFC4738" w14:textId="77777777" w:rsidR="001C0BBF" w:rsidRPr="00EC6C19" w:rsidRDefault="001C0BBF">
      <w:pPr>
        <w:rPr>
          <w:rFonts w:ascii="Times New Roman" w:hAnsi="Times New Roman" w:cs="Times New Roman"/>
          <w:b/>
          <w:sz w:val="24"/>
          <w:szCs w:val="24"/>
        </w:rPr>
      </w:pPr>
    </w:p>
    <w:p w14:paraId="1845376B" w14:textId="77777777" w:rsidR="001C0BBF" w:rsidRPr="00EC6C19" w:rsidRDefault="001C0BBF">
      <w:pPr>
        <w:rPr>
          <w:rFonts w:ascii="Times New Roman" w:hAnsi="Times New Roman" w:cs="Times New Roman"/>
          <w:b/>
          <w:sz w:val="24"/>
          <w:szCs w:val="24"/>
        </w:rPr>
      </w:pPr>
    </w:p>
    <w:p w14:paraId="326BB1F4" w14:textId="77777777" w:rsidR="001C0BBF" w:rsidRPr="00EC6C19" w:rsidRDefault="001C0BBF">
      <w:pPr>
        <w:rPr>
          <w:rFonts w:ascii="Times New Roman" w:hAnsi="Times New Roman" w:cs="Times New Roman"/>
          <w:b/>
          <w:sz w:val="24"/>
          <w:szCs w:val="24"/>
        </w:rPr>
      </w:pPr>
    </w:p>
    <w:p w14:paraId="6896AC50" w14:textId="77777777" w:rsidR="001C0BBF" w:rsidRPr="00EC6C19" w:rsidRDefault="001C0BBF">
      <w:pPr>
        <w:rPr>
          <w:rFonts w:ascii="Times New Roman" w:hAnsi="Times New Roman" w:cs="Times New Roman"/>
          <w:b/>
          <w:sz w:val="24"/>
          <w:szCs w:val="24"/>
        </w:rPr>
      </w:pPr>
    </w:p>
    <w:p w14:paraId="775D6E9F" w14:textId="77777777" w:rsidR="001C0BBF" w:rsidRPr="00EC6C19" w:rsidRDefault="001C0BBF">
      <w:pPr>
        <w:rPr>
          <w:rFonts w:ascii="Times New Roman" w:hAnsi="Times New Roman" w:cs="Times New Roman"/>
          <w:b/>
          <w:sz w:val="24"/>
          <w:szCs w:val="24"/>
        </w:rPr>
      </w:pPr>
    </w:p>
    <w:p w14:paraId="5669C9BD" w14:textId="77777777" w:rsidR="001C0BBF" w:rsidRPr="00EC6C19" w:rsidRDefault="001C0BBF">
      <w:pPr>
        <w:rPr>
          <w:rFonts w:ascii="Times New Roman" w:hAnsi="Times New Roman" w:cs="Times New Roman"/>
          <w:b/>
          <w:sz w:val="24"/>
          <w:szCs w:val="24"/>
        </w:rPr>
      </w:pPr>
    </w:p>
    <w:p w14:paraId="336D3ACB" w14:textId="77777777" w:rsidR="001C0BBF" w:rsidRPr="00EC6C19" w:rsidRDefault="001C0BBF">
      <w:pPr>
        <w:rPr>
          <w:rFonts w:ascii="Times New Roman" w:hAnsi="Times New Roman" w:cs="Times New Roman"/>
          <w:b/>
          <w:sz w:val="24"/>
          <w:szCs w:val="24"/>
        </w:rPr>
      </w:pPr>
    </w:p>
    <w:p w14:paraId="00753D24" w14:textId="77777777" w:rsidR="002F255D" w:rsidRPr="00B15CB5" w:rsidRDefault="003B2E9F" w:rsidP="00B15CB5">
      <w:pPr>
        <w:pStyle w:val="Heading1"/>
        <w:rPr>
          <w:rFonts w:ascii="Times New Roman" w:hAnsi="Times New Roman" w:cs="Times New Roman"/>
          <w:color w:val="auto"/>
          <w:sz w:val="24"/>
          <w:szCs w:val="24"/>
        </w:rPr>
      </w:pPr>
      <w:bookmarkStart w:id="208" w:name="_Toc80302267"/>
      <w:r w:rsidRPr="00B15CB5">
        <w:rPr>
          <w:rFonts w:ascii="Times New Roman" w:hAnsi="Times New Roman" w:cs="Times New Roman"/>
          <w:color w:val="auto"/>
          <w:sz w:val="24"/>
          <w:szCs w:val="24"/>
        </w:rPr>
        <w:t xml:space="preserve">Chapter </w:t>
      </w:r>
      <w:r w:rsidR="00EA01C2">
        <w:rPr>
          <w:rFonts w:ascii="Times New Roman" w:hAnsi="Times New Roman" w:cs="Times New Roman"/>
          <w:color w:val="auto"/>
          <w:sz w:val="24"/>
          <w:szCs w:val="24"/>
        </w:rPr>
        <w:t>I</w:t>
      </w:r>
      <w:r w:rsidRPr="00B15CB5">
        <w:rPr>
          <w:rFonts w:ascii="Times New Roman" w:hAnsi="Times New Roman" w:cs="Times New Roman"/>
          <w:color w:val="auto"/>
          <w:sz w:val="24"/>
          <w:szCs w:val="24"/>
        </w:rPr>
        <w:t>V - Discussion</w:t>
      </w:r>
      <w:r w:rsidR="00B66782" w:rsidRPr="00B15CB5">
        <w:rPr>
          <w:rFonts w:ascii="Times New Roman" w:hAnsi="Times New Roman" w:cs="Times New Roman"/>
          <w:color w:val="auto"/>
          <w:sz w:val="24"/>
          <w:szCs w:val="24"/>
        </w:rPr>
        <w:t xml:space="preserve"> and Interpretation</w:t>
      </w:r>
      <w:bookmarkEnd w:id="208"/>
    </w:p>
    <w:p w14:paraId="2CB734D1" w14:textId="77777777" w:rsidR="002F255D" w:rsidRDefault="002F255D">
      <w:pPr>
        <w:rPr>
          <w:rFonts w:ascii="Times New Roman" w:hAnsi="Times New Roman" w:cs="Times New Roman"/>
          <w:b/>
          <w:sz w:val="24"/>
          <w:szCs w:val="24"/>
        </w:rPr>
      </w:pPr>
    </w:p>
    <w:p w14:paraId="0B720C3F" w14:textId="77777777" w:rsidR="001C0BBF" w:rsidRPr="00EC6C19" w:rsidRDefault="001C0BBF">
      <w:pPr>
        <w:rPr>
          <w:rFonts w:ascii="Times New Roman" w:hAnsi="Times New Roman" w:cs="Times New Roman"/>
          <w:b/>
          <w:sz w:val="24"/>
          <w:szCs w:val="24"/>
        </w:rPr>
      </w:pPr>
    </w:p>
    <w:p w14:paraId="314C9575" w14:textId="77777777" w:rsidR="001C0BBF" w:rsidRPr="00EC6C19" w:rsidRDefault="001C0BBF">
      <w:pPr>
        <w:rPr>
          <w:rFonts w:ascii="Times New Roman" w:hAnsi="Times New Roman" w:cs="Times New Roman"/>
          <w:b/>
          <w:sz w:val="24"/>
          <w:szCs w:val="24"/>
        </w:rPr>
      </w:pPr>
    </w:p>
    <w:p w14:paraId="620E6D0D" w14:textId="77777777" w:rsidR="007643C9" w:rsidRPr="00B15CB5" w:rsidRDefault="00B15CB5" w:rsidP="00B15CB5">
      <w:pPr>
        <w:pStyle w:val="Heading2"/>
        <w:rPr>
          <w:rFonts w:ascii="Times New Roman" w:hAnsi="Times New Roman" w:cs="Times New Roman"/>
          <w:color w:val="auto"/>
          <w:sz w:val="24"/>
          <w:szCs w:val="24"/>
        </w:rPr>
      </w:pPr>
      <w:bookmarkStart w:id="209" w:name="_Toc80302268"/>
      <w:r w:rsidRPr="00B15CB5">
        <w:rPr>
          <w:rFonts w:ascii="Times New Roman" w:hAnsi="Times New Roman" w:cs="Times New Roman"/>
          <w:color w:val="auto"/>
          <w:sz w:val="24"/>
          <w:szCs w:val="24"/>
        </w:rPr>
        <w:t xml:space="preserve">4.1 - </w:t>
      </w:r>
      <w:r w:rsidR="007643C9" w:rsidRPr="00B15CB5">
        <w:rPr>
          <w:rFonts w:ascii="Times New Roman" w:hAnsi="Times New Roman" w:cs="Times New Roman"/>
          <w:color w:val="auto"/>
          <w:sz w:val="24"/>
          <w:szCs w:val="24"/>
        </w:rPr>
        <w:t>Overview</w:t>
      </w:r>
      <w:bookmarkEnd w:id="209"/>
      <w:r>
        <w:rPr>
          <w:rFonts w:ascii="Times New Roman" w:hAnsi="Times New Roman" w:cs="Times New Roman"/>
          <w:color w:val="auto"/>
          <w:sz w:val="24"/>
          <w:szCs w:val="24"/>
        </w:rPr>
        <w:br/>
      </w:r>
    </w:p>
    <w:p w14:paraId="5E7A6F1D" w14:textId="77777777" w:rsidR="00CC67C4" w:rsidRPr="00EC6C19" w:rsidRDefault="00CC67C4" w:rsidP="007643C9">
      <w:pPr>
        <w:spacing w:line="360" w:lineRule="auto"/>
        <w:rPr>
          <w:rFonts w:ascii="Times New Roman" w:hAnsi="Times New Roman" w:cs="Times New Roman"/>
          <w:b/>
          <w:sz w:val="24"/>
          <w:szCs w:val="24"/>
        </w:rPr>
      </w:pPr>
    </w:p>
    <w:p w14:paraId="1A059689" w14:textId="77777777" w:rsidR="00CC67C4" w:rsidRPr="00EC6C19" w:rsidRDefault="00CC67C4" w:rsidP="007643C9">
      <w:pPr>
        <w:spacing w:line="360" w:lineRule="auto"/>
        <w:rPr>
          <w:rFonts w:ascii="Times New Roman" w:hAnsi="Times New Roman" w:cs="Times New Roman"/>
          <w:sz w:val="24"/>
          <w:szCs w:val="24"/>
        </w:rPr>
      </w:pPr>
      <w:r w:rsidRPr="00EC6C19">
        <w:rPr>
          <w:rFonts w:ascii="Times New Roman" w:hAnsi="Times New Roman" w:cs="Times New Roman"/>
          <w:sz w:val="24"/>
          <w:szCs w:val="24"/>
        </w:rPr>
        <w:t>The study hypotheses consisted of two points. The results obtained from clinical data support these points in that;</w:t>
      </w:r>
    </w:p>
    <w:p w14:paraId="636CC7EE" w14:textId="77777777" w:rsidR="00CC67C4" w:rsidRPr="00EC6C19" w:rsidRDefault="00CC67C4" w:rsidP="00CC67C4">
      <w:pPr>
        <w:pStyle w:val="ListParagraph"/>
        <w:numPr>
          <w:ilvl w:val="0"/>
          <w:numId w:val="34"/>
        </w:num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Pressure based  measurement did significantly differ between prone and supine </w:t>
      </w:r>
      <w:r w:rsidR="006C64C1" w:rsidRPr="00EC6C19">
        <w:rPr>
          <w:rFonts w:ascii="Times New Roman" w:hAnsi="Times New Roman" w:cs="Times New Roman"/>
          <w:sz w:val="24"/>
          <w:szCs w:val="24"/>
        </w:rPr>
        <w:t>positions</w:t>
      </w:r>
    </w:p>
    <w:p w14:paraId="5F3EDE36" w14:textId="77777777" w:rsidR="006C64C1" w:rsidRPr="00EC6C19" w:rsidRDefault="006C64C1" w:rsidP="006C64C1">
      <w:pPr>
        <w:pStyle w:val="ListParagraph"/>
        <w:spacing w:line="360" w:lineRule="auto"/>
        <w:rPr>
          <w:rFonts w:ascii="Times New Roman" w:hAnsi="Times New Roman" w:cs="Times New Roman"/>
          <w:sz w:val="24"/>
          <w:szCs w:val="24"/>
        </w:rPr>
      </w:pPr>
    </w:p>
    <w:p w14:paraId="09DF94EA" w14:textId="77777777" w:rsidR="00CC67C4" w:rsidRPr="00EC6C19" w:rsidRDefault="00CC67C4" w:rsidP="00CC67C4">
      <w:pPr>
        <w:pStyle w:val="ListParagraph"/>
        <w:numPr>
          <w:ilvl w:val="0"/>
          <w:numId w:val="34"/>
        </w:numPr>
        <w:spacing w:line="360" w:lineRule="auto"/>
        <w:rPr>
          <w:rFonts w:ascii="Times New Roman" w:hAnsi="Times New Roman" w:cs="Times New Roman"/>
          <w:sz w:val="24"/>
          <w:szCs w:val="24"/>
        </w:rPr>
      </w:pPr>
      <w:r w:rsidRPr="00EC6C19">
        <w:rPr>
          <w:rFonts w:ascii="Times New Roman" w:hAnsi="Times New Roman" w:cs="Times New Roman"/>
          <w:sz w:val="24"/>
          <w:szCs w:val="24"/>
        </w:rPr>
        <w:t>Velocity based measurements did not significantly d</w:t>
      </w:r>
      <w:r w:rsidR="006C64C1" w:rsidRPr="00EC6C19">
        <w:rPr>
          <w:rFonts w:ascii="Times New Roman" w:hAnsi="Times New Roman" w:cs="Times New Roman"/>
          <w:sz w:val="24"/>
          <w:szCs w:val="24"/>
        </w:rPr>
        <w:t>iffer between prone and supine positions</w:t>
      </w:r>
    </w:p>
    <w:p w14:paraId="61607992" w14:textId="77777777" w:rsidR="007643C9" w:rsidRPr="00EC6C19" w:rsidRDefault="007643C9" w:rsidP="007643C9">
      <w:pPr>
        <w:spacing w:line="360" w:lineRule="auto"/>
        <w:rPr>
          <w:rFonts w:ascii="Times New Roman" w:hAnsi="Times New Roman" w:cs="Times New Roman"/>
          <w:b/>
          <w:sz w:val="24"/>
          <w:szCs w:val="24"/>
        </w:rPr>
      </w:pPr>
    </w:p>
    <w:p w14:paraId="4D24C874" w14:textId="77777777" w:rsidR="007643C9" w:rsidRPr="00EC6C19" w:rsidRDefault="00DE2365" w:rsidP="007643C9">
      <w:pPr>
        <w:spacing w:line="360" w:lineRule="auto"/>
        <w:rPr>
          <w:rFonts w:ascii="Times New Roman" w:hAnsi="Times New Roman" w:cs="Times New Roman"/>
          <w:sz w:val="24"/>
          <w:szCs w:val="24"/>
        </w:rPr>
      </w:pPr>
      <w:r>
        <w:rPr>
          <w:rFonts w:ascii="Times New Roman" w:hAnsi="Times New Roman" w:cs="Times New Roman"/>
          <w:sz w:val="24"/>
          <w:szCs w:val="24"/>
        </w:rPr>
        <w:t>Discussion topics will follow the below order</w:t>
      </w:r>
      <w:r w:rsidR="007643C9" w:rsidRPr="00EC6C19">
        <w:rPr>
          <w:rFonts w:ascii="Times New Roman" w:hAnsi="Times New Roman" w:cs="Times New Roman"/>
          <w:sz w:val="24"/>
          <w:szCs w:val="24"/>
        </w:rPr>
        <w:t>;</w:t>
      </w:r>
    </w:p>
    <w:p w14:paraId="172AF1FE" w14:textId="77777777" w:rsidR="007643C9" w:rsidRPr="00EC6C19" w:rsidRDefault="007643C9" w:rsidP="007643C9">
      <w:pPr>
        <w:spacing w:line="360" w:lineRule="auto"/>
        <w:rPr>
          <w:rFonts w:ascii="Times New Roman" w:hAnsi="Times New Roman" w:cs="Times New Roman"/>
          <w:sz w:val="24"/>
          <w:szCs w:val="24"/>
        </w:rPr>
      </w:pPr>
    </w:p>
    <w:p w14:paraId="65926DAB" w14:textId="77777777" w:rsidR="007643C9" w:rsidRPr="00EC6C19" w:rsidRDefault="007643C9" w:rsidP="007643C9">
      <w:pPr>
        <w:pStyle w:val="ListParagraph"/>
        <w:numPr>
          <w:ilvl w:val="0"/>
          <w:numId w:val="33"/>
        </w:numPr>
        <w:spacing w:line="360" w:lineRule="auto"/>
        <w:rPr>
          <w:rFonts w:ascii="Times New Roman" w:hAnsi="Times New Roman" w:cs="Times New Roman"/>
          <w:sz w:val="24"/>
          <w:szCs w:val="24"/>
        </w:rPr>
      </w:pPr>
      <w:r w:rsidRPr="00EC6C19">
        <w:rPr>
          <w:rFonts w:ascii="Times New Roman" w:hAnsi="Times New Roman" w:cs="Times New Roman"/>
          <w:sz w:val="24"/>
          <w:szCs w:val="24"/>
        </w:rPr>
        <w:t>Patient Demographic</w:t>
      </w:r>
      <w:r w:rsidR="00DE2365">
        <w:rPr>
          <w:rFonts w:ascii="Times New Roman" w:hAnsi="Times New Roman" w:cs="Times New Roman"/>
          <w:sz w:val="24"/>
          <w:szCs w:val="24"/>
        </w:rPr>
        <w:t>s</w:t>
      </w:r>
    </w:p>
    <w:p w14:paraId="3D863581" w14:textId="77777777" w:rsidR="007643C9" w:rsidRPr="00EC6C19" w:rsidRDefault="007643C9" w:rsidP="007643C9">
      <w:pPr>
        <w:pStyle w:val="ListParagraph"/>
        <w:spacing w:line="360" w:lineRule="auto"/>
        <w:rPr>
          <w:rFonts w:ascii="Times New Roman" w:hAnsi="Times New Roman" w:cs="Times New Roman"/>
          <w:sz w:val="24"/>
          <w:szCs w:val="24"/>
        </w:rPr>
      </w:pPr>
    </w:p>
    <w:p w14:paraId="60BF5D6B" w14:textId="77777777" w:rsidR="007643C9" w:rsidRPr="00EC6C19" w:rsidRDefault="007643C9" w:rsidP="007643C9">
      <w:pPr>
        <w:pStyle w:val="ListParagraph"/>
        <w:numPr>
          <w:ilvl w:val="0"/>
          <w:numId w:val="33"/>
        </w:numPr>
        <w:spacing w:line="360" w:lineRule="auto"/>
        <w:rPr>
          <w:rFonts w:ascii="Times New Roman" w:hAnsi="Times New Roman" w:cs="Times New Roman"/>
          <w:sz w:val="24"/>
          <w:szCs w:val="24"/>
        </w:rPr>
      </w:pPr>
      <w:r w:rsidRPr="00EC6C19">
        <w:rPr>
          <w:rFonts w:ascii="Times New Roman" w:hAnsi="Times New Roman" w:cs="Times New Roman"/>
          <w:sz w:val="24"/>
          <w:szCs w:val="24"/>
        </w:rPr>
        <w:t>Angiographic Data</w:t>
      </w:r>
    </w:p>
    <w:p w14:paraId="286FBD9F" w14:textId="77777777" w:rsidR="00457AC9" w:rsidRPr="00EC6C19" w:rsidRDefault="00457AC9" w:rsidP="00457AC9">
      <w:pPr>
        <w:pStyle w:val="ListParagraph"/>
        <w:spacing w:line="360" w:lineRule="auto"/>
        <w:rPr>
          <w:rFonts w:ascii="Times New Roman" w:hAnsi="Times New Roman" w:cs="Times New Roman"/>
          <w:sz w:val="24"/>
          <w:szCs w:val="24"/>
        </w:rPr>
      </w:pPr>
    </w:p>
    <w:p w14:paraId="61CA37E1" w14:textId="2F211F45" w:rsidR="00457AC9" w:rsidRPr="00EC6C19" w:rsidRDefault="00D164ED" w:rsidP="007643C9">
      <w:pPr>
        <w:pStyle w:val="ListParagraph"/>
        <w:numPr>
          <w:ilvl w:val="0"/>
          <w:numId w:val="33"/>
        </w:numPr>
        <w:spacing w:line="360" w:lineRule="auto"/>
        <w:rPr>
          <w:rFonts w:ascii="Times New Roman" w:hAnsi="Times New Roman" w:cs="Times New Roman"/>
          <w:sz w:val="24"/>
          <w:szCs w:val="24"/>
        </w:rPr>
      </w:pPr>
      <w:r w:rsidRPr="00EC6C19">
        <w:rPr>
          <w:rFonts w:ascii="Times New Roman" w:hAnsi="Times New Roman" w:cs="Times New Roman"/>
          <w:sz w:val="24"/>
          <w:szCs w:val="24"/>
        </w:rPr>
        <w:t>Pressure</w:t>
      </w:r>
      <w:r>
        <w:rPr>
          <w:rFonts w:ascii="Times New Roman" w:hAnsi="Times New Roman" w:cs="Times New Roman"/>
          <w:sz w:val="24"/>
          <w:szCs w:val="24"/>
        </w:rPr>
        <w:t>-</w:t>
      </w:r>
      <w:r w:rsidR="008931B9">
        <w:rPr>
          <w:rFonts w:ascii="Times New Roman" w:hAnsi="Times New Roman" w:cs="Times New Roman"/>
          <w:sz w:val="24"/>
          <w:szCs w:val="24"/>
        </w:rPr>
        <w:t>based indices</w:t>
      </w:r>
    </w:p>
    <w:p w14:paraId="25CE98A5" w14:textId="77777777" w:rsidR="007643C9" w:rsidRPr="00EC6C19" w:rsidRDefault="007643C9" w:rsidP="00BC7A77">
      <w:pPr>
        <w:pStyle w:val="ListParagraph"/>
        <w:spacing w:line="360" w:lineRule="auto"/>
        <w:rPr>
          <w:rFonts w:ascii="Times New Roman" w:hAnsi="Times New Roman" w:cs="Times New Roman"/>
          <w:sz w:val="24"/>
          <w:szCs w:val="24"/>
        </w:rPr>
      </w:pPr>
    </w:p>
    <w:p w14:paraId="01C2A69F" w14:textId="760B6634" w:rsidR="007643C9" w:rsidRPr="00EC6C19" w:rsidRDefault="00D164ED" w:rsidP="00BC7A77">
      <w:pPr>
        <w:pStyle w:val="ListParagraph"/>
        <w:numPr>
          <w:ilvl w:val="0"/>
          <w:numId w:val="33"/>
        </w:numPr>
        <w:spacing w:line="360" w:lineRule="auto"/>
        <w:rPr>
          <w:rFonts w:ascii="Times New Roman" w:hAnsi="Times New Roman" w:cs="Times New Roman"/>
          <w:sz w:val="24"/>
          <w:szCs w:val="24"/>
        </w:rPr>
      </w:pPr>
      <w:r w:rsidRPr="00EC6C19">
        <w:rPr>
          <w:rFonts w:ascii="Times New Roman" w:hAnsi="Times New Roman" w:cs="Times New Roman"/>
          <w:sz w:val="24"/>
          <w:szCs w:val="24"/>
        </w:rPr>
        <w:t>Doppler</w:t>
      </w:r>
      <w:r>
        <w:rPr>
          <w:rFonts w:ascii="Times New Roman" w:hAnsi="Times New Roman" w:cs="Times New Roman"/>
          <w:sz w:val="24"/>
          <w:szCs w:val="24"/>
        </w:rPr>
        <w:t>-</w:t>
      </w:r>
      <w:r w:rsidR="008931B9">
        <w:rPr>
          <w:rFonts w:ascii="Times New Roman" w:hAnsi="Times New Roman" w:cs="Times New Roman"/>
          <w:sz w:val="24"/>
          <w:szCs w:val="24"/>
        </w:rPr>
        <w:t>based indices</w:t>
      </w:r>
    </w:p>
    <w:p w14:paraId="237EC97A" w14:textId="77777777" w:rsidR="007643C9" w:rsidRPr="00EC6C19" w:rsidRDefault="007643C9" w:rsidP="00BC7A77">
      <w:pPr>
        <w:pStyle w:val="ListParagraph"/>
        <w:spacing w:line="360" w:lineRule="auto"/>
        <w:rPr>
          <w:rFonts w:ascii="Times New Roman" w:hAnsi="Times New Roman" w:cs="Times New Roman"/>
          <w:sz w:val="24"/>
          <w:szCs w:val="24"/>
        </w:rPr>
      </w:pPr>
    </w:p>
    <w:p w14:paraId="52040B23" w14:textId="77777777" w:rsidR="007643C9" w:rsidRPr="00EC6C19" w:rsidRDefault="007643C9" w:rsidP="00BC7A77">
      <w:pPr>
        <w:pStyle w:val="ListParagraph"/>
        <w:numPr>
          <w:ilvl w:val="0"/>
          <w:numId w:val="33"/>
        </w:numPr>
        <w:spacing w:line="360" w:lineRule="auto"/>
        <w:rPr>
          <w:rFonts w:ascii="Times New Roman" w:hAnsi="Times New Roman" w:cs="Times New Roman"/>
          <w:sz w:val="24"/>
          <w:szCs w:val="24"/>
        </w:rPr>
      </w:pPr>
      <w:r w:rsidRPr="00EC6C19">
        <w:rPr>
          <w:rFonts w:ascii="Times New Roman" w:hAnsi="Times New Roman" w:cs="Times New Roman"/>
          <w:sz w:val="24"/>
          <w:szCs w:val="24"/>
        </w:rPr>
        <w:t>Potential Clinical Implications</w:t>
      </w:r>
    </w:p>
    <w:p w14:paraId="002C28F1" w14:textId="77777777" w:rsidR="007643C9" w:rsidRPr="00EC6C19" w:rsidRDefault="007643C9" w:rsidP="00BC7A77">
      <w:pPr>
        <w:pStyle w:val="ListParagraph"/>
        <w:spacing w:line="360" w:lineRule="auto"/>
        <w:rPr>
          <w:rFonts w:ascii="Times New Roman" w:hAnsi="Times New Roman" w:cs="Times New Roman"/>
          <w:sz w:val="24"/>
          <w:szCs w:val="24"/>
        </w:rPr>
      </w:pPr>
    </w:p>
    <w:p w14:paraId="392B5641" w14:textId="77777777" w:rsidR="007643C9" w:rsidRPr="00EC6C19" w:rsidRDefault="007643C9" w:rsidP="00BC7A77">
      <w:pPr>
        <w:pStyle w:val="ListParagraph"/>
        <w:numPr>
          <w:ilvl w:val="0"/>
          <w:numId w:val="33"/>
        </w:numPr>
        <w:spacing w:line="360" w:lineRule="auto"/>
        <w:rPr>
          <w:rFonts w:ascii="Times New Roman" w:hAnsi="Times New Roman" w:cs="Times New Roman"/>
          <w:sz w:val="24"/>
          <w:szCs w:val="24"/>
        </w:rPr>
      </w:pPr>
      <w:r w:rsidRPr="00EC6C19">
        <w:rPr>
          <w:rFonts w:ascii="Times New Roman" w:hAnsi="Times New Roman" w:cs="Times New Roman"/>
          <w:sz w:val="24"/>
          <w:szCs w:val="24"/>
        </w:rPr>
        <w:t>Study Limitations</w:t>
      </w:r>
    </w:p>
    <w:p w14:paraId="4E98D800" w14:textId="77777777" w:rsidR="007643C9" w:rsidRPr="00EC6C19" w:rsidRDefault="007643C9" w:rsidP="00BC7A77">
      <w:pPr>
        <w:pStyle w:val="ListParagraph"/>
        <w:spacing w:line="360" w:lineRule="auto"/>
        <w:rPr>
          <w:rFonts w:ascii="Times New Roman" w:hAnsi="Times New Roman" w:cs="Times New Roman"/>
          <w:sz w:val="24"/>
          <w:szCs w:val="24"/>
        </w:rPr>
      </w:pPr>
    </w:p>
    <w:p w14:paraId="58A35ECD" w14:textId="77777777" w:rsidR="00AF6A0B" w:rsidRPr="00EC6C19" w:rsidRDefault="007643C9" w:rsidP="00BC7A77">
      <w:pPr>
        <w:pStyle w:val="ListParagraph"/>
        <w:numPr>
          <w:ilvl w:val="0"/>
          <w:numId w:val="33"/>
        </w:numPr>
        <w:spacing w:line="360" w:lineRule="auto"/>
        <w:rPr>
          <w:rFonts w:ascii="Times New Roman" w:hAnsi="Times New Roman" w:cs="Times New Roman"/>
          <w:sz w:val="24"/>
          <w:szCs w:val="24"/>
        </w:rPr>
      </w:pPr>
      <w:r w:rsidRPr="00EC6C19">
        <w:rPr>
          <w:rFonts w:ascii="Times New Roman" w:hAnsi="Times New Roman" w:cs="Times New Roman"/>
          <w:sz w:val="24"/>
          <w:szCs w:val="24"/>
        </w:rPr>
        <w:t>Future Direction</w:t>
      </w:r>
    </w:p>
    <w:p w14:paraId="0E78C068" w14:textId="77777777" w:rsidR="006C64C1" w:rsidRPr="00EC6C19" w:rsidRDefault="006C64C1" w:rsidP="006C64C1">
      <w:pPr>
        <w:pStyle w:val="ListParagraph"/>
        <w:spacing w:line="360" w:lineRule="auto"/>
        <w:rPr>
          <w:rFonts w:ascii="Times New Roman" w:hAnsi="Times New Roman" w:cs="Times New Roman"/>
          <w:sz w:val="24"/>
          <w:szCs w:val="24"/>
        </w:rPr>
      </w:pPr>
    </w:p>
    <w:p w14:paraId="497A18C4" w14:textId="77777777" w:rsidR="006C64C1" w:rsidRDefault="006C64C1" w:rsidP="00BC7A77">
      <w:pPr>
        <w:pStyle w:val="ListParagraph"/>
        <w:numPr>
          <w:ilvl w:val="0"/>
          <w:numId w:val="33"/>
        </w:numPr>
        <w:spacing w:line="360" w:lineRule="auto"/>
        <w:rPr>
          <w:rFonts w:ascii="Times New Roman" w:hAnsi="Times New Roman" w:cs="Times New Roman"/>
          <w:sz w:val="24"/>
          <w:szCs w:val="24"/>
        </w:rPr>
      </w:pPr>
      <w:r w:rsidRPr="00EC6C19">
        <w:rPr>
          <w:rFonts w:ascii="Times New Roman" w:hAnsi="Times New Roman" w:cs="Times New Roman"/>
          <w:sz w:val="24"/>
          <w:szCs w:val="24"/>
        </w:rPr>
        <w:t>Summary</w:t>
      </w:r>
    </w:p>
    <w:p w14:paraId="6C14FFE0" w14:textId="77777777" w:rsidR="006A2D67" w:rsidRPr="006A2D67" w:rsidRDefault="006A2D67" w:rsidP="006A2D67">
      <w:pPr>
        <w:spacing w:line="360" w:lineRule="auto"/>
        <w:rPr>
          <w:rFonts w:ascii="Times New Roman" w:hAnsi="Times New Roman" w:cs="Times New Roman"/>
          <w:sz w:val="24"/>
          <w:szCs w:val="24"/>
        </w:rPr>
      </w:pPr>
    </w:p>
    <w:p w14:paraId="7CA92B0F" w14:textId="77777777" w:rsidR="006A1CAD" w:rsidRPr="00EC6C19" w:rsidRDefault="006A1CAD" w:rsidP="006A1CAD">
      <w:pPr>
        <w:pStyle w:val="ListParagraph"/>
        <w:spacing w:line="360" w:lineRule="auto"/>
        <w:rPr>
          <w:rFonts w:ascii="Times New Roman" w:hAnsi="Times New Roman" w:cs="Times New Roman"/>
          <w:sz w:val="24"/>
          <w:szCs w:val="24"/>
        </w:rPr>
      </w:pPr>
    </w:p>
    <w:p w14:paraId="00E5D3DE" w14:textId="77777777" w:rsidR="007643C9" w:rsidRDefault="00B15CB5" w:rsidP="00DD77D6">
      <w:pPr>
        <w:pStyle w:val="ListParagraph"/>
        <w:spacing w:line="360" w:lineRule="auto"/>
        <w:ind w:left="0"/>
        <w:outlineLvl w:val="1"/>
        <w:rPr>
          <w:rFonts w:ascii="Times New Roman" w:hAnsi="Times New Roman" w:cs="Times New Roman"/>
          <w:b/>
          <w:sz w:val="24"/>
          <w:szCs w:val="24"/>
        </w:rPr>
      </w:pPr>
      <w:bookmarkStart w:id="210" w:name="_Toc80302269"/>
      <w:r>
        <w:rPr>
          <w:rFonts w:ascii="Times New Roman" w:hAnsi="Times New Roman" w:cs="Times New Roman"/>
          <w:b/>
          <w:sz w:val="24"/>
          <w:szCs w:val="24"/>
        </w:rPr>
        <w:t xml:space="preserve">4.2 - </w:t>
      </w:r>
      <w:r w:rsidR="007643C9" w:rsidRPr="00EC6C19">
        <w:rPr>
          <w:rFonts w:ascii="Times New Roman" w:hAnsi="Times New Roman" w:cs="Times New Roman"/>
          <w:b/>
          <w:sz w:val="24"/>
          <w:szCs w:val="24"/>
        </w:rPr>
        <w:t>Patient Population / Demographic</w:t>
      </w:r>
      <w:bookmarkEnd w:id="210"/>
    </w:p>
    <w:p w14:paraId="0BFD910B" w14:textId="77777777" w:rsidR="00960EB7" w:rsidRDefault="00960EB7" w:rsidP="00AF6A0B">
      <w:pPr>
        <w:pStyle w:val="ListParagraph"/>
        <w:spacing w:line="360" w:lineRule="auto"/>
        <w:ind w:left="0"/>
        <w:rPr>
          <w:rFonts w:ascii="Times New Roman" w:hAnsi="Times New Roman" w:cs="Times New Roman"/>
          <w:b/>
          <w:sz w:val="24"/>
          <w:szCs w:val="24"/>
        </w:rPr>
      </w:pPr>
    </w:p>
    <w:p w14:paraId="19B1F89D" w14:textId="77777777" w:rsidR="00966C68" w:rsidRDefault="00966C68" w:rsidP="00966C68">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rPr>
        <w:t xml:space="preserve">The average age for recruited patients was 63 years old, and was similar between artery groups. All patients were male, with two female patients declining invitation to participate in the study. Male sex is associated with greater vertical height variations between coronary artery and aorta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{"citationID":"s1UOHJj2","properties":{"formattedCitation":"(H\\uc0\\u228{}rle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(Härle et al., 2017a)</w:t>
      </w:r>
      <w:r w:rsidR="00106A32" w:rsidRPr="00EC6C19">
        <w:rPr>
          <w:rFonts w:ascii="Times New Roman" w:hAnsi="Times New Roman" w:cs="Times New Roman"/>
          <w:sz w:val="24"/>
          <w:szCs w:val="24"/>
        </w:rPr>
        <w:fldChar w:fldCharType="end"/>
      </w:r>
      <w:r>
        <w:rPr>
          <w:rFonts w:ascii="Times New Roman" w:hAnsi="Times New Roman" w:cs="Times New Roman"/>
          <w:sz w:val="24"/>
          <w:szCs w:val="24"/>
        </w:rPr>
        <w:t>.</w:t>
      </w:r>
      <w:r>
        <w:rPr>
          <w:rFonts w:ascii="Times New Roman" w:hAnsi="Times New Roman" w:cs="Times New Roman"/>
          <w:sz w:val="24"/>
          <w:szCs w:val="24"/>
        </w:rPr>
        <w:br/>
      </w:r>
    </w:p>
    <w:p w14:paraId="5B9B650E" w14:textId="77777777" w:rsidR="00966C68" w:rsidRDefault="00966C68" w:rsidP="00966C68">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rPr>
        <w:t>Smoking and diabetes were uncommon overall, 4% and 13% of all patients, whereas hypertension and hypercholesterolaemia were more common, 43% and 48% respectively.</w:t>
      </w:r>
    </w:p>
    <w:p w14:paraId="7380AD40" w14:textId="77777777" w:rsidR="00966C68" w:rsidRDefault="00966C68" w:rsidP="00966C68">
      <w:pPr>
        <w:pStyle w:val="ListParagraph"/>
        <w:spacing w:line="360" w:lineRule="auto"/>
        <w:ind w:left="0"/>
        <w:rPr>
          <w:rFonts w:ascii="Times New Roman" w:hAnsi="Times New Roman" w:cs="Times New Roman"/>
          <w:sz w:val="24"/>
          <w:szCs w:val="24"/>
        </w:rPr>
      </w:pPr>
    </w:p>
    <w:p w14:paraId="2A836CA2" w14:textId="2E5CE2E9" w:rsidR="00966C68" w:rsidRDefault="00D80F70" w:rsidP="00966C68">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rPr>
        <w:t xml:space="preserve">All patients had preserved LV function &gt;50%. LV dilation would have likely increased hydrostatic effect, as the coronary circulation sits atop an expanding ventricle. Although this is an evidence free area, </w:t>
      </w:r>
      <w:r w:rsidR="00106A32">
        <w:rPr>
          <w:rFonts w:ascii="Times New Roman" w:hAnsi="Times New Roman" w:cs="Times New Roman"/>
          <w:sz w:val="24"/>
          <w:szCs w:val="24"/>
        </w:rPr>
        <w:fldChar w:fldCharType="begin"/>
      </w:r>
      <w:r w:rsidR="007502D4">
        <w:rPr>
          <w:rFonts w:ascii="Times New Roman" w:hAnsi="Times New Roman" w:cs="Times New Roman"/>
          <w:sz w:val="24"/>
          <w:szCs w:val="24"/>
        </w:rPr>
        <w:instrText xml:space="preserve"> ADDIN ZOTERO_ITEM CSL_CITATION {"citationID":"CbKPg7eS","properties":{"formattedCitation":"(H\\uc0\\u228{}rle et al., 2018)","plainCitation":"(Härle et al., 2018)","noteIndex":0},"citationItems":[{"id":622,"uris":["http://zotero.org/users/local/k67tNDdX/items/DLBTYZC8"],"uri":["http://zotero.org/users/local/k67tNDdX/items/DLBTYZC8"],"itemData":{"id":622,"type":"article-journal","abstract":"BACKGROUND: An influence of hydrostatic pressure on intracoronary indices of stenosis severity in vitro was recently reported. We sought to analyze the influence of hydrostatic pressure, caused by the height difference between the distal and proximal pressure sensor after guidewire positioning in the interrogated vessel, on intracoronary pressure measurements in vivo.\nMETHODS AND RESULTS: In 30 coronary stenoses, intracoronary pressure measurements were performed in supine, left, and right lateral patient position. Height differences between the distal and proximal pressure sensor were measured by blinded observers. Measurement results of the position with the highest (\"high\") and lowest height difference (\"low\") were compared. In group \"high\", all measured indices were higher: mean difference of fractional flow reserve (FFR) 0.045 (SD 0.033, 95% CI 0.033-0.057, p &lt; 0.0001), of instantaneous wave-free ratio (iFR) 0.043 (SD 0.04, 95% CI 0.029-0.057, p &lt; 0.0001), and of resting Pd/Pa 0.037 (SD 0.034, 95% CI 0.025-0.049, p &lt; 0.0001). Addition of the physically expectable hydrostatic pressure to the distal coronary pressures of the control group abolished the differences: corrected ∆FFR - 0.006 (SD 0.027, 95% CI - 0.015 to 0.004, p = 0.26), corrected ∆Pd/Pa - 0.008 (SD 0.03, 95% CI - 0.019 to 0.003, p = 0.18). Adjustment for hydrostatic pressure of FFR values in a standard supine position increased all values in anterior vessels and decreased all values in posterior vessels. The mean changes of FFR due to adjustment were: LAD - 0.048 (SD 0.016), CX 0.02 (SD 0.009), RCA 0.02 (SD 0.021). Dichotomous severity classification changed in 12.9% of stenoses.\nCONCLUSIONS: The study demonstrates a relevant influence of hydrostatic pressure on intracoronary indices of stenosis severity in vivo, caused by the height differences between distal and proximal pressure sensor.","container-title":"Clinical Research in Cardiology: Official Journal of the German Cardiac Society","DOI":"10.1007/s00392-017-1174-2","ISSN":"1861-0692","issue":"3","journalAbbreviation":"Clin Res Cardiol","language":"eng","note":"PMID: 29098379","page":"222-232","source":"PubMed","title":"Influence of hydrostatic pressure on intracoronary indices of stenosis severity in vivo","volume":"107","author":[{"family":"Härle","given":"Tobias"},{"family":"Luz","given":"Mareike"},{"family":"Meyer","given":"Sven"},{"family":"Vahldiek","given":"Felix"},{"family":"Harst","given":"Pim","non-dropping-particle":"van der"},{"family":"Dijk","given":"Randy","non-dropping-particle":"van"},{"family":"Ties","given":"Daan"},{"family":"Escaned","given":"Javier"},{"family":"Davies","given":"Justin"},{"family":"Elsässer","given":"Albrecht"}],"issued":{"date-parts":[["2018",3]]}}}],"schema":"https://github.com/citation-style-language/schema/raw/master/csl-citation.json"} </w:instrText>
      </w:r>
      <w:r w:rsidR="00106A32">
        <w:rPr>
          <w:rFonts w:ascii="Times New Roman" w:hAnsi="Times New Roman" w:cs="Times New Roman"/>
          <w:sz w:val="24"/>
          <w:szCs w:val="24"/>
        </w:rPr>
        <w:fldChar w:fldCharType="separate"/>
      </w:r>
      <w:r w:rsidR="007502D4" w:rsidRPr="007502D4">
        <w:rPr>
          <w:rFonts w:ascii="Times New Roman" w:hAnsi="Times New Roman" w:cs="Times New Roman"/>
          <w:sz w:val="24"/>
          <w:szCs w:val="24"/>
        </w:rPr>
        <w:t>(Härle et al., 2018)</w:t>
      </w:r>
      <w:r w:rsidR="00106A32">
        <w:rPr>
          <w:rFonts w:ascii="Times New Roman" w:hAnsi="Times New Roman" w:cs="Times New Roman"/>
          <w:sz w:val="24"/>
          <w:szCs w:val="24"/>
        </w:rPr>
        <w:fldChar w:fldCharType="end"/>
      </w:r>
      <w:r>
        <w:rPr>
          <w:rFonts w:ascii="Times New Roman" w:hAnsi="Times New Roman" w:cs="Times New Roman"/>
          <w:sz w:val="24"/>
          <w:szCs w:val="24"/>
        </w:rPr>
        <w:t xml:space="preserve"> showed in a subset of patients with impaired LV function, hydrostatic effect was still prominent.</w:t>
      </w:r>
    </w:p>
    <w:p w14:paraId="0EEB4A69" w14:textId="27F7A823" w:rsidR="00055929" w:rsidRDefault="00AB52F5"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No adverse events were recorded in the study p</w:t>
      </w:r>
      <w:r w:rsidR="00D80F70">
        <w:rPr>
          <w:rFonts w:ascii="Times New Roman" w:hAnsi="Times New Roman" w:cs="Times New Roman"/>
          <w:sz w:val="24"/>
          <w:szCs w:val="24"/>
        </w:rPr>
        <w:t xml:space="preserve">opulation. </w:t>
      </w:r>
      <w:r w:rsidRPr="00EC6C19">
        <w:rPr>
          <w:rFonts w:ascii="Times New Roman" w:hAnsi="Times New Roman" w:cs="Times New Roman"/>
          <w:sz w:val="24"/>
          <w:szCs w:val="24"/>
        </w:rPr>
        <w:t xml:space="preserve">One </w:t>
      </w:r>
      <w:r w:rsidR="00622A28">
        <w:rPr>
          <w:rFonts w:ascii="Times New Roman" w:hAnsi="Times New Roman" w:cs="Times New Roman"/>
          <w:sz w:val="24"/>
          <w:szCs w:val="24"/>
        </w:rPr>
        <w:t xml:space="preserve">physiology </w:t>
      </w:r>
      <w:r w:rsidRPr="00EC6C19">
        <w:rPr>
          <w:rFonts w:ascii="Times New Roman" w:hAnsi="Times New Roman" w:cs="Times New Roman"/>
          <w:sz w:val="24"/>
          <w:szCs w:val="24"/>
        </w:rPr>
        <w:t>wire related coronary dissection</w:t>
      </w:r>
      <w:r w:rsidR="00151DDB" w:rsidRPr="00EC6C19">
        <w:rPr>
          <w:rFonts w:ascii="Times New Roman" w:hAnsi="Times New Roman" w:cs="Times New Roman"/>
          <w:sz w:val="24"/>
          <w:szCs w:val="24"/>
        </w:rPr>
        <w:t xml:space="preserve"> occurred in a side branch</w:t>
      </w:r>
      <w:r w:rsidRPr="00EC6C19">
        <w:rPr>
          <w:rFonts w:ascii="Times New Roman" w:hAnsi="Times New Roman" w:cs="Times New Roman"/>
          <w:sz w:val="24"/>
          <w:szCs w:val="24"/>
        </w:rPr>
        <w:t xml:space="preserve">. </w:t>
      </w:r>
      <w:r w:rsidR="002340D8" w:rsidRPr="00EC6C19">
        <w:rPr>
          <w:rFonts w:ascii="Times New Roman" w:hAnsi="Times New Roman" w:cs="Times New Roman"/>
          <w:sz w:val="24"/>
          <w:szCs w:val="24"/>
        </w:rPr>
        <w:t xml:space="preserve">The rate of </w:t>
      </w:r>
      <w:r w:rsidR="003C536F">
        <w:rPr>
          <w:rFonts w:ascii="Times New Roman" w:hAnsi="Times New Roman" w:cs="Times New Roman"/>
          <w:sz w:val="24"/>
          <w:szCs w:val="24"/>
        </w:rPr>
        <w:t xml:space="preserve"> iatrogenic coronary artery </w:t>
      </w:r>
      <w:r w:rsidR="002340D8" w:rsidRPr="00EC6C19">
        <w:rPr>
          <w:rFonts w:ascii="Times New Roman" w:hAnsi="Times New Roman" w:cs="Times New Roman"/>
          <w:sz w:val="24"/>
          <w:szCs w:val="24"/>
        </w:rPr>
        <w:t xml:space="preserve">dissection </w:t>
      </w:r>
      <w:r w:rsidR="003C536F">
        <w:rPr>
          <w:rFonts w:ascii="Times New Roman" w:hAnsi="Times New Roman" w:cs="Times New Roman"/>
          <w:sz w:val="24"/>
          <w:szCs w:val="24"/>
        </w:rPr>
        <w:t>is very low (&lt;0.2%)</w:t>
      </w:r>
      <w:r w:rsidR="00055929" w:rsidRPr="00EC6C19">
        <w:rPr>
          <w:rFonts w:ascii="Times New Roman" w:hAnsi="Times New Roman" w:cs="Times New Roman"/>
          <w:sz w:val="24"/>
          <w:szCs w:val="24"/>
        </w:rPr>
        <w:t xml:space="preserve">, and can be due to guide catheter trauma, guidewire </w:t>
      </w:r>
      <w:r w:rsidR="00151DDB" w:rsidRPr="00EC6C19">
        <w:rPr>
          <w:rFonts w:ascii="Times New Roman" w:hAnsi="Times New Roman" w:cs="Times New Roman"/>
          <w:sz w:val="24"/>
          <w:szCs w:val="24"/>
        </w:rPr>
        <w:t>induced injury</w:t>
      </w:r>
      <w:r w:rsidR="00055929" w:rsidRPr="00EC6C19">
        <w:rPr>
          <w:rFonts w:ascii="Times New Roman" w:hAnsi="Times New Roman" w:cs="Times New Roman"/>
          <w:sz w:val="24"/>
          <w:szCs w:val="24"/>
        </w:rPr>
        <w:t>, balloon inflation or stent implantation</w:t>
      </w:r>
      <w:r w:rsidR="003C536F">
        <w:rPr>
          <w:rFonts w:ascii="Times New Roman" w:hAnsi="Times New Roman" w:cs="Times New Roman"/>
          <w:sz w:val="24"/>
          <w:szCs w:val="24"/>
        </w:rPr>
        <w:t xml:space="preserve"> </w:t>
      </w:r>
      <w:r w:rsidR="00106A32">
        <w:rPr>
          <w:rFonts w:ascii="Times New Roman" w:hAnsi="Times New Roman" w:cs="Times New Roman"/>
          <w:sz w:val="24"/>
          <w:szCs w:val="24"/>
        </w:rPr>
        <w:fldChar w:fldCharType="begin"/>
      </w:r>
      <w:r w:rsidR="003C536F">
        <w:rPr>
          <w:rFonts w:ascii="Times New Roman" w:hAnsi="Times New Roman" w:cs="Times New Roman"/>
          <w:sz w:val="24"/>
          <w:szCs w:val="24"/>
        </w:rPr>
        <w:instrText xml:space="preserve"> ADDIN ZOTERO_ITEM CSL_CITATION {"citationID":"5GimrHSz","properties":{"formattedCitation":"(Eshtehardi et al., 2010)","plainCitation":"(Eshtehardi et al., 2010)","noteIndex":0},"citationItems":[{"id":904,"uris":["http://zotero.org/users/local/k67tNDdX/items/5XN9Q37Q"],"uri":["http://zotero.org/users/local/k67tNDdX/items/5XN9Q37Q"],"itemData":{"id":904,"type":"article-journal","abstract":"BACKGROUND: Although rare, iatrogenic left main coronary artery (LM) dissection is a feared complication of coronary catheterization. Its incidence, optimal therapeutic management, and prognosis remain largely unknown. The aim of the present study was to estimate the incidence, characterize the population at risk, depict the initial management, and evaluate the long-term prognosis of iatrogenic LM dissection.\nMETHODS: Thirty-eight patients who fulfilled the National Heart, Lung, and Blood Institute diagnostic criteria for iatrogenic LM dissection were retrieved from our database and followed up by telephone or physician visit. The primary end point was freedom from major adverse cardiac events (MACE) at 5 years.\nRESULTS: The overall incidence of iatrogenic LM dissection during the study period was 0.07% (38/51,452 patients) and almost twice as common with percutaneous coronary intervention than coronary angiography. From 38 patients, 1 (3%) patient died before any therapeutic attempt was performed, 6 (16%) patients were treated conservatively, and 31 (82%) patients underwent stent implantation and/or coronary artery bypass grafting (CABG). In-hospital outcome was favorable irrespective of the therapeutic strategy. During the 5-year follow-up, among 31 patients who underwent revascularization treatment by stenting or CABG, one patient died in each group from a cardiac cause, and MACE were observed in 12 patients (39%). Kaplan-Meier cumulative survival estimates showed no significant difference between different revascularization treatment strategies.\nCONCLUSIONS: Iatrogenic LM dissection is a rare complication of cardiac catheterization procedures with favorable early and long-term outcome when recognized timely and managed properly.","container-title":"American Heart Journal","DOI":"10.1016/j.ahj.2010.03.012","ISSN":"1097-6744","issue":"6","journalAbbreviation":"Am. Heart J.","language":"eng","note":"PMID: 20569732","page":"1147-1153","source":"PubMed","title":"Iatrogenic left main coronary artery dissection: incidence, classification, management, and long-term follow-up","title-short":"Iatrogenic left main coronary artery dissection","volume":"159","author":[{"family":"Eshtehardi","given":"Parham"},{"family":"Adorjan","given":"Patrick"},{"family":"Togni","given":"Mario"},{"family":"Tevaearai","given":"Hendrick"},{"family":"Vogel","given":"Rolf"},{"family":"Seiler","given":"Christian"},{"family":"Meier","given":"Bernhard"},{"family":"Windecker","given":"Stephan"},{"family":"Carrel","given":"Thierry"},{"family":"Wenaweser","given":"Peter"},{"family":"Cook","given":"Stéphane"}],"issued":{"date-parts":[["2010",6]]}}}],"schema":"https://github.com/citation-style-language/schema/raw/master/csl-citation.json"} </w:instrText>
      </w:r>
      <w:r w:rsidR="00106A32">
        <w:rPr>
          <w:rFonts w:ascii="Times New Roman" w:hAnsi="Times New Roman" w:cs="Times New Roman"/>
          <w:sz w:val="24"/>
          <w:szCs w:val="24"/>
        </w:rPr>
        <w:fldChar w:fldCharType="separate"/>
      </w:r>
      <w:r w:rsidR="003C536F" w:rsidRPr="003C536F">
        <w:rPr>
          <w:rFonts w:ascii="Times New Roman" w:hAnsi="Times New Roman" w:cs="Times New Roman"/>
          <w:sz w:val="24"/>
        </w:rPr>
        <w:t>(Eshtehardi et al., 2010)</w:t>
      </w:r>
      <w:r w:rsidR="00106A32">
        <w:rPr>
          <w:rFonts w:ascii="Times New Roman" w:hAnsi="Times New Roman" w:cs="Times New Roman"/>
          <w:sz w:val="24"/>
          <w:szCs w:val="24"/>
        </w:rPr>
        <w:fldChar w:fldCharType="end"/>
      </w:r>
      <w:r w:rsidR="00055929" w:rsidRPr="00EC6C19">
        <w:rPr>
          <w:rFonts w:ascii="Times New Roman" w:hAnsi="Times New Roman" w:cs="Times New Roman"/>
          <w:sz w:val="24"/>
          <w:szCs w:val="24"/>
        </w:rPr>
        <w:t>.</w:t>
      </w:r>
      <w:r w:rsidR="0039539A">
        <w:rPr>
          <w:rFonts w:ascii="Times New Roman" w:hAnsi="Times New Roman" w:cs="Times New Roman"/>
          <w:sz w:val="24"/>
          <w:szCs w:val="24"/>
        </w:rPr>
        <w:t xml:space="preserve"> </w:t>
      </w:r>
      <w:r w:rsidR="00AA325B">
        <w:rPr>
          <w:rFonts w:ascii="Times New Roman" w:hAnsi="Times New Roman" w:cs="Times New Roman"/>
          <w:sz w:val="24"/>
          <w:szCs w:val="24"/>
        </w:rPr>
        <w:t xml:space="preserve"> </w:t>
      </w:r>
      <w:r w:rsidR="002340D8" w:rsidRPr="00EC6C19">
        <w:rPr>
          <w:rFonts w:ascii="Times New Roman" w:hAnsi="Times New Roman" w:cs="Times New Roman"/>
          <w:sz w:val="24"/>
          <w:szCs w:val="24"/>
        </w:rPr>
        <w:t xml:space="preserve">The rate quoted during consent for wire related injury to the vessel is 1 in 500. However, data on incidence using </w:t>
      </w:r>
      <w:r w:rsidR="00055929" w:rsidRPr="00EC6C19">
        <w:rPr>
          <w:rFonts w:ascii="Times New Roman" w:hAnsi="Times New Roman" w:cs="Times New Roman"/>
          <w:sz w:val="24"/>
          <w:szCs w:val="24"/>
        </w:rPr>
        <w:t xml:space="preserve">specific </w:t>
      </w:r>
      <w:r w:rsidR="002340D8" w:rsidRPr="00EC6C19">
        <w:rPr>
          <w:rFonts w:ascii="Times New Roman" w:hAnsi="Times New Roman" w:cs="Times New Roman"/>
          <w:sz w:val="24"/>
          <w:szCs w:val="24"/>
        </w:rPr>
        <w:t xml:space="preserve">physiology wires is scarce. In a study using the same physiology wire as </w:t>
      </w:r>
      <w:r w:rsidR="00D80F70">
        <w:rPr>
          <w:rFonts w:ascii="Times New Roman" w:hAnsi="Times New Roman" w:cs="Times New Roman"/>
          <w:sz w:val="24"/>
          <w:szCs w:val="24"/>
        </w:rPr>
        <w:t>the current</w:t>
      </w:r>
      <w:r w:rsidR="00AA325B">
        <w:rPr>
          <w:rFonts w:ascii="Times New Roman" w:hAnsi="Times New Roman" w:cs="Times New Roman"/>
          <w:sz w:val="24"/>
          <w:szCs w:val="24"/>
        </w:rPr>
        <w:t xml:space="preserve"> research</w:t>
      </w:r>
      <w:r w:rsidR="002340D8" w:rsidRPr="00EC6C19">
        <w:rPr>
          <w:rFonts w:ascii="Times New Roman" w:hAnsi="Times New Roman" w:cs="Times New Roman"/>
          <w:sz w:val="24"/>
          <w:szCs w:val="24"/>
        </w:rPr>
        <w:t>, the rate of dissection is reported to be 1 in 192</w:t>
      </w:r>
      <w:r w:rsidR="00055929" w:rsidRPr="00EC6C19">
        <w:rPr>
          <w:rFonts w:ascii="Times New Roman" w:hAnsi="Times New Roman" w:cs="Times New Roman"/>
          <w:sz w:val="24"/>
          <w:szCs w:val="24"/>
        </w:rPr>
        <w:t xml:space="preserve"> in the hands of experienced operators</w:t>
      </w:r>
      <w:r w:rsidR="00D852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{"citationID":"t6wiMA4a","properties":{"formattedCitation":"(Waard et al., 2018)","plainCitation":"(Waard et al., 2018)","noteIndex":0},"citationItems":[{"id":641,"uris":["http://zotero.org/users/local/k67tNDdX/items/SLCUVI2N"],"uri":["http://zotero.org/users/local/k67tNDdX/items/SLCUVI2N"],"itemData":{"id":641,"type":"article-journal","abstract":"Objectives Early detection of microvascular dysfunction after acute myocardial infarction (AMI) could identify patients at high risk of adverse clinical outcome, who may benefit from adjunctive treatment. Our objective was to compare invasively measured coronary flow reserve (CFR) and hyperaemic microvascular resistance (HMR) for their predictive power of long-term clinical outcome and cardiac magnetic resonance (CMR)-defined microvascular injury (MVI).\nMethods Simultaneous intracoronary Doppler flow velocity and pressure measurements acquired immediately after revascularisation for AMI from five centres were pooled. Clinical follow-up was completed for 176 patients (mean age 60±10 years; 140(80%) male; ST-elevation myocardial infarction (STEMI) 130(74%) and non-ST-segment elevation myocardial infarction 46(26%)) with median follow-up time of 3.2 years. In 110 patients with STEMI, additional CMR was performed.\nResults The composite end point of death and hospitalisation for heart failure occurred in 17 patients (10%). Optimal cut-off values to predict the composite end point were 1.5 for CFR and 3.0 mm Hg cm−1•s for HMR. CFR &lt;1.5 was predictive for the composite end point (HR 3.5;95% CI 1.1 to 10.8), but not for its individual components. HMR ≥3.0 mm Hg cm−1 s was predictive for the composite end point (HR 7.0;95% CI 1.5 to 33.7) as well as both individual components. HMR had significantly greater area under the receiver operating characteristic curve for MVI than CFR. HMR remained an independent predictor of adverse clinical outcome and MVI, whereas CFR did not.\nConclusions HMR measured immediately following percutaneous coronary intervention for AMI with a cut-off value of 3.0 mm Hg cm−1 s, identifies patients with MVI who are at high risk of adverse clinical outcome. For this purpose, HMR is superior to CFR.","container-title":"Heart","DOI":"10.1136/heartjnl-2017-311431","ISSN":"1355-6037, 1468-201X","issue":"2","journalAbbreviation":"Heart","language":"en","note":"PMID: 28663361","page":"127-134","source":"heart.bmj.com","title":"Hyperaemic microvascular resistance predicts clinical outcome and microvascular injury after myocardial infarction","volume":"104","author":[{"family":"Waard","given":"Guus A.","dropping-particle":"de"},{"family":"Fahrni","given":"Gregor"},{"family":"Wit","given":"Douwe","dropping-particle":"de"},{"family":"Kitabata","given":"Hironori"},{"family":"Williams","given":"Rupert"},{"family":"Patel","given":"Niket"},{"family":"Teunissen","given":"Paul F."},{"family":"Ven","given":"Peter M.","dropping-particle":"van de"},{"family":"Umman","given":"Sabahattin"},{"family":"Knaapen","given":"Paul"},{"family":"Perera","given":"Divaka"},{"family":"Akasaka","given":"Takashi"},{"family":"Sezer","given":"Murat"},{"family":"Kharbanda","given":"Rajesh K."},{"family":"Royen","given":"Niels","dropping-particle":"van"}],"issued":{"date-parts":[["2018",1,1]]}}}],"schema":"https://github.com/citation-style-language/schema/raw/master/csl-citation.json"} </w:instrText>
      </w:r>
      <w:r w:rsidR="00106A32" w:rsidRPr="00EC6C19">
        <w:rPr>
          <w:rFonts w:ascii="Times New Roman" w:hAnsi="Times New Roman" w:cs="Times New Roman"/>
          <w:sz w:val="24"/>
          <w:szCs w:val="24"/>
        </w:rPr>
        <w:fldChar w:fldCharType="separate"/>
      </w:r>
      <w:r w:rsidR="00D852FC" w:rsidRPr="00EC6C19">
        <w:rPr>
          <w:rFonts w:ascii="Times New Roman" w:hAnsi="Times New Roman" w:cs="Times New Roman"/>
          <w:sz w:val="24"/>
          <w:szCs w:val="24"/>
        </w:rPr>
        <w:t xml:space="preserve">(Waard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2018)</w:t>
      </w:r>
      <w:r w:rsidR="00106A32" w:rsidRPr="00EC6C19">
        <w:rPr>
          <w:rFonts w:ascii="Times New Roman" w:hAnsi="Times New Roman" w:cs="Times New Roman"/>
          <w:sz w:val="24"/>
          <w:szCs w:val="24"/>
        </w:rPr>
        <w:fldChar w:fldCharType="end"/>
      </w:r>
      <w:r w:rsidR="002340D8" w:rsidRPr="00EC6C19">
        <w:rPr>
          <w:rFonts w:ascii="Times New Roman" w:hAnsi="Times New Roman" w:cs="Times New Roman"/>
          <w:sz w:val="24"/>
          <w:szCs w:val="24"/>
        </w:rPr>
        <w:t>.</w:t>
      </w:r>
      <w:r w:rsidR="008931B9">
        <w:rPr>
          <w:rFonts w:ascii="Times New Roman" w:hAnsi="Times New Roman" w:cs="Times New Roman"/>
          <w:sz w:val="24"/>
          <w:szCs w:val="24"/>
        </w:rPr>
        <w:t xml:space="preserve"> Physiology wires with doppler measuring equipment have added weight and bulk, and almost certainly increase the risk of coronary injury. Along with time and cost implications, this adds to the reasons such measures of invasive coronary physiology ha</w:t>
      </w:r>
      <w:r w:rsidR="00D80F70">
        <w:rPr>
          <w:rFonts w:ascii="Times New Roman" w:hAnsi="Times New Roman" w:cs="Times New Roman"/>
          <w:sz w:val="24"/>
          <w:szCs w:val="24"/>
        </w:rPr>
        <w:t>ve</w:t>
      </w:r>
      <w:r w:rsidR="008931B9">
        <w:rPr>
          <w:rFonts w:ascii="Times New Roman" w:hAnsi="Times New Roman" w:cs="Times New Roman"/>
          <w:sz w:val="24"/>
          <w:szCs w:val="24"/>
        </w:rPr>
        <w:t xml:space="preserve"> been phased out</w:t>
      </w:r>
      <w:r w:rsidR="00D80F70">
        <w:rPr>
          <w:rFonts w:ascii="Times New Roman" w:hAnsi="Times New Roman" w:cs="Times New Roman"/>
          <w:sz w:val="24"/>
          <w:szCs w:val="24"/>
        </w:rPr>
        <w:t xml:space="preserve"> of clinical practice</w:t>
      </w:r>
      <w:r w:rsidR="008931B9">
        <w:rPr>
          <w:rFonts w:ascii="Times New Roman" w:hAnsi="Times New Roman" w:cs="Times New Roman"/>
          <w:sz w:val="24"/>
          <w:szCs w:val="24"/>
        </w:rPr>
        <w:t xml:space="preserve">. There is now more than ever a reliance on </w:t>
      </w:r>
      <w:r w:rsidR="00D164ED">
        <w:rPr>
          <w:rFonts w:ascii="Times New Roman" w:hAnsi="Times New Roman" w:cs="Times New Roman"/>
          <w:sz w:val="24"/>
          <w:szCs w:val="24"/>
        </w:rPr>
        <w:t>pressure-</w:t>
      </w:r>
      <w:r w:rsidR="008931B9">
        <w:rPr>
          <w:rFonts w:ascii="Times New Roman" w:hAnsi="Times New Roman" w:cs="Times New Roman"/>
          <w:sz w:val="24"/>
          <w:szCs w:val="24"/>
        </w:rPr>
        <w:t xml:space="preserve">based equipment due to its safety and efficiency. This reliance and widespread use </w:t>
      </w:r>
      <w:r w:rsidR="00D164ED">
        <w:rPr>
          <w:rFonts w:ascii="Times New Roman" w:hAnsi="Times New Roman" w:cs="Times New Roman"/>
          <w:sz w:val="24"/>
          <w:szCs w:val="24"/>
        </w:rPr>
        <w:t>heighten</w:t>
      </w:r>
      <w:r w:rsidR="008931B9">
        <w:rPr>
          <w:rFonts w:ascii="Times New Roman" w:hAnsi="Times New Roman" w:cs="Times New Roman"/>
          <w:sz w:val="24"/>
          <w:szCs w:val="24"/>
        </w:rPr>
        <w:t xml:space="preserve"> the importance of recognising hydrostatic pressure effect as true confounder.</w:t>
      </w:r>
    </w:p>
    <w:p w14:paraId="73926386" w14:textId="77777777" w:rsidR="00B31C7C" w:rsidRDefault="00B31C7C" w:rsidP="00BC7A77">
      <w:pPr>
        <w:spacing w:line="360" w:lineRule="auto"/>
        <w:rPr>
          <w:rFonts w:ascii="Times New Roman" w:hAnsi="Times New Roman" w:cs="Times New Roman"/>
          <w:sz w:val="24"/>
          <w:szCs w:val="24"/>
        </w:rPr>
      </w:pPr>
    </w:p>
    <w:p w14:paraId="52011386" w14:textId="77777777" w:rsidR="00F20902" w:rsidRPr="00EC6C19" w:rsidRDefault="00F20902" w:rsidP="00BC7A77">
      <w:pPr>
        <w:spacing w:line="360" w:lineRule="auto"/>
        <w:rPr>
          <w:rFonts w:ascii="Times New Roman" w:hAnsi="Times New Roman" w:cs="Times New Roman"/>
          <w:sz w:val="24"/>
          <w:szCs w:val="24"/>
        </w:rPr>
      </w:pPr>
    </w:p>
    <w:p w14:paraId="0E56E1A9" w14:textId="77777777" w:rsidR="00A97CFB" w:rsidRPr="00B15CB5" w:rsidRDefault="00B15CB5" w:rsidP="00B15CB5">
      <w:pPr>
        <w:pStyle w:val="Heading2"/>
        <w:rPr>
          <w:rFonts w:ascii="Times New Roman" w:hAnsi="Times New Roman" w:cs="Times New Roman"/>
          <w:color w:val="auto"/>
          <w:sz w:val="24"/>
          <w:szCs w:val="24"/>
        </w:rPr>
      </w:pPr>
      <w:bookmarkStart w:id="211" w:name="_Toc80302270"/>
      <w:r w:rsidRPr="00B15CB5">
        <w:rPr>
          <w:rFonts w:ascii="Times New Roman" w:hAnsi="Times New Roman" w:cs="Times New Roman"/>
          <w:color w:val="auto"/>
          <w:sz w:val="24"/>
          <w:szCs w:val="24"/>
        </w:rPr>
        <w:t xml:space="preserve">4.3 - </w:t>
      </w:r>
      <w:r w:rsidR="007C3EB4" w:rsidRPr="00B15CB5">
        <w:rPr>
          <w:rFonts w:ascii="Times New Roman" w:hAnsi="Times New Roman" w:cs="Times New Roman"/>
          <w:color w:val="auto"/>
          <w:sz w:val="24"/>
          <w:szCs w:val="24"/>
        </w:rPr>
        <w:t>Angiographic Data</w:t>
      </w:r>
      <w:bookmarkEnd w:id="211"/>
      <w:r>
        <w:rPr>
          <w:rFonts w:ascii="Times New Roman" w:hAnsi="Times New Roman" w:cs="Times New Roman"/>
          <w:color w:val="auto"/>
          <w:sz w:val="24"/>
          <w:szCs w:val="24"/>
        </w:rPr>
        <w:br/>
      </w:r>
    </w:p>
    <w:p w14:paraId="361BCC0A" w14:textId="77777777" w:rsidR="007C3EB4" w:rsidRDefault="007C3EB4" w:rsidP="00FE21B7">
      <w:pPr>
        <w:spacing w:line="360" w:lineRule="auto"/>
        <w:rPr>
          <w:rFonts w:ascii="Times New Roman" w:hAnsi="Times New Roman" w:cs="Times New Roman"/>
          <w:b/>
          <w:sz w:val="24"/>
          <w:szCs w:val="24"/>
        </w:rPr>
      </w:pPr>
    </w:p>
    <w:p w14:paraId="636F6596" w14:textId="77777777" w:rsidR="00126ADF" w:rsidRPr="00126ADF" w:rsidRDefault="00D80F70" w:rsidP="00FE21B7">
      <w:pPr>
        <w:spacing w:line="360" w:lineRule="auto"/>
        <w:rPr>
          <w:rFonts w:ascii="Times New Roman" w:hAnsi="Times New Roman" w:cs="Times New Roman"/>
          <w:sz w:val="24"/>
          <w:szCs w:val="24"/>
        </w:rPr>
      </w:pPr>
      <w:r>
        <w:rPr>
          <w:rFonts w:ascii="Times New Roman" w:hAnsi="Times New Roman" w:cs="Times New Roman"/>
          <w:sz w:val="24"/>
          <w:szCs w:val="24"/>
        </w:rPr>
        <w:t>A larger number</w:t>
      </w:r>
      <w:r w:rsidR="00126ADF" w:rsidRPr="00EC6C19">
        <w:rPr>
          <w:rFonts w:ascii="Times New Roman" w:hAnsi="Times New Roman" w:cs="Times New Roman"/>
          <w:sz w:val="24"/>
          <w:szCs w:val="24"/>
        </w:rPr>
        <w:t xml:space="preserve"> of</w:t>
      </w:r>
      <w:r w:rsidR="00126ADF">
        <w:rPr>
          <w:rFonts w:ascii="Times New Roman" w:hAnsi="Times New Roman" w:cs="Times New Roman"/>
          <w:sz w:val="24"/>
          <w:szCs w:val="24"/>
        </w:rPr>
        <w:t xml:space="preserve"> patients were referred</w:t>
      </w:r>
      <w:r>
        <w:rPr>
          <w:rFonts w:ascii="Times New Roman" w:hAnsi="Times New Roman" w:cs="Times New Roman"/>
          <w:sz w:val="24"/>
          <w:szCs w:val="24"/>
        </w:rPr>
        <w:t xml:space="preserve"> for</w:t>
      </w:r>
      <w:r w:rsidR="00126ADF" w:rsidRPr="00EC6C19">
        <w:rPr>
          <w:rFonts w:ascii="Times New Roman" w:hAnsi="Times New Roman" w:cs="Times New Roman"/>
          <w:sz w:val="24"/>
          <w:szCs w:val="24"/>
        </w:rPr>
        <w:t xml:space="preserve"> pressure wire assessments </w:t>
      </w:r>
      <w:r w:rsidR="00126ADF">
        <w:rPr>
          <w:rFonts w:ascii="Times New Roman" w:hAnsi="Times New Roman" w:cs="Times New Roman"/>
          <w:sz w:val="24"/>
          <w:szCs w:val="24"/>
        </w:rPr>
        <w:t xml:space="preserve">in </w:t>
      </w:r>
      <w:r w:rsidR="00126ADF" w:rsidRPr="00EC6C19">
        <w:rPr>
          <w:rFonts w:ascii="Times New Roman" w:hAnsi="Times New Roman" w:cs="Times New Roman"/>
          <w:sz w:val="24"/>
          <w:szCs w:val="24"/>
        </w:rPr>
        <w:t>LAD lesions. The</w:t>
      </w:r>
      <w:r w:rsidR="00126ADF">
        <w:rPr>
          <w:rFonts w:ascii="Times New Roman" w:hAnsi="Times New Roman" w:cs="Times New Roman"/>
          <w:sz w:val="24"/>
          <w:szCs w:val="24"/>
        </w:rPr>
        <w:t xml:space="preserve"> referrer's</w:t>
      </w:r>
      <w:r w:rsidR="00126ADF" w:rsidRPr="00EC6C19">
        <w:rPr>
          <w:rFonts w:ascii="Times New Roman" w:hAnsi="Times New Roman" w:cs="Times New Roman"/>
          <w:sz w:val="24"/>
          <w:szCs w:val="24"/>
        </w:rPr>
        <w:t xml:space="preserve"> reasons for this have not been recorded, but is likely due to the anatomical importance of the LAD and the myocardial mass supplied </w:t>
      </w:r>
      <w:r w:rsidR="00106A32" w:rsidRPr="00EC6C19">
        <w:rPr>
          <w:rFonts w:ascii="Times New Roman" w:hAnsi="Times New Roman" w:cs="Times New Roman"/>
          <w:sz w:val="24"/>
          <w:szCs w:val="24"/>
        </w:rPr>
        <w:fldChar w:fldCharType="begin"/>
      </w:r>
      <w:r w:rsidR="00126ADF" w:rsidRPr="00EC6C19">
        <w:rPr>
          <w:rFonts w:ascii="Times New Roman" w:hAnsi="Times New Roman" w:cs="Times New Roman"/>
          <w:sz w:val="24"/>
          <w:szCs w:val="24"/>
        </w:rPr>
        <w:instrText xml:space="preserve"> ADDIN ZOTERO_ITEM CSL_CITATION {"citationID":"qgQJBPE7","properties":{"formattedCitation":"(Kim et al., 2016)","plainCitation":"(Kim et al., 2016)","noteIndex":0},"citationItems":[{"id":753,"uris":["http://zotero.org/users/local/k67tNDdX/items/GBMNUJYW"],"uri":["http://zotero.org/users/local/k67tNDdX/items/GBMNUJYW"],"itemData":{"id":753,"type":"article-journal","abstract":"OBJECTIVES: This study investigated the role of fractional myocardial mass (FMM), a vessel-specific myocardial mass, in the evaluation of physiological severity of stenosis. Using computed tomography angiography, the study investigated fractional myocardial mass, a concept of myocardial mass subtended by specific vessel, which could reduce anatomical-physiological mismatch.\nBACKGROUND: Discordance between anatomical stenosis and physiological severity is common but remains poorly understood.\nMETHODS: This multicenter study enrolled 463 patients with 724 lesions, who underwent coronary computed tomography angiography (CCTA) and invasive coronary angiography with fractional flow reserve (FFR) measurement. FMM was assessed by allometric scaling analysis of arterial tree length and myocardial mass from CCTA.\nRESULTS: FFR &lt;0.80, a criteria for vessel-specific physiological stenosis, was found in 281 vessels (39%). FMM decreased consistently according to the vessel downstream (p &lt; 0.001, all). The frequency of FFR &lt;0.80 increased in proportion to FMM and inverse proportion to angiographic minimal luminal diameter (MLD) (p &lt; 0.001). In per-vessel analysis, FMM per MLD (FMM/MLD) showed good correlation with FFR (r = 0.61) and was superior to diameter stenosis (DS) for FFR &lt;0.80 by receiver operating characteristic and reclassification analysis (C-statistics = 0.84 versus 0.74, net reclassification improvement [NRI] = 0.63, integrated discrimination improvement [IDI] = 0.18; p &lt; 0.001, all). The optimal cutoff of FMM/MLD was 29 g/mm, with sensitivity = 75%, specificity = 77%, positive predictive value = 68%, negative predictive value = 83%, and accuracy = 77%. Addition of FMM/MLD to DS could further discriminate vessels with FFR &lt;0.80 (C-statistic = 0.86 vs. 0.84, NRI = 0.34, IDI = 0.03; p &lt; 0.005, all). In per-range classification analysis, agreement between FFR and FMM/MLD maintained &gt;80% when the severity of disease was away from cutoff.\nCONCLUSIONS: FMM/MLD could find physiological severity of coronary artery with higher accuracy than anatomical stenosis. FMM may explain the anatomical-physiological discordance.","container-title":"JACC. Cardiovascular interventions","DOI":"10.1016/j.jcin.2016.04.008","ISSN":"1876-7605","issue":"15","journalAbbreviation":"JACC Cardiovasc Interv","language":"eng","note":"PMID: 27423225","page":"1548-1560","source":"PubMed","title":"Physiological Severity of Coronary Artery Stenosis Depends on the Amount of Myocardial Mass Subtended by the Coronary Artery","volume":"9","author":[{"family":"Kim","given":"Hyung Yoon"},{"family":"Lim","given":"Hong-Seok"},{"family":"Doh","given":"Joon-Hyung"},{"family":"Nam","given":"Chang-Wook"},{"family":"Shin","given":"Eun-Seok"},{"family":"Koo","given":"Bon-Kwon"},{"family":"Yoon","given":"Myeong-Ho"},{"family":"Tahk","given":"Seung-Jea"},{"family":"Kang","given":"Doo Kyoung"},{"family":"Song","given":"Young Bin"},{"family":"Hahn","given":"Joo-Yong"},{"family":"Choi","given":"Seung Hyuk"},{"family":"Gwon","given":"Hyeon-Cheol"},{"family":"Lee","given":"Sang-Hoon"},{"family":"Kim","given":"Eun-Kyoung"},{"family":"Kim","given":"Sung Mok"},{"family":"Choe","given":"Yeonhyeon"},{"family":"Choi","given":"Jin-Ho"}],"issued":{"date-parts":[["2016"]],"season":"08"}}}],"schema":"https://github.com/citation-style-language/schema/raw/master/csl-citation.json"} </w:instrText>
      </w:r>
      <w:r w:rsidR="00106A32" w:rsidRPr="00EC6C19">
        <w:rPr>
          <w:rFonts w:ascii="Times New Roman" w:hAnsi="Times New Roman" w:cs="Times New Roman"/>
          <w:sz w:val="24"/>
          <w:szCs w:val="24"/>
        </w:rPr>
        <w:fldChar w:fldCharType="separate"/>
      </w:r>
      <w:r w:rsidR="00126ADF" w:rsidRPr="00EC6C19">
        <w:rPr>
          <w:rFonts w:ascii="Times New Roman" w:hAnsi="Times New Roman" w:cs="Times New Roman"/>
          <w:sz w:val="24"/>
          <w:szCs w:val="24"/>
        </w:rPr>
        <w:t>(Kim et al., 2016)</w:t>
      </w:r>
      <w:r w:rsidR="00106A32" w:rsidRPr="00EC6C19">
        <w:rPr>
          <w:rFonts w:ascii="Times New Roman" w:hAnsi="Times New Roman" w:cs="Times New Roman"/>
          <w:sz w:val="24"/>
          <w:szCs w:val="24"/>
        </w:rPr>
        <w:fldChar w:fldCharType="end"/>
      </w:r>
      <w:r w:rsidR="00126ADF" w:rsidRPr="00EC6C19">
        <w:rPr>
          <w:rFonts w:ascii="Times New Roman" w:hAnsi="Times New Roman" w:cs="Times New Roman"/>
          <w:sz w:val="24"/>
          <w:szCs w:val="24"/>
        </w:rPr>
        <w:t xml:space="preserve">. </w:t>
      </w:r>
    </w:p>
    <w:p w14:paraId="4399100C" w14:textId="77777777" w:rsidR="00126ADF" w:rsidRPr="00EC6C19" w:rsidRDefault="00126ADF" w:rsidP="00FE21B7">
      <w:pPr>
        <w:spacing w:line="360" w:lineRule="auto"/>
        <w:rPr>
          <w:rFonts w:ascii="Times New Roman" w:hAnsi="Times New Roman" w:cs="Times New Roman"/>
          <w:b/>
          <w:sz w:val="24"/>
          <w:szCs w:val="24"/>
        </w:rPr>
      </w:pPr>
    </w:p>
    <w:p w14:paraId="62096D0E" w14:textId="77777777" w:rsidR="001B761E" w:rsidRPr="00B15CB5" w:rsidRDefault="00B15CB5" w:rsidP="00B15CB5">
      <w:pPr>
        <w:pStyle w:val="Heading3"/>
        <w:rPr>
          <w:rFonts w:ascii="Times New Roman" w:hAnsi="Times New Roman" w:cs="Times New Roman"/>
          <w:b w:val="0"/>
          <w:i/>
          <w:color w:val="auto"/>
          <w:sz w:val="24"/>
          <w:szCs w:val="24"/>
        </w:rPr>
      </w:pPr>
      <w:bookmarkStart w:id="212" w:name="_Toc80302271"/>
      <w:r w:rsidRPr="00B15CB5">
        <w:rPr>
          <w:rFonts w:ascii="Times New Roman" w:hAnsi="Times New Roman" w:cs="Times New Roman"/>
          <w:b w:val="0"/>
          <w:i/>
          <w:color w:val="auto"/>
          <w:sz w:val="24"/>
          <w:szCs w:val="24"/>
        </w:rPr>
        <w:t xml:space="preserve">4.3.1 - </w:t>
      </w:r>
      <w:r w:rsidR="001B761E" w:rsidRPr="00B15CB5">
        <w:rPr>
          <w:rFonts w:ascii="Times New Roman" w:hAnsi="Times New Roman" w:cs="Times New Roman"/>
          <w:b w:val="0"/>
          <w:i/>
          <w:color w:val="auto"/>
          <w:sz w:val="24"/>
          <w:szCs w:val="24"/>
        </w:rPr>
        <w:t>Stenosis Percentage</w:t>
      </w:r>
      <w:bookmarkEnd w:id="212"/>
    </w:p>
    <w:p w14:paraId="1EA9A3FB" w14:textId="77777777" w:rsidR="001B761E" w:rsidRPr="00EC6C19" w:rsidRDefault="00B15CB5" w:rsidP="00FE21B7">
      <w:pPr>
        <w:spacing w:line="360" w:lineRule="auto"/>
        <w:rPr>
          <w:rFonts w:ascii="Times New Roman" w:hAnsi="Times New Roman" w:cs="Times New Roman"/>
          <w:i/>
          <w:sz w:val="24"/>
          <w:szCs w:val="24"/>
        </w:rPr>
      </w:pPr>
      <w:r>
        <w:rPr>
          <w:rFonts w:ascii="Times New Roman" w:hAnsi="Times New Roman" w:cs="Times New Roman"/>
          <w:i/>
          <w:sz w:val="24"/>
          <w:szCs w:val="24"/>
        </w:rPr>
        <w:br/>
      </w:r>
    </w:p>
    <w:p w14:paraId="6D048B41" w14:textId="77777777" w:rsidR="001B761E" w:rsidRPr="00EC6C19" w:rsidRDefault="008310D4" w:rsidP="00FE21B7">
      <w:pPr>
        <w:spacing w:line="360" w:lineRule="auto"/>
        <w:rPr>
          <w:rFonts w:ascii="Times New Roman" w:hAnsi="Times New Roman" w:cs="Times New Roman"/>
          <w:sz w:val="24"/>
          <w:szCs w:val="24"/>
        </w:rPr>
      </w:pPr>
      <w:r>
        <w:rPr>
          <w:rFonts w:ascii="Times New Roman" w:hAnsi="Times New Roman" w:cs="Times New Roman"/>
          <w:sz w:val="24"/>
          <w:szCs w:val="24"/>
        </w:rPr>
        <w:t>Despite the increased number of referrals for</w:t>
      </w:r>
      <w:r w:rsidR="00AA325B">
        <w:rPr>
          <w:rFonts w:ascii="Times New Roman" w:hAnsi="Times New Roman" w:cs="Times New Roman"/>
          <w:sz w:val="24"/>
          <w:szCs w:val="24"/>
        </w:rPr>
        <w:t xml:space="preserve"> LAD lesions, </w:t>
      </w:r>
      <w:r>
        <w:rPr>
          <w:rFonts w:ascii="Times New Roman" w:hAnsi="Times New Roman" w:cs="Times New Roman"/>
          <w:sz w:val="24"/>
          <w:szCs w:val="24"/>
        </w:rPr>
        <w:t>stenosis as measured by</w:t>
      </w:r>
      <w:r w:rsidR="00AA325B">
        <w:rPr>
          <w:rFonts w:ascii="Times New Roman" w:hAnsi="Times New Roman" w:cs="Times New Roman"/>
          <w:sz w:val="24"/>
          <w:szCs w:val="24"/>
        </w:rPr>
        <w:t xml:space="preserve"> QCA</w:t>
      </w:r>
      <w:r>
        <w:rPr>
          <w:rFonts w:ascii="Times New Roman" w:hAnsi="Times New Roman" w:cs="Times New Roman"/>
          <w:sz w:val="24"/>
          <w:szCs w:val="24"/>
        </w:rPr>
        <w:t xml:space="preserve"> was numerically less than the Cx artery and significantly less when compared to RCA lesions</w:t>
      </w:r>
      <w:r w:rsidR="00AA325B">
        <w:rPr>
          <w:rFonts w:ascii="Times New Roman" w:hAnsi="Times New Roman" w:cs="Times New Roman"/>
          <w:sz w:val="24"/>
          <w:szCs w:val="24"/>
        </w:rPr>
        <w:t xml:space="preserve">. </w:t>
      </w:r>
      <w:r w:rsidR="00745952">
        <w:rPr>
          <w:rFonts w:ascii="Times New Roman" w:hAnsi="Times New Roman" w:cs="Times New Roman"/>
          <w:sz w:val="24"/>
          <w:szCs w:val="24"/>
        </w:rPr>
        <w:t>T</w:t>
      </w:r>
      <w:r w:rsidR="006D0144" w:rsidRPr="00EC6C19">
        <w:rPr>
          <w:rFonts w:ascii="Times New Roman" w:hAnsi="Times New Roman" w:cs="Times New Roman"/>
          <w:sz w:val="24"/>
          <w:szCs w:val="24"/>
        </w:rPr>
        <w:t xml:space="preserve">he burden of myocardial ischaemia is linked to the benefit seen with revascularisation in that territory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{"citationID":"FAAAS7Cr","properties":{"formattedCitation":"(Reynolds Harmony R., Picard Michael H. and Hochman Judith S., 2015)","plainCitation":"(Reynolds Harmony R., Picard Michael H. and Hochman Judith S., 2015)","noteIndex":0},"citationItems":[{"id":756,"uris":["http://zotero.org/users/local/k67tNDdX/items/VGWJN3YJ"],"uri":["http://zotero.org/users/local/k67tNDdX/items/VGWJN3YJ"],"itemData":{"id":756,"type":"article-journal","container-title":"Circulation: Cardiovascular Imaging","DOI":"10.1161/CIRCIMAGING.113.000362","issue":"5","journalAbbreviation":"Circulation: Cardiovascular Imaging","page":"e000362","source":"ahajournals.org (Atypon)","title":"Does Ischemia Burden in Stable Coronary Artery Disease Effectively Identify Revascularization Candidates?","volume":"8","author":[{"literal":"Reynolds Harmony R."},{"literal":"Picard Michael H."},{"literal":"Hochman Judith S."}],"issued":{"date-parts":[["2015",5,1]]}}}],"schema":"https://github.com/citation-style-language/schema/raw/master/csl-citation.json"}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(Reynolds Harmony R., Picard Michael H. and Hochman Judith S., 2015)</w:t>
      </w:r>
      <w:r w:rsidR="00106A32" w:rsidRPr="00EC6C19">
        <w:rPr>
          <w:rFonts w:ascii="Times New Roman" w:hAnsi="Times New Roman" w:cs="Times New Roman"/>
          <w:sz w:val="24"/>
          <w:szCs w:val="24"/>
        </w:rPr>
        <w:fldChar w:fldCharType="end"/>
      </w:r>
      <w:r w:rsidR="00985E7D" w:rsidRPr="00EC6C19">
        <w:rPr>
          <w:rFonts w:ascii="Times New Roman" w:hAnsi="Times New Roman" w:cs="Times New Roman"/>
          <w:sz w:val="24"/>
          <w:szCs w:val="24"/>
        </w:rPr>
        <w:t>. This in turn could lead to referrals for pressure wire assessment in lesions which are not as severe</w:t>
      </w:r>
      <w:r w:rsidR="006D0144" w:rsidRPr="00EC6C19">
        <w:rPr>
          <w:rFonts w:ascii="Times New Roman" w:hAnsi="Times New Roman" w:cs="Times New Roman"/>
          <w:sz w:val="24"/>
          <w:szCs w:val="24"/>
        </w:rPr>
        <w:t>, but in clinically important arteries</w:t>
      </w:r>
      <w:r w:rsidR="00985E7D" w:rsidRPr="00EC6C19">
        <w:rPr>
          <w:rFonts w:ascii="Times New Roman" w:hAnsi="Times New Roman" w:cs="Times New Roman"/>
          <w:sz w:val="24"/>
          <w:szCs w:val="24"/>
        </w:rPr>
        <w:t xml:space="preserve">. </w:t>
      </w:r>
      <w:r w:rsidR="00150E17" w:rsidRPr="00EC6C19">
        <w:rPr>
          <w:rFonts w:ascii="Times New Roman" w:hAnsi="Times New Roman" w:cs="Times New Roman"/>
          <w:sz w:val="24"/>
          <w:szCs w:val="24"/>
        </w:rPr>
        <w:t>Visual assessment however does not</w:t>
      </w:r>
      <w:r w:rsidR="008931B9">
        <w:rPr>
          <w:rFonts w:ascii="Times New Roman" w:hAnsi="Times New Roman" w:cs="Times New Roman"/>
          <w:sz w:val="24"/>
          <w:szCs w:val="24"/>
        </w:rPr>
        <w:t xml:space="preserve"> correspond strongly with QCA</w:t>
      </w:r>
      <w:r w:rsidR="00D852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852FC" w:rsidRPr="00EC6C19">
        <w:rPr>
          <w:rFonts w:ascii="Times New Roman" w:hAnsi="Times New Roman" w:cs="Times New Roman"/>
          <w:sz w:val="24"/>
          <w:szCs w:val="24"/>
        </w:rPr>
        <w:instrText xml:space="preserve"> ADDIN ZOTERO_ITEM CSL_CITATION {"citationID":"HE6foIAk","properties":{"formattedCitation":"(Adjedj et al., 2017)","plainCitation":"(Adjedj et al., 2017)","noteIndex":0},"citationItems":[{"id":819,"uris":["http://zotero.org/users/local/k67tNDdX/items/6J5GW52U"],"uri":["http://zotero.org/users/local/k67tNDdX/items/6J5GW52U"],"itemData":{"id":819,"type":"article-journal","abstract":"BACKGROUND: The correlation between angiographic assessment of coronary stenoses and fractional flow reserve (FFR) is weak. Whether and how risk factors impact the diagnostic accuracy of angiography is unknown. We sought to evaluate the diagnostic accuracy of angiography by visual estimate and by quantitative coronary angiography when compared with FFR and evaluate the influence of risk factors (RF) on this accuracy.\nMETHODS AND RESULTS: In 1382 coronary stenoses (1104 patients), percent diameter stenosis by visual estimation (DSVE) and by quantitative coronary angiography (DSQCA) was compared with FFR. Patients were divided into 4 subgroups, according to the presence of RFs, and the relationship between DSVE, DSQCA, and FFR was analyzed. Overall, DSVE was significantly higher than DSQCA (P&lt;0.0001); nonetheless, when examined by strata of DS, DSVE was significantly smaller than DSQCA in mild stenoses, although the reverse held true for severe stenoses. Compared with FFR, a large scatter was observed for both DSVE and DSQCA. When using a dichotomous FFR value of 0.80, C statistic was significantly higher for DSVE than for DSQCA (0.712 versus 0.640, respectively; P&lt;0.001). C statistics for DSVE decreased progressively as RFs accumulated (0.776 for ≤1 RF, 0.750 for 2 RFs, 0.713 for 3 RFs and 0.627 for ≥4 RFs; P=0.0053). In addition, in diabetics, the relationship between FFR and angiographic indices was particularly weak (C statistics: 0.524 for DSVE and 0.511 for DSQCA).\nCONCLUSIONS: Overall, DSVE has a better diagnostic accuracy than DSQCA to predict the functional significance of coronary stenosis. The predictive accuracy of angiography is moderate in patients with ≤1 RFs, but weakens as RFs accumulate, especially in diabetics.","container-title":"Circulation. Cardiovascular Imaging","DOI":"10.1161/CIRCIMAGING.117.006243","ISSN":"1942-0080","issue":"7","journalAbbreviation":"Circ Cardiovasc Imaging","language":"eng","note":"PMID: 28687539","source":"PubMed","title":"Visual and Quantitative Assessment of Coronary Stenoses at Angiography Versus Fractional Flow Reserve: The Impact of Risk Factors","title-short":"Visual and Quantitative Assessment of Coronary Stenoses at Angiography Versus Fractional Flow Reserve","volume":"10","author":[{"family":"Adjedj","given":"Julien"},{"family":"Xaplanteris","given":"Panagiotis"},{"family":"Toth","given":"Gabor"},{"family":"Ferrara","given":"Angela"},{"family":"Pellicano","given":"Mariano"},{"family":"Ciccarelli","given":"Giovanni"},{"family":"Floré","given":"Vincent"},{"family":"Barbato","given":"Emanuele"},{"family":"De Bruyne","given":"Bernard"}],"issued":{"date-parts":[["2017",7]]}}}],"schema":"https://github.com/citation-style-language/schema/raw/master/csl-citation.json"} </w:instrText>
      </w:r>
      <w:r w:rsidR="00106A32" w:rsidRPr="00EC6C19">
        <w:rPr>
          <w:rFonts w:ascii="Times New Roman" w:hAnsi="Times New Roman" w:cs="Times New Roman"/>
          <w:sz w:val="24"/>
          <w:szCs w:val="24"/>
        </w:rPr>
        <w:fldChar w:fldCharType="separate"/>
      </w:r>
      <w:r w:rsidR="00D852FC" w:rsidRPr="00EC6C19">
        <w:rPr>
          <w:rFonts w:ascii="Times New Roman" w:hAnsi="Times New Roman" w:cs="Times New Roman"/>
          <w:sz w:val="24"/>
          <w:szCs w:val="24"/>
        </w:rPr>
        <w:t xml:space="preserve">(Adjedj </w:t>
      </w:r>
      <w:r w:rsidR="00B22321" w:rsidRPr="00EC6C19">
        <w:rPr>
          <w:rFonts w:ascii="Times New Roman" w:hAnsi="Times New Roman" w:cs="Times New Roman"/>
          <w:sz w:val="24"/>
          <w:szCs w:val="24"/>
        </w:rPr>
        <w:t>et al.,</w:t>
      </w:r>
      <w:r w:rsidR="00D852FC" w:rsidRPr="00EC6C19">
        <w:rPr>
          <w:rFonts w:ascii="Times New Roman" w:hAnsi="Times New Roman" w:cs="Times New Roman"/>
          <w:sz w:val="24"/>
          <w:szCs w:val="24"/>
        </w:rPr>
        <w:t xml:space="preserve"> 2017)</w:t>
      </w:r>
      <w:r w:rsidR="00106A32" w:rsidRPr="00EC6C19">
        <w:rPr>
          <w:rFonts w:ascii="Times New Roman" w:hAnsi="Times New Roman" w:cs="Times New Roman"/>
          <w:sz w:val="24"/>
          <w:szCs w:val="24"/>
        </w:rPr>
        <w:fldChar w:fldCharType="end"/>
      </w:r>
      <w:r w:rsidR="00150E17" w:rsidRPr="00EC6C19">
        <w:rPr>
          <w:rFonts w:ascii="Times New Roman" w:hAnsi="Times New Roman" w:cs="Times New Roman"/>
          <w:sz w:val="24"/>
          <w:szCs w:val="24"/>
        </w:rPr>
        <w:t xml:space="preserve">. </w:t>
      </w:r>
      <w:r w:rsidR="001B761E" w:rsidRPr="00EC6C19">
        <w:rPr>
          <w:rFonts w:ascii="Times New Roman" w:hAnsi="Times New Roman" w:cs="Times New Roman"/>
          <w:sz w:val="24"/>
          <w:szCs w:val="24"/>
        </w:rPr>
        <w:t>QCA has reasonable diagnostic accuracy when compared to FFR as a gold standard</w:t>
      </w:r>
      <w:r w:rsidR="006D0144" w:rsidRPr="00EC6C19">
        <w:rPr>
          <w:rFonts w:ascii="Times New Roman" w:hAnsi="Times New Roman" w:cs="Times New Roman"/>
          <w:sz w:val="24"/>
          <w:szCs w:val="24"/>
        </w:rPr>
        <w:t xml:space="preserve"> but has less reliable outcome data</w:t>
      </w:r>
      <w:r w:rsidR="00D852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{"citationID":"ss9TY0lT","properties":{"formattedCitation":"(Budoff et al., 2016)","plainCitation":"(Budoff et al., 2016)","noteIndex":0},"citationItems":[{"id":649,"uris":["http://zotero.org/users/local/k67tNDdX/items/RPRKHJ7G"],"uri":["http://zotero.org/users/local/k67tNDdX/items/RPRKHJ7G"],"itemData":{"id":649,"type":"article-journal","abstract":"OBJECTIVES: The goal of this study was to compare the diagnostic performance of coronary computed tomography angiography (CTA) versus quantitative coronary angiography (QCA) for the detection of lesion-specific ischemia using fractional flow reserve (FFR) as the gold standard.\nBACKGROUND: Coronary CTA has emerged as a noninvasive method for accurate detection and exclusion of high-grade coronary stenoses. FFR is the gold standard for determining lesion-specific ischemia and has been shown to improve clinical outcomes when guiding revascularization.\nMETHODS: A total of 252 patients from 5 countries were prospectively enrolled (mean age 63 years; 71% male). Patients underwent coronary CTA and invasive coronary angiography (ICA) with FFR in 407 lesions. Coronary CTA, QCA, and FFR were interpreted by independent core laboratories. Stenosis severity according to coronary CTA and QCA were graded as 0% to 29%, 30% to 49%, 50% to 69%, and 70% to 100%; stenosis ≥50% was considered anatomically obstructive. Lesion-specific ischemia was defined according to FFR ≤0.8, whereas QCA and coronary CTA stenosis ≥50% were considered obstructive. Diagnostic accuracy and areas under the receiver-operating characteristics curve (AUC) for lesion-specific ischemia was assessed.\nRESULTS: According to FFR, ischemia was present in 151 (37%) of 407 lesions. Diagnostic accuracy, sensitivity, specificity, positive predictive value, and negative predictive value were 69%, 79%, 63%, 55%, and 83% for coronary CTA; and 71%, 74%, 70%, 59%, and 82% for QCA. AUC for identification of ischemia-causing lesions was similar: 0.75 for coronary CTA and 0.77 for QCA (p = 0.6). No differences between CTA and QCA existed for discrimination of ischemia within the left anterior descending artery (AUC 0.71 vs. 0.73; p = 0.6), left circumflex artery (AUC 0.78 vs. 0.85; p = 0.4), and right coronary artery (AUC 0.80 vs. 0.83; p = 0.6).\nCONCLUSIONS: CTA and ICA exhibited similar diagnostic performance for the detection and exclusion of lesion-specific ischemia. Using a true reference standard to determine appropriate revascularization targets, 3-dimensional coronary CTA performed as well as 2-dimensional ICA.","container-title":"JACC. Cardiovascular imaging","DOI":"10.1016/j.jcmg.2015.08.021","ISSN":"1876-7591","issue":"5","journalAbbreviation":"JACC Cardiovasc Imaging","language":"eng","note":"PMID: 26897669","page":"559-564","source":"PubMed","title":"CT Angiography for the Prediction of Hemodynamic Significance in Intermediate and Severe Lesions: Head-to-Head Comparison With Quantitative Coronary Angiography Using Fractional Flow Reserve as the Reference Standard","title-short":"CT Angiography for the Prediction of Hemodynamic Significance in Intermediate and Severe Lesions","volume":"9","author":[{"family":"Budoff","given":"Matthew J."},{"family":"Nakazato","given":"Ryo"},{"family":"Mancini","given":"G. B. John"},{"family":"Gransar","given":"Heidi"},{"family":"Leipsic","given":"Jonathon"},{"family":"Berman","given":"Daniel S."},{"family":"Min","given":"James K."}],"issued":{"date-parts":[["2016"]]}}}],"schema":"https://github.com/citation-style-language/schema/raw/master/csl-citation.json"} </w:instrText>
      </w:r>
      <w:r w:rsidR="00106A32" w:rsidRPr="00EC6C19">
        <w:rPr>
          <w:rFonts w:ascii="Times New Roman" w:hAnsi="Times New Roman" w:cs="Times New Roman"/>
          <w:sz w:val="24"/>
          <w:szCs w:val="24"/>
        </w:rPr>
        <w:fldChar w:fldCharType="separate"/>
      </w:r>
      <w:r w:rsidR="00D852FC" w:rsidRPr="00EC6C19">
        <w:rPr>
          <w:rFonts w:ascii="Times New Roman" w:hAnsi="Times New Roman" w:cs="Times New Roman"/>
          <w:sz w:val="24"/>
          <w:szCs w:val="24"/>
        </w:rPr>
        <w:t xml:space="preserve">(Budoff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2016)</w:t>
      </w:r>
      <w:r w:rsidR="00106A32" w:rsidRPr="00EC6C19">
        <w:rPr>
          <w:rFonts w:ascii="Times New Roman" w:hAnsi="Times New Roman" w:cs="Times New Roman"/>
          <w:sz w:val="24"/>
          <w:szCs w:val="24"/>
        </w:rPr>
        <w:fldChar w:fldCharType="end"/>
      </w:r>
      <w:r w:rsidR="001B761E" w:rsidRPr="00EC6C19">
        <w:rPr>
          <w:rFonts w:ascii="Times New Roman" w:hAnsi="Times New Roman" w:cs="Times New Roman"/>
          <w:sz w:val="24"/>
          <w:szCs w:val="24"/>
        </w:rPr>
        <w:t>.</w:t>
      </w:r>
    </w:p>
    <w:p w14:paraId="625F29DB" w14:textId="77777777" w:rsidR="00207BE4" w:rsidRPr="00EC6C19" w:rsidRDefault="008310D4" w:rsidP="00FE21B7">
      <w:pPr>
        <w:spacing w:line="360" w:lineRule="auto"/>
        <w:rPr>
          <w:rFonts w:ascii="Times New Roman" w:hAnsi="Times New Roman" w:cs="Times New Roman"/>
          <w:sz w:val="24"/>
          <w:szCs w:val="24"/>
        </w:rPr>
      </w:pPr>
      <w:r>
        <w:rPr>
          <w:rFonts w:ascii="Times New Roman" w:hAnsi="Times New Roman" w:cs="Times New Roman"/>
          <w:sz w:val="24"/>
          <w:szCs w:val="24"/>
        </w:rPr>
        <w:t xml:space="preserve">Lesion length was similar in all artery groups. </w:t>
      </w:r>
      <w:r w:rsidR="006D0144" w:rsidRPr="00EC6C19">
        <w:rPr>
          <w:rFonts w:ascii="Times New Roman" w:hAnsi="Times New Roman" w:cs="Times New Roman"/>
          <w:sz w:val="24"/>
          <w:szCs w:val="24"/>
        </w:rPr>
        <w:t>Previously</w:t>
      </w:r>
      <w:r w:rsidR="00484D88" w:rsidRPr="00EC6C19">
        <w:rPr>
          <w:rFonts w:ascii="Times New Roman" w:hAnsi="Times New Roman" w:cs="Times New Roman"/>
          <w:sz w:val="24"/>
          <w:szCs w:val="24"/>
        </w:rPr>
        <w:t xml:space="preserve">, studies have shown a strong correlation with lesion length and FFR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{"citationID":"xcFE1e2v","properties":{"formattedCitation":"(L\\uc0\\u243{}pez-Palop et al., 2013)","plainCitation":"(López-Palop et al., 2013)","noteIndex":0},"citationItems":[{"id":651,"uris":["http://zotero.org/users/local/k67tNDdX/items/IQ56A4JY"],"uri":["http://zotero.org/users/local/k67tNDdX/items/IQ56A4JY"],"itemData":{"id":651,"type":"article-journal","abstract":"OBJECTIVE: To assess the relationship between lesion length and other angiographic parameters on the functional significance of long coronary lesions with moderate stenosis.\nBACKGROUND: Coronary revascularization is usually based on angiographic percent stenosis. Coronary stenosis length is not usually considered in daily clinical practice for revascularization decision-making. The relevance of lesion length might be greater in longer lesions with intermediate stenosis.\nMETHODS: All coronary lesions &gt;20 mm and of 40-70% percent stenosis assessed by intracoronary pressure wire between 2007 and 2009 were included. Interventionists performing digital quantification of lesion stenosis were blinded to the result of fractional flow reserve (FFR). Correlations between angiographic data and FFR were analyzed.\nRESULTS: One hundred and six lesions from 103 patients were included. Reference diameter: 2.9 ± 0.56 mm; maximal stenosis: 49.0 ± 8.7%; minimal luminal diameter (MinimalLD): 1.48 ± 0.4 mm; mean luminal diameter (MeanLD): 2.3 ± 0.5 mm; mean lesion length: 28.7 ± 10.6 mm. Lesions with FFR &lt;0.75 accounted for 33% (n = 35). Weak correlations were obtained between FFR and MinimalLD (r = 0.36; P &lt; 0.0005), MeanLD (r = 0.24; P = 0.014), maximal stenosis (r = 0.31; P = 0.001), and mean stenosis (r = 0.018; P = 0.85); strong correlations were observed between FFR and lesion length (r = 0.63; P &lt; 0.0005), lesion length/MinimalLD (r = 0.67; P &lt; 0.0005), and lesion length/MeanLD (0.72; P &lt; 0.0005). The predictive values of lesion length, lesion length/MinimalLD, and lesion length/MeanLD for FFR &lt;0.75 were 0.86, 0.91, and 0.92, respectively.\nCONCLUSIONS: In long lesions (&gt;20 mm) with moderate angiographic stenosis, lesion length might be the strongest determinant of functional repercussion. Lesion length should be considered when judging the benefit of revascularization or perform functional functional measures that overcome the limitations of simple stenosis quantification.","container-title":"Catheterization and Cardiovascular Interventions: Official Journal of the Society for Cardiac Angiography &amp; Interventions","DOI":"10.1002/ccd.24459","ISSN":"1522-726X","issue":"4","journalAbbreviation":"Catheter Cardiovasc Interv","language":"eng","note":"PMID: 22511556","page":"E186-194","source":"PubMed","title":"Effect of lesion length on functional significance of intermediate long coronary lesions","volume":"81","author":[{"family":"López-Palop","given":"Ramón"},{"family":"Carrillo","given":"Pilar"},{"family":"Cordero","given":"Alberto"},{"family":"Frutos","given":"Araceli"},{"family":"Mateo","given":"Irene"},{"family":"Mashlab","given":"Samer"},{"family":"Roldán","given":"Julian"}],"issued":{"date-parts":[["2013",3]]}}}],"schema":"https://github.com/citation-style-language/schema/raw/master/csl-citation.json"} </w:instrText>
      </w:r>
      <w:r w:rsidR="00106A32" w:rsidRPr="00EC6C19">
        <w:rPr>
          <w:rFonts w:ascii="Times New Roman" w:hAnsi="Times New Roman" w:cs="Times New Roman"/>
          <w:sz w:val="24"/>
          <w:szCs w:val="24"/>
        </w:rPr>
        <w:fldChar w:fldCharType="separate"/>
      </w:r>
      <w:r w:rsidR="00D852FC" w:rsidRPr="00EC6C19">
        <w:rPr>
          <w:rFonts w:ascii="Times New Roman" w:hAnsi="Times New Roman" w:cs="Times New Roman"/>
          <w:sz w:val="24"/>
          <w:szCs w:val="24"/>
        </w:rPr>
        <w:t xml:space="preserve">(López-Palop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2013)</w:t>
      </w:r>
      <w:r w:rsidR="00106A32" w:rsidRPr="00EC6C19">
        <w:rPr>
          <w:rFonts w:ascii="Times New Roman" w:hAnsi="Times New Roman" w:cs="Times New Roman"/>
          <w:sz w:val="24"/>
          <w:szCs w:val="24"/>
        </w:rPr>
        <w:fldChar w:fldCharType="end"/>
      </w:r>
      <w:r w:rsidR="00484D88" w:rsidRPr="00EC6C19">
        <w:rPr>
          <w:rFonts w:ascii="Times New Roman" w:hAnsi="Times New Roman" w:cs="Times New Roman"/>
          <w:sz w:val="24"/>
          <w:szCs w:val="24"/>
        </w:rPr>
        <w:t xml:space="preserve">. Lesion length may be one of the strongest predictors </w:t>
      </w:r>
      <w:r w:rsidR="00396766" w:rsidRPr="00EC6C19">
        <w:rPr>
          <w:rFonts w:ascii="Times New Roman" w:hAnsi="Times New Roman" w:cs="Times New Roman"/>
          <w:sz w:val="24"/>
          <w:szCs w:val="24"/>
        </w:rPr>
        <w:t xml:space="preserve">of </w:t>
      </w:r>
      <w:r w:rsidR="002C2B01" w:rsidRPr="00EC6C19">
        <w:rPr>
          <w:rFonts w:ascii="Times New Roman" w:hAnsi="Times New Roman" w:cs="Times New Roman"/>
          <w:sz w:val="24"/>
          <w:szCs w:val="24"/>
        </w:rPr>
        <w:t xml:space="preserve">a </w:t>
      </w:r>
      <w:r w:rsidR="00396766" w:rsidRPr="00EC6C19">
        <w:rPr>
          <w:rFonts w:ascii="Times New Roman" w:hAnsi="Times New Roman" w:cs="Times New Roman"/>
          <w:sz w:val="24"/>
          <w:szCs w:val="24"/>
        </w:rPr>
        <w:t>functional</w:t>
      </w:r>
      <w:r w:rsidR="002C2B01" w:rsidRPr="00EC6C19">
        <w:rPr>
          <w:rFonts w:ascii="Times New Roman" w:hAnsi="Times New Roman" w:cs="Times New Roman"/>
          <w:sz w:val="24"/>
          <w:szCs w:val="24"/>
        </w:rPr>
        <w:t xml:space="preserve">ly significant </w:t>
      </w:r>
      <w:r w:rsidR="00396766" w:rsidRPr="00EC6C19">
        <w:rPr>
          <w:rFonts w:ascii="Times New Roman" w:hAnsi="Times New Roman" w:cs="Times New Roman"/>
          <w:sz w:val="24"/>
          <w:szCs w:val="24"/>
        </w:rPr>
        <w:t>stenosis.</w:t>
      </w:r>
    </w:p>
    <w:p w14:paraId="77D5B077" w14:textId="77777777" w:rsidR="008310D4" w:rsidRDefault="008310D4" w:rsidP="00FE21B7">
      <w:pPr>
        <w:spacing w:line="360" w:lineRule="auto"/>
        <w:rPr>
          <w:rFonts w:ascii="Times New Roman" w:hAnsi="Times New Roman" w:cs="Times New Roman"/>
          <w:i/>
          <w:sz w:val="24"/>
          <w:szCs w:val="24"/>
          <w:u w:val="single"/>
        </w:rPr>
      </w:pPr>
    </w:p>
    <w:p w14:paraId="5BDFB360" w14:textId="77777777" w:rsidR="00207BE4" w:rsidRPr="00B15CB5" w:rsidRDefault="00B15CB5" w:rsidP="00B15CB5">
      <w:pPr>
        <w:pStyle w:val="Heading3"/>
        <w:rPr>
          <w:rFonts w:ascii="Times New Roman" w:hAnsi="Times New Roman" w:cs="Times New Roman"/>
          <w:b w:val="0"/>
          <w:i/>
          <w:color w:val="auto"/>
          <w:sz w:val="24"/>
          <w:szCs w:val="24"/>
        </w:rPr>
      </w:pPr>
      <w:bookmarkStart w:id="213" w:name="_Toc80302272"/>
      <w:r w:rsidRPr="00B15CB5">
        <w:rPr>
          <w:rFonts w:ascii="Times New Roman" w:hAnsi="Times New Roman" w:cs="Times New Roman"/>
          <w:b w:val="0"/>
          <w:i/>
          <w:color w:val="auto"/>
          <w:sz w:val="24"/>
          <w:szCs w:val="24"/>
        </w:rPr>
        <w:t xml:space="preserve">4.3.2 - </w:t>
      </w:r>
      <w:r w:rsidR="00207BE4" w:rsidRPr="00B15CB5">
        <w:rPr>
          <w:rFonts w:ascii="Times New Roman" w:hAnsi="Times New Roman" w:cs="Times New Roman"/>
          <w:b w:val="0"/>
          <w:i/>
          <w:color w:val="auto"/>
          <w:sz w:val="24"/>
          <w:szCs w:val="24"/>
        </w:rPr>
        <w:t>Position of Stenosis</w:t>
      </w:r>
      <w:bookmarkEnd w:id="213"/>
    </w:p>
    <w:p w14:paraId="2FF14451" w14:textId="77777777" w:rsidR="00207BE4" w:rsidRPr="00EC6C19" w:rsidRDefault="008065E7" w:rsidP="00FE21B7">
      <w:pPr>
        <w:spacing w:line="360" w:lineRule="auto"/>
        <w:rPr>
          <w:rFonts w:ascii="Times New Roman" w:hAnsi="Times New Roman" w:cs="Times New Roman"/>
          <w:i/>
          <w:sz w:val="24"/>
          <w:szCs w:val="24"/>
          <w:u w:val="single"/>
        </w:rPr>
      </w:pPr>
      <w:r>
        <w:rPr>
          <w:rFonts w:ascii="Times New Roman" w:hAnsi="Times New Roman" w:cs="Times New Roman"/>
          <w:i/>
          <w:sz w:val="24"/>
          <w:szCs w:val="24"/>
          <w:u w:val="single"/>
        </w:rPr>
        <w:br/>
      </w:r>
    </w:p>
    <w:p w14:paraId="55D6941E" w14:textId="2F610909" w:rsidR="00207BE4" w:rsidRPr="00EC6C19" w:rsidRDefault="00207BE4" w:rsidP="00FE022A">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Of all twenty three lesions, 10 were classified as proximal (first third of the vessel), 9 were classified as mid (middle third of vessel), and 4 as distal (final third of vessel). </w:t>
      </w:r>
      <w:r w:rsidR="00D80F70">
        <w:rPr>
          <w:rFonts w:ascii="Times New Roman" w:hAnsi="Times New Roman" w:cs="Times New Roman"/>
          <w:sz w:val="24"/>
          <w:szCs w:val="24"/>
        </w:rPr>
        <w:t>V</w:t>
      </w:r>
      <w:r w:rsidRPr="00EC6C19">
        <w:rPr>
          <w:rFonts w:ascii="Times New Roman" w:hAnsi="Times New Roman" w:cs="Times New Roman"/>
          <w:sz w:val="24"/>
          <w:szCs w:val="24"/>
        </w:rPr>
        <w:t xml:space="preserve">ertical height variation from the ostial vessel generally increases in a gradual fashion along the length of the </w:t>
      </w:r>
      <w:r w:rsidRPr="00233B02">
        <w:rPr>
          <w:rFonts w:ascii="Times New Roman" w:hAnsi="Times New Roman" w:cs="Times New Roman"/>
          <w:sz w:val="24"/>
          <w:szCs w:val="24"/>
        </w:rPr>
        <w:t>vessel</w:t>
      </w:r>
      <w:r w:rsidR="00D80F70" w:rsidRPr="00233B02">
        <w:rPr>
          <w:rFonts w:ascii="Times New Roman" w:hAnsi="Times New Roman" w:cs="Times New Roman"/>
          <w:sz w:val="24"/>
          <w:szCs w:val="24"/>
        </w:rPr>
        <w:t xml:space="preserve"> (chapter II)</w:t>
      </w:r>
      <w:r w:rsidRPr="00233B02">
        <w:rPr>
          <w:rFonts w:ascii="Times New Roman" w:hAnsi="Times New Roman" w:cs="Times New Roman"/>
          <w:sz w:val="24"/>
          <w:szCs w:val="24"/>
        </w:rPr>
        <w:t>.</w:t>
      </w:r>
      <w:r w:rsidRPr="00EC6C19">
        <w:rPr>
          <w:rFonts w:ascii="Times New Roman" w:hAnsi="Times New Roman" w:cs="Times New Roman"/>
          <w:sz w:val="24"/>
          <w:szCs w:val="24"/>
        </w:rPr>
        <w:t xml:space="preserve"> Lesions in t</w:t>
      </w:r>
      <w:r w:rsidR="00D80F70">
        <w:rPr>
          <w:rFonts w:ascii="Times New Roman" w:hAnsi="Times New Roman" w:cs="Times New Roman"/>
          <w:sz w:val="24"/>
          <w:szCs w:val="24"/>
        </w:rPr>
        <w:t xml:space="preserve">he proximal and mid vessel may </w:t>
      </w:r>
      <w:r w:rsidRPr="00EC6C19">
        <w:rPr>
          <w:rFonts w:ascii="Times New Roman" w:hAnsi="Times New Roman" w:cs="Times New Roman"/>
          <w:sz w:val="24"/>
          <w:szCs w:val="24"/>
        </w:rPr>
        <w:t xml:space="preserve">not </w:t>
      </w:r>
      <w:r w:rsidR="00D80F70">
        <w:rPr>
          <w:rFonts w:ascii="Times New Roman" w:hAnsi="Times New Roman" w:cs="Times New Roman"/>
          <w:sz w:val="24"/>
          <w:szCs w:val="24"/>
        </w:rPr>
        <w:t xml:space="preserve">alter </w:t>
      </w:r>
      <w:r w:rsidR="00D164ED">
        <w:rPr>
          <w:rFonts w:ascii="Times New Roman" w:hAnsi="Times New Roman" w:cs="Times New Roman"/>
          <w:sz w:val="24"/>
          <w:szCs w:val="24"/>
        </w:rPr>
        <w:t>pressure-</w:t>
      </w:r>
      <w:r w:rsidR="00D80F70">
        <w:rPr>
          <w:rFonts w:ascii="Times New Roman" w:hAnsi="Times New Roman" w:cs="Times New Roman"/>
          <w:sz w:val="24"/>
          <w:szCs w:val="24"/>
        </w:rPr>
        <w:t>based indices substantially</w:t>
      </w:r>
      <w:r w:rsidRPr="00EC6C19">
        <w:rPr>
          <w:rFonts w:ascii="Times New Roman" w:hAnsi="Times New Roman" w:cs="Times New Roman"/>
          <w:sz w:val="24"/>
          <w:szCs w:val="24"/>
        </w:rPr>
        <w:t xml:space="preserve">, as the hydrostatic effect is limited by the vertical height </w:t>
      </w:r>
      <w:r w:rsidR="00D80F70">
        <w:rPr>
          <w:rFonts w:ascii="Times New Roman" w:hAnsi="Times New Roman" w:cs="Times New Roman"/>
          <w:sz w:val="24"/>
          <w:szCs w:val="24"/>
        </w:rPr>
        <w:t xml:space="preserve">at the point of measurement. This concept led the research team to take more </w:t>
      </w:r>
      <w:r w:rsidR="00790718">
        <w:rPr>
          <w:rFonts w:ascii="Times New Roman" w:hAnsi="Times New Roman" w:cs="Times New Roman"/>
          <w:sz w:val="24"/>
          <w:szCs w:val="24"/>
        </w:rPr>
        <w:t>proximal</w:t>
      </w:r>
      <w:r w:rsidR="00D80F70">
        <w:rPr>
          <w:rFonts w:ascii="Times New Roman" w:hAnsi="Times New Roman" w:cs="Times New Roman"/>
          <w:sz w:val="24"/>
          <w:szCs w:val="24"/>
        </w:rPr>
        <w:t xml:space="preserve"> measurements after a results review</w:t>
      </w:r>
      <w:r w:rsidR="00790718">
        <w:rPr>
          <w:rFonts w:ascii="Times New Roman" w:hAnsi="Times New Roman" w:cs="Times New Roman"/>
          <w:sz w:val="24"/>
          <w:szCs w:val="24"/>
        </w:rPr>
        <w:t xml:space="preserve"> (clinical measurement point data).</w:t>
      </w:r>
    </w:p>
    <w:p w14:paraId="23FD21AF" w14:textId="77777777" w:rsidR="00207BE4" w:rsidRPr="00EC6C19" w:rsidRDefault="00587338" w:rsidP="00FE022A">
      <w:pPr>
        <w:spacing w:line="360" w:lineRule="auto"/>
        <w:rPr>
          <w:rFonts w:ascii="Times New Roman" w:hAnsi="Times New Roman" w:cs="Times New Roman"/>
          <w:sz w:val="24"/>
          <w:szCs w:val="24"/>
        </w:rPr>
      </w:pPr>
      <w:r>
        <w:rPr>
          <w:rFonts w:ascii="Times New Roman" w:hAnsi="Times New Roman" w:cs="Times New Roman"/>
          <w:sz w:val="24"/>
          <w:szCs w:val="24"/>
        </w:rPr>
        <w:t>Looking at the</w:t>
      </w:r>
      <w:r w:rsidR="0060210E">
        <w:rPr>
          <w:rFonts w:ascii="Times New Roman" w:hAnsi="Times New Roman" w:cs="Times New Roman"/>
          <w:sz w:val="24"/>
          <w:szCs w:val="24"/>
        </w:rPr>
        <w:t xml:space="preserve"> seven clinical measurement points taken in the</w:t>
      </w:r>
      <w:r>
        <w:rPr>
          <w:rFonts w:ascii="Times New Roman" w:hAnsi="Times New Roman" w:cs="Times New Roman"/>
          <w:sz w:val="24"/>
          <w:szCs w:val="24"/>
        </w:rPr>
        <w:t xml:space="preserve"> LAD specifically, </w:t>
      </w:r>
      <w:r w:rsidR="0060210E">
        <w:rPr>
          <w:rFonts w:ascii="Times New Roman" w:hAnsi="Times New Roman" w:cs="Times New Roman"/>
          <w:sz w:val="24"/>
          <w:szCs w:val="24"/>
        </w:rPr>
        <w:t>four lesions were proximal and three were in the mid vessel. Two of the lesions in the mid vessel used the same point in the vessel for clinical (as per operator decision) and study measurement points. The mean delta change was 0.06 across these seven lesions. This is clinically very re-assuring, a</w:t>
      </w:r>
      <w:r w:rsidR="00D604F3">
        <w:rPr>
          <w:rFonts w:ascii="Times New Roman" w:hAnsi="Times New Roman" w:cs="Times New Roman"/>
          <w:sz w:val="24"/>
          <w:szCs w:val="24"/>
        </w:rPr>
        <w:t>s in routine practice, physiological measurements</w:t>
      </w:r>
      <w:r w:rsidR="0060210E">
        <w:rPr>
          <w:rFonts w:ascii="Times New Roman" w:hAnsi="Times New Roman" w:cs="Times New Roman"/>
          <w:sz w:val="24"/>
          <w:szCs w:val="24"/>
        </w:rPr>
        <w:t xml:space="preserve"> may not be taken as distally as stipulated in the study protocol. This subset of results shows that even when</w:t>
      </w:r>
      <w:r w:rsidR="00D604F3">
        <w:rPr>
          <w:rFonts w:ascii="Times New Roman" w:hAnsi="Times New Roman" w:cs="Times New Roman"/>
          <w:sz w:val="24"/>
          <w:szCs w:val="24"/>
        </w:rPr>
        <w:t xml:space="preserve"> the wire is</w:t>
      </w:r>
      <w:r w:rsidR="0060210E">
        <w:rPr>
          <w:rFonts w:ascii="Times New Roman" w:hAnsi="Times New Roman" w:cs="Times New Roman"/>
          <w:sz w:val="24"/>
          <w:szCs w:val="24"/>
        </w:rPr>
        <w:t xml:space="preserve"> position</w:t>
      </w:r>
      <w:r w:rsidR="00D604F3">
        <w:rPr>
          <w:rFonts w:ascii="Times New Roman" w:hAnsi="Times New Roman" w:cs="Times New Roman"/>
          <w:sz w:val="24"/>
          <w:szCs w:val="24"/>
        </w:rPr>
        <w:t>ed</w:t>
      </w:r>
      <w:r w:rsidR="0060210E">
        <w:rPr>
          <w:rFonts w:ascii="Times New Roman" w:hAnsi="Times New Roman" w:cs="Times New Roman"/>
          <w:sz w:val="24"/>
          <w:szCs w:val="24"/>
        </w:rPr>
        <w:t xml:space="preserve"> more proximally, hydrostatic effect is still relevant.</w:t>
      </w:r>
    </w:p>
    <w:p w14:paraId="410207CC" w14:textId="77777777" w:rsidR="007C3EB4" w:rsidRPr="00EC6C19" w:rsidRDefault="007C3EB4" w:rsidP="00BC7A77">
      <w:pPr>
        <w:spacing w:line="360" w:lineRule="auto"/>
        <w:rPr>
          <w:rFonts w:ascii="Times New Roman" w:hAnsi="Times New Roman" w:cs="Times New Roman"/>
          <w:sz w:val="24"/>
          <w:szCs w:val="24"/>
        </w:rPr>
      </w:pPr>
    </w:p>
    <w:p w14:paraId="05F1F30E" w14:textId="77777777" w:rsidR="004560C9" w:rsidRPr="008065E7" w:rsidRDefault="008065E7" w:rsidP="008065E7">
      <w:pPr>
        <w:pStyle w:val="Heading3"/>
        <w:rPr>
          <w:rFonts w:ascii="Times New Roman" w:hAnsi="Times New Roman" w:cs="Times New Roman"/>
          <w:b w:val="0"/>
          <w:i/>
          <w:color w:val="auto"/>
          <w:sz w:val="24"/>
          <w:szCs w:val="24"/>
        </w:rPr>
      </w:pPr>
      <w:bookmarkStart w:id="214" w:name="_Toc80302273"/>
      <w:r w:rsidRPr="008065E7">
        <w:rPr>
          <w:rFonts w:ascii="Times New Roman" w:hAnsi="Times New Roman" w:cs="Times New Roman"/>
          <w:b w:val="0"/>
          <w:i/>
          <w:color w:val="auto"/>
          <w:sz w:val="24"/>
          <w:szCs w:val="24"/>
        </w:rPr>
        <w:t xml:space="preserve">4.3.3 - </w:t>
      </w:r>
      <w:r w:rsidR="004560C9" w:rsidRPr="008065E7">
        <w:rPr>
          <w:rFonts w:ascii="Times New Roman" w:hAnsi="Times New Roman" w:cs="Times New Roman"/>
          <w:b w:val="0"/>
          <w:i/>
          <w:color w:val="auto"/>
          <w:sz w:val="24"/>
          <w:szCs w:val="24"/>
        </w:rPr>
        <w:t>Guide to Wire Measurement</w:t>
      </w:r>
      <w:r w:rsidR="00BC5024" w:rsidRPr="008065E7">
        <w:rPr>
          <w:rFonts w:ascii="Times New Roman" w:hAnsi="Times New Roman" w:cs="Times New Roman"/>
          <w:b w:val="0"/>
          <w:i/>
          <w:color w:val="auto"/>
          <w:sz w:val="24"/>
          <w:szCs w:val="24"/>
        </w:rPr>
        <w:t xml:space="preserve"> Correlation</w:t>
      </w:r>
      <w:bookmarkEnd w:id="214"/>
      <w:r>
        <w:rPr>
          <w:rFonts w:ascii="Times New Roman" w:hAnsi="Times New Roman" w:cs="Times New Roman"/>
          <w:b w:val="0"/>
          <w:i/>
          <w:color w:val="auto"/>
          <w:sz w:val="24"/>
          <w:szCs w:val="24"/>
        </w:rPr>
        <w:br/>
      </w:r>
    </w:p>
    <w:p w14:paraId="2E0620AD" w14:textId="77777777" w:rsidR="0060210E" w:rsidRPr="0060210E" w:rsidRDefault="0060210E" w:rsidP="00BC7A77">
      <w:pPr>
        <w:spacing w:line="360" w:lineRule="auto"/>
        <w:rPr>
          <w:rFonts w:ascii="Times New Roman" w:hAnsi="Times New Roman" w:cs="Times New Roman"/>
          <w:i/>
          <w:sz w:val="24"/>
          <w:szCs w:val="24"/>
        </w:rPr>
      </w:pPr>
    </w:p>
    <w:p w14:paraId="3C20565A" w14:textId="3E650604" w:rsidR="00BB15DF" w:rsidRDefault="0060210E" w:rsidP="00BC7A77">
      <w:pPr>
        <w:spacing w:line="360" w:lineRule="auto"/>
        <w:rPr>
          <w:rFonts w:ascii="Times New Roman" w:hAnsi="Times New Roman" w:cs="Times New Roman"/>
          <w:sz w:val="24"/>
          <w:szCs w:val="24"/>
        </w:rPr>
      </w:pPr>
      <w:r>
        <w:rPr>
          <w:rFonts w:ascii="Times New Roman" w:hAnsi="Times New Roman" w:cs="Times New Roman"/>
          <w:sz w:val="24"/>
          <w:szCs w:val="24"/>
        </w:rPr>
        <w:t xml:space="preserve">Guide to wire measurements did not </w:t>
      </w:r>
      <w:r w:rsidR="00043DD5">
        <w:rPr>
          <w:rFonts w:ascii="Times New Roman" w:hAnsi="Times New Roman" w:cs="Times New Roman"/>
          <w:sz w:val="24"/>
          <w:szCs w:val="24"/>
        </w:rPr>
        <w:t>show a significant correlation</w:t>
      </w:r>
      <w:r>
        <w:rPr>
          <w:rFonts w:ascii="Times New Roman" w:hAnsi="Times New Roman" w:cs="Times New Roman"/>
          <w:sz w:val="24"/>
          <w:szCs w:val="24"/>
        </w:rPr>
        <w:t xml:space="preserve"> with delta change in Pd/Pa, iFR or FFR</w:t>
      </w:r>
      <w:r w:rsidR="00043DD5">
        <w:rPr>
          <w:rFonts w:ascii="Times New Roman" w:hAnsi="Times New Roman" w:cs="Times New Roman"/>
          <w:sz w:val="24"/>
          <w:szCs w:val="24"/>
        </w:rPr>
        <w:t xml:space="preserve"> per lesion</w:t>
      </w:r>
      <w:r w:rsidR="00BB15DF">
        <w:rPr>
          <w:rFonts w:ascii="Times New Roman" w:hAnsi="Times New Roman" w:cs="Times New Roman"/>
          <w:sz w:val="24"/>
          <w:szCs w:val="24"/>
        </w:rPr>
        <w:t>, but did show a trend towards positive correlation</w:t>
      </w:r>
      <w:r>
        <w:rPr>
          <w:rFonts w:ascii="Times New Roman" w:hAnsi="Times New Roman" w:cs="Times New Roman"/>
          <w:sz w:val="24"/>
          <w:szCs w:val="24"/>
        </w:rPr>
        <w:t>.</w:t>
      </w:r>
      <w:r w:rsidR="00C17825">
        <w:rPr>
          <w:rFonts w:ascii="Times New Roman" w:hAnsi="Times New Roman" w:cs="Times New Roman"/>
          <w:sz w:val="24"/>
          <w:szCs w:val="24"/>
        </w:rPr>
        <w:t xml:space="preserve"> </w:t>
      </w:r>
      <w:r w:rsidR="00BB15DF">
        <w:rPr>
          <w:rFonts w:ascii="Times New Roman" w:hAnsi="Times New Roman" w:cs="Times New Roman"/>
          <w:sz w:val="24"/>
          <w:szCs w:val="24"/>
        </w:rPr>
        <w:t xml:space="preserve">However, </w:t>
      </w:r>
      <w:r w:rsidR="00043DD5">
        <w:rPr>
          <w:rFonts w:ascii="Times New Roman" w:hAnsi="Times New Roman" w:cs="Times New Roman"/>
          <w:sz w:val="24"/>
          <w:szCs w:val="24"/>
        </w:rPr>
        <w:t xml:space="preserve">the overall </w:t>
      </w:r>
      <w:r w:rsidR="00BB15DF">
        <w:rPr>
          <w:rFonts w:ascii="Times New Roman" w:hAnsi="Times New Roman" w:cs="Times New Roman"/>
          <w:sz w:val="24"/>
          <w:szCs w:val="24"/>
        </w:rPr>
        <w:t>mean</w:t>
      </w:r>
      <w:r w:rsidR="00C17825">
        <w:rPr>
          <w:rFonts w:ascii="Times New Roman" w:hAnsi="Times New Roman" w:cs="Times New Roman"/>
          <w:sz w:val="24"/>
          <w:szCs w:val="24"/>
        </w:rPr>
        <w:t xml:space="preserve"> </w:t>
      </w:r>
      <w:r w:rsidR="00BB15DF">
        <w:rPr>
          <w:rFonts w:ascii="Times New Roman" w:hAnsi="Times New Roman" w:cs="Times New Roman"/>
          <w:sz w:val="24"/>
          <w:szCs w:val="24"/>
        </w:rPr>
        <w:t xml:space="preserve">guide to wire </w:t>
      </w:r>
      <w:r w:rsidR="00BB15DF" w:rsidRPr="00657B86">
        <w:rPr>
          <w:rFonts w:ascii="Times New Roman" w:hAnsi="Times New Roman" w:cs="Times New Roman"/>
          <w:sz w:val="24"/>
          <w:szCs w:val="24"/>
        </w:rPr>
        <w:t>distance measured on QCA, a</w:t>
      </w:r>
      <w:r w:rsidR="00C17825" w:rsidRPr="00657B86">
        <w:rPr>
          <w:rFonts w:ascii="Times New Roman" w:hAnsi="Times New Roman" w:cs="Times New Roman"/>
          <w:sz w:val="24"/>
          <w:szCs w:val="24"/>
        </w:rPr>
        <w:t xml:space="preserve">lmost exactly predicted </w:t>
      </w:r>
      <w:r w:rsidR="00BB15DF" w:rsidRPr="00657B86">
        <w:rPr>
          <w:rFonts w:ascii="Times New Roman" w:hAnsi="Times New Roman" w:cs="Times New Roman"/>
          <w:sz w:val="24"/>
          <w:szCs w:val="24"/>
        </w:rPr>
        <w:t>mean FFR delta change</w:t>
      </w:r>
      <w:r w:rsidR="00C17825" w:rsidRPr="00657B86">
        <w:rPr>
          <w:rFonts w:ascii="Times New Roman" w:hAnsi="Times New Roman" w:cs="Times New Roman"/>
          <w:sz w:val="24"/>
          <w:szCs w:val="24"/>
        </w:rPr>
        <w:t xml:space="preserve"> in vivo</w:t>
      </w:r>
      <w:r w:rsidR="006206E3" w:rsidRPr="00657B86">
        <w:rPr>
          <w:rFonts w:ascii="Times New Roman" w:hAnsi="Times New Roman" w:cs="Times New Roman"/>
          <w:sz w:val="24"/>
          <w:szCs w:val="24"/>
        </w:rPr>
        <w:t xml:space="preserve"> </w:t>
      </w:r>
      <w:r w:rsidR="00790718" w:rsidRPr="00657B86">
        <w:rPr>
          <w:rFonts w:ascii="Times New Roman" w:hAnsi="Times New Roman" w:cs="Times New Roman"/>
          <w:sz w:val="24"/>
          <w:szCs w:val="24"/>
        </w:rPr>
        <w:t xml:space="preserve">per artery group </w:t>
      </w:r>
      <w:r w:rsidR="006206E3" w:rsidRPr="00657B86">
        <w:rPr>
          <w:rFonts w:ascii="Times New Roman" w:hAnsi="Times New Roman" w:cs="Times New Roman"/>
          <w:sz w:val="24"/>
          <w:szCs w:val="24"/>
        </w:rPr>
        <w:t xml:space="preserve">(Table </w:t>
      </w:r>
      <w:r w:rsidR="00657B86" w:rsidRPr="00657B86">
        <w:rPr>
          <w:rFonts w:ascii="Times New Roman" w:hAnsi="Times New Roman" w:cs="Times New Roman"/>
          <w:sz w:val="24"/>
          <w:szCs w:val="24"/>
        </w:rPr>
        <w:t>35</w:t>
      </w:r>
      <w:r w:rsidR="006206E3" w:rsidRPr="00657B86">
        <w:rPr>
          <w:rFonts w:ascii="Times New Roman" w:hAnsi="Times New Roman" w:cs="Times New Roman"/>
          <w:sz w:val="24"/>
          <w:szCs w:val="24"/>
        </w:rPr>
        <w:t>)</w:t>
      </w:r>
      <w:r w:rsidR="00C17825" w:rsidRPr="00657B86">
        <w:rPr>
          <w:rFonts w:ascii="Times New Roman" w:hAnsi="Times New Roman" w:cs="Times New Roman"/>
          <w:sz w:val="24"/>
          <w:szCs w:val="24"/>
        </w:rPr>
        <w:t>.</w:t>
      </w:r>
      <w:r w:rsidRPr="00657B86">
        <w:rPr>
          <w:rFonts w:ascii="Times New Roman" w:hAnsi="Times New Roman" w:cs="Times New Roman"/>
          <w:sz w:val="24"/>
          <w:szCs w:val="24"/>
        </w:rPr>
        <w:t xml:space="preserve"> </w:t>
      </w:r>
    </w:p>
    <w:p w14:paraId="3F9D9BCD" w14:textId="77777777" w:rsidR="00557BA6" w:rsidRDefault="00E41D4B" w:rsidP="00BC7A77">
      <w:pPr>
        <w:spacing w:line="360" w:lineRule="auto"/>
        <w:rPr>
          <w:rFonts w:ascii="Times New Roman" w:hAnsi="Times New Roman" w:cs="Times New Roman"/>
          <w:sz w:val="24"/>
          <w:szCs w:val="24"/>
        </w:rPr>
      </w:pPr>
      <w:r>
        <w:rPr>
          <w:rFonts w:ascii="Times New Roman" w:hAnsi="Times New Roman" w:cs="Times New Roman"/>
          <w:sz w:val="24"/>
          <w:szCs w:val="24"/>
        </w:rPr>
        <w:t xml:space="preserve">Guide to wire measurements in this research had </w:t>
      </w:r>
      <w:r w:rsidR="003C536F">
        <w:rPr>
          <w:rFonts w:ascii="Times New Roman" w:hAnsi="Times New Roman" w:cs="Times New Roman"/>
          <w:sz w:val="24"/>
          <w:szCs w:val="24"/>
        </w:rPr>
        <w:t>inaccuracy</w:t>
      </w:r>
      <w:r w:rsidR="00B409FE">
        <w:rPr>
          <w:rFonts w:ascii="Times New Roman" w:hAnsi="Times New Roman" w:cs="Times New Roman"/>
          <w:sz w:val="24"/>
          <w:szCs w:val="24"/>
        </w:rPr>
        <w:t>.</w:t>
      </w:r>
      <w:r w:rsidR="00BB15DF">
        <w:rPr>
          <w:rFonts w:ascii="Times New Roman" w:hAnsi="Times New Roman" w:cs="Times New Roman"/>
          <w:sz w:val="24"/>
          <w:szCs w:val="24"/>
        </w:rPr>
        <w:t xml:space="preserve"> </w:t>
      </w:r>
      <w:r w:rsidR="00B409FE">
        <w:rPr>
          <w:rFonts w:ascii="Times New Roman" w:hAnsi="Times New Roman" w:cs="Times New Roman"/>
          <w:sz w:val="24"/>
          <w:szCs w:val="24"/>
        </w:rPr>
        <w:t>A</w:t>
      </w:r>
      <w:r w:rsidR="00BB15DF">
        <w:rPr>
          <w:rFonts w:ascii="Times New Roman" w:hAnsi="Times New Roman" w:cs="Times New Roman"/>
          <w:sz w:val="24"/>
          <w:szCs w:val="24"/>
        </w:rPr>
        <w:t xml:space="preserve"> single LAO measurement, taken when prone, was multiplied by two to give</w:t>
      </w:r>
      <w:r w:rsidR="00043DD5">
        <w:rPr>
          <w:rFonts w:ascii="Times New Roman" w:hAnsi="Times New Roman" w:cs="Times New Roman"/>
          <w:sz w:val="24"/>
          <w:szCs w:val="24"/>
        </w:rPr>
        <w:t xml:space="preserve"> an estimated additive hydrostatic effect from the supine component</w:t>
      </w:r>
      <w:r w:rsidR="00BB15DF">
        <w:rPr>
          <w:rFonts w:ascii="Times New Roman" w:hAnsi="Times New Roman" w:cs="Times New Roman"/>
          <w:sz w:val="24"/>
          <w:szCs w:val="24"/>
        </w:rPr>
        <w:t xml:space="preserve">. </w:t>
      </w:r>
      <w:r>
        <w:rPr>
          <w:rFonts w:ascii="Times New Roman" w:hAnsi="Times New Roman" w:cs="Times New Roman"/>
          <w:sz w:val="24"/>
          <w:szCs w:val="24"/>
        </w:rPr>
        <w:t>In retrospect, a</w:t>
      </w:r>
      <w:r w:rsidR="00BB15DF">
        <w:rPr>
          <w:rFonts w:ascii="Times New Roman" w:hAnsi="Times New Roman" w:cs="Times New Roman"/>
          <w:sz w:val="24"/>
          <w:szCs w:val="24"/>
        </w:rPr>
        <w:t xml:space="preserve"> more accurate method would have been an additional LAO measurement when supine, </w:t>
      </w:r>
      <w:r w:rsidR="00043DD5">
        <w:rPr>
          <w:rFonts w:ascii="Times New Roman" w:hAnsi="Times New Roman" w:cs="Times New Roman"/>
          <w:sz w:val="24"/>
          <w:szCs w:val="24"/>
        </w:rPr>
        <w:t>in addition</w:t>
      </w:r>
      <w:r w:rsidR="002F2871">
        <w:rPr>
          <w:rFonts w:ascii="Times New Roman" w:hAnsi="Times New Roman" w:cs="Times New Roman"/>
          <w:sz w:val="24"/>
          <w:szCs w:val="24"/>
        </w:rPr>
        <w:t xml:space="preserve"> to the prone measurement QCA also has inherent error in measurement </w:t>
      </w:r>
      <w:r w:rsidR="00106A32">
        <w:rPr>
          <w:rFonts w:ascii="Times New Roman" w:hAnsi="Times New Roman" w:cs="Times New Roman"/>
          <w:sz w:val="24"/>
          <w:szCs w:val="24"/>
        </w:rPr>
        <w:fldChar w:fldCharType="begin"/>
      </w:r>
      <w:r w:rsidR="002F2871">
        <w:rPr>
          <w:rFonts w:ascii="Times New Roman" w:hAnsi="Times New Roman" w:cs="Times New Roman"/>
          <w:sz w:val="24"/>
          <w:szCs w:val="24"/>
        </w:rPr>
        <w:instrText xml:space="preserve"> ADDIN ZOTERO_ITEM CSL_CITATION {"citationID":"dMKMAmZq","properties":{"formattedCitation":"(Wunderlich et al., 1998)","plainCitation":"(Wunderlich et al., 1998)","noteIndex":0},"citationItems":[{"id":702,"uris":["http://zotero.org/users/local/k67tNDdX/items/5MFSE6FN"],"uri":["http://zotero.org/users/local/k67tNDdX/items/5MFSE6FN"],"itemData":{"id":702,"type":"article-journal","abstract":"Background: The calculation of absolute artery dimensions in quantitative coronary angiography is usually carried out by catheter calibration. It is based on the proportional comparison of the dimension of the imaged artery segment to the dimension of the imaged angiographic catheter of known size. This calibration method presumes an identical radiographic magnification between angiographic catheter and artery segment of interest. However, due to the different intrathoracic location of both objects the radiographic magnification or calibration factor is often not identical for a given angiographic projection. The aim of this study was to quantify the magnification error (out-of-plane magnification error) for the major coronary artery segments imaged in frequently used angiographic projections. Methods The intrathoracic spatial location of 468 coronary segments (RCA 196, LAD 156, LCX 116) and their respective coronary catheters were established with biplane angiography and known imaging geometry data. The error in the radiographic magnification or calibration factor was then calculated for all 936 monoplane projections using the spatial coordinates and imaging geometry data. Results The mean magnitude of magnification error was 4% within all 936 measurements. The magnitude and direction of error varied with the lesion localization and the angiographic projection angle (range −12.6% to +10.6%). The error characteristics could be described with six typical error groups by stratifying the data according to the three main coronaries and two angiographic planes. In 24% of measurements, the magnification error exceeded the 5.2% error limit acceptable for reference vessel sizing. Measurements of left coronary arteries were mainly affected by it. Conclusion: The magnification error contributes to the calibration error in measuring arterial dimensions by quantitative angiography. This error may affect the reliability of clinical studies and the proper sizing of interventional devices. These findings could be used to improve current error correction algorithms in order to reduce the effect of the magnification error in measuring arterial dimensions.","container-title":"The International Journal of Cardiac Imaging","DOI":"10.1023/A:1006067117225","ISSN":"0167-9899, 1573-0743","issue":"4","journalAbbreviation":"Int J Cardiovasc Imaging","language":"en","page":"217-227","source":"link.springer.com","title":"The impact of vessel and catheter position on the measurement accuracy in catheter-based quantitative coronary angiography","volume":"14","author":[{"family":"Wunderlich","given":"Werner"},{"family":"Roehrig","given":"Beate"},{"family":"Fischer","given":"Frank"},{"family":"Arntz","given":"Hans-Richard"},{"family":"Agrawal","given":"Rahul"},{"family":"Morguet","given":"Andreas"},{"family":"Schultheiss","given":"Heinz-Peter"},{"family":"Horstkotte","given":"Dieter"}],"issued":{"date-parts":[["1998",8,1]]}}}],"schema":"https://github.com/citation-style-language/schema/raw/master/csl-citation.json"} </w:instrText>
      </w:r>
      <w:r w:rsidR="00106A32">
        <w:rPr>
          <w:rFonts w:ascii="Times New Roman" w:hAnsi="Times New Roman" w:cs="Times New Roman"/>
          <w:sz w:val="24"/>
          <w:szCs w:val="24"/>
        </w:rPr>
        <w:fldChar w:fldCharType="separate"/>
      </w:r>
      <w:r w:rsidR="002F2871" w:rsidRPr="002F2871">
        <w:rPr>
          <w:rFonts w:ascii="Times New Roman" w:hAnsi="Times New Roman" w:cs="Times New Roman"/>
          <w:sz w:val="24"/>
        </w:rPr>
        <w:t>(Wunderlich et al., 1998)</w:t>
      </w:r>
      <w:r w:rsidR="00106A32">
        <w:rPr>
          <w:rFonts w:ascii="Times New Roman" w:hAnsi="Times New Roman" w:cs="Times New Roman"/>
          <w:sz w:val="24"/>
          <w:szCs w:val="24"/>
        </w:rPr>
        <w:fldChar w:fldCharType="end"/>
      </w:r>
      <w:r w:rsidR="002F2871">
        <w:rPr>
          <w:rFonts w:ascii="Times New Roman" w:hAnsi="Times New Roman" w:cs="Times New Roman"/>
          <w:sz w:val="24"/>
          <w:szCs w:val="24"/>
        </w:rPr>
        <w:t xml:space="preserve"> which may have impacted subsequent correlation analysis. The fluoroscopic angle </w:t>
      </w:r>
      <w:r w:rsidR="00B95A58">
        <w:rPr>
          <w:rFonts w:ascii="Times New Roman" w:hAnsi="Times New Roman" w:cs="Times New Roman"/>
          <w:sz w:val="24"/>
          <w:szCs w:val="24"/>
        </w:rPr>
        <w:t>also varied and may not have been exactly 90 degrees LAO in each case. Lastly, purely based on patient position, the LAO 90 may not have captured a purely perpendicular view of the coronary tree.</w:t>
      </w:r>
    </w:p>
    <w:p w14:paraId="1C6EF0E6" w14:textId="77777777" w:rsidR="00CD2F90" w:rsidRPr="00EC6C19" w:rsidRDefault="009531B7" w:rsidP="00CD2F90">
      <w:pPr>
        <w:spacing w:line="360" w:lineRule="auto"/>
        <w:rPr>
          <w:rFonts w:ascii="Times New Roman" w:hAnsi="Times New Roman" w:cs="Times New Roman"/>
          <w:sz w:val="24"/>
          <w:szCs w:val="24"/>
        </w:rPr>
      </w:pPr>
      <w:r>
        <w:rPr>
          <w:rFonts w:ascii="Times New Roman" w:hAnsi="Times New Roman" w:cs="Times New Roman"/>
          <w:sz w:val="24"/>
          <w:szCs w:val="24"/>
        </w:rPr>
        <w:t>After study recruitment and during data analysis</w:t>
      </w:r>
      <w:r w:rsidR="00CD2F90" w:rsidRPr="00EC6C19">
        <w:rPr>
          <w:rFonts w:ascii="Times New Roman" w:hAnsi="Times New Roman" w:cs="Times New Roman"/>
          <w:sz w:val="24"/>
          <w:szCs w:val="24"/>
        </w:rPr>
        <w:t>, a study by Härle et al investigated the effect of hydrostatic pressure in vivo</w:t>
      </w:r>
      <w:r w:rsidR="00CD2F90">
        <w:rPr>
          <w:rFonts w:ascii="Times New Roman" w:hAnsi="Times New Roman" w:cs="Times New Roman"/>
          <w:sz w:val="24"/>
          <w:szCs w:val="24"/>
        </w:rPr>
        <w:t xml:space="preserve"> </w:t>
      </w:r>
      <w:r w:rsidR="00106A32">
        <w:rPr>
          <w:rFonts w:ascii="Times New Roman" w:hAnsi="Times New Roman" w:cs="Times New Roman"/>
          <w:sz w:val="24"/>
          <w:szCs w:val="24"/>
        </w:rPr>
        <w:fldChar w:fldCharType="begin"/>
      </w:r>
      <w:r w:rsidR="007502D4">
        <w:rPr>
          <w:rFonts w:ascii="Times New Roman" w:hAnsi="Times New Roman" w:cs="Times New Roman"/>
          <w:sz w:val="24"/>
          <w:szCs w:val="24"/>
        </w:rPr>
        <w:instrText xml:space="preserve"> ADDIN ZOTERO_ITEM CSL_CITATION {"citationID":"5B8gTdFc","properties":{"formattedCitation":"(H\\uc0\\u228{}rle et al., 2018)","plainCitation":"(Härle et al., 2018)","noteIndex":0},"citationItems":[{"id":622,"uris":["http://zotero.org/users/local/k67tNDdX/items/DLBTYZC8"],"uri":["http://zotero.org/users/local/k67tNDdX/items/DLBTYZC8"],"itemData":{"id":622,"type":"article-journal","abstract":"BACKGROUND: An influence of hydrostatic pressure on intracoronary indices of stenosis severity in vitro was recently reported. We sought to analyze the influence of hydrostatic pressure, caused by the height difference between the distal and proximal pressure sensor after guidewire positioning in the interrogated vessel, on intracoronary pressure measurements in vivo.\nMETHODS AND RESULTS: In 30 coronary stenoses, intracoronary pressure measurements were performed in supine, left, and right lateral patient position. Height differences between the distal and proximal pressure sensor were measured by blinded observers. Measurement results of the position with the highest (\"high\") and lowest height difference (\"low\") were compared. In group \"high\", all measured indices were higher: mean difference of fractional flow reserve (FFR) 0.045 (SD 0.033, 95% CI 0.033-0.057, p &lt; 0.0001), of instantaneous wave-free ratio (iFR) 0.043 (SD 0.04, 95% CI 0.029-0.057, p &lt; 0.0001), and of resting Pd/Pa 0.037 (SD 0.034, 95% CI 0.025-0.049, p &lt; 0.0001). Addition of the physically expectable hydrostatic pressure to the distal coronary pressures of the control group abolished the differences: corrected ∆FFR - 0.006 (SD 0.027, 95% CI - 0.015 to 0.004, p = 0.26), corrected ∆Pd/Pa - 0.008 (SD 0.03, 95% CI - 0.019 to 0.003, p = 0.18). Adjustment for hydrostatic pressure of FFR values in a standard supine position increased all values in anterior vessels and decreased all values in posterior vessels. The mean changes of FFR due to adjustment were: LAD - 0.048 (SD 0.016), CX 0.02 (SD 0.009), RCA 0.02 (SD 0.021). Dichotomous severity classification changed in 12.9% of stenoses.\nCONCLUSIONS: The study demonstrates a relevant influence of hydrostatic pressure on intracoronary indices of stenosis severity in vivo, caused by the height differences between distal and proximal pressure sensor.","container-title":"Clinical Research in Cardiology: Official Journal of the German Cardiac Society","DOI":"10.1007/s00392-017-1174-2","ISSN":"1861-0692","issue":"3","journalAbbreviation":"Clin Res Cardiol","language":"eng","note":"PMID: 29098379","page":"222-232","source":"PubMed","title":"Influence of hydrostatic pressure on intracoronary indices of stenosis severity in vivo","volume":"107","author":[{"family":"Härle","given":"Tobias"},{"family":"Luz","given":"Mareike"},{"family":"Meyer","given":"Sven"},{"family":"Vahldiek","given":"Felix"},{"family":"Harst","given":"Pim","non-dropping-particle":"van der"},{"family":"Dijk","given":"Randy","non-dropping-particle":"van"},{"family":"Ties","given":"Daan"},{"family":"Escaned","given":"Javier"},{"family":"Davies","given":"Justin"},{"family":"Elsässer","given":"Albrecht"}],"issued":{"date-parts":[["2018",3]]}}}],"schema":"https://github.com/citation-style-language/schema/raw/master/csl-citation.json"} </w:instrText>
      </w:r>
      <w:r w:rsidR="00106A32">
        <w:rPr>
          <w:rFonts w:ascii="Times New Roman" w:hAnsi="Times New Roman" w:cs="Times New Roman"/>
          <w:sz w:val="24"/>
          <w:szCs w:val="24"/>
        </w:rPr>
        <w:fldChar w:fldCharType="separate"/>
      </w:r>
      <w:r w:rsidR="007502D4" w:rsidRPr="007502D4">
        <w:rPr>
          <w:rFonts w:ascii="Times New Roman" w:hAnsi="Times New Roman" w:cs="Times New Roman"/>
          <w:sz w:val="24"/>
          <w:szCs w:val="24"/>
        </w:rPr>
        <w:t>(Härle et al., 2018)</w:t>
      </w:r>
      <w:r w:rsidR="00106A32">
        <w:rPr>
          <w:rFonts w:ascii="Times New Roman" w:hAnsi="Times New Roman" w:cs="Times New Roman"/>
          <w:sz w:val="24"/>
          <w:szCs w:val="24"/>
        </w:rPr>
        <w:fldChar w:fldCharType="end"/>
      </w:r>
      <w:r w:rsidR="00CD2F90" w:rsidRPr="00EC6C19">
        <w:rPr>
          <w:rFonts w:ascii="Times New Roman" w:hAnsi="Times New Roman" w:cs="Times New Roman"/>
          <w:sz w:val="24"/>
          <w:szCs w:val="24"/>
        </w:rPr>
        <w:t xml:space="preserve">, following on from the previous work on hydrostatic pressure models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{"citationID":"lA9pmFS7","properties":{"formattedCitation":"(H\\uc0\\u228{}rle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00CD2F90" w:rsidRPr="00EC6C19">
        <w:rPr>
          <w:rFonts w:ascii="Times New Roman" w:hAnsi="Times New Roman" w:cs="Times New Roman"/>
          <w:sz w:val="24"/>
          <w:szCs w:val="24"/>
        </w:rPr>
        <w:t>(Härle et al., 2017a)</w:t>
      </w:r>
      <w:r w:rsidR="00106A32" w:rsidRPr="00EC6C19">
        <w:rPr>
          <w:rFonts w:ascii="Times New Roman" w:hAnsi="Times New Roman" w:cs="Times New Roman"/>
          <w:sz w:val="24"/>
          <w:szCs w:val="24"/>
        </w:rPr>
        <w:fldChar w:fldCharType="end"/>
      </w:r>
      <w:r w:rsidR="00CD2F90" w:rsidRPr="00EC6C19">
        <w:rPr>
          <w:rFonts w:ascii="Times New Roman" w:hAnsi="Times New Roman" w:cs="Times New Roman"/>
          <w:sz w:val="24"/>
          <w:szCs w:val="24"/>
        </w:rPr>
        <w:t>.</w:t>
      </w:r>
      <w:r w:rsidR="00E41D4B">
        <w:rPr>
          <w:rFonts w:ascii="Times New Roman" w:hAnsi="Times New Roman" w:cs="Times New Roman"/>
          <w:sz w:val="24"/>
          <w:szCs w:val="24"/>
        </w:rPr>
        <w:t xml:space="preserve"> This was the first published study in vivo to focus on hydrostatic effect.</w:t>
      </w:r>
      <w:r w:rsidR="00CD2F90" w:rsidRPr="00EC6C19">
        <w:rPr>
          <w:rFonts w:ascii="Times New Roman" w:hAnsi="Times New Roman" w:cs="Times New Roman"/>
          <w:sz w:val="24"/>
          <w:szCs w:val="24"/>
        </w:rPr>
        <w:t xml:space="preserve"> </w:t>
      </w:r>
      <w:r w:rsidR="00E41D4B">
        <w:rPr>
          <w:rFonts w:ascii="Times New Roman" w:hAnsi="Times New Roman" w:cs="Times New Roman"/>
          <w:sz w:val="24"/>
          <w:szCs w:val="24"/>
        </w:rPr>
        <w:t xml:space="preserve">His group </w:t>
      </w:r>
      <w:r w:rsidR="00CD2F90" w:rsidRPr="00EC6C19">
        <w:rPr>
          <w:rFonts w:ascii="Times New Roman" w:hAnsi="Times New Roman" w:cs="Times New Roman"/>
          <w:sz w:val="24"/>
          <w:szCs w:val="24"/>
        </w:rPr>
        <w:t xml:space="preserve">measured FFR in the standard supine position, and compared FFR measurements with the patient positioned on the right and then left </w:t>
      </w:r>
      <w:r w:rsidR="00E41D4B">
        <w:rPr>
          <w:rFonts w:ascii="Times New Roman" w:hAnsi="Times New Roman" w:cs="Times New Roman"/>
          <w:sz w:val="24"/>
          <w:szCs w:val="24"/>
        </w:rPr>
        <w:t>lateral position</w:t>
      </w:r>
      <w:r w:rsidR="00CD2F90" w:rsidRPr="00EC6C19">
        <w:rPr>
          <w:rFonts w:ascii="Times New Roman" w:hAnsi="Times New Roman" w:cs="Times New Roman"/>
          <w:sz w:val="24"/>
          <w:szCs w:val="24"/>
        </w:rPr>
        <w:t xml:space="preserve">. This work was published </w:t>
      </w:r>
      <w:r w:rsidR="00E41D4B">
        <w:rPr>
          <w:rFonts w:ascii="Times New Roman" w:hAnsi="Times New Roman" w:cs="Times New Roman"/>
          <w:sz w:val="24"/>
          <w:szCs w:val="24"/>
        </w:rPr>
        <w:t>after</w:t>
      </w:r>
      <w:r w:rsidR="00CD2F90" w:rsidRPr="00EC6C19">
        <w:rPr>
          <w:rFonts w:ascii="Times New Roman" w:hAnsi="Times New Roman" w:cs="Times New Roman"/>
          <w:sz w:val="24"/>
          <w:szCs w:val="24"/>
        </w:rPr>
        <w:t xml:space="preserve"> this study's data collection period.</w:t>
      </w:r>
    </w:p>
    <w:p w14:paraId="671C70D5" w14:textId="479B7545" w:rsidR="00CD2F90" w:rsidRDefault="00CD2F90"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This is a similar clinical study </w:t>
      </w:r>
      <w:r w:rsidR="00E41D4B">
        <w:rPr>
          <w:rFonts w:ascii="Times New Roman" w:hAnsi="Times New Roman" w:cs="Times New Roman"/>
          <w:sz w:val="24"/>
          <w:szCs w:val="24"/>
        </w:rPr>
        <w:t xml:space="preserve">to the current research, despite </w:t>
      </w:r>
      <w:r w:rsidRPr="00EC6C19">
        <w:rPr>
          <w:rFonts w:ascii="Times New Roman" w:hAnsi="Times New Roman" w:cs="Times New Roman"/>
          <w:sz w:val="24"/>
          <w:szCs w:val="24"/>
        </w:rPr>
        <w:t xml:space="preserve">different patient positions, and </w:t>
      </w:r>
      <w:r w:rsidR="00D164ED" w:rsidRPr="00EC6C19">
        <w:rPr>
          <w:rFonts w:ascii="Times New Roman" w:hAnsi="Times New Roman" w:cs="Times New Roman"/>
          <w:sz w:val="24"/>
          <w:szCs w:val="24"/>
        </w:rPr>
        <w:t>pressure</w:t>
      </w:r>
      <w:r w:rsidR="00D164ED">
        <w:rPr>
          <w:rFonts w:ascii="Times New Roman" w:hAnsi="Times New Roman" w:cs="Times New Roman"/>
          <w:sz w:val="24"/>
          <w:szCs w:val="24"/>
        </w:rPr>
        <w:t>-</w:t>
      </w:r>
      <w:r w:rsidRPr="00EC6C19">
        <w:rPr>
          <w:rFonts w:ascii="Times New Roman" w:hAnsi="Times New Roman" w:cs="Times New Roman"/>
          <w:sz w:val="24"/>
          <w:szCs w:val="24"/>
        </w:rPr>
        <w:t xml:space="preserve">based measurements only (no doppler flow). </w:t>
      </w:r>
      <w:r>
        <w:rPr>
          <w:rFonts w:ascii="Times New Roman" w:hAnsi="Times New Roman" w:cs="Times New Roman"/>
          <w:sz w:val="24"/>
          <w:szCs w:val="24"/>
        </w:rPr>
        <w:t xml:space="preserve"> </w:t>
      </w:r>
      <w:r w:rsidRPr="00EC6C19">
        <w:rPr>
          <w:rFonts w:ascii="Times New Roman" w:hAnsi="Times New Roman" w:cs="Times New Roman"/>
          <w:sz w:val="24"/>
          <w:szCs w:val="24"/>
        </w:rPr>
        <w:t>Härle's study showed a significant correlation between height and FFR change in positions (with a Spearman's correlation value of 0.694 versus our value of 0.528). With regards to Pd/Pa, Härle's data also showed a significant correlation with height (0.604 versus our data of 0.493.</w:t>
      </w:r>
      <w:r w:rsidR="009531B7">
        <w:rPr>
          <w:rFonts w:ascii="Times New Roman" w:hAnsi="Times New Roman" w:cs="Times New Roman"/>
          <w:sz w:val="24"/>
          <w:szCs w:val="24"/>
        </w:rPr>
        <w:t xml:space="preserve"> QCA was used to measure height between the guide catheter and the wire in each position, giving a more accurate correlation than the current study.</w:t>
      </w:r>
    </w:p>
    <w:p w14:paraId="49218DF2" w14:textId="77777777" w:rsidR="00F80B24" w:rsidRDefault="009531B7"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Härle</w:t>
      </w:r>
      <w:r w:rsidR="00043DD5">
        <w:rPr>
          <w:rFonts w:ascii="Times New Roman" w:hAnsi="Times New Roman" w:cs="Times New Roman"/>
          <w:sz w:val="24"/>
          <w:szCs w:val="24"/>
        </w:rPr>
        <w:t xml:space="preserve"> also</w:t>
      </w:r>
      <w:r w:rsidR="00557BA6">
        <w:rPr>
          <w:rFonts w:ascii="Times New Roman" w:hAnsi="Times New Roman" w:cs="Times New Roman"/>
          <w:sz w:val="24"/>
          <w:szCs w:val="24"/>
        </w:rPr>
        <w:t xml:space="preserve"> demonstrated</w:t>
      </w:r>
      <w:r w:rsidR="001074FB">
        <w:rPr>
          <w:rFonts w:ascii="Times New Roman" w:hAnsi="Times New Roman" w:cs="Times New Roman"/>
          <w:sz w:val="24"/>
          <w:szCs w:val="24"/>
        </w:rPr>
        <w:t xml:space="preserve">, in a similar way to </w:t>
      </w:r>
      <w:r>
        <w:rPr>
          <w:rFonts w:ascii="Times New Roman" w:hAnsi="Times New Roman" w:cs="Times New Roman"/>
          <w:sz w:val="24"/>
          <w:szCs w:val="24"/>
        </w:rPr>
        <w:t>the current research</w:t>
      </w:r>
      <w:r w:rsidR="001074FB">
        <w:rPr>
          <w:rFonts w:ascii="Times New Roman" w:hAnsi="Times New Roman" w:cs="Times New Roman"/>
          <w:sz w:val="24"/>
          <w:szCs w:val="24"/>
        </w:rPr>
        <w:t>,</w:t>
      </w:r>
      <w:r w:rsidR="00557BA6">
        <w:rPr>
          <w:rFonts w:ascii="Times New Roman" w:hAnsi="Times New Roman" w:cs="Times New Roman"/>
          <w:sz w:val="24"/>
          <w:szCs w:val="24"/>
        </w:rPr>
        <w:t xml:space="preserve"> that the differences seen in Pd/Pa, iFR and FFR between supine, left and right sided patient positions, could be abolished by adjusting for hydrostatic pressure via</w:t>
      </w:r>
      <w:r w:rsidR="00043DD5">
        <w:rPr>
          <w:rFonts w:ascii="Times New Roman" w:hAnsi="Times New Roman" w:cs="Times New Roman"/>
          <w:sz w:val="24"/>
          <w:szCs w:val="24"/>
        </w:rPr>
        <w:t xml:space="preserve"> mean</w:t>
      </w:r>
      <w:r w:rsidR="00557BA6">
        <w:rPr>
          <w:rFonts w:ascii="Times New Roman" w:hAnsi="Times New Roman" w:cs="Times New Roman"/>
          <w:sz w:val="24"/>
          <w:szCs w:val="24"/>
        </w:rPr>
        <w:t xml:space="preserve"> height measurements</w:t>
      </w:r>
      <w:r w:rsidR="00043DD5">
        <w:rPr>
          <w:rFonts w:ascii="Times New Roman" w:hAnsi="Times New Roman" w:cs="Times New Roman"/>
          <w:sz w:val="24"/>
          <w:szCs w:val="24"/>
        </w:rPr>
        <w:t xml:space="preserve"> on angiography</w:t>
      </w:r>
      <w:r w:rsidR="002E2400">
        <w:rPr>
          <w:rFonts w:ascii="Times New Roman" w:hAnsi="Times New Roman" w:cs="Times New Roman"/>
          <w:sz w:val="24"/>
          <w:szCs w:val="24"/>
        </w:rPr>
        <w:t xml:space="preserve"> </w:t>
      </w:r>
      <w:r w:rsidR="00106A32">
        <w:rPr>
          <w:rFonts w:ascii="Times New Roman" w:hAnsi="Times New Roman" w:cs="Times New Roman"/>
          <w:sz w:val="24"/>
          <w:szCs w:val="24"/>
        </w:rPr>
        <w:fldChar w:fldCharType="begin"/>
      </w:r>
      <w:r w:rsidR="007502D4">
        <w:rPr>
          <w:rFonts w:ascii="Times New Roman" w:hAnsi="Times New Roman" w:cs="Times New Roman"/>
          <w:sz w:val="24"/>
          <w:szCs w:val="24"/>
        </w:rPr>
        <w:instrText xml:space="preserve"> ADDIN ZOTERO_ITEM CSL_CITATION {"citationID":"bYV9KvRM","properties":{"formattedCitation":"(H\\uc0\\u228{}rle et al., 2018)","plainCitation":"(Härle et al., 2018)","noteIndex":0},"citationItems":[{"id":622,"uris":["http://zotero.org/users/local/k67tNDdX/items/DLBTYZC8"],"uri":["http://zotero.org/users/local/k67tNDdX/items/DLBTYZC8"],"itemData":{"id":622,"type":"article-journal","abstract":"BACKGROUND: An influence of hydrostatic pressure on intracoronary indices of stenosis severity in vitro was recently reported. We sought to analyze the influence of hydrostatic pressure, caused by the height difference between the distal and proximal pressure sensor after guidewire positioning in the interrogated vessel, on intracoronary pressure measurements in vivo.\nMETHODS AND RESULTS: In 30 coronary stenoses, intracoronary pressure measurements were performed in supine, left, and right lateral patient position. Height differences between the distal and proximal pressure sensor were measured by blinded observers. Measurement results of the position with the highest (\"high\") and lowest height difference (\"low\") were compared. In group \"high\", all measured indices were higher: mean difference of fractional flow reserve (FFR) 0.045 (SD 0.033, 95% CI 0.033-0.057, p &lt; 0.0001), of instantaneous wave-free ratio (iFR) 0.043 (SD 0.04, 95% CI 0.029-0.057, p &lt; 0.0001), and of resting Pd/Pa 0.037 (SD 0.034, 95% CI 0.025-0.049, p &lt; 0.0001). Addition of the physically expectable hydrostatic pressure to the distal coronary pressures of the control group abolished the differences: corrected ∆FFR - 0.006 (SD 0.027, 95% CI - 0.015 to 0.004, p = 0.26), corrected ∆Pd/Pa - 0.008 (SD 0.03, 95% CI - 0.019 to 0.003, p = 0.18). Adjustment for hydrostatic pressure of FFR values in a standard supine position increased all values in anterior vessels and decreased all values in posterior vessels. The mean changes of FFR due to adjustment were: LAD - 0.048 (SD 0.016), CX 0.02 (SD 0.009), RCA 0.02 (SD 0.021). Dichotomous severity classification changed in 12.9% of stenoses.\nCONCLUSIONS: The study demonstrates a relevant influence of hydrostatic pressure on intracoronary indices of stenosis severity in vivo, caused by the height differences between distal and proximal pressure sensor.","container-title":"Clinical Research in Cardiology: Official Journal of the German Cardiac Society","DOI":"10.1007/s00392-017-1174-2","ISSN":"1861-0692","issue":"3","journalAbbreviation":"Clin Res Cardiol","language":"eng","note":"PMID: 29098379","page":"222-232","source":"PubMed","title":"Influence of hydrostatic pressure on intracoronary indices of stenosis severity in vivo","volume":"107","author":[{"family":"Härle","given":"Tobias"},{"family":"Luz","given":"Mareike"},{"family":"Meyer","given":"Sven"},{"family":"Vahldiek","given":"Felix"},{"family":"Harst","given":"Pim","non-dropping-particle":"van der"},{"family":"Dijk","given":"Randy","non-dropping-particle":"van"},{"family":"Ties","given":"Daan"},{"family":"Escaned","given":"Javier"},{"family":"Davies","given":"Justin"},{"family":"Elsässer","given":"Albrecht"}],"issued":{"date-parts":[["2018",3]]}}}],"schema":"https://github.com/citation-style-language/schema/raw/master/csl-citation.json"} </w:instrText>
      </w:r>
      <w:r w:rsidR="00106A32">
        <w:rPr>
          <w:rFonts w:ascii="Times New Roman" w:hAnsi="Times New Roman" w:cs="Times New Roman"/>
          <w:sz w:val="24"/>
          <w:szCs w:val="24"/>
        </w:rPr>
        <w:fldChar w:fldCharType="separate"/>
      </w:r>
      <w:r w:rsidR="007502D4" w:rsidRPr="007502D4">
        <w:rPr>
          <w:rFonts w:ascii="Times New Roman" w:hAnsi="Times New Roman" w:cs="Times New Roman"/>
          <w:sz w:val="24"/>
          <w:szCs w:val="24"/>
        </w:rPr>
        <w:t>(Härle et al., 2018)</w:t>
      </w:r>
      <w:r w:rsidR="00106A32">
        <w:rPr>
          <w:rFonts w:ascii="Times New Roman" w:hAnsi="Times New Roman" w:cs="Times New Roman"/>
          <w:sz w:val="24"/>
          <w:szCs w:val="24"/>
        </w:rPr>
        <w:fldChar w:fldCharType="end"/>
      </w:r>
      <w:r w:rsidR="00043DD5">
        <w:rPr>
          <w:rFonts w:ascii="Times New Roman" w:hAnsi="Times New Roman" w:cs="Times New Roman"/>
          <w:sz w:val="24"/>
          <w:szCs w:val="24"/>
        </w:rPr>
        <w:t>.</w:t>
      </w:r>
    </w:p>
    <w:p w14:paraId="274F4C57" w14:textId="31EEBB93" w:rsidR="00557BA6" w:rsidRDefault="00F80B24" w:rsidP="00BC7A77">
      <w:pPr>
        <w:spacing w:line="360" w:lineRule="auto"/>
        <w:rPr>
          <w:rFonts w:ascii="Times New Roman" w:hAnsi="Times New Roman" w:cs="Times New Roman"/>
          <w:sz w:val="24"/>
          <w:szCs w:val="24"/>
        </w:rPr>
      </w:pPr>
      <w:r>
        <w:rPr>
          <w:rFonts w:ascii="Times New Roman" w:hAnsi="Times New Roman" w:cs="Times New Roman"/>
          <w:sz w:val="24"/>
          <w:szCs w:val="24"/>
        </w:rPr>
        <w:t>An interesting point is the moderate to goo</w:t>
      </w:r>
      <w:r w:rsidR="009531B7">
        <w:rPr>
          <w:rFonts w:ascii="Times New Roman" w:hAnsi="Times New Roman" w:cs="Times New Roman"/>
          <w:sz w:val="24"/>
          <w:szCs w:val="24"/>
        </w:rPr>
        <w:t>d correlation per lesion, but an almost</w:t>
      </w:r>
      <w:r>
        <w:rPr>
          <w:rFonts w:ascii="Times New Roman" w:hAnsi="Times New Roman" w:cs="Times New Roman"/>
          <w:sz w:val="24"/>
          <w:szCs w:val="24"/>
        </w:rPr>
        <w:t xml:space="preserve"> exact prediction on mean hydrostatic effect per artery group from mean height per artery group</w:t>
      </w:r>
      <w:r w:rsidR="006A5BCB">
        <w:rPr>
          <w:rFonts w:ascii="Times New Roman" w:hAnsi="Times New Roman" w:cs="Times New Roman"/>
          <w:sz w:val="24"/>
          <w:szCs w:val="24"/>
        </w:rPr>
        <w:t xml:space="preserve"> measured on QCA. This is difficult</w:t>
      </w:r>
      <w:r w:rsidR="009531B7">
        <w:rPr>
          <w:rFonts w:ascii="Times New Roman" w:hAnsi="Times New Roman" w:cs="Times New Roman"/>
          <w:sz w:val="24"/>
          <w:szCs w:val="24"/>
        </w:rPr>
        <w:t xml:space="preserve"> to explain, but height may not be the only confounding variable in </w:t>
      </w:r>
      <w:r w:rsidR="00D164ED">
        <w:rPr>
          <w:rFonts w:ascii="Times New Roman" w:hAnsi="Times New Roman" w:cs="Times New Roman"/>
          <w:sz w:val="24"/>
          <w:szCs w:val="24"/>
        </w:rPr>
        <w:t>pressure-</w:t>
      </w:r>
      <w:r w:rsidR="009531B7">
        <w:rPr>
          <w:rFonts w:ascii="Times New Roman" w:hAnsi="Times New Roman" w:cs="Times New Roman"/>
          <w:sz w:val="24"/>
          <w:szCs w:val="24"/>
        </w:rPr>
        <w:t>based indices during patient position change.</w:t>
      </w:r>
    </w:p>
    <w:p w14:paraId="28306DC3" w14:textId="1929DFEE" w:rsidR="009531B7" w:rsidRDefault="001815DF" w:rsidP="00BC7A77">
      <w:pPr>
        <w:spacing w:line="360" w:lineRule="auto"/>
        <w:rPr>
          <w:rFonts w:ascii="Times New Roman" w:hAnsi="Times New Roman" w:cs="Times New Roman"/>
          <w:sz w:val="24"/>
          <w:szCs w:val="24"/>
        </w:rPr>
      </w:pPr>
      <w:r>
        <w:rPr>
          <w:rFonts w:ascii="Times New Roman" w:hAnsi="Times New Roman" w:cs="Times New Roman"/>
          <w:sz w:val="24"/>
          <w:szCs w:val="24"/>
        </w:rPr>
        <w:t>Prone positioning has been used as a strategy</w:t>
      </w:r>
      <w:r w:rsidR="00EA6EE9">
        <w:rPr>
          <w:rFonts w:ascii="Times New Roman" w:hAnsi="Times New Roman" w:cs="Times New Roman"/>
          <w:sz w:val="24"/>
          <w:szCs w:val="24"/>
        </w:rPr>
        <w:t xml:space="preserve"> to treat ARDS for decades.</w:t>
      </w:r>
      <w:r w:rsidR="00B911CC">
        <w:rPr>
          <w:rFonts w:ascii="Times New Roman" w:hAnsi="Times New Roman" w:cs="Times New Roman"/>
          <w:sz w:val="24"/>
          <w:szCs w:val="24"/>
        </w:rPr>
        <w:t xml:space="preserve"> Recently, prone positioning has been trailed in patients with COVID-19 </w:t>
      </w:r>
      <w:r w:rsidR="00106A32">
        <w:rPr>
          <w:rFonts w:ascii="Times New Roman" w:hAnsi="Times New Roman" w:cs="Times New Roman"/>
          <w:sz w:val="24"/>
          <w:szCs w:val="24"/>
        </w:rPr>
        <w:fldChar w:fldCharType="begin"/>
      </w:r>
      <w:r w:rsidR="00B911CC">
        <w:rPr>
          <w:rFonts w:ascii="Times New Roman" w:hAnsi="Times New Roman" w:cs="Times New Roman"/>
          <w:sz w:val="24"/>
          <w:szCs w:val="24"/>
        </w:rPr>
        <w:instrText xml:space="preserve"> ADDIN ZOTERO_ITEM CSL_CITATION {"citationID":"IUOOsWTk","properties":{"formattedCitation":"(Sartini et al., 2020)","plainCitation":"(Sartini et al., 2020)","noteIndex":0},"citationItems":[{"id":906,"uris":["http://zotero.org/users/local/k67tNDdX/items/AULI9H2Z"],"uri":["http://zotero.org/users/local/k67tNDdX/items/AULI9H2Z"],"itemData":{"id":906,"type":"article-journal","abstract":"This study measured respiratory parameters of 15 non-ICU patients before, during, and after receiving noninvasive ventilation in the prone position.","container-title":"JAMA","DOI":"10.1001/jama.2020.7861","ISSN":"0098-7484","issue":"22","journalAbbreviation":"JAMA","language":"en","note":"publisher: American Medical Association","page":"2338-2340","source":"jamanetwork.com","title":"Respiratory Parameters in Patients With COVID-19 After Using Noninvasive Ventilation in the Prone Position Outside the Intensive Care Unit","volume":"323","author":[{"family":"Sartini","given":"Chiara"},{"family":"Tresoldi","given":"Moreno"},{"family":"Scarpellini","given":"Paolo"},{"family":"Tettamanti","given":"Andrea"},{"family":"Carcò","given":"Francesco"},{"family":"Landoni","given":"Giovanni"},{"family":"Zangrillo","given":"Alberto"}],"issued":{"date-parts":[["2020",6,9]]}}}],"schema":"https://github.com/citation-style-language/schema/raw/master/csl-citation.json"} </w:instrText>
      </w:r>
      <w:r w:rsidR="00106A32">
        <w:rPr>
          <w:rFonts w:ascii="Times New Roman" w:hAnsi="Times New Roman" w:cs="Times New Roman"/>
          <w:sz w:val="24"/>
          <w:szCs w:val="24"/>
        </w:rPr>
        <w:fldChar w:fldCharType="separate"/>
      </w:r>
      <w:r w:rsidR="00B911CC" w:rsidRPr="00B911CC">
        <w:rPr>
          <w:rFonts w:ascii="Times New Roman" w:hAnsi="Times New Roman" w:cs="Times New Roman"/>
          <w:sz w:val="24"/>
        </w:rPr>
        <w:t>(Sartini et al., 2020)</w:t>
      </w:r>
      <w:r w:rsidR="00106A32">
        <w:rPr>
          <w:rFonts w:ascii="Times New Roman" w:hAnsi="Times New Roman" w:cs="Times New Roman"/>
          <w:sz w:val="24"/>
          <w:szCs w:val="24"/>
        </w:rPr>
        <w:fldChar w:fldCharType="end"/>
      </w:r>
      <w:r w:rsidR="00B911CC">
        <w:rPr>
          <w:rFonts w:ascii="Times New Roman" w:hAnsi="Times New Roman" w:cs="Times New Roman"/>
          <w:sz w:val="24"/>
          <w:szCs w:val="24"/>
        </w:rPr>
        <w:t>.</w:t>
      </w:r>
      <w:r w:rsidR="008B01F3">
        <w:rPr>
          <w:rFonts w:ascii="Times New Roman" w:hAnsi="Times New Roman" w:cs="Times New Roman"/>
          <w:sz w:val="24"/>
          <w:szCs w:val="24"/>
        </w:rPr>
        <w:t xml:space="preserve"> When prone, the weight of the heart, lungs and abdominal viscera is lifted off the dorsal lung regions, aiding ventilation to these areas </w:t>
      </w:r>
      <w:r w:rsidR="00106A32">
        <w:rPr>
          <w:rFonts w:ascii="Times New Roman" w:hAnsi="Times New Roman" w:cs="Times New Roman"/>
          <w:sz w:val="24"/>
          <w:szCs w:val="24"/>
        </w:rPr>
        <w:fldChar w:fldCharType="begin"/>
      </w:r>
      <w:r w:rsidR="008B01F3">
        <w:rPr>
          <w:rFonts w:ascii="Times New Roman" w:hAnsi="Times New Roman" w:cs="Times New Roman"/>
          <w:sz w:val="24"/>
          <w:szCs w:val="24"/>
        </w:rPr>
        <w:instrText xml:space="preserve"> ADDIN ZOTERO_ITEM CSL_CITATION {"citationID":"nyGgAPbl","properties":{"formattedCitation":"(Scholten et al., 2017)","plainCitation":"(Scholten et al., 2017)","noteIndex":0},"citationItems":[{"id":859,"uris":["http://zotero.org/users/local/k67tNDdX/items/DGGXG56R"],"uri":["http://zotero.org/users/local/k67tNDdX/items/DGGXG56R"],"itemData":{"id":859,"type":"article-journal","abstract":"Prone positioning was first proposed in the 1970s as a method to improve gas exchange in ARDS. Subsequent observations of dramatic improvement in oxygenation with simple patient rotation motivated the next several decades of research. This work elucidated the physiological mechanisms underlying changes in gas exchange and respiratory mechanics with prone ventilation. However, translating physiological improvements into a clinical benefit has proved challenging; several contemporary trials showed no major clinical benefits with prone positioning. By optimizing patient selection and treatment protocols, the recent Proning Severe ARDS Patients (PROSEVA) trial demonstrated a significant mortality benefit with prone ventilation. This trial, and subsequent meta-analyses, support the role of prone positioning as an effective therapy to reduce mortality in severe ARDS, particularly when applied early with other lung-protective strategies. This review discusses the physiological principles, clinical evidence, and practical application of prone ventilation in ARDS.","container-title":"Chest","DOI":"10.1016/j.chest.2016.06.032","ISSN":"0012-3692","issue":"1","journalAbbreviation":"Chest","note":"PMID: 27400909\nPMCID: PMC6026253","page":"215-224","source":"PubMed Central","title":"Treatment of ARDS With Prone Positioning","volume":"151","author":[{"family":"Scholten","given":"Eric L."},{"family":"Beitler","given":"Jeremy R."},{"family":"Prisk","given":"G. Kim"},{"family":"Malhotra","given":"Atul"}],"issued":{"date-parts":[["2017",1]]}}}],"schema":"https://github.com/citation-style-language/schema/raw/master/csl-citation.json"} </w:instrText>
      </w:r>
      <w:r w:rsidR="00106A32">
        <w:rPr>
          <w:rFonts w:ascii="Times New Roman" w:hAnsi="Times New Roman" w:cs="Times New Roman"/>
          <w:sz w:val="24"/>
          <w:szCs w:val="24"/>
        </w:rPr>
        <w:fldChar w:fldCharType="separate"/>
      </w:r>
      <w:r w:rsidR="008B01F3" w:rsidRPr="008B01F3">
        <w:rPr>
          <w:rFonts w:ascii="Times New Roman" w:hAnsi="Times New Roman" w:cs="Times New Roman"/>
          <w:sz w:val="24"/>
        </w:rPr>
        <w:t>(Scholten et al., 2017)</w:t>
      </w:r>
      <w:r w:rsidR="00106A32">
        <w:rPr>
          <w:rFonts w:ascii="Times New Roman" w:hAnsi="Times New Roman" w:cs="Times New Roman"/>
          <w:sz w:val="24"/>
          <w:szCs w:val="24"/>
        </w:rPr>
        <w:fldChar w:fldCharType="end"/>
      </w:r>
      <w:r w:rsidR="008B01F3">
        <w:rPr>
          <w:rFonts w:ascii="Times New Roman" w:hAnsi="Times New Roman" w:cs="Times New Roman"/>
          <w:sz w:val="24"/>
          <w:szCs w:val="24"/>
        </w:rPr>
        <w:t>. The weight of the heart itself is thought to</w:t>
      </w:r>
      <w:r w:rsidR="007678DE">
        <w:rPr>
          <w:rFonts w:ascii="Times New Roman" w:hAnsi="Times New Roman" w:cs="Times New Roman"/>
          <w:sz w:val="24"/>
          <w:szCs w:val="24"/>
        </w:rPr>
        <w:t xml:space="preserve"> add 3-5cm </w:t>
      </w:r>
      <w:r w:rsidR="008B01F3">
        <w:rPr>
          <w:rFonts w:ascii="Times New Roman" w:hAnsi="Times New Roman" w:cs="Times New Roman"/>
          <w:sz w:val="24"/>
          <w:szCs w:val="24"/>
        </w:rPr>
        <w:t>H</w:t>
      </w:r>
      <w:r w:rsidR="008B01F3" w:rsidRPr="008B01F3">
        <w:rPr>
          <w:rFonts w:ascii="Times New Roman" w:hAnsi="Times New Roman" w:cs="Times New Roman"/>
          <w:sz w:val="24"/>
          <w:szCs w:val="24"/>
          <w:vertAlign w:val="subscript"/>
        </w:rPr>
        <w:t>2</w:t>
      </w:r>
      <w:r w:rsidR="007678DE">
        <w:rPr>
          <w:rFonts w:ascii="Times New Roman" w:hAnsi="Times New Roman" w:cs="Times New Roman"/>
          <w:sz w:val="24"/>
          <w:szCs w:val="24"/>
        </w:rPr>
        <w:t>O (5.5 to 9.3mmHg)</w:t>
      </w:r>
      <w:r w:rsidR="008B01F3">
        <w:rPr>
          <w:rFonts w:ascii="Times New Roman" w:hAnsi="Times New Roman" w:cs="Times New Roman"/>
          <w:sz w:val="24"/>
          <w:szCs w:val="24"/>
        </w:rPr>
        <w:t xml:space="preserve"> </w:t>
      </w:r>
      <w:r w:rsidR="007678DE">
        <w:rPr>
          <w:rFonts w:ascii="Times New Roman" w:hAnsi="Times New Roman" w:cs="Times New Roman"/>
          <w:sz w:val="24"/>
          <w:szCs w:val="24"/>
        </w:rPr>
        <w:t xml:space="preserve">of pressure </w:t>
      </w:r>
      <w:r w:rsidR="008B01F3">
        <w:rPr>
          <w:rFonts w:ascii="Times New Roman" w:hAnsi="Times New Roman" w:cs="Times New Roman"/>
          <w:sz w:val="24"/>
          <w:szCs w:val="24"/>
        </w:rPr>
        <w:t>to the underlying tissue</w:t>
      </w:r>
      <w:r w:rsidR="007678DE">
        <w:rPr>
          <w:rFonts w:ascii="Times New Roman" w:hAnsi="Times New Roman" w:cs="Times New Roman"/>
          <w:sz w:val="24"/>
          <w:szCs w:val="24"/>
        </w:rPr>
        <w:t xml:space="preserve"> </w:t>
      </w:r>
      <w:r w:rsidR="00106A32">
        <w:rPr>
          <w:rFonts w:ascii="Times New Roman" w:hAnsi="Times New Roman" w:cs="Times New Roman"/>
          <w:sz w:val="24"/>
          <w:szCs w:val="24"/>
        </w:rPr>
        <w:fldChar w:fldCharType="begin"/>
      </w:r>
      <w:r w:rsidR="007678DE">
        <w:rPr>
          <w:rFonts w:ascii="Times New Roman" w:hAnsi="Times New Roman" w:cs="Times New Roman"/>
          <w:sz w:val="24"/>
          <w:szCs w:val="24"/>
        </w:rPr>
        <w:instrText xml:space="preserve"> ADDIN ZOTERO_ITEM CSL_CITATION {"citationID":"tbeRNCxo","properties":{"formattedCitation":"(Malbouisson et al., 2000)","plainCitation":"(Malbouisson et al., 2000)","noteIndex":0},"citationItems":[{"id":862,"uris":["http://zotero.org/users/local/k67tNDdX/items/35PFA94C"],"uri":["http://zotero.org/users/local/k67tNDdX/items/35PFA94C"],"itemData":{"id":862,"type":"article-journal","abstract":"In the acute respiratory distress syndrome (ARDS), lower lobes appear essentially non-aerated in contrast to upper lobes whose aeration can be preserved in some patients. The aim of this study was to assess the mechanical compression exerted by the heart on lower lobes in patients with ARDS. Fourteen healthy volunteers and 38 patients with ARDS free of left ventricular failure were studied. Cardiorespiratory parameters were recorded and the cardiac dimensions, the pressure exerted by the heart on subjacent lower lobes, and the gas tissue ratio of lower lobes in the supine position were measured using computer tomography and Lungview, a specifically designed software. In patients with ARDS, the heart was larger and heavier than in healthy volunteers. The enlargement of the heart was mainly related to a left cardiac protrusion and the pressure exerted by the left heart on the lower lobes was higher in patients with ARDS than in healthy volunteers (8 +/- 3 g. cm(-)(2) versus 6 +/- 1 g. cm(-)(2), p &lt; 0.01). As a consequence, the faction of gas represented 62% of the left lower lobes in healthy volunteers and 12% only in patients with ARDS. The present study demonstrates that apart from the already known anteroposterior and cephalocaudal gradients of pressure depending on the lung weight and abdominal pressure, the heart plays an important role in the dramatic loss of aeration characterizing lower lobes of patients with ARDS lying in the supine position.","container-title":"American Journal of Respiratory and Critical Care Medicine","DOI":"10.1164/ajrccm.161.6.9907067","ISSN":"1073-449X","issue":"6","journalAbbreviation":"Am. J. Respir. Crit. Care Med.","language":"eng","note":"PMID: 10852781","page":"2005-2012","source":"PubMed","title":"Role of the heart in the loss of aeration characterizing lower lobes in acute respiratory distress syndrome. CT Scan ARDS Study Group","volume":"161","author":[{"family":"Malbouisson","given":"L. M."},{"family":"Busch","given":"C. J."},{"family":"Puybasset","given":"L."},{"family":"Lu","given":"Q."},{"family":"Cluzel","given":"P."},{"family":"Rouby","given":"J. J."}],"issued":{"date-parts":[["2000",6]]}}}],"schema":"https://github.com/citation-style-language/schema/raw/master/csl-citation.json"} </w:instrText>
      </w:r>
      <w:r w:rsidR="00106A32">
        <w:rPr>
          <w:rFonts w:ascii="Times New Roman" w:hAnsi="Times New Roman" w:cs="Times New Roman"/>
          <w:sz w:val="24"/>
          <w:szCs w:val="24"/>
        </w:rPr>
        <w:fldChar w:fldCharType="separate"/>
      </w:r>
      <w:r w:rsidR="007678DE" w:rsidRPr="007678DE">
        <w:rPr>
          <w:rFonts w:ascii="Times New Roman" w:hAnsi="Times New Roman" w:cs="Times New Roman"/>
          <w:sz w:val="24"/>
        </w:rPr>
        <w:t>(Malbouisson et al., 2000)</w:t>
      </w:r>
      <w:r w:rsidR="00106A32">
        <w:rPr>
          <w:rFonts w:ascii="Times New Roman" w:hAnsi="Times New Roman" w:cs="Times New Roman"/>
          <w:sz w:val="24"/>
          <w:szCs w:val="24"/>
        </w:rPr>
        <w:fldChar w:fldCharType="end"/>
      </w:r>
      <w:r w:rsidR="008B01F3">
        <w:rPr>
          <w:rFonts w:ascii="Times New Roman" w:hAnsi="Times New Roman" w:cs="Times New Roman"/>
          <w:sz w:val="24"/>
          <w:szCs w:val="24"/>
        </w:rPr>
        <w:t>.</w:t>
      </w:r>
      <w:r w:rsidR="007678DE">
        <w:rPr>
          <w:rFonts w:ascii="Times New Roman" w:hAnsi="Times New Roman" w:cs="Times New Roman"/>
          <w:sz w:val="24"/>
          <w:szCs w:val="24"/>
        </w:rPr>
        <w:t xml:space="preserve"> It is not known whether this adds to, and to what magnitude it affects, the hydrostatic pressure effect within coronary arteries. If we believe to moderate correlation of vertical height to delta change in </w:t>
      </w:r>
      <w:r w:rsidR="00D164ED">
        <w:rPr>
          <w:rFonts w:ascii="Times New Roman" w:hAnsi="Times New Roman" w:cs="Times New Roman"/>
          <w:sz w:val="24"/>
          <w:szCs w:val="24"/>
        </w:rPr>
        <w:t>pressure-</w:t>
      </w:r>
      <w:r w:rsidR="007678DE">
        <w:rPr>
          <w:rFonts w:ascii="Times New Roman" w:hAnsi="Times New Roman" w:cs="Times New Roman"/>
          <w:sz w:val="24"/>
          <w:szCs w:val="24"/>
        </w:rPr>
        <w:t>based indices, the physical weight of the heart could be a substantial contributor. In turn, those with dilated ventricles, may have a greater mass effect as well as greater height deviation of coronary arteries from the aorta. Both may present as a significant change in hydrostatic pressure compared to supine positioning.</w:t>
      </w:r>
    </w:p>
    <w:p w14:paraId="64EFA89B" w14:textId="77777777" w:rsidR="00BB15DF" w:rsidRDefault="00BB15DF" w:rsidP="00BC7A77">
      <w:pPr>
        <w:spacing w:line="360" w:lineRule="auto"/>
        <w:rPr>
          <w:rFonts w:ascii="Times New Roman" w:hAnsi="Times New Roman" w:cs="Times New Roman"/>
          <w:sz w:val="24"/>
          <w:szCs w:val="24"/>
        </w:rPr>
      </w:pPr>
    </w:p>
    <w:p w14:paraId="5924292F" w14:textId="77777777" w:rsidR="00F20902" w:rsidRPr="00EC6C19" w:rsidRDefault="00F20902" w:rsidP="00BC7A77">
      <w:pPr>
        <w:spacing w:line="360" w:lineRule="auto"/>
        <w:rPr>
          <w:rFonts w:ascii="Times New Roman" w:hAnsi="Times New Roman" w:cs="Times New Roman"/>
          <w:sz w:val="24"/>
          <w:szCs w:val="24"/>
        </w:rPr>
      </w:pPr>
    </w:p>
    <w:p w14:paraId="5B4CD8F9" w14:textId="77777777" w:rsidR="00B64F9B" w:rsidRPr="008065E7" w:rsidRDefault="008065E7" w:rsidP="008065E7">
      <w:pPr>
        <w:pStyle w:val="Heading2"/>
        <w:rPr>
          <w:rFonts w:ascii="Times New Roman" w:hAnsi="Times New Roman" w:cs="Times New Roman"/>
          <w:color w:val="auto"/>
          <w:sz w:val="24"/>
          <w:szCs w:val="24"/>
        </w:rPr>
      </w:pPr>
      <w:bookmarkStart w:id="215" w:name="_Toc80302274"/>
      <w:r w:rsidRPr="008065E7">
        <w:rPr>
          <w:rFonts w:ascii="Times New Roman" w:hAnsi="Times New Roman" w:cs="Times New Roman"/>
          <w:color w:val="auto"/>
          <w:sz w:val="24"/>
          <w:szCs w:val="24"/>
        </w:rPr>
        <w:t xml:space="preserve">4.4 - </w:t>
      </w:r>
      <w:r w:rsidR="00457AC9" w:rsidRPr="008065E7">
        <w:rPr>
          <w:rFonts w:ascii="Times New Roman" w:hAnsi="Times New Roman" w:cs="Times New Roman"/>
          <w:color w:val="auto"/>
          <w:sz w:val="24"/>
          <w:szCs w:val="24"/>
        </w:rPr>
        <w:t>Pressure Results</w:t>
      </w:r>
      <w:bookmarkEnd w:id="215"/>
      <w:r>
        <w:rPr>
          <w:rFonts w:ascii="Times New Roman" w:hAnsi="Times New Roman" w:cs="Times New Roman"/>
          <w:color w:val="auto"/>
          <w:sz w:val="24"/>
          <w:szCs w:val="24"/>
        </w:rPr>
        <w:br/>
      </w:r>
    </w:p>
    <w:p w14:paraId="2E2CADB0" w14:textId="77777777" w:rsidR="0007756E" w:rsidRPr="00EC6C19" w:rsidRDefault="0007756E" w:rsidP="00BC7A77">
      <w:pPr>
        <w:spacing w:line="360" w:lineRule="auto"/>
        <w:rPr>
          <w:rFonts w:ascii="Times New Roman" w:hAnsi="Times New Roman" w:cs="Times New Roman"/>
          <w:b/>
          <w:sz w:val="24"/>
          <w:szCs w:val="24"/>
        </w:rPr>
      </w:pPr>
    </w:p>
    <w:p w14:paraId="030FFBA1" w14:textId="77777777" w:rsidR="00CC67C4" w:rsidRPr="00EC6C19" w:rsidRDefault="00457AC9"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Pd/Pa</w:t>
      </w:r>
      <w:r w:rsidR="002744EB" w:rsidRPr="00EC6C19">
        <w:rPr>
          <w:rFonts w:ascii="Times New Roman" w:hAnsi="Times New Roman" w:cs="Times New Roman"/>
          <w:sz w:val="24"/>
          <w:szCs w:val="24"/>
        </w:rPr>
        <w:t>, iFR</w:t>
      </w:r>
      <w:r w:rsidRPr="00EC6C19">
        <w:rPr>
          <w:rFonts w:ascii="Times New Roman" w:hAnsi="Times New Roman" w:cs="Times New Roman"/>
          <w:sz w:val="24"/>
          <w:szCs w:val="24"/>
        </w:rPr>
        <w:t xml:space="preserve"> and FFR measurements</w:t>
      </w:r>
      <w:r w:rsidR="00CC67C4" w:rsidRPr="00EC6C19">
        <w:rPr>
          <w:rFonts w:ascii="Times New Roman" w:hAnsi="Times New Roman" w:cs="Times New Roman"/>
          <w:sz w:val="24"/>
          <w:szCs w:val="24"/>
        </w:rPr>
        <w:t xml:space="preserve"> changed significantly </w:t>
      </w:r>
      <w:r w:rsidRPr="00EC6C19">
        <w:rPr>
          <w:rFonts w:ascii="Times New Roman" w:hAnsi="Times New Roman" w:cs="Times New Roman"/>
          <w:sz w:val="24"/>
          <w:szCs w:val="24"/>
        </w:rPr>
        <w:t>when comparing prone and supine measurements</w:t>
      </w:r>
      <w:r w:rsidR="00CC67C4" w:rsidRPr="00EC6C19">
        <w:rPr>
          <w:rFonts w:ascii="Times New Roman" w:hAnsi="Times New Roman" w:cs="Times New Roman"/>
          <w:sz w:val="24"/>
          <w:szCs w:val="24"/>
        </w:rPr>
        <w:t>.</w:t>
      </w:r>
      <w:r w:rsidR="00015A8B" w:rsidRPr="00EC6C19">
        <w:rPr>
          <w:rFonts w:ascii="Times New Roman" w:hAnsi="Times New Roman" w:cs="Times New Roman"/>
          <w:sz w:val="24"/>
          <w:szCs w:val="24"/>
        </w:rPr>
        <w:t xml:space="preserve"> The direction of</w:t>
      </w:r>
      <w:r w:rsidR="001E4691" w:rsidRPr="00EC6C19">
        <w:rPr>
          <w:rFonts w:ascii="Times New Roman" w:hAnsi="Times New Roman" w:cs="Times New Roman"/>
          <w:sz w:val="24"/>
          <w:szCs w:val="24"/>
        </w:rPr>
        <w:t xml:space="preserve"> delta change supported physical principles,</w:t>
      </w:r>
      <w:r w:rsidR="00015A8B" w:rsidRPr="00EC6C19">
        <w:rPr>
          <w:rFonts w:ascii="Times New Roman" w:hAnsi="Times New Roman" w:cs="Times New Roman"/>
          <w:sz w:val="24"/>
          <w:szCs w:val="24"/>
        </w:rPr>
        <w:t xml:space="preserve"> with inferior readings </w:t>
      </w:r>
      <w:r w:rsidR="006A5BCB">
        <w:rPr>
          <w:rFonts w:ascii="Times New Roman" w:hAnsi="Times New Roman" w:cs="Times New Roman"/>
          <w:sz w:val="24"/>
          <w:szCs w:val="24"/>
        </w:rPr>
        <w:t>measuring higher than superior readings</w:t>
      </w:r>
      <w:r w:rsidR="001327CA">
        <w:rPr>
          <w:rFonts w:ascii="Times New Roman" w:hAnsi="Times New Roman" w:cs="Times New Roman"/>
          <w:sz w:val="24"/>
          <w:szCs w:val="24"/>
        </w:rPr>
        <w:t xml:space="preserve"> in the vast majority of cases</w:t>
      </w:r>
      <w:r w:rsidR="00015A8B" w:rsidRPr="00EC6C19">
        <w:rPr>
          <w:rFonts w:ascii="Times New Roman" w:hAnsi="Times New Roman" w:cs="Times New Roman"/>
          <w:sz w:val="24"/>
          <w:szCs w:val="24"/>
        </w:rPr>
        <w:t>.</w:t>
      </w:r>
    </w:p>
    <w:p w14:paraId="1734F5EE" w14:textId="77777777" w:rsidR="00BD466C" w:rsidRPr="00EC6C19" w:rsidRDefault="00BD466C" w:rsidP="00BC7A77">
      <w:pPr>
        <w:spacing w:line="360" w:lineRule="auto"/>
        <w:rPr>
          <w:rFonts w:ascii="Times New Roman" w:hAnsi="Times New Roman" w:cs="Times New Roman"/>
          <w:sz w:val="24"/>
          <w:szCs w:val="24"/>
        </w:rPr>
      </w:pPr>
    </w:p>
    <w:p w14:paraId="65CB65E8" w14:textId="77777777" w:rsidR="003D0E90" w:rsidRPr="008065E7" w:rsidRDefault="008065E7" w:rsidP="008065E7">
      <w:pPr>
        <w:pStyle w:val="Heading3"/>
        <w:rPr>
          <w:rFonts w:ascii="Times New Roman" w:hAnsi="Times New Roman" w:cs="Times New Roman"/>
          <w:b w:val="0"/>
          <w:i/>
          <w:color w:val="auto"/>
          <w:sz w:val="24"/>
          <w:szCs w:val="24"/>
        </w:rPr>
      </w:pPr>
      <w:bookmarkStart w:id="216" w:name="_Toc80302275"/>
      <w:r w:rsidRPr="008065E7">
        <w:rPr>
          <w:rFonts w:ascii="Times New Roman" w:hAnsi="Times New Roman" w:cs="Times New Roman"/>
          <w:b w:val="0"/>
          <w:i/>
          <w:color w:val="auto"/>
          <w:sz w:val="24"/>
          <w:szCs w:val="24"/>
        </w:rPr>
        <w:t xml:space="preserve">4.4.1 - </w:t>
      </w:r>
      <w:r w:rsidR="003D0E90" w:rsidRPr="008065E7">
        <w:rPr>
          <w:rFonts w:ascii="Times New Roman" w:hAnsi="Times New Roman" w:cs="Times New Roman"/>
          <w:b w:val="0"/>
          <w:i/>
          <w:color w:val="auto"/>
          <w:sz w:val="24"/>
          <w:szCs w:val="24"/>
        </w:rPr>
        <w:t>Pressure Based Values &gt; 1.0</w:t>
      </w:r>
      <w:bookmarkEnd w:id="216"/>
    </w:p>
    <w:p w14:paraId="471159D6" w14:textId="77777777" w:rsidR="003D0E90" w:rsidRPr="003D0E90" w:rsidRDefault="008065E7" w:rsidP="00BC7A77">
      <w:pPr>
        <w:spacing w:line="360" w:lineRule="auto"/>
        <w:rPr>
          <w:rFonts w:ascii="Times New Roman" w:hAnsi="Times New Roman" w:cs="Times New Roman"/>
          <w:sz w:val="24"/>
          <w:szCs w:val="24"/>
        </w:rPr>
      </w:pPr>
      <w:r>
        <w:rPr>
          <w:rFonts w:ascii="Times New Roman" w:hAnsi="Times New Roman" w:cs="Times New Roman"/>
          <w:sz w:val="24"/>
          <w:szCs w:val="24"/>
        </w:rPr>
        <w:br/>
      </w:r>
    </w:p>
    <w:p w14:paraId="7FB03770" w14:textId="35D46BB5" w:rsidR="003D0E90" w:rsidRDefault="003D0E90" w:rsidP="00BC7A77">
      <w:pPr>
        <w:spacing w:line="360" w:lineRule="auto"/>
        <w:rPr>
          <w:rFonts w:ascii="Times New Roman" w:hAnsi="Times New Roman" w:cs="Times New Roman"/>
          <w:sz w:val="24"/>
          <w:szCs w:val="24"/>
        </w:rPr>
      </w:pPr>
      <w:r>
        <w:rPr>
          <w:rFonts w:ascii="Times New Roman" w:hAnsi="Times New Roman" w:cs="Times New Roman"/>
          <w:sz w:val="24"/>
          <w:szCs w:val="24"/>
        </w:rPr>
        <w:t xml:space="preserve">Across Pd/Pa, iFR and FFR readings, there were numerous instances of recordings above 1.0. If pressure is truly proportional to flow, as </w:t>
      </w:r>
      <w:r w:rsidR="00D164ED">
        <w:rPr>
          <w:rFonts w:ascii="Times New Roman" w:hAnsi="Times New Roman" w:cs="Times New Roman"/>
          <w:sz w:val="24"/>
          <w:szCs w:val="24"/>
        </w:rPr>
        <w:t>pressure-</w:t>
      </w:r>
      <w:r>
        <w:rPr>
          <w:rFonts w:ascii="Times New Roman" w:hAnsi="Times New Roman" w:cs="Times New Roman"/>
          <w:sz w:val="24"/>
          <w:szCs w:val="24"/>
        </w:rPr>
        <w:t xml:space="preserve">based indices imply, a value above 1.0 suggests greater flow distal to a stenosis than at the ostial vessel. This is unlikely to be true and </w:t>
      </w:r>
      <w:r w:rsidRPr="00EC6C19">
        <w:rPr>
          <w:rFonts w:ascii="Times New Roman" w:hAnsi="Times New Roman" w:cs="Times New Roman"/>
          <w:sz w:val="24"/>
          <w:szCs w:val="24"/>
        </w:rPr>
        <w:t xml:space="preserve">is a potential pitfall of using a </w:t>
      </w:r>
      <w:r w:rsidR="00D164ED" w:rsidRPr="00EC6C19">
        <w:rPr>
          <w:rFonts w:ascii="Times New Roman" w:hAnsi="Times New Roman" w:cs="Times New Roman"/>
          <w:sz w:val="24"/>
          <w:szCs w:val="24"/>
        </w:rPr>
        <w:t>pressure</w:t>
      </w:r>
      <w:r w:rsidR="00D164ED">
        <w:rPr>
          <w:rFonts w:ascii="Times New Roman" w:hAnsi="Times New Roman" w:cs="Times New Roman"/>
          <w:sz w:val="24"/>
          <w:szCs w:val="24"/>
        </w:rPr>
        <w:t>-</w:t>
      </w:r>
      <w:r w:rsidRPr="00EC6C19">
        <w:rPr>
          <w:rFonts w:ascii="Times New Roman" w:hAnsi="Times New Roman" w:cs="Times New Roman"/>
          <w:sz w:val="24"/>
          <w:szCs w:val="24"/>
        </w:rPr>
        <w:t>based measurement</w:t>
      </w:r>
      <w:r w:rsidR="0088675E">
        <w:rPr>
          <w:rFonts w:ascii="Times New Roman" w:hAnsi="Times New Roman" w:cs="Times New Roman"/>
          <w:sz w:val="24"/>
          <w:szCs w:val="24"/>
        </w:rPr>
        <w:t>s</w:t>
      </w:r>
      <w:r w:rsidRPr="00EC6C19">
        <w:rPr>
          <w:rFonts w:ascii="Times New Roman" w:hAnsi="Times New Roman" w:cs="Times New Roman"/>
          <w:sz w:val="24"/>
          <w:szCs w:val="24"/>
        </w:rPr>
        <w:t xml:space="preserve"> as a surrogate for flow. </w:t>
      </w:r>
    </w:p>
    <w:p w14:paraId="264BB595" w14:textId="1A69C21B" w:rsidR="0088675E" w:rsidRDefault="003D0E90"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In supine patients, this is</w:t>
      </w:r>
      <w:r>
        <w:rPr>
          <w:rFonts w:ascii="Times New Roman" w:hAnsi="Times New Roman" w:cs="Times New Roman"/>
          <w:sz w:val="24"/>
          <w:szCs w:val="24"/>
        </w:rPr>
        <w:t xml:space="preserve"> phenomenon is</w:t>
      </w:r>
      <w:r w:rsidRPr="00EC6C19">
        <w:rPr>
          <w:rFonts w:ascii="Times New Roman" w:hAnsi="Times New Roman" w:cs="Times New Roman"/>
          <w:sz w:val="24"/>
          <w:szCs w:val="24"/>
        </w:rPr>
        <w:t xml:space="preserve"> normally seen in mildly disease vessel</w:t>
      </w:r>
      <w:r>
        <w:rPr>
          <w:rFonts w:ascii="Times New Roman" w:hAnsi="Times New Roman" w:cs="Times New Roman"/>
          <w:sz w:val="24"/>
          <w:szCs w:val="24"/>
        </w:rPr>
        <w:t>s</w:t>
      </w:r>
      <w:r w:rsidRPr="00EC6C19">
        <w:rPr>
          <w:rFonts w:ascii="Times New Roman" w:hAnsi="Times New Roman" w:cs="Times New Roman"/>
          <w:sz w:val="24"/>
          <w:szCs w:val="24"/>
        </w:rPr>
        <w:t xml:space="preserve">, and usually the circumflex artery. Observation of this phenomenon has been </w:t>
      </w:r>
      <w:r w:rsidR="0088675E">
        <w:rPr>
          <w:rFonts w:ascii="Times New Roman" w:hAnsi="Times New Roman" w:cs="Times New Roman"/>
          <w:sz w:val="24"/>
          <w:szCs w:val="24"/>
        </w:rPr>
        <w:t>recognised</w:t>
      </w:r>
      <w:r w:rsidRPr="00EC6C19">
        <w:rPr>
          <w:rFonts w:ascii="Times New Roman" w:hAnsi="Times New Roman" w:cs="Times New Roman"/>
          <w:sz w:val="24"/>
          <w:szCs w:val="24"/>
        </w:rPr>
        <w:t xml:space="preserve"> by other authors in the medical literature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{"citationID":"RXjcDzYW","properties":{"formattedCitation":"(Nijjer et al., 2016)","plainCitation":"(Nijjer et al., 2016)","noteIndex":0},"citationItems":[{"id":522,"uris":["http://zotero.org/users/local/k67tNDdX/items/6Y6IR4GQ"],"uri":["http://zotero.org/users/local/k67tNDdX/items/6Y6IR4GQ"],"itemData":{"id":522,"type":"article-journal","abstract":"BACKGROUND: Our understanding of human coronary physiological behaviour is derived from animal models. We sought to describe physiological behaviour across a large collection of invasive pressure and flow velocity measurements, to provide a better understanding of the relationships between these physiological parameters and to evaluate the rationale for resting stenosis assessment.\nMETHODS AND RESULTS: Five hundred and sixty-seven simultaneous intracoronary pressure and flow velocity assessments from 301 patients were analysed for coronary flow velocity, trans-stenotic pressure gradient (TG), and microvascular resistance (MVR). Measurements were made during baseline and hyperaemic conditions. The whole cardiac cycle and the diastolic wave-free period were assessed. Stenoses were assessed according to fractional flow reserve (FFR) and quantitative coronary angiography DS%. With progressive worsening of stenoses, from unobstructed angiographic normal vessels to those with FFR ≤ 0.50, hyperaemic flow falls significantly from 45 to 19 cm/s, Ptrend &lt; 0.001 in a curvilinear pattern. Resting flow was unaffected by stenosis severity and was consistent across all strata of stenosis (Ptrend &gt; 0.05 for all). Trans-stenotic pressure gradient rose with stenosis severity for both rest and hyperaemic measures (Ptrend &lt; 0.001 for both). Microvascular resistance declines with stenosis severity under resting conditions (Ptrend &lt; 0.001), but was unchanged at hyperaemia (2.3 ± 1.1 mmHg/cm/s; Ptrend = 0.19).\nCONCLUSIONS: With progressive stenosis severity, TG rises. However, while hyperaemic flow falls significantly, resting coronary flow is maintained by compensatory reduction of MVR, demonstrating coronary auto-regulation. These data support the translation of coronary physiological concepts derived from animals to patients with coronary artery disease and furthermore, suggest that resting pressure indices can be used to detect the haemodynamic significance of coronary artery stenoses.","container-title":"European Heart Journal","DOI":"10.1093/eurheartj/ehv626","ISSN":"1522-9645","issue":"26","journalAbbreviation":"Eur. Heart J.","language":"eng","note":"PMID: 26612582\nPMCID: PMC4940452","page":"2069-2080","source":"PubMed","title":"Coronary pressure and flow relationships in humans: phasic analysis of normal and pathological vessels and the implications for stenosis assessment: a report from the Iberian-Dutch-English (IDEAL) collaborators","title-short":"Coronary pressure and flow relationships in humans","volume":"37","author":[{"family":"Nijjer","given":"Sukhjinder S."},{"family":"Waard","given":"Guus A.","non-dropping-particle":"de"},{"family":"Sen","given":"Sayan"},{"family":"Hoef","given":"Tim P.","non-dropping-particle":"van de"},{"family":"Petraco","given":"Ricardo"},{"family":"Echavarría-Pinto","given":"Mauro"},{"family":"Lavieren","given":"Martijn A.","non-dropping-particle":"van"},{"family":"Meuwissen","given":"Martijn"},{"family":"Danad","given":"Ibrahim"},{"family":"Knaapen","given":"Paul"},{"family":"Escaned","given":"Javier"},{"family":"Piek","given":"Jan J."},{"family":"Davies","given":"Justin E."},{"family":"Royen","given":"Niels","non-dropping-particle":"van"}],"issued":{"date-parts":[["2016",7,7]]}}}],"schema":"https://github.com/citation-style-language/schema/raw/master/csl-citation.json"}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(Nijjer et al., 2016)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but the potential impact on day to day use of pressure based indices, has largely been overlooked.</w:t>
      </w:r>
      <w:r w:rsidR="0088675E">
        <w:rPr>
          <w:rFonts w:ascii="Times New Roman" w:hAnsi="Times New Roman" w:cs="Times New Roman"/>
          <w:sz w:val="24"/>
          <w:szCs w:val="24"/>
        </w:rPr>
        <w:t xml:space="preserve"> Readings above 1.0 suggest an inherent error in measurement before the addition of a stenosis, leading to inaccuracy</w:t>
      </w:r>
      <w:r w:rsidR="00D164ED">
        <w:rPr>
          <w:rFonts w:ascii="Times New Roman" w:hAnsi="Times New Roman" w:cs="Times New Roman"/>
          <w:sz w:val="24"/>
          <w:szCs w:val="24"/>
        </w:rPr>
        <w:t>.</w:t>
      </w:r>
    </w:p>
    <w:p w14:paraId="4181CC34" w14:textId="4FABBBD3" w:rsidR="00DE4118" w:rsidRDefault="003D0E90" w:rsidP="00BC7A77">
      <w:pPr>
        <w:spacing w:line="360" w:lineRule="auto"/>
        <w:rPr>
          <w:rFonts w:ascii="Times New Roman" w:hAnsi="Times New Roman" w:cs="Times New Roman"/>
          <w:sz w:val="24"/>
          <w:szCs w:val="24"/>
        </w:rPr>
      </w:pPr>
      <w:r>
        <w:rPr>
          <w:rFonts w:ascii="Times New Roman" w:hAnsi="Times New Roman" w:cs="Times New Roman"/>
          <w:sz w:val="24"/>
          <w:szCs w:val="24"/>
        </w:rPr>
        <w:t>The novel aspect of this research is that recordings over 1.0 were frequently seen in the LAD when prone. In this instance, the LAD has assumed the position of a circumflex artery (i.e. inferior to the aorta) in a standard supine patient.</w:t>
      </w:r>
      <w:r w:rsidR="0088675E">
        <w:rPr>
          <w:rFonts w:ascii="Times New Roman" w:hAnsi="Times New Roman" w:cs="Times New Roman"/>
          <w:sz w:val="24"/>
          <w:szCs w:val="24"/>
        </w:rPr>
        <w:t xml:space="preserve"> On the contrary, the LAD in a supine patient would have a resting value below 1.0, even in a completely </w:t>
      </w:r>
      <w:r w:rsidR="00D164ED">
        <w:rPr>
          <w:rFonts w:ascii="Times New Roman" w:hAnsi="Times New Roman" w:cs="Times New Roman"/>
          <w:sz w:val="24"/>
          <w:szCs w:val="24"/>
        </w:rPr>
        <w:t>disease-</w:t>
      </w:r>
      <w:r w:rsidR="0088675E">
        <w:rPr>
          <w:rFonts w:ascii="Times New Roman" w:hAnsi="Times New Roman" w:cs="Times New Roman"/>
          <w:sz w:val="24"/>
          <w:szCs w:val="24"/>
        </w:rPr>
        <w:t>free vessel. Again, there is inherent error and resting inaccuracy of measurements, due to hydrostatic effect.</w:t>
      </w:r>
      <w:r>
        <w:rPr>
          <w:rFonts w:ascii="Times New Roman" w:hAnsi="Times New Roman" w:cs="Times New Roman"/>
          <w:sz w:val="24"/>
          <w:szCs w:val="24"/>
        </w:rPr>
        <w:t xml:space="preserve"> </w:t>
      </w:r>
      <w:r w:rsidR="0088675E">
        <w:rPr>
          <w:rFonts w:ascii="Times New Roman" w:hAnsi="Times New Roman" w:cs="Times New Roman"/>
          <w:sz w:val="24"/>
          <w:szCs w:val="24"/>
        </w:rPr>
        <w:t xml:space="preserve">This error is present in all </w:t>
      </w:r>
      <w:r w:rsidR="00D164ED">
        <w:rPr>
          <w:rFonts w:ascii="Times New Roman" w:hAnsi="Times New Roman" w:cs="Times New Roman"/>
          <w:sz w:val="24"/>
          <w:szCs w:val="24"/>
        </w:rPr>
        <w:t>pressure-</w:t>
      </w:r>
      <w:r w:rsidR="0088675E">
        <w:rPr>
          <w:rFonts w:ascii="Times New Roman" w:hAnsi="Times New Roman" w:cs="Times New Roman"/>
          <w:sz w:val="24"/>
          <w:szCs w:val="24"/>
        </w:rPr>
        <w:t>based methods of assessing coronary stenoses.</w:t>
      </w:r>
    </w:p>
    <w:p w14:paraId="2B83ADC6" w14:textId="77777777" w:rsidR="00545547" w:rsidRDefault="00545547" w:rsidP="00BC7A77">
      <w:pPr>
        <w:spacing w:line="360" w:lineRule="auto"/>
        <w:rPr>
          <w:rFonts w:ascii="Times New Roman" w:hAnsi="Times New Roman" w:cs="Times New Roman"/>
          <w:sz w:val="24"/>
          <w:szCs w:val="24"/>
        </w:rPr>
      </w:pPr>
    </w:p>
    <w:p w14:paraId="75AE5852" w14:textId="77777777" w:rsidR="003D0E90" w:rsidRPr="008065E7" w:rsidRDefault="008065E7" w:rsidP="008065E7">
      <w:pPr>
        <w:pStyle w:val="Heading3"/>
        <w:rPr>
          <w:rFonts w:ascii="Times New Roman" w:hAnsi="Times New Roman" w:cs="Times New Roman"/>
          <w:b w:val="0"/>
          <w:i/>
          <w:color w:val="auto"/>
          <w:sz w:val="24"/>
          <w:szCs w:val="24"/>
        </w:rPr>
      </w:pPr>
      <w:bookmarkStart w:id="217" w:name="_Toc80302276"/>
      <w:r w:rsidRPr="008065E7">
        <w:rPr>
          <w:rFonts w:ascii="Times New Roman" w:hAnsi="Times New Roman" w:cs="Times New Roman"/>
          <w:b w:val="0"/>
          <w:i/>
          <w:color w:val="auto"/>
          <w:sz w:val="24"/>
          <w:szCs w:val="24"/>
        </w:rPr>
        <w:t xml:space="preserve">4.4.2 - </w:t>
      </w:r>
      <w:r w:rsidR="003D0E90" w:rsidRPr="008065E7">
        <w:rPr>
          <w:rFonts w:ascii="Times New Roman" w:hAnsi="Times New Roman" w:cs="Times New Roman"/>
          <w:b w:val="0"/>
          <w:i/>
          <w:color w:val="auto"/>
          <w:sz w:val="24"/>
          <w:szCs w:val="24"/>
        </w:rPr>
        <w:t>Pd/Pa</w:t>
      </w:r>
      <w:bookmarkEnd w:id="217"/>
    </w:p>
    <w:p w14:paraId="3C7F485C" w14:textId="77777777" w:rsidR="0088675E" w:rsidRDefault="008065E7" w:rsidP="00BC7A77">
      <w:pPr>
        <w:spacing w:line="360" w:lineRule="auto"/>
        <w:rPr>
          <w:rFonts w:ascii="Times New Roman" w:hAnsi="Times New Roman" w:cs="Times New Roman"/>
          <w:i/>
          <w:sz w:val="24"/>
          <w:szCs w:val="24"/>
        </w:rPr>
      </w:pPr>
      <w:r>
        <w:rPr>
          <w:rFonts w:ascii="Times New Roman" w:hAnsi="Times New Roman" w:cs="Times New Roman"/>
          <w:i/>
          <w:sz w:val="24"/>
          <w:szCs w:val="24"/>
        </w:rPr>
        <w:br/>
      </w:r>
    </w:p>
    <w:p w14:paraId="7A07D3F3" w14:textId="77777777" w:rsidR="00123F8C" w:rsidRDefault="0088675E"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Resting Pd/Pa has been validated against FFR in large volume trials</w:t>
      </w:r>
      <w:r>
        <w:rPr>
          <w:rFonts w:ascii="Times New Roman" w:hAnsi="Times New Roman" w:cs="Times New Roman"/>
          <w:sz w:val="24"/>
          <w:szCs w:val="24"/>
        </w:rPr>
        <w:t xml:space="preserve"> and</w:t>
      </w:r>
      <w:r w:rsidRPr="00EC6C19">
        <w:rPr>
          <w:rFonts w:ascii="Times New Roman" w:hAnsi="Times New Roman" w:cs="Times New Roman"/>
          <w:sz w:val="24"/>
          <w:szCs w:val="24"/>
        </w:rPr>
        <w:t xml:space="preserve"> has an overall accuracy of 80% when compared to FFR</w:t>
      </w:r>
      <w:r>
        <w:rPr>
          <w:rFonts w:ascii="Times New Roman" w:hAnsi="Times New Roman" w:cs="Times New Roman"/>
          <w:sz w:val="24"/>
          <w:szCs w:val="24"/>
        </w:rPr>
        <w:t>.</w:t>
      </w:r>
      <w:r w:rsidRPr="00EC6C19">
        <w:rPr>
          <w:rFonts w:ascii="Times New Roman" w:hAnsi="Times New Roman" w:cs="Times New Roman"/>
          <w:sz w:val="24"/>
          <w:szCs w:val="24"/>
        </w:rPr>
        <w:t xml:space="preserve"> </w:t>
      </w:r>
      <w:r>
        <w:rPr>
          <w:rFonts w:ascii="Times New Roman" w:hAnsi="Times New Roman" w:cs="Times New Roman"/>
          <w:sz w:val="24"/>
          <w:szCs w:val="24"/>
        </w:rPr>
        <w:t xml:space="preserve">This </w:t>
      </w:r>
      <w:r w:rsidRPr="00EC6C19">
        <w:rPr>
          <w:rFonts w:ascii="Times New Roman" w:hAnsi="Times New Roman" w:cs="Times New Roman"/>
          <w:sz w:val="24"/>
          <w:szCs w:val="24"/>
        </w:rPr>
        <w:t xml:space="preserve">is comparable to newer resting indices such as iFR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{"citationID":"XtJhSvm6","properties":{"formattedCitation":"(Jeremias et al., 2014)","plainCitation":"(Jeremias et al., 2014)","noteIndex":0},"citationItems":[{"id":657,"uris":["http://zotero.org/users/local/k67tNDdX/items/UBHWB2DI"],"uri":["http://zotero.org/users/local/k67tNDdX/items/UBHWB2DI"],"itemData":{"id":657,"type":"article-journal","abstract":"OBJECTIVES: This study sought to examine the diagnostic accuracy of the instantaneous wave-free ratio (iFR) and resting distal coronary artery pressure/aortic pressure (Pd/Pa) with respect to hyperemic fractional flow reserve (FFR) in a core laboratory-based multicenter collaborative study.\nBACKGROUND: FFR is an index of the severity of coronary stenosis that has been clinically validated in 3 prospective randomized trials. iFR and Pd/Pa are nonhyperemic pressure-derived indices of the severity of stenosis with discordant reports regarding their accuracy with respect to FFR.\nMETHODS: iFR, resting Pd/Pa, and FFR were measured in 1,768 patients from 15 clinical sites. An independent physiology core laboratory performed blinded off-line analysis of all raw data. The primary objectives were to determine specific iFR and Pd/Pa thresholds with ≥90% accuracy in predicting ischemic versus nonischemic FFR (on the basis of an FFR cut point of 0.80) and the proportion of patients falling beyond those thresholds.\nRESULTS: Of 1,974 submitted lesions, 381 (19.3%) were excluded because of suboptimal acquisition, leaving 1,593 for final analysis. On receiver-operating characteristic analysis, the optimal iFR cut point for FFR ≤0.80 was 0.90 (C statistic: 0.81 [95% confidence interval: 0.79 to 0.83]; overall accuracy: 80.4%) and for Pd/Pa was 0.92 (C statistic: 0.82 [95% confidence interval: 0.80 to 0.84]; overall accuracy: 81.5%), with no significant difference between these resting measures. iFR and Pd/Pa had ≥90% accuracy to predict a positive or negative FFR in 64.9% (62.6% to 67.3%) and 48.3% (45.6% to 50.5%) of lesions, respectively.\nCONCLUSIONS: This comprehensive core laboratory analysis comparing iFR and Pd/Pa with FFR demonstrated an overall accuracy of ~80% for both nonhyperemic indices, which can be improved to ≥90% in a subset of lesions. Clinical outcome studies are required to determine whether the use of iFR or Pd/Pa might obviate the need for hyperemia in selected patients.","container-title":"Journal of the American College of Cardiology","DOI":"10.1016/j.jacc.2013.09.060","ISSN":"1558-3597","issue":"13","journalAbbreviation":"J. Am. Coll. Cardiol.","language":"eng","note":"PMID: 24211503","page":"1253-1261","source":"PubMed","title":"Multicenter core laboratory comparison of the instantaneous wave-free ratio and resting Pd/Pa with fractional flow reserve: the RESOLVE study","title-short":"Multicenter core laboratory comparison of the instantaneous wave-free ratio and resting Pd/Pa with fractional flow reserve","volume":"63","author":[{"family":"Jeremias","given":"Allen"},{"family":"Maehara","given":"Akiko"},{"family":"Généreux","given":"Philippe"},{"family":"Asrress","given":"Kaleab N."},{"family":"Berry","given":"Colin"},{"family":"De Bruyne","given":"Bernard"},{"family":"Davies","given":"Justin E."},{"family":"Escaned","given":"Javier"},{"family":"Fearon","given":"William F."},{"family":"Gould","given":"K. Lance"},{"family":"Johnson","given":"Nils P."},{"family":"Kirtane","given":"Ajay J."},{"family":"Koo","given":"Bon-Kwon"},{"family":"Marques","given":"Koen M."},{"family":"Nijjer","given":"Sukhjinder"},{"family":"Oldroyd","given":"Keith G."},{"family":"Petraco","given":"Ricardo"},{"family":"Piek","given":"Jan J."},{"family":"Pijls","given":"Nico H."},{"family":"Redwood","given":"Simon"},{"family":"Siebes","given":"Maria"},{"family":"Spaan","given":"Jos A. E."},{"family":"Veer","given":"Marcel","non-dropping-particle":"van 't"},{"family":"Mintz","given":"Gary S."},{"family":"Stone","given":"Gregg W."}],"issued":{"date-parts":[["2014",4,8]]}}}],"schema":"https://github.com/citation-style-language/schema/raw/master/csl-citation.json"}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(Jeremias et al., 2014)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 binary 'cut off' point for Pd/Pa is usu</w:t>
      </w:r>
      <w:r w:rsidR="006A5BCB">
        <w:rPr>
          <w:rFonts w:ascii="Times New Roman" w:hAnsi="Times New Roman" w:cs="Times New Roman"/>
          <w:sz w:val="24"/>
          <w:szCs w:val="24"/>
        </w:rPr>
        <w:t xml:space="preserve">ally 0.9 - </w:t>
      </w:r>
      <w:r w:rsidRPr="00EC6C19">
        <w:rPr>
          <w:rFonts w:ascii="Times New Roman" w:hAnsi="Times New Roman" w:cs="Times New Roman"/>
          <w:sz w:val="24"/>
          <w:szCs w:val="24"/>
        </w:rPr>
        <w:t>0.92. A change of up to 0.11</w:t>
      </w:r>
      <w:r>
        <w:rPr>
          <w:rFonts w:ascii="Times New Roman" w:hAnsi="Times New Roman" w:cs="Times New Roman"/>
          <w:sz w:val="24"/>
          <w:szCs w:val="24"/>
        </w:rPr>
        <w:t xml:space="preserve"> as seen in some Pd/Pa measurements,</w:t>
      </w:r>
      <w:r w:rsidRPr="00EC6C19">
        <w:rPr>
          <w:rFonts w:ascii="Times New Roman" w:hAnsi="Times New Roman" w:cs="Times New Roman"/>
          <w:sz w:val="24"/>
          <w:szCs w:val="24"/>
        </w:rPr>
        <w:t xml:space="preserve"> could drastically alter decision making in a proportion of patients.</w:t>
      </w:r>
      <w:r>
        <w:rPr>
          <w:rFonts w:ascii="Times New Roman" w:hAnsi="Times New Roman" w:cs="Times New Roman"/>
          <w:sz w:val="24"/>
          <w:szCs w:val="24"/>
        </w:rPr>
        <w:t xml:space="preserve"> It is noteworthy that resting Pd/Pa is not routinely used to guide treatment alone, especially with iFR and other novel resting indices readily available</w:t>
      </w:r>
      <w:r w:rsidR="00123F8C">
        <w:rPr>
          <w:rFonts w:ascii="Times New Roman" w:hAnsi="Times New Roman" w:cs="Times New Roman"/>
          <w:sz w:val="24"/>
          <w:szCs w:val="24"/>
        </w:rPr>
        <w:t>.</w:t>
      </w:r>
    </w:p>
    <w:p w14:paraId="195B0C03" w14:textId="77777777" w:rsidR="00123F8C" w:rsidRPr="00123F8C" w:rsidRDefault="00123F8C" w:rsidP="00BC7A77">
      <w:pPr>
        <w:spacing w:line="360" w:lineRule="auto"/>
        <w:rPr>
          <w:rFonts w:ascii="Times New Roman" w:hAnsi="Times New Roman" w:cs="Times New Roman"/>
          <w:sz w:val="24"/>
          <w:szCs w:val="24"/>
          <w:u w:val="single"/>
        </w:rPr>
      </w:pPr>
      <w:r>
        <w:rPr>
          <w:rFonts w:ascii="Times New Roman" w:hAnsi="Times New Roman" w:cs="Times New Roman"/>
          <w:sz w:val="24"/>
          <w:szCs w:val="24"/>
        </w:rPr>
        <w:t>All Pd/Pa recordings altered in the expected direction based on hydrostatic theory.</w:t>
      </w:r>
      <w:r w:rsidRPr="00123F8C">
        <w:rPr>
          <w:rFonts w:ascii="Times New Roman" w:hAnsi="Times New Roman" w:cs="Times New Roman"/>
          <w:sz w:val="24"/>
          <w:szCs w:val="24"/>
          <w:u w:val="single"/>
        </w:rPr>
        <w:t xml:space="preserve"> </w:t>
      </w:r>
    </w:p>
    <w:p w14:paraId="54E896F2" w14:textId="77777777" w:rsidR="002744EB" w:rsidRPr="00EC6C19" w:rsidRDefault="002744EB" w:rsidP="00BC7A77">
      <w:pPr>
        <w:spacing w:line="360" w:lineRule="auto"/>
        <w:rPr>
          <w:rFonts w:ascii="Times New Roman" w:hAnsi="Times New Roman" w:cs="Times New Roman"/>
          <w:sz w:val="24"/>
          <w:szCs w:val="24"/>
        </w:rPr>
      </w:pPr>
    </w:p>
    <w:p w14:paraId="79F3A32B" w14:textId="77777777" w:rsidR="002744EB" w:rsidRPr="008065E7" w:rsidRDefault="008065E7" w:rsidP="008065E7">
      <w:pPr>
        <w:pStyle w:val="Heading3"/>
        <w:rPr>
          <w:rFonts w:ascii="Times New Roman" w:hAnsi="Times New Roman" w:cs="Times New Roman"/>
          <w:b w:val="0"/>
          <w:i/>
          <w:color w:val="auto"/>
          <w:sz w:val="24"/>
          <w:szCs w:val="24"/>
        </w:rPr>
      </w:pPr>
      <w:bookmarkStart w:id="218" w:name="_Toc80302277"/>
      <w:r w:rsidRPr="008065E7">
        <w:rPr>
          <w:rFonts w:ascii="Times New Roman" w:hAnsi="Times New Roman" w:cs="Times New Roman"/>
          <w:b w:val="0"/>
          <w:i/>
          <w:color w:val="auto"/>
          <w:sz w:val="24"/>
          <w:szCs w:val="24"/>
        </w:rPr>
        <w:t xml:space="preserve">4.4.3 - </w:t>
      </w:r>
      <w:r w:rsidR="003B4D5A" w:rsidRPr="008065E7">
        <w:rPr>
          <w:rFonts w:ascii="Times New Roman" w:hAnsi="Times New Roman" w:cs="Times New Roman"/>
          <w:b w:val="0"/>
          <w:i/>
          <w:color w:val="auto"/>
          <w:sz w:val="24"/>
          <w:szCs w:val="24"/>
        </w:rPr>
        <w:t>iFR</w:t>
      </w:r>
      <w:bookmarkEnd w:id="218"/>
      <w:r>
        <w:rPr>
          <w:rFonts w:ascii="Times New Roman" w:hAnsi="Times New Roman" w:cs="Times New Roman"/>
          <w:b w:val="0"/>
          <w:i/>
          <w:color w:val="auto"/>
          <w:sz w:val="24"/>
          <w:szCs w:val="24"/>
        </w:rPr>
        <w:br/>
      </w:r>
    </w:p>
    <w:p w14:paraId="12C79FFC" w14:textId="77777777" w:rsidR="00C52618" w:rsidRPr="00EC6C19" w:rsidRDefault="00C52618" w:rsidP="00BC7A77">
      <w:pPr>
        <w:spacing w:line="360" w:lineRule="auto"/>
        <w:rPr>
          <w:rFonts w:ascii="Times New Roman" w:hAnsi="Times New Roman" w:cs="Times New Roman"/>
          <w:sz w:val="24"/>
          <w:szCs w:val="24"/>
        </w:rPr>
      </w:pPr>
    </w:p>
    <w:p w14:paraId="0F5147AA" w14:textId="77777777" w:rsidR="00F66617" w:rsidRPr="00EC6C19" w:rsidRDefault="002744EB"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iFR measurements were calculated retrospectively from raw data.</w:t>
      </w:r>
      <w:r w:rsidR="00E206BB" w:rsidRPr="00EC6C19">
        <w:rPr>
          <w:rFonts w:ascii="Times New Roman" w:hAnsi="Times New Roman" w:cs="Times New Roman"/>
          <w:sz w:val="24"/>
          <w:szCs w:val="24"/>
        </w:rPr>
        <w:t xml:space="preserve"> One iFR result could not be retrospectively calculated, as the raw data trace was too short. Therefore 22 results in total were available for analysis.</w:t>
      </w:r>
      <w:r w:rsidR="00670E73">
        <w:rPr>
          <w:rFonts w:ascii="Times New Roman" w:hAnsi="Times New Roman" w:cs="Times New Roman"/>
          <w:sz w:val="24"/>
          <w:szCs w:val="24"/>
        </w:rPr>
        <w:t xml:space="preserve"> RCA iFR was the only subgroup in which statistical significance was not reached, as only five cases were available. All other subgroups of arteries amongst Pd/Pa, iFR and FFR showed statistical significance when comparing prone and supine measurements.</w:t>
      </w:r>
    </w:p>
    <w:p w14:paraId="3C36F251" w14:textId="77777777" w:rsidR="002744EB" w:rsidRPr="00EC6C19" w:rsidRDefault="002744EB" w:rsidP="00BC7A77">
      <w:pPr>
        <w:spacing w:line="360" w:lineRule="auto"/>
        <w:rPr>
          <w:rFonts w:ascii="Times New Roman" w:hAnsi="Times New Roman" w:cs="Times New Roman"/>
          <w:b/>
          <w:sz w:val="24"/>
          <w:szCs w:val="24"/>
          <w:u w:val="single"/>
        </w:rPr>
      </w:pPr>
    </w:p>
    <w:p w14:paraId="22FAD1B0" w14:textId="77777777" w:rsidR="00B64F9B" w:rsidRPr="008065E7" w:rsidRDefault="008065E7" w:rsidP="008065E7">
      <w:pPr>
        <w:pStyle w:val="Heading3"/>
        <w:rPr>
          <w:rFonts w:ascii="Times New Roman" w:hAnsi="Times New Roman" w:cs="Times New Roman"/>
          <w:b w:val="0"/>
          <w:i/>
          <w:color w:val="auto"/>
          <w:sz w:val="24"/>
          <w:szCs w:val="24"/>
        </w:rPr>
      </w:pPr>
      <w:bookmarkStart w:id="219" w:name="_Toc80302278"/>
      <w:r w:rsidRPr="008065E7">
        <w:rPr>
          <w:rFonts w:ascii="Times New Roman" w:hAnsi="Times New Roman" w:cs="Times New Roman"/>
          <w:b w:val="0"/>
          <w:i/>
          <w:color w:val="auto"/>
          <w:sz w:val="24"/>
          <w:szCs w:val="24"/>
        </w:rPr>
        <w:t xml:space="preserve">4.4.4 - </w:t>
      </w:r>
      <w:r w:rsidR="00A64FC1" w:rsidRPr="008065E7">
        <w:rPr>
          <w:rFonts w:ascii="Times New Roman" w:hAnsi="Times New Roman" w:cs="Times New Roman"/>
          <w:b w:val="0"/>
          <w:i/>
          <w:color w:val="auto"/>
          <w:sz w:val="24"/>
          <w:szCs w:val="24"/>
        </w:rPr>
        <w:t>FFR and Hyperaemia</w:t>
      </w:r>
      <w:bookmarkEnd w:id="219"/>
      <w:r>
        <w:rPr>
          <w:rFonts w:ascii="Times New Roman" w:hAnsi="Times New Roman" w:cs="Times New Roman"/>
          <w:b w:val="0"/>
          <w:i/>
          <w:color w:val="auto"/>
          <w:sz w:val="24"/>
          <w:szCs w:val="24"/>
        </w:rPr>
        <w:br/>
      </w:r>
    </w:p>
    <w:p w14:paraId="0B4B12A0" w14:textId="77777777" w:rsidR="00B47CE3" w:rsidRDefault="00B47CE3" w:rsidP="00BC7A77">
      <w:pPr>
        <w:spacing w:line="360" w:lineRule="auto"/>
        <w:rPr>
          <w:rFonts w:ascii="Times New Roman" w:hAnsi="Times New Roman" w:cs="Times New Roman"/>
          <w:sz w:val="24"/>
          <w:szCs w:val="24"/>
        </w:rPr>
      </w:pPr>
    </w:p>
    <w:p w14:paraId="5A1634C1" w14:textId="77777777" w:rsidR="00D80EAC" w:rsidRPr="00EC6C19" w:rsidRDefault="00A64FC1" w:rsidP="00BC7A77">
      <w:pPr>
        <w:spacing w:line="360" w:lineRule="auto"/>
        <w:rPr>
          <w:rFonts w:ascii="Times New Roman" w:hAnsi="Times New Roman" w:cs="Times New Roman"/>
          <w:sz w:val="24"/>
          <w:szCs w:val="24"/>
        </w:rPr>
      </w:pPr>
      <w:r>
        <w:rPr>
          <w:rFonts w:ascii="Times New Roman" w:hAnsi="Times New Roman" w:cs="Times New Roman"/>
          <w:sz w:val="24"/>
          <w:szCs w:val="24"/>
        </w:rPr>
        <w:t>Hyperaemia is a distinct variable between FFR and iFR or Pd/Pa.</w:t>
      </w:r>
      <w:r w:rsidR="00D80EAC" w:rsidRPr="00EC6C19">
        <w:rPr>
          <w:rFonts w:ascii="Times New Roman" w:hAnsi="Times New Roman" w:cs="Times New Roman"/>
          <w:sz w:val="24"/>
          <w:szCs w:val="24"/>
        </w:rPr>
        <w:t xml:space="preserve"> On average the Pa pressure did vary between </w:t>
      </w:r>
      <w:r>
        <w:rPr>
          <w:rFonts w:ascii="Times New Roman" w:hAnsi="Times New Roman" w:cs="Times New Roman"/>
          <w:sz w:val="24"/>
          <w:szCs w:val="24"/>
        </w:rPr>
        <w:t>resting</w:t>
      </w:r>
      <w:r w:rsidR="006A5BCB">
        <w:rPr>
          <w:rFonts w:ascii="Times New Roman" w:hAnsi="Times New Roman" w:cs="Times New Roman"/>
          <w:sz w:val="24"/>
          <w:szCs w:val="24"/>
        </w:rPr>
        <w:t xml:space="preserve"> measurements and hyperaemia</w:t>
      </w:r>
      <w:r w:rsidR="00D80EAC" w:rsidRPr="00EC6C19">
        <w:rPr>
          <w:rFonts w:ascii="Times New Roman" w:hAnsi="Times New Roman" w:cs="Times New Roman"/>
          <w:sz w:val="24"/>
          <w:szCs w:val="24"/>
        </w:rPr>
        <w:t xml:space="preserve">. </w:t>
      </w:r>
      <w:r w:rsidR="006A5BCB">
        <w:rPr>
          <w:rFonts w:ascii="Times New Roman" w:hAnsi="Times New Roman" w:cs="Times New Roman"/>
          <w:sz w:val="24"/>
          <w:szCs w:val="24"/>
        </w:rPr>
        <w:t xml:space="preserve">Furthermore, supine Pa pressure was </w:t>
      </w:r>
      <w:r w:rsidR="00B47CE3">
        <w:rPr>
          <w:rFonts w:ascii="Times New Roman" w:hAnsi="Times New Roman" w:cs="Times New Roman"/>
          <w:sz w:val="24"/>
          <w:szCs w:val="24"/>
        </w:rPr>
        <w:t xml:space="preserve">lower than prone Pa </w:t>
      </w:r>
      <w:r w:rsidR="00B47CE3" w:rsidRPr="007C0B62">
        <w:rPr>
          <w:rFonts w:ascii="Times New Roman" w:hAnsi="Times New Roman" w:cs="Times New Roman"/>
          <w:sz w:val="24"/>
          <w:szCs w:val="24"/>
        </w:rPr>
        <w:t>pressure</w:t>
      </w:r>
      <w:r w:rsidR="00D80EAC" w:rsidRPr="007C0B62">
        <w:rPr>
          <w:rFonts w:ascii="Times New Roman" w:hAnsi="Times New Roman" w:cs="Times New Roman"/>
          <w:sz w:val="24"/>
          <w:szCs w:val="24"/>
        </w:rPr>
        <w:t xml:space="preserve">. Table </w:t>
      </w:r>
      <w:r w:rsidR="007C0B62" w:rsidRPr="007C0B62">
        <w:rPr>
          <w:rFonts w:ascii="Times New Roman" w:hAnsi="Times New Roman" w:cs="Times New Roman"/>
          <w:sz w:val="24"/>
          <w:szCs w:val="24"/>
        </w:rPr>
        <w:t>36</w:t>
      </w:r>
      <w:r w:rsidR="00D80EAC" w:rsidRPr="007C0B62">
        <w:rPr>
          <w:rFonts w:ascii="Times New Roman" w:hAnsi="Times New Roman" w:cs="Times New Roman"/>
          <w:sz w:val="24"/>
          <w:szCs w:val="24"/>
        </w:rPr>
        <w:t xml:space="preserve"> summarises</w:t>
      </w:r>
      <w:r w:rsidR="00B47CE3">
        <w:rPr>
          <w:rFonts w:ascii="Times New Roman" w:hAnsi="Times New Roman" w:cs="Times New Roman"/>
          <w:sz w:val="24"/>
          <w:szCs w:val="24"/>
        </w:rPr>
        <w:t xml:space="preserve"> the differences</w:t>
      </w:r>
      <w:r w:rsidR="00D80EAC" w:rsidRPr="00EC6C19">
        <w:rPr>
          <w:rFonts w:ascii="Times New Roman" w:hAnsi="Times New Roman" w:cs="Times New Roman"/>
          <w:sz w:val="24"/>
          <w:szCs w:val="24"/>
        </w:rPr>
        <w:t>.</w:t>
      </w:r>
    </w:p>
    <w:p w14:paraId="20F2A589" w14:textId="77777777" w:rsidR="001810C2" w:rsidRPr="00EC6C19" w:rsidRDefault="001810C2" w:rsidP="00BC7A77">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3132"/>
        <w:gridCol w:w="3114"/>
        <w:gridCol w:w="3114"/>
      </w:tblGrid>
      <w:tr w:rsidR="001810C2" w:rsidRPr="00EC6C19" w14:paraId="5B19276B" w14:textId="77777777" w:rsidTr="00A64FC1">
        <w:tc>
          <w:tcPr>
            <w:tcW w:w="3192" w:type="dxa"/>
            <w:shd w:val="clear" w:color="auto" w:fill="F2F2F2" w:themeFill="background1" w:themeFillShade="F2"/>
          </w:tcPr>
          <w:p w14:paraId="17C52EF2" w14:textId="77777777" w:rsidR="001810C2" w:rsidRPr="00EC6C19" w:rsidRDefault="001810C2" w:rsidP="00E642C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Measurement</w:t>
            </w:r>
          </w:p>
          <w:p w14:paraId="02A6B9E8" w14:textId="77777777" w:rsidR="001810C2" w:rsidRPr="00EC6C19" w:rsidRDefault="001810C2" w:rsidP="00E642C3">
            <w:pPr>
              <w:spacing w:line="360" w:lineRule="auto"/>
              <w:jc w:val="center"/>
              <w:rPr>
                <w:rFonts w:ascii="Times New Roman" w:hAnsi="Times New Roman" w:cs="Times New Roman"/>
                <w:sz w:val="24"/>
                <w:szCs w:val="24"/>
              </w:rPr>
            </w:pPr>
          </w:p>
        </w:tc>
        <w:tc>
          <w:tcPr>
            <w:tcW w:w="3192" w:type="dxa"/>
            <w:shd w:val="clear" w:color="auto" w:fill="F2F2F2" w:themeFill="background1" w:themeFillShade="F2"/>
          </w:tcPr>
          <w:p w14:paraId="5136B167" w14:textId="77777777" w:rsidR="001810C2" w:rsidRPr="00EC6C19" w:rsidRDefault="001810C2" w:rsidP="00E642C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Prone Pa (mmHg)</w:t>
            </w:r>
          </w:p>
        </w:tc>
        <w:tc>
          <w:tcPr>
            <w:tcW w:w="3192" w:type="dxa"/>
            <w:shd w:val="clear" w:color="auto" w:fill="F2F2F2" w:themeFill="background1" w:themeFillShade="F2"/>
          </w:tcPr>
          <w:p w14:paraId="3A409822" w14:textId="77777777" w:rsidR="001810C2" w:rsidRPr="00EC6C19" w:rsidRDefault="001810C2" w:rsidP="00E642C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Supine Pa (mmHg)</w:t>
            </w:r>
          </w:p>
        </w:tc>
      </w:tr>
      <w:tr w:rsidR="001810C2" w:rsidRPr="00EC6C19" w14:paraId="562D34B3" w14:textId="77777777" w:rsidTr="00A64FC1">
        <w:tc>
          <w:tcPr>
            <w:tcW w:w="3192" w:type="dxa"/>
            <w:shd w:val="clear" w:color="auto" w:fill="FFFFFF" w:themeFill="background1"/>
          </w:tcPr>
          <w:p w14:paraId="6F0A1041" w14:textId="77777777" w:rsidR="001810C2" w:rsidRPr="00EC6C19" w:rsidRDefault="001810C2" w:rsidP="00E642C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Pd/Pa</w:t>
            </w:r>
            <w:r w:rsidR="00CF6AE8" w:rsidRPr="00EC6C19">
              <w:rPr>
                <w:rFonts w:ascii="Times New Roman" w:hAnsi="Times New Roman" w:cs="Times New Roman"/>
                <w:sz w:val="24"/>
                <w:szCs w:val="24"/>
              </w:rPr>
              <w:t xml:space="preserve"> and iFR</w:t>
            </w:r>
          </w:p>
          <w:p w14:paraId="701E8C64" w14:textId="77777777" w:rsidR="001810C2" w:rsidRPr="00EC6C19" w:rsidRDefault="001810C2" w:rsidP="00E642C3">
            <w:pPr>
              <w:spacing w:line="360" w:lineRule="auto"/>
              <w:jc w:val="center"/>
              <w:rPr>
                <w:rFonts w:ascii="Times New Roman" w:hAnsi="Times New Roman" w:cs="Times New Roman"/>
                <w:sz w:val="24"/>
                <w:szCs w:val="24"/>
              </w:rPr>
            </w:pPr>
          </w:p>
        </w:tc>
        <w:tc>
          <w:tcPr>
            <w:tcW w:w="3192" w:type="dxa"/>
            <w:shd w:val="clear" w:color="auto" w:fill="FFFFFF" w:themeFill="background1"/>
          </w:tcPr>
          <w:p w14:paraId="5EFCBF0E" w14:textId="77777777" w:rsidR="001810C2" w:rsidRPr="00EC6C19" w:rsidRDefault="001810C2" w:rsidP="00E642C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97</w:t>
            </w:r>
          </w:p>
        </w:tc>
        <w:tc>
          <w:tcPr>
            <w:tcW w:w="3192" w:type="dxa"/>
            <w:shd w:val="clear" w:color="auto" w:fill="FFFFFF" w:themeFill="background1"/>
          </w:tcPr>
          <w:p w14:paraId="213A5720" w14:textId="77777777" w:rsidR="001810C2" w:rsidRPr="00EC6C19" w:rsidRDefault="001810C2" w:rsidP="00E642C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92</w:t>
            </w:r>
          </w:p>
        </w:tc>
      </w:tr>
      <w:tr w:rsidR="001810C2" w:rsidRPr="00EC6C19" w14:paraId="01C2FEDE" w14:textId="77777777" w:rsidTr="00A64FC1">
        <w:tc>
          <w:tcPr>
            <w:tcW w:w="3192" w:type="dxa"/>
            <w:shd w:val="clear" w:color="auto" w:fill="FFFFFF" w:themeFill="background1"/>
          </w:tcPr>
          <w:p w14:paraId="1F4B9B35" w14:textId="77777777" w:rsidR="001810C2" w:rsidRPr="00EC6C19" w:rsidRDefault="001810C2" w:rsidP="00E642C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FFR</w:t>
            </w:r>
          </w:p>
          <w:p w14:paraId="328E1479" w14:textId="77777777" w:rsidR="001810C2" w:rsidRPr="00EC6C19" w:rsidRDefault="001810C2" w:rsidP="00E642C3">
            <w:pPr>
              <w:spacing w:line="360" w:lineRule="auto"/>
              <w:jc w:val="center"/>
              <w:rPr>
                <w:rFonts w:ascii="Times New Roman" w:hAnsi="Times New Roman" w:cs="Times New Roman"/>
                <w:sz w:val="24"/>
                <w:szCs w:val="24"/>
              </w:rPr>
            </w:pPr>
          </w:p>
        </w:tc>
        <w:tc>
          <w:tcPr>
            <w:tcW w:w="3192" w:type="dxa"/>
            <w:shd w:val="clear" w:color="auto" w:fill="FFFFFF" w:themeFill="background1"/>
          </w:tcPr>
          <w:p w14:paraId="0FB44618" w14:textId="77777777" w:rsidR="001810C2" w:rsidRPr="00EC6C19" w:rsidRDefault="001810C2" w:rsidP="00E642C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95</w:t>
            </w:r>
          </w:p>
        </w:tc>
        <w:tc>
          <w:tcPr>
            <w:tcW w:w="3192" w:type="dxa"/>
            <w:shd w:val="clear" w:color="auto" w:fill="FFFFFF" w:themeFill="background1"/>
          </w:tcPr>
          <w:p w14:paraId="11F1BBEC" w14:textId="77777777" w:rsidR="001810C2" w:rsidRPr="00EC6C19" w:rsidRDefault="001810C2" w:rsidP="00E642C3">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89</w:t>
            </w:r>
          </w:p>
        </w:tc>
      </w:tr>
    </w:tbl>
    <w:p w14:paraId="30B82B9E" w14:textId="77777777" w:rsidR="00D80EAC" w:rsidRPr="007C0B62" w:rsidRDefault="007C0B62" w:rsidP="007C0B62">
      <w:pPr>
        <w:pStyle w:val="Caption"/>
        <w:spacing w:line="360" w:lineRule="auto"/>
        <w:rPr>
          <w:rFonts w:ascii="Times New Roman" w:hAnsi="Times New Roman" w:cs="Times New Roman"/>
          <w:b w:val="0"/>
          <w:i/>
          <w:color w:val="auto"/>
          <w:sz w:val="24"/>
          <w:szCs w:val="24"/>
        </w:rPr>
      </w:pPr>
      <w:r>
        <w:rPr>
          <w:rFonts w:ascii="Times New Roman" w:hAnsi="Times New Roman" w:cs="Times New Roman"/>
          <w:i/>
          <w:sz w:val="24"/>
          <w:szCs w:val="24"/>
        </w:rPr>
        <w:br/>
      </w:r>
      <w:bookmarkStart w:id="220" w:name="_Toc44962612"/>
      <w:r w:rsidRPr="007C0B62">
        <w:rPr>
          <w:rFonts w:ascii="Times New Roman" w:hAnsi="Times New Roman" w:cs="Times New Roman"/>
          <w:b w:val="0"/>
          <w:i/>
          <w:color w:val="auto"/>
          <w:sz w:val="24"/>
          <w:szCs w:val="24"/>
        </w:rPr>
        <w:t xml:space="preserve">Table </w:t>
      </w:r>
      <w:r w:rsidR="00106A32" w:rsidRPr="007C0B62">
        <w:rPr>
          <w:rFonts w:ascii="Times New Roman" w:hAnsi="Times New Roman" w:cs="Times New Roman"/>
          <w:b w:val="0"/>
          <w:i/>
          <w:color w:val="auto"/>
          <w:sz w:val="24"/>
          <w:szCs w:val="24"/>
        </w:rPr>
        <w:fldChar w:fldCharType="begin"/>
      </w:r>
      <w:r w:rsidRPr="007C0B62">
        <w:rPr>
          <w:rFonts w:ascii="Times New Roman" w:hAnsi="Times New Roman" w:cs="Times New Roman"/>
          <w:b w:val="0"/>
          <w:i/>
          <w:color w:val="auto"/>
          <w:sz w:val="24"/>
          <w:szCs w:val="24"/>
        </w:rPr>
        <w:instrText xml:space="preserve"> SEQ Table \* ARABIC </w:instrText>
      </w:r>
      <w:r w:rsidR="00106A32" w:rsidRPr="007C0B6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36</w:t>
      </w:r>
      <w:r w:rsidR="00106A32" w:rsidRPr="007C0B62">
        <w:rPr>
          <w:rFonts w:ascii="Times New Roman" w:hAnsi="Times New Roman" w:cs="Times New Roman"/>
          <w:b w:val="0"/>
          <w:i/>
          <w:color w:val="auto"/>
          <w:sz w:val="24"/>
          <w:szCs w:val="24"/>
        </w:rPr>
        <w:fldChar w:fldCharType="end"/>
      </w:r>
      <w:r w:rsidRPr="007C0B62">
        <w:rPr>
          <w:rFonts w:ascii="Times New Roman" w:hAnsi="Times New Roman" w:cs="Times New Roman"/>
          <w:b w:val="0"/>
          <w:i/>
          <w:color w:val="auto"/>
          <w:sz w:val="24"/>
          <w:szCs w:val="24"/>
        </w:rPr>
        <w:t xml:space="preserve"> - Pa Pressure During Prone and Supine Pd/Pa, iFR and FFR.</w:t>
      </w:r>
      <w:bookmarkEnd w:id="220"/>
    </w:p>
    <w:p w14:paraId="246E233F" w14:textId="77777777" w:rsidR="001810C2" w:rsidRPr="00EC6C19" w:rsidRDefault="001810C2" w:rsidP="00BC7A77">
      <w:pPr>
        <w:spacing w:line="360" w:lineRule="auto"/>
        <w:rPr>
          <w:rFonts w:ascii="Times New Roman" w:hAnsi="Times New Roman" w:cs="Times New Roman"/>
          <w:i/>
          <w:sz w:val="24"/>
          <w:szCs w:val="24"/>
        </w:rPr>
      </w:pPr>
    </w:p>
    <w:p w14:paraId="304AE002" w14:textId="583795DF" w:rsidR="001810C2" w:rsidRPr="00EC6C19" w:rsidRDefault="001810C2"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As </w:t>
      </w:r>
      <w:r w:rsidRPr="003E2AD3">
        <w:rPr>
          <w:rFonts w:ascii="Times New Roman" w:hAnsi="Times New Roman" w:cs="Times New Roman"/>
          <w:sz w:val="24"/>
          <w:szCs w:val="24"/>
        </w:rPr>
        <w:t xml:space="preserve">described in section </w:t>
      </w:r>
      <w:r w:rsidR="003E2AD3" w:rsidRPr="003E2AD3">
        <w:rPr>
          <w:rFonts w:ascii="Times New Roman" w:hAnsi="Times New Roman" w:cs="Times New Roman"/>
          <w:sz w:val="24"/>
          <w:szCs w:val="24"/>
        </w:rPr>
        <w:t>1.15.3</w:t>
      </w:r>
      <w:r w:rsidRPr="003E2AD3">
        <w:rPr>
          <w:rFonts w:ascii="Times New Roman" w:hAnsi="Times New Roman" w:cs="Times New Roman"/>
          <w:sz w:val="24"/>
          <w:szCs w:val="24"/>
        </w:rPr>
        <w:t>, the Pa</w:t>
      </w:r>
      <w:r w:rsidRPr="00EC6C19">
        <w:rPr>
          <w:rFonts w:ascii="Times New Roman" w:hAnsi="Times New Roman" w:cs="Times New Roman"/>
          <w:sz w:val="24"/>
          <w:szCs w:val="24"/>
        </w:rPr>
        <w:t xml:space="preserve"> pressure is directly related to the hydrostatic effect on Pd/Pa and FFR. A lower Pa pressure amplifies the effect of pressure change in the artery when calculating Pd/Pa for FFR</w:t>
      </w:r>
      <w:r w:rsidR="00620062" w:rsidRPr="00EC6C19">
        <w:rPr>
          <w:rFonts w:ascii="Times New Roman" w:hAnsi="Times New Roman" w:cs="Times New Roman"/>
          <w:sz w:val="24"/>
          <w:szCs w:val="24"/>
        </w:rPr>
        <w:t xml:space="preserve"> by directly altering the denominator in the equation</w:t>
      </w:r>
      <w:r w:rsidRPr="00EC6C19">
        <w:rPr>
          <w:rFonts w:ascii="Times New Roman" w:hAnsi="Times New Roman" w:cs="Times New Roman"/>
          <w:sz w:val="24"/>
          <w:szCs w:val="24"/>
        </w:rPr>
        <w:t>. For example, a change in Pd of 5mmHg leads to a change in Pd/Pa of 0.07 at a Pa pressure of 80</w:t>
      </w:r>
      <w:r w:rsidR="00D164ED">
        <w:rPr>
          <w:rFonts w:ascii="Times New Roman" w:hAnsi="Times New Roman" w:cs="Times New Roman"/>
          <w:sz w:val="24"/>
          <w:szCs w:val="24"/>
        </w:rPr>
        <w:t xml:space="preserve"> </w:t>
      </w:r>
      <w:r w:rsidRPr="00EC6C19">
        <w:rPr>
          <w:rFonts w:ascii="Times New Roman" w:hAnsi="Times New Roman" w:cs="Times New Roman"/>
          <w:sz w:val="24"/>
          <w:szCs w:val="24"/>
        </w:rPr>
        <w:t>mmHg, but only 0.04 at 120</w:t>
      </w:r>
      <w:r w:rsidR="00D164ED">
        <w:rPr>
          <w:rFonts w:ascii="Times New Roman" w:hAnsi="Times New Roman" w:cs="Times New Roman"/>
          <w:sz w:val="24"/>
          <w:szCs w:val="24"/>
        </w:rPr>
        <w:t xml:space="preserve"> </w:t>
      </w:r>
      <w:r w:rsidRPr="00EC6C19">
        <w:rPr>
          <w:rFonts w:ascii="Times New Roman" w:hAnsi="Times New Roman" w:cs="Times New Roman"/>
          <w:sz w:val="24"/>
          <w:szCs w:val="24"/>
        </w:rPr>
        <w:t xml:space="preserve">mmHg. This could be a potential explanation for the difference in FFR delta, and Pd/Pa delta. </w:t>
      </w:r>
    </w:p>
    <w:p w14:paraId="43808870" w14:textId="77777777" w:rsidR="001810C2" w:rsidRPr="00EC6C19" w:rsidRDefault="006A5BCB" w:rsidP="00BC7A77">
      <w:pPr>
        <w:spacing w:line="360" w:lineRule="auto"/>
        <w:rPr>
          <w:rFonts w:ascii="Times New Roman" w:hAnsi="Times New Roman" w:cs="Times New Roman"/>
          <w:sz w:val="24"/>
          <w:szCs w:val="24"/>
        </w:rPr>
      </w:pPr>
      <w:r>
        <w:rPr>
          <w:rFonts w:ascii="Times New Roman" w:hAnsi="Times New Roman" w:cs="Times New Roman"/>
          <w:sz w:val="24"/>
          <w:szCs w:val="24"/>
        </w:rPr>
        <w:t xml:space="preserve">Adenosine infusion and hyperaemia is the cause for a </w:t>
      </w:r>
      <w:r w:rsidR="001810C2" w:rsidRPr="00EC6C19">
        <w:rPr>
          <w:rFonts w:ascii="Times New Roman" w:hAnsi="Times New Roman" w:cs="Times New Roman"/>
          <w:sz w:val="24"/>
          <w:szCs w:val="24"/>
        </w:rPr>
        <w:t>drop</w:t>
      </w:r>
      <w:r>
        <w:rPr>
          <w:rFonts w:ascii="Times New Roman" w:hAnsi="Times New Roman" w:cs="Times New Roman"/>
          <w:sz w:val="24"/>
          <w:szCs w:val="24"/>
        </w:rPr>
        <w:t xml:space="preserve"> in Pa</w:t>
      </w:r>
      <w:r w:rsidR="001810C2" w:rsidRPr="00EC6C19">
        <w:rPr>
          <w:rFonts w:ascii="Times New Roman" w:hAnsi="Times New Roman" w:cs="Times New Roman"/>
          <w:sz w:val="24"/>
          <w:szCs w:val="24"/>
        </w:rPr>
        <w:t xml:space="preserve"> when comparing </w:t>
      </w:r>
      <w:r>
        <w:rPr>
          <w:rFonts w:ascii="Times New Roman" w:hAnsi="Times New Roman" w:cs="Times New Roman"/>
          <w:sz w:val="24"/>
          <w:szCs w:val="24"/>
        </w:rPr>
        <w:t>resting indices</w:t>
      </w:r>
      <w:r w:rsidR="001810C2" w:rsidRPr="00EC6C19">
        <w:rPr>
          <w:rFonts w:ascii="Times New Roman" w:hAnsi="Times New Roman" w:cs="Times New Roman"/>
          <w:sz w:val="24"/>
          <w:szCs w:val="24"/>
        </w:rPr>
        <w:t xml:space="preserve"> and FFR. </w:t>
      </w:r>
      <w:r>
        <w:rPr>
          <w:rFonts w:ascii="Times New Roman" w:hAnsi="Times New Roman" w:cs="Times New Roman"/>
          <w:sz w:val="24"/>
          <w:szCs w:val="24"/>
        </w:rPr>
        <w:t>The cause of a lower supine Pa compared to prone Pa is uncertain and</w:t>
      </w:r>
      <w:r w:rsidR="001810C2" w:rsidRPr="00EC6C19">
        <w:rPr>
          <w:rFonts w:ascii="Times New Roman" w:hAnsi="Times New Roman" w:cs="Times New Roman"/>
          <w:sz w:val="24"/>
          <w:szCs w:val="24"/>
        </w:rPr>
        <w:t xml:space="preserve"> likely multi</w:t>
      </w:r>
      <w:r w:rsidR="00945AA5" w:rsidRPr="00EC6C19">
        <w:rPr>
          <w:rFonts w:ascii="Times New Roman" w:hAnsi="Times New Roman" w:cs="Times New Roman"/>
          <w:sz w:val="24"/>
          <w:szCs w:val="24"/>
        </w:rPr>
        <w:t>-</w:t>
      </w:r>
      <w:r w:rsidR="001810C2" w:rsidRPr="00EC6C19">
        <w:rPr>
          <w:rFonts w:ascii="Times New Roman" w:hAnsi="Times New Roman" w:cs="Times New Roman"/>
          <w:sz w:val="24"/>
          <w:szCs w:val="24"/>
        </w:rPr>
        <w:t>factoria</w:t>
      </w:r>
      <w:r w:rsidR="001A4C2E" w:rsidRPr="00EC6C19">
        <w:rPr>
          <w:rFonts w:ascii="Times New Roman" w:hAnsi="Times New Roman" w:cs="Times New Roman"/>
          <w:sz w:val="24"/>
          <w:szCs w:val="24"/>
        </w:rPr>
        <w:t>l. As per study protocol, prone measurements were performed first, followed by supine measurements after the turning manoeuvre. Therefore, supine measurements, would have potentially had two doses of intravenous nitrates</w:t>
      </w:r>
      <w:r w:rsidR="00A64FC1">
        <w:rPr>
          <w:rFonts w:ascii="Times New Roman" w:hAnsi="Times New Roman" w:cs="Times New Roman"/>
          <w:sz w:val="24"/>
          <w:szCs w:val="24"/>
        </w:rPr>
        <w:t xml:space="preserve"> and adenosine</w:t>
      </w:r>
      <w:r w:rsidR="001A4C2E" w:rsidRPr="00EC6C19">
        <w:rPr>
          <w:rFonts w:ascii="Times New Roman" w:hAnsi="Times New Roman" w:cs="Times New Roman"/>
          <w:sz w:val="24"/>
          <w:szCs w:val="24"/>
        </w:rPr>
        <w:t xml:space="preserve">. The patient would have also </w:t>
      </w:r>
      <w:r w:rsidR="001577FA" w:rsidRPr="00EC6C19">
        <w:rPr>
          <w:rFonts w:ascii="Times New Roman" w:hAnsi="Times New Roman" w:cs="Times New Roman"/>
          <w:sz w:val="24"/>
          <w:szCs w:val="24"/>
        </w:rPr>
        <w:t xml:space="preserve">been exposed to </w:t>
      </w:r>
      <w:r w:rsidR="00A64FC1">
        <w:rPr>
          <w:rFonts w:ascii="Times New Roman" w:hAnsi="Times New Roman" w:cs="Times New Roman"/>
          <w:sz w:val="24"/>
          <w:szCs w:val="24"/>
        </w:rPr>
        <w:t xml:space="preserve">an </w:t>
      </w:r>
      <w:r w:rsidR="001577FA" w:rsidRPr="00EC6C19">
        <w:rPr>
          <w:rFonts w:ascii="Times New Roman" w:hAnsi="Times New Roman" w:cs="Times New Roman"/>
          <w:sz w:val="24"/>
          <w:szCs w:val="24"/>
        </w:rPr>
        <w:t xml:space="preserve">increasing length of time </w:t>
      </w:r>
      <w:r w:rsidR="001A4C2E" w:rsidRPr="00EC6C19">
        <w:rPr>
          <w:rFonts w:ascii="Times New Roman" w:hAnsi="Times New Roman" w:cs="Times New Roman"/>
          <w:sz w:val="24"/>
          <w:szCs w:val="24"/>
        </w:rPr>
        <w:t>on the angiography table</w:t>
      </w:r>
      <w:r w:rsidR="001577FA" w:rsidRPr="00EC6C19">
        <w:rPr>
          <w:rFonts w:ascii="Times New Roman" w:hAnsi="Times New Roman" w:cs="Times New Roman"/>
          <w:sz w:val="24"/>
          <w:szCs w:val="24"/>
        </w:rPr>
        <w:t>,</w:t>
      </w:r>
      <w:r w:rsidR="001A4C2E" w:rsidRPr="00EC6C19">
        <w:rPr>
          <w:rFonts w:ascii="Times New Roman" w:hAnsi="Times New Roman" w:cs="Times New Roman"/>
          <w:sz w:val="24"/>
          <w:szCs w:val="24"/>
        </w:rPr>
        <w:t xml:space="preserve"> potentially leading to </w:t>
      </w:r>
      <w:r w:rsidR="001577FA" w:rsidRPr="00EC6C19">
        <w:rPr>
          <w:rFonts w:ascii="Times New Roman" w:hAnsi="Times New Roman" w:cs="Times New Roman"/>
          <w:sz w:val="24"/>
          <w:szCs w:val="24"/>
        </w:rPr>
        <w:t>g</w:t>
      </w:r>
      <w:r w:rsidR="005A3B9A" w:rsidRPr="00EC6C19">
        <w:rPr>
          <w:rFonts w:ascii="Times New Roman" w:hAnsi="Times New Roman" w:cs="Times New Roman"/>
          <w:sz w:val="24"/>
          <w:szCs w:val="24"/>
        </w:rPr>
        <w:t>reater intravascular depletion.</w:t>
      </w:r>
    </w:p>
    <w:p w14:paraId="34FF171E" w14:textId="77777777" w:rsidR="00235977" w:rsidRDefault="006A5BCB" w:rsidP="00BC7A77">
      <w:pPr>
        <w:spacing w:line="360" w:lineRule="auto"/>
        <w:rPr>
          <w:rFonts w:ascii="Times New Roman" w:hAnsi="Times New Roman" w:cs="Times New Roman"/>
          <w:sz w:val="24"/>
          <w:szCs w:val="24"/>
        </w:rPr>
      </w:pPr>
      <w:r>
        <w:rPr>
          <w:rFonts w:ascii="Times New Roman" w:hAnsi="Times New Roman" w:cs="Times New Roman"/>
          <w:sz w:val="24"/>
          <w:szCs w:val="24"/>
        </w:rPr>
        <w:t xml:space="preserve">One may expect a small variation due to inherent error rates in equipment. </w:t>
      </w:r>
      <w:r w:rsidR="004477E3" w:rsidRPr="004477E3">
        <w:rPr>
          <w:rFonts w:ascii="Times New Roman" w:hAnsi="Times New Roman" w:cs="Times New Roman"/>
          <w:sz w:val="24"/>
          <w:szCs w:val="24"/>
        </w:rPr>
        <w:t xml:space="preserve">FFR has been shown to be a highly reproducible </w:t>
      </w:r>
      <w:r w:rsidR="004477E3">
        <w:rPr>
          <w:rFonts w:ascii="Times New Roman" w:hAnsi="Times New Roman" w:cs="Times New Roman"/>
          <w:sz w:val="24"/>
          <w:szCs w:val="24"/>
        </w:rPr>
        <w:t>measure. Ne</w:t>
      </w:r>
      <w:r w:rsidR="004477E3" w:rsidRPr="004477E3">
        <w:rPr>
          <w:rFonts w:ascii="Times New Roman" w:hAnsi="Times New Roman" w:cs="Times New Roman"/>
          <w:sz w:val="24"/>
          <w:szCs w:val="24"/>
        </w:rPr>
        <w:t xml:space="preserve">vertheless, studies analysing paired tests in the same artery and stenosis demonstrate a standard deviation of 0.02 between measurements </w:t>
      </w:r>
      <w:r w:rsidR="00106A32" w:rsidRPr="004477E3">
        <w:rPr>
          <w:rFonts w:ascii="Times New Roman" w:hAnsi="Times New Roman" w:cs="Times New Roman"/>
          <w:sz w:val="24"/>
          <w:szCs w:val="24"/>
        </w:rPr>
        <w:fldChar w:fldCharType="begin"/>
      </w:r>
      <w:r w:rsidR="004477E3" w:rsidRPr="004477E3">
        <w:rPr>
          <w:rFonts w:ascii="Times New Roman" w:hAnsi="Times New Roman" w:cs="Times New Roman"/>
          <w:sz w:val="24"/>
          <w:szCs w:val="24"/>
        </w:rPr>
        <w:instrText xml:space="preserve"> ADDIN ZOTERO_ITEM CSL_CITATION {"citationID":"INn9ifNp","properties":{"formattedCitation":"(Johnson et al., 2015)","plainCitation":"(Johnson et al., 2015)","noteIndex":0},"citationItems":[{"id":653,"uris":["http://zotero.org/users/local/k67tNDdX/items/U2M9S6VC"],"uri":["http://zotero.org/users/local/k67tNDdX/items/U2M9S6VC"],"itemData":{"id":653,"type":"article-journal","abstract":"Objectives\nThis study classified and quantified the variation in fractional flow reserve (FFR) due to fluctuations in systemic and coronary hemodynamics during intravenous adenosine infusion.\nBackground\nAlthough FFR has become a key invasive tool to guide treatment, questions remain regarding its repeatability and stability during intravenous adenosine infusion because of systemic effects that can alter driving pressure and heart rate.\nMethods\nWe reanalyzed data from the VERIFY (VERification of Instantaneous Wave-Free Ratio and Fractional Flow Reserve for the Assessment of Coronary Artery Stenosis Severity in EverydaY Practice) study, which enrolled consecutive patients who were infused with intravenous adenosine at 140 μg/kg/min and measured FFR twice. Raw phasic pressure tracings from the aorta (Pa) and distal coronary artery (Pd) were transformed into moving averages of Pd/Pa. Visual analysis grouped Pd/Pa curves into patterns of similar response. Quantitative analysis of the Pd/Pa curves identified the “smart minimum” FFR using a novel algorithm, which was compared with human core laboratory analysis.\nResults\nA total of 190 complete pairs came from 206 patients after exclusions. Visual analysis revealed 3 Pd/Pa patterns: “classic” (sigmoid) in 57%, “humped” (sigmoid with superimposed bumps of varying height) in 39%, and “unusual” (no pattern) in 4%. The Pd/Pa pattern repeated itself in 67% of patient pairs. Despite variability of Pd/Pa during the hyperemic period, the “smart minimum” FFR demonstrated excellent repeatability (bias −0.001, SD 0.018, paired p = 0.93, r2 = 98.2%, coefficient of variation = 2.5%). Our algorithm produced FFR values not significantly different from human core laboratory analysis (paired p = 0.43 vs. VERIFY; p = 0.34 vs. RESOLVE).\nConclusions\nIntravenous adenosine produced 3 general patterns of Pd/Pa response, with associated variability in aortic and coronary pressure and heart rate during the hyperemic period. Nevertheless, FFR – when chosen appropriately – proved to be a highly reproducible value. Therefore, operators can confidently select the “smart minimum” FFR for patient care. Our results suggest that this selection process can be automated, yet comparable to human core laboratory analysis.","container-title":"JACC: Cardiovascular Interventions","DOI":"10.1016/j.jcin.2015.01.039","ISSN":"1936-8798","issue":"8","journalAbbreviation":"JACC: Cardiovascular Interventions","page":"1018-1027","source":"ScienceDirect","title":"Repeatability of Fractional Flow Reserve Despite Variations in Systemic and Coronary Hemodynamics","volume":"8","author":[{"family":"Johnson","given":"Nils P."},{"family":"Johnson","given":"Daniel T."},{"family":"Kirkeeide","given":"Richard L."},{"family":"Berry","given":"Colin"},{"family":"De Bruyne","given":"Bernard"},{"family":"Fearon","given":"William F."},{"family":"Oldroyd","given":"Keith G."},{"family":"Pijls","given":"Nico H. J."},{"family":"Gould","given":"K. Lance"}],"issued":{"date-parts":[["2015",7,1]]}}}],"schema":"https://github.com/citation-style-language/schema/raw/master/csl-citation.json"} </w:instrText>
      </w:r>
      <w:r w:rsidR="00106A32" w:rsidRPr="004477E3">
        <w:rPr>
          <w:rFonts w:ascii="Times New Roman" w:hAnsi="Times New Roman" w:cs="Times New Roman"/>
          <w:sz w:val="24"/>
          <w:szCs w:val="24"/>
        </w:rPr>
        <w:fldChar w:fldCharType="separate"/>
      </w:r>
      <w:r w:rsidR="004477E3" w:rsidRPr="004477E3">
        <w:rPr>
          <w:rFonts w:ascii="Times New Roman" w:hAnsi="Times New Roman" w:cs="Times New Roman"/>
          <w:sz w:val="24"/>
          <w:szCs w:val="24"/>
        </w:rPr>
        <w:t>(Johnson et al., 2015)</w:t>
      </w:r>
      <w:r w:rsidR="00106A32" w:rsidRPr="004477E3">
        <w:rPr>
          <w:rFonts w:ascii="Times New Roman" w:hAnsi="Times New Roman" w:cs="Times New Roman"/>
          <w:sz w:val="24"/>
          <w:szCs w:val="24"/>
        </w:rPr>
        <w:fldChar w:fldCharType="end"/>
      </w:r>
      <w:r w:rsidR="004477E3" w:rsidRPr="004477E3">
        <w:rPr>
          <w:rFonts w:ascii="Times New Roman" w:hAnsi="Times New Roman" w:cs="Times New Roman"/>
          <w:sz w:val="24"/>
          <w:szCs w:val="24"/>
        </w:rPr>
        <w:t xml:space="preserve"> in 190 patients.</w:t>
      </w:r>
      <w:r w:rsidR="004477E3">
        <w:rPr>
          <w:rFonts w:ascii="Times New Roman" w:hAnsi="Times New Roman" w:cs="Times New Roman"/>
          <w:sz w:val="24"/>
          <w:szCs w:val="24"/>
        </w:rPr>
        <w:t xml:space="preserve"> This applies to the current research as the same artery was measured twice in differing patient positions.</w:t>
      </w:r>
      <w:r w:rsidR="004477E3" w:rsidRPr="004477E3">
        <w:rPr>
          <w:rFonts w:ascii="Times New Roman" w:hAnsi="Times New Roman" w:cs="Times New Roman"/>
          <w:sz w:val="24"/>
          <w:szCs w:val="24"/>
        </w:rPr>
        <w:t xml:space="preserve"> </w:t>
      </w:r>
    </w:p>
    <w:p w14:paraId="392698FD" w14:textId="77777777" w:rsidR="00B472C3" w:rsidRDefault="00B472C3" w:rsidP="00BC7A77">
      <w:pPr>
        <w:spacing w:line="360" w:lineRule="auto"/>
        <w:rPr>
          <w:rFonts w:ascii="Times New Roman" w:hAnsi="Times New Roman" w:cs="Times New Roman"/>
          <w:sz w:val="24"/>
          <w:szCs w:val="24"/>
        </w:rPr>
      </w:pPr>
    </w:p>
    <w:p w14:paraId="18C7F981" w14:textId="77777777" w:rsidR="00B472C3" w:rsidRDefault="00B472C3" w:rsidP="00131BB0">
      <w:pPr>
        <w:pStyle w:val="Heading2"/>
        <w:spacing w:line="360" w:lineRule="auto"/>
        <w:rPr>
          <w:rFonts w:ascii="Times New Roman" w:hAnsi="Times New Roman" w:cs="Times New Roman"/>
          <w:color w:val="auto"/>
          <w:sz w:val="24"/>
          <w:szCs w:val="24"/>
        </w:rPr>
      </w:pPr>
      <w:bookmarkStart w:id="221" w:name="_Toc80302279"/>
      <w:r w:rsidRPr="00131BB0">
        <w:rPr>
          <w:rFonts w:ascii="Times New Roman" w:hAnsi="Times New Roman" w:cs="Times New Roman"/>
          <w:color w:val="auto"/>
          <w:sz w:val="24"/>
          <w:szCs w:val="24"/>
        </w:rPr>
        <w:t>4.5 - Supporting Evidence in the Clinical Literature</w:t>
      </w:r>
      <w:bookmarkEnd w:id="221"/>
    </w:p>
    <w:p w14:paraId="4ABB8A4D" w14:textId="77777777" w:rsidR="00857042" w:rsidRPr="00857042" w:rsidRDefault="00857042" w:rsidP="00857042"/>
    <w:p w14:paraId="17B58DE8" w14:textId="77777777" w:rsidR="00131BB0" w:rsidRPr="00131BB0" w:rsidRDefault="00131BB0" w:rsidP="00131BB0"/>
    <w:p w14:paraId="2B11C045" w14:textId="77777777" w:rsidR="00B472C3" w:rsidRPr="00DA1C73" w:rsidRDefault="00DA1C73" w:rsidP="00BC7A77">
      <w:pPr>
        <w:spacing w:line="360" w:lineRule="auto"/>
        <w:rPr>
          <w:rFonts w:ascii="Times New Roman" w:hAnsi="Times New Roman" w:cs="Times New Roman"/>
          <w:sz w:val="24"/>
          <w:szCs w:val="24"/>
        </w:rPr>
      </w:pPr>
      <w:r>
        <w:rPr>
          <w:rFonts w:ascii="Times New Roman" w:hAnsi="Times New Roman" w:cs="Times New Roman"/>
          <w:sz w:val="24"/>
          <w:szCs w:val="24"/>
        </w:rPr>
        <w:t>Härle and his group conducted the first published in vivo study with left and right lateral positioning</w:t>
      </w:r>
      <w:r w:rsidR="004A32A5">
        <w:rPr>
          <w:rFonts w:ascii="Times New Roman" w:hAnsi="Times New Roman" w:cs="Times New Roman"/>
          <w:sz w:val="24"/>
          <w:szCs w:val="24"/>
        </w:rPr>
        <w:t xml:space="preserve"> </w:t>
      </w:r>
      <w:r w:rsidR="00106A32">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{"citationID":"1M0UlHUO","properties":{"formattedCitation":"(H\\uc0\\u228{}rle et al., 2018)","plainCitation":"(Härle et al., 2018)","noteIndex":0},"citationItems":[{"id":622,"uris":["http://zotero.org/users/local/k67tNDdX/items/DLBTYZC8"],"uri":["http://zotero.org/users/local/k67tNDdX/items/DLBTYZC8"],"itemData":{"id":622,"type":"article-journal","abstract":"BACKGROUND: An influence of hydrostatic pressure on intracoronary indices of stenosis severity in vitro was recently reported. We sought to analyze the influence of hydrostatic pressure, caused by the height difference between the distal and proximal pressure sensor after guidewire positioning in the interrogated vessel, on intracoronary pressure measurements in vivo.\nMETHODS AND RESULTS: In 30 coronary stenoses, intracoronary pressure measurements were performed in supine, left, and right lateral patient position. Height differences between the distal and proximal pressure sensor were measured by blinded observers. Measurement results of the position with the highest (\"high\") and lowest height difference (\"low\") were compared. In group \"high\", all measured indices were higher: mean difference of fractional flow reserve (FFR) 0.045 (SD 0.033, 95% CI 0.033-0.057, p &lt; 0.0001), of instantaneous wave-free ratio (iFR) 0.043 (SD 0.04, 95% CI 0.029-0.057, p &lt; 0.0001), and of resting Pd/Pa 0.037 (SD 0.034, 95% CI 0.025-0.049, p &lt; 0.0001). Addition of the physically expectable hydrostatic pressure to the distal coronary pressures of the control group abolished the differences: corrected ∆FFR - 0.006 (SD 0.027, 95% CI - 0.015 to 0.004, p = 0.26), corrected ∆Pd/Pa - 0.008 (SD 0.03, 95% CI - 0.019 to 0.003, p = 0.18). Adjustment for hydrostatic pressure of FFR values in a standard supine position increased all values in anterior vessels and decreased all values in posterior vessels. The mean changes of FFR due to adjustment were: LAD - 0.048 (SD 0.016), CX 0.02 (SD 0.009), RCA 0.02 (SD 0.021). Dichotomous severity classification changed in 12.9% of stenoses.\nCONCLUSIONS: The study demonstrates a relevant influence of hydrostatic pressure on intracoronary indices of stenosis severity in vivo, caused by the height differences between distal and proximal pressure sensor.","container-title":"Clinical Research in Cardiology: Official Journal of the German Cardiac Society","DOI":"10.1007/s00392-017-1174-2","ISSN":"1861-0692","issue":"3","journalAbbreviation":"Clin Res Cardiol","language":"eng","note":"PMID: 29098379","page":"222-232","source":"PubMed","title":"Influence of hydrostatic pressure on intracoronary indices of stenosis severity in vivo","volume":"107","author":[{"family":"Härle","given":"Tobias"},{"family":"Luz","given":"Mareike"},{"family":"Meyer","given":"Sven"},{"family":"Vahldiek","given":"Felix"},{"family":"Harst","given":"Pim","non-dropping-particle":"van der"},{"family":"Dijk","given":"Randy","non-dropping-particle":"van"},{"family":"Ties","given":"Daan"},{"family":"Escaned","given":"Javier"},{"family":"Davies","given":"Justin"},{"family":"Elsässer","given":"Albrecht"}],"issued":{"date-parts":[["2018",3]]}}}],"schema":"https://github.com/citation-style-language/schema/raw/master/csl-citation.json"} </w:instrText>
      </w:r>
      <w:r w:rsidR="00106A32">
        <w:rPr>
          <w:rFonts w:ascii="Times New Roman" w:hAnsi="Times New Roman" w:cs="Times New Roman"/>
          <w:sz w:val="24"/>
          <w:szCs w:val="24"/>
        </w:rPr>
        <w:fldChar w:fldCharType="separate"/>
      </w:r>
      <w:r w:rsidR="004A32A5" w:rsidRPr="004A32A5">
        <w:rPr>
          <w:rFonts w:ascii="Times New Roman" w:hAnsi="Times New Roman" w:cs="Times New Roman"/>
          <w:sz w:val="24"/>
          <w:szCs w:val="24"/>
        </w:rPr>
        <w:t>(Härle et al., 2018)</w:t>
      </w:r>
      <w:r w:rsidR="00106A32">
        <w:rPr>
          <w:rFonts w:ascii="Times New Roman" w:hAnsi="Times New Roman" w:cs="Times New Roman"/>
          <w:sz w:val="24"/>
          <w:szCs w:val="24"/>
        </w:rPr>
        <w:fldChar w:fldCharType="end"/>
      </w:r>
      <w:r>
        <w:rPr>
          <w:rFonts w:ascii="Times New Roman" w:hAnsi="Times New Roman" w:cs="Times New Roman"/>
          <w:sz w:val="24"/>
          <w:szCs w:val="24"/>
        </w:rPr>
        <w:t>. This has already been discussed with relation to guide to wire correlation with change in FFR in section 4.3.3. The study was published during this research's data collection period.</w:t>
      </w:r>
    </w:p>
    <w:p w14:paraId="6309D960" w14:textId="0A518085" w:rsidR="00E642C3" w:rsidRDefault="00F06C1A" w:rsidP="00BC7A77">
      <w:pPr>
        <w:spacing w:line="360" w:lineRule="auto"/>
        <w:rPr>
          <w:rFonts w:ascii="Times New Roman" w:hAnsi="Times New Roman" w:cs="Times New Roman"/>
          <w:sz w:val="24"/>
          <w:szCs w:val="24"/>
        </w:rPr>
      </w:pPr>
      <w:r>
        <w:rPr>
          <w:rFonts w:ascii="Times New Roman" w:hAnsi="Times New Roman" w:cs="Times New Roman"/>
          <w:sz w:val="24"/>
          <w:szCs w:val="24"/>
        </w:rPr>
        <w:t>In 30 coronary stenoses, there were statistically significant changes in</w:t>
      </w:r>
      <w:r w:rsidR="00116D91">
        <w:rPr>
          <w:rFonts w:ascii="Times New Roman" w:hAnsi="Times New Roman" w:cs="Times New Roman"/>
          <w:sz w:val="24"/>
          <w:szCs w:val="24"/>
        </w:rPr>
        <w:t xml:space="preserve"> Pd/Pa,</w:t>
      </w:r>
      <w:r>
        <w:rPr>
          <w:rFonts w:ascii="Times New Roman" w:hAnsi="Times New Roman" w:cs="Times New Roman"/>
          <w:sz w:val="24"/>
          <w:szCs w:val="24"/>
        </w:rPr>
        <w:t xml:space="preserve"> </w:t>
      </w:r>
      <w:r w:rsidR="00116D91">
        <w:rPr>
          <w:rFonts w:ascii="Times New Roman" w:hAnsi="Times New Roman" w:cs="Times New Roman"/>
          <w:sz w:val="24"/>
          <w:szCs w:val="24"/>
        </w:rPr>
        <w:t>iFR and FFR when comparing supine measurements, to left and right lateral patient position.</w:t>
      </w:r>
      <w:r w:rsidR="00A7009B">
        <w:rPr>
          <w:rFonts w:ascii="Times New Roman" w:hAnsi="Times New Roman" w:cs="Times New Roman"/>
          <w:sz w:val="24"/>
          <w:szCs w:val="24"/>
        </w:rPr>
        <w:t xml:space="preserve"> No velocity of </w:t>
      </w:r>
      <w:r w:rsidR="00D164ED">
        <w:rPr>
          <w:rFonts w:ascii="Times New Roman" w:hAnsi="Times New Roman" w:cs="Times New Roman"/>
          <w:sz w:val="24"/>
          <w:szCs w:val="24"/>
        </w:rPr>
        <w:t>flow-</w:t>
      </w:r>
      <w:r w:rsidR="00A7009B">
        <w:rPr>
          <w:rFonts w:ascii="Times New Roman" w:hAnsi="Times New Roman" w:cs="Times New Roman"/>
          <w:sz w:val="24"/>
          <w:szCs w:val="24"/>
        </w:rPr>
        <w:t>based measurements were conducted.</w:t>
      </w:r>
      <w:r w:rsidR="00E642C3">
        <w:rPr>
          <w:rFonts w:ascii="Times New Roman" w:hAnsi="Times New Roman" w:cs="Times New Roman"/>
          <w:sz w:val="24"/>
          <w:szCs w:val="24"/>
        </w:rPr>
        <w:t xml:space="preserve"> Pressure based indices produced larger values when inferior to the aorta, compared to superior in the same artery, across the same stenosis. This was statistically </w:t>
      </w:r>
      <w:r w:rsidR="00E642C3" w:rsidRPr="007C0B62">
        <w:rPr>
          <w:rFonts w:ascii="Times New Roman" w:hAnsi="Times New Roman" w:cs="Times New Roman"/>
          <w:sz w:val="24"/>
          <w:szCs w:val="24"/>
        </w:rPr>
        <w:t xml:space="preserve">significant for Pd/Pa, iFR and FFR. These findings mirror our own, despite different patient positions. Table </w:t>
      </w:r>
      <w:r w:rsidR="007C0B62" w:rsidRPr="007C0B62">
        <w:rPr>
          <w:rFonts w:ascii="Times New Roman" w:hAnsi="Times New Roman" w:cs="Times New Roman"/>
          <w:sz w:val="24"/>
          <w:szCs w:val="24"/>
        </w:rPr>
        <w:t>37</w:t>
      </w:r>
      <w:r w:rsidR="00E642C3" w:rsidRPr="007C0B62">
        <w:rPr>
          <w:rFonts w:ascii="Times New Roman" w:hAnsi="Times New Roman" w:cs="Times New Roman"/>
          <w:sz w:val="24"/>
          <w:szCs w:val="24"/>
        </w:rPr>
        <w:t xml:space="preserve"> summarises</w:t>
      </w:r>
      <w:r w:rsidR="00E642C3">
        <w:rPr>
          <w:rFonts w:ascii="Times New Roman" w:hAnsi="Times New Roman" w:cs="Times New Roman"/>
          <w:sz w:val="24"/>
          <w:szCs w:val="24"/>
        </w:rPr>
        <w:t xml:space="preserve"> and compares the data between Härle's group, and the current research.</w:t>
      </w:r>
    </w:p>
    <w:p w14:paraId="0BE52E91" w14:textId="77777777" w:rsidR="00857042" w:rsidRDefault="00857042" w:rsidP="00BC7A77">
      <w:pPr>
        <w:spacing w:line="360" w:lineRule="auto"/>
        <w:rPr>
          <w:rFonts w:ascii="Times New Roman" w:hAnsi="Times New Roman" w:cs="Times New Roman"/>
          <w:sz w:val="24"/>
          <w:szCs w:val="24"/>
        </w:rPr>
      </w:pPr>
    </w:p>
    <w:p w14:paraId="7238195C" w14:textId="77777777" w:rsidR="00857042" w:rsidRDefault="00857042" w:rsidP="00BC7A77">
      <w:pPr>
        <w:spacing w:line="360" w:lineRule="auto"/>
        <w:rPr>
          <w:rFonts w:ascii="Times New Roman" w:hAnsi="Times New Roman" w:cs="Times New Roman"/>
          <w:sz w:val="24"/>
          <w:szCs w:val="24"/>
        </w:rPr>
      </w:pPr>
    </w:p>
    <w:p w14:paraId="6D31D076" w14:textId="77777777" w:rsidR="00E642C3" w:rsidRDefault="00E642C3" w:rsidP="00BC7A77">
      <w:pPr>
        <w:spacing w:line="360" w:lineRule="auto"/>
        <w:rPr>
          <w:rFonts w:ascii="Times New Roman" w:hAnsi="Times New Roman" w:cs="Times New Roman"/>
          <w:sz w:val="24"/>
          <w:szCs w:val="24"/>
        </w:rPr>
      </w:pPr>
    </w:p>
    <w:tbl>
      <w:tblPr>
        <w:tblStyle w:val="LightShading1"/>
        <w:tblW w:w="0" w:type="auto"/>
        <w:tblLook w:val="04A0" w:firstRow="1" w:lastRow="0" w:firstColumn="1" w:lastColumn="0" w:noHBand="0" w:noVBand="1"/>
      </w:tblPr>
      <w:tblGrid>
        <w:gridCol w:w="3122"/>
        <w:gridCol w:w="3119"/>
        <w:gridCol w:w="3119"/>
      </w:tblGrid>
      <w:tr w:rsidR="00E642C3" w14:paraId="76B7E947" w14:textId="77777777" w:rsidTr="00E642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shd w:val="clear" w:color="auto" w:fill="F2F2F2" w:themeFill="background1" w:themeFillShade="F2"/>
          </w:tcPr>
          <w:p w14:paraId="2B172A64" w14:textId="77777777" w:rsidR="00E642C3" w:rsidRDefault="00E642C3" w:rsidP="00E642C3">
            <w:pPr>
              <w:spacing w:line="360" w:lineRule="auto"/>
              <w:jc w:val="center"/>
              <w:rPr>
                <w:rFonts w:ascii="Times New Roman" w:hAnsi="Times New Roman" w:cs="Times New Roman"/>
                <w:sz w:val="24"/>
                <w:szCs w:val="24"/>
              </w:rPr>
            </w:pPr>
            <w:r>
              <w:rPr>
                <w:rFonts w:ascii="Times New Roman" w:hAnsi="Times New Roman" w:cs="Times New Roman"/>
                <w:sz w:val="24"/>
                <w:szCs w:val="24"/>
              </w:rPr>
              <w:t>Measure</w:t>
            </w:r>
          </w:p>
          <w:p w14:paraId="32C20AFB" w14:textId="77777777" w:rsidR="00E642C3" w:rsidRDefault="00E642C3" w:rsidP="00E642C3">
            <w:pPr>
              <w:spacing w:line="360" w:lineRule="auto"/>
              <w:jc w:val="center"/>
              <w:rPr>
                <w:rFonts w:ascii="Times New Roman" w:hAnsi="Times New Roman" w:cs="Times New Roman"/>
                <w:sz w:val="24"/>
                <w:szCs w:val="24"/>
              </w:rPr>
            </w:pPr>
          </w:p>
        </w:tc>
        <w:tc>
          <w:tcPr>
            <w:tcW w:w="3192" w:type="dxa"/>
            <w:shd w:val="clear" w:color="auto" w:fill="F2F2F2" w:themeFill="background1" w:themeFillShade="F2"/>
          </w:tcPr>
          <w:p w14:paraId="592C120E" w14:textId="77777777" w:rsidR="00E642C3" w:rsidRDefault="00E642C3" w:rsidP="00E642C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Härle Data</w:t>
            </w:r>
          </w:p>
          <w:p w14:paraId="0ABD78E2" w14:textId="77777777" w:rsidR="00E642C3" w:rsidRDefault="00E642C3" w:rsidP="00E642C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Delta Change</w:t>
            </w:r>
          </w:p>
        </w:tc>
        <w:tc>
          <w:tcPr>
            <w:tcW w:w="3192" w:type="dxa"/>
            <w:shd w:val="clear" w:color="auto" w:fill="F2F2F2" w:themeFill="background1" w:themeFillShade="F2"/>
          </w:tcPr>
          <w:p w14:paraId="21D328C1" w14:textId="77777777" w:rsidR="00E642C3" w:rsidRDefault="00E642C3" w:rsidP="00E642C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Al-Janabi Data</w:t>
            </w:r>
          </w:p>
          <w:p w14:paraId="3CCF45DC" w14:textId="77777777" w:rsidR="00E642C3" w:rsidRDefault="00E642C3" w:rsidP="00E642C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Delta Change</w:t>
            </w:r>
          </w:p>
        </w:tc>
      </w:tr>
      <w:tr w:rsidR="00E642C3" w14:paraId="11B724AC" w14:textId="77777777" w:rsidTr="00E642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shd w:val="clear" w:color="auto" w:fill="FFFFFF" w:themeFill="background1"/>
          </w:tcPr>
          <w:p w14:paraId="087D3944" w14:textId="77777777" w:rsidR="00E642C3" w:rsidRDefault="00E642C3" w:rsidP="00E642C3">
            <w:pPr>
              <w:spacing w:line="360" w:lineRule="auto"/>
              <w:jc w:val="center"/>
              <w:rPr>
                <w:rFonts w:ascii="Times New Roman" w:hAnsi="Times New Roman" w:cs="Times New Roman"/>
                <w:sz w:val="24"/>
                <w:szCs w:val="24"/>
              </w:rPr>
            </w:pPr>
            <w:r>
              <w:rPr>
                <w:rFonts w:ascii="Times New Roman" w:hAnsi="Times New Roman" w:cs="Times New Roman"/>
                <w:sz w:val="24"/>
                <w:szCs w:val="24"/>
              </w:rPr>
              <w:t>Pd/Pa</w:t>
            </w:r>
          </w:p>
          <w:p w14:paraId="470A8B8B" w14:textId="77777777" w:rsidR="00E642C3" w:rsidRDefault="00E642C3" w:rsidP="00E642C3">
            <w:pPr>
              <w:spacing w:line="360" w:lineRule="auto"/>
              <w:jc w:val="center"/>
              <w:rPr>
                <w:rFonts w:ascii="Times New Roman" w:hAnsi="Times New Roman" w:cs="Times New Roman"/>
                <w:sz w:val="24"/>
                <w:szCs w:val="24"/>
              </w:rPr>
            </w:pPr>
          </w:p>
        </w:tc>
        <w:tc>
          <w:tcPr>
            <w:tcW w:w="3192" w:type="dxa"/>
            <w:shd w:val="clear" w:color="auto" w:fill="FFFFFF" w:themeFill="background1"/>
          </w:tcPr>
          <w:p w14:paraId="7A9822EB" w14:textId="77777777" w:rsidR="00E642C3" w:rsidRDefault="00E642C3" w:rsidP="00E642C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0.037</w:t>
            </w:r>
          </w:p>
        </w:tc>
        <w:tc>
          <w:tcPr>
            <w:tcW w:w="3192" w:type="dxa"/>
            <w:shd w:val="clear" w:color="auto" w:fill="FFFFFF" w:themeFill="background1"/>
          </w:tcPr>
          <w:p w14:paraId="39807FE4" w14:textId="77777777" w:rsidR="00E642C3" w:rsidRDefault="00E642C3" w:rsidP="00E642C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0.05</w:t>
            </w:r>
          </w:p>
        </w:tc>
      </w:tr>
      <w:tr w:rsidR="00E642C3" w14:paraId="564CCE21" w14:textId="77777777" w:rsidTr="00E642C3">
        <w:tc>
          <w:tcPr>
            <w:cnfStyle w:val="001000000000" w:firstRow="0" w:lastRow="0" w:firstColumn="1" w:lastColumn="0" w:oddVBand="0" w:evenVBand="0" w:oddHBand="0" w:evenHBand="0" w:firstRowFirstColumn="0" w:firstRowLastColumn="0" w:lastRowFirstColumn="0" w:lastRowLastColumn="0"/>
            <w:tcW w:w="3192" w:type="dxa"/>
            <w:shd w:val="clear" w:color="auto" w:fill="FFFFFF" w:themeFill="background1"/>
          </w:tcPr>
          <w:p w14:paraId="3A06A1F7" w14:textId="77777777" w:rsidR="00E642C3" w:rsidRDefault="00E642C3" w:rsidP="00E642C3">
            <w:pPr>
              <w:spacing w:line="360" w:lineRule="auto"/>
              <w:jc w:val="center"/>
              <w:rPr>
                <w:rFonts w:ascii="Times New Roman" w:hAnsi="Times New Roman" w:cs="Times New Roman"/>
                <w:sz w:val="24"/>
                <w:szCs w:val="24"/>
              </w:rPr>
            </w:pPr>
            <w:r>
              <w:rPr>
                <w:rFonts w:ascii="Times New Roman" w:hAnsi="Times New Roman" w:cs="Times New Roman"/>
                <w:sz w:val="24"/>
                <w:szCs w:val="24"/>
              </w:rPr>
              <w:t>iFR</w:t>
            </w:r>
          </w:p>
          <w:p w14:paraId="2B806583" w14:textId="77777777" w:rsidR="00E642C3" w:rsidRDefault="00E642C3" w:rsidP="00E642C3">
            <w:pPr>
              <w:spacing w:line="360" w:lineRule="auto"/>
              <w:jc w:val="center"/>
              <w:rPr>
                <w:rFonts w:ascii="Times New Roman" w:hAnsi="Times New Roman" w:cs="Times New Roman"/>
                <w:sz w:val="24"/>
                <w:szCs w:val="24"/>
              </w:rPr>
            </w:pPr>
          </w:p>
        </w:tc>
        <w:tc>
          <w:tcPr>
            <w:tcW w:w="3192" w:type="dxa"/>
            <w:shd w:val="clear" w:color="auto" w:fill="FFFFFF" w:themeFill="background1"/>
          </w:tcPr>
          <w:p w14:paraId="77C311D4" w14:textId="77777777" w:rsidR="00E642C3" w:rsidRDefault="00E642C3" w:rsidP="00E642C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0.043</w:t>
            </w:r>
          </w:p>
        </w:tc>
        <w:tc>
          <w:tcPr>
            <w:tcW w:w="3192" w:type="dxa"/>
            <w:shd w:val="clear" w:color="auto" w:fill="FFFFFF" w:themeFill="background1"/>
          </w:tcPr>
          <w:p w14:paraId="118FD78C" w14:textId="77777777" w:rsidR="00E642C3" w:rsidRDefault="00E642C3" w:rsidP="00E642C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0.06</w:t>
            </w:r>
          </w:p>
        </w:tc>
      </w:tr>
      <w:tr w:rsidR="00E642C3" w14:paraId="6E523BA2" w14:textId="77777777" w:rsidTr="00E642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shd w:val="clear" w:color="auto" w:fill="FFFFFF" w:themeFill="background1"/>
          </w:tcPr>
          <w:p w14:paraId="5B8CB1A3" w14:textId="77777777" w:rsidR="00E642C3" w:rsidRDefault="00E642C3" w:rsidP="00E642C3">
            <w:pPr>
              <w:spacing w:line="360" w:lineRule="auto"/>
              <w:jc w:val="center"/>
              <w:rPr>
                <w:rFonts w:ascii="Times New Roman" w:hAnsi="Times New Roman" w:cs="Times New Roman"/>
                <w:sz w:val="24"/>
                <w:szCs w:val="24"/>
              </w:rPr>
            </w:pPr>
            <w:r>
              <w:rPr>
                <w:rFonts w:ascii="Times New Roman" w:hAnsi="Times New Roman" w:cs="Times New Roman"/>
                <w:sz w:val="24"/>
                <w:szCs w:val="24"/>
              </w:rPr>
              <w:t>FFR</w:t>
            </w:r>
          </w:p>
          <w:p w14:paraId="3F879866" w14:textId="77777777" w:rsidR="00E642C3" w:rsidRDefault="00E642C3" w:rsidP="00E642C3">
            <w:pPr>
              <w:spacing w:line="360" w:lineRule="auto"/>
              <w:jc w:val="center"/>
              <w:rPr>
                <w:rFonts w:ascii="Times New Roman" w:hAnsi="Times New Roman" w:cs="Times New Roman"/>
                <w:sz w:val="24"/>
                <w:szCs w:val="24"/>
              </w:rPr>
            </w:pPr>
          </w:p>
        </w:tc>
        <w:tc>
          <w:tcPr>
            <w:tcW w:w="3192" w:type="dxa"/>
            <w:shd w:val="clear" w:color="auto" w:fill="FFFFFF" w:themeFill="background1"/>
          </w:tcPr>
          <w:p w14:paraId="4FEE6742" w14:textId="77777777" w:rsidR="00E642C3" w:rsidRDefault="00E642C3" w:rsidP="00E642C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0.045</w:t>
            </w:r>
          </w:p>
        </w:tc>
        <w:tc>
          <w:tcPr>
            <w:tcW w:w="3192" w:type="dxa"/>
            <w:shd w:val="clear" w:color="auto" w:fill="FFFFFF" w:themeFill="background1"/>
          </w:tcPr>
          <w:p w14:paraId="07FC1F87" w14:textId="77777777" w:rsidR="00E642C3" w:rsidRDefault="00E642C3" w:rsidP="00E642C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0.06</w:t>
            </w:r>
          </w:p>
        </w:tc>
      </w:tr>
    </w:tbl>
    <w:p w14:paraId="63C69B87" w14:textId="77777777" w:rsidR="00E642C3" w:rsidRPr="007C0B62" w:rsidRDefault="007C0B62" w:rsidP="007C0B62">
      <w:pPr>
        <w:pStyle w:val="Caption"/>
        <w:spacing w:line="360" w:lineRule="auto"/>
        <w:rPr>
          <w:rFonts w:ascii="Times New Roman" w:hAnsi="Times New Roman" w:cs="Times New Roman"/>
          <w:b w:val="0"/>
          <w:i/>
          <w:color w:val="auto"/>
          <w:sz w:val="24"/>
          <w:szCs w:val="24"/>
        </w:rPr>
      </w:pPr>
      <w:r>
        <w:rPr>
          <w:rFonts w:ascii="Times New Roman" w:hAnsi="Times New Roman" w:cs="Times New Roman"/>
          <w:i/>
          <w:sz w:val="24"/>
          <w:szCs w:val="24"/>
        </w:rPr>
        <w:br/>
      </w:r>
      <w:bookmarkStart w:id="222" w:name="_Toc44962613"/>
      <w:r w:rsidRPr="007C0B62">
        <w:rPr>
          <w:rFonts w:ascii="Times New Roman" w:hAnsi="Times New Roman" w:cs="Times New Roman"/>
          <w:b w:val="0"/>
          <w:i/>
          <w:color w:val="auto"/>
          <w:sz w:val="24"/>
          <w:szCs w:val="24"/>
        </w:rPr>
        <w:t xml:space="preserve">Table </w:t>
      </w:r>
      <w:r w:rsidR="00106A32" w:rsidRPr="007C0B62">
        <w:rPr>
          <w:rFonts w:ascii="Times New Roman" w:hAnsi="Times New Roman" w:cs="Times New Roman"/>
          <w:b w:val="0"/>
          <w:i/>
          <w:color w:val="auto"/>
          <w:sz w:val="24"/>
          <w:szCs w:val="24"/>
        </w:rPr>
        <w:fldChar w:fldCharType="begin"/>
      </w:r>
      <w:r w:rsidRPr="007C0B62">
        <w:rPr>
          <w:rFonts w:ascii="Times New Roman" w:hAnsi="Times New Roman" w:cs="Times New Roman"/>
          <w:b w:val="0"/>
          <w:i/>
          <w:color w:val="auto"/>
          <w:sz w:val="24"/>
          <w:szCs w:val="24"/>
        </w:rPr>
        <w:instrText xml:space="preserve"> SEQ Table \* ARABIC </w:instrText>
      </w:r>
      <w:r w:rsidR="00106A32" w:rsidRPr="007C0B6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37</w:t>
      </w:r>
      <w:r w:rsidR="00106A32" w:rsidRPr="007C0B62">
        <w:rPr>
          <w:rFonts w:ascii="Times New Roman" w:hAnsi="Times New Roman" w:cs="Times New Roman"/>
          <w:b w:val="0"/>
          <w:i/>
          <w:color w:val="auto"/>
          <w:sz w:val="24"/>
          <w:szCs w:val="24"/>
        </w:rPr>
        <w:fldChar w:fldCharType="end"/>
      </w:r>
      <w:r w:rsidRPr="007C0B62">
        <w:rPr>
          <w:rFonts w:ascii="Times New Roman" w:hAnsi="Times New Roman" w:cs="Times New Roman"/>
          <w:b w:val="0"/>
          <w:i/>
          <w:color w:val="auto"/>
          <w:sz w:val="24"/>
          <w:szCs w:val="24"/>
        </w:rPr>
        <w:t xml:space="preserve"> - Delta Change Between Patient Position - Al-Janabi vs. Härle Data.</w:t>
      </w:r>
      <w:bookmarkEnd w:id="222"/>
    </w:p>
    <w:p w14:paraId="5549769D" w14:textId="77777777" w:rsidR="00E642C3" w:rsidRPr="00E642C3" w:rsidRDefault="00E642C3" w:rsidP="00BC7A77">
      <w:pPr>
        <w:spacing w:line="360" w:lineRule="auto"/>
        <w:rPr>
          <w:rFonts w:ascii="Times New Roman" w:hAnsi="Times New Roman" w:cs="Times New Roman"/>
          <w:i/>
          <w:sz w:val="24"/>
          <w:szCs w:val="24"/>
        </w:rPr>
      </w:pPr>
    </w:p>
    <w:p w14:paraId="7E584670" w14:textId="77777777" w:rsidR="00E642C3" w:rsidRDefault="00E642C3" w:rsidP="00BC7A77">
      <w:pPr>
        <w:spacing w:line="360" w:lineRule="auto"/>
        <w:rPr>
          <w:rFonts w:ascii="Times New Roman" w:hAnsi="Times New Roman" w:cs="Times New Roman"/>
          <w:sz w:val="24"/>
          <w:szCs w:val="24"/>
        </w:rPr>
      </w:pPr>
      <w:r>
        <w:rPr>
          <w:rFonts w:ascii="Times New Roman" w:hAnsi="Times New Roman" w:cs="Times New Roman"/>
          <w:sz w:val="24"/>
          <w:szCs w:val="24"/>
        </w:rPr>
        <w:t>The magnitude of change in Härle's data is less than the current research. This can be explained by the difference in positions between both studies. One may expect a lesser hydrostatic effect when positioned laterally, compared to prone.</w:t>
      </w:r>
      <w:r w:rsidR="00A7009B">
        <w:rPr>
          <w:rFonts w:ascii="Times New Roman" w:hAnsi="Times New Roman" w:cs="Times New Roman"/>
          <w:sz w:val="24"/>
          <w:szCs w:val="24"/>
        </w:rPr>
        <w:t xml:space="preserve"> Compared to current research, Härle's group rotated partially around the 'axis' of the aorta by 90 degrees, whereas the current research rotated 180 degrees.</w:t>
      </w:r>
      <w:r>
        <w:rPr>
          <w:rFonts w:ascii="Times New Roman" w:hAnsi="Times New Roman" w:cs="Times New Roman"/>
          <w:sz w:val="24"/>
          <w:szCs w:val="24"/>
        </w:rPr>
        <w:t xml:space="preserve"> Intrathoracic physiology may also vary</w:t>
      </w:r>
      <w:r w:rsidR="00A7009B">
        <w:rPr>
          <w:rFonts w:ascii="Times New Roman" w:hAnsi="Times New Roman" w:cs="Times New Roman"/>
          <w:sz w:val="24"/>
          <w:szCs w:val="24"/>
        </w:rPr>
        <w:t xml:space="preserve"> due to the varying angles of rotation</w:t>
      </w:r>
      <w:r>
        <w:rPr>
          <w:rFonts w:ascii="Times New Roman" w:hAnsi="Times New Roman" w:cs="Times New Roman"/>
          <w:sz w:val="24"/>
          <w:szCs w:val="24"/>
        </w:rPr>
        <w:t>.</w:t>
      </w:r>
    </w:p>
    <w:p w14:paraId="1B933BFD" w14:textId="77777777" w:rsidR="00E642C3" w:rsidRDefault="00E642C3" w:rsidP="00BC7A77">
      <w:pPr>
        <w:spacing w:line="360" w:lineRule="auto"/>
        <w:rPr>
          <w:rFonts w:ascii="Times New Roman" w:hAnsi="Times New Roman" w:cs="Times New Roman"/>
          <w:sz w:val="24"/>
          <w:szCs w:val="24"/>
        </w:rPr>
      </w:pPr>
      <w:r>
        <w:rPr>
          <w:rFonts w:ascii="Times New Roman" w:hAnsi="Times New Roman" w:cs="Times New Roman"/>
          <w:sz w:val="24"/>
          <w:szCs w:val="24"/>
        </w:rPr>
        <w:t>Pd/Pa shows less change than iFR and FFR in both data sets, with iFR and FFR delta change being very similar.</w:t>
      </w:r>
      <w:r w:rsidR="00003288">
        <w:rPr>
          <w:rFonts w:ascii="Times New Roman" w:hAnsi="Times New Roman" w:cs="Times New Roman"/>
          <w:sz w:val="24"/>
          <w:szCs w:val="24"/>
        </w:rPr>
        <w:t xml:space="preserve"> In Härle's data set 26.7% of FFR lesions changed classification across a binary cut-off (0.8) based on the position showing maximum delta change. This is identical to the 26% seen in the current research. iFR re-classification in Härle's data was the same at 26.7%, but higher in the current research at 36%. The magnitude of change in some stenoses would have been amplified in the current research, given the greater effect of hydrostatic pressure when prone.</w:t>
      </w:r>
      <w:r w:rsidR="00A7009B">
        <w:rPr>
          <w:rFonts w:ascii="Times New Roman" w:hAnsi="Times New Roman" w:cs="Times New Roman"/>
          <w:sz w:val="24"/>
          <w:szCs w:val="24"/>
        </w:rPr>
        <w:t xml:space="preserve"> </w:t>
      </w:r>
    </w:p>
    <w:p w14:paraId="7A7111C7" w14:textId="73BC333F" w:rsidR="00DA1C73" w:rsidRPr="00F06C1A" w:rsidRDefault="007555C2" w:rsidP="00BC7A77">
      <w:pPr>
        <w:spacing w:line="360" w:lineRule="auto"/>
        <w:rPr>
          <w:rFonts w:ascii="Times New Roman" w:hAnsi="Times New Roman" w:cs="Times New Roman"/>
          <w:sz w:val="24"/>
          <w:szCs w:val="24"/>
        </w:rPr>
      </w:pPr>
      <w:r>
        <w:rPr>
          <w:rFonts w:ascii="Times New Roman" w:hAnsi="Times New Roman" w:cs="Times New Roman"/>
          <w:sz w:val="24"/>
          <w:szCs w:val="24"/>
        </w:rPr>
        <w:t xml:space="preserve">Their conclusion was similar to ours. There is a clinically relevant change in </w:t>
      </w:r>
      <w:r w:rsidR="00D164ED">
        <w:rPr>
          <w:rFonts w:ascii="Times New Roman" w:hAnsi="Times New Roman" w:cs="Times New Roman"/>
          <w:sz w:val="24"/>
          <w:szCs w:val="24"/>
        </w:rPr>
        <w:t>pressure-</w:t>
      </w:r>
      <w:r>
        <w:rPr>
          <w:rFonts w:ascii="Times New Roman" w:hAnsi="Times New Roman" w:cs="Times New Roman"/>
          <w:sz w:val="24"/>
          <w:szCs w:val="24"/>
        </w:rPr>
        <w:t>based indices, affecting stenosis classification. This potentially leads to misclassification of lesions and mistreatment.</w:t>
      </w:r>
      <w:r w:rsidR="00116D91">
        <w:rPr>
          <w:rFonts w:ascii="Times New Roman" w:hAnsi="Times New Roman" w:cs="Times New Roman"/>
          <w:sz w:val="24"/>
          <w:szCs w:val="24"/>
        </w:rPr>
        <w:t xml:space="preserve"> </w:t>
      </w:r>
    </w:p>
    <w:p w14:paraId="5EC3FA53" w14:textId="1606FC4A" w:rsidR="00F20902" w:rsidRDefault="00B472C3" w:rsidP="00B472C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Within the last 6 months, a Japanese </w:t>
      </w:r>
      <w:r>
        <w:rPr>
          <w:rFonts w:ascii="Times New Roman" w:hAnsi="Times New Roman" w:cs="Times New Roman"/>
          <w:sz w:val="24"/>
          <w:szCs w:val="24"/>
        </w:rPr>
        <w:t xml:space="preserve">research </w:t>
      </w:r>
      <w:r w:rsidRPr="00EC6C19">
        <w:rPr>
          <w:rFonts w:ascii="Times New Roman" w:hAnsi="Times New Roman" w:cs="Times New Roman"/>
          <w:sz w:val="24"/>
          <w:szCs w:val="24"/>
        </w:rPr>
        <w:t xml:space="preserve">group have conducted an almost identical study to ours, measuring Pd/Pa and FFR in 27 lesions in the prone and supine positions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{"citationID":"9NrsJIZM","properties":{"formattedCitation":"(Kawaguchi et al., 2019)","plainCitation":"(Kawaguchi et al., 2019)","noteIndex":0},"citationItems":[{"id":788,"uris":["http://zotero.org/users/local/k67tNDdX/items/RRQ7CFRS"],"uri":["http://zotero.org/users/local/k67tNDdX/items/RRQ7CFRS"],"itemData":{"id":788,"type":"article-journal","container-title":"Journal of Interventional Cardiology","source":"Google Scholar","title":"Impact of Hydrostatic Pressure Variations Caused by Height Differences in Supine and Prone Positions on Fractional Flow Reserve Values in the Coronary Circulation","volume":"2019","author":[{"family":"Kawaguchi","given":"Yoshitaka"},{"family":"Ito","given":"Kazuki"},{"family":"Kin","given":"Humihiko"},{"family":"Shirai","given":"Yusuke"},{"family":"Okazaki","given":"Ayako"},{"family":"Miyajima","given":"Keisuke"},{"family":"Watanabe","given":"Tomoyuki"},{"family":"Tatsuguchi","given":"Mariko"},{"family":"Wakabayashi","given":"Yasushi"},{"family":"Maekawa","given":"Yuichiro"}],"issued":{"date-parts":[["2019"]]}}}],"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(Kawaguchi et al., 2019)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w:t>
      </w:r>
      <w:r>
        <w:rPr>
          <w:rFonts w:ascii="Times New Roman" w:hAnsi="Times New Roman" w:cs="Times New Roman"/>
          <w:sz w:val="24"/>
          <w:szCs w:val="24"/>
        </w:rPr>
        <w:t xml:space="preserve">eir study starting recruitment </w:t>
      </w:r>
      <w:r w:rsidRPr="00EC6C19">
        <w:rPr>
          <w:rFonts w:ascii="Times New Roman" w:hAnsi="Times New Roman" w:cs="Times New Roman"/>
          <w:sz w:val="24"/>
          <w:szCs w:val="24"/>
        </w:rPr>
        <w:t xml:space="preserve">two months after ours (September 2017) and produced very similar results. A comparison with our results </w:t>
      </w:r>
      <w:r w:rsidR="00D164ED" w:rsidRPr="00EC6C19">
        <w:rPr>
          <w:rFonts w:ascii="Times New Roman" w:hAnsi="Times New Roman" w:cs="Times New Roman"/>
          <w:sz w:val="24"/>
          <w:szCs w:val="24"/>
        </w:rPr>
        <w:t>is</w:t>
      </w:r>
      <w:r w:rsidRPr="00EC6C19">
        <w:rPr>
          <w:rFonts w:ascii="Times New Roman" w:hAnsi="Times New Roman" w:cs="Times New Roman"/>
          <w:sz w:val="24"/>
          <w:szCs w:val="24"/>
        </w:rPr>
        <w:t xml:space="preserve"> shown below </w:t>
      </w:r>
      <w:r w:rsidRPr="007C0B62">
        <w:rPr>
          <w:rFonts w:ascii="Times New Roman" w:hAnsi="Times New Roman" w:cs="Times New Roman"/>
          <w:sz w:val="24"/>
          <w:szCs w:val="24"/>
        </w:rPr>
        <w:t xml:space="preserve">in Table </w:t>
      </w:r>
      <w:r w:rsidR="007C0B62" w:rsidRPr="007C0B62">
        <w:rPr>
          <w:rFonts w:ascii="Times New Roman" w:hAnsi="Times New Roman" w:cs="Times New Roman"/>
          <w:sz w:val="24"/>
          <w:szCs w:val="24"/>
        </w:rPr>
        <w:t>38</w:t>
      </w:r>
      <w:r w:rsidRPr="007C0B62">
        <w:rPr>
          <w:rFonts w:ascii="Times New Roman" w:hAnsi="Times New Roman" w:cs="Times New Roman"/>
          <w:sz w:val="24"/>
          <w:szCs w:val="24"/>
        </w:rPr>
        <w:t>.</w:t>
      </w:r>
    </w:p>
    <w:p w14:paraId="1F6725E2" w14:textId="77777777" w:rsidR="00F20902" w:rsidRPr="00EC6C19" w:rsidRDefault="00F20902" w:rsidP="00B472C3">
      <w:pPr>
        <w:spacing w:line="360" w:lineRule="auto"/>
        <w:rPr>
          <w:rFonts w:ascii="Times New Roman" w:hAnsi="Times New Roman" w:cs="Times New Roman"/>
          <w:sz w:val="24"/>
          <w:szCs w:val="24"/>
        </w:rPr>
      </w:pPr>
    </w:p>
    <w:tbl>
      <w:tblPr>
        <w:tblStyle w:val="LightShading1"/>
        <w:tblW w:w="0" w:type="auto"/>
        <w:tblLook w:val="04A0" w:firstRow="1" w:lastRow="0" w:firstColumn="1" w:lastColumn="0" w:noHBand="0" w:noVBand="1"/>
      </w:tblPr>
      <w:tblGrid>
        <w:gridCol w:w="3132"/>
        <w:gridCol w:w="3106"/>
        <w:gridCol w:w="3122"/>
      </w:tblGrid>
      <w:tr w:rsidR="00B472C3" w:rsidRPr="00EC6C19" w14:paraId="2023C4D6" w14:textId="77777777" w:rsidTr="00DA1C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shd w:val="clear" w:color="auto" w:fill="F2F2F2" w:themeFill="background1" w:themeFillShade="F2"/>
          </w:tcPr>
          <w:p w14:paraId="53251FE0" w14:textId="77777777" w:rsidR="00B472C3" w:rsidRPr="00EC6C19" w:rsidRDefault="00B472C3" w:rsidP="003E6610">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Measurement  </w:t>
            </w:r>
          </w:p>
          <w:p w14:paraId="5244A6DF" w14:textId="77777777" w:rsidR="00B472C3" w:rsidRPr="00EC6C19" w:rsidRDefault="00B472C3" w:rsidP="003E6610">
            <w:pPr>
              <w:spacing w:line="360" w:lineRule="auto"/>
              <w:rPr>
                <w:rFonts w:ascii="Times New Roman" w:hAnsi="Times New Roman" w:cs="Times New Roman"/>
                <w:sz w:val="24"/>
                <w:szCs w:val="24"/>
              </w:rPr>
            </w:pPr>
          </w:p>
        </w:tc>
        <w:tc>
          <w:tcPr>
            <w:tcW w:w="3192" w:type="dxa"/>
            <w:shd w:val="clear" w:color="auto" w:fill="F2F2F2" w:themeFill="background1" w:themeFillShade="F2"/>
          </w:tcPr>
          <w:p w14:paraId="2EC29254" w14:textId="77777777" w:rsidR="00B472C3" w:rsidRPr="00EC6C19" w:rsidRDefault="00B472C3" w:rsidP="003E661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Al-Janabi Data</w:t>
            </w:r>
          </w:p>
          <w:p w14:paraId="797467C5" w14:textId="77777777" w:rsidR="00B472C3" w:rsidRPr="00EC6C19" w:rsidRDefault="00B472C3" w:rsidP="003E661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Delta change</w:t>
            </w:r>
            <w:r>
              <w:rPr>
                <w:rFonts w:ascii="Times New Roman" w:hAnsi="Times New Roman" w:cs="Times New Roman"/>
                <w:sz w:val="24"/>
                <w:szCs w:val="24"/>
              </w:rPr>
              <w:br/>
            </w:r>
          </w:p>
        </w:tc>
        <w:tc>
          <w:tcPr>
            <w:tcW w:w="3192" w:type="dxa"/>
            <w:shd w:val="clear" w:color="auto" w:fill="F2F2F2" w:themeFill="background1" w:themeFillShade="F2"/>
          </w:tcPr>
          <w:p w14:paraId="01BDE6CF" w14:textId="77777777" w:rsidR="00B472C3" w:rsidRPr="00EC6C19" w:rsidRDefault="00B472C3" w:rsidP="003E661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Kawaguchi Data</w:t>
            </w:r>
          </w:p>
          <w:p w14:paraId="6D4C3896" w14:textId="77777777" w:rsidR="00B472C3" w:rsidRPr="00EC6C19" w:rsidRDefault="00B472C3" w:rsidP="003E661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Delta change</w:t>
            </w:r>
            <w:r>
              <w:rPr>
                <w:rFonts w:ascii="Times New Roman" w:hAnsi="Times New Roman" w:cs="Times New Roman"/>
                <w:sz w:val="24"/>
                <w:szCs w:val="24"/>
              </w:rPr>
              <w:br/>
            </w:r>
          </w:p>
        </w:tc>
      </w:tr>
      <w:tr w:rsidR="00B472C3" w:rsidRPr="00EC6C19" w14:paraId="7BD97FC0" w14:textId="77777777" w:rsidTr="00DA1C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shd w:val="clear" w:color="auto" w:fill="FFFFFF" w:themeFill="background1"/>
          </w:tcPr>
          <w:p w14:paraId="17431758" w14:textId="77777777" w:rsidR="00B472C3" w:rsidRPr="00EC6C19" w:rsidRDefault="00B472C3" w:rsidP="003E6610">
            <w:pPr>
              <w:spacing w:line="360" w:lineRule="auto"/>
              <w:rPr>
                <w:rFonts w:ascii="Times New Roman" w:hAnsi="Times New Roman" w:cs="Times New Roman"/>
                <w:sz w:val="24"/>
                <w:szCs w:val="24"/>
              </w:rPr>
            </w:pPr>
            <w:r w:rsidRPr="00EC6C19">
              <w:rPr>
                <w:rFonts w:ascii="Times New Roman" w:hAnsi="Times New Roman" w:cs="Times New Roman"/>
                <w:sz w:val="24"/>
                <w:szCs w:val="24"/>
              </w:rPr>
              <w:t>LAD Pd/Pa</w:t>
            </w:r>
          </w:p>
          <w:p w14:paraId="03E33708" w14:textId="77777777" w:rsidR="00B472C3" w:rsidRPr="00EC6C19" w:rsidRDefault="00B472C3" w:rsidP="003E6610">
            <w:pPr>
              <w:spacing w:line="360" w:lineRule="auto"/>
              <w:rPr>
                <w:rFonts w:ascii="Times New Roman" w:hAnsi="Times New Roman" w:cs="Times New Roman"/>
                <w:sz w:val="24"/>
                <w:szCs w:val="24"/>
              </w:rPr>
            </w:pPr>
          </w:p>
        </w:tc>
        <w:tc>
          <w:tcPr>
            <w:tcW w:w="3192" w:type="dxa"/>
            <w:shd w:val="clear" w:color="auto" w:fill="FFFFFF" w:themeFill="background1"/>
          </w:tcPr>
          <w:p w14:paraId="3EC2D9E4" w14:textId="77777777" w:rsidR="00B472C3" w:rsidRPr="00EC6C19" w:rsidRDefault="00B472C3" w:rsidP="003E661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0.08</w:t>
            </w:r>
          </w:p>
        </w:tc>
        <w:tc>
          <w:tcPr>
            <w:tcW w:w="3192" w:type="dxa"/>
            <w:shd w:val="clear" w:color="auto" w:fill="FFFFFF" w:themeFill="background1"/>
          </w:tcPr>
          <w:p w14:paraId="542DCB35" w14:textId="77777777" w:rsidR="00B472C3" w:rsidRPr="00EC6C19" w:rsidRDefault="00B472C3" w:rsidP="003E661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0.08</w:t>
            </w:r>
          </w:p>
        </w:tc>
      </w:tr>
      <w:tr w:rsidR="00B472C3" w:rsidRPr="00EC6C19" w14:paraId="345A5C23" w14:textId="77777777" w:rsidTr="00DA1C73">
        <w:tc>
          <w:tcPr>
            <w:cnfStyle w:val="001000000000" w:firstRow="0" w:lastRow="0" w:firstColumn="1" w:lastColumn="0" w:oddVBand="0" w:evenVBand="0" w:oddHBand="0" w:evenHBand="0" w:firstRowFirstColumn="0" w:firstRowLastColumn="0" w:lastRowFirstColumn="0" w:lastRowLastColumn="0"/>
            <w:tcW w:w="3192" w:type="dxa"/>
            <w:shd w:val="clear" w:color="auto" w:fill="FFFFFF" w:themeFill="background1"/>
          </w:tcPr>
          <w:p w14:paraId="6206DE3C" w14:textId="77777777" w:rsidR="00B472C3" w:rsidRPr="00EC6C19" w:rsidRDefault="00B472C3" w:rsidP="003E6610">
            <w:pPr>
              <w:spacing w:line="360" w:lineRule="auto"/>
              <w:rPr>
                <w:rFonts w:ascii="Times New Roman" w:hAnsi="Times New Roman" w:cs="Times New Roman"/>
                <w:sz w:val="24"/>
                <w:szCs w:val="24"/>
              </w:rPr>
            </w:pPr>
            <w:r w:rsidRPr="00EC6C19">
              <w:rPr>
                <w:rFonts w:ascii="Times New Roman" w:hAnsi="Times New Roman" w:cs="Times New Roman"/>
                <w:sz w:val="24"/>
                <w:szCs w:val="24"/>
              </w:rPr>
              <w:t>LAD FFR</w:t>
            </w:r>
          </w:p>
          <w:p w14:paraId="3C889CCE" w14:textId="77777777" w:rsidR="00B472C3" w:rsidRPr="00EC6C19" w:rsidRDefault="00B472C3" w:rsidP="003E6610">
            <w:pPr>
              <w:spacing w:line="360" w:lineRule="auto"/>
              <w:rPr>
                <w:rFonts w:ascii="Times New Roman" w:hAnsi="Times New Roman" w:cs="Times New Roman"/>
                <w:sz w:val="24"/>
                <w:szCs w:val="24"/>
              </w:rPr>
            </w:pPr>
          </w:p>
        </w:tc>
        <w:tc>
          <w:tcPr>
            <w:tcW w:w="3192" w:type="dxa"/>
            <w:shd w:val="clear" w:color="auto" w:fill="FFFFFF" w:themeFill="background1"/>
          </w:tcPr>
          <w:p w14:paraId="5FF47216" w14:textId="77777777" w:rsidR="00B472C3" w:rsidRPr="00EC6C19" w:rsidRDefault="00B472C3" w:rsidP="003E661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0.09</w:t>
            </w:r>
          </w:p>
        </w:tc>
        <w:tc>
          <w:tcPr>
            <w:tcW w:w="3192" w:type="dxa"/>
            <w:shd w:val="clear" w:color="auto" w:fill="FFFFFF" w:themeFill="background1"/>
          </w:tcPr>
          <w:p w14:paraId="3FC99B5F" w14:textId="77777777" w:rsidR="00B472C3" w:rsidRPr="00EC6C19" w:rsidRDefault="00B472C3" w:rsidP="003E661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0.09</w:t>
            </w:r>
          </w:p>
        </w:tc>
      </w:tr>
      <w:tr w:rsidR="00B472C3" w:rsidRPr="00EC6C19" w14:paraId="2B83BBD6" w14:textId="77777777" w:rsidTr="00DA1C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shd w:val="clear" w:color="auto" w:fill="FFFFFF" w:themeFill="background1"/>
          </w:tcPr>
          <w:p w14:paraId="098D6F47" w14:textId="77777777" w:rsidR="00B472C3" w:rsidRPr="00EC6C19" w:rsidRDefault="00B472C3" w:rsidP="003E6610">
            <w:pPr>
              <w:spacing w:line="360" w:lineRule="auto"/>
              <w:rPr>
                <w:rFonts w:ascii="Times New Roman" w:hAnsi="Times New Roman" w:cs="Times New Roman"/>
                <w:sz w:val="24"/>
                <w:szCs w:val="24"/>
              </w:rPr>
            </w:pPr>
            <w:r w:rsidRPr="00EC6C19">
              <w:rPr>
                <w:rFonts w:ascii="Times New Roman" w:hAnsi="Times New Roman" w:cs="Times New Roman"/>
                <w:sz w:val="24"/>
                <w:szCs w:val="24"/>
              </w:rPr>
              <w:t>Cx Pd/Pa</w:t>
            </w:r>
          </w:p>
          <w:p w14:paraId="11F2B1FD" w14:textId="77777777" w:rsidR="00B472C3" w:rsidRPr="00EC6C19" w:rsidRDefault="00B472C3" w:rsidP="003E6610">
            <w:pPr>
              <w:spacing w:line="360" w:lineRule="auto"/>
              <w:rPr>
                <w:rFonts w:ascii="Times New Roman" w:hAnsi="Times New Roman" w:cs="Times New Roman"/>
                <w:sz w:val="24"/>
                <w:szCs w:val="24"/>
              </w:rPr>
            </w:pPr>
          </w:p>
        </w:tc>
        <w:tc>
          <w:tcPr>
            <w:tcW w:w="3192" w:type="dxa"/>
            <w:shd w:val="clear" w:color="auto" w:fill="FFFFFF" w:themeFill="background1"/>
          </w:tcPr>
          <w:p w14:paraId="26A2FD6B" w14:textId="77777777" w:rsidR="00B472C3" w:rsidRPr="00EC6C19" w:rsidRDefault="00B472C3" w:rsidP="003E661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0.05</w:t>
            </w:r>
          </w:p>
        </w:tc>
        <w:tc>
          <w:tcPr>
            <w:tcW w:w="3192" w:type="dxa"/>
            <w:shd w:val="clear" w:color="auto" w:fill="FFFFFF" w:themeFill="background1"/>
          </w:tcPr>
          <w:p w14:paraId="55E0C8C9" w14:textId="77777777" w:rsidR="00B472C3" w:rsidRPr="00EC6C19" w:rsidRDefault="00B472C3" w:rsidP="003E661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0.05</w:t>
            </w:r>
          </w:p>
        </w:tc>
      </w:tr>
      <w:tr w:rsidR="00B472C3" w:rsidRPr="00EC6C19" w14:paraId="3FF5F0E3" w14:textId="77777777" w:rsidTr="00DA1C73">
        <w:tc>
          <w:tcPr>
            <w:cnfStyle w:val="001000000000" w:firstRow="0" w:lastRow="0" w:firstColumn="1" w:lastColumn="0" w:oddVBand="0" w:evenVBand="0" w:oddHBand="0" w:evenHBand="0" w:firstRowFirstColumn="0" w:firstRowLastColumn="0" w:lastRowFirstColumn="0" w:lastRowLastColumn="0"/>
            <w:tcW w:w="3192" w:type="dxa"/>
            <w:shd w:val="clear" w:color="auto" w:fill="FFFFFF" w:themeFill="background1"/>
          </w:tcPr>
          <w:p w14:paraId="77C9BB09" w14:textId="77777777" w:rsidR="00B472C3" w:rsidRPr="00EC6C19" w:rsidRDefault="00B472C3" w:rsidP="003E6610">
            <w:pPr>
              <w:spacing w:line="360" w:lineRule="auto"/>
              <w:rPr>
                <w:rFonts w:ascii="Times New Roman" w:hAnsi="Times New Roman" w:cs="Times New Roman"/>
                <w:sz w:val="24"/>
                <w:szCs w:val="24"/>
              </w:rPr>
            </w:pPr>
            <w:r w:rsidRPr="00EC6C19">
              <w:rPr>
                <w:rFonts w:ascii="Times New Roman" w:hAnsi="Times New Roman" w:cs="Times New Roman"/>
                <w:sz w:val="24"/>
                <w:szCs w:val="24"/>
              </w:rPr>
              <w:t>Cx FFR</w:t>
            </w:r>
          </w:p>
          <w:p w14:paraId="11192E40" w14:textId="77777777" w:rsidR="00B472C3" w:rsidRPr="00EC6C19" w:rsidRDefault="00B472C3" w:rsidP="003E6610">
            <w:pPr>
              <w:spacing w:line="360" w:lineRule="auto"/>
              <w:rPr>
                <w:rFonts w:ascii="Times New Roman" w:hAnsi="Times New Roman" w:cs="Times New Roman"/>
                <w:sz w:val="24"/>
                <w:szCs w:val="24"/>
              </w:rPr>
            </w:pPr>
          </w:p>
        </w:tc>
        <w:tc>
          <w:tcPr>
            <w:tcW w:w="3192" w:type="dxa"/>
            <w:shd w:val="clear" w:color="auto" w:fill="FFFFFF" w:themeFill="background1"/>
          </w:tcPr>
          <w:p w14:paraId="0E1008F9" w14:textId="77777777" w:rsidR="00B472C3" w:rsidRPr="00EC6C19" w:rsidRDefault="00B472C3" w:rsidP="003E661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0.05</w:t>
            </w:r>
          </w:p>
        </w:tc>
        <w:tc>
          <w:tcPr>
            <w:tcW w:w="3192" w:type="dxa"/>
            <w:shd w:val="clear" w:color="auto" w:fill="FFFFFF" w:themeFill="background1"/>
          </w:tcPr>
          <w:p w14:paraId="1834E305" w14:textId="77777777" w:rsidR="00B472C3" w:rsidRPr="00EC6C19" w:rsidRDefault="00B472C3" w:rsidP="003E661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0.05</w:t>
            </w:r>
          </w:p>
        </w:tc>
      </w:tr>
      <w:tr w:rsidR="00B472C3" w:rsidRPr="00EC6C19" w14:paraId="5935F047" w14:textId="77777777" w:rsidTr="00DA1C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shd w:val="clear" w:color="auto" w:fill="FFFFFF" w:themeFill="background1"/>
          </w:tcPr>
          <w:p w14:paraId="59270589" w14:textId="77777777" w:rsidR="00B472C3" w:rsidRPr="00EC6C19" w:rsidRDefault="00B472C3" w:rsidP="003E6610">
            <w:pPr>
              <w:spacing w:line="360" w:lineRule="auto"/>
              <w:rPr>
                <w:rFonts w:ascii="Times New Roman" w:hAnsi="Times New Roman" w:cs="Times New Roman"/>
                <w:sz w:val="24"/>
                <w:szCs w:val="24"/>
              </w:rPr>
            </w:pPr>
            <w:r w:rsidRPr="00EC6C19">
              <w:rPr>
                <w:rFonts w:ascii="Times New Roman" w:hAnsi="Times New Roman" w:cs="Times New Roman"/>
                <w:sz w:val="24"/>
                <w:szCs w:val="24"/>
              </w:rPr>
              <w:t>RCA Pd/Pa</w:t>
            </w:r>
          </w:p>
          <w:p w14:paraId="490C4724" w14:textId="77777777" w:rsidR="00B472C3" w:rsidRPr="00EC6C19" w:rsidRDefault="00B472C3" w:rsidP="003E6610">
            <w:pPr>
              <w:spacing w:line="360" w:lineRule="auto"/>
              <w:rPr>
                <w:rFonts w:ascii="Times New Roman" w:hAnsi="Times New Roman" w:cs="Times New Roman"/>
                <w:sz w:val="24"/>
                <w:szCs w:val="24"/>
              </w:rPr>
            </w:pPr>
          </w:p>
        </w:tc>
        <w:tc>
          <w:tcPr>
            <w:tcW w:w="3192" w:type="dxa"/>
            <w:shd w:val="clear" w:color="auto" w:fill="FFFFFF" w:themeFill="background1"/>
          </w:tcPr>
          <w:p w14:paraId="7711F8E8" w14:textId="77777777" w:rsidR="00B472C3" w:rsidRPr="00EC6C19" w:rsidRDefault="00B472C3" w:rsidP="003E661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0.05</w:t>
            </w:r>
          </w:p>
        </w:tc>
        <w:tc>
          <w:tcPr>
            <w:tcW w:w="3192" w:type="dxa"/>
            <w:shd w:val="clear" w:color="auto" w:fill="FFFFFF" w:themeFill="background1"/>
          </w:tcPr>
          <w:p w14:paraId="0786CB67" w14:textId="77777777" w:rsidR="00B472C3" w:rsidRPr="00EC6C19" w:rsidRDefault="00B472C3" w:rsidP="003E661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0.07</w:t>
            </w:r>
          </w:p>
        </w:tc>
      </w:tr>
      <w:tr w:rsidR="00B472C3" w:rsidRPr="00EC6C19" w14:paraId="017A700D" w14:textId="77777777" w:rsidTr="00DA1C73">
        <w:tc>
          <w:tcPr>
            <w:cnfStyle w:val="001000000000" w:firstRow="0" w:lastRow="0" w:firstColumn="1" w:lastColumn="0" w:oddVBand="0" w:evenVBand="0" w:oddHBand="0" w:evenHBand="0" w:firstRowFirstColumn="0" w:firstRowLastColumn="0" w:lastRowFirstColumn="0" w:lastRowLastColumn="0"/>
            <w:tcW w:w="3192" w:type="dxa"/>
            <w:shd w:val="clear" w:color="auto" w:fill="FFFFFF" w:themeFill="background1"/>
          </w:tcPr>
          <w:p w14:paraId="054FC709" w14:textId="77777777" w:rsidR="00B472C3" w:rsidRPr="00EC6C19" w:rsidRDefault="00B472C3" w:rsidP="003E6610">
            <w:pPr>
              <w:spacing w:line="360" w:lineRule="auto"/>
              <w:rPr>
                <w:rFonts w:ascii="Times New Roman" w:hAnsi="Times New Roman" w:cs="Times New Roman"/>
                <w:sz w:val="24"/>
                <w:szCs w:val="24"/>
              </w:rPr>
            </w:pPr>
            <w:r w:rsidRPr="00EC6C19">
              <w:rPr>
                <w:rFonts w:ascii="Times New Roman" w:hAnsi="Times New Roman" w:cs="Times New Roman"/>
                <w:sz w:val="24"/>
                <w:szCs w:val="24"/>
              </w:rPr>
              <w:t>RCA FFR</w:t>
            </w:r>
          </w:p>
          <w:p w14:paraId="609365AE" w14:textId="77777777" w:rsidR="00B472C3" w:rsidRPr="00EC6C19" w:rsidRDefault="00B472C3" w:rsidP="003E6610">
            <w:pPr>
              <w:spacing w:line="360" w:lineRule="auto"/>
              <w:rPr>
                <w:rFonts w:ascii="Times New Roman" w:hAnsi="Times New Roman" w:cs="Times New Roman"/>
                <w:sz w:val="24"/>
                <w:szCs w:val="24"/>
              </w:rPr>
            </w:pPr>
          </w:p>
        </w:tc>
        <w:tc>
          <w:tcPr>
            <w:tcW w:w="3192" w:type="dxa"/>
            <w:shd w:val="clear" w:color="auto" w:fill="FFFFFF" w:themeFill="background1"/>
          </w:tcPr>
          <w:p w14:paraId="11B0B402" w14:textId="77777777" w:rsidR="00B472C3" w:rsidRPr="00EC6C19" w:rsidRDefault="00B472C3" w:rsidP="003E661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0.05</w:t>
            </w:r>
          </w:p>
        </w:tc>
        <w:tc>
          <w:tcPr>
            <w:tcW w:w="3192" w:type="dxa"/>
            <w:shd w:val="clear" w:color="auto" w:fill="FFFFFF" w:themeFill="background1"/>
          </w:tcPr>
          <w:p w14:paraId="42F66481" w14:textId="77777777" w:rsidR="00B472C3" w:rsidRPr="00EC6C19" w:rsidRDefault="00B472C3" w:rsidP="003E661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C6C19">
              <w:rPr>
                <w:rFonts w:ascii="Times New Roman" w:hAnsi="Times New Roman" w:cs="Times New Roman"/>
                <w:sz w:val="24"/>
                <w:szCs w:val="24"/>
              </w:rPr>
              <w:t>0.06</w:t>
            </w:r>
          </w:p>
        </w:tc>
      </w:tr>
    </w:tbl>
    <w:p w14:paraId="51294544" w14:textId="77777777" w:rsidR="00B472C3" w:rsidRDefault="00B472C3" w:rsidP="00B472C3">
      <w:pPr>
        <w:spacing w:line="360" w:lineRule="auto"/>
        <w:rPr>
          <w:rFonts w:ascii="Times New Roman" w:hAnsi="Times New Roman" w:cs="Times New Roman"/>
          <w:i/>
          <w:sz w:val="24"/>
          <w:szCs w:val="24"/>
        </w:rPr>
      </w:pPr>
    </w:p>
    <w:p w14:paraId="3753116E" w14:textId="77777777" w:rsidR="00B472C3" w:rsidRPr="007C0B62" w:rsidRDefault="007C0B62" w:rsidP="007C0B62">
      <w:pPr>
        <w:pStyle w:val="Caption"/>
        <w:spacing w:line="360" w:lineRule="auto"/>
        <w:rPr>
          <w:rFonts w:ascii="Times New Roman" w:hAnsi="Times New Roman" w:cs="Times New Roman"/>
          <w:b w:val="0"/>
          <w:i/>
          <w:color w:val="auto"/>
          <w:sz w:val="24"/>
          <w:szCs w:val="24"/>
        </w:rPr>
      </w:pPr>
      <w:bookmarkStart w:id="223" w:name="_Toc44962614"/>
      <w:r w:rsidRPr="007C0B62">
        <w:rPr>
          <w:rFonts w:ascii="Times New Roman" w:hAnsi="Times New Roman" w:cs="Times New Roman"/>
          <w:b w:val="0"/>
          <w:i/>
          <w:color w:val="auto"/>
          <w:sz w:val="24"/>
          <w:szCs w:val="24"/>
        </w:rPr>
        <w:t xml:space="preserve">Table </w:t>
      </w:r>
      <w:r w:rsidR="00106A32" w:rsidRPr="007C0B62">
        <w:rPr>
          <w:rFonts w:ascii="Times New Roman" w:hAnsi="Times New Roman" w:cs="Times New Roman"/>
          <w:b w:val="0"/>
          <w:i/>
          <w:color w:val="auto"/>
          <w:sz w:val="24"/>
          <w:szCs w:val="24"/>
        </w:rPr>
        <w:fldChar w:fldCharType="begin"/>
      </w:r>
      <w:r w:rsidRPr="007C0B62">
        <w:rPr>
          <w:rFonts w:ascii="Times New Roman" w:hAnsi="Times New Roman" w:cs="Times New Roman"/>
          <w:b w:val="0"/>
          <w:i/>
          <w:color w:val="auto"/>
          <w:sz w:val="24"/>
          <w:szCs w:val="24"/>
        </w:rPr>
        <w:instrText xml:space="preserve"> SEQ Table \* ARABIC </w:instrText>
      </w:r>
      <w:r w:rsidR="00106A32" w:rsidRPr="007C0B6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38</w:t>
      </w:r>
      <w:r w:rsidR="00106A32" w:rsidRPr="007C0B62">
        <w:rPr>
          <w:rFonts w:ascii="Times New Roman" w:hAnsi="Times New Roman" w:cs="Times New Roman"/>
          <w:b w:val="0"/>
          <w:i/>
          <w:color w:val="auto"/>
          <w:sz w:val="24"/>
          <w:szCs w:val="24"/>
        </w:rPr>
        <w:fldChar w:fldCharType="end"/>
      </w:r>
      <w:r w:rsidRPr="007C0B62">
        <w:rPr>
          <w:rFonts w:ascii="Times New Roman" w:hAnsi="Times New Roman" w:cs="Times New Roman"/>
          <w:b w:val="0"/>
          <w:i/>
          <w:color w:val="auto"/>
          <w:sz w:val="24"/>
          <w:szCs w:val="24"/>
        </w:rPr>
        <w:t xml:space="preserve"> - Al-Janabi vs. Kawaguchi Data. D</w:t>
      </w:r>
      <w:r w:rsidR="00B472C3" w:rsidRPr="007C0B62">
        <w:rPr>
          <w:rFonts w:ascii="Times New Roman" w:hAnsi="Times New Roman" w:cs="Times New Roman"/>
          <w:b w:val="0"/>
          <w:i/>
          <w:color w:val="auto"/>
          <w:sz w:val="24"/>
          <w:szCs w:val="24"/>
        </w:rPr>
        <w:t>elta change (between prone and supine positions) in Pd/Pa and FFR in LAD, Cx and RCA.</w:t>
      </w:r>
      <w:bookmarkEnd w:id="223"/>
    </w:p>
    <w:p w14:paraId="08D07218" w14:textId="77777777" w:rsidR="00B472C3" w:rsidRPr="00EC6C19" w:rsidRDefault="00B472C3" w:rsidP="00B472C3">
      <w:pPr>
        <w:spacing w:line="360" w:lineRule="auto"/>
        <w:rPr>
          <w:rFonts w:ascii="Times New Roman" w:hAnsi="Times New Roman" w:cs="Times New Roman"/>
          <w:sz w:val="24"/>
          <w:szCs w:val="24"/>
        </w:rPr>
      </w:pPr>
    </w:p>
    <w:p w14:paraId="3FB5C0FC" w14:textId="77777777" w:rsidR="00B472C3" w:rsidRPr="00EC6C19" w:rsidRDefault="00B472C3" w:rsidP="00B472C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only differing measurements were the RCA Pd/Pa and FFR delta change. LAD and Cx measurements were identical, which is extremely re-assuring. The differences in the RCA could be due to which specific distal branch was chosen (PLV or PDA). Kawaguchi et al did not specify this in their </w:t>
      </w:r>
      <w:r>
        <w:rPr>
          <w:rFonts w:ascii="Times New Roman" w:hAnsi="Times New Roman" w:cs="Times New Roman"/>
          <w:sz w:val="24"/>
          <w:szCs w:val="24"/>
        </w:rPr>
        <w:t>methods, however diagrammatically, it appears the wire was positioned at bifurcation of the RCA.</w:t>
      </w:r>
    </w:p>
    <w:p w14:paraId="3AB95B37" w14:textId="72095BAD" w:rsidR="00A7009B" w:rsidRDefault="00B472C3"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Their data set did not inclu</w:t>
      </w:r>
      <w:r w:rsidR="00A7009B">
        <w:rPr>
          <w:rFonts w:ascii="Times New Roman" w:hAnsi="Times New Roman" w:cs="Times New Roman"/>
          <w:sz w:val="24"/>
          <w:szCs w:val="24"/>
        </w:rPr>
        <w:t>de iFR or doppler flow velocity</w:t>
      </w:r>
      <w:r>
        <w:rPr>
          <w:rFonts w:ascii="Times New Roman" w:hAnsi="Times New Roman" w:cs="Times New Roman"/>
          <w:sz w:val="24"/>
          <w:szCs w:val="24"/>
        </w:rPr>
        <w:t>.</w:t>
      </w:r>
      <w:r w:rsidR="00A7009B">
        <w:rPr>
          <w:rFonts w:ascii="Times New Roman" w:hAnsi="Times New Roman" w:cs="Times New Roman"/>
          <w:sz w:val="24"/>
          <w:szCs w:val="24"/>
        </w:rPr>
        <w:t xml:space="preserve"> The current research adds to current data by adding novel data for these parameters. Pd/Pa, is now rarely used, and including the effect on a newer resting index such as iFR is clinically </w:t>
      </w:r>
      <w:r w:rsidR="00D164ED">
        <w:rPr>
          <w:rFonts w:ascii="Times New Roman" w:hAnsi="Times New Roman" w:cs="Times New Roman"/>
          <w:sz w:val="24"/>
          <w:szCs w:val="24"/>
        </w:rPr>
        <w:t>relevant</w:t>
      </w:r>
      <w:r w:rsidR="00A7009B">
        <w:rPr>
          <w:rFonts w:ascii="Times New Roman" w:hAnsi="Times New Roman" w:cs="Times New Roman"/>
          <w:sz w:val="24"/>
          <w:szCs w:val="24"/>
        </w:rPr>
        <w:t xml:space="preserve">. Furthermore, the current research confirms that coronary flow is unchanged, which no other study has to this point. This provides supporting evidence that hydrostatic effect </w:t>
      </w:r>
      <w:r w:rsidR="00D164ED">
        <w:rPr>
          <w:rFonts w:ascii="Times New Roman" w:hAnsi="Times New Roman" w:cs="Times New Roman"/>
          <w:sz w:val="24"/>
          <w:szCs w:val="24"/>
        </w:rPr>
        <w:t>exists and</w:t>
      </w:r>
      <w:r w:rsidR="00A7009B">
        <w:rPr>
          <w:rFonts w:ascii="Times New Roman" w:hAnsi="Times New Roman" w:cs="Times New Roman"/>
          <w:sz w:val="24"/>
          <w:szCs w:val="24"/>
        </w:rPr>
        <w:t xml:space="preserve"> confounds the tool of pressure based indices we use routinely during PCI. </w:t>
      </w:r>
    </w:p>
    <w:p w14:paraId="73ED1462" w14:textId="77777777" w:rsidR="00A7009B" w:rsidRPr="00DA1C73" w:rsidRDefault="00A7009B" w:rsidP="00BC7A77">
      <w:pPr>
        <w:spacing w:line="360" w:lineRule="auto"/>
        <w:rPr>
          <w:rFonts w:ascii="Times New Roman" w:hAnsi="Times New Roman" w:cs="Times New Roman"/>
          <w:sz w:val="24"/>
          <w:szCs w:val="24"/>
        </w:rPr>
      </w:pPr>
      <w:r>
        <w:rPr>
          <w:rFonts w:ascii="Times New Roman" w:hAnsi="Times New Roman" w:cs="Times New Roman"/>
          <w:sz w:val="24"/>
          <w:szCs w:val="24"/>
        </w:rPr>
        <w:t>However, the similarity between data sets</w:t>
      </w:r>
      <w:r w:rsidR="00B472C3">
        <w:rPr>
          <w:rFonts w:ascii="Times New Roman" w:hAnsi="Times New Roman" w:cs="Times New Roman"/>
          <w:sz w:val="24"/>
          <w:szCs w:val="24"/>
        </w:rPr>
        <w:t xml:space="preserve"> shows reproducibility and a reassuringly constant confounding effect of hydrostatic pressure.</w:t>
      </w:r>
    </w:p>
    <w:p w14:paraId="6933F7C6" w14:textId="77777777" w:rsidR="00B472C3" w:rsidRPr="00EC6C19" w:rsidRDefault="00B472C3" w:rsidP="00BC7A77">
      <w:pPr>
        <w:spacing w:line="360" w:lineRule="auto"/>
        <w:rPr>
          <w:rFonts w:ascii="Times New Roman" w:hAnsi="Times New Roman" w:cs="Times New Roman"/>
          <w:sz w:val="24"/>
          <w:szCs w:val="24"/>
        </w:rPr>
      </w:pPr>
    </w:p>
    <w:p w14:paraId="09B550A8" w14:textId="77777777" w:rsidR="00235977" w:rsidRPr="008065E7" w:rsidRDefault="004A7AE9" w:rsidP="008065E7">
      <w:pPr>
        <w:pStyle w:val="Heading2"/>
        <w:rPr>
          <w:rFonts w:ascii="Times New Roman" w:hAnsi="Times New Roman" w:cs="Times New Roman"/>
          <w:color w:val="auto"/>
          <w:sz w:val="24"/>
          <w:szCs w:val="24"/>
        </w:rPr>
      </w:pPr>
      <w:bookmarkStart w:id="224" w:name="_Toc80302280"/>
      <w:r>
        <w:rPr>
          <w:rFonts w:ascii="Times New Roman" w:hAnsi="Times New Roman" w:cs="Times New Roman"/>
          <w:color w:val="auto"/>
          <w:sz w:val="24"/>
          <w:szCs w:val="24"/>
        </w:rPr>
        <w:t>4.6</w:t>
      </w:r>
      <w:r w:rsidR="008065E7" w:rsidRPr="008065E7">
        <w:rPr>
          <w:rFonts w:ascii="Times New Roman" w:hAnsi="Times New Roman" w:cs="Times New Roman"/>
          <w:color w:val="auto"/>
          <w:sz w:val="24"/>
          <w:szCs w:val="24"/>
        </w:rPr>
        <w:t xml:space="preserve"> - </w:t>
      </w:r>
      <w:r w:rsidR="00235977" w:rsidRPr="008065E7">
        <w:rPr>
          <w:rFonts w:ascii="Times New Roman" w:hAnsi="Times New Roman" w:cs="Times New Roman"/>
          <w:color w:val="auto"/>
          <w:sz w:val="24"/>
          <w:szCs w:val="24"/>
        </w:rPr>
        <w:t>Doppler Measurements</w:t>
      </w:r>
      <w:bookmarkEnd w:id="224"/>
      <w:r w:rsidR="008065E7">
        <w:rPr>
          <w:rFonts w:ascii="Times New Roman" w:hAnsi="Times New Roman" w:cs="Times New Roman"/>
          <w:color w:val="auto"/>
          <w:sz w:val="24"/>
          <w:szCs w:val="24"/>
        </w:rPr>
        <w:br/>
      </w:r>
    </w:p>
    <w:p w14:paraId="0BE3FBD3" w14:textId="77777777" w:rsidR="00235977" w:rsidRPr="00EC6C19" w:rsidRDefault="00235977" w:rsidP="00BC7A77">
      <w:pPr>
        <w:spacing w:line="360" w:lineRule="auto"/>
        <w:rPr>
          <w:rFonts w:ascii="Times New Roman" w:hAnsi="Times New Roman" w:cs="Times New Roman"/>
          <w:i/>
          <w:sz w:val="24"/>
          <w:szCs w:val="24"/>
          <w:u w:val="single"/>
        </w:rPr>
      </w:pPr>
    </w:p>
    <w:p w14:paraId="4440895F" w14:textId="6C0F014B" w:rsidR="00FC74A5" w:rsidRDefault="00235977"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There was no significant change between prone and supine doppler flow across </w:t>
      </w:r>
      <w:r w:rsidR="00DE28BF" w:rsidRPr="00EC6C19">
        <w:rPr>
          <w:rFonts w:ascii="Times New Roman" w:hAnsi="Times New Roman" w:cs="Times New Roman"/>
          <w:sz w:val="24"/>
          <w:szCs w:val="24"/>
        </w:rPr>
        <w:t>resting and hyperaemic measurements</w:t>
      </w:r>
      <w:r w:rsidRPr="00EC6C19">
        <w:rPr>
          <w:rFonts w:ascii="Times New Roman" w:hAnsi="Times New Roman" w:cs="Times New Roman"/>
          <w:sz w:val="24"/>
          <w:szCs w:val="24"/>
        </w:rPr>
        <w:t>. The overall delta changes between the groups were almost zero, with a change of -1.5cm/s in resting measurements and -0.8</w:t>
      </w:r>
      <w:r w:rsidR="00D164ED">
        <w:rPr>
          <w:rFonts w:ascii="Times New Roman" w:hAnsi="Times New Roman" w:cs="Times New Roman"/>
          <w:sz w:val="24"/>
          <w:szCs w:val="24"/>
        </w:rPr>
        <w:t xml:space="preserve"> </w:t>
      </w:r>
      <w:r w:rsidRPr="00EC6C19">
        <w:rPr>
          <w:rFonts w:ascii="Times New Roman" w:hAnsi="Times New Roman" w:cs="Times New Roman"/>
          <w:sz w:val="24"/>
          <w:szCs w:val="24"/>
        </w:rPr>
        <w:t>cm/s in hyperaemic measurements</w:t>
      </w:r>
      <w:r w:rsidR="001F012E">
        <w:rPr>
          <w:rFonts w:ascii="Times New Roman" w:hAnsi="Times New Roman" w:cs="Times New Roman"/>
          <w:sz w:val="24"/>
          <w:szCs w:val="24"/>
        </w:rPr>
        <w:t xml:space="preserve"> across all cases</w:t>
      </w:r>
      <w:r w:rsidRPr="00EC6C19">
        <w:rPr>
          <w:rFonts w:ascii="Times New Roman" w:hAnsi="Times New Roman" w:cs="Times New Roman"/>
          <w:sz w:val="24"/>
          <w:szCs w:val="24"/>
        </w:rPr>
        <w:t>.</w:t>
      </w:r>
      <w:r w:rsidR="00264146">
        <w:rPr>
          <w:rFonts w:ascii="Times New Roman" w:hAnsi="Times New Roman" w:cs="Times New Roman"/>
          <w:sz w:val="24"/>
          <w:szCs w:val="24"/>
        </w:rPr>
        <w:t xml:space="preserve"> T</w:t>
      </w:r>
      <w:r w:rsidR="00264146" w:rsidRPr="00EC6C19">
        <w:rPr>
          <w:rFonts w:ascii="Times New Roman" w:hAnsi="Times New Roman" w:cs="Times New Roman"/>
          <w:sz w:val="24"/>
          <w:szCs w:val="24"/>
        </w:rPr>
        <w:t>he majority of cases had small delta changes in flow (less than 5cm/s in 16 of 23 cases). This correlates with the original theory that coronary flow will be maintained even when the pressure changes in the artery.</w:t>
      </w:r>
      <w:r w:rsidR="00D164ED">
        <w:rPr>
          <w:rFonts w:ascii="Times New Roman" w:hAnsi="Times New Roman" w:cs="Times New Roman"/>
          <w:sz w:val="24"/>
          <w:szCs w:val="24"/>
        </w:rPr>
        <w:t xml:space="preserve"> </w:t>
      </w:r>
      <w:r w:rsidRPr="00EC6C19">
        <w:rPr>
          <w:rFonts w:ascii="Times New Roman" w:hAnsi="Times New Roman" w:cs="Times New Roman"/>
          <w:sz w:val="24"/>
          <w:szCs w:val="24"/>
        </w:rPr>
        <w:t>There were some large changes in individual cases however</w:t>
      </w:r>
      <w:r w:rsidR="001F27F0">
        <w:rPr>
          <w:rFonts w:ascii="Times New Roman" w:hAnsi="Times New Roman" w:cs="Times New Roman"/>
          <w:sz w:val="24"/>
          <w:szCs w:val="24"/>
        </w:rPr>
        <w:t xml:space="preserve"> (case 1  - </w:t>
      </w:r>
      <w:r w:rsidRPr="00EC6C19">
        <w:rPr>
          <w:rFonts w:ascii="Times New Roman" w:hAnsi="Times New Roman" w:cs="Times New Roman"/>
          <w:sz w:val="24"/>
          <w:szCs w:val="24"/>
        </w:rPr>
        <w:t>46.7cm/s</w:t>
      </w:r>
      <w:r w:rsidR="001F27F0">
        <w:rPr>
          <w:rFonts w:ascii="Times New Roman" w:hAnsi="Times New Roman" w:cs="Times New Roman"/>
          <w:sz w:val="24"/>
          <w:szCs w:val="24"/>
        </w:rPr>
        <w:t xml:space="preserve"> prone and </w:t>
      </w:r>
      <w:r w:rsidRPr="00EC6C19">
        <w:rPr>
          <w:rFonts w:ascii="Times New Roman" w:hAnsi="Times New Roman" w:cs="Times New Roman"/>
          <w:sz w:val="24"/>
          <w:szCs w:val="24"/>
        </w:rPr>
        <w:t>20.5cm/s</w:t>
      </w:r>
      <w:r w:rsidR="001F27F0">
        <w:rPr>
          <w:rFonts w:ascii="Times New Roman" w:hAnsi="Times New Roman" w:cs="Times New Roman"/>
          <w:sz w:val="24"/>
          <w:szCs w:val="24"/>
        </w:rPr>
        <w:t xml:space="preserve"> supine</w:t>
      </w:r>
      <w:r w:rsidR="009B16C0">
        <w:rPr>
          <w:rFonts w:ascii="Times New Roman" w:hAnsi="Times New Roman" w:cs="Times New Roman"/>
          <w:sz w:val="24"/>
          <w:szCs w:val="24"/>
        </w:rPr>
        <w:t xml:space="preserve">) which is </w:t>
      </w:r>
      <w:r w:rsidR="00D753DF" w:rsidRPr="00EC6C19">
        <w:rPr>
          <w:rFonts w:ascii="Times New Roman" w:hAnsi="Times New Roman" w:cs="Times New Roman"/>
          <w:sz w:val="24"/>
          <w:szCs w:val="24"/>
        </w:rPr>
        <w:t xml:space="preserve">difficult to fully explain. </w:t>
      </w:r>
    </w:p>
    <w:p w14:paraId="7AE2D26E" w14:textId="16B1876B" w:rsidR="00235977" w:rsidRDefault="00500771"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 possible </w:t>
      </w:r>
      <w:r w:rsidR="00D753DF" w:rsidRPr="00EC6C19">
        <w:rPr>
          <w:rFonts w:ascii="Times New Roman" w:hAnsi="Times New Roman" w:cs="Times New Roman"/>
          <w:sz w:val="24"/>
          <w:szCs w:val="24"/>
        </w:rPr>
        <w:t>explanation is variation in the doppler signal strength. Whilst gaining experience</w:t>
      </w:r>
      <w:r w:rsidR="001F012E">
        <w:rPr>
          <w:rFonts w:ascii="Times New Roman" w:hAnsi="Times New Roman" w:cs="Times New Roman"/>
          <w:sz w:val="24"/>
          <w:szCs w:val="24"/>
        </w:rPr>
        <w:t xml:space="preserve"> as a research group</w:t>
      </w:r>
      <w:r w:rsidR="00D753DF" w:rsidRPr="00EC6C19">
        <w:rPr>
          <w:rFonts w:ascii="Times New Roman" w:hAnsi="Times New Roman" w:cs="Times New Roman"/>
          <w:sz w:val="24"/>
          <w:szCs w:val="24"/>
        </w:rPr>
        <w:t>, it was clear that small variations in rotation or horizontal movement of the wire, could lead to large</w:t>
      </w:r>
      <w:r w:rsidR="001F012E">
        <w:rPr>
          <w:rFonts w:ascii="Times New Roman" w:hAnsi="Times New Roman" w:cs="Times New Roman"/>
          <w:sz w:val="24"/>
          <w:szCs w:val="24"/>
        </w:rPr>
        <w:t xml:space="preserve"> doppler</w:t>
      </w:r>
      <w:r w:rsidR="00D753DF" w:rsidRPr="00EC6C19">
        <w:rPr>
          <w:rFonts w:ascii="Times New Roman" w:hAnsi="Times New Roman" w:cs="Times New Roman"/>
          <w:sz w:val="24"/>
          <w:szCs w:val="24"/>
        </w:rPr>
        <w:t xml:space="preserve"> signal changes. </w:t>
      </w:r>
      <w:r w:rsidR="001F012E">
        <w:rPr>
          <w:rFonts w:ascii="Times New Roman" w:hAnsi="Times New Roman" w:cs="Times New Roman"/>
          <w:sz w:val="24"/>
          <w:szCs w:val="24"/>
        </w:rPr>
        <w:t>Flexibility in wire</w:t>
      </w:r>
      <w:r w:rsidR="00D753DF" w:rsidRPr="00EC6C19">
        <w:rPr>
          <w:rFonts w:ascii="Times New Roman" w:hAnsi="Times New Roman" w:cs="Times New Roman"/>
          <w:sz w:val="24"/>
          <w:szCs w:val="24"/>
        </w:rPr>
        <w:t xml:space="preserve"> positioning</w:t>
      </w:r>
      <w:r w:rsidR="009B16C0">
        <w:rPr>
          <w:rFonts w:ascii="Times New Roman" w:hAnsi="Times New Roman" w:cs="Times New Roman"/>
          <w:sz w:val="24"/>
          <w:szCs w:val="24"/>
        </w:rPr>
        <w:t xml:space="preserve"> was limited</w:t>
      </w:r>
      <w:r w:rsidR="00D753DF" w:rsidRPr="00EC6C19">
        <w:rPr>
          <w:rFonts w:ascii="Times New Roman" w:hAnsi="Times New Roman" w:cs="Times New Roman"/>
          <w:sz w:val="24"/>
          <w:szCs w:val="24"/>
        </w:rPr>
        <w:t xml:space="preserve">, with the aim to </w:t>
      </w:r>
      <w:r w:rsidR="001F012E">
        <w:rPr>
          <w:rFonts w:ascii="Times New Roman" w:hAnsi="Times New Roman" w:cs="Times New Roman"/>
          <w:sz w:val="24"/>
          <w:szCs w:val="24"/>
        </w:rPr>
        <w:t>match</w:t>
      </w:r>
      <w:r w:rsidR="00D753DF" w:rsidRPr="00EC6C19">
        <w:rPr>
          <w:rFonts w:ascii="Times New Roman" w:hAnsi="Times New Roman" w:cs="Times New Roman"/>
          <w:sz w:val="24"/>
          <w:szCs w:val="24"/>
        </w:rPr>
        <w:t xml:space="preserve"> the same position in the artery between prone and </w:t>
      </w:r>
      <w:r w:rsidR="001F012E">
        <w:rPr>
          <w:rFonts w:ascii="Times New Roman" w:hAnsi="Times New Roman" w:cs="Times New Roman"/>
          <w:sz w:val="24"/>
          <w:szCs w:val="24"/>
        </w:rPr>
        <w:t>supine measurements. Rotation was the major variable in gaining adequate signal</w:t>
      </w:r>
      <w:r w:rsidR="00D753DF" w:rsidRPr="00EC6C19">
        <w:rPr>
          <w:rFonts w:ascii="Times New Roman" w:hAnsi="Times New Roman" w:cs="Times New Roman"/>
          <w:sz w:val="24"/>
          <w:szCs w:val="24"/>
        </w:rPr>
        <w:t>. In general, the operator would attempt to get the strongest signal within 2-5 minutes of wire placement</w:t>
      </w:r>
      <w:r w:rsidR="001F012E">
        <w:rPr>
          <w:rFonts w:ascii="Times New Roman" w:hAnsi="Times New Roman" w:cs="Times New Roman"/>
          <w:sz w:val="24"/>
          <w:szCs w:val="24"/>
        </w:rPr>
        <w:t xml:space="preserve"> to minimise radiation and prolonged procedural times</w:t>
      </w:r>
      <w:r w:rsidR="00D753DF" w:rsidRPr="00EC6C19">
        <w:rPr>
          <w:rFonts w:ascii="Times New Roman" w:hAnsi="Times New Roman" w:cs="Times New Roman"/>
          <w:sz w:val="24"/>
          <w:szCs w:val="24"/>
        </w:rPr>
        <w:t>.</w:t>
      </w:r>
      <w:r w:rsidR="00264146">
        <w:rPr>
          <w:rFonts w:ascii="Times New Roman" w:hAnsi="Times New Roman" w:cs="Times New Roman"/>
          <w:sz w:val="24"/>
          <w:szCs w:val="24"/>
        </w:rPr>
        <w:t xml:space="preserve"> Positional stability and the correct signal angle have been noted to be the main technical challenges with invasive doppler measurements </w:t>
      </w:r>
      <w:r w:rsidR="00106A32">
        <w:rPr>
          <w:rFonts w:ascii="Times New Roman" w:hAnsi="Times New Roman" w:cs="Times New Roman"/>
          <w:sz w:val="24"/>
          <w:szCs w:val="24"/>
        </w:rPr>
        <w:fldChar w:fldCharType="begin"/>
      </w:r>
      <w:r w:rsidR="00264146">
        <w:rPr>
          <w:rFonts w:ascii="Times New Roman" w:hAnsi="Times New Roman" w:cs="Times New Roman"/>
          <w:sz w:val="24"/>
          <w:szCs w:val="24"/>
        </w:rPr>
        <w:instrText xml:space="preserve"> ADDIN ZOTERO_ITEM CSL_CITATION {"citationID":"2fPP4dQ9","properties":{"formattedCitation":"(Newby and Fox, 2002)","plainCitation":"(Newby and Fox, 2002)","noteIndex":0},"citationItems":[{"id":918,"uris":["http://zotero.org/users/local/k67tNDdX/items/SQQCZ58B"],"uri":["http://zotero.org/users/local/k67tNDdX/items/SQQCZ58B"],"itemData":{"id":918,"type":"article-journal","container-title":"British Journal of Clinical Pharmacology","DOI":"10.1046/j.1365-2125.2002.01582.x","ISSN":"0306-5251","issue":"6","journalAbbreviation":"Br J Clin Pharmacol","note":"PMID: 12047480\nPMCID: PMC1874337","page":"561-575","source":"PubMed Central","title":"Invasive assessment of the coronary circulation: intravascular ultrasound and Doppler","title-short":"Invasive assessment of the coronary circulation","volume":"53","author":[{"family":"Newby","given":"David E"},{"family":"Fox","given":"Keith A A"}],"issued":{"date-parts":[["2002",6]]}}}],"schema":"https://github.com/citation-style-language/schema/raw/master/csl-citation.json"} </w:instrText>
      </w:r>
      <w:r w:rsidR="00106A32">
        <w:rPr>
          <w:rFonts w:ascii="Times New Roman" w:hAnsi="Times New Roman" w:cs="Times New Roman"/>
          <w:sz w:val="24"/>
          <w:szCs w:val="24"/>
        </w:rPr>
        <w:fldChar w:fldCharType="separate"/>
      </w:r>
      <w:r w:rsidR="00264146" w:rsidRPr="00264146">
        <w:rPr>
          <w:rFonts w:ascii="Times New Roman" w:hAnsi="Times New Roman" w:cs="Times New Roman"/>
          <w:sz w:val="24"/>
        </w:rPr>
        <w:t>(Newby and Fox, 2002)</w:t>
      </w:r>
      <w:r w:rsidR="00106A32">
        <w:rPr>
          <w:rFonts w:ascii="Times New Roman" w:hAnsi="Times New Roman" w:cs="Times New Roman"/>
          <w:sz w:val="24"/>
          <w:szCs w:val="24"/>
        </w:rPr>
        <w:fldChar w:fldCharType="end"/>
      </w:r>
      <w:r w:rsidR="00264146">
        <w:rPr>
          <w:rFonts w:ascii="Times New Roman" w:hAnsi="Times New Roman" w:cs="Times New Roman"/>
          <w:sz w:val="24"/>
          <w:szCs w:val="24"/>
        </w:rPr>
        <w:t>.</w:t>
      </w:r>
    </w:p>
    <w:p w14:paraId="6AAFCCC1" w14:textId="77777777" w:rsidR="00264146" w:rsidRPr="00EC6C19" w:rsidRDefault="00FC74A5" w:rsidP="00BC7A77">
      <w:pPr>
        <w:spacing w:line="360" w:lineRule="auto"/>
        <w:rPr>
          <w:rFonts w:ascii="Times New Roman" w:hAnsi="Times New Roman" w:cs="Times New Roman"/>
          <w:sz w:val="24"/>
          <w:szCs w:val="24"/>
        </w:rPr>
      </w:pPr>
      <w:r>
        <w:rPr>
          <w:rFonts w:ascii="Times New Roman" w:hAnsi="Times New Roman" w:cs="Times New Roman"/>
          <w:sz w:val="24"/>
          <w:szCs w:val="24"/>
        </w:rPr>
        <w:t xml:space="preserve">Bradycardia, coronary spasm and dissection are known to be rare complications (&lt;1%) of doppler wire use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{"citationID":"FCyPMDeD","properties":{"formattedCitation":"(Qian et al., 2000)","plainCitation":"(Qian et al., 2000)","noteIndex":0},"citationItems":[{"id":921,"uris":["http://zotero.org/users/local/k67tNDdX/items/8AAJNYQT"],"uri":["http://zotero.org/users/local/k67tNDdX/items/8AAJNYQT"],"itemData":{"id":921,"type":"article-journal","abstract":"BACKGROUND: With the introduction of Doppler-tipped guide wires, intracoronary Doppler flow measurement has been increasingly accepted as an additional diagnostic approach in the catheterization laboratory. However, the safety of intracoronary Doppler flow measurement has not been well-investigated. The purpose of our study was to evaluate the safety of intracoronary Doppler flow measurement using the Doppler FloWire (Cardiometrics, Mountain View, Calif).\nMETHODS AND RESULTS: A total of 906 patients were examined by intracoronary Doppler with a 0.014-inch or an 0.018-inch Doppler FloWire. For coronary flow reserve measurement, intracoronary injection of adenosine or papaverine was used. Of the patients studied, 77 were cardiac transplant recipients and 829 were patients who had not received a transplant, of whom 617 had undergone diagnostic coronary procedures and 212 had coronary interventions. In 27 (2.98%) of 906 patients adverse cardiac events were observed. Fifteen (1.66%) of 906 patients had severe transient bradycardia develop (asystole or second- to third-degree atrioventricular block) after intracoronary administration of adenosine, 14 of which occurred in the right coronary artery and 1 in the left anterior descending artery. Nine (0.99%) of 906 patients had coronary spasm during the passage of the Doppler wire (5 in the right coronary artery, 4 in the left anterior descending artery). Two (0.22%) of 906 patients had ventricular fibrillation during the procedure. Hypotension with bradycardia and ventricular extrasystole each occurred in 1 (0.11%) of 906 patients. The incidence of complication was significantly higher in transplant recipients than in patients who underwent either diagnostic or interventional procedures (12.99% vs 2.43% vs 0.94%, P &lt;.001). The Doppler measurements in the right coronary artery were associated with a higher incidence of complications, especially bradycardia, compared with the left anterior descending and the left circumflex arteries (right coronary, 5.87% vs left anterior descending, 1.05% vs left circumflex, 0.17%; P &lt;.001). All complications were cured medically.\nCONCLUSION: Intracoronary Doppler flow measurement with Doppler wires and intracoronary administration of adenosine is a safe method. However, severe complications such as bradycardia and coronary spasm can occur. Attention should be paid to the examination of the right coronary artery, especially in heart transplant recipients.","container-title":"American Heart Journal","DOI":"10.1067/mhj.2000.109221","ISSN":"0002-8703","issue":"3","journalAbbreviation":"Am. Heart J.","language":"eng","note":"PMID: 10966554","page":"502-510","source":"PubMed","title":"Safety of intracoronary Doppler flow measurement","volume":"140","author":[{"family":"Qian","given":"J."},{"family":"Ge","given":"J."},{"family":"Baumgart","given":"D."},{"family":"Oldenburg","given":"O."},{"family":"Haude","given":"M."},{"family":"Sack","given":"S."},{"family":"Erbel","given":"R."}],"issued":{"date-parts":[["2000",9]]}}}],"schema":"https://github.com/citation-style-language/schema/raw/master/csl-citation.json"} </w:instrText>
      </w:r>
      <w:r w:rsidR="00106A32">
        <w:rPr>
          <w:rFonts w:ascii="Times New Roman" w:hAnsi="Times New Roman" w:cs="Times New Roman"/>
          <w:sz w:val="24"/>
          <w:szCs w:val="24"/>
        </w:rPr>
        <w:fldChar w:fldCharType="separate"/>
      </w:r>
      <w:r w:rsidRPr="00FC74A5">
        <w:rPr>
          <w:rFonts w:ascii="Times New Roman" w:hAnsi="Times New Roman" w:cs="Times New Roman"/>
          <w:sz w:val="24"/>
        </w:rPr>
        <w:t>(Qian et al., 2000)</w:t>
      </w:r>
      <w:r w:rsidR="00106A32">
        <w:rPr>
          <w:rFonts w:ascii="Times New Roman" w:hAnsi="Times New Roman" w:cs="Times New Roman"/>
          <w:sz w:val="24"/>
          <w:szCs w:val="24"/>
        </w:rPr>
        <w:fldChar w:fldCharType="end"/>
      </w:r>
      <w:r>
        <w:rPr>
          <w:rFonts w:ascii="Times New Roman" w:hAnsi="Times New Roman" w:cs="Times New Roman"/>
          <w:sz w:val="24"/>
          <w:szCs w:val="24"/>
        </w:rPr>
        <w:t xml:space="preserve">. </w:t>
      </w:r>
      <w:r w:rsidR="00264146">
        <w:rPr>
          <w:rFonts w:ascii="Times New Roman" w:hAnsi="Times New Roman" w:cs="Times New Roman"/>
          <w:sz w:val="24"/>
          <w:szCs w:val="24"/>
        </w:rPr>
        <w:t xml:space="preserve">Coronary doppler flow velocity has good short term reproducibility </w:t>
      </w:r>
      <w:r w:rsidR="00106A32">
        <w:rPr>
          <w:rFonts w:ascii="Times New Roman" w:hAnsi="Times New Roman" w:cs="Times New Roman"/>
          <w:sz w:val="24"/>
          <w:szCs w:val="24"/>
        </w:rPr>
        <w:fldChar w:fldCharType="begin"/>
      </w:r>
      <w:r w:rsidR="00264146">
        <w:rPr>
          <w:rFonts w:ascii="Times New Roman" w:hAnsi="Times New Roman" w:cs="Times New Roman"/>
          <w:sz w:val="24"/>
          <w:szCs w:val="24"/>
        </w:rPr>
        <w:instrText xml:space="preserve"> ADDIN ZOTERO_ITEM CSL_CITATION {"citationID":"OQZKrHSb","properties":{"formattedCitation":"(de Bruyne et al., 1996)","plainCitation":"(de Bruyne et al., 1996)","noteIndex":0},"citationItems":[{"id":912,"uris":["http://zotero.org/users/local/k67tNDdX/items/UAIRCMMT"],"uri":["http://zotero.org/users/local/k67tNDdX/items/UAIRCMMT"],"itemData":{"id":912,"type":"article-journal","abstract":"BACKGROUND: To assess coronary lesion severity in the catheterization laboratory, several guide wire-based methods have been proposed. The purpose of the present study was to compare the feasibility and the reproducibility of coronary flow velocity reserve (CFVR), instantaneous hyperemic diastolic velocity-pressure slope index (IHDVPS), and pressure-derived myocardial fractional flow reserve (FFRmyo).\nMETHODS AND RESULTS: From distal coronary pressure and flow velocity signals (0.014-in guide wires), CFVR, IHDVPS, and FFRmyo were computed in 15 stenoses (13 patients) under the four following pairs of conditions: (1) twice under baseline conditions; (2) during atrial pacing at 80 and 110 bpm; (3) before and during intravenous infusion of nitroprusside; and (4) before and during intravenous infusion of dobutamine. A total of 104 measurements were obtained. Both CFVR and FFRmyo could be calculated in all cases. IHDVPS could be calculated in only 79% of cases. The mean value of CFVR did not change between the two baseline measurements and during infusion of nitroprusside but decreased from 1.85 +/- 0.41 to 1.66 +/- 0.45 (P &lt; .05) during atrial pacing and from 1.90 +/- 0.50 to 1.41 +/- 0.28 (P &lt; .05) during dobutamine infusion. The mean values of IHDVPS and FFRmyo remained similar, whichever the changes in hemodynamic conditions. The coefficient of variation between two consecutive measurements was significantly lower for FFRmyo (4.2%) than for CFVR (17.7%) and for IHDVPS (24.7%).\nCONCLUSIONS: CFVR is easy to measure but sensitive to hemodynamic changes. IHDVPS can be measured only in &lt; 80% of cases and is highly variable even without changes in hemodynamic conditions. FFRmyo is easy to measure and almost independent of hemodynamic changes.","container-title":"Circulation","DOI":"10.1161/01.cir.94.8.1842","ISSN":"0009-7322","issue":"8","journalAbbreviation":"Circulation","language":"eng","note":"PMID: 8873658","page":"1842-1849","source":"PubMed","title":"Simultaneous coronary pressure and flow velocity measurements in humans. Feasibility, reproducibility, and hemodynamic dependence of coronary flow velocity reserve, hyperemic flow versus pressure slope index, and fractional flow reserve","volume":"94","author":[{"family":"Bruyne","given":"B.","non-dropping-particle":"de"},{"family":"Bartunek","given":"J."},{"family":"Sys","given":"S. U."},{"family":"Pijls","given":"N. H."},{"family":"Heyndrickx","given":"G. R."},{"family":"Wijns","given":"W."}],"issued":{"date-parts":[["1996",10,15]]}}}],"schema":"https://github.com/citation-style-language/schema/raw/master/csl-citation.json"} </w:instrText>
      </w:r>
      <w:r w:rsidR="00106A32">
        <w:rPr>
          <w:rFonts w:ascii="Times New Roman" w:hAnsi="Times New Roman" w:cs="Times New Roman"/>
          <w:sz w:val="24"/>
          <w:szCs w:val="24"/>
        </w:rPr>
        <w:fldChar w:fldCharType="separate"/>
      </w:r>
      <w:r w:rsidR="00264146" w:rsidRPr="00264146">
        <w:rPr>
          <w:rFonts w:ascii="Times New Roman" w:hAnsi="Times New Roman" w:cs="Times New Roman"/>
          <w:sz w:val="24"/>
        </w:rPr>
        <w:t>(de Bruyne et al., 1996)</w:t>
      </w:r>
      <w:r w:rsidR="00106A32">
        <w:rPr>
          <w:rFonts w:ascii="Times New Roman" w:hAnsi="Times New Roman" w:cs="Times New Roman"/>
          <w:sz w:val="24"/>
          <w:szCs w:val="24"/>
        </w:rPr>
        <w:fldChar w:fldCharType="end"/>
      </w:r>
      <w:r w:rsidR="00264146">
        <w:rPr>
          <w:rFonts w:ascii="Times New Roman" w:hAnsi="Times New Roman" w:cs="Times New Roman"/>
          <w:sz w:val="24"/>
          <w:szCs w:val="24"/>
        </w:rPr>
        <w:t xml:space="preserve">. Long term reproducibility is modest, as measurements are affected by heart rate, aortic pressure and luminal area </w:t>
      </w:r>
      <w:r w:rsidR="00106A32">
        <w:rPr>
          <w:rFonts w:ascii="Times New Roman" w:hAnsi="Times New Roman" w:cs="Times New Roman"/>
          <w:sz w:val="24"/>
          <w:szCs w:val="24"/>
        </w:rPr>
        <w:fldChar w:fldCharType="begin"/>
      </w:r>
      <w:r w:rsidR="00264146">
        <w:rPr>
          <w:rFonts w:ascii="Times New Roman" w:hAnsi="Times New Roman" w:cs="Times New Roman"/>
          <w:sz w:val="24"/>
          <w:szCs w:val="24"/>
        </w:rPr>
        <w:instrText xml:space="preserve"> ADDIN ZOTERO_ITEM CSL_CITATION {"citationID":"6yBUF2em","properties":{"formattedCitation":"(Mario, Gil and Serruys, 1995)","plainCitation":"(Mario, Gil and Serruys, 1995)","noteIndex":0},"citationItems":[{"id":914,"uris":["http://zotero.org/users/local/k67tNDdX/items/2H5AJ29J"],"uri":["http://zotero.org/users/local/k67tNDdX/items/2H5AJ29J"],"itemData":{"id":914,"type":"article-journal","abstract":"&lt;h2&gt;Abstract&lt;/h2&gt;&lt;p&gt;In conclusion, flow velocity measurements repeated after a 6-month interval show a variability, which is larger for baseline velocity and coronary flow reserve. This variability is correlated with the changes in heart rate and can be reduced by a normalization for the cross-sectional area at the site of the measurement (coronary flow) and for the aortic pressure at the time of the measurement (flow resistance).&lt;/p&gt;","container-title":"American Journal of Cardiology","DOI":"10.1016/S0002-9149(99)80755-3","ISSN":"0002-9149, 1879-1913","issue":"16","journalAbbreviation":"American Journal of Cardiology","language":"English","note":"publisher: Elsevier\nPMID: 7762510","page":"1177-1180","source":"www.ajconline.org","title":"Long-term reproducibility of coronary flow velocity measurements in patients with coronary artery disease","volume":"75","author":[{"family":"Mario","given":"Carlo Di"},{"family":"Gil","given":"Robert"},{"family":"Serruys","given":"Patrick W."}],"issued":{"date-parts":[["1995",6,1]]}}}],"schema":"https://github.com/citation-style-language/schema/raw/master/csl-citation.json"} </w:instrText>
      </w:r>
      <w:r w:rsidR="00106A32">
        <w:rPr>
          <w:rFonts w:ascii="Times New Roman" w:hAnsi="Times New Roman" w:cs="Times New Roman"/>
          <w:sz w:val="24"/>
          <w:szCs w:val="24"/>
        </w:rPr>
        <w:fldChar w:fldCharType="separate"/>
      </w:r>
      <w:r w:rsidR="00264146" w:rsidRPr="00264146">
        <w:rPr>
          <w:rFonts w:ascii="Times New Roman" w:hAnsi="Times New Roman" w:cs="Times New Roman"/>
          <w:sz w:val="24"/>
        </w:rPr>
        <w:t>(Mario, Gil and Serruys, 1995)</w:t>
      </w:r>
      <w:r w:rsidR="00106A32">
        <w:rPr>
          <w:rFonts w:ascii="Times New Roman" w:hAnsi="Times New Roman" w:cs="Times New Roman"/>
          <w:sz w:val="24"/>
          <w:szCs w:val="24"/>
        </w:rPr>
        <w:fldChar w:fldCharType="end"/>
      </w:r>
      <w:r w:rsidR="00264146">
        <w:rPr>
          <w:rFonts w:ascii="Times New Roman" w:hAnsi="Times New Roman" w:cs="Times New Roman"/>
          <w:sz w:val="24"/>
          <w:szCs w:val="24"/>
        </w:rPr>
        <w:t>. This shouldn't have been an issue in the current study where measurements were taken within a very close time frame.</w:t>
      </w:r>
    </w:p>
    <w:p w14:paraId="754EFF9F" w14:textId="33A4E060" w:rsidR="000E0447" w:rsidRPr="00EC6C19" w:rsidRDefault="0062011C"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Until recently, our understand</w:t>
      </w:r>
      <w:r w:rsidR="00500771" w:rsidRPr="00EC6C19">
        <w:rPr>
          <w:rFonts w:ascii="Times New Roman" w:hAnsi="Times New Roman" w:cs="Times New Roman"/>
          <w:sz w:val="24"/>
          <w:szCs w:val="24"/>
        </w:rPr>
        <w:t>ing</w:t>
      </w:r>
      <w:r w:rsidRPr="00EC6C19">
        <w:rPr>
          <w:rFonts w:ascii="Times New Roman" w:hAnsi="Times New Roman" w:cs="Times New Roman"/>
          <w:sz w:val="24"/>
          <w:szCs w:val="24"/>
        </w:rPr>
        <w:t xml:space="preserve"> of human coronary physiology cam</w:t>
      </w:r>
      <w:r w:rsidR="00DD61D4" w:rsidRPr="00EC6C19">
        <w:rPr>
          <w:rFonts w:ascii="Times New Roman" w:hAnsi="Times New Roman" w:cs="Times New Roman"/>
          <w:sz w:val="24"/>
          <w:szCs w:val="24"/>
        </w:rPr>
        <w:t>e</w:t>
      </w:r>
      <w:r w:rsidRPr="00EC6C19">
        <w:rPr>
          <w:rFonts w:ascii="Times New Roman" w:hAnsi="Times New Roman" w:cs="Times New Roman"/>
          <w:sz w:val="24"/>
          <w:szCs w:val="24"/>
        </w:rPr>
        <w:t xml:space="preserve"> predominantly from animal models. </w:t>
      </w:r>
      <w:r w:rsidR="004034CE" w:rsidRPr="00EC6C19">
        <w:rPr>
          <w:rFonts w:ascii="Times New Roman" w:hAnsi="Times New Roman" w:cs="Times New Roman"/>
          <w:sz w:val="24"/>
          <w:szCs w:val="24"/>
        </w:rPr>
        <w:t>I</w:t>
      </w:r>
      <w:r w:rsidRPr="00EC6C19">
        <w:rPr>
          <w:rFonts w:ascii="Times New Roman" w:hAnsi="Times New Roman" w:cs="Times New Roman"/>
          <w:sz w:val="24"/>
          <w:szCs w:val="24"/>
        </w:rPr>
        <w:t>n</w:t>
      </w:r>
      <w:r w:rsidR="000E0447" w:rsidRPr="00EC6C19">
        <w:rPr>
          <w:rFonts w:ascii="Times New Roman" w:hAnsi="Times New Roman" w:cs="Times New Roman"/>
          <w:sz w:val="24"/>
          <w:szCs w:val="24"/>
        </w:rPr>
        <w:t xml:space="preserve"> 2016, Nijjer et al, acquired extensive data from 567 coronary measurements, including trans-stenotic gradient, FFR, doppler flow, microvascular resistance</w:t>
      </w:r>
      <w:r w:rsidR="001F012E">
        <w:rPr>
          <w:rFonts w:ascii="Times New Roman" w:hAnsi="Times New Roman" w:cs="Times New Roman"/>
          <w:sz w:val="24"/>
          <w:szCs w:val="24"/>
        </w:rPr>
        <w:t xml:space="preserve"> and coronary flow reserve. A</w:t>
      </w:r>
      <w:r w:rsidR="000E0447" w:rsidRPr="00EC6C19">
        <w:rPr>
          <w:rFonts w:ascii="Times New Roman" w:hAnsi="Times New Roman" w:cs="Times New Roman"/>
          <w:sz w:val="24"/>
          <w:szCs w:val="24"/>
        </w:rPr>
        <w:t>utoregulatory mechanisms</w:t>
      </w:r>
      <w:r w:rsidR="001F012E">
        <w:rPr>
          <w:rFonts w:ascii="Times New Roman" w:hAnsi="Times New Roman" w:cs="Times New Roman"/>
          <w:sz w:val="24"/>
          <w:szCs w:val="24"/>
        </w:rPr>
        <w:t>, which maintain prone and supine doppler measurements in this research,</w:t>
      </w:r>
      <w:r w:rsidR="000E0447" w:rsidRPr="00EC6C19">
        <w:rPr>
          <w:rFonts w:ascii="Times New Roman" w:hAnsi="Times New Roman" w:cs="Times New Roman"/>
          <w:sz w:val="24"/>
          <w:szCs w:val="24"/>
        </w:rPr>
        <w:t xml:space="preserve"> were clearly </w:t>
      </w:r>
      <w:r w:rsidR="009B16C0">
        <w:rPr>
          <w:rFonts w:ascii="Times New Roman" w:hAnsi="Times New Roman" w:cs="Times New Roman"/>
          <w:sz w:val="24"/>
          <w:szCs w:val="24"/>
        </w:rPr>
        <w:t>demonstrated</w:t>
      </w:r>
      <w:r w:rsidR="00500771" w:rsidRPr="00EC6C19">
        <w:rPr>
          <w:rFonts w:ascii="Times New Roman" w:hAnsi="Times New Roman" w:cs="Times New Roman"/>
          <w:sz w:val="24"/>
          <w:szCs w:val="24"/>
        </w:rPr>
        <w:t>.</w:t>
      </w:r>
      <w:r w:rsidR="000E0447" w:rsidRPr="00EC6C19">
        <w:rPr>
          <w:rFonts w:ascii="Times New Roman" w:hAnsi="Times New Roman" w:cs="Times New Roman"/>
          <w:sz w:val="24"/>
          <w:szCs w:val="24"/>
        </w:rPr>
        <w:t xml:space="preserve"> As stenosis severity increases, microvascular resistance falls, caused by a vasodilatation of the </w:t>
      </w:r>
      <w:r w:rsidR="000E0447" w:rsidRPr="00233B02">
        <w:rPr>
          <w:rFonts w:ascii="Times New Roman" w:hAnsi="Times New Roman" w:cs="Times New Roman"/>
          <w:sz w:val="24"/>
          <w:szCs w:val="24"/>
        </w:rPr>
        <w:t>microcirculation (</w:t>
      </w:r>
      <w:r w:rsidR="00D164ED">
        <w:rPr>
          <w:rFonts w:ascii="Times New Roman" w:hAnsi="Times New Roman" w:cs="Times New Roman"/>
          <w:sz w:val="24"/>
          <w:szCs w:val="24"/>
        </w:rPr>
        <w:t>F</w:t>
      </w:r>
      <w:r w:rsidR="00D164ED" w:rsidRPr="00233B02">
        <w:rPr>
          <w:rFonts w:ascii="Times New Roman" w:hAnsi="Times New Roman" w:cs="Times New Roman"/>
          <w:sz w:val="24"/>
          <w:szCs w:val="24"/>
        </w:rPr>
        <w:t xml:space="preserve">igure </w:t>
      </w:r>
      <w:r w:rsidR="00233B02" w:rsidRPr="00233B02">
        <w:rPr>
          <w:rFonts w:ascii="Times New Roman" w:hAnsi="Times New Roman" w:cs="Times New Roman"/>
          <w:sz w:val="24"/>
          <w:szCs w:val="24"/>
        </w:rPr>
        <w:t>51</w:t>
      </w:r>
      <w:r w:rsidR="000E0447" w:rsidRPr="00233B02">
        <w:rPr>
          <w:rFonts w:ascii="Times New Roman" w:hAnsi="Times New Roman" w:cs="Times New Roman"/>
          <w:sz w:val="24"/>
          <w:szCs w:val="24"/>
        </w:rPr>
        <w:t>). Flow was</w:t>
      </w:r>
      <w:r w:rsidR="000E0447" w:rsidRPr="00EC6C19">
        <w:rPr>
          <w:rFonts w:ascii="Times New Roman" w:hAnsi="Times New Roman" w:cs="Times New Roman"/>
          <w:sz w:val="24"/>
          <w:szCs w:val="24"/>
        </w:rPr>
        <w:t xml:space="preserve"> kept stable and constant until a critical stenosis point is reached (85-90%). At this poi</w:t>
      </w:r>
      <w:r w:rsidR="00500771" w:rsidRPr="00EC6C19">
        <w:rPr>
          <w:rFonts w:ascii="Times New Roman" w:hAnsi="Times New Roman" w:cs="Times New Roman"/>
          <w:sz w:val="24"/>
          <w:szCs w:val="24"/>
        </w:rPr>
        <w:t>nt, flow does fall, leading to angina</w:t>
      </w:r>
      <w:r w:rsidR="000E0447" w:rsidRPr="00EC6C19">
        <w:rPr>
          <w:rFonts w:ascii="Times New Roman" w:hAnsi="Times New Roman" w:cs="Times New Roman"/>
          <w:sz w:val="24"/>
          <w:szCs w:val="24"/>
        </w:rPr>
        <w:t xml:space="preserve"> at increasingly lower levels of physical activity.</w:t>
      </w:r>
    </w:p>
    <w:p w14:paraId="72B16C19" w14:textId="77777777" w:rsidR="0062011C" w:rsidRPr="00EC6C19" w:rsidRDefault="000E0447" w:rsidP="001167B7">
      <w:pPr>
        <w:spacing w:line="360" w:lineRule="auto"/>
        <w:ind w:left="-737"/>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2823735E" wp14:editId="730D98B7">
            <wp:extent cx="6836321" cy="4355431"/>
            <wp:effectExtent l="19050" t="0" r="2629" b="0"/>
            <wp:docPr id="61" name="Picture 4" descr="An external file that holds a picture, illustration, etc.&#10;Object name is ehv62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 external file that holds a picture, illustration, etc.&#10;Object name is ehv62606.jpg"/>
                    <pic:cNvPicPr>
                      <a:picLocks noChangeAspect="1" noChangeArrowheads="1"/>
                    </pic:cNvPicPr>
                  </pic:nvPicPr>
                  <pic:blipFill>
                    <a:blip r:embed="rId69"/>
                    <a:srcRect/>
                    <a:stretch>
                      <a:fillRect/>
                    </a:stretch>
                  </pic:blipFill>
                  <pic:spPr bwMode="auto">
                    <a:xfrm>
                      <a:off x="0" y="0"/>
                      <a:ext cx="6836563" cy="4355585"/>
                    </a:xfrm>
                    <a:prstGeom prst="rect">
                      <a:avLst/>
                    </a:prstGeom>
                    <a:noFill/>
                    <a:ln w="9525">
                      <a:noFill/>
                      <a:miter lim="800000"/>
                      <a:headEnd/>
                      <a:tailEnd/>
                    </a:ln>
                  </pic:spPr>
                </pic:pic>
              </a:graphicData>
            </a:graphic>
          </wp:inline>
        </w:drawing>
      </w:r>
    </w:p>
    <w:p w14:paraId="1B8CE64F" w14:textId="77777777" w:rsidR="00FD0BE0" w:rsidRPr="00233B02" w:rsidRDefault="00233B02" w:rsidP="00233B02">
      <w:pPr>
        <w:pStyle w:val="Caption"/>
        <w:spacing w:line="360" w:lineRule="auto"/>
        <w:rPr>
          <w:rFonts w:ascii="Times New Roman" w:hAnsi="Times New Roman" w:cs="Times New Roman"/>
          <w:b w:val="0"/>
          <w:i/>
          <w:color w:val="auto"/>
          <w:sz w:val="24"/>
          <w:szCs w:val="24"/>
        </w:rPr>
      </w:pPr>
      <w:bookmarkStart w:id="225" w:name="_Toc44684940"/>
      <w:r w:rsidRPr="00233B02">
        <w:rPr>
          <w:rFonts w:ascii="Times New Roman" w:hAnsi="Times New Roman" w:cs="Times New Roman"/>
          <w:b w:val="0"/>
          <w:i/>
          <w:color w:val="auto"/>
          <w:sz w:val="24"/>
          <w:szCs w:val="24"/>
        </w:rPr>
        <w:t xml:space="preserve">Figure </w:t>
      </w:r>
      <w:r w:rsidR="00106A32" w:rsidRPr="00233B02">
        <w:rPr>
          <w:rFonts w:ascii="Times New Roman" w:hAnsi="Times New Roman" w:cs="Times New Roman"/>
          <w:b w:val="0"/>
          <w:i/>
          <w:color w:val="auto"/>
          <w:sz w:val="24"/>
          <w:szCs w:val="24"/>
        </w:rPr>
        <w:fldChar w:fldCharType="begin"/>
      </w:r>
      <w:r w:rsidRPr="00233B02">
        <w:rPr>
          <w:rFonts w:ascii="Times New Roman" w:hAnsi="Times New Roman" w:cs="Times New Roman"/>
          <w:b w:val="0"/>
          <w:i/>
          <w:color w:val="auto"/>
          <w:sz w:val="24"/>
          <w:szCs w:val="24"/>
        </w:rPr>
        <w:instrText xml:space="preserve"> SEQ Figure \* ARABIC </w:instrText>
      </w:r>
      <w:r w:rsidR="00106A32" w:rsidRPr="00233B0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51</w:t>
      </w:r>
      <w:r w:rsidR="00106A32" w:rsidRPr="00233B02">
        <w:rPr>
          <w:rFonts w:ascii="Times New Roman" w:hAnsi="Times New Roman" w:cs="Times New Roman"/>
          <w:b w:val="0"/>
          <w:i/>
          <w:color w:val="auto"/>
          <w:sz w:val="24"/>
          <w:szCs w:val="24"/>
        </w:rPr>
        <w:fldChar w:fldCharType="end"/>
      </w:r>
      <w:r w:rsidRPr="00233B02">
        <w:rPr>
          <w:rFonts w:ascii="Times New Roman" w:hAnsi="Times New Roman" w:cs="Times New Roman"/>
          <w:b w:val="0"/>
          <w:i/>
          <w:color w:val="auto"/>
          <w:sz w:val="24"/>
          <w:szCs w:val="24"/>
        </w:rPr>
        <w:t xml:space="preserve"> - Coronary Flow Versus Stenotic Gradient and Resistance</w:t>
      </w:r>
      <w:r w:rsidR="000E0447" w:rsidRPr="00233B02">
        <w:rPr>
          <w:rFonts w:ascii="Times New Roman" w:hAnsi="Times New Roman" w:cs="Times New Roman"/>
          <w:b w:val="0"/>
          <w:i/>
          <w:color w:val="auto"/>
          <w:sz w:val="24"/>
          <w:szCs w:val="24"/>
        </w:rPr>
        <w:t xml:space="preserve">. Flow is maintained even in the </w:t>
      </w:r>
      <w:r w:rsidR="00D21BB6" w:rsidRPr="00233B02">
        <w:rPr>
          <w:rFonts w:ascii="Times New Roman" w:hAnsi="Times New Roman" w:cs="Times New Roman"/>
          <w:b w:val="0"/>
          <w:i/>
          <w:color w:val="auto"/>
          <w:sz w:val="24"/>
          <w:szCs w:val="24"/>
        </w:rPr>
        <w:t>presence</w:t>
      </w:r>
      <w:r w:rsidR="000E0447" w:rsidRPr="00233B02">
        <w:rPr>
          <w:rFonts w:ascii="Times New Roman" w:hAnsi="Times New Roman" w:cs="Times New Roman"/>
          <w:b w:val="0"/>
          <w:i/>
          <w:color w:val="auto"/>
          <w:sz w:val="24"/>
          <w:szCs w:val="24"/>
        </w:rPr>
        <w:t xml:space="preserve"> of </w:t>
      </w:r>
      <w:r w:rsidR="00D21BB6" w:rsidRPr="00233B02">
        <w:rPr>
          <w:rFonts w:ascii="Times New Roman" w:hAnsi="Times New Roman" w:cs="Times New Roman"/>
          <w:b w:val="0"/>
          <w:i/>
          <w:color w:val="auto"/>
          <w:sz w:val="24"/>
          <w:szCs w:val="24"/>
        </w:rPr>
        <w:t xml:space="preserve">worsening stenosis severity and gradient, at the expense of a gradually vasodilating microcirculation. From Nijjer </w:t>
      </w:r>
      <w:r w:rsidR="00B22321" w:rsidRPr="00233B02">
        <w:rPr>
          <w:rFonts w:ascii="Times New Roman" w:hAnsi="Times New Roman" w:cs="Times New Roman"/>
          <w:b w:val="0"/>
          <w:i/>
          <w:color w:val="auto"/>
          <w:sz w:val="24"/>
          <w:szCs w:val="24"/>
        </w:rPr>
        <w:t>et al.,</w:t>
      </w:r>
      <w:r w:rsidR="00D21BB6" w:rsidRPr="00233B02">
        <w:rPr>
          <w:rFonts w:ascii="Times New Roman" w:hAnsi="Times New Roman" w:cs="Times New Roman"/>
          <w:b w:val="0"/>
          <w:i/>
          <w:color w:val="auto"/>
          <w:sz w:val="24"/>
          <w:szCs w:val="24"/>
        </w:rPr>
        <w:t xml:space="preserve"> European Heart Journal, 2016. </w:t>
      </w:r>
      <w:r w:rsidR="00106A32" w:rsidRPr="00233B02">
        <w:rPr>
          <w:rFonts w:ascii="Times New Roman" w:hAnsi="Times New Roman" w:cs="Times New Roman"/>
          <w:b w:val="0"/>
          <w:i/>
          <w:color w:val="auto"/>
          <w:sz w:val="24"/>
          <w:szCs w:val="24"/>
        </w:rPr>
        <w:fldChar w:fldCharType="begin"/>
      </w:r>
      <w:r w:rsidR="00DA1AD3" w:rsidRPr="00233B02">
        <w:rPr>
          <w:rFonts w:ascii="Times New Roman" w:hAnsi="Times New Roman" w:cs="Times New Roman"/>
          <w:b w:val="0"/>
          <w:i/>
          <w:color w:val="auto"/>
          <w:sz w:val="24"/>
          <w:szCs w:val="24"/>
        </w:rPr>
        <w:instrText xml:space="preserve"> ADDIN ZOTERO_ITEM CSL_CITATION {"citationID":"AjW8PH9i","properties":{"formattedCitation":"(Nijjer et al., 2016)","plainCitation":"(Nijjer et al., 2016)","noteIndex":0},"citationItems":[{"id":522,"uris":["http://zotero.org/users/local/k67tNDdX/items/6Y6IR4GQ"],"uri":["http://zotero.org/users/local/k67tNDdX/items/6Y6IR4GQ"],"itemData":{"id":522,"type":"article-journal","abstract":"BACKGROUND: Our understanding of human coronary physiological behaviour is derived from animal models. We sought to describe physiological behaviour across a large collection of invasive pressure and flow velocity measurements, to provide a better understanding of the relationships between these physiological parameters and to evaluate the rationale for resting stenosis assessment.\nMETHODS AND RESULTS: Five hundred and sixty-seven simultaneous intracoronary pressure and flow velocity assessments from 301 patients were analysed for coronary flow velocity, trans-stenotic pressure gradient (TG), and microvascular resistance (MVR). Measurements were made during baseline and hyperaemic conditions. The whole cardiac cycle and the diastolic wave-free period were assessed. Stenoses were assessed according to fractional flow reserve (FFR) and quantitative coronary angiography DS%. With progressive worsening of stenoses, from unobstructed angiographic normal vessels to those with FFR ≤ 0.50, hyperaemic flow falls significantly from 45 to 19 cm/s, Ptrend &lt; 0.001 in a curvilinear pattern. Resting flow was unaffected by stenosis severity and was consistent across all strata of stenosis (Ptrend &gt; 0.05 for all). Trans-stenotic pressure gradient rose with stenosis severity for both rest and hyperaemic measures (Ptrend &lt; 0.001 for both). Microvascular resistance declines with stenosis severity under resting conditions (Ptrend &lt; 0.001), but was unchanged at hyperaemia (2.3 ± 1.1 mmHg/cm/s; Ptrend = 0.19).\nCONCLUSIONS: With progressive stenosis severity, TG rises. However, while hyperaemic flow falls significantly, resting coronary flow is maintained by compensatory reduction of MVR, demonstrating coronary auto-regulation. These data support the translation of coronary physiological concepts derived from animals to patients with coronary artery disease and furthermore, suggest that resting pressure indices can be used to detect the haemodynamic significance of coronary artery stenoses.","container-title":"European Heart Journal","DOI":"10.1093/eurheartj/ehv626","ISSN":"1522-9645","issue":"26","journalAbbreviation":"Eur. Heart J.","language":"eng","note":"PMID: 26612582\nPMCID: PMC4940452","page":"2069-2080","source":"PubMed","title":"Coronary pressure and flow relationships in humans: phasic analysis of normal and pathological vessels and the implications for stenosis assessment: a report from the Iberian-Dutch-English (IDEAL) collaborators","title-short":"Coronary pressure and flow relationships in humans","volume":"37","author":[{"family":"Nijjer","given":"Sukhjinder S."},{"family":"Waard","given":"Guus A.","non-dropping-particle":"de"},{"family":"Sen","given":"Sayan"},{"family":"Hoef","given":"Tim P.","non-dropping-particle":"van de"},{"family":"Petraco","given":"Ricardo"},{"family":"Echavarría-Pinto","given":"Mauro"},{"family":"Lavieren","given":"Martijn A.","non-dropping-particle":"van"},{"family":"Meuwissen","given":"Martijn"},{"family":"Danad","given":"Ibrahim"},{"family":"Knaapen","given":"Paul"},{"family":"Escaned","given":"Javier"},{"family":"Piek","given":"Jan J."},{"family":"Davies","given":"Justin E."},{"family":"Royen","given":"Niels","non-dropping-particle":"van"}],"issued":{"date-parts":[["2016",7,7]]}}}],"schema":"https://github.com/citation-style-language/schema/raw/master/csl-citation.json"} </w:instrText>
      </w:r>
      <w:r w:rsidR="00106A32" w:rsidRPr="00233B02">
        <w:rPr>
          <w:rFonts w:ascii="Times New Roman" w:hAnsi="Times New Roman" w:cs="Times New Roman"/>
          <w:b w:val="0"/>
          <w:i/>
          <w:color w:val="auto"/>
          <w:sz w:val="24"/>
          <w:szCs w:val="24"/>
        </w:rPr>
        <w:fldChar w:fldCharType="separate"/>
      </w:r>
      <w:r w:rsidR="003F75A4" w:rsidRPr="00233B02">
        <w:rPr>
          <w:rFonts w:ascii="Times New Roman" w:hAnsi="Times New Roman" w:cs="Times New Roman"/>
          <w:b w:val="0"/>
          <w:i/>
          <w:color w:val="auto"/>
          <w:sz w:val="24"/>
          <w:szCs w:val="24"/>
        </w:rPr>
        <w:t xml:space="preserve">(Nijjer </w:t>
      </w:r>
      <w:r w:rsidR="00B22321" w:rsidRPr="00233B02">
        <w:rPr>
          <w:rFonts w:ascii="Times New Roman" w:hAnsi="Times New Roman" w:cs="Times New Roman"/>
          <w:b w:val="0"/>
          <w:i/>
          <w:color w:val="auto"/>
          <w:sz w:val="24"/>
          <w:szCs w:val="24"/>
        </w:rPr>
        <w:t>et al.,</w:t>
      </w:r>
      <w:r w:rsidR="00D212BB" w:rsidRPr="00233B02">
        <w:rPr>
          <w:rFonts w:ascii="Times New Roman" w:hAnsi="Times New Roman" w:cs="Times New Roman"/>
          <w:b w:val="0"/>
          <w:i/>
          <w:color w:val="auto"/>
          <w:sz w:val="24"/>
          <w:szCs w:val="24"/>
        </w:rPr>
        <w:t xml:space="preserve"> 2016)</w:t>
      </w:r>
      <w:bookmarkEnd w:id="225"/>
      <w:r w:rsidR="00106A32" w:rsidRPr="00233B02">
        <w:rPr>
          <w:rFonts w:ascii="Times New Roman" w:hAnsi="Times New Roman" w:cs="Times New Roman"/>
          <w:b w:val="0"/>
          <w:i/>
          <w:color w:val="auto"/>
          <w:sz w:val="24"/>
          <w:szCs w:val="24"/>
        </w:rPr>
        <w:fldChar w:fldCharType="end"/>
      </w:r>
    </w:p>
    <w:p w14:paraId="076C157B" w14:textId="77777777" w:rsidR="00BC7A77" w:rsidRPr="00EC6C19" w:rsidRDefault="00BC7A77" w:rsidP="00BC7A77">
      <w:pPr>
        <w:spacing w:line="360" w:lineRule="auto"/>
        <w:rPr>
          <w:rFonts w:ascii="Times New Roman" w:hAnsi="Times New Roman" w:cs="Times New Roman"/>
          <w:sz w:val="24"/>
          <w:szCs w:val="24"/>
        </w:rPr>
      </w:pPr>
    </w:p>
    <w:p w14:paraId="5880CCAD" w14:textId="77777777" w:rsidR="00D3721C" w:rsidRPr="00EC6C19" w:rsidRDefault="00D3721C"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When hyperaemi</w:t>
      </w:r>
      <w:r w:rsidR="00D32D80" w:rsidRPr="00EC6C19">
        <w:rPr>
          <w:rFonts w:ascii="Times New Roman" w:hAnsi="Times New Roman" w:cs="Times New Roman"/>
          <w:sz w:val="24"/>
          <w:szCs w:val="24"/>
        </w:rPr>
        <w:t>a</w:t>
      </w:r>
      <w:r w:rsidRPr="00EC6C19">
        <w:rPr>
          <w:rFonts w:ascii="Times New Roman" w:hAnsi="Times New Roman" w:cs="Times New Roman"/>
          <w:sz w:val="24"/>
          <w:szCs w:val="24"/>
        </w:rPr>
        <w:t xml:space="preserve"> is induced, flow augments based on the vasodilatory reserve left. In mild stenosis, the microcirculation is still not maximally vasodilated, </w:t>
      </w:r>
      <w:r w:rsidR="001167B7" w:rsidRPr="00EC6C19">
        <w:rPr>
          <w:rFonts w:ascii="Times New Roman" w:hAnsi="Times New Roman" w:cs="Times New Roman"/>
          <w:sz w:val="24"/>
          <w:szCs w:val="24"/>
        </w:rPr>
        <w:t>so exogenous adenosine, produces</w:t>
      </w:r>
      <w:r w:rsidRPr="00EC6C19">
        <w:rPr>
          <w:rFonts w:ascii="Times New Roman" w:hAnsi="Times New Roman" w:cs="Times New Roman"/>
          <w:sz w:val="24"/>
          <w:szCs w:val="24"/>
        </w:rPr>
        <w:t xml:space="preserve"> a marked increase in flow. In severe stenoses, the </w:t>
      </w:r>
      <w:r w:rsidR="00564C9E" w:rsidRPr="00EC6C19">
        <w:rPr>
          <w:rFonts w:ascii="Times New Roman" w:hAnsi="Times New Roman" w:cs="Times New Roman"/>
          <w:sz w:val="24"/>
          <w:szCs w:val="24"/>
        </w:rPr>
        <w:t>microcirculation</w:t>
      </w:r>
      <w:r w:rsidRPr="00EC6C19">
        <w:rPr>
          <w:rFonts w:ascii="Times New Roman" w:hAnsi="Times New Roman" w:cs="Times New Roman"/>
          <w:sz w:val="24"/>
          <w:szCs w:val="24"/>
        </w:rPr>
        <w:t xml:space="preserve"> may be close to maximal vasodilatation, and hence the vasodilatory reserve is small. This leads to much smaller increase in flow</w:t>
      </w:r>
      <w:r w:rsidR="001167B7" w:rsidRPr="00EC6C19">
        <w:rPr>
          <w:rFonts w:ascii="Times New Roman" w:hAnsi="Times New Roman" w:cs="Times New Roman"/>
          <w:sz w:val="24"/>
          <w:szCs w:val="24"/>
        </w:rPr>
        <w:t>, or possible no increase in flow at all</w:t>
      </w:r>
      <w:r w:rsidRPr="00EC6C19">
        <w:rPr>
          <w:rFonts w:ascii="Times New Roman" w:hAnsi="Times New Roman" w:cs="Times New Roman"/>
          <w:sz w:val="24"/>
          <w:szCs w:val="24"/>
        </w:rPr>
        <w:t>, and potentially symptoms of angina on exertion.</w:t>
      </w:r>
    </w:p>
    <w:p w14:paraId="6038DD24" w14:textId="574087CF" w:rsidR="00D3721C" w:rsidRPr="00EC6C19" w:rsidRDefault="00764EA7" w:rsidP="00BC7A7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In the study population, </w:t>
      </w:r>
      <w:r w:rsidR="009B16C0">
        <w:rPr>
          <w:rFonts w:ascii="Times New Roman" w:hAnsi="Times New Roman" w:cs="Times New Roman"/>
          <w:sz w:val="24"/>
          <w:szCs w:val="24"/>
        </w:rPr>
        <w:t xml:space="preserve">mean </w:t>
      </w:r>
      <w:r w:rsidRPr="00EC6C19">
        <w:rPr>
          <w:rFonts w:ascii="Times New Roman" w:hAnsi="Times New Roman" w:cs="Times New Roman"/>
          <w:sz w:val="24"/>
          <w:szCs w:val="24"/>
        </w:rPr>
        <w:t>hyperaemic flow was approx</w:t>
      </w:r>
      <w:r w:rsidR="009B16C0">
        <w:rPr>
          <w:rFonts w:ascii="Times New Roman" w:hAnsi="Times New Roman" w:cs="Times New Roman"/>
          <w:sz w:val="24"/>
          <w:szCs w:val="24"/>
        </w:rPr>
        <w:t>imately twice resting flow,</w:t>
      </w:r>
      <w:r w:rsidRPr="00EC6C19">
        <w:rPr>
          <w:rFonts w:ascii="Times New Roman" w:hAnsi="Times New Roman" w:cs="Times New Roman"/>
          <w:sz w:val="24"/>
          <w:szCs w:val="24"/>
        </w:rPr>
        <w:t xml:space="preserve"> </w:t>
      </w:r>
      <w:r w:rsidR="007C7D90" w:rsidRPr="00EC6C19">
        <w:rPr>
          <w:rFonts w:ascii="Times New Roman" w:hAnsi="Times New Roman" w:cs="Times New Roman"/>
          <w:sz w:val="24"/>
          <w:szCs w:val="24"/>
        </w:rPr>
        <w:t>i.e.</w:t>
      </w:r>
      <w:r w:rsidRPr="00EC6C19">
        <w:rPr>
          <w:rFonts w:ascii="Times New Roman" w:hAnsi="Times New Roman" w:cs="Times New Roman"/>
          <w:sz w:val="24"/>
          <w:szCs w:val="24"/>
        </w:rPr>
        <w:t xml:space="preserve"> a CFR of 2.</w:t>
      </w:r>
      <w:r w:rsidR="0056138A" w:rsidRPr="00EC6C19">
        <w:rPr>
          <w:rFonts w:ascii="Times New Roman" w:hAnsi="Times New Roman" w:cs="Times New Roman"/>
          <w:sz w:val="24"/>
          <w:szCs w:val="24"/>
        </w:rPr>
        <w:t xml:space="preserve"> Studies have previously demonstrated the prognostic value of CFR, with CFR values less than 2, being associated with worsening cardiovascular outcomes </w:t>
      </w:r>
      <w:r w:rsidR="00106A32" w:rsidRPr="00EC6C19">
        <w:rPr>
          <w:rFonts w:ascii="Times New Roman" w:hAnsi="Times New Roman" w:cs="Times New Roman"/>
          <w:sz w:val="24"/>
          <w:szCs w:val="24"/>
        </w:rPr>
        <w:fldChar w:fldCharType="begin"/>
      </w:r>
      <w:r w:rsidR="003930FC" w:rsidRPr="00EC6C19">
        <w:rPr>
          <w:rFonts w:ascii="Times New Roman" w:hAnsi="Times New Roman" w:cs="Times New Roman"/>
          <w:sz w:val="24"/>
          <w:szCs w:val="24"/>
        </w:rPr>
        <w:instrText xml:space="preserve"> ADDIN ZOTERO_ITEM CSL_CITATION {"citationID":"df6DPGnQ","properties":{"formattedCitation":"(Rigo et al., 2007)","plainCitation":"(Rigo et al., 2007)","noteIndex":0},"citationItems":[{"id":664,"uris":["http://zotero.org/users/local/k67tNDdX/items/34ZYLFIJ"],"uri":["http://zotero.org/users/local/k67tNDdX/items/34ZYLFIJ"],"itemData":{"id":664,"type":"article-journal","abstract":"According to American College of Cardiology/American Heart Association/Society for Cardiovascular Angiography and Interventions 2005 guidelines on percutaneous intervention, intracoronary physiologic measurement in the assessment of effects of intermediate coronary stenoses in patients with anginal symptoms is a class IIa indication. This study assessed the additional prognostic value of Doppler echocardiographically derived coronary flow reserve (CFR) in patients with single-vessel disease and intermediate stenosis severity. We enrolled 86 patients (44 men; 66 +/- 10 years of age) with angiographically assessed single-vessel coronary artery disease of the left anterior descending coronary artery (LAD) with quantitatively assessed diameter stenosis severity 50% to 75%. All patients underwent dipyridamole (up to 0.84 mg/kg over 6 minutes) stress echocardiography with wall motion analysis by 2-dimensional echocardiography and CFR evaluation of the affected artery by Doppler. All patients were followed up for a median of 14 months (first quartile 10, third quartile 18) after diagnostic coronary angiography (without percutaneous intervention for a clinically driven decision). Mean diameter stenosis of the LAD was 58 +/- 10%. Mean CFR of the LAD was 2.09 +/- 0.5. Regional wall motion abnormality at peak stress was present in 17 patients. During follow-up, 24 events occurred: 6 nonfatal ST-elevation myocardial infarctions and 18 non-ST-elevation myocardial infarctions. Thirty-month spontaneous event-free survival was higher in patients with normal CFR and lower in patients with decreased CFR (86% vs 30%, p = 0.0001). At Cox analysis, a CFR &lt;2 (hazard ratio 24.2, 95% confidence interval 3.2 to 179.7, p = 0.002) was the only independent prognostic predictor of outcome. In conclusion, in medically treated patients with single-vessel disease of intermediate severity, decreased CFR is associated with a worse outcome.","container-title":"The American Journal of Cardiology","DOI":"10.1016/j.amjcard.2007.06.060","ISSN":"0002-9149","issue":"10","journalAbbreviation":"Am. J. Cardiol.","language":"eng","note":"PMID: 17996513","page":"1527-1531","source":"PubMed","title":"Prognostic value of coronary flow reserve in medically treated patients with left anterior descending coronary disease with stenosis 51% to 75% in diameter","volume":"100","author":[{"family":"Rigo","given":"Fausto"},{"family":"Sicari","given":"Rosa"},{"family":"Gherardi","given":"Sonia"},{"family":"Djordjevic-Dikic","given":"Ana"},{"family":"Cortigiani","given":"Lauro"},{"family":"Picano","given":"Eugenio"}],"issued":{"date-parts":[["2007",11,15]]}}}],"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(Rigo et al., 2007)</w:t>
      </w:r>
      <w:r w:rsidR="00106A32" w:rsidRPr="00EC6C19">
        <w:rPr>
          <w:rFonts w:ascii="Times New Roman" w:hAnsi="Times New Roman" w:cs="Times New Roman"/>
          <w:sz w:val="24"/>
          <w:szCs w:val="24"/>
        </w:rPr>
        <w:fldChar w:fldCharType="end"/>
      </w:r>
      <w:r w:rsidR="0056138A"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3930FC" w:rsidRPr="00EC6C19">
        <w:rPr>
          <w:rFonts w:ascii="Times New Roman" w:hAnsi="Times New Roman" w:cs="Times New Roman"/>
          <w:sz w:val="24"/>
          <w:szCs w:val="24"/>
        </w:rPr>
        <w:instrText xml:space="preserve"> ADDIN ZOTERO_ITEM CSL_CITATION {"citationID":"pr5SXccK","properties":{"formattedCitation":"(van de Hoef et al., 2014)","plainCitation":"(van de Hoef et al., 2014)","noteIndex":0},"citationItems":[{"id":668,"uris":["http://zotero.org/users/local/k67tNDdX/items/DH9MUNNH"],"uri":["http://zotero.org/users/local/k67tNDdX/items/DH9MUNNH"],"itemData":{"id":668,"type":"article-journal","abstract":"BACKGROUND: Discordance between fractional flow reserve (FFR) and coronary flow velocity reserve (CFVR) may reflect important coronary pathophysiology but usually remains unnoticed in clinical practice. We evaluated the physiological basis and clinical outcome associated with FFR/CFVR discordance.\nMETHODS AND RESULTS: We studied 157 intermediate coronary stenoses in 157 patients, evaluated by FFR and CFVR between April 1997 and September 2006 in which revascularization was deferred. Long-term follow-up was performed to document the occurrence of major adverse cardiac events: cardiac death, myocardial infarction, or target vessel revascularization. Discordance between FFR and CFVR occurred in 31% and 37% of stenoses at the 0.75, and 0.80 FFR cut-off value, respectively, and was characterized by microvascular resistances during basal and hyperemic conditions. Follow-up duration amounted to 11.7 years (Q1-Q3, 9.9-13.3 years). Compared with concordant normal results of FFR and CFVR, a normal FFR with an abnormal CFVR was associated with significantly increased major adverse cardiac events rate throughout 10 years of follow-up, regardless of the FFR cut-off applied. In contrast, an abnormal FFR with a normal CFVR was associated with equivalent clinical outcome compared with concordant normal results: ≤ 3 years when FFR &lt;0.75 was depicted abnormal and throughout 10 years of follow-up when FFR ≤ 0.80 was depicted abnormal.\nCONCLUSIONS: Discordance of CFVR with FFR originates from the involvement of the coronary microvasculature. Importantly, the risk for major adverse cardiac events associated with FFR/CFVR discordance is mainly attributable to stenoses where CFVR is abnormal. This emphasizes the requirement of intracoronary flow assessment in addition to coronary pressure for optimal risk stratification in stable coronary artery disease.","container-title":"Circulation. Cardiovascular Interventions","DOI":"10.1161/CIRCINTERVENTIONS.113.001049","ISSN":"1941-7632","issue":"3","journalAbbreviation":"Circ Cardiovasc Interv","language":"eng","note":"PMID: 24782198","page":"301-311","source":"PubMed","title":"Physiological basis and long-term clinical outcome of discordance between fractional flow reserve and coronary flow velocity reserve in coronary stenoses of intermediate severity","volume":"7","author":[{"family":"Hoef","given":"Tim P.","non-dropping-particle":"van de"},{"family":"Lavieren","given":"Martijn A.","non-dropping-particle":"van"},{"family":"Damman","given":"Peter"},{"family":"Delewi","given":"Ronak"},{"family":"Piek","given":"Martijn A."},{"family":"Chamuleau","given":"Steven A. J."},{"family":"Voskuil","given":"Michiel"},{"family":"Henriques","given":"José P. S."},{"family":"Koch","given":"Karel T."},{"family":"Winter","given":"Robbert J.","non-dropping-particle":"de"},{"family":"Spaan","given":"Jos A. E."},{"family":"Siebes","given":"Maria"},{"family":"Tijssen","given":"Jan G. P."},{"family":"Meuwissen","given":"Martijn"},{"family":"Piek","given":"Jan J."}],"issued":{"date-parts":[["2014",6]]}}}],"schema":"https://github.com/citation-style-language/schema/raw/master/csl-citation.json"}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(van de Hoef et al., 2014)</w:t>
      </w:r>
      <w:r w:rsidR="00106A32" w:rsidRPr="00EC6C19">
        <w:rPr>
          <w:rFonts w:ascii="Times New Roman" w:hAnsi="Times New Roman" w:cs="Times New Roman"/>
          <w:sz w:val="24"/>
          <w:szCs w:val="24"/>
        </w:rPr>
        <w:fldChar w:fldCharType="end"/>
      </w:r>
      <w:r w:rsidR="001773C8" w:rsidRPr="00EC6C19">
        <w:rPr>
          <w:rFonts w:ascii="Times New Roman" w:hAnsi="Times New Roman" w:cs="Times New Roman"/>
          <w:sz w:val="24"/>
          <w:szCs w:val="24"/>
        </w:rPr>
        <w:t>.</w:t>
      </w:r>
      <w:r w:rsidR="001167B7" w:rsidRPr="00EC6C19">
        <w:rPr>
          <w:rFonts w:ascii="Times New Roman" w:hAnsi="Times New Roman" w:cs="Times New Roman"/>
          <w:sz w:val="24"/>
          <w:szCs w:val="24"/>
        </w:rPr>
        <w:t xml:space="preserve"> There are also instances where CFR and FFR are discordant. In such situations, some studies have found CFR to be a more reliable predictor of outcome than FFR, when the two are compared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{"citationID":"72D6L3Q0","properties":{"formattedCitation":"(van de Hoef et al., 2014)","plainCitation":"(van de Hoef et al., 2014)","noteIndex":0},"citationItems":[{"id":668,"uris":["http://zotero.org/users/local/k67tNDdX/items/DH9MUNNH"],"uri":["http://zotero.org/users/local/k67tNDdX/items/DH9MUNNH"],"itemData":{"id":668,"type":"article-journal","abstract":"BACKGROUND: Discordance between fractional flow reserve (FFR) and coronary flow velocity reserve (CFVR) may reflect important coronary pathophysiology but usually remains unnoticed in clinical practice. We evaluated the physiological basis and clinical outcome associated with FFR/CFVR discordance.\nMETHODS AND RESULTS: We studied 157 intermediate coronary stenoses in 157 patients, evaluated by FFR and CFVR between April 1997 and September 2006 in which revascularization was deferred. Long-term follow-up was performed to document the occurrence of major adverse cardiac events: cardiac death, myocardial infarction, or target vessel revascularization. Discordance between FFR and CFVR occurred in 31% and 37% of stenoses at the 0.75, and 0.80 FFR cut-off value, respectively, and was characterized by microvascular resistances during basal and hyperemic conditions. Follow-up duration amounted to 11.7 years (Q1-Q3, 9.9-13.3 years). Compared with concordant normal results of FFR and CFVR, a normal FFR with an abnormal CFVR was associated with significantly increased major adverse cardiac events rate throughout 10 years of follow-up, regardless of the FFR cut-off applied. In contrast, an abnormal FFR with a normal CFVR was associated with equivalent clinical outcome compared with concordant normal results: ≤ 3 years when FFR &lt;0.75 was depicted abnormal and throughout 10 years of follow-up when FFR ≤ 0.80 was depicted abnormal.\nCONCLUSIONS: Discordance of CFVR with FFR originates from the involvement of the coronary microvasculature. Importantly, the risk for major adverse cardiac events associated with FFR/CFVR discordance is mainly attributable to stenoses where CFVR is abnormal. This emphasizes the requirement of intracoronary flow assessment in addition to coronary pressure for optimal risk stratification in stable coronary artery disease.","container-title":"Circulation. Cardiovascular Interventions","DOI":"10.1161/CIRCINTERVENTIONS.113.001049","ISSN":"1941-7632","issue":"3","journalAbbreviation":"Circ Cardiovasc Interv","language":"eng","note":"PMID: 24782198","page":"301-311","source":"PubMed","title":"Physiological basis and long-term clinical outcome of discordance between fractional flow reserve and coronary flow velocity reserve in coronary stenoses of intermediate severity","volume":"7","author":[{"family":"Hoef","given":"Tim P.","non-dropping-particle":"van de"},{"family":"Lavieren","given":"Martijn A.","non-dropping-particle":"van"},{"family":"Damman","given":"Peter"},{"family":"Delewi","given":"Ronak"},{"family":"Piek","given":"Martijn A."},{"family":"Chamuleau","given":"Steven A. J."},{"family":"Voskuil","given":"Michiel"},{"family":"Henriques","given":"José P. S."},{"family":"Koch","given":"Karel T."},{"family":"Winter","given":"Robbert J.","non-dropping-particle":"de"},{"family":"Spaan","given":"Jos A. E."},{"family":"Siebes","given":"Maria"},{"family":"Tijssen","given":"Jan G. P."},{"family":"Meuwissen","given":"Martijn"},{"family":"Piek","given":"Jan J."}],"issued":{"date-parts":[["2014",6]]}}}],"schema":"https://github.com/citation-style-language/schema/raw/master/csl-citation.json"}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 xml:space="preserve">(van de Hoef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2014)</w:t>
      </w:r>
      <w:r w:rsidR="00106A32" w:rsidRPr="00EC6C19">
        <w:rPr>
          <w:rFonts w:ascii="Times New Roman" w:hAnsi="Times New Roman" w:cs="Times New Roman"/>
          <w:sz w:val="24"/>
          <w:szCs w:val="24"/>
        </w:rPr>
        <w:fldChar w:fldCharType="end"/>
      </w:r>
      <w:r w:rsidR="001167B7" w:rsidRPr="00EC6C19">
        <w:rPr>
          <w:rFonts w:ascii="Times New Roman" w:hAnsi="Times New Roman" w:cs="Times New Roman"/>
          <w:sz w:val="24"/>
          <w:szCs w:val="24"/>
        </w:rPr>
        <w:t>.</w:t>
      </w:r>
      <w:r w:rsidR="00451198">
        <w:rPr>
          <w:rFonts w:ascii="Times New Roman" w:hAnsi="Times New Roman" w:cs="Times New Roman"/>
          <w:sz w:val="24"/>
          <w:szCs w:val="24"/>
        </w:rPr>
        <w:t xml:space="preserve"> A recent has also demonstrated that iFR may correlate with CFR more closely with FFR </w:t>
      </w:r>
      <w:r w:rsidR="00106A32">
        <w:rPr>
          <w:rFonts w:ascii="Times New Roman" w:hAnsi="Times New Roman" w:cs="Times New Roman"/>
          <w:sz w:val="24"/>
          <w:szCs w:val="24"/>
        </w:rPr>
        <w:fldChar w:fldCharType="begin"/>
      </w:r>
      <w:r w:rsidR="000E201E">
        <w:rPr>
          <w:rFonts w:ascii="Times New Roman" w:hAnsi="Times New Roman" w:cs="Times New Roman"/>
          <w:sz w:val="24"/>
          <w:szCs w:val="24"/>
        </w:rPr>
        <w:instrText xml:space="preserve"> ADDIN ZOTERO_ITEM CSL_CITATION {"citationID":"F5JTEBba","properties":{"formattedCitation":"(Cook et al., 2017)","plainCitation":"(Cook et al., 2017)","noteIndex":0},"citationItems":[{"id":909,"uris":["http://zotero.org/users/local/k67tNDdX/items/X8CYU5BY"],"uri":["http://zotero.org/users/local/k67tNDdX/items/X8CYU5BY"],"itemData":{"id":909,"type":"article-journal","abstract":"OBJECTIVES: The study sought to determine the coronary flow characteristics of angiographically intermediate stenoses classified as discordant by fractional flow reserve (FFR) and instantaneous wave-free ratio (iFR).\nBACKGROUND: Discordance between FFR and iFR occurs in up to 20% of cases. No comparisons have been reported between the coronary flow characteristics of FFR/iFR discordant and angiographically unobstructed vessels.\nMETHODS: Baseline and hyperemic coronary flow velocity and coronary flow reserve (CFR) were compared across 5 vessel groups: FFR+/iFR+ (108 vessels, n = 91), FFR-/iFR+ (28 vessels, n = 24), FFR+/iFR- (22 vessels, n = 22), FFR-/iFR- (208 vessels, n = 154), and an unobstructed vessel group (201 vessels, n = 153), in a post hoc analysis of the largest combined pressure and Doppler flow velocity registry (IDEAL [Iberian-Dutch-English] collaborators study).\nRESULTS: FFR disagreed with iFR in 14% (50 of 366). Baseline flow velocity was similar across all 5 vessel groups, including the unobstructed vessel group (p = 0.34 for variance). In FFR+/iFR- discordants, hyperemic flow velocity and CFR were similar to both FFR-/iFR- and unobstructed groups; 37.6 (interquartile range [IQR]: 26.1 to 50.4) cm/s vs. 40.0 [IQR: 29.7 to 52.3] cm/s and 42.2 [IQR: 33.8 to 53.2] cm/s and CFR 2.36 [IQR: 1.93 to 2.81] vs. 2.41 [IQR: 1.84 to 2.94] and 2.50 [IQR: 2.11 to 3.17], respectively (p &gt; 0.05 for all). In FFR-/iFR+ discordants, hyperemic flow velocity, and CFR were similar to the FFR+/iFR+ group; 28.2 (IQR: 20.5 to 39.7) cm/s versus 23.5 (IQR: 16.4 to 34.9) cm/s and CFR 1.44 (IQR: 1.29 to 1.85) versus 1.39 (IQR: 1.06 to 1.88), respectively (p &gt; 0.05 for all).\nCONCLUSIONS: FFR/iFR disagreement was explained by differences in hyperemic coronary flow velocity. Furthermore, coronary stenoses classified as FFR+/iFR- demonstrated similar coronary flow characteristics to angiographically unobstructed vessels.","container-title":"JACC. Cardiovascular interventions","DOI":"10.1016/j.jcin.2017.09.021","ISSN":"1876-7605","issue":"24","journalAbbreviation":"JACC Cardiovasc Interv","language":"eng","note":"PMID: 29268881\nPMCID: PMC5743106","page":"2514-2524","source":"PubMed","title":"Fractional Flow Reserve/Instantaneous Wave-Free Ratio Discordance in Angiographically Intermediate Coronary Stenoses: An Analysis Using Doppler-Derived Coronary Flow Measurements","title-short":"Fractional Flow Reserve/Instantaneous Wave-Free Ratio Discordance in Angiographically Intermediate Coronary Stenoses","volume":"10","author":[{"family":"Cook","given":"Christopher M."},{"family":"Jeremias","given":"Allen"},{"family":"Petraco","given":"Ricardo"},{"family":"Sen","given":"Sayan"},{"family":"Nijjer","given":"Sukhjinder"},{"family":"Shun-Shin","given":"Matthew J."},{"family":"Ahmad","given":"Yousif"},{"family":"Waard","given":"Guus","non-dropping-particle":"de"},{"family":"Hoef","given":"Tim","non-dropping-particle":"van de"},{"family":"Echavarria-Pinto","given":"Mauro"},{"family":"Lavieren","given":"Martijn","non-dropping-particle":"van"},{"family":"Al Lamee","given":"Rasha"},{"family":"Kikuta","given":"Yuetsu"},{"family":"Shiono","given":"Yasutsugu"},{"family":"Buch","given":"Ashesh"},{"family":"Meuwissen","given":"Martijn"},{"family":"Danad","given":"Ibrahim"},{"family":"Knaapen","given":"Paul"},{"family":"Maehara","given":"Akiko"},{"family":"Koo","given":"Bon-Kwon"},{"family":"Mintz","given":"Gary S."},{"family":"Escaned","given":"Javier"},{"family":"Stone","given":"Gregg W."},{"family":"Francis","given":"Darrel P."},{"family":"Mayet","given":"Jamil"},{"family":"Piek","given":"Jan J."},{"family":"Royen","given":"Niels","non-dropping-particle":"van"},{"family":"Davies","given":"Justin E."}],"issued":{"date-parts":[["2017"]],"season":"26"}}}],"schema":"https://github.com/citation-style-language/schema/raw/master/csl-citation.json"} </w:instrText>
      </w:r>
      <w:r w:rsidR="00106A32">
        <w:rPr>
          <w:rFonts w:ascii="Times New Roman" w:hAnsi="Times New Roman" w:cs="Times New Roman"/>
          <w:sz w:val="24"/>
          <w:szCs w:val="24"/>
        </w:rPr>
        <w:fldChar w:fldCharType="separate"/>
      </w:r>
      <w:r w:rsidR="000E201E" w:rsidRPr="000E201E">
        <w:rPr>
          <w:rFonts w:ascii="Times New Roman" w:hAnsi="Times New Roman" w:cs="Times New Roman"/>
          <w:sz w:val="24"/>
        </w:rPr>
        <w:t>(Cook et al., 2017)</w:t>
      </w:r>
      <w:r w:rsidR="00106A32">
        <w:rPr>
          <w:rFonts w:ascii="Times New Roman" w:hAnsi="Times New Roman" w:cs="Times New Roman"/>
          <w:sz w:val="24"/>
          <w:szCs w:val="24"/>
        </w:rPr>
        <w:fldChar w:fldCharType="end"/>
      </w:r>
      <w:r w:rsidR="000E201E">
        <w:rPr>
          <w:rFonts w:ascii="Times New Roman" w:hAnsi="Times New Roman" w:cs="Times New Roman"/>
          <w:sz w:val="24"/>
          <w:szCs w:val="24"/>
        </w:rPr>
        <w:t>, providing flow as an explanation for iFR/FFR discordance</w:t>
      </w:r>
      <w:r w:rsidR="00451198">
        <w:rPr>
          <w:rFonts w:ascii="Times New Roman" w:hAnsi="Times New Roman" w:cs="Times New Roman"/>
          <w:sz w:val="24"/>
          <w:szCs w:val="24"/>
        </w:rPr>
        <w:t>.</w:t>
      </w:r>
      <w:r w:rsidR="001167B7" w:rsidRPr="00EC6C19">
        <w:rPr>
          <w:rFonts w:ascii="Times New Roman" w:hAnsi="Times New Roman" w:cs="Times New Roman"/>
          <w:sz w:val="24"/>
          <w:szCs w:val="24"/>
        </w:rPr>
        <w:t xml:space="preserve"> It is unfortunate that doppler or </w:t>
      </w:r>
      <w:r w:rsidR="00D164ED" w:rsidRPr="00EC6C19">
        <w:rPr>
          <w:rFonts w:ascii="Times New Roman" w:hAnsi="Times New Roman" w:cs="Times New Roman"/>
          <w:sz w:val="24"/>
          <w:szCs w:val="24"/>
        </w:rPr>
        <w:t>flow</w:t>
      </w:r>
      <w:r w:rsidR="00D164ED">
        <w:rPr>
          <w:rFonts w:ascii="Times New Roman" w:hAnsi="Times New Roman" w:cs="Times New Roman"/>
          <w:sz w:val="24"/>
          <w:szCs w:val="24"/>
        </w:rPr>
        <w:t>-</w:t>
      </w:r>
      <w:r w:rsidR="001167B7" w:rsidRPr="00EC6C19">
        <w:rPr>
          <w:rFonts w:ascii="Times New Roman" w:hAnsi="Times New Roman" w:cs="Times New Roman"/>
          <w:sz w:val="24"/>
          <w:szCs w:val="24"/>
        </w:rPr>
        <w:t>based systems have been largely replaced by pressure based invasive physiological system, largely due to ease of use.</w:t>
      </w:r>
    </w:p>
    <w:p w14:paraId="0088952F" w14:textId="77777777" w:rsidR="00DE41FC" w:rsidRDefault="00DE41FC" w:rsidP="00BC7A77">
      <w:pPr>
        <w:spacing w:line="360" w:lineRule="auto"/>
        <w:rPr>
          <w:rFonts w:ascii="Times New Roman" w:hAnsi="Times New Roman" w:cs="Times New Roman"/>
          <w:sz w:val="24"/>
          <w:szCs w:val="24"/>
        </w:rPr>
      </w:pPr>
      <w:r>
        <w:rPr>
          <w:rFonts w:ascii="Times New Roman" w:hAnsi="Times New Roman" w:cs="Times New Roman"/>
          <w:sz w:val="24"/>
          <w:szCs w:val="24"/>
        </w:rPr>
        <w:t>A change of 5-10mmHg in the distal coronary vessel is therefore of no concern to coronary flow if the microcirculation autoregulates this change. If the microcirculation is unable to compensate (due to microvascular dysfunction or maximal vasodilatation), in theory hydrostatic pressure could alter coronary flow.</w:t>
      </w:r>
    </w:p>
    <w:p w14:paraId="12CFDD28" w14:textId="77777777" w:rsidR="00DE41FC" w:rsidRDefault="00DE41FC" w:rsidP="00BC7A77">
      <w:pPr>
        <w:spacing w:line="360" w:lineRule="auto"/>
        <w:rPr>
          <w:rFonts w:ascii="Times New Roman" w:hAnsi="Times New Roman" w:cs="Times New Roman"/>
          <w:sz w:val="24"/>
          <w:szCs w:val="24"/>
        </w:rPr>
      </w:pPr>
    </w:p>
    <w:p w14:paraId="4B63FA09" w14:textId="77777777" w:rsidR="00857042" w:rsidRDefault="00857042" w:rsidP="00BC7A77">
      <w:pPr>
        <w:spacing w:line="360" w:lineRule="auto"/>
        <w:rPr>
          <w:rFonts w:ascii="Times New Roman" w:hAnsi="Times New Roman" w:cs="Times New Roman"/>
          <w:sz w:val="24"/>
          <w:szCs w:val="24"/>
        </w:rPr>
      </w:pPr>
    </w:p>
    <w:p w14:paraId="557BFA95" w14:textId="77777777" w:rsidR="00DE41FC" w:rsidRPr="008065E7" w:rsidRDefault="008065E7" w:rsidP="008065E7">
      <w:pPr>
        <w:pStyle w:val="Heading3"/>
        <w:rPr>
          <w:rFonts w:ascii="Times New Roman" w:hAnsi="Times New Roman" w:cs="Times New Roman"/>
          <w:b w:val="0"/>
          <w:i/>
          <w:color w:val="auto"/>
          <w:sz w:val="24"/>
          <w:szCs w:val="24"/>
        </w:rPr>
      </w:pPr>
      <w:bookmarkStart w:id="226" w:name="_Toc80302281"/>
      <w:r w:rsidRPr="008065E7">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6</w:t>
      </w:r>
      <w:r w:rsidRPr="008065E7">
        <w:rPr>
          <w:rFonts w:ascii="Times New Roman" w:hAnsi="Times New Roman" w:cs="Times New Roman"/>
          <w:b w:val="0"/>
          <w:i/>
          <w:color w:val="auto"/>
          <w:sz w:val="24"/>
          <w:szCs w:val="24"/>
        </w:rPr>
        <w:t xml:space="preserve">.1 - </w:t>
      </w:r>
      <w:r w:rsidR="00DE41FC" w:rsidRPr="008065E7">
        <w:rPr>
          <w:rFonts w:ascii="Times New Roman" w:hAnsi="Times New Roman" w:cs="Times New Roman"/>
          <w:b w:val="0"/>
          <w:i/>
          <w:color w:val="auto"/>
          <w:sz w:val="24"/>
          <w:szCs w:val="24"/>
        </w:rPr>
        <w:t>Dysfunctional Microcirculation</w:t>
      </w:r>
      <w:bookmarkEnd w:id="226"/>
      <w:r>
        <w:rPr>
          <w:rFonts w:ascii="Times New Roman" w:hAnsi="Times New Roman" w:cs="Times New Roman"/>
          <w:b w:val="0"/>
          <w:i/>
          <w:color w:val="auto"/>
          <w:sz w:val="24"/>
          <w:szCs w:val="24"/>
        </w:rPr>
        <w:br/>
      </w:r>
    </w:p>
    <w:p w14:paraId="1048F70E" w14:textId="77777777" w:rsidR="00DE41FC" w:rsidRDefault="00DE41FC" w:rsidP="00BC7A77">
      <w:pPr>
        <w:spacing w:line="360" w:lineRule="auto"/>
        <w:rPr>
          <w:rFonts w:ascii="Times New Roman" w:hAnsi="Times New Roman" w:cs="Times New Roman"/>
          <w:sz w:val="24"/>
          <w:szCs w:val="24"/>
        </w:rPr>
      </w:pPr>
    </w:p>
    <w:p w14:paraId="5A3A8E27" w14:textId="77777777" w:rsidR="00DE41FC" w:rsidRDefault="003C2C27" w:rsidP="00BC7A77">
      <w:pPr>
        <w:spacing w:line="360" w:lineRule="auto"/>
        <w:rPr>
          <w:rFonts w:ascii="Times New Roman" w:hAnsi="Times New Roman" w:cs="Times New Roman"/>
          <w:sz w:val="24"/>
          <w:szCs w:val="24"/>
        </w:rPr>
      </w:pPr>
      <w:r>
        <w:rPr>
          <w:rFonts w:ascii="Times New Roman" w:hAnsi="Times New Roman" w:cs="Times New Roman"/>
          <w:sz w:val="24"/>
          <w:szCs w:val="24"/>
        </w:rPr>
        <w:t>Myocardial oxygen uptake is almost maximal even at rest, meaning any increase i</w:t>
      </w:r>
      <w:r w:rsidR="00444251">
        <w:rPr>
          <w:rFonts w:ascii="Times New Roman" w:hAnsi="Times New Roman" w:cs="Times New Roman"/>
          <w:sz w:val="24"/>
          <w:szCs w:val="24"/>
        </w:rPr>
        <w:t xml:space="preserve">n oxygen demand must be delivered by increased coronary flow. </w:t>
      </w:r>
      <w:r w:rsidR="0061464E">
        <w:rPr>
          <w:rFonts w:ascii="Times New Roman" w:hAnsi="Times New Roman" w:cs="Times New Roman"/>
          <w:sz w:val="24"/>
          <w:szCs w:val="24"/>
        </w:rPr>
        <w:t>Coronary f</w:t>
      </w:r>
      <w:r w:rsidR="00444251">
        <w:rPr>
          <w:rFonts w:ascii="Times New Roman" w:hAnsi="Times New Roman" w:cs="Times New Roman"/>
          <w:sz w:val="24"/>
          <w:szCs w:val="24"/>
        </w:rPr>
        <w:t>low augmentation</w:t>
      </w:r>
      <w:r w:rsidR="0061464E">
        <w:rPr>
          <w:rFonts w:ascii="Times New Roman" w:hAnsi="Times New Roman" w:cs="Times New Roman"/>
          <w:sz w:val="24"/>
          <w:szCs w:val="24"/>
        </w:rPr>
        <w:t>,</w:t>
      </w:r>
      <w:r w:rsidR="00444251">
        <w:rPr>
          <w:rFonts w:ascii="Times New Roman" w:hAnsi="Times New Roman" w:cs="Times New Roman"/>
          <w:sz w:val="24"/>
          <w:szCs w:val="24"/>
        </w:rPr>
        <w:t xml:space="preserve"> as previously described</w:t>
      </w:r>
      <w:r w:rsidR="0061464E">
        <w:rPr>
          <w:rFonts w:ascii="Times New Roman" w:hAnsi="Times New Roman" w:cs="Times New Roman"/>
          <w:sz w:val="24"/>
          <w:szCs w:val="24"/>
        </w:rPr>
        <w:t>,</w:t>
      </w:r>
      <w:r w:rsidR="00444251">
        <w:rPr>
          <w:rFonts w:ascii="Times New Roman" w:hAnsi="Times New Roman" w:cs="Times New Roman"/>
          <w:sz w:val="24"/>
          <w:szCs w:val="24"/>
        </w:rPr>
        <w:t xml:space="preserve"> is controlled by the microcirculation. </w:t>
      </w:r>
      <w:r w:rsidR="00880DB3">
        <w:rPr>
          <w:rFonts w:ascii="Times New Roman" w:hAnsi="Times New Roman" w:cs="Times New Roman"/>
          <w:sz w:val="24"/>
          <w:szCs w:val="24"/>
        </w:rPr>
        <w:t>The coro</w:t>
      </w:r>
      <w:r w:rsidR="0042402A">
        <w:rPr>
          <w:rFonts w:ascii="Times New Roman" w:hAnsi="Times New Roman" w:cs="Times New Roman"/>
          <w:sz w:val="24"/>
          <w:szCs w:val="24"/>
        </w:rPr>
        <w:t>nary microcirculation and microvascular</w:t>
      </w:r>
      <w:r w:rsidR="00880DB3">
        <w:rPr>
          <w:rFonts w:ascii="Times New Roman" w:hAnsi="Times New Roman" w:cs="Times New Roman"/>
          <w:sz w:val="24"/>
          <w:szCs w:val="24"/>
        </w:rPr>
        <w:t xml:space="preserve"> dysfunction is a vast topic and beyond the scope of this thesis</w:t>
      </w:r>
      <w:r w:rsidR="0042402A">
        <w:rPr>
          <w:rFonts w:ascii="Times New Roman" w:hAnsi="Times New Roman" w:cs="Times New Roman"/>
          <w:sz w:val="24"/>
          <w:szCs w:val="24"/>
        </w:rPr>
        <w:t xml:space="preserve">. In general, microcirculatory disease is known to be associated with heart failure, arrhythmias and adverse cardiovascular events </w:t>
      </w:r>
      <w:r w:rsidR="00106A32">
        <w:rPr>
          <w:rFonts w:ascii="Times New Roman" w:hAnsi="Times New Roman" w:cs="Times New Roman"/>
          <w:sz w:val="24"/>
          <w:szCs w:val="24"/>
        </w:rPr>
        <w:fldChar w:fldCharType="begin"/>
      </w:r>
      <w:r w:rsidR="0042402A">
        <w:rPr>
          <w:rFonts w:ascii="Times New Roman" w:hAnsi="Times New Roman" w:cs="Times New Roman"/>
          <w:sz w:val="24"/>
          <w:szCs w:val="24"/>
        </w:rPr>
        <w:instrText xml:space="preserve"> ADDIN ZOTERO_ITEM CSL_CITATION {"citationID":"o4Qng1jT","properties":{"formattedCitation":"(Taqueti and Di Carli, 2018)","plainCitation":"(Taqueti and Di Carli, 2018)","noteIndex":0},"citationItems":[{"id":851,"uris":["http://zotero.org/users/local/k67tNDdX/items/AFKXIL6X"],"uri":["http://zotero.org/users/local/k67tNDdX/items/AFKXIL6X"],"itemData":{"id":851,"type":"article-journal","abstract":"Coronary microvascular disease (CMD) refers to the subset of disorders affecting the structure and function of the coronary microcirculation, is prevalent in patients across a broad spectrum of cardiovascular risk factors, and is associated with increased risk of adverse events. Contemporary evidence supports that most patients with CMD also have macrovessel atherosclerosis, which has important implications for their prognosis and management. In this state-of-the-art review, we summarize the pathophysiology of CMD, provide an update of diagnostic testing strategies, and classify CMD into phenotypes according to severity and coexistence with atherosclerosis. We examine emerging data highlighting the significance of CMD in specific populations, including obesity and insulin resistance, myocardial injury and heart failure with preserved ejection fraction, and nonobstructive and obstructive coronary artery disease. Finally, we discuss the role of CMD as a potential target for novel interventions beyond conventional approaches, representing a new frontier in cardiovascular disease reduction., Coronary microvascular disease (CMD) refers to the subset of disorders affecting the structure and function of the coronary microcirculation, is prevalent in patients across a broad spectrum of cardiovascular risk factors and associated with increased risk of adverse events. Contemporary evidence supports that most patients with CMD also have macrovessel atherosclerosis. In this state-of-the-art review, the authors summarize what is known about the pathophysiology of CMD, provide an update of diagnostic testing strategies, classify CMD into clinical phenotypes according to severity and coexistence with atherosclerosis, and discuss its role as a potential target for novel interventions.","container-title":"Journal of the American College of Cardiology","DOI":"10.1016/j.jacc.2018.09.042","ISSN":"0735-1097","issue":"21","journalAbbreviation":"J Am Coll Cardiol","note":"PMID: 30466521\nPMCID: PMC6296779","page":"2625-2641","source":"PubMed Central","title":"Coronary Microvascular Disease Pathogenic Mechanisms and Therapeutic Options: JACC State-of-the-Art Review","title-short":"Coronary Microvascular Disease Pathogenic Mechanisms and Therapeutic Options","volume":"72","author":[{"family":"Taqueti","given":"Viviany R."},{"family":"Di Carli","given":"Marcelo F."}],"issued":{"date-parts":[["2018",11,27]]}}}],"schema":"https://github.com/citation-style-language/schema/raw/master/csl-citation.json"} </w:instrText>
      </w:r>
      <w:r w:rsidR="00106A32">
        <w:rPr>
          <w:rFonts w:ascii="Times New Roman" w:hAnsi="Times New Roman" w:cs="Times New Roman"/>
          <w:sz w:val="24"/>
          <w:szCs w:val="24"/>
        </w:rPr>
        <w:fldChar w:fldCharType="separate"/>
      </w:r>
      <w:r w:rsidR="0042402A" w:rsidRPr="0042402A">
        <w:rPr>
          <w:rFonts w:ascii="Times New Roman" w:hAnsi="Times New Roman" w:cs="Times New Roman"/>
          <w:sz w:val="24"/>
        </w:rPr>
        <w:t>(Taqueti and Di Carli, 2018)</w:t>
      </w:r>
      <w:r w:rsidR="00106A32">
        <w:rPr>
          <w:rFonts w:ascii="Times New Roman" w:hAnsi="Times New Roman" w:cs="Times New Roman"/>
          <w:sz w:val="24"/>
          <w:szCs w:val="24"/>
        </w:rPr>
        <w:fldChar w:fldCharType="end"/>
      </w:r>
      <w:r w:rsidR="0042402A">
        <w:rPr>
          <w:rFonts w:ascii="Times New Roman" w:hAnsi="Times New Roman" w:cs="Times New Roman"/>
          <w:sz w:val="24"/>
          <w:szCs w:val="24"/>
        </w:rPr>
        <w:t xml:space="preserve">. It has consistently been linked to certain risk factors such as hypertension, diabetes, renal impairment and epicardial coronary artery disease </w:t>
      </w:r>
      <w:r w:rsidR="00106A32">
        <w:rPr>
          <w:rFonts w:ascii="Times New Roman" w:hAnsi="Times New Roman" w:cs="Times New Roman"/>
          <w:sz w:val="24"/>
          <w:szCs w:val="24"/>
        </w:rPr>
        <w:fldChar w:fldCharType="begin"/>
      </w:r>
      <w:r w:rsidR="0042402A">
        <w:rPr>
          <w:rFonts w:ascii="Times New Roman" w:hAnsi="Times New Roman" w:cs="Times New Roman"/>
          <w:sz w:val="24"/>
          <w:szCs w:val="24"/>
        </w:rPr>
        <w:instrText xml:space="preserve"> ADDIN ZOTERO_ITEM CSL_CITATION {"citationID":"QgFTcDZb","properties":{"formattedCitation":"(Suzuki et al., 1994)","plainCitation":"(Suzuki et al., 1994)","noteIndex":0},"citationItems":[{"id":852,"uris":["http://zotero.org/users/local/k67tNDdX/items/BIB9B244"],"uri":["http://zotero.org/users/local/k67tNDdX/items/BIB9B244"],"itemData":{"id":852,"type":"article-journal","abstract":"We studied the ultrastructure of cardiac myocytes and small blood vessels obtained by endomyocardial biopsy from 21 patients with microvascular angina. Ischemic ST segment depression during atrial pacing was recognised in all the patients who had normal coronary arteriograms and biopsy tissues were examined by light and electron microscopy. In patients with microvascular angina, insufficient increases in coronary sinus blood flow and in myocardial oxygen consumption measured with a Webster's catheter were apparent during atrial pacing. Biopsy samples under the light microscope showed evidence of myocardial hypertrophy and sclerosis of small arteries and arterioles with perivascular fibrosis in 18 of 19 (95%) patients. Electron microscopy revealed that many endothelial nuclei in capillaries were swollen and that lumina of small arteries and arterioles were irregularly narrowed with proliferated and deformed medial smooth muscle cells. These findings suggest that disturbances in the coronary microcirculation in these patients is responsible for the ischemic changes in electrocardiograms.","container-title":"International Journal of Cardiology","DOI":"10.1016/0167-5273(94)90003-5","ISSN":"0167-5273","issue":"2","journalAbbreviation":"Int. J. Cardiol.","language":"eng","note":"PMID: 8181868","page":"139-150","source":"PubMed","title":"Small vessel pathology and coronary hemodynamics in patients with microvascular angina","volume":"43","author":[{"family":"Suzuki","given":"H."},{"family":"Takeyama","given":"Y."},{"family":"Koba","given":"S."},{"family":"Suwa","given":"Y."},{"family":"Katagiri","given":"T."}],"issued":{"date-parts":[["1994",2]]}}}],"schema":"https://github.com/citation-style-language/schema/raw/master/csl-citation.json"} </w:instrText>
      </w:r>
      <w:r w:rsidR="00106A32">
        <w:rPr>
          <w:rFonts w:ascii="Times New Roman" w:hAnsi="Times New Roman" w:cs="Times New Roman"/>
          <w:sz w:val="24"/>
          <w:szCs w:val="24"/>
        </w:rPr>
        <w:fldChar w:fldCharType="separate"/>
      </w:r>
      <w:r w:rsidR="0042402A" w:rsidRPr="0042402A">
        <w:rPr>
          <w:rFonts w:ascii="Times New Roman" w:hAnsi="Times New Roman" w:cs="Times New Roman"/>
          <w:sz w:val="24"/>
        </w:rPr>
        <w:t>(Suzuki et al., 1994)</w:t>
      </w:r>
      <w:r w:rsidR="00106A32">
        <w:rPr>
          <w:rFonts w:ascii="Times New Roman" w:hAnsi="Times New Roman" w:cs="Times New Roman"/>
          <w:sz w:val="24"/>
          <w:szCs w:val="24"/>
        </w:rPr>
        <w:fldChar w:fldCharType="end"/>
      </w:r>
      <w:r w:rsidR="0042402A">
        <w:rPr>
          <w:rFonts w:ascii="Times New Roman" w:hAnsi="Times New Roman" w:cs="Times New Roman"/>
          <w:sz w:val="24"/>
          <w:szCs w:val="24"/>
        </w:rPr>
        <w:t>.</w:t>
      </w:r>
    </w:p>
    <w:p w14:paraId="136C659B" w14:textId="77777777" w:rsidR="00106183" w:rsidRDefault="003C2C27" w:rsidP="00BC7A77">
      <w:pPr>
        <w:spacing w:line="360" w:lineRule="auto"/>
        <w:rPr>
          <w:rFonts w:ascii="Times New Roman" w:hAnsi="Times New Roman" w:cs="Times New Roman"/>
          <w:sz w:val="24"/>
          <w:szCs w:val="24"/>
        </w:rPr>
      </w:pPr>
      <w:r>
        <w:rPr>
          <w:rFonts w:ascii="Times New Roman" w:hAnsi="Times New Roman" w:cs="Times New Roman"/>
          <w:sz w:val="24"/>
          <w:szCs w:val="24"/>
        </w:rPr>
        <w:t xml:space="preserve">There is no literature on hydrostatic effect in </w:t>
      </w:r>
      <w:r w:rsidR="00444251">
        <w:rPr>
          <w:rFonts w:ascii="Times New Roman" w:hAnsi="Times New Roman" w:cs="Times New Roman"/>
          <w:sz w:val="24"/>
          <w:szCs w:val="24"/>
        </w:rPr>
        <w:t>the context of a</w:t>
      </w:r>
      <w:r>
        <w:rPr>
          <w:rFonts w:ascii="Times New Roman" w:hAnsi="Times New Roman" w:cs="Times New Roman"/>
          <w:sz w:val="24"/>
          <w:szCs w:val="24"/>
        </w:rPr>
        <w:t xml:space="preserve"> dysfunctional microcirculation.</w:t>
      </w:r>
      <w:r w:rsidR="00444251">
        <w:rPr>
          <w:rFonts w:ascii="Times New Roman" w:hAnsi="Times New Roman" w:cs="Times New Roman"/>
          <w:sz w:val="24"/>
          <w:szCs w:val="24"/>
        </w:rPr>
        <w:t xml:space="preserve"> However extrapolating </w:t>
      </w:r>
      <w:r w:rsidR="00106183">
        <w:rPr>
          <w:rFonts w:ascii="Times New Roman" w:hAnsi="Times New Roman" w:cs="Times New Roman"/>
          <w:sz w:val="24"/>
          <w:szCs w:val="24"/>
        </w:rPr>
        <w:t xml:space="preserve">from </w:t>
      </w:r>
      <w:r w:rsidR="00444251">
        <w:rPr>
          <w:rFonts w:ascii="Times New Roman" w:hAnsi="Times New Roman" w:cs="Times New Roman"/>
          <w:sz w:val="24"/>
          <w:szCs w:val="24"/>
        </w:rPr>
        <w:t>known principles,</w:t>
      </w:r>
      <w:r w:rsidR="00106183">
        <w:rPr>
          <w:rFonts w:ascii="Times New Roman" w:hAnsi="Times New Roman" w:cs="Times New Roman"/>
          <w:sz w:val="24"/>
          <w:szCs w:val="24"/>
        </w:rPr>
        <w:t xml:space="preserve"> it is thought that below a coronary pressure of 40-60mmHg, the coronary vasculature is dependent on driving pressure upstream </w:t>
      </w:r>
      <w:r w:rsidR="00106A32">
        <w:rPr>
          <w:rFonts w:ascii="Times New Roman" w:hAnsi="Times New Roman" w:cs="Times New Roman"/>
          <w:sz w:val="24"/>
          <w:szCs w:val="24"/>
        </w:rPr>
        <w:fldChar w:fldCharType="begin"/>
      </w:r>
      <w:r w:rsidR="00106183">
        <w:rPr>
          <w:rFonts w:ascii="Times New Roman" w:hAnsi="Times New Roman" w:cs="Times New Roman"/>
          <w:sz w:val="24"/>
          <w:szCs w:val="24"/>
        </w:rPr>
        <w:instrText xml:space="preserve"> ADDIN ZOTERO_ITEM CSL_CITATION {"citationID":"qW5MxvWu","properties":{"formattedCitation":"(Goodwill et al., 2017)","plainCitation":"(Goodwill et al., 2017)","noteIndex":0},"citationItems":[{"id":854,"uris":["http://zotero.org/users/local/k67tNDdX/items/46T362RB"],"uri":["http://zotero.org/users/local/k67tNDdX/items/46T362RB"],"itemData":{"id":854,"type":"article-journal","abstract":"The heart is uniquely responsible for providing its own blood supply through the coronary circulation. Regulation of coronary blood flow is quite complex and, after over 100 years of dedicated research, is understood to be dictated through multiple mechanisms that include extravascular compressive forces (tissue pressure), coronary perfusion pressure, myogenic, local metabolic, endothelial as well as neural and hormonal influences. While each of these determinants can have profound influence over myocardial perfusion, largely through effects on end-effector ion channels, these mechanisms collectively modulate coronary vascular resistance and act to ensure that the myocardial requirements for oxygen and substrates are adequately provided by the coronary circulation. The purpose of this series of Comprehensive Physiology is to highlight current knowledge regarding the physiologic regulation of coronary blood flow, with emphasis on functional anatomy and the interplay between the physical and biological determinants of myocardial oxygen delivery.","container-title":"Comprehensive Physiology","DOI":"10.1002/cphy.c160016","ISSN":"2040-4603","issue":"2","journalAbbreviation":"Compr Physiol","note":"PMID: 28333376\nPMCID: PMC5966026","page":"321-382","source":"PubMed Central","title":"Regulation of Coronary Blood Flow","volume":"7","author":[{"family":"Goodwill","given":"Adam G."},{"family":"Dick","given":"Gregory M."},{"family":"Kiel","given":"Alexander M."},{"family":"Tune","given":"Johnathan D."}],"issued":{"date-parts":[["2017",3,16]]}}}],"schema":"https://github.com/citation-style-language/schema/raw/master/csl-citation.json"} </w:instrText>
      </w:r>
      <w:r w:rsidR="00106A32">
        <w:rPr>
          <w:rFonts w:ascii="Times New Roman" w:hAnsi="Times New Roman" w:cs="Times New Roman"/>
          <w:sz w:val="24"/>
          <w:szCs w:val="24"/>
        </w:rPr>
        <w:fldChar w:fldCharType="separate"/>
      </w:r>
      <w:r w:rsidR="00106183" w:rsidRPr="00106183">
        <w:rPr>
          <w:rFonts w:ascii="Times New Roman" w:hAnsi="Times New Roman" w:cs="Times New Roman"/>
          <w:sz w:val="24"/>
        </w:rPr>
        <w:t>(Goodwill et al., 2017)</w:t>
      </w:r>
      <w:r w:rsidR="00106A32">
        <w:rPr>
          <w:rFonts w:ascii="Times New Roman" w:hAnsi="Times New Roman" w:cs="Times New Roman"/>
          <w:sz w:val="24"/>
          <w:szCs w:val="24"/>
        </w:rPr>
        <w:fldChar w:fldCharType="end"/>
      </w:r>
      <w:r w:rsidR="00106183">
        <w:rPr>
          <w:rFonts w:ascii="Times New Roman" w:hAnsi="Times New Roman" w:cs="Times New Roman"/>
          <w:sz w:val="24"/>
          <w:szCs w:val="24"/>
        </w:rPr>
        <w:t>. Pressure is flow outside the autoregulatory window of approx 40-120mmHg. In this situation hydrostatic effect could have a direct effect on coronary blood flow. Especially relevant in patient's presenting acutely with ACS, in which the microcirculation may be compromised.</w:t>
      </w:r>
      <w:r w:rsidR="00163E4E">
        <w:rPr>
          <w:rFonts w:ascii="Times New Roman" w:hAnsi="Times New Roman" w:cs="Times New Roman"/>
          <w:sz w:val="24"/>
          <w:szCs w:val="24"/>
        </w:rPr>
        <w:t xml:space="preserve"> The magnitude of effect is unknown, and would have to be assess in vivo for accurate estimates.</w:t>
      </w:r>
    </w:p>
    <w:p w14:paraId="4082B351" w14:textId="77777777" w:rsidR="00542F42" w:rsidRDefault="00106183" w:rsidP="00BC7A77">
      <w:pPr>
        <w:spacing w:line="360" w:lineRule="auto"/>
        <w:rPr>
          <w:rFonts w:ascii="Times New Roman" w:hAnsi="Times New Roman" w:cs="Times New Roman"/>
          <w:sz w:val="24"/>
          <w:szCs w:val="24"/>
        </w:rPr>
      </w:pPr>
      <w:r>
        <w:rPr>
          <w:rFonts w:ascii="Times New Roman" w:hAnsi="Times New Roman" w:cs="Times New Roman"/>
          <w:sz w:val="24"/>
          <w:szCs w:val="24"/>
        </w:rPr>
        <w:t xml:space="preserve">Interestingly, the right coronary artery appears to have less autoregulatory capacity than the left coronary system. Some studies have shown that blood flow can drop by 35% when reducing coronary pressure from 80 to 40mmHg, whereas flow in the left system remains constant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{"citationID":"0L0P0BeQ","properties":{"formattedCitation":"(Canty and Smith, 1995)","plainCitation":"(Canty and Smith, 1995)","noteIndex":0},"citationItems":[{"id":857,"uris":["http://zotero.org/users/local/k67tNDdX/items/K9QBICJA"],"uri":["http://zotero.org/users/local/k67tNDdX/items/K9QBICJA"],"itemData":{"id":857,"type":"article-journal","abstract":"There is increasing evidence that endothelium-derived nitric oxide production is an important mechanism contributing to the regulation of myocardial perfusion during ischemia distal to a coronary stenosis. Studies in conscious chronically instrumented animals have extended observations in isolated arterioles to demonstrate that inhibiting nitric oxide synthase with L-arginine analogs increases the vulnerability of the myocardium to ischemia. The variable extent to which endothelium-dependent function is impaired in human atherosclerosis raises the possibility that abnormalities in resistance vessel control contribute to the functional significance of a fixed epicardial coronary stenosis. This may explain the wide variability between the physiological effects of a given coronary stenosis and its angiographic severity. Aggressive intervention to normalize endothelium-dependent vasodilation and local nitric oxide release may have beneficial effects on the functional significance of a coronary stenosis.","container-title":"International Journal of Cardiology","DOI":"10.1016/0167-5273(95)02379-b","ISSN":"0167-5273","issue":"3","journalAbbreviation":"Int. J. Cardiol.","language":"eng","note":"PMID: 8537143","page":"207-215","source":"PubMed","title":"Modulation of coronary autoregulatory responses by endothelium-derived nitric oxide","volume":"50","author":[{"family":"Canty","given":"J. M."},{"family":"Smith","given":"T. P."}],"issued":{"date-parts":[["1995",7]]}}}],"schema":"https://github.com/citation-style-language/schema/raw/master/csl-citation.json"} </w:instrText>
      </w:r>
      <w:r w:rsidR="00106A32">
        <w:rPr>
          <w:rFonts w:ascii="Times New Roman" w:hAnsi="Times New Roman" w:cs="Times New Roman"/>
          <w:sz w:val="24"/>
          <w:szCs w:val="24"/>
        </w:rPr>
        <w:fldChar w:fldCharType="separate"/>
      </w:r>
      <w:r w:rsidRPr="00106183">
        <w:rPr>
          <w:rFonts w:ascii="Times New Roman" w:hAnsi="Times New Roman" w:cs="Times New Roman"/>
          <w:sz w:val="24"/>
        </w:rPr>
        <w:t>(Canty and Smith, 1995)</w:t>
      </w:r>
      <w:r w:rsidR="00106A32">
        <w:rPr>
          <w:rFonts w:ascii="Times New Roman" w:hAnsi="Times New Roman" w:cs="Times New Roman"/>
          <w:sz w:val="24"/>
          <w:szCs w:val="24"/>
        </w:rPr>
        <w:fldChar w:fldCharType="end"/>
      </w:r>
      <w:r>
        <w:rPr>
          <w:rFonts w:ascii="Times New Roman" w:hAnsi="Times New Roman" w:cs="Times New Roman"/>
          <w:sz w:val="24"/>
          <w:szCs w:val="24"/>
        </w:rPr>
        <w:t>. In turn, dysfunctional microcirculation in the right coronary artery could make hydrostatic effect more relevant.</w:t>
      </w:r>
    </w:p>
    <w:p w14:paraId="7125F341" w14:textId="77777777" w:rsidR="00CD2F90" w:rsidRPr="00CD2F90" w:rsidRDefault="00CD2F90" w:rsidP="00BC7A77">
      <w:pPr>
        <w:spacing w:line="360" w:lineRule="auto"/>
        <w:rPr>
          <w:rFonts w:ascii="Times New Roman" w:hAnsi="Times New Roman" w:cs="Times New Roman"/>
          <w:sz w:val="24"/>
          <w:szCs w:val="24"/>
        </w:rPr>
      </w:pPr>
    </w:p>
    <w:p w14:paraId="57F1F3BB" w14:textId="77777777" w:rsidR="00221939" w:rsidRDefault="00221939" w:rsidP="00A477B8">
      <w:pPr>
        <w:spacing w:line="360" w:lineRule="auto"/>
        <w:rPr>
          <w:rFonts w:ascii="Times New Roman" w:hAnsi="Times New Roman" w:cs="Times New Roman"/>
          <w:sz w:val="24"/>
          <w:szCs w:val="24"/>
        </w:rPr>
      </w:pPr>
    </w:p>
    <w:p w14:paraId="78203528" w14:textId="77777777" w:rsidR="00857042" w:rsidRPr="00EC6C19" w:rsidRDefault="00857042" w:rsidP="00A477B8">
      <w:pPr>
        <w:spacing w:line="360" w:lineRule="auto"/>
        <w:rPr>
          <w:rFonts w:ascii="Times New Roman" w:hAnsi="Times New Roman" w:cs="Times New Roman"/>
          <w:sz w:val="24"/>
          <w:szCs w:val="24"/>
        </w:rPr>
      </w:pPr>
    </w:p>
    <w:p w14:paraId="06A432C6" w14:textId="77777777" w:rsidR="007643C9" w:rsidRPr="008065E7" w:rsidRDefault="004A7AE9" w:rsidP="008065E7">
      <w:pPr>
        <w:pStyle w:val="Heading2"/>
        <w:rPr>
          <w:rFonts w:ascii="Times New Roman" w:hAnsi="Times New Roman" w:cs="Times New Roman"/>
          <w:color w:val="auto"/>
          <w:sz w:val="24"/>
          <w:szCs w:val="24"/>
        </w:rPr>
      </w:pPr>
      <w:bookmarkStart w:id="227" w:name="_Toc80302282"/>
      <w:r>
        <w:rPr>
          <w:rFonts w:ascii="Times New Roman" w:hAnsi="Times New Roman" w:cs="Times New Roman"/>
          <w:color w:val="auto"/>
          <w:sz w:val="24"/>
          <w:szCs w:val="24"/>
        </w:rPr>
        <w:t>4.7</w:t>
      </w:r>
      <w:r w:rsidR="008065E7" w:rsidRPr="008065E7">
        <w:rPr>
          <w:rFonts w:ascii="Times New Roman" w:hAnsi="Times New Roman" w:cs="Times New Roman"/>
          <w:color w:val="auto"/>
          <w:sz w:val="24"/>
          <w:szCs w:val="24"/>
        </w:rPr>
        <w:t xml:space="preserve"> - </w:t>
      </w:r>
      <w:r w:rsidR="00341C88" w:rsidRPr="008065E7">
        <w:rPr>
          <w:rFonts w:ascii="Times New Roman" w:hAnsi="Times New Roman" w:cs="Times New Roman"/>
          <w:color w:val="auto"/>
          <w:sz w:val="24"/>
          <w:szCs w:val="24"/>
        </w:rPr>
        <w:t>Potential Clinical Implications</w:t>
      </w:r>
      <w:bookmarkEnd w:id="227"/>
    </w:p>
    <w:p w14:paraId="643C977D" w14:textId="77777777" w:rsidR="005A6C37" w:rsidRDefault="008065E7" w:rsidP="00A477B8">
      <w:pPr>
        <w:spacing w:line="360" w:lineRule="auto"/>
        <w:rPr>
          <w:rFonts w:ascii="Times New Roman" w:hAnsi="Times New Roman" w:cs="Times New Roman"/>
          <w:i/>
          <w:sz w:val="24"/>
          <w:szCs w:val="24"/>
        </w:rPr>
      </w:pPr>
      <w:r>
        <w:rPr>
          <w:rFonts w:ascii="Times New Roman" w:hAnsi="Times New Roman" w:cs="Times New Roman"/>
          <w:i/>
          <w:sz w:val="24"/>
          <w:szCs w:val="24"/>
        </w:rPr>
        <w:br/>
      </w:r>
    </w:p>
    <w:p w14:paraId="038C9425" w14:textId="77777777" w:rsidR="00A25F07" w:rsidRPr="008065E7" w:rsidRDefault="008065E7" w:rsidP="008065E7">
      <w:pPr>
        <w:pStyle w:val="Heading3"/>
        <w:rPr>
          <w:rFonts w:ascii="Times New Roman" w:hAnsi="Times New Roman" w:cs="Times New Roman"/>
          <w:b w:val="0"/>
          <w:i/>
          <w:color w:val="auto"/>
          <w:sz w:val="24"/>
          <w:szCs w:val="24"/>
        </w:rPr>
      </w:pPr>
      <w:bookmarkStart w:id="228" w:name="_Toc80302283"/>
      <w:r w:rsidRPr="008065E7">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7</w:t>
      </w:r>
      <w:r w:rsidRPr="008065E7">
        <w:rPr>
          <w:rFonts w:ascii="Times New Roman" w:hAnsi="Times New Roman" w:cs="Times New Roman"/>
          <w:b w:val="0"/>
          <w:i/>
          <w:color w:val="auto"/>
          <w:sz w:val="24"/>
          <w:szCs w:val="24"/>
        </w:rPr>
        <w:t xml:space="preserve">.1 - </w:t>
      </w:r>
      <w:r w:rsidR="00A25F07" w:rsidRPr="008065E7">
        <w:rPr>
          <w:rFonts w:ascii="Times New Roman" w:hAnsi="Times New Roman" w:cs="Times New Roman"/>
          <w:b w:val="0"/>
          <w:i/>
          <w:color w:val="auto"/>
          <w:sz w:val="24"/>
          <w:szCs w:val="24"/>
        </w:rPr>
        <w:t>Pressure Based Measurements : A 'Level' Playing Field</w:t>
      </w:r>
      <w:bookmarkEnd w:id="228"/>
      <w:r>
        <w:rPr>
          <w:rFonts w:ascii="Times New Roman" w:hAnsi="Times New Roman" w:cs="Times New Roman"/>
          <w:b w:val="0"/>
          <w:i/>
          <w:color w:val="auto"/>
          <w:sz w:val="24"/>
          <w:szCs w:val="24"/>
        </w:rPr>
        <w:br/>
      </w:r>
    </w:p>
    <w:p w14:paraId="431BFAFA" w14:textId="77777777" w:rsidR="00A25F07" w:rsidRPr="00EC6C19" w:rsidRDefault="00A25F07" w:rsidP="008C0091">
      <w:pPr>
        <w:spacing w:line="360" w:lineRule="auto"/>
        <w:rPr>
          <w:rFonts w:ascii="Times New Roman" w:hAnsi="Times New Roman" w:cs="Times New Roman"/>
          <w:i/>
          <w:sz w:val="24"/>
          <w:szCs w:val="24"/>
          <w:u w:val="single"/>
        </w:rPr>
      </w:pPr>
    </w:p>
    <w:p w14:paraId="237810C1" w14:textId="77777777" w:rsidR="005600DA" w:rsidRDefault="003814DD" w:rsidP="008C0091">
      <w:pPr>
        <w:spacing w:line="360" w:lineRule="auto"/>
        <w:rPr>
          <w:rFonts w:ascii="Times New Roman" w:hAnsi="Times New Roman" w:cs="Times New Roman"/>
          <w:sz w:val="24"/>
          <w:szCs w:val="24"/>
        </w:rPr>
      </w:pPr>
      <w:r>
        <w:rPr>
          <w:rFonts w:ascii="Times New Roman" w:hAnsi="Times New Roman" w:cs="Times New Roman"/>
          <w:sz w:val="24"/>
          <w:szCs w:val="24"/>
        </w:rPr>
        <w:t xml:space="preserve">In clinical cardiology, a </w:t>
      </w:r>
      <w:r w:rsidR="00A25F07" w:rsidRPr="00EC6C19">
        <w:rPr>
          <w:rFonts w:ascii="Times New Roman" w:hAnsi="Times New Roman" w:cs="Times New Roman"/>
          <w:sz w:val="24"/>
          <w:szCs w:val="24"/>
        </w:rPr>
        <w:t>treatment threshold exists for guiding clinical management in all coronary arteries</w:t>
      </w:r>
      <w:r>
        <w:rPr>
          <w:rFonts w:ascii="Times New Roman" w:hAnsi="Times New Roman" w:cs="Times New Roman"/>
          <w:sz w:val="24"/>
          <w:szCs w:val="24"/>
        </w:rPr>
        <w:t xml:space="preserve"> based on the index used</w:t>
      </w:r>
      <w:r w:rsidR="00A25F07" w:rsidRPr="00EC6C19">
        <w:rPr>
          <w:rFonts w:ascii="Times New Roman" w:hAnsi="Times New Roman" w:cs="Times New Roman"/>
          <w:sz w:val="24"/>
          <w:szCs w:val="24"/>
        </w:rPr>
        <w:t>.</w:t>
      </w:r>
      <w:r>
        <w:rPr>
          <w:rFonts w:ascii="Times New Roman" w:hAnsi="Times New Roman" w:cs="Times New Roman"/>
          <w:sz w:val="24"/>
          <w:szCs w:val="24"/>
        </w:rPr>
        <w:t xml:space="preserve"> There are no specified threshold based on the artery in question</w:t>
      </w:r>
      <w:r w:rsidR="005600DA">
        <w:rPr>
          <w:rFonts w:ascii="Times New Roman" w:hAnsi="Times New Roman" w:cs="Times New Roman"/>
          <w:sz w:val="24"/>
          <w:szCs w:val="24"/>
        </w:rPr>
        <w:t xml:space="preserve">. Even in FAME </w:t>
      </w:r>
      <w:r w:rsidR="00106A32">
        <w:rPr>
          <w:rFonts w:ascii="Times New Roman" w:hAnsi="Times New Roman" w:cs="Times New Roman"/>
          <w:sz w:val="24"/>
          <w:szCs w:val="24"/>
        </w:rPr>
        <w:fldChar w:fldCharType="begin"/>
      </w:r>
      <w:r w:rsidR="005600DA">
        <w:rPr>
          <w:rFonts w:ascii="Times New Roman" w:hAnsi="Times New Roman" w:cs="Times New Roman"/>
          <w:sz w:val="24"/>
          <w:szCs w:val="24"/>
        </w:rPr>
        <w:instrText xml:space="preserve"> ADDIN ZOTERO_ITEM CSL_CITATION {"citationID":"DyUAUIAW","properties":{"formattedCitation":"(De Bruyne et al., 2014)","plainCitation":"(De Bruyne et al., 2014)","noteIndex":0},"citationItems":[{"id":534,"uris":["http://zotero.org/users/local/k67tNDdX/items/5PXJ998X"],"uri":["http://zotero.org/users/local/k67tNDdX/items/5PXJ998X"],"itemData":{"id":534,"type":"article-journal","abstract":"The benefit of percutaneous coronary intervention (PCI) as an initial treatment strategy in patients with stable coronary artery disease remains controversial.1–3 The potential result from revascularization depends on the extent and the degree of myocardial ischemia.4,5 A fractional flow reserve (FFR) value of 0.80 or less (i.e., a drop in maximal blood flow of 20% or more caused by stenosis), as measured with the use of a coronary pressure wire during catheterization, indicates the potential of a stenosis to induce myocardial ischemia.6–8 In such cases, robust clinical-outcome data favor FFR-guided revascularization, as compared with revascularization guided by . . .","container-title":"New England Journal of Medicine","DOI":"10.1056/NEJMoa1408758","ISSN":"0028-4793","issue":"13","note":"PMID: 25176289","page":"1208-1217","source":"Taylor and Francis+NEJM","title":"Fractional Flow Reserve–Guided PCI for Stable Coronary Artery Disease","volume":"371","author":[{"family":"De Bruyne","given":"Bernard"},{"family":"Fearon","given":"William F."},{"family":"Pijls","given":"Nico H.J."},{"family":"Barbato","given":"Emanuele"},{"family":"Tonino","given":"Pim"},{"family":"Piroth","given":"Zsolt"},{"family":"Jagic","given":"Nikola"},{"family":"Mobius-Winckler","given":"Sven"},{"family":"Rioufol","given":"Gilles"},{"family":"Witt","given":"Nils"},{"family":"Kala","given":"Petr"},{"family":"MacCarthy","given":"Philip"},{"family":"Engström","given":"Thomas"},{"family":"Oldroyd","given":"Keith"},{"family":"Mavromatis","given":"Kreton"},{"family":"Manoharan","given":"Ganesh"},{"family":"Verlee","given":"Peter"},{"family":"Frobert","given":"Ole"},{"family":"Curzen","given":"Nick"},{"family":"Johnson","given":"Jane B."},{"family":"Limacher","given":"Andreas"},{"family":"Nüesch","given":"Eveline"},{"family":"Jüni","given":"Peter"}],"issued":{"date-parts":[["2014",9,25]]}}}],"schema":"https://github.com/citation-style-language/schema/raw/master/csl-citation.json"} </w:instrText>
      </w:r>
      <w:r w:rsidR="00106A32">
        <w:rPr>
          <w:rFonts w:ascii="Times New Roman" w:hAnsi="Times New Roman" w:cs="Times New Roman"/>
          <w:sz w:val="24"/>
          <w:szCs w:val="24"/>
        </w:rPr>
        <w:fldChar w:fldCharType="separate"/>
      </w:r>
      <w:r w:rsidR="005600DA" w:rsidRPr="005600DA">
        <w:rPr>
          <w:rFonts w:ascii="Times New Roman" w:hAnsi="Times New Roman" w:cs="Times New Roman"/>
          <w:sz w:val="24"/>
        </w:rPr>
        <w:t>(De Bruyne et al., 2014)</w:t>
      </w:r>
      <w:r w:rsidR="00106A32">
        <w:rPr>
          <w:rFonts w:ascii="Times New Roman" w:hAnsi="Times New Roman" w:cs="Times New Roman"/>
          <w:sz w:val="24"/>
          <w:szCs w:val="24"/>
        </w:rPr>
        <w:fldChar w:fldCharType="end"/>
      </w:r>
      <w:r w:rsidR="005600DA">
        <w:rPr>
          <w:rFonts w:ascii="Times New Roman" w:hAnsi="Times New Roman" w:cs="Times New Roman"/>
          <w:sz w:val="24"/>
          <w:szCs w:val="24"/>
        </w:rPr>
        <w:t xml:space="preserve">, FFR values were combined across all three coronary arteries. If analysed </w:t>
      </w:r>
      <w:r w:rsidR="00A05BAE">
        <w:rPr>
          <w:rFonts w:ascii="Times New Roman" w:hAnsi="Times New Roman" w:cs="Times New Roman"/>
          <w:sz w:val="24"/>
          <w:szCs w:val="24"/>
        </w:rPr>
        <w:t>separately, one may find differing thresholds per artery</w:t>
      </w:r>
      <w:r w:rsidR="00163E4E">
        <w:rPr>
          <w:rFonts w:ascii="Times New Roman" w:hAnsi="Times New Roman" w:cs="Times New Roman"/>
          <w:sz w:val="24"/>
          <w:szCs w:val="24"/>
        </w:rPr>
        <w:t xml:space="preserve"> for major cardiac events</w:t>
      </w:r>
      <w:r w:rsidR="00A05BAE">
        <w:rPr>
          <w:rFonts w:ascii="Times New Roman" w:hAnsi="Times New Roman" w:cs="Times New Roman"/>
          <w:sz w:val="24"/>
          <w:szCs w:val="24"/>
        </w:rPr>
        <w:t>.</w:t>
      </w:r>
    </w:p>
    <w:p w14:paraId="50277DF9" w14:textId="77777777" w:rsidR="00A25F07" w:rsidRPr="00EC6C19" w:rsidRDefault="003814DD" w:rsidP="008C0091">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A25F07" w:rsidRPr="00EC6C19">
        <w:rPr>
          <w:rFonts w:ascii="Times New Roman" w:hAnsi="Times New Roman" w:cs="Times New Roman"/>
          <w:sz w:val="24"/>
          <w:szCs w:val="24"/>
        </w:rPr>
        <w:t>In almost all studies, the value for FFR is 0.75-0.80</w:t>
      </w:r>
      <w:r w:rsidR="0095706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{"citationID":"h21sCCHR","properties":{"formattedCitation":"(De Bruyne et al., 2012)","plainCitation":"(De Bruyne et al., 2012)","dontUpdate":true,"noteIndex":0},"citationItems":[{"id":532,"uris":["http://zotero.org/users/local/k67tNDdX/items/Y8ZV78PI"],"uri":["http://zotero.org/users/local/k67tNDdX/items/Y8ZV78PI"],"itemData":{"id":532,"type":"article-journal","abstract":"BACKGROUND: The preferred initial treatment for patients with stable coronary artery disease is the best available medical therapy. We hypothesized that in patients with functionally significant stenoses, as determined by measurement of fractional flow reserve (FFR), percutaneous coronary intervention (PCI) plus the best available medical therapy would be superior to the best available medical therapy alone.\nMETHODS: In patients with stable coronary artery disease for whom PCI was being considered, we assessed all stenoses by measuring FFR. Patients in whom at least one stenosis was functionally significant (FFR, ≤0.80) were randomly assigned to FFR-guided PCI plus the best available medical therapy (PCI group) or the best available medical therapy alone (medical-therapy group). Patients in whom all stenoses had an FFR of more than 0.80 were entered into a registry and received the best available medical therapy. The primary end point was a composite of death, myocardial infarction, or urgent revascularization.\nRESULTS: Recruitment was halted prematurely after enrollment of 1220 patients (888 who underwent randomization and 332 enrolled in the registry) because of a significant between-group difference in the percentage of patients who had a primary end-point event: 4.3% in the PCI group and 12.7% in the medical-therapy group (hazard ratio with PCI, 0.32; 95% confidence interval [CI], 0.19 to 0.53; P&lt;0.001). The difference was driven by a lower rate of urgent revascularization in the PCI group than in the medical-therapy group (1.6% vs. 11.1%; hazard ratio, 0.13; 95% CI, 0.06 to 0.30; P&lt;0.001); in particular, in the PCI group, fewer urgent revascularizations were triggered by a myocardial infarction or evidence of ischemia on electrocardiography (hazard ratio, 0.13; 95% CI, 0.04 to 0.43; P&lt;0.001). Among patients in the registry, 3.0% had a primary end-point event.\nCONCLUSIONS: In patients with stable coronary artery disease and functionally significant stenoses, FFR-guided PCI plus the best available medical therapy, as compared with the best available medical therapy alone, decreased the need for urgent revascularization. In patients without ischemia, the outcome appeared to be favorable with the best available medical therapy alone. (Funded by St. Jude Medical; ClinicalTrials.gov number, NCT01132495.).","container-title":"The New England Journal of Medicine","DOI":"10.1056/NEJMoa1205361","ISSN":"1533-4406","issue":"11","journalAbbreviation":"N. Engl. J. Med.","language":"eng","note":"PMID: 22924638","page":"991-1001","source":"PubMed","title":"Fractional flow reserve-guided PCI versus medical therapy in stable coronary disease","volume":"367","author":[{"family":"De Bruyne","given":"Bernard"},{"family":"Pijls","given":"Nico H. J."},{"family":"Kalesan","given":"Bindu"},{"family":"Barbato","given":"Emanuele"},{"family":"Tonino","given":"Pim A. L."},{"family":"Piroth","given":"Zsolt"},{"family":"Jagic","given":"Nikola"},{"family":"Möbius-Winkler","given":"Sven"},{"family":"Mobius-Winckler","given":"Sven"},{"family":"Rioufol","given":"Gilles"},{"family":"Witt","given":"Nils"},{"family":"Kala","given":"Petr"},{"family":"MacCarthy","given":"Philip"},{"family":"Engström","given":"Thomas"},{"family":"Oldroyd","given":"Keith G."},{"family":"Mavromatis","given":"Kreton"},{"family":"Manoharan","given":"Ganesh"},{"family":"Verlee","given":"Peter"},{"family":"Frobert","given":"Ole"},{"family":"Curzen","given":"Nick"},{"family":"Johnson","given":"Jane B."},{"family":"Jüni","given":"Peter"},{"family":"Fearon","given":"William F."},{"literal":"FAME 2 Trial Investigators"}],"issued":{"date-parts":[["2012",9,13]]}}}],"schema":"https://github.com/citation-style-language/schema/raw/master/csl-citation.json"} </w:instrText>
      </w:r>
      <w:r w:rsidR="00106A32" w:rsidRPr="00EC6C19">
        <w:rPr>
          <w:rFonts w:ascii="Times New Roman" w:hAnsi="Times New Roman" w:cs="Times New Roman"/>
          <w:sz w:val="24"/>
          <w:szCs w:val="24"/>
        </w:rPr>
        <w:fldChar w:fldCharType="separate"/>
      </w:r>
      <w:r w:rsidR="0001323E" w:rsidRPr="00EC6C19">
        <w:rPr>
          <w:rFonts w:ascii="Times New Roman" w:hAnsi="Times New Roman" w:cs="Times New Roman"/>
          <w:sz w:val="24"/>
          <w:szCs w:val="24"/>
        </w:rPr>
        <w:t>(De Bruyne et al., 2012</w:t>
      </w:r>
      <w:r w:rsidR="00106A32" w:rsidRPr="00EC6C19">
        <w:rPr>
          <w:rFonts w:ascii="Times New Roman" w:hAnsi="Times New Roman" w:cs="Times New Roman"/>
          <w:sz w:val="24"/>
          <w:szCs w:val="24"/>
        </w:rPr>
        <w:fldChar w:fldCharType="end"/>
      </w:r>
      <w:r w:rsidR="0001323E" w:rsidRPr="00EC6C19">
        <w:rPr>
          <w:rFonts w:ascii="Times New Roman" w:hAnsi="Times New Roman" w:cs="Times New Roman"/>
          <w:sz w:val="24"/>
          <w:szCs w:val="24"/>
        </w:rPr>
        <w:t>;</w:t>
      </w:r>
      <w:r w:rsidR="006951B7" w:rsidRPr="00EC6C19">
        <w:rPr>
          <w:rFonts w:ascii="Times New Roman" w:hAnsi="Times New Roman" w:cs="Times New Roman"/>
          <w:sz w:val="24"/>
          <w:szCs w:val="24"/>
        </w:rPr>
        <w:t xml:space="preserve"> </w:t>
      </w:r>
      <w:r w:rsidR="0001323E"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C5021F" w:rsidRPr="00EC6C19">
        <w:rPr>
          <w:rFonts w:ascii="Times New Roman" w:hAnsi="Times New Roman" w:cs="Times New Roman"/>
          <w:sz w:val="24"/>
          <w:szCs w:val="24"/>
        </w:rPr>
        <w:instrText xml:space="preserve"> ADDIN ZOTERO_ITEM CSL_CITATION {"citationID":"0MPsMHYu","properties":{"formattedCitation":"(Johnson et al., 2014)","plainCitation":"(Johnson et al., 2014)","dontUpdate":true,"noteIndex":0},"citationItems":[{"id":679,"uris":["http://zotero.org/users/local/k67tNDdX/items/N8BBJAPA"],"uri":["http://zotero.org/users/local/k67tNDdX/items/N8BBJAPA"],"itemData":{"id":679,"type":"article-journal","abstract":"BACKGROUND: Fractional flow reserve (FFR) has become an established tool for guiding treatment, but its graded relationship to clinical outcomes as modulated by medical therapy versus revascularization remains unclear.\nOBJECTIVES: The study hypothesized that FFR displays a continuous relationship between its numeric value and prognosis, such that lower FFR values confer a higher risk and therefore receive larger absolute benefits from revascularization.\nMETHODS: Meta-analysis of study- and patient-level data investigated prognosis after FFR measurement. An interaction term between FFR and revascularization status allowed for an outcomes-based threshold.\nRESULTS: A total of 9,173 (study-level) and 6,961 (patient-level) lesions were included with a median follow-up of 16 and 14 months, respectively. Clinical events increased as FFR decreased, and revascularization showed larger net benefit for lower baseline FFR values. Outcomes-derived FFR thresholds generally occurred around the range 0.75 to 0.80, although limited due to confounding by indication. FFR measured immediately after stenting also showed an inverse relationship with prognosis (hazard ratio: 0.86, 95% confidence interval: 0.80 to 0.93; p &lt; 0.001). An FFR-assisted strategy led to revascularization roughly half as often as an anatomy-based strategy, but with 20% fewer adverse events and 10% better angina relief.\nCONCLUSIONS: FFR demonstrates a continuous and independent relationship with subsequent outcomes, modulated by medical therapy versus revascularization. Lesions with lower FFR values receive larger absolute benefits from revascularization. Measurement of FFR immediately after stenting also shows an inverse gradient of risk, likely from residual diffuse disease. An FFR-guided revascularization strategy significantly reduces events and increases freedom from angina with fewer procedures than an anatomy-based strategy.","container-title":"Journal of the American College of Cardiology","DOI":"10.1016/j.jacc.2014.07.973","ISSN":"1558-3597","issue":"16","journalAbbreviation":"J. Am. Coll. Cardiol.","language":"eng","note":"PMID: 25323250","page":"1641-1654","source":"PubMed","title":"Prognostic value of fractional flow reserve: linking physiologic severity to clinical outcomes","title-short":"Prognostic value of fractional flow reserve","volume":"64","author":[{"family":"Johnson","given":"Nils P."},{"family":"Tóth","given":"Gábor G."},{"family":"Lai","given":"Dejian"},{"family":"Zhu","given":"Hongjian"},{"family":"Açar","given":"Göksel"},{"family":"Agostoni","given":"Pierfrancesco"},{"family":"Appelman","given":"Yolande"},{"family":"Arslan","given":"Fatih"},{"family":"Barbato","given":"Emanuele"},{"family":"Chen","given":"Shao-Liang"},{"family":"Di Serafino","given":"Luigi"},{"family":"Domínguez-Franco","given":"Antonio J."},{"family":"Dupouy","given":"Patrick"},{"family":"Esen","given":"Ali M."},{"family":"Esen","given":"Ozlem B."},{"family":"Hamilos","given":"Michalis"},{"family":"Iwasaki","given":"Kohichiro"},{"family":"Jensen","given":"Lisette O."},{"family":"Jiménez-Navarro","given":"Manuel F."},{"family":"Katritsis","given":"Demosthenes G."},{"family":"Kocaman","given":"Sinan A."},{"family":"Koo","given":"Bon-Kwon"},{"family":"López-Palop","given":"Ramón"},{"family":"Lorin","given":"Jeffrey D."},{"family":"Miller","given":"Louis H."},{"family":"Muller","given":"Olivier"},{"family":"Nam","given":"Chang-Wook"},{"family":"Oud","given":"Niels"},{"family":"Puymirat","given":"Etienne"},{"family":"Rieber","given":"Johannes"},{"family":"Rioufol","given":"Gilles"},{"family":"Rodés-Cabau","given":"Josep"},{"family":"Sedlis","given":"Steven P."},{"family":"Takeishi","given":"Yasuchika"},{"family":"Tonino","given":"Pim A. L."},{"family":"Van Belle","given":"Eric"},{"family":"Verna","given":"Edoardo"},{"family":"Werner","given":"Gerald S."},{"family":"Fearon","given":"William F."},{"family":"Pijls","given":"Nico H. J."},{"family":"De Bruyne","given":"Bernard"},{"family":"Gould","given":"K. Lance"}],"issued":{"date-parts":[["2014",10,21]]}}}],"schema":"https://github.com/citation-style-language/schema/raw/master/csl-citation.json"} </w:instrText>
      </w:r>
      <w:r w:rsidR="00106A32" w:rsidRPr="00EC6C19">
        <w:rPr>
          <w:rFonts w:ascii="Times New Roman" w:hAnsi="Times New Roman" w:cs="Times New Roman"/>
          <w:sz w:val="24"/>
          <w:szCs w:val="24"/>
        </w:rPr>
        <w:fldChar w:fldCharType="separate"/>
      </w:r>
      <w:r w:rsidR="0001323E" w:rsidRPr="00EC6C19">
        <w:rPr>
          <w:rFonts w:ascii="Times New Roman" w:hAnsi="Times New Roman" w:cs="Times New Roman"/>
          <w:sz w:val="24"/>
          <w:szCs w:val="24"/>
        </w:rPr>
        <w:t>Johnson et al., 2014)</w:t>
      </w:r>
      <w:r w:rsidR="00106A32" w:rsidRPr="00EC6C19">
        <w:rPr>
          <w:rFonts w:ascii="Times New Roman" w:hAnsi="Times New Roman" w:cs="Times New Roman"/>
          <w:sz w:val="24"/>
          <w:szCs w:val="24"/>
        </w:rPr>
        <w:fldChar w:fldCharType="end"/>
      </w:r>
      <w:r>
        <w:rPr>
          <w:rFonts w:ascii="Times New Roman" w:hAnsi="Times New Roman" w:cs="Times New Roman"/>
          <w:sz w:val="24"/>
          <w:szCs w:val="24"/>
        </w:rPr>
        <w:t>, for iFR 0.89</w:t>
      </w:r>
      <w:r w:rsidR="00D40C34">
        <w:rPr>
          <w:rFonts w:ascii="Times New Roman" w:hAnsi="Times New Roman" w:cs="Times New Roman"/>
          <w:sz w:val="24"/>
          <w:szCs w:val="24"/>
        </w:rPr>
        <w:t xml:space="preserve">  and for Pd/Pa</w:t>
      </w:r>
      <w:r w:rsidR="00A25F07" w:rsidRPr="00EC6C19">
        <w:rPr>
          <w:rFonts w:ascii="Times New Roman" w:hAnsi="Times New Roman" w:cs="Times New Roman"/>
          <w:sz w:val="24"/>
          <w:szCs w:val="24"/>
        </w:rPr>
        <w:t xml:space="preserve"> 0.92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{"citationID":"5k56lZVy","properties":{"formattedCitation":"(Hennigan et al., 2016)","plainCitation":"(Hennigan et al., 2016)","noteIndex":0},"citationItems":[{"id":681,"uris":["http://zotero.org/users/local/k67tNDdX/items/C7LVEJ3J"],"uri":["http://zotero.org/users/local/k67tNDdX/items/C7LVEJ3J"],"itemData":{"id":681,"type":"article-journal","abstract":"BACKGROUND: Distal coronary to aortic pressure ratio (Pd/Pa) and instantaneous wave-free ratio (iFR) are indices of functional significance of a coronary stenosis measured without hyperemia. It has been suggested that iFR has superior diagnostic accuracy to Pd/Pa when compared with fractional flow reserve (FFR).We hypothesized that in comparison with FFR, revascularization decisions based on either binary cutoff values for iFR and Pd/Pa or hybrid strategies incorporating iFR or Pd/Pa will result in similar levels of disagreement.\nMETHODS AND RESULTS: This is a prospective study in consecutive patients undergoing FFR for clinical indications using proprietary software to calculate iFR. We measured Pd/Pa, iFR, FFR, and hyperemic iFR. Diagnostic accuracy versus FFR ≤0.80 was calculated using binary cutoff values of ≤0.90 for iFR and ≤0.92 for Pd/Pa, and adenosine zones for iFR of 0.86 to 0.93 and Pd/Pa of 0.87 to 0.94 in the hybrid strategy. One hundred ninety-seven patients with 257 stenoses (mean diameter stenosis 48%) were studied. Using binary cutoffs, diagnostic accuracy was similar for iFR and resting Pd/Pa with misclassification rates of 21% versus 20.2% (P=0.85). In the hybrid analysis, 54% of iFR cases and 53% of Pd/Pa cases were outside the adenosine zone and rates of misclassification were 9.4% versus 11.9% (P=0.55).\nCONCLUSIONS: Binary cutoff values for iFR and Pd/Pa result in misclassification of 1 in 5 lesions. Using a hybrid strategy, approximately half of the patients do not receive adenosine, but 1 in 10 lesions are still misclassified. The use of nonhyperemic indices of stenosis severity cannot be recommended for decision making in the catheterization laboratory.\nCLINICAL TRIAL REGISTRATION: URL: http://www.clinicaltrials.gov. Unique identifier: NCT02377310.","container-title":"Circulation. Cardiovascular Interventions","DOI":"10.1161/CIRCINTERVENTIONS.116.004016","ISSN":"1941-7632","issue":"11","journalAbbreviation":"Circ Cardiovasc Interv","language":"eng","note":"PMID: 27834663","source":"PubMed","title":"Discordance Between Resting and Hyperemic Indices of Coronary Stenosis Severity: The VERIFY 2 Study (A Comparative Study of Resting Coronary Pressure Gradient, Instantaneous Wave-Free Ratio and Fractional Flow Reserve in an Unselected Population Referred for Invasive Angiography)","title-short":"Discordance Between Resting and Hyperemic Indices of Coronary Stenosis Severity","volume":"9","author":[{"family":"Hennigan","given":"Barry"},{"family":"Oldroyd","given":"Keith G."},{"family":"Berry","given":"Colin"},{"family":"Johnson","given":"Nils"},{"family":"McClure","given":"John"},{"family":"McCartney","given":"Peter"},{"family":"McEntegart","given":"Margaret B."},{"family":"Eteiba","given":"Hany"},{"family":"Petrie","given":"Mark C."},{"family":"Rocchiccioli","given":"Paul"},{"family":"Good","given":"Richard"},{"family":"Lindsay","given":"Martin M."},{"family":"Hood","given":"Stuart"},{"family":"Watkins","given":"Stuart"}],"issued":{"date-parts":[["2016",11]]}}}],"schema":"https://github.com/citation-style-language/schema/raw/master/csl-citation.json"}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 xml:space="preserve">(Hennigan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2016)</w:t>
      </w:r>
      <w:r w:rsidR="00106A32" w:rsidRPr="00EC6C19">
        <w:rPr>
          <w:rFonts w:ascii="Times New Roman" w:hAnsi="Times New Roman" w:cs="Times New Roman"/>
          <w:sz w:val="24"/>
          <w:szCs w:val="24"/>
        </w:rPr>
        <w:fldChar w:fldCharType="end"/>
      </w:r>
      <w:r w:rsidR="00A25F07" w:rsidRPr="00EC6C19">
        <w:rPr>
          <w:rFonts w:ascii="Times New Roman" w:hAnsi="Times New Roman" w:cs="Times New Roman"/>
          <w:sz w:val="24"/>
          <w:szCs w:val="24"/>
        </w:rPr>
        <w:t xml:space="preserve">. </w:t>
      </w:r>
      <w:r w:rsidR="00D40C34">
        <w:rPr>
          <w:rFonts w:ascii="Times New Roman" w:hAnsi="Times New Roman" w:cs="Times New Roman"/>
          <w:sz w:val="24"/>
          <w:szCs w:val="24"/>
        </w:rPr>
        <w:t>R</w:t>
      </w:r>
      <w:r w:rsidR="00A25F07" w:rsidRPr="00EC6C19">
        <w:rPr>
          <w:rFonts w:ascii="Times New Roman" w:hAnsi="Times New Roman" w:cs="Times New Roman"/>
          <w:sz w:val="24"/>
          <w:szCs w:val="24"/>
        </w:rPr>
        <w:t>esting indices are gaining scientific interest and popularity in recent months</w:t>
      </w:r>
      <w:r w:rsidR="00037BC9">
        <w:rPr>
          <w:rFonts w:ascii="Times New Roman" w:hAnsi="Times New Roman" w:cs="Times New Roman"/>
          <w:sz w:val="24"/>
          <w:szCs w:val="24"/>
        </w:rPr>
        <w:t xml:space="preserve"> </w:t>
      </w:r>
      <w:r w:rsidR="00106A32">
        <w:rPr>
          <w:rFonts w:ascii="Times New Roman" w:hAnsi="Times New Roman" w:cs="Times New Roman"/>
          <w:sz w:val="24"/>
          <w:szCs w:val="24"/>
        </w:rPr>
        <w:fldChar w:fldCharType="begin"/>
      </w:r>
      <w:r w:rsidR="00D239B3">
        <w:rPr>
          <w:rFonts w:ascii="Times New Roman" w:hAnsi="Times New Roman" w:cs="Times New Roman"/>
          <w:sz w:val="24"/>
          <w:szCs w:val="24"/>
        </w:rPr>
        <w:instrText xml:space="preserve"> ADDIN ZOTERO_ITEM CSL_CITATION {"citationID":"xePFhwO0","properties":{"formattedCitation":"(Svanerud et al., 2018)","plainCitation":"(Svanerud et al., 2018)","noteIndex":0},"citationItems":[{"id":683,"uris":["http://zotero.org/users/local/k67tNDdX/items/9W5AHYWQ"],"uri":["http://zotero.org/users/local/k67tNDdX/items/9W5AHYWQ"],"itemData":{"id":683,"type":"article-journal","abstract":"AIMS: Randomised controlled trials have reported instantaneous wave-free ratio (iFR) to be non-inferior to fractional flow reserve (FFR) for major adverse cardiovascular events at one year; however, iFR is limited by sensitive landmarking of the pressure waveform, and the assumption that maximal flow and minimal resistance occur during a fixed period of diastole. We sought to validate the resting full-cycle ratio (RFR), a novel non-hyperaemic index of coronary stenosis severity based on unbiased identification of the lowest distal coronary pressure to aortic pressure ratio (Pd/Pa), independent of the ECG, landmark identification, and timing within the cardiac cycle.\nMETHODS AND RESULTS: VALIDATE-RFR was a retrospective study designed to derive and validate the RFR. The primary endpoint was the agreement between RFR and iFR. RFR was retrospectively determined in 651 waveforms in which iFR was measured using a proprietary Philips/Volcano wire. RFR was highly correlated to iFR (R2=0.99, p&lt;0.001), with a mean bias of -0.002 (95% limits of agreement -0.023 to 0.020). The diagnostic performance of RFR versus iFR was diagnostic accuracy 97.4%, sensitivity 98.2%, specificity 96.9%, positive predictive value 94.5%, negative predictive value 99.0%, area under the receiver operating characteristic curve of 0.996, and diagnostically equivalent within 1% (mean difference -0.002; 95% CI: -0.009 to 0.006, p=0.03). The RFR was detected outside diastole in 12.2% (341/2,790) of all cardiac cycles and 32.4% (167/516) of cardiac cycles in the right coronary artery where the sensitivity of iFR compared to FFR was lowest (40.6%).\nCONCLUSIONS: RFR is diagnostically equivalent to iFR but unbiased in its ability to detect the lowest Pd/Pa during the full cardiac cycle, potentially unmasking physiologically significant coronary stenoses that would be missed by assessment dedicated to specific segments of the cardiac cycle.","container-title":"EuroIntervention: Journal of EuroPCR in Collaboration with the Working Group on Interventional Cardiology of the European Society of Cardiology","DOI":"10.4244/EIJ-D-18-00342","ISSN":"1969-6213","journalAbbreviation":"EuroIntervention","language":"eng","note":"PMID: 29790478","source":"PubMed","title":"Validation of a novel non-hyperaemic index of coronary artery stenosis severity: the Resting Full-cycle Ratio (VALIDATE RFR) study","title-short":"Validation of a novel non-hyperaemic index of coronary artery stenosis severity","author":[{"family":"Svanerud","given":"Johan"},{"family":"Ahn","given":"Jung-Min"},{"family":"Jeremias","given":"Allen"},{"family":"Veer","given":"Marcel","non-dropping-particle":"van 't"},{"family":"Gore","given":"Ankita"},{"family":"Maehara","given":"Akiko"},{"family":"Crowley","given":"Aaron"},{"family":"Pijls","given":"Nico H. J."},{"family":"De Bruyne","given":"Bernard"},{"family":"Johnson","given":"Nils P."},{"family":"Hennigan","given":"Barry"},{"family":"Watkins","given":"Stuart"},{"family":"Berry","given":"Colin"},{"family":"Oldroyd","given":"Keith G."},{"family":"Park","given":"Seung-Jung"},{"family":"Ali","given":"Ziad A."}],"issued":{"date-parts":[["2018",5,23]]}}}],"schema":"https://github.com/citation-style-language/schema/raw/master/csl-citation.json"} </w:instrText>
      </w:r>
      <w:r w:rsidR="00106A32">
        <w:rPr>
          <w:rFonts w:ascii="Times New Roman" w:hAnsi="Times New Roman" w:cs="Times New Roman"/>
          <w:sz w:val="24"/>
          <w:szCs w:val="24"/>
        </w:rPr>
        <w:fldChar w:fldCharType="separate"/>
      </w:r>
      <w:r w:rsidR="00D239B3" w:rsidRPr="00D239B3">
        <w:rPr>
          <w:rFonts w:ascii="Times New Roman" w:hAnsi="Times New Roman" w:cs="Times New Roman"/>
          <w:sz w:val="24"/>
        </w:rPr>
        <w:t>(Svanerud et al., 2018)</w:t>
      </w:r>
      <w:r w:rsidR="00106A32">
        <w:rPr>
          <w:rFonts w:ascii="Times New Roman" w:hAnsi="Times New Roman" w:cs="Times New Roman"/>
          <w:sz w:val="24"/>
          <w:szCs w:val="24"/>
        </w:rPr>
        <w:fldChar w:fldCharType="end"/>
      </w:r>
      <w:r w:rsidR="00037BC9">
        <w:rPr>
          <w:rFonts w:ascii="Times New Roman" w:hAnsi="Times New Roman" w:cs="Times New Roman"/>
          <w:sz w:val="24"/>
          <w:szCs w:val="24"/>
        </w:rPr>
        <w:t xml:space="preserve">  f</w:t>
      </w:r>
      <w:r w:rsidR="00A25F07" w:rsidRPr="00EC6C19">
        <w:rPr>
          <w:rFonts w:ascii="Times New Roman" w:hAnsi="Times New Roman" w:cs="Times New Roman"/>
          <w:sz w:val="24"/>
          <w:szCs w:val="24"/>
        </w:rPr>
        <w:t>or their ease of use, and ability to take measurements without the need for adenosine use.</w:t>
      </w:r>
      <w:r w:rsidR="006951B7" w:rsidRPr="00EC6C19">
        <w:rPr>
          <w:rFonts w:ascii="Times New Roman" w:hAnsi="Times New Roman" w:cs="Times New Roman"/>
          <w:sz w:val="24"/>
          <w:szCs w:val="24"/>
        </w:rPr>
        <w:t xml:space="preserve"> This increases the scope of relevance for hydrostatic pressure.</w:t>
      </w:r>
    </w:p>
    <w:p w14:paraId="1618ACB3" w14:textId="77777777" w:rsidR="001760AF" w:rsidRPr="00EC6C19" w:rsidRDefault="00D40C34" w:rsidP="00357833">
      <w:pPr>
        <w:spacing w:line="360" w:lineRule="auto"/>
        <w:rPr>
          <w:rFonts w:ascii="Times New Roman" w:hAnsi="Times New Roman" w:cs="Times New Roman"/>
          <w:sz w:val="24"/>
          <w:szCs w:val="24"/>
        </w:rPr>
      </w:pPr>
      <w:r>
        <w:rPr>
          <w:rFonts w:ascii="Times New Roman" w:hAnsi="Times New Roman" w:cs="Times New Roman"/>
          <w:sz w:val="24"/>
          <w:szCs w:val="24"/>
        </w:rPr>
        <w:t>There is an</w:t>
      </w:r>
      <w:r w:rsidR="00A25F07" w:rsidRPr="00EC6C19">
        <w:rPr>
          <w:rFonts w:ascii="Times New Roman" w:hAnsi="Times New Roman" w:cs="Times New Roman"/>
          <w:sz w:val="24"/>
          <w:szCs w:val="24"/>
        </w:rPr>
        <w:t xml:space="preserve"> assumption that each vessel's 'normal' reading will be </w:t>
      </w:r>
      <w:r w:rsidR="00492003" w:rsidRPr="00EC6C19">
        <w:rPr>
          <w:rFonts w:ascii="Times New Roman" w:hAnsi="Times New Roman" w:cs="Times New Roman"/>
          <w:sz w:val="24"/>
          <w:szCs w:val="24"/>
        </w:rPr>
        <w:t>1.0</w:t>
      </w:r>
      <w:r>
        <w:rPr>
          <w:rFonts w:ascii="Times New Roman" w:hAnsi="Times New Roman" w:cs="Times New Roman"/>
          <w:sz w:val="24"/>
          <w:szCs w:val="24"/>
        </w:rPr>
        <w:t xml:space="preserve"> (distal and proximal pressure are equal)</w:t>
      </w:r>
      <w:r w:rsidR="00492003" w:rsidRPr="00EC6C19">
        <w:rPr>
          <w:rFonts w:ascii="Times New Roman" w:hAnsi="Times New Roman" w:cs="Times New Roman"/>
          <w:sz w:val="24"/>
          <w:szCs w:val="24"/>
        </w:rPr>
        <w:t xml:space="preserve">. The data </w:t>
      </w:r>
      <w:r>
        <w:rPr>
          <w:rFonts w:ascii="Times New Roman" w:hAnsi="Times New Roman" w:cs="Times New Roman"/>
          <w:sz w:val="24"/>
          <w:szCs w:val="24"/>
        </w:rPr>
        <w:t>from this research suggests this is</w:t>
      </w:r>
      <w:r w:rsidR="00A25F07" w:rsidRPr="00EC6C19">
        <w:rPr>
          <w:rFonts w:ascii="Times New Roman" w:hAnsi="Times New Roman" w:cs="Times New Roman"/>
          <w:sz w:val="24"/>
          <w:szCs w:val="24"/>
        </w:rPr>
        <w:t xml:space="preserve"> not the case, and the</w:t>
      </w:r>
      <w:r w:rsidR="00492003" w:rsidRPr="00EC6C19">
        <w:rPr>
          <w:rFonts w:ascii="Times New Roman" w:hAnsi="Times New Roman" w:cs="Times New Roman"/>
          <w:sz w:val="24"/>
          <w:szCs w:val="24"/>
        </w:rPr>
        <w:t>'</w:t>
      </w:r>
      <w:r w:rsidR="00A25F07" w:rsidRPr="00EC6C19">
        <w:rPr>
          <w:rFonts w:ascii="Times New Roman" w:hAnsi="Times New Roman" w:cs="Times New Roman"/>
          <w:sz w:val="24"/>
          <w:szCs w:val="24"/>
        </w:rPr>
        <w:t xml:space="preserve"> playing field</w:t>
      </w:r>
      <w:r w:rsidR="00492003" w:rsidRPr="00EC6C19">
        <w:rPr>
          <w:rFonts w:ascii="Times New Roman" w:hAnsi="Times New Roman" w:cs="Times New Roman"/>
          <w:sz w:val="24"/>
          <w:szCs w:val="24"/>
        </w:rPr>
        <w:t>'</w:t>
      </w:r>
      <w:r w:rsidR="00A25F07" w:rsidRPr="00EC6C19">
        <w:rPr>
          <w:rFonts w:ascii="Times New Roman" w:hAnsi="Times New Roman" w:cs="Times New Roman"/>
          <w:sz w:val="24"/>
          <w:szCs w:val="24"/>
        </w:rPr>
        <w:t xml:space="preserve"> is not level</w:t>
      </w:r>
      <w:r>
        <w:rPr>
          <w:rFonts w:ascii="Times New Roman" w:hAnsi="Times New Roman" w:cs="Times New Roman"/>
          <w:sz w:val="24"/>
          <w:szCs w:val="24"/>
        </w:rPr>
        <w:t xml:space="preserve"> from the offset</w:t>
      </w:r>
      <w:r w:rsidR="00A25F07" w:rsidRPr="00EC6C19">
        <w:rPr>
          <w:rFonts w:ascii="Times New Roman" w:hAnsi="Times New Roman" w:cs="Times New Roman"/>
          <w:sz w:val="24"/>
          <w:szCs w:val="24"/>
        </w:rPr>
        <w:t>.</w:t>
      </w:r>
      <w:r w:rsidR="003930FC" w:rsidRPr="00EC6C19">
        <w:rPr>
          <w:rFonts w:ascii="Times New Roman" w:hAnsi="Times New Roman" w:cs="Times New Roman"/>
          <w:sz w:val="24"/>
          <w:szCs w:val="24"/>
        </w:rPr>
        <w:t xml:space="preserve"> </w:t>
      </w:r>
      <w:r w:rsidR="0073383E" w:rsidRPr="00EC6C19">
        <w:rPr>
          <w:rFonts w:ascii="Times New Roman" w:hAnsi="Times New Roman" w:cs="Times New Roman"/>
          <w:sz w:val="24"/>
          <w:szCs w:val="24"/>
        </w:rPr>
        <w:t>B</w:t>
      </w:r>
      <w:r>
        <w:rPr>
          <w:rFonts w:ascii="Times New Roman" w:hAnsi="Times New Roman" w:cs="Times New Roman"/>
          <w:sz w:val="24"/>
          <w:szCs w:val="24"/>
        </w:rPr>
        <w:t>efore the introduction of any stenosis</w:t>
      </w:r>
      <w:r w:rsidR="001760AF" w:rsidRPr="00EC6C19">
        <w:rPr>
          <w:rFonts w:ascii="Times New Roman" w:hAnsi="Times New Roman" w:cs="Times New Roman"/>
          <w:sz w:val="24"/>
          <w:szCs w:val="24"/>
        </w:rPr>
        <w:t>, the value of 1.0</w:t>
      </w:r>
      <w:r>
        <w:rPr>
          <w:rFonts w:ascii="Times New Roman" w:hAnsi="Times New Roman" w:cs="Times New Roman"/>
          <w:sz w:val="24"/>
          <w:szCs w:val="24"/>
        </w:rPr>
        <w:t xml:space="preserve"> for a normal vessel has already been </w:t>
      </w:r>
      <w:r w:rsidR="00163E4E">
        <w:rPr>
          <w:rFonts w:ascii="Times New Roman" w:hAnsi="Times New Roman" w:cs="Times New Roman"/>
          <w:sz w:val="24"/>
          <w:szCs w:val="24"/>
        </w:rPr>
        <w:t>confounded</w:t>
      </w:r>
      <w:r>
        <w:rPr>
          <w:rFonts w:ascii="Times New Roman" w:hAnsi="Times New Roman" w:cs="Times New Roman"/>
          <w:sz w:val="24"/>
          <w:szCs w:val="24"/>
        </w:rPr>
        <w:t>.</w:t>
      </w:r>
      <w:r w:rsidR="003930FC" w:rsidRPr="00EC6C19">
        <w:rPr>
          <w:rFonts w:ascii="Times New Roman" w:hAnsi="Times New Roman" w:cs="Times New Roman"/>
          <w:sz w:val="24"/>
          <w:szCs w:val="24"/>
        </w:rPr>
        <w:t xml:space="preserve"> </w:t>
      </w:r>
      <w:r w:rsidR="00163E4E">
        <w:rPr>
          <w:rFonts w:ascii="Times New Roman" w:hAnsi="Times New Roman" w:cs="Times New Roman"/>
          <w:sz w:val="24"/>
          <w:szCs w:val="24"/>
        </w:rPr>
        <w:t>Whilst true that some l</w:t>
      </w:r>
      <w:r w:rsidR="00492003" w:rsidRPr="00EC6C19">
        <w:rPr>
          <w:rFonts w:ascii="Times New Roman" w:hAnsi="Times New Roman" w:cs="Times New Roman"/>
          <w:sz w:val="24"/>
          <w:szCs w:val="24"/>
        </w:rPr>
        <w:t xml:space="preserve">esions may </w:t>
      </w:r>
      <w:r w:rsidR="0004275A" w:rsidRPr="00EC6C19">
        <w:rPr>
          <w:rFonts w:ascii="Times New Roman" w:hAnsi="Times New Roman" w:cs="Times New Roman"/>
          <w:sz w:val="24"/>
          <w:szCs w:val="24"/>
        </w:rPr>
        <w:t>be very proxi</w:t>
      </w:r>
      <w:r w:rsidR="00492003" w:rsidRPr="00EC6C19">
        <w:rPr>
          <w:rFonts w:ascii="Times New Roman" w:hAnsi="Times New Roman" w:cs="Times New Roman"/>
          <w:sz w:val="24"/>
          <w:szCs w:val="24"/>
        </w:rPr>
        <w:t>mal or ostial</w:t>
      </w:r>
      <w:r w:rsidR="00163E4E">
        <w:rPr>
          <w:rFonts w:ascii="Times New Roman" w:hAnsi="Times New Roman" w:cs="Times New Roman"/>
          <w:sz w:val="24"/>
          <w:szCs w:val="24"/>
        </w:rPr>
        <w:t>,</w:t>
      </w:r>
      <w:r>
        <w:rPr>
          <w:rFonts w:ascii="Times New Roman" w:hAnsi="Times New Roman" w:cs="Times New Roman"/>
          <w:sz w:val="24"/>
          <w:szCs w:val="24"/>
        </w:rPr>
        <w:t xml:space="preserve"> where</w:t>
      </w:r>
      <w:r w:rsidR="0004275A" w:rsidRPr="00EC6C19">
        <w:rPr>
          <w:rFonts w:ascii="Times New Roman" w:hAnsi="Times New Roman" w:cs="Times New Roman"/>
          <w:sz w:val="24"/>
          <w:szCs w:val="24"/>
        </w:rPr>
        <w:t xml:space="preserve"> hydrostatic effect </w:t>
      </w:r>
      <w:r w:rsidR="00163E4E">
        <w:rPr>
          <w:rFonts w:ascii="Times New Roman" w:hAnsi="Times New Roman" w:cs="Times New Roman"/>
          <w:sz w:val="24"/>
          <w:szCs w:val="24"/>
        </w:rPr>
        <w:t>is less prominent,</w:t>
      </w:r>
      <w:r w:rsidR="0073383E" w:rsidRPr="00EC6C19">
        <w:rPr>
          <w:rFonts w:ascii="Times New Roman" w:hAnsi="Times New Roman" w:cs="Times New Roman"/>
          <w:sz w:val="24"/>
          <w:szCs w:val="24"/>
        </w:rPr>
        <w:t xml:space="preserve"> </w:t>
      </w:r>
      <w:r w:rsidR="00163E4E">
        <w:rPr>
          <w:rFonts w:ascii="Times New Roman" w:hAnsi="Times New Roman" w:cs="Times New Roman"/>
          <w:sz w:val="24"/>
          <w:szCs w:val="24"/>
        </w:rPr>
        <w:t>a</w:t>
      </w:r>
      <w:r w:rsidR="0073383E" w:rsidRPr="00EC6C19">
        <w:rPr>
          <w:rFonts w:ascii="Times New Roman" w:hAnsi="Times New Roman" w:cs="Times New Roman"/>
          <w:sz w:val="24"/>
          <w:szCs w:val="24"/>
        </w:rPr>
        <w:t>ny vertical deviation from the ostial vessel will</w:t>
      </w:r>
      <w:r w:rsidR="00492003" w:rsidRPr="00EC6C19">
        <w:rPr>
          <w:rFonts w:ascii="Times New Roman" w:hAnsi="Times New Roman" w:cs="Times New Roman"/>
          <w:sz w:val="24"/>
          <w:szCs w:val="24"/>
        </w:rPr>
        <w:t xml:space="preserve"> </w:t>
      </w:r>
      <w:r w:rsidR="0073383E" w:rsidRPr="00EC6C19">
        <w:rPr>
          <w:rFonts w:ascii="Times New Roman" w:hAnsi="Times New Roman" w:cs="Times New Roman"/>
          <w:sz w:val="24"/>
          <w:szCs w:val="24"/>
        </w:rPr>
        <w:t>produce a hydrostatic effect</w:t>
      </w:r>
      <w:r>
        <w:rPr>
          <w:rFonts w:ascii="Times New Roman" w:hAnsi="Times New Roman" w:cs="Times New Roman"/>
          <w:sz w:val="24"/>
          <w:szCs w:val="24"/>
        </w:rPr>
        <w:t xml:space="preserve">, </w:t>
      </w:r>
      <w:r w:rsidR="00163E4E">
        <w:rPr>
          <w:rFonts w:ascii="Times New Roman" w:hAnsi="Times New Roman" w:cs="Times New Roman"/>
          <w:sz w:val="24"/>
          <w:szCs w:val="24"/>
        </w:rPr>
        <w:t>however small</w:t>
      </w:r>
      <w:r w:rsidR="0073383E" w:rsidRPr="00EC6C19">
        <w:rPr>
          <w:rFonts w:ascii="Times New Roman" w:hAnsi="Times New Roman" w:cs="Times New Roman"/>
          <w:sz w:val="24"/>
          <w:szCs w:val="24"/>
        </w:rPr>
        <w:t>.</w:t>
      </w:r>
    </w:p>
    <w:p w14:paraId="4BA61070" w14:textId="77777777" w:rsidR="005126E1" w:rsidRPr="00EC6C19" w:rsidRDefault="005126E1"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There exists therefore, </w:t>
      </w:r>
      <w:r w:rsidRPr="00233B02">
        <w:rPr>
          <w:rFonts w:ascii="Times New Roman" w:hAnsi="Times New Roman" w:cs="Times New Roman"/>
          <w:sz w:val="24"/>
          <w:szCs w:val="24"/>
        </w:rPr>
        <w:t xml:space="preserve">separate levels of 'normality' where distal height varies </w:t>
      </w:r>
      <w:r w:rsidR="00D40C34" w:rsidRPr="00233B02">
        <w:rPr>
          <w:rFonts w:ascii="Times New Roman" w:hAnsi="Times New Roman" w:cs="Times New Roman"/>
          <w:sz w:val="24"/>
          <w:szCs w:val="24"/>
        </w:rPr>
        <w:t>from</w:t>
      </w:r>
      <w:r w:rsidRPr="00233B02">
        <w:rPr>
          <w:rFonts w:ascii="Times New Roman" w:hAnsi="Times New Roman" w:cs="Times New Roman"/>
          <w:sz w:val="24"/>
          <w:szCs w:val="24"/>
        </w:rPr>
        <w:t xml:space="preserve"> aortic height, and the Pd/Pa or FFR </w:t>
      </w:r>
      <w:r w:rsidR="00D40C34" w:rsidRPr="00233B02">
        <w:rPr>
          <w:rFonts w:ascii="Times New Roman" w:hAnsi="Times New Roman" w:cs="Times New Roman"/>
          <w:sz w:val="24"/>
          <w:szCs w:val="24"/>
        </w:rPr>
        <w:t>is not</w:t>
      </w:r>
      <w:r w:rsidRPr="00233B02">
        <w:rPr>
          <w:rFonts w:ascii="Times New Roman" w:hAnsi="Times New Roman" w:cs="Times New Roman"/>
          <w:sz w:val="24"/>
          <w:szCs w:val="24"/>
        </w:rPr>
        <w:t xml:space="preserve"> 1.0. Figure </w:t>
      </w:r>
      <w:r w:rsidR="00233B02" w:rsidRPr="00233B02">
        <w:rPr>
          <w:rFonts w:ascii="Times New Roman" w:hAnsi="Times New Roman" w:cs="Times New Roman"/>
          <w:sz w:val="24"/>
          <w:szCs w:val="24"/>
        </w:rPr>
        <w:t>52</w:t>
      </w:r>
      <w:r w:rsidRPr="00233B02">
        <w:rPr>
          <w:rFonts w:ascii="Times New Roman" w:hAnsi="Times New Roman" w:cs="Times New Roman"/>
          <w:sz w:val="24"/>
          <w:szCs w:val="24"/>
        </w:rPr>
        <w:t xml:space="preserve"> plots all</w:t>
      </w:r>
      <w:r w:rsidRPr="00EC6C19">
        <w:rPr>
          <w:rFonts w:ascii="Times New Roman" w:hAnsi="Times New Roman" w:cs="Times New Roman"/>
          <w:sz w:val="24"/>
          <w:szCs w:val="24"/>
        </w:rPr>
        <w:t xml:space="preserve"> measurement points from CT coronary angiography data to represent this.</w:t>
      </w:r>
    </w:p>
    <w:p w14:paraId="3CD1887B" w14:textId="77777777" w:rsidR="005126E1" w:rsidRPr="00EC6C19" w:rsidRDefault="005B29C4" w:rsidP="00357833">
      <w:pPr>
        <w:spacing w:line="360" w:lineRule="auto"/>
        <w:ind w:left="-737"/>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6BA88DD4" wp14:editId="3C55E6D7">
            <wp:extent cx="6965034" cy="4920916"/>
            <wp:effectExtent l="19050" t="0" r="7266" b="0"/>
            <wp:docPr id="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srcRect/>
                    <a:stretch>
                      <a:fillRect/>
                    </a:stretch>
                  </pic:blipFill>
                  <pic:spPr bwMode="auto">
                    <a:xfrm>
                      <a:off x="0" y="0"/>
                      <a:ext cx="6970670" cy="4924898"/>
                    </a:xfrm>
                    <a:prstGeom prst="rect">
                      <a:avLst/>
                    </a:prstGeom>
                    <a:noFill/>
                    <a:ln w="9525">
                      <a:noFill/>
                      <a:miter lim="800000"/>
                      <a:headEnd/>
                      <a:tailEnd/>
                    </a:ln>
                  </pic:spPr>
                </pic:pic>
              </a:graphicData>
            </a:graphic>
          </wp:inline>
        </w:drawing>
      </w:r>
    </w:p>
    <w:p w14:paraId="4D6DB0D2" w14:textId="77777777" w:rsidR="00233B02" w:rsidRDefault="00233B02" w:rsidP="00233B02">
      <w:pPr>
        <w:pStyle w:val="Caption"/>
        <w:spacing w:line="360" w:lineRule="auto"/>
        <w:rPr>
          <w:rFonts w:ascii="Times New Roman" w:hAnsi="Times New Roman" w:cs="Times New Roman"/>
          <w:b w:val="0"/>
          <w:i/>
          <w:color w:val="auto"/>
          <w:sz w:val="24"/>
          <w:szCs w:val="24"/>
        </w:rPr>
      </w:pPr>
    </w:p>
    <w:p w14:paraId="042555D7" w14:textId="77777777" w:rsidR="00A25F07" w:rsidRPr="00233B02" w:rsidRDefault="00233B02" w:rsidP="00233B02">
      <w:pPr>
        <w:pStyle w:val="Caption"/>
        <w:spacing w:line="360" w:lineRule="auto"/>
        <w:rPr>
          <w:rFonts w:ascii="Times New Roman" w:hAnsi="Times New Roman" w:cs="Times New Roman"/>
          <w:b w:val="0"/>
          <w:i/>
          <w:color w:val="auto"/>
          <w:sz w:val="24"/>
          <w:szCs w:val="24"/>
        </w:rPr>
      </w:pPr>
      <w:bookmarkStart w:id="229" w:name="_Toc44684941"/>
      <w:r w:rsidRPr="00233B02">
        <w:rPr>
          <w:rFonts w:ascii="Times New Roman" w:hAnsi="Times New Roman" w:cs="Times New Roman"/>
          <w:b w:val="0"/>
          <w:i/>
          <w:color w:val="auto"/>
          <w:sz w:val="24"/>
          <w:szCs w:val="24"/>
        </w:rPr>
        <w:t xml:space="preserve">Figure </w:t>
      </w:r>
      <w:r w:rsidR="00106A32" w:rsidRPr="00233B02">
        <w:rPr>
          <w:rFonts w:ascii="Times New Roman" w:hAnsi="Times New Roman" w:cs="Times New Roman"/>
          <w:b w:val="0"/>
          <w:i/>
          <w:color w:val="auto"/>
          <w:sz w:val="24"/>
          <w:szCs w:val="24"/>
        </w:rPr>
        <w:fldChar w:fldCharType="begin"/>
      </w:r>
      <w:r w:rsidRPr="00233B02">
        <w:rPr>
          <w:rFonts w:ascii="Times New Roman" w:hAnsi="Times New Roman" w:cs="Times New Roman"/>
          <w:b w:val="0"/>
          <w:i/>
          <w:color w:val="auto"/>
          <w:sz w:val="24"/>
          <w:szCs w:val="24"/>
        </w:rPr>
        <w:instrText xml:space="preserve"> SEQ Figure \* ARABIC </w:instrText>
      </w:r>
      <w:r w:rsidR="00106A32" w:rsidRPr="00233B0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52</w:t>
      </w:r>
      <w:r w:rsidR="00106A32" w:rsidRPr="00233B02">
        <w:rPr>
          <w:rFonts w:ascii="Times New Roman" w:hAnsi="Times New Roman" w:cs="Times New Roman"/>
          <w:b w:val="0"/>
          <w:i/>
          <w:color w:val="auto"/>
          <w:sz w:val="24"/>
          <w:szCs w:val="24"/>
        </w:rPr>
        <w:fldChar w:fldCharType="end"/>
      </w:r>
      <w:r w:rsidRPr="00233B02">
        <w:rPr>
          <w:rFonts w:ascii="Times New Roman" w:hAnsi="Times New Roman" w:cs="Times New Roman"/>
          <w:b w:val="0"/>
          <w:i/>
          <w:color w:val="auto"/>
          <w:sz w:val="24"/>
          <w:szCs w:val="24"/>
        </w:rPr>
        <w:t xml:space="preserve">- Hydrostatic Pressure Effect Per Artery. </w:t>
      </w:r>
      <w:r w:rsidR="005126E1" w:rsidRPr="00233B02">
        <w:rPr>
          <w:rFonts w:ascii="Times New Roman" w:hAnsi="Times New Roman" w:cs="Times New Roman"/>
          <w:b w:val="0"/>
          <w:i/>
          <w:color w:val="auto"/>
          <w:sz w:val="24"/>
          <w:szCs w:val="24"/>
        </w:rPr>
        <w:t>Diagrammatic representation of</w:t>
      </w:r>
      <w:r w:rsidR="003930FC" w:rsidRPr="00233B02">
        <w:rPr>
          <w:rFonts w:ascii="Times New Roman" w:hAnsi="Times New Roman" w:cs="Times New Roman"/>
          <w:b w:val="0"/>
          <w:i/>
          <w:color w:val="auto"/>
          <w:sz w:val="24"/>
          <w:szCs w:val="24"/>
        </w:rPr>
        <w:t xml:space="preserve"> </w:t>
      </w:r>
      <w:r w:rsidR="005126E1" w:rsidRPr="00233B02">
        <w:rPr>
          <w:rFonts w:ascii="Times New Roman" w:hAnsi="Times New Roman" w:cs="Times New Roman"/>
          <w:b w:val="0"/>
          <w:i/>
          <w:color w:val="auto"/>
          <w:sz w:val="24"/>
          <w:szCs w:val="24"/>
        </w:rPr>
        <w:t>the 'level' playing field. In reality, multiple levels of height variation exist between the ostial and distal vessel. A standardised threshold for all vessels is therefore impossible.</w:t>
      </w:r>
      <w:r w:rsidR="005B29C4" w:rsidRPr="00233B02">
        <w:rPr>
          <w:rFonts w:ascii="Times New Roman" w:hAnsi="Times New Roman" w:cs="Times New Roman"/>
          <w:b w:val="0"/>
          <w:i/>
          <w:color w:val="auto"/>
          <w:sz w:val="24"/>
          <w:szCs w:val="24"/>
        </w:rPr>
        <w:t xml:space="preserve"> The resting Pd/Pa values at each level is shown in brackets.</w:t>
      </w:r>
      <w:bookmarkEnd w:id="229"/>
    </w:p>
    <w:p w14:paraId="275ABBA6" w14:textId="77777777" w:rsidR="003930FC" w:rsidRPr="00EC6C19" w:rsidRDefault="003930FC" w:rsidP="00357833">
      <w:pPr>
        <w:spacing w:line="360" w:lineRule="auto"/>
        <w:rPr>
          <w:rFonts w:ascii="Times New Roman" w:hAnsi="Times New Roman" w:cs="Times New Roman"/>
          <w:i/>
          <w:sz w:val="24"/>
          <w:szCs w:val="24"/>
        </w:rPr>
      </w:pPr>
    </w:p>
    <w:p w14:paraId="5EDD9F07" w14:textId="77777777" w:rsidR="007643C9" w:rsidRPr="00EC6C19" w:rsidRDefault="00D40C34" w:rsidP="00357833">
      <w:pPr>
        <w:spacing w:line="360" w:lineRule="auto"/>
        <w:rPr>
          <w:rFonts w:ascii="Times New Roman" w:hAnsi="Times New Roman" w:cs="Times New Roman"/>
          <w:sz w:val="24"/>
          <w:szCs w:val="24"/>
        </w:rPr>
      </w:pPr>
      <w:r>
        <w:rPr>
          <w:rFonts w:ascii="Times New Roman" w:hAnsi="Times New Roman" w:cs="Times New Roman"/>
          <w:sz w:val="24"/>
          <w:szCs w:val="24"/>
        </w:rPr>
        <w:t>In t</w:t>
      </w:r>
      <w:r w:rsidR="00357833" w:rsidRPr="00EC6C19">
        <w:rPr>
          <w:rFonts w:ascii="Times New Roman" w:hAnsi="Times New Roman" w:cs="Times New Roman"/>
          <w:sz w:val="24"/>
          <w:szCs w:val="24"/>
        </w:rPr>
        <w:t>he LAD</w:t>
      </w:r>
      <w:r>
        <w:rPr>
          <w:rFonts w:ascii="Times New Roman" w:hAnsi="Times New Roman" w:cs="Times New Roman"/>
          <w:sz w:val="24"/>
          <w:szCs w:val="24"/>
        </w:rPr>
        <w:t>,</w:t>
      </w:r>
      <w:r w:rsidR="00357833" w:rsidRPr="00EC6C19">
        <w:rPr>
          <w:rFonts w:ascii="Times New Roman" w:hAnsi="Times New Roman" w:cs="Times New Roman"/>
          <w:sz w:val="24"/>
          <w:szCs w:val="24"/>
        </w:rPr>
        <w:t xml:space="preserve"> with a wire positioned in the distal vessel, the value of 1.0 for normal is already </w:t>
      </w:r>
      <w:r>
        <w:rPr>
          <w:rFonts w:ascii="Times New Roman" w:hAnsi="Times New Roman" w:cs="Times New Roman"/>
          <w:sz w:val="24"/>
          <w:szCs w:val="24"/>
        </w:rPr>
        <w:t>abnormal</w:t>
      </w:r>
      <w:r w:rsidR="00357833" w:rsidRPr="00EC6C19">
        <w:rPr>
          <w:rFonts w:ascii="Times New Roman" w:hAnsi="Times New Roman" w:cs="Times New Roman"/>
          <w:sz w:val="24"/>
          <w:szCs w:val="24"/>
        </w:rPr>
        <w:t xml:space="preserve"> at 0.96, </w:t>
      </w:r>
      <w:r>
        <w:rPr>
          <w:rFonts w:ascii="Times New Roman" w:hAnsi="Times New Roman" w:cs="Times New Roman"/>
          <w:sz w:val="24"/>
          <w:szCs w:val="24"/>
        </w:rPr>
        <w:t>in the absence of a stenosis</w:t>
      </w:r>
      <w:r w:rsidR="00357833" w:rsidRPr="00EC6C19">
        <w:rPr>
          <w:rFonts w:ascii="Times New Roman" w:hAnsi="Times New Roman" w:cs="Times New Roman"/>
          <w:sz w:val="24"/>
          <w:szCs w:val="24"/>
        </w:rPr>
        <w:t>.</w:t>
      </w:r>
      <w:r>
        <w:rPr>
          <w:rFonts w:ascii="Times New Roman" w:hAnsi="Times New Roman" w:cs="Times New Roman"/>
          <w:sz w:val="24"/>
          <w:szCs w:val="24"/>
        </w:rPr>
        <w:t xml:space="preserve"> In turn,</w:t>
      </w:r>
      <w:r w:rsidR="00357833" w:rsidRPr="00EC6C19">
        <w:rPr>
          <w:rFonts w:ascii="Times New Roman" w:hAnsi="Times New Roman" w:cs="Times New Roman"/>
          <w:sz w:val="24"/>
          <w:szCs w:val="24"/>
        </w:rPr>
        <w:t xml:space="preserve"> </w:t>
      </w:r>
      <w:r>
        <w:rPr>
          <w:rFonts w:ascii="Times New Roman" w:hAnsi="Times New Roman" w:cs="Times New Roman"/>
          <w:sz w:val="24"/>
          <w:szCs w:val="24"/>
        </w:rPr>
        <w:t>a</w:t>
      </w:r>
      <w:r w:rsidR="00357833" w:rsidRPr="00EC6C19">
        <w:rPr>
          <w:rFonts w:ascii="Times New Roman" w:hAnsi="Times New Roman" w:cs="Times New Roman"/>
          <w:sz w:val="24"/>
          <w:szCs w:val="24"/>
        </w:rPr>
        <w:t xml:space="preserve"> lower transtenotic gradient is needed to reach the treatment threshold in the LAD. The LAD FFR must drop by 0.16 points to reach 0.8. Conversely, the PLV begins at a higher value (1.05), requiring 0.25 change to reach 0.8.</w:t>
      </w:r>
    </w:p>
    <w:p w14:paraId="772AB392" w14:textId="77777777" w:rsidR="00886179" w:rsidRPr="00EC6C19" w:rsidRDefault="00357833"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Extrapolating this further, a lesion which produces a transtenotic gradient of 20mmHg would be 'abnormal' in the LAD (FFR 0.76) but 'normal' in the circumflex artery (0.85). This leads to over-treatment of LAD lesions and under treatment of Cx lesions. In 214 coronary stenosis with equal severity, lesion</w:t>
      </w:r>
      <w:r w:rsidR="00D40C34">
        <w:rPr>
          <w:rFonts w:ascii="Times New Roman" w:hAnsi="Times New Roman" w:cs="Times New Roman"/>
          <w:sz w:val="24"/>
          <w:szCs w:val="24"/>
        </w:rPr>
        <w:t>s</w:t>
      </w:r>
      <w:r w:rsidRPr="00EC6C19">
        <w:rPr>
          <w:rFonts w:ascii="Times New Roman" w:hAnsi="Times New Roman" w:cs="Times New Roman"/>
          <w:sz w:val="24"/>
          <w:szCs w:val="24"/>
        </w:rPr>
        <w:t xml:space="preserve"> in the circumflex and other inferiorly position arteries (also referred to as posterior) had significantly higher FFR values than superiorly positioned arteries (referred to as anterior)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{"citationID":"VKtvkPfg","properties":{"formattedCitation":"(H\\uc0\\u228{}rle et al., 2017c)","plainCitation":"(Härle et al., 2017c)","noteIndex":0},"citationItems":[{"id":"Vqvua3Kd/FPBYDrpy","uris":["http://zotero.org/users/local/k67tNDdX/items/N52W2WNW"],"uri":["http://zotero.org/users/local/k67tNDdX/items/N52W2WNW"],"itemData":{"id":570,"type":"article-journal","abstract":"INTRODUCTION: Intracoronary pressure measurements have improved assessment of angiographic intermediate coronary stenoses. Methodically, pressure equalization and actual measurements are frequently performed at different height levels, depending on the particular coronary territory analyzed. Considering a hypothetical influence of hydrostatic pressure and the supine position of the patient, differences in the results of intracoronary measurements between anterior and posterior vessels seem likely. The purpose of this study was to compare the results of intracoronary pressure measurements between anterior and posterior coronary territories.\nMETHODS: Intracoronary pressure measurements of 214 coronary stenoses in 158 patients were analyzed. Fractional flow reserve (FFR) was measured in all stenosis and instantaneous wave-free ratio (iFR) in 197 stenoses in 144 patients.\nRESULTS: Both FFR (0.79 vs. 0.87, p &lt; 0.001) and iFR values (0.86 vs. 0.94, p &lt; 0.001) were significantly higher in posterior compared to anterior coronary vessels. Patients with only anterior or posterior lesions did not differ regarding clinical or lesion characteristics, in particular coronary stenosis severity (62.5 vs. 61.6 %, p = 0.27).\nCONCLUSIONS: Results of intracoronary measurements were systematically higher in the posterior coronary vessels when compared with anterior vessels. This phenomenon was independent of coronary stenosis severity or any clinical characteristics in our study population.","container-title":"Herz","DOI":"10.1007/s00059-016-4471-z","ISSN":"1615-6692","issue":"4","journalAbbreviation":"Herz","language":"eng","note":"PMID: 27582367","page":"395-402","source":"PubMed","title":"Intracoronary pressure measurement differences between anter</w:instrText>
      </w:r>
      <w:r w:rsidR="00E66794">
        <w:rPr>
          <w:rFonts w:ascii="Tahoma" w:hAnsi="Tahoma" w:cs="Tahoma"/>
          <w:sz w:val="24"/>
          <w:szCs w:val="24"/>
        </w:rPr>
        <w:instrText>﻿</w:instrText>
      </w:r>
      <w:r w:rsidR="00E66794">
        <w:rPr>
          <w:rFonts w:ascii="Times New Roman" w:hAnsi="Times New Roman" w:cs="Times New Roman"/>
          <w:sz w:val="24"/>
          <w:szCs w:val="24"/>
        </w:rPr>
        <w:instrText xml:space="preserve">ior and posterior coronary territories","volume":"42","author":[{"family":"Härle","given":"T."},{"family":"Meyer","given":"S."},{"family":"Bojara","given":"W."},{"family":"Vahldiek","given":"F."},{"family":"Elsässer","given":"A."}],"issued":{"date-parts":[["2017",6]]}}}],"schema":"https://github.com/citation-style-language/schema/raw/master/csl-citation.json"} </w:instrText>
      </w:r>
      <w:r w:rsidR="00106A32" w:rsidRPr="00EC6C19">
        <w:rPr>
          <w:rFonts w:ascii="Times New Roman" w:hAnsi="Times New Roman" w:cs="Times New Roman"/>
          <w:sz w:val="24"/>
          <w:szCs w:val="24"/>
        </w:rPr>
        <w:fldChar w:fldCharType="separate"/>
      </w:r>
      <w:r w:rsidR="004A32A5" w:rsidRPr="004A32A5">
        <w:rPr>
          <w:rFonts w:ascii="Times New Roman" w:hAnsi="Times New Roman" w:cs="Times New Roman"/>
          <w:sz w:val="24"/>
          <w:szCs w:val="24"/>
        </w:rPr>
        <w:t>(Härle et al., 2017c)</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4510FB" w:rsidRPr="00EC6C19">
        <w:rPr>
          <w:rFonts w:ascii="Times New Roman" w:hAnsi="Times New Roman" w:cs="Times New Roman"/>
          <w:sz w:val="24"/>
          <w:szCs w:val="24"/>
        </w:rPr>
        <w:t xml:space="preserve">Unfortunately, this is </w:t>
      </w:r>
      <w:r w:rsidR="00886179" w:rsidRPr="00EC6C19">
        <w:rPr>
          <w:rFonts w:ascii="Times New Roman" w:hAnsi="Times New Roman" w:cs="Times New Roman"/>
          <w:sz w:val="24"/>
          <w:szCs w:val="24"/>
        </w:rPr>
        <w:t>overlooked in clinical medicine with a single oversimplified threshold for all vessels.</w:t>
      </w:r>
    </w:p>
    <w:p w14:paraId="3C37D4B0" w14:textId="77777777" w:rsidR="004510FB" w:rsidRPr="00EC6C19" w:rsidRDefault="00D40C34" w:rsidP="00357833">
      <w:pPr>
        <w:spacing w:line="360" w:lineRule="auto"/>
        <w:rPr>
          <w:rFonts w:ascii="Times New Roman" w:hAnsi="Times New Roman" w:cs="Times New Roman"/>
          <w:sz w:val="24"/>
          <w:szCs w:val="24"/>
        </w:rPr>
      </w:pPr>
      <w:r>
        <w:rPr>
          <w:rFonts w:ascii="Times New Roman" w:hAnsi="Times New Roman" w:cs="Times New Roman"/>
          <w:sz w:val="24"/>
          <w:szCs w:val="24"/>
        </w:rPr>
        <w:t>This has important</w:t>
      </w:r>
      <w:r w:rsidR="00492003" w:rsidRPr="00EC6C19">
        <w:rPr>
          <w:rFonts w:ascii="Times New Roman" w:hAnsi="Times New Roman" w:cs="Times New Roman"/>
          <w:sz w:val="24"/>
          <w:szCs w:val="24"/>
        </w:rPr>
        <w:t xml:space="preserve"> clinical implications</w:t>
      </w:r>
      <w:r>
        <w:rPr>
          <w:rFonts w:ascii="Times New Roman" w:hAnsi="Times New Roman" w:cs="Times New Roman"/>
          <w:sz w:val="24"/>
          <w:szCs w:val="24"/>
        </w:rPr>
        <w:t>.</w:t>
      </w:r>
      <w:r w:rsidR="00492003" w:rsidRPr="00EC6C19">
        <w:rPr>
          <w:rFonts w:ascii="Times New Roman" w:hAnsi="Times New Roman" w:cs="Times New Roman"/>
          <w:sz w:val="24"/>
          <w:szCs w:val="24"/>
        </w:rPr>
        <w:t xml:space="preserve"> </w:t>
      </w:r>
      <w:r>
        <w:rPr>
          <w:rFonts w:ascii="Times New Roman" w:hAnsi="Times New Roman" w:cs="Times New Roman"/>
          <w:sz w:val="24"/>
          <w:szCs w:val="24"/>
        </w:rPr>
        <w:t>L</w:t>
      </w:r>
      <w:r w:rsidR="004510FB" w:rsidRPr="00EC6C19">
        <w:rPr>
          <w:rFonts w:ascii="Times New Roman" w:hAnsi="Times New Roman" w:cs="Times New Roman"/>
          <w:sz w:val="24"/>
          <w:szCs w:val="24"/>
        </w:rPr>
        <w:t xml:space="preserve">esions may be mistreated, </w:t>
      </w:r>
      <w:r>
        <w:rPr>
          <w:rFonts w:ascii="Times New Roman" w:hAnsi="Times New Roman" w:cs="Times New Roman"/>
          <w:sz w:val="24"/>
          <w:szCs w:val="24"/>
        </w:rPr>
        <w:t>but it may also lead to learned behaviour in those who utilise coronary physiology.</w:t>
      </w:r>
      <w:r w:rsidR="004510FB" w:rsidRPr="00EC6C19">
        <w:rPr>
          <w:rFonts w:ascii="Times New Roman" w:hAnsi="Times New Roman" w:cs="Times New Roman"/>
          <w:sz w:val="24"/>
          <w:szCs w:val="24"/>
        </w:rPr>
        <w:t xml:space="preserve"> Lesions in the LAD were less severely stenosed than in any other vessel, but still referred for pressure wire assessment. This could be due to operator experience, learning that previous lesions in the LAD were significant, even if angiographically milder than other vessels. </w:t>
      </w:r>
    </w:p>
    <w:p w14:paraId="44E72619" w14:textId="2B88DA9B" w:rsidR="00375E7D" w:rsidRPr="00EC6C19" w:rsidRDefault="00473B4B"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Of the ten </w:t>
      </w:r>
      <w:r w:rsidR="00D40C34">
        <w:rPr>
          <w:rFonts w:ascii="Times New Roman" w:hAnsi="Times New Roman" w:cs="Times New Roman"/>
          <w:sz w:val="24"/>
          <w:szCs w:val="24"/>
        </w:rPr>
        <w:t xml:space="preserve">LAD </w:t>
      </w:r>
      <w:r w:rsidRPr="00EC6C19">
        <w:rPr>
          <w:rFonts w:ascii="Times New Roman" w:hAnsi="Times New Roman" w:cs="Times New Roman"/>
          <w:sz w:val="24"/>
          <w:szCs w:val="24"/>
        </w:rPr>
        <w:t>cases where FFR measurements were taken, five were positive (</w:t>
      </w:r>
      <w:r w:rsidR="007C7D90" w:rsidRPr="00EC6C19">
        <w:rPr>
          <w:rFonts w:ascii="Times New Roman" w:hAnsi="Times New Roman" w:cs="Times New Roman"/>
          <w:sz w:val="24"/>
          <w:szCs w:val="24"/>
        </w:rPr>
        <w:t>i.e.</w:t>
      </w:r>
      <w:r w:rsidRPr="00EC6C19">
        <w:rPr>
          <w:rFonts w:ascii="Times New Roman" w:hAnsi="Times New Roman" w:cs="Times New Roman"/>
          <w:sz w:val="24"/>
          <w:szCs w:val="24"/>
        </w:rPr>
        <w:t xml:space="preserve"> FFR below 0.8) when the patient was in the standard supine position. However, when prone, only two of ten were considered positive</w:t>
      </w:r>
      <w:r w:rsidR="00D40C34">
        <w:rPr>
          <w:rFonts w:ascii="Times New Roman" w:hAnsi="Times New Roman" w:cs="Times New Roman"/>
          <w:sz w:val="24"/>
          <w:szCs w:val="24"/>
        </w:rPr>
        <w:t xml:space="preserve">. </w:t>
      </w:r>
      <w:r w:rsidRPr="00EC6C19">
        <w:rPr>
          <w:rFonts w:ascii="Times New Roman" w:hAnsi="Times New Roman" w:cs="Times New Roman"/>
          <w:sz w:val="24"/>
          <w:szCs w:val="24"/>
        </w:rPr>
        <w:t>Moreover, the doppler flow in these arteries did not significantly change between positions</w:t>
      </w:r>
      <w:r w:rsidR="003D35F9" w:rsidRPr="00EC6C19">
        <w:rPr>
          <w:rFonts w:ascii="Times New Roman" w:hAnsi="Times New Roman" w:cs="Times New Roman"/>
          <w:sz w:val="24"/>
          <w:szCs w:val="24"/>
        </w:rPr>
        <w:t>.</w:t>
      </w:r>
      <w:r w:rsidR="003930FC" w:rsidRPr="00EC6C19">
        <w:rPr>
          <w:rFonts w:ascii="Times New Roman" w:hAnsi="Times New Roman" w:cs="Times New Roman"/>
          <w:sz w:val="24"/>
          <w:szCs w:val="24"/>
        </w:rPr>
        <w:t xml:space="preserve"> </w:t>
      </w:r>
      <w:r w:rsidR="003D35F9" w:rsidRPr="00EC6C19">
        <w:rPr>
          <w:rFonts w:ascii="Times New Roman" w:hAnsi="Times New Roman" w:cs="Times New Roman"/>
          <w:sz w:val="24"/>
          <w:szCs w:val="24"/>
        </w:rPr>
        <w:t>This means that</w:t>
      </w:r>
      <w:r w:rsidRPr="00EC6C19">
        <w:rPr>
          <w:rFonts w:ascii="Times New Roman" w:hAnsi="Times New Roman" w:cs="Times New Roman"/>
          <w:sz w:val="24"/>
          <w:szCs w:val="24"/>
        </w:rPr>
        <w:t xml:space="preserve"> FFR that is confounded by hydrostatic </w:t>
      </w:r>
      <w:r w:rsidR="008B054A" w:rsidRPr="00EC6C19">
        <w:rPr>
          <w:rFonts w:ascii="Times New Roman" w:hAnsi="Times New Roman" w:cs="Times New Roman"/>
          <w:sz w:val="24"/>
          <w:szCs w:val="24"/>
        </w:rPr>
        <w:t>pressure and</w:t>
      </w:r>
      <w:r w:rsidR="003D35F9" w:rsidRPr="00EC6C19">
        <w:rPr>
          <w:rFonts w:ascii="Times New Roman" w:hAnsi="Times New Roman" w:cs="Times New Roman"/>
          <w:sz w:val="24"/>
          <w:szCs w:val="24"/>
        </w:rPr>
        <w:t xml:space="preserve"> does not convey </w:t>
      </w:r>
      <w:r w:rsidRPr="00EC6C19">
        <w:rPr>
          <w:rFonts w:ascii="Times New Roman" w:hAnsi="Times New Roman" w:cs="Times New Roman"/>
          <w:sz w:val="24"/>
          <w:szCs w:val="24"/>
        </w:rPr>
        <w:t>a true change in coronary physiology</w:t>
      </w:r>
      <w:r w:rsidR="00031B2E" w:rsidRPr="00EC6C19">
        <w:rPr>
          <w:rFonts w:ascii="Times New Roman" w:hAnsi="Times New Roman" w:cs="Times New Roman"/>
          <w:sz w:val="24"/>
          <w:szCs w:val="24"/>
        </w:rPr>
        <w:t xml:space="preserve"> according to doppler flow</w:t>
      </w:r>
      <w:r w:rsidRPr="00EC6C19">
        <w:rPr>
          <w:rFonts w:ascii="Times New Roman" w:hAnsi="Times New Roman" w:cs="Times New Roman"/>
          <w:sz w:val="24"/>
          <w:szCs w:val="24"/>
        </w:rPr>
        <w:t>.</w:t>
      </w:r>
    </w:p>
    <w:p w14:paraId="72AD75D4" w14:textId="3C372927" w:rsidR="004510FB" w:rsidRPr="00EC6C19" w:rsidRDefault="003D35F9" w:rsidP="0035783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same is seen with circumflex artery measurements, but in reverse. In supine measurements, one lesion out of seven </w:t>
      </w:r>
      <w:r w:rsidR="00DE5A27" w:rsidRPr="00EC6C19">
        <w:rPr>
          <w:rFonts w:ascii="Times New Roman" w:hAnsi="Times New Roman" w:cs="Times New Roman"/>
          <w:sz w:val="24"/>
          <w:szCs w:val="24"/>
        </w:rPr>
        <w:t>demonstrated</w:t>
      </w:r>
      <w:r w:rsidRPr="00EC6C19">
        <w:rPr>
          <w:rFonts w:ascii="Times New Roman" w:hAnsi="Times New Roman" w:cs="Times New Roman"/>
          <w:sz w:val="24"/>
          <w:szCs w:val="24"/>
        </w:rPr>
        <w:t xml:space="preserve"> an abnormal FFR, whereas three out of seven measurements were abnormal when prone. </w:t>
      </w:r>
      <w:r w:rsidR="008B054A" w:rsidRPr="00EC6C19">
        <w:rPr>
          <w:rFonts w:ascii="Times New Roman" w:hAnsi="Times New Roman" w:cs="Times New Roman"/>
          <w:sz w:val="24"/>
          <w:szCs w:val="24"/>
        </w:rPr>
        <w:t>The circumflex artery</w:t>
      </w:r>
      <w:r w:rsidRPr="00EC6C19">
        <w:rPr>
          <w:rFonts w:ascii="Times New Roman" w:hAnsi="Times New Roman" w:cs="Times New Roman"/>
          <w:sz w:val="24"/>
          <w:szCs w:val="24"/>
        </w:rPr>
        <w:t xml:space="preserve"> has been positioned superiorly </w:t>
      </w:r>
      <w:r w:rsidR="00D40C34">
        <w:rPr>
          <w:rFonts w:ascii="Times New Roman" w:hAnsi="Times New Roman" w:cs="Times New Roman"/>
          <w:sz w:val="24"/>
          <w:szCs w:val="24"/>
        </w:rPr>
        <w:t>in an 'LAD position'</w:t>
      </w:r>
      <w:r w:rsidRPr="00EC6C19">
        <w:rPr>
          <w:rFonts w:ascii="Times New Roman" w:hAnsi="Times New Roman" w:cs="Times New Roman"/>
          <w:sz w:val="24"/>
          <w:szCs w:val="24"/>
        </w:rPr>
        <w:t>, when the patient is prone</w:t>
      </w:r>
      <w:r w:rsidR="00A10BBA" w:rsidRPr="00EC6C19">
        <w:rPr>
          <w:rFonts w:ascii="Times New Roman" w:hAnsi="Times New Roman" w:cs="Times New Roman"/>
          <w:sz w:val="24"/>
          <w:szCs w:val="24"/>
        </w:rPr>
        <w:t>,</w:t>
      </w:r>
      <w:r w:rsidR="00D40C34">
        <w:rPr>
          <w:rFonts w:ascii="Times New Roman" w:hAnsi="Times New Roman" w:cs="Times New Roman"/>
          <w:sz w:val="24"/>
          <w:szCs w:val="24"/>
        </w:rPr>
        <w:t xml:space="preserve"> in turn reducing</w:t>
      </w:r>
      <w:r w:rsidR="00A10BBA" w:rsidRPr="00EC6C19">
        <w:rPr>
          <w:rFonts w:ascii="Times New Roman" w:hAnsi="Times New Roman" w:cs="Times New Roman"/>
          <w:sz w:val="24"/>
          <w:szCs w:val="24"/>
        </w:rPr>
        <w:t xml:space="preserve"> FFR</w:t>
      </w:r>
      <w:r w:rsidRPr="00EC6C19">
        <w:rPr>
          <w:rFonts w:ascii="Times New Roman" w:hAnsi="Times New Roman" w:cs="Times New Roman"/>
          <w:sz w:val="24"/>
          <w:szCs w:val="24"/>
        </w:rPr>
        <w:t>.</w:t>
      </w:r>
      <w:r w:rsidR="00A10BBA" w:rsidRPr="00EC6C19">
        <w:rPr>
          <w:rFonts w:ascii="Times New Roman" w:hAnsi="Times New Roman" w:cs="Times New Roman"/>
          <w:sz w:val="24"/>
          <w:szCs w:val="24"/>
        </w:rPr>
        <w:t xml:space="preserve"> Anecdotally, the phrase 'the circumflex is always negative</w:t>
      </w:r>
      <w:r w:rsidR="00D82223" w:rsidRPr="00EC6C19">
        <w:rPr>
          <w:rFonts w:ascii="Times New Roman" w:hAnsi="Times New Roman" w:cs="Times New Roman"/>
          <w:sz w:val="24"/>
          <w:szCs w:val="24"/>
        </w:rPr>
        <w:t>!</w:t>
      </w:r>
      <w:r w:rsidR="00A10BBA" w:rsidRPr="00EC6C19">
        <w:rPr>
          <w:rFonts w:ascii="Times New Roman" w:hAnsi="Times New Roman" w:cs="Times New Roman"/>
          <w:sz w:val="24"/>
          <w:szCs w:val="24"/>
        </w:rPr>
        <w:t xml:space="preserve">' is often heard amongst interventional cardiologists. </w:t>
      </w:r>
      <w:r w:rsidR="00D40C34">
        <w:rPr>
          <w:rFonts w:ascii="Times New Roman" w:hAnsi="Times New Roman" w:cs="Times New Roman"/>
          <w:sz w:val="24"/>
          <w:szCs w:val="24"/>
        </w:rPr>
        <w:t>This research may provide an explanation</w:t>
      </w:r>
      <w:r w:rsidR="008B054A">
        <w:rPr>
          <w:rFonts w:ascii="Times New Roman" w:hAnsi="Times New Roman" w:cs="Times New Roman"/>
          <w:sz w:val="24"/>
          <w:szCs w:val="24"/>
        </w:rPr>
        <w:t>.</w:t>
      </w:r>
    </w:p>
    <w:p w14:paraId="038E43AD" w14:textId="2B328387" w:rsidR="007643C9" w:rsidRDefault="00BC5B03" w:rsidP="00870AA2">
      <w:pPr>
        <w:spacing w:line="360" w:lineRule="auto"/>
        <w:rPr>
          <w:rFonts w:ascii="Times New Roman" w:hAnsi="Times New Roman" w:cs="Times New Roman"/>
          <w:sz w:val="24"/>
          <w:szCs w:val="24"/>
        </w:rPr>
      </w:pPr>
      <w:r>
        <w:rPr>
          <w:rFonts w:ascii="Times New Roman" w:hAnsi="Times New Roman" w:cs="Times New Roman"/>
          <w:sz w:val="24"/>
          <w:szCs w:val="24"/>
        </w:rPr>
        <w:t>It is noted that t</w:t>
      </w:r>
      <w:r w:rsidR="00870AA2" w:rsidRPr="00EC6C19">
        <w:rPr>
          <w:rFonts w:ascii="Times New Roman" w:hAnsi="Times New Roman" w:cs="Times New Roman"/>
          <w:sz w:val="24"/>
          <w:szCs w:val="24"/>
        </w:rPr>
        <w:t xml:space="preserve">he </w:t>
      </w:r>
      <w:r w:rsidR="008F6E2E" w:rsidRPr="00EC6C19">
        <w:rPr>
          <w:rFonts w:ascii="Times New Roman" w:hAnsi="Times New Roman" w:cs="Times New Roman"/>
          <w:sz w:val="24"/>
          <w:szCs w:val="24"/>
        </w:rPr>
        <w:t>overall change</w:t>
      </w:r>
      <w:r w:rsidR="00870AA2" w:rsidRPr="00EC6C19">
        <w:rPr>
          <w:rFonts w:ascii="Times New Roman" w:hAnsi="Times New Roman" w:cs="Times New Roman"/>
          <w:sz w:val="24"/>
          <w:szCs w:val="24"/>
        </w:rPr>
        <w:t xml:space="preserve"> is small (0.05 as a maximum) and that clinicians should use FFR as a diagnostic aid</w:t>
      </w:r>
      <w:r w:rsidR="008F6E2E" w:rsidRPr="00EC6C19">
        <w:rPr>
          <w:rFonts w:ascii="Times New Roman" w:hAnsi="Times New Roman" w:cs="Times New Roman"/>
          <w:sz w:val="24"/>
          <w:szCs w:val="24"/>
        </w:rPr>
        <w:t xml:space="preserve"> alongside clinical judgment</w:t>
      </w:r>
      <w:r w:rsidR="00886179" w:rsidRPr="00EC6C19">
        <w:rPr>
          <w:rFonts w:ascii="Times New Roman" w:hAnsi="Times New Roman" w:cs="Times New Roman"/>
          <w:sz w:val="24"/>
          <w:szCs w:val="24"/>
        </w:rPr>
        <w:t>. FFR alone should</w:t>
      </w:r>
      <w:r w:rsidR="00870AA2" w:rsidRPr="00EC6C19">
        <w:rPr>
          <w:rFonts w:ascii="Times New Roman" w:hAnsi="Times New Roman" w:cs="Times New Roman"/>
          <w:sz w:val="24"/>
          <w:szCs w:val="24"/>
        </w:rPr>
        <w:t xml:space="preserve"> not</w:t>
      </w:r>
      <w:r w:rsidR="00886179" w:rsidRPr="00EC6C19">
        <w:rPr>
          <w:rFonts w:ascii="Times New Roman" w:hAnsi="Times New Roman" w:cs="Times New Roman"/>
          <w:sz w:val="24"/>
          <w:szCs w:val="24"/>
        </w:rPr>
        <w:t xml:space="preserve"> be </w:t>
      </w:r>
      <w:r w:rsidR="00B87EF8" w:rsidRPr="00EC6C19">
        <w:rPr>
          <w:rFonts w:ascii="Times New Roman" w:hAnsi="Times New Roman" w:cs="Times New Roman"/>
          <w:sz w:val="24"/>
          <w:szCs w:val="24"/>
        </w:rPr>
        <w:t>used to</w:t>
      </w:r>
      <w:r w:rsidR="008F6E2E" w:rsidRPr="00EC6C19">
        <w:rPr>
          <w:rFonts w:ascii="Times New Roman" w:hAnsi="Times New Roman" w:cs="Times New Roman"/>
          <w:sz w:val="24"/>
          <w:szCs w:val="24"/>
        </w:rPr>
        <w:t xml:space="preserve"> provide a binary decision on tre</w:t>
      </w:r>
      <w:r>
        <w:rPr>
          <w:rFonts w:ascii="Times New Roman" w:hAnsi="Times New Roman" w:cs="Times New Roman"/>
          <w:sz w:val="24"/>
          <w:szCs w:val="24"/>
        </w:rPr>
        <w:t>atment strategy. C</w:t>
      </w:r>
      <w:r w:rsidR="008F6E2E" w:rsidRPr="00EC6C19">
        <w:rPr>
          <w:rFonts w:ascii="Times New Roman" w:hAnsi="Times New Roman" w:cs="Times New Roman"/>
          <w:sz w:val="24"/>
          <w:szCs w:val="24"/>
        </w:rPr>
        <w:t xml:space="preserve">linical judgement </w:t>
      </w:r>
      <w:r w:rsidR="006951B7" w:rsidRPr="00EC6C19">
        <w:rPr>
          <w:rFonts w:ascii="Times New Roman" w:hAnsi="Times New Roman" w:cs="Times New Roman"/>
          <w:sz w:val="24"/>
          <w:szCs w:val="24"/>
        </w:rPr>
        <w:t xml:space="preserve">and decision making </w:t>
      </w:r>
      <w:r w:rsidR="008F6E2E" w:rsidRPr="00EC6C19">
        <w:rPr>
          <w:rFonts w:ascii="Times New Roman" w:hAnsi="Times New Roman" w:cs="Times New Roman"/>
          <w:sz w:val="24"/>
          <w:szCs w:val="24"/>
        </w:rPr>
        <w:t xml:space="preserve">would be </w:t>
      </w:r>
      <w:r w:rsidR="00886179" w:rsidRPr="00EC6C19">
        <w:rPr>
          <w:rFonts w:ascii="Times New Roman" w:hAnsi="Times New Roman" w:cs="Times New Roman"/>
          <w:sz w:val="24"/>
          <w:szCs w:val="24"/>
        </w:rPr>
        <w:t>simplified</w:t>
      </w:r>
      <w:r>
        <w:rPr>
          <w:rFonts w:ascii="Times New Roman" w:hAnsi="Times New Roman" w:cs="Times New Roman"/>
          <w:sz w:val="24"/>
          <w:szCs w:val="24"/>
        </w:rPr>
        <w:t xml:space="preserve"> however</w:t>
      </w:r>
      <w:r w:rsidR="008F6E2E" w:rsidRPr="00EC6C19">
        <w:rPr>
          <w:rFonts w:ascii="Times New Roman" w:hAnsi="Times New Roman" w:cs="Times New Roman"/>
          <w:sz w:val="24"/>
          <w:szCs w:val="24"/>
        </w:rPr>
        <w:t xml:space="preserve"> if FFR measur</w:t>
      </w:r>
      <w:r w:rsidR="006951B7" w:rsidRPr="00EC6C19">
        <w:rPr>
          <w:rFonts w:ascii="Times New Roman" w:hAnsi="Times New Roman" w:cs="Times New Roman"/>
          <w:sz w:val="24"/>
          <w:szCs w:val="24"/>
        </w:rPr>
        <w:t>ements across a given stenosis were</w:t>
      </w:r>
      <w:r w:rsidR="008F6E2E" w:rsidRPr="00EC6C19">
        <w:rPr>
          <w:rFonts w:ascii="Times New Roman" w:hAnsi="Times New Roman" w:cs="Times New Roman"/>
          <w:sz w:val="24"/>
          <w:szCs w:val="24"/>
        </w:rPr>
        <w:t xml:space="preserve"> as accurate as possible. Hydrostatic pressure is one of many potential confounding factors and </w:t>
      </w:r>
      <w:r>
        <w:rPr>
          <w:rFonts w:ascii="Times New Roman" w:hAnsi="Times New Roman" w:cs="Times New Roman"/>
          <w:sz w:val="24"/>
          <w:szCs w:val="24"/>
        </w:rPr>
        <w:t xml:space="preserve">eliminating </w:t>
      </w:r>
      <w:r w:rsidR="008F6E2E" w:rsidRPr="00EC6C19">
        <w:rPr>
          <w:rFonts w:ascii="Times New Roman" w:hAnsi="Times New Roman" w:cs="Times New Roman"/>
          <w:sz w:val="24"/>
          <w:szCs w:val="24"/>
        </w:rPr>
        <w:t>these will provide the best</w:t>
      </w:r>
      <w:r w:rsidR="006951B7" w:rsidRPr="00EC6C19">
        <w:rPr>
          <w:rFonts w:ascii="Times New Roman" w:hAnsi="Times New Roman" w:cs="Times New Roman"/>
          <w:sz w:val="24"/>
          <w:szCs w:val="24"/>
        </w:rPr>
        <w:t xml:space="preserve"> clinical assessment possible.</w:t>
      </w:r>
      <w:r w:rsidR="00D82223" w:rsidRPr="00EC6C19">
        <w:rPr>
          <w:rFonts w:ascii="Times New Roman" w:hAnsi="Times New Roman" w:cs="Times New Roman"/>
          <w:sz w:val="24"/>
          <w:szCs w:val="24"/>
        </w:rPr>
        <w:t xml:space="preserve"> </w:t>
      </w:r>
    </w:p>
    <w:p w14:paraId="03C6E87E" w14:textId="77777777" w:rsidR="00163E4E" w:rsidRPr="008065E7" w:rsidRDefault="008065E7" w:rsidP="008065E7">
      <w:pPr>
        <w:pStyle w:val="Heading3"/>
        <w:rPr>
          <w:rFonts w:ascii="Times New Roman" w:hAnsi="Times New Roman" w:cs="Times New Roman"/>
          <w:b w:val="0"/>
          <w:i/>
          <w:color w:val="auto"/>
          <w:sz w:val="24"/>
          <w:szCs w:val="24"/>
        </w:rPr>
      </w:pPr>
      <w:bookmarkStart w:id="230" w:name="_Toc80302284"/>
      <w:r w:rsidRPr="008065E7">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7</w:t>
      </w:r>
      <w:r w:rsidRPr="008065E7">
        <w:rPr>
          <w:rFonts w:ascii="Times New Roman" w:hAnsi="Times New Roman" w:cs="Times New Roman"/>
          <w:b w:val="0"/>
          <w:i/>
          <w:color w:val="auto"/>
          <w:sz w:val="24"/>
          <w:szCs w:val="24"/>
        </w:rPr>
        <w:t xml:space="preserve">.2 - </w:t>
      </w:r>
      <w:r w:rsidR="00163E4E" w:rsidRPr="008065E7">
        <w:rPr>
          <w:rFonts w:ascii="Times New Roman" w:hAnsi="Times New Roman" w:cs="Times New Roman"/>
          <w:b w:val="0"/>
          <w:i/>
          <w:color w:val="auto"/>
          <w:sz w:val="24"/>
          <w:szCs w:val="24"/>
        </w:rPr>
        <w:t>Clinical Measurement Point</w:t>
      </w:r>
      <w:bookmarkEnd w:id="230"/>
      <w:r>
        <w:rPr>
          <w:rFonts w:ascii="Times New Roman" w:hAnsi="Times New Roman" w:cs="Times New Roman"/>
          <w:b w:val="0"/>
          <w:i/>
          <w:color w:val="auto"/>
          <w:sz w:val="24"/>
          <w:szCs w:val="24"/>
        </w:rPr>
        <w:br/>
      </w:r>
    </w:p>
    <w:p w14:paraId="00D1D66F" w14:textId="77777777" w:rsidR="00163E4E" w:rsidRPr="003C3FAC" w:rsidRDefault="00163E4E" w:rsidP="00163E4E">
      <w:pPr>
        <w:spacing w:line="360" w:lineRule="auto"/>
        <w:rPr>
          <w:rFonts w:ascii="Times New Roman" w:hAnsi="Times New Roman" w:cs="Times New Roman"/>
          <w:i/>
          <w:sz w:val="24"/>
          <w:szCs w:val="24"/>
          <w:u w:val="single"/>
        </w:rPr>
      </w:pPr>
    </w:p>
    <w:p w14:paraId="0D1C1DB2" w14:textId="77777777" w:rsidR="00163E4E" w:rsidRPr="00EC6C19" w:rsidRDefault="00163E4E" w:rsidP="00163E4E">
      <w:pPr>
        <w:spacing w:line="360" w:lineRule="auto"/>
        <w:rPr>
          <w:rFonts w:ascii="Times New Roman" w:hAnsi="Times New Roman" w:cs="Times New Roman"/>
          <w:sz w:val="24"/>
          <w:szCs w:val="24"/>
        </w:rPr>
      </w:pPr>
      <w:r>
        <w:rPr>
          <w:rFonts w:ascii="Times New Roman" w:hAnsi="Times New Roman" w:cs="Times New Roman"/>
          <w:sz w:val="24"/>
          <w:szCs w:val="24"/>
        </w:rPr>
        <w:t>The LAD clinical measurement point group was the only artery subgroup</w:t>
      </w:r>
      <w:r w:rsidRPr="003C3FAC">
        <w:rPr>
          <w:rFonts w:ascii="Times New Roman" w:hAnsi="Times New Roman" w:cs="Times New Roman"/>
          <w:sz w:val="24"/>
          <w:szCs w:val="24"/>
        </w:rPr>
        <w:t xml:space="preserve"> to have adequate</w:t>
      </w:r>
      <w:r>
        <w:rPr>
          <w:rFonts w:ascii="Times New Roman" w:hAnsi="Times New Roman" w:cs="Times New Roman"/>
          <w:sz w:val="24"/>
          <w:szCs w:val="24"/>
        </w:rPr>
        <w:t xml:space="preserve"> numbers for</w:t>
      </w:r>
      <w:r w:rsidRPr="003C3FAC">
        <w:rPr>
          <w:rFonts w:ascii="Times New Roman" w:hAnsi="Times New Roman" w:cs="Times New Roman"/>
          <w:sz w:val="24"/>
          <w:szCs w:val="24"/>
        </w:rPr>
        <w:t xml:space="preserve"> statistical power. The results were statistically significant</w:t>
      </w:r>
      <w:r>
        <w:rPr>
          <w:rFonts w:ascii="Times New Roman" w:hAnsi="Times New Roman" w:cs="Times New Roman"/>
          <w:sz w:val="24"/>
          <w:szCs w:val="24"/>
        </w:rPr>
        <w:t xml:space="preserve"> with a delta change of 0.06 between prone and supine measurements</w:t>
      </w:r>
      <w:r w:rsidRPr="003C3FAC">
        <w:rPr>
          <w:rFonts w:ascii="Times New Roman" w:hAnsi="Times New Roman" w:cs="Times New Roman"/>
          <w:sz w:val="24"/>
          <w:szCs w:val="24"/>
        </w:rPr>
        <w:t xml:space="preserve">. </w:t>
      </w:r>
      <w:r>
        <w:rPr>
          <w:rFonts w:ascii="Times New Roman" w:hAnsi="Times New Roman" w:cs="Times New Roman"/>
          <w:sz w:val="24"/>
          <w:szCs w:val="24"/>
        </w:rPr>
        <w:t>Hydrostatic effects appear relevent even in more proximal portions of vessel.</w:t>
      </w:r>
      <w:r w:rsidRPr="003814DD">
        <w:rPr>
          <w:rFonts w:ascii="Times New Roman" w:hAnsi="Times New Roman" w:cs="Times New Roman"/>
          <w:sz w:val="24"/>
          <w:szCs w:val="24"/>
        </w:rPr>
        <w:t xml:space="preserve"> </w:t>
      </w:r>
      <w:r w:rsidRPr="003C3FAC">
        <w:rPr>
          <w:rFonts w:ascii="Times New Roman" w:hAnsi="Times New Roman" w:cs="Times New Roman"/>
          <w:sz w:val="24"/>
          <w:szCs w:val="24"/>
        </w:rPr>
        <w:t>The clinical measurement data points in the LAD, all correlated correctly with the anticipated direction of change.</w:t>
      </w:r>
    </w:p>
    <w:p w14:paraId="0AABE014" w14:textId="77777777" w:rsidR="00163E4E" w:rsidRPr="00EC6C19" w:rsidRDefault="00163E4E" w:rsidP="00163E4E">
      <w:pPr>
        <w:spacing w:line="360" w:lineRule="auto"/>
        <w:rPr>
          <w:rFonts w:ascii="Times New Roman" w:hAnsi="Times New Roman" w:cs="Times New Roman"/>
          <w:sz w:val="24"/>
          <w:szCs w:val="24"/>
        </w:rPr>
      </w:pPr>
      <w:r w:rsidRPr="003C3FAC">
        <w:rPr>
          <w:rFonts w:ascii="Times New Roman" w:hAnsi="Times New Roman" w:cs="Times New Roman"/>
          <w:sz w:val="24"/>
          <w:szCs w:val="24"/>
        </w:rPr>
        <w:t xml:space="preserve">Guide to wire height at the clinical measurement point would have been a useful addition to the data set. Acquiring </w:t>
      </w:r>
      <w:r>
        <w:rPr>
          <w:rFonts w:ascii="Times New Roman" w:hAnsi="Times New Roman" w:cs="Times New Roman"/>
          <w:sz w:val="24"/>
          <w:szCs w:val="24"/>
        </w:rPr>
        <w:t>this</w:t>
      </w:r>
      <w:r w:rsidRPr="003C3FAC">
        <w:rPr>
          <w:rFonts w:ascii="Times New Roman" w:hAnsi="Times New Roman" w:cs="Times New Roman"/>
          <w:sz w:val="24"/>
          <w:szCs w:val="24"/>
        </w:rPr>
        <w:t xml:space="preserve"> during hyperaemic pullback would need ethical re-approval, given the time taken to acquire an acceptable left lateral image during adenosine infusion.</w:t>
      </w:r>
      <w:r>
        <w:rPr>
          <w:rFonts w:ascii="Times New Roman" w:hAnsi="Times New Roman" w:cs="Times New Roman"/>
          <w:sz w:val="24"/>
          <w:szCs w:val="24"/>
        </w:rPr>
        <w:t xml:space="preserve"> This would also expose the patient to a larger infusion of adenosine.</w:t>
      </w:r>
      <w:r w:rsidRPr="003C3FAC">
        <w:rPr>
          <w:rFonts w:ascii="Times New Roman" w:hAnsi="Times New Roman" w:cs="Times New Roman"/>
          <w:sz w:val="24"/>
          <w:szCs w:val="24"/>
        </w:rPr>
        <w:t xml:space="preserve"> Realistically, the study protocol would require two pressure wire measurements per artery, per position (clinical and distal, prone and supine), meaning four pressure wire measurements per lesion. Ethically, this was not </w:t>
      </w:r>
      <w:r>
        <w:rPr>
          <w:rFonts w:ascii="Times New Roman" w:hAnsi="Times New Roman" w:cs="Times New Roman"/>
          <w:sz w:val="24"/>
          <w:szCs w:val="24"/>
        </w:rPr>
        <w:t>covered in the initial approval.</w:t>
      </w:r>
    </w:p>
    <w:p w14:paraId="7EC016E5" w14:textId="77777777" w:rsidR="00886179" w:rsidRPr="00EC6C19" w:rsidRDefault="00886179" w:rsidP="00870AA2">
      <w:pPr>
        <w:spacing w:line="360" w:lineRule="auto"/>
        <w:rPr>
          <w:rFonts w:ascii="Times New Roman" w:hAnsi="Times New Roman" w:cs="Times New Roman"/>
          <w:sz w:val="24"/>
          <w:szCs w:val="24"/>
        </w:rPr>
      </w:pPr>
    </w:p>
    <w:p w14:paraId="2A3B5D85" w14:textId="77777777" w:rsidR="00E5167E" w:rsidRPr="008065E7" w:rsidRDefault="008065E7" w:rsidP="008065E7">
      <w:pPr>
        <w:pStyle w:val="Heading3"/>
        <w:rPr>
          <w:rFonts w:ascii="Times New Roman" w:hAnsi="Times New Roman" w:cs="Times New Roman"/>
          <w:b w:val="0"/>
          <w:i/>
          <w:color w:val="auto"/>
          <w:sz w:val="24"/>
          <w:szCs w:val="24"/>
        </w:rPr>
      </w:pPr>
      <w:bookmarkStart w:id="231" w:name="_Toc80302285"/>
      <w:r w:rsidRPr="008065E7">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7</w:t>
      </w:r>
      <w:r w:rsidRPr="008065E7">
        <w:rPr>
          <w:rFonts w:ascii="Times New Roman" w:hAnsi="Times New Roman" w:cs="Times New Roman"/>
          <w:b w:val="0"/>
          <w:i/>
          <w:color w:val="auto"/>
          <w:sz w:val="24"/>
          <w:szCs w:val="24"/>
        </w:rPr>
        <w:t xml:space="preserve">.3 - </w:t>
      </w:r>
      <w:r w:rsidR="00886179" w:rsidRPr="008065E7">
        <w:rPr>
          <w:rFonts w:ascii="Times New Roman" w:hAnsi="Times New Roman" w:cs="Times New Roman"/>
          <w:b w:val="0"/>
          <w:i/>
          <w:color w:val="auto"/>
          <w:sz w:val="24"/>
          <w:szCs w:val="24"/>
        </w:rPr>
        <w:t>Statistical Significance versus Clinical Significance</w:t>
      </w:r>
      <w:bookmarkEnd w:id="231"/>
      <w:r>
        <w:rPr>
          <w:rFonts w:ascii="Times New Roman" w:hAnsi="Times New Roman" w:cs="Times New Roman"/>
          <w:b w:val="0"/>
          <w:i/>
          <w:color w:val="auto"/>
          <w:sz w:val="24"/>
          <w:szCs w:val="24"/>
        </w:rPr>
        <w:br/>
      </w:r>
    </w:p>
    <w:p w14:paraId="427F7F06" w14:textId="77777777" w:rsidR="00E5167E" w:rsidRPr="00EC6C19" w:rsidRDefault="00E5167E" w:rsidP="00870AA2">
      <w:pPr>
        <w:spacing w:line="360" w:lineRule="auto"/>
        <w:rPr>
          <w:rFonts w:ascii="Times New Roman" w:hAnsi="Times New Roman" w:cs="Times New Roman"/>
          <w:i/>
          <w:sz w:val="24"/>
          <w:szCs w:val="24"/>
        </w:rPr>
      </w:pPr>
    </w:p>
    <w:p w14:paraId="3038DC80" w14:textId="1F97462F" w:rsidR="002650E1" w:rsidRDefault="00163E4E" w:rsidP="002650E1">
      <w:pPr>
        <w:spacing w:line="360" w:lineRule="auto"/>
        <w:rPr>
          <w:rFonts w:ascii="Times New Roman" w:hAnsi="Times New Roman" w:cs="Times New Roman"/>
          <w:sz w:val="24"/>
          <w:szCs w:val="24"/>
        </w:rPr>
      </w:pPr>
      <w:r>
        <w:rPr>
          <w:rFonts w:ascii="Times New Roman" w:hAnsi="Times New Roman" w:cs="Times New Roman"/>
          <w:sz w:val="24"/>
          <w:szCs w:val="24"/>
        </w:rPr>
        <w:t>Despite a</w:t>
      </w:r>
      <w:r w:rsidR="00E5167E" w:rsidRPr="00EC6C19">
        <w:rPr>
          <w:rFonts w:ascii="Times New Roman" w:hAnsi="Times New Roman" w:cs="Times New Roman"/>
          <w:sz w:val="24"/>
          <w:szCs w:val="24"/>
        </w:rPr>
        <w:t xml:space="preserve"> change of 0.05-0.06 in </w:t>
      </w:r>
      <w:r w:rsidR="008B054A" w:rsidRPr="00EC6C19">
        <w:rPr>
          <w:rFonts w:ascii="Times New Roman" w:hAnsi="Times New Roman" w:cs="Times New Roman"/>
          <w:sz w:val="24"/>
          <w:szCs w:val="24"/>
        </w:rPr>
        <w:t>pressur</w:t>
      </w:r>
      <w:r w:rsidR="008B054A">
        <w:rPr>
          <w:rFonts w:ascii="Times New Roman" w:hAnsi="Times New Roman" w:cs="Times New Roman"/>
          <w:sz w:val="24"/>
          <w:szCs w:val="24"/>
        </w:rPr>
        <w:t>e-</w:t>
      </w:r>
      <w:r w:rsidR="00BC5B03">
        <w:rPr>
          <w:rFonts w:ascii="Times New Roman" w:hAnsi="Times New Roman" w:cs="Times New Roman"/>
          <w:sz w:val="24"/>
          <w:szCs w:val="24"/>
        </w:rPr>
        <w:t>based</w:t>
      </w:r>
      <w:r>
        <w:rPr>
          <w:rFonts w:ascii="Times New Roman" w:hAnsi="Times New Roman" w:cs="Times New Roman"/>
          <w:sz w:val="24"/>
          <w:szCs w:val="24"/>
        </w:rPr>
        <w:t xml:space="preserve"> indices</w:t>
      </w:r>
      <w:r w:rsidR="00BC5B03">
        <w:rPr>
          <w:rFonts w:ascii="Times New Roman" w:hAnsi="Times New Roman" w:cs="Times New Roman"/>
          <w:sz w:val="24"/>
          <w:szCs w:val="24"/>
        </w:rPr>
        <w:t xml:space="preserve"> </w:t>
      </w:r>
      <w:r>
        <w:rPr>
          <w:rFonts w:ascii="Times New Roman" w:hAnsi="Times New Roman" w:cs="Times New Roman"/>
          <w:sz w:val="24"/>
          <w:szCs w:val="24"/>
        </w:rPr>
        <w:t>being</w:t>
      </w:r>
      <w:r w:rsidR="00BC5B03">
        <w:rPr>
          <w:rFonts w:ascii="Times New Roman" w:hAnsi="Times New Roman" w:cs="Times New Roman"/>
          <w:sz w:val="24"/>
          <w:szCs w:val="24"/>
        </w:rPr>
        <w:t xml:space="preserve"> statistical</w:t>
      </w:r>
      <w:r>
        <w:rPr>
          <w:rFonts w:ascii="Times New Roman" w:hAnsi="Times New Roman" w:cs="Times New Roman"/>
          <w:sz w:val="24"/>
          <w:szCs w:val="24"/>
        </w:rPr>
        <w:t>ly significant, cl</w:t>
      </w:r>
      <w:r w:rsidR="00BC5B03">
        <w:rPr>
          <w:rFonts w:ascii="Times New Roman" w:hAnsi="Times New Roman" w:cs="Times New Roman"/>
          <w:sz w:val="24"/>
          <w:szCs w:val="24"/>
        </w:rPr>
        <w:t>inical significance and impact is harder to justify. A change of this magnitude</w:t>
      </w:r>
      <w:r w:rsidR="00E5167E" w:rsidRPr="00EC6C19">
        <w:rPr>
          <w:rFonts w:ascii="Times New Roman" w:hAnsi="Times New Roman" w:cs="Times New Roman"/>
          <w:sz w:val="24"/>
          <w:szCs w:val="24"/>
        </w:rPr>
        <w:t xml:space="preserve"> is 25% and 50% of the required trans</w:t>
      </w:r>
      <w:r w:rsidR="00B450F3">
        <w:rPr>
          <w:rFonts w:ascii="Times New Roman" w:hAnsi="Times New Roman" w:cs="Times New Roman"/>
          <w:sz w:val="24"/>
          <w:szCs w:val="24"/>
        </w:rPr>
        <w:t>-s</w:t>
      </w:r>
      <w:r w:rsidR="00E5167E" w:rsidRPr="00EC6C19">
        <w:rPr>
          <w:rFonts w:ascii="Times New Roman" w:hAnsi="Times New Roman" w:cs="Times New Roman"/>
          <w:sz w:val="24"/>
          <w:szCs w:val="24"/>
        </w:rPr>
        <w:t>tenotic gradient to class a lesion as significant using FFR and iFR respectively</w:t>
      </w:r>
      <w:r w:rsidR="002650E1">
        <w:rPr>
          <w:rFonts w:ascii="Times New Roman" w:hAnsi="Times New Roman" w:cs="Times New Roman"/>
          <w:sz w:val="24"/>
          <w:szCs w:val="24"/>
        </w:rPr>
        <w:t>.</w:t>
      </w:r>
      <w:r w:rsidR="002650E1" w:rsidRPr="002650E1">
        <w:rPr>
          <w:rFonts w:ascii="Times New Roman" w:hAnsi="Times New Roman" w:cs="Times New Roman"/>
          <w:sz w:val="24"/>
          <w:szCs w:val="24"/>
        </w:rPr>
        <w:t xml:space="preserve"> </w:t>
      </w:r>
      <w:r w:rsidR="002650E1" w:rsidRPr="00EC6C19">
        <w:rPr>
          <w:rFonts w:ascii="Times New Roman" w:hAnsi="Times New Roman" w:cs="Times New Roman"/>
          <w:sz w:val="24"/>
          <w:szCs w:val="24"/>
        </w:rPr>
        <w:t xml:space="preserve">A change of 0.06 re-classified 36% and 26% of lesions based on iFR and FFR respectively. Data from chapter II suggests that this number could be up to 46.5% in 'grey-zone' cases, i.e. those surrounding the threshold (0.75-0.85). </w:t>
      </w:r>
    </w:p>
    <w:p w14:paraId="106FF3BE" w14:textId="096C3F49" w:rsidR="00E8676C" w:rsidRPr="00EC6C19" w:rsidRDefault="00E8676C" w:rsidP="002650E1">
      <w:pPr>
        <w:spacing w:line="360" w:lineRule="auto"/>
        <w:rPr>
          <w:rFonts w:ascii="Times New Roman" w:hAnsi="Times New Roman" w:cs="Times New Roman"/>
          <w:sz w:val="24"/>
          <w:szCs w:val="24"/>
        </w:rPr>
      </w:pPr>
      <w:r>
        <w:rPr>
          <w:rFonts w:ascii="Times New Roman" w:hAnsi="Times New Roman" w:cs="Times New Roman"/>
          <w:sz w:val="24"/>
          <w:szCs w:val="24"/>
        </w:rPr>
        <w:t xml:space="preserve">Härle recently a published a similar study with smaller changes to Pd/Pa, iFR and FFR,  in a peer reviewed journal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{"citationID":"jxqscLLZ","properties":{"formattedCitation":"(H\\uc0\\u228{}rle et al., 2018)","plainCitation":"(Härle et al., 2018)","noteIndex":0},"citationItems":[{"id":622,"uris":["http://zotero.org/users/local/k67tNDdX/items/DLBTYZC8"],"uri":["http://zotero.org/users/local/k67tNDdX/items/DLBTYZC8"],"itemData":{"id":622,"type":"article-journal","abstract":"BACKGROUND: An influence of hydrostatic pressure on intracoronary indices of stenosis severity in vitro was recently reported. We sought to analyze the influence of hydrostatic pressure, caused by the height difference between the distal and proximal pressure sensor after guidewire positioning in the interrogated vessel, on intracoronary pressure measurements in vivo.\nMETHODS AND RESULTS: In 30 coronary stenoses, intracoronary pressure measurements were performed in supine, left, and right lateral patient position. Height differences between the distal and proximal pressure sensor were measured by blinded observers. Measurement results of the position with the highest (\"high\") and lowest height difference (\"low\") were compared. In group \"high\", all measured indices were higher: mean difference of fractional flow reserve (FFR) 0.045 (SD 0.033, 95% CI 0.033-0.057, p &lt; 0.0001), of instantaneous wave-free ratio (iFR) 0.043 (SD 0.04, 95% CI 0.029-0.057, p &lt; 0.0001), and of resting Pd/Pa 0.037 (SD 0.034, 95% CI 0.025-0.049, p &lt; 0.0001). Addition of the physically expectable hydrostatic pressure to the distal coronary pressures of the control group abolished the differences: corrected ∆FFR - 0.006 (SD 0.027, 95% CI - 0.015 to 0.004, p = 0.26), corrected ∆Pd/Pa - 0.008 (SD 0.03, 95% CI - 0.019 to 0.003, p = 0.18). Adjustment for hydrostatic pressure of FFR values in a standard supine position increased all values in anterior vessels and decreased all values in posterior vessels. The mean changes of FFR due to adjustment were: LAD - 0.048 (SD 0.016), CX 0.02 (SD 0.009), RCA 0.02 (SD 0.021). Dichotomous severity classification changed in 12.9% of stenoses.\nCONCLUSIONS: The study demonstrates a relevant influence of hydrostatic pressure on intracoronary indices of stenosis severity in vivo, caused by the height differences between distal and proximal pressure sensor.","container-title":"Clinical Research in Cardiology: Official Journal of the German Cardiac Society","DOI":"10.1007/s00392-017-1174-2","ISSN":"1861-0692","issue":"3","journalAbbreviation":"Clin Res Cardiol","language":"eng","note":"PMID: 29098379","page":"222-232","source":"PubMed","title":"Influence of hydrostatic pressure on intracoronary indices of stenosis severity in vivo","volume":"107","author":[{"family":"Härle","given":"Tobias"},{"family":"Luz","given":"Mareike"},{"family":"Meyer","given":"Sven"},{"family":"Vahldiek","given":"Felix"},{"family":"Harst","given":"Pim","non-dropping-particle":"van der"},{"family":"Dijk","given":"Randy","non-dropping-particle":"van"},{"family":"Ties","given":"Daan"},{"family":"Escaned","given":"Javier"},{"family":"Davies","given":"Justin"},{"family":"Elsässer","given":"Albrecht"}],"issued":{"date-parts":[["2018",3]]}}}],"schema":"https://github.com/citation-style-language/schema/raw/master/csl-citation.json"} </w:instrText>
      </w:r>
      <w:r w:rsidR="00106A32">
        <w:rPr>
          <w:rFonts w:ascii="Times New Roman" w:hAnsi="Times New Roman" w:cs="Times New Roman"/>
          <w:sz w:val="24"/>
          <w:szCs w:val="24"/>
        </w:rPr>
        <w:fldChar w:fldCharType="separate"/>
      </w:r>
      <w:r w:rsidRPr="00E8676C">
        <w:rPr>
          <w:rFonts w:ascii="Times New Roman" w:hAnsi="Times New Roman" w:cs="Times New Roman"/>
          <w:sz w:val="24"/>
          <w:szCs w:val="24"/>
        </w:rPr>
        <w:t>(Härle et al., 2018)</w:t>
      </w:r>
      <w:r w:rsidR="00106A32">
        <w:rPr>
          <w:rFonts w:ascii="Times New Roman" w:hAnsi="Times New Roman" w:cs="Times New Roman"/>
          <w:sz w:val="24"/>
          <w:szCs w:val="24"/>
        </w:rPr>
        <w:fldChar w:fldCharType="end"/>
      </w:r>
      <w:r>
        <w:rPr>
          <w:rFonts w:ascii="Times New Roman" w:hAnsi="Times New Roman" w:cs="Times New Roman"/>
          <w:sz w:val="24"/>
          <w:szCs w:val="24"/>
        </w:rPr>
        <w:t xml:space="preserve">. This is excellent news for the field of hydrostatic pressure </w:t>
      </w:r>
      <w:r w:rsidR="008B054A">
        <w:rPr>
          <w:rFonts w:ascii="Times New Roman" w:hAnsi="Times New Roman" w:cs="Times New Roman"/>
          <w:sz w:val="24"/>
          <w:szCs w:val="24"/>
        </w:rPr>
        <w:t>effect and</w:t>
      </w:r>
      <w:r>
        <w:rPr>
          <w:rFonts w:ascii="Times New Roman" w:hAnsi="Times New Roman" w:cs="Times New Roman"/>
          <w:sz w:val="24"/>
          <w:szCs w:val="24"/>
        </w:rPr>
        <w:t xml:space="preserve"> encouraging to see colleagues value such data. </w:t>
      </w:r>
    </w:p>
    <w:p w14:paraId="31E68050" w14:textId="77777777" w:rsidR="00F74DBB" w:rsidRPr="00EC6C19" w:rsidRDefault="00F74DBB" w:rsidP="00870AA2">
      <w:pPr>
        <w:spacing w:line="360" w:lineRule="auto"/>
        <w:rPr>
          <w:rFonts w:ascii="Times New Roman" w:hAnsi="Times New Roman" w:cs="Times New Roman"/>
          <w:sz w:val="24"/>
          <w:szCs w:val="24"/>
        </w:rPr>
      </w:pPr>
      <w:r w:rsidRPr="00EC6C19">
        <w:rPr>
          <w:rFonts w:ascii="Times New Roman" w:hAnsi="Times New Roman" w:cs="Times New Roman"/>
          <w:sz w:val="24"/>
          <w:szCs w:val="24"/>
        </w:rPr>
        <w:t>Recently, our institution showed that donor vessels to chronic total occlusions (CTO) increased FFR and iFR by 0.03 to 0.04 respectively after treatment of the CTO. This was accepted as significant by the scientific community and recently published</w:t>
      </w:r>
      <w:r w:rsidR="003930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{"citationID":"MU6fMbp8","properties":{"formattedCitation":"(Mohdnazri et al., 2018)","plainCitation":"(Mohdnazri et al., 2018)","noteIndex":0},"citationItems":[{"id":709,"uris":["http://zotero.org/users/local/k67tNDdX/items/FQH9KJ8G"],"uri":["http://zotero.org/users/local/k67tNDdX/items/FQH9KJ8G"],"itemData":{"id":709,"type":"article-journal","abstract":"OBJECTIVE: To investigate the immediate and short term impact of right coronary artery (RCA) chronic total coronary occlusion (CTO) percutaneous coronary intervention (PCI) upon collateral donor vessel fractional flow reserve (FFR) and instantaneous wave-free ratio (iFR).\nBACKGROUND: CTO PCI influences collateral donor vessel physiology, making the indication and/or timing of donor vessel revascularization difficult to determine.\nMETHODS: In patients with RCA CTO, FFR, iFR, and collateral function index (FFRcoll ) were measured in LAD and LCx pre-CTO PCI, immediately post and at 4 month follow-up.\nRESULTS: 34 patients underwent successful PCI. In the predominant donor vessel immediately post PCI, FFR, and FFRcoll did not change (0.76 ± 0.12 to 0.75 ± 0.13, P = 0.267 and 0.31 ± 0.10 vs. 0.34 ± 0.11, P = 0.078), but iFR increased significantly (0.86 ± 0.10 to 0.88 ± 0.10, P = 0.012). At follow-up, there was a significant increase in predominant donor FFR and iFR (0.76 ± 0.12 to 0.79 ± 0.11, P = 0.047 and 0.86 ± 0.10 to 0.90 ± 0.07, P = 0.003), accompanied by a significant reduction in FFRcoll (0.31 ± 0.10 to 0.18 ± 0.07 P &lt; 0.0001). These changes resulted in a reclassification of the predominant donor vessel from ischemic to nonischemic in 18% (FFR) and 25% (iFR) of the cases, respectively.\nCONCLUSIONS: Successful recanalization of an RCA CTO resulted in a modest but statistically significant increase in the predominant donor vessel immediately post CTO PCI in the case of iFR and at 4-month follow-up for FFR and iFR compared to pre-PCI with a concomitant reduction in collateral function.","container-title":"Catheterization and Cardiovascular Interventions: Official Journal of the Society for Cardiac Angiography &amp; Interventions","DOI":"10.1002/ccd.27587","ISSN":"1522-726X","journalAbbreviation":"Catheter Cardiovasc Interv","language":"eng","note":"PMID: 29569332","source":"PubMed","title":"The impact of coronary chronic total occlusion percutaneous coronary intervention upon donor vessel fractional flow reserve and instantaneous wave-free ratio: Implications for physiology-guided PCI in patients with CTO","title-short":"The impact of coronary chronic total occlusion percutaneous coronary intervention upon donor vessel fractional flow reserve and instantaneous wave-free ratio","author":[{"family":"Mohdnazri","given":"Shah R."},{"family":"Karamasis","given":"Grigoris V."},{"family":"Al-Janabi","given":"Firas"},{"family":"Cook","given":"Christopher M."},{"family":"Hampton-Till","given":"James"},{"family":"Zhang","given":"Jufen"},{"family":"Al-Lamee","given":"Rasha"},{"family":"Dungu","given":"Jason N."},{"family":"Gedela","given":"Swamy"},{"family":"Tang","given":"Kare H."},{"family":"Kelly","given":"Paul A."},{"family":"Davies","given":"Justin E."},{"family":"Davies","given":"John R."},{"family":"Keeble","given":"Thomas R."}],"issued":{"date-parts":[["2018",3,22]]}}}],"schema":"https://github.com/citation-style-language/schema/raw/master/csl-citation.json"} </w:instrText>
      </w:r>
      <w:r w:rsidR="00106A32" w:rsidRPr="00EC6C19">
        <w:rPr>
          <w:rFonts w:ascii="Times New Roman" w:hAnsi="Times New Roman" w:cs="Times New Roman"/>
          <w:sz w:val="24"/>
          <w:szCs w:val="24"/>
        </w:rPr>
        <w:fldChar w:fldCharType="separate"/>
      </w:r>
      <w:r w:rsidR="003930FC" w:rsidRPr="00EC6C19">
        <w:rPr>
          <w:rFonts w:ascii="Times New Roman" w:hAnsi="Times New Roman" w:cs="Times New Roman"/>
          <w:sz w:val="24"/>
          <w:szCs w:val="24"/>
        </w:rPr>
        <w:t xml:space="preserve">(Mohdnazri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r w:rsidR="00163E4E">
        <w:rPr>
          <w:rFonts w:ascii="Times New Roman" w:hAnsi="Times New Roman" w:cs="Times New Roman"/>
          <w:sz w:val="24"/>
          <w:szCs w:val="24"/>
        </w:rPr>
        <w:t>One hopes that the</w:t>
      </w:r>
      <w:r w:rsidRPr="00EC6C19">
        <w:rPr>
          <w:rFonts w:ascii="Times New Roman" w:hAnsi="Times New Roman" w:cs="Times New Roman"/>
          <w:sz w:val="24"/>
          <w:szCs w:val="24"/>
        </w:rPr>
        <w:t xml:space="preserve"> larger change in the current st</w:t>
      </w:r>
      <w:r w:rsidR="00031B2E" w:rsidRPr="00EC6C19">
        <w:rPr>
          <w:rFonts w:ascii="Times New Roman" w:hAnsi="Times New Roman" w:cs="Times New Roman"/>
          <w:sz w:val="24"/>
          <w:szCs w:val="24"/>
        </w:rPr>
        <w:t>udy in less complex lesions than</w:t>
      </w:r>
      <w:r w:rsidRPr="00EC6C19">
        <w:rPr>
          <w:rFonts w:ascii="Times New Roman" w:hAnsi="Times New Roman" w:cs="Times New Roman"/>
          <w:sz w:val="24"/>
          <w:szCs w:val="24"/>
        </w:rPr>
        <w:t xml:space="preserve"> CTO, </w:t>
      </w:r>
      <w:r w:rsidR="00163E4E">
        <w:rPr>
          <w:rFonts w:ascii="Times New Roman" w:hAnsi="Times New Roman" w:cs="Times New Roman"/>
          <w:sz w:val="24"/>
          <w:szCs w:val="24"/>
        </w:rPr>
        <w:t>will</w:t>
      </w:r>
      <w:r w:rsidRPr="00EC6C19">
        <w:rPr>
          <w:rFonts w:ascii="Times New Roman" w:hAnsi="Times New Roman" w:cs="Times New Roman"/>
          <w:sz w:val="24"/>
          <w:szCs w:val="24"/>
        </w:rPr>
        <w:t xml:space="preserve"> also be </w:t>
      </w:r>
      <w:r w:rsidR="00163E4E">
        <w:rPr>
          <w:rFonts w:ascii="Times New Roman" w:hAnsi="Times New Roman" w:cs="Times New Roman"/>
          <w:sz w:val="24"/>
          <w:szCs w:val="24"/>
        </w:rPr>
        <w:t xml:space="preserve">viewed </w:t>
      </w:r>
      <w:r w:rsidRPr="00EC6C19">
        <w:rPr>
          <w:rFonts w:ascii="Times New Roman" w:hAnsi="Times New Roman" w:cs="Times New Roman"/>
          <w:sz w:val="24"/>
          <w:szCs w:val="24"/>
        </w:rPr>
        <w:t>as relevant in current clinical practice</w:t>
      </w:r>
      <w:r w:rsidR="00163E4E">
        <w:rPr>
          <w:rFonts w:ascii="Times New Roman" w:hAnsi="Times New Roman" w:cs="Times New Roman"/>
          <w:sz w:val="24"/>
          <w:szCs w:val="24"/>
        </w:rPr>
        <w:t>. The invasive data from this research</w:t>
      </w:r>
      <w:r w:rsidR="000427CD" w:rsidRPr="00EC6C19">
        <w:rPr>
          <w:rFonts w:ascii="Times New Roman" w:hAnsi="Times New Roman" w:cs="Times New Roman"/>
          <w:sz w:val="24"/>
          <w:szCs w:val="24"/>
        </w:rPr>
        <w:t xml:space="preserve"> is currently under review for publication</w:t>
      </w:r>
      <w:r w:rsidRPr="00EC6C19">
        <w:rPr>
          <w:rFonts w:ascii="Times New Roman" w:hAnsi="Times New Roman" w:cs="Times New Roman"/>
          <w:sz w:val="24"/>
          <w:szCs w:val="24"/>
        </w:rPr>
        <w:t>.</w:t>
      </w:r>
    </w:p>
    <w:p w14:paraId="72D5510E" w14:textId="77777777" w:rsidR="00CD3474" w:rsidRPr="00EC6C19" w:rsidRDefault="00CD3474" w:rsidP="00870AA2">
      <w:pPr>
        <w:spacing w:line="360" w:lineRule="auto"/>
        <w:rPr>
          <w:rFonts w:ascii="Times New Roman" w:hAnsi="Times New Roman" w:cs="Times New Roman"/>
          <w:sz w:val="24"/>
          <w:szCs w:val="24"/>
        </w:rPr>
      </w:pPr>
    </w:p>
    <w:p w14:paraId="7C9377AD" w14:textId="77777777" w:rsidR="00DE5A27" w:rsidRPr="008065E7" w:rsidRDefault="008065E7" w:rsidP="008065E7">
      <w:pPr>
        <w:pStyle w:val="Heading3"/>
        <w:rPr>
          <w:rFonts w:ascii="Times New Roman" w:hAnsi="Times New Roman" w:cs="Times New Roman"/>
          <w:b w:val="0"/>
          <w:i/>
          <w:color w:val="auto"/>
          <w:sz w:val="24"/>
          <w:szCs w:val="24"/>
        </w:rPr>
      </w:pPr>
      <w:bookmarkStart w:id="232" w:name="_Toc80302286"/>
      <w:r w:rsidRPr="008065E7">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7</w:t>
      </w:r>
      <w:r w:rsidRPr="008065E7">
        <w:rPr>
          <w:rFonts w:ascii="Times New Roman" w:hAnsi="Times New Roman" w:cs="Times New Roman"/>
          <w:b w:val="0"/>
          <w:i/>
          <w:color w:val="auto"/>
          <w:sz w:val="24"/>
          <w:szCs w:val="24"/>
        </w:rPr>
        <w:t xml:space="preserve">.4 - </w:t>
      </w:r>
      <w:r w:rsidR="00F82072" w:rsidRPr="008065E7">
        <w:rPr>
          <w:rFonts w:ascii="Times New Roman" w:hAnsi="Times New Roman" w:cs="Times New Roman"/>
          <w:b w:val="0"/>
          <w:i/>
          <w:color w:val="auto"/>
          <w:sz w:val="24"/>
          <w:szCs w:val="24"/>
        </w:rPr>
        <w:t>Wire Placement -</w:t>
      </w:r>
      <w:r w:rsidR="00DE5A27" w:rsidRPr="008065E7">
        <w:rPr>
          <w:rFonts w:ascii="Times New Roman" w:hAnsi="Times New Roman" w:cs="Times New Roman"/>
          <w:b w:val="0"/>
          <w:i/>
          <w:color w:val="auto"/>
          <w:sz w:val="24"/>
          <w:szCs w:val="24"/>
        </w:rPr>
        <w:t xml:space="preserve"> PLV versus PDA</w:t>
      </w:r>
      <w:bookmarkEnd w:id="232"/>
      <w:r>
        <w:rPr>
          <w:rFonts w:ascii="Times New Roman" w:hAnsi="Times New Roman" w:cs="Times New Roman"/>
          <w:b w:val="0"/>
          <w:i/>
          <w:color w:val="auto"/>
          <w:sz w:val="24"/>
          <w:szCs w:val="24"/>
        </w:rPr>
        <w:br/>
      </w:r>
    </w:p>
    <w:p w14:paraId="40630FC6" w14:textId="77777777" w:rsidR="00DE5A27" w:rsidRPr="00EC6C19" w:rsidRDefault="00DE5A27" w:rsidP="00870AA2">
      <w:pPr>
        <w:spacing w:line="360" w:lineRule="auto"/>
        <w:rPr>
          <w:rFonts w:ascii="Times New Roman" w:hAnsi="Times New Roman" w:cs="Times New Roman"/>
          <w:i/>
          <w:sz w:val="24"/>
          <w:szCs w:val="24"/>
        </w:rPr>
      </w:pPr>
    </w:p>
    <w:p w14:paraId="3360F65F" w14:textId="77777777" w:rsidR="00DE5A27" w:rsidRPr="00EC6C19" w:rsidRDefault="00C07F4B" w:rsidP="00870AA2">
      <w:pPr>
        <w:spacing w:line="360" w:lineRule="auto"/>
        <w:rPr>
          <w:rFonts w:ascii="Times New Roman" w:hAnsi="Times New Roman" w:cs="Times New Roman"/>
          <w:sz w:val="24"/>
          <w:szCs w:val="24"/>
        </w:rPr>
      </w:pPr>
      <w:r w:rsidRPr="007C0B62">
        <w:rPr>
          <w:rFonts w:ascii="Times New Roman" w:hAnsi="Times New Roman" w:cs="Times New Roman"/>
          <w:sz w:val="24"/>
          <w:szCs w:val="24"/>
        </w:rPr>
        <w:t>I</w:t>
      </w:r>
      <w:r w:rsidR="00DE5A27" w:rsidRPr="007C0B62">
        <w:rPr>
          <w:rFonts w:ascii="Times New Roman" w:hAnsi="Times New Roman" w:cs="Times New Roman"/>
          <w:sz w:val="24"/>
          <w:szCs w:val="24"/>
        </w:rPr>
        <w:t xml:space="preserve">n </w:t>
      </w:r>
      <w:r w:rsidR="0046411D" w:rsidRPr="007C0B62">
        <w:rPr>
          <w:rFonts w:ascii="Times New Roman" w:hAnsi="Times New Roman" w:cs="Times New Roman"/>
          <w:sz w:val="24"/>
          <w:szCs w:val="24"/>
        </w:rPr>
        <w:t>chapter II</w:t>
      </w:r>
      <w:r w:rsidR="00DE5A27" w:rsidRPr="007C0B62">
        <w:rPr>
          <w:rFonts w:ascii="Times New Roman" w:hAnsi="Times New Roman" w:cs="Times New Roman"/>
          <w:sz w:val="24"/>
          <w:szCs w:val="24"/>
        </w:rPr>
        <w:t xml:space="preserve"> section </w:t>
      </w:r>
      <w:r w:rsidR="007C0B62" w:rsidRPr="007C0B62">
        <w:rPr>
          <w:rFonts w:ascii="Times New Roman" w:hAnsi="Times New Roman" w:cs="Times New Roman"/>
          <w:sz w:val="24"/>
          <w:szCs w:val="24"/>
        </w:rPr>
        <w:t>2.6.5</w:t>
      </w:r>
      <w:r w:rsidR="00DE5A27" w:rsidRPr="007C0B62">
        <w:rPr>
          <w:rFonts w:ascii="Times New Roman" w:hAnsi="Times New Roman" w:cs="Times New Roman"/>
          <w:sz w:val="24"/>
          <w:szCs w:val="24"/>
        </w:rPr>
        <w:t>,</w:t>
      </w:r>
      <w:r w:rsidRPr="007C0B62">
        <w:rPr>
          <w:rFonts w:ascii="Times New Roman" w:hAnsi="Times New Roman" w:cs="Times New Roman"/>
          <w:sz w:val="24"/>
          <w:szCs w:val="24"/>
        </w:rPr>
        <w:t xml:space="preserve"> a case</w:t>
      </w:r>
      <w:r w:rsidRPr="00EC6C19">
        <w:rPr>
          <w:rFonts w:ascii="Times New Roman" w:hAnsi="Times New Roman" w:cs="Times New Roman"/>
          <w:sz w:val="24"/>
          <w:szCs w:val="24"/>
        </w:rPr>
        <w:t xml:space="preserve"> report highlights</w:t>
      </w:r>
      <w:r w:rsidR="00DE5A27" w:rsidRPr="00EC6C19">
        <w:rPr>
          <w:rFonts w:ascii="Times New Roman" w:hAnsi="Times New Roman" w:cs="Times New Roman"/>
          <w:sz w:val="24"/>
          <w:szCs w:val="24"/>
        </w:rPr>
        <w:t xml:space="preserve"> the trivial decision of wire placement in a terminal branch of the right coronary artery. The right coronary artery </w:t>
      </w:r>
      <w:r w:rsidR="0083555D" w:rsidRPr="00EC6C19">
        <w:rPr>
          <w:rFonts w:ascii="Times New Roman" w:hAnsi="Times New Roman" w:cs="Times New Roman"/>
          <w:sz w:val="24"/>
          <w:szCs w:val="24"/>
        </w:rPr>
        <w:t xml:space="preserve">has </w:t>
      </w:r>
      <w:r w:rsidR="00DE5A27" w:rsidRPr="00EC6C19">
        <w:rPr>
          <w:rFonts w:ascii="Times New Roman" w:hAnsi="Times New Roman" w:cs="Times New Roman"/>
          <w:sz w:val="24"/>
          <w:szCs w:val="24"/>
        </w:rPr>
        <w:t>two terminal bifurca</w:t>
      </w:r>
      <w:r w:rsidR="0083555D" w:rsidRPr="00EC6C19">
        <w:rPr>
          <w:rFonts w:ascii="Times New Roman" w:hAnsi="Times New Roman" w:cs="Times New Roman"/>
          <w:sz w:val="24"/>
          <w:szCs w:val="24"/>
        </w:rPr>
        <w:t>ting branches</w:t>
      </w:r>
      <w:r w:rsidR="00343365">
        <w:rPr>
          <w:rFonts w:ascii="Times New Roman" w:hAnsi="Times New Roman" w:cs="Times New Roman"/>
          <w:sz w:val="24"/>
          <w:szCs w:val="24"/>
        </w:rPr>
        <w:t>,</w:t>
      </w:r>
      <w:r w:rsidR="003930FC" w:rsidRPr="00EC6C19">
        <w:rPr>
          <w:rFonts w:ascii="Times New Roman" w:hAnsi="Times New Roman" w:cs="Times New Roman"/>
          <w:sz w:val="24"/>
          <w:szCs w:val="24"/>
        </w:rPr>
        <w:t xml:space="preserve"> </w:t>
      </w:r>
      <w:r w:rsidR="00343365">
        <w:rPr>
          <w:rFonts w:ascii="Times New Roman" w:hAnsi="Times New Roman" w:cs="Times New Roman"/>
          <w:sz w:val="24"/>
          <w:szCs w:val="24"/>
        </w:rPr>
        <w:t>t</w:t>
      </w:r>
      <w:r w:rsidR="0083555D" w:rsidRPr="00EC6C19">
        <w:rPr>
          <w:rFonts w:ascii="Times New Roman" w:hAnsi="Times New Roman" w:cs="Times New Roman"/>
          <w:sz w:val="24"/>
          <w:szCs w:val="24"/>
        </w:rPr>
        <w:t>he</w:t>
      </w:r>
      <w:r w:rsidR="006D2049" w:rsidRPr="00EC6C19">
        <w:rPr>
          <w:rFonts w:ascii="Times New Roman" w:hAnsi="Times New Roman" w:cs="Times New Roman"/>
          <w:sz w:val="24"/>
          <w:szCs w:val="24"/>
        </w:rPr>
        <w:t xml:space="preserve"> PLV travelling inferiorly, and the PDA taking a superior course</w:t>
      </w:r>
      <w:r w:rsidR="0083555D" w:rsidRPr="00EC6C19">
        <w:rPr>
          <w:rFonts w:ascii="Times New Roman" w:hAnsi="Times New Roman" w:cs="Times New Roman"/>
          <w:sz w:val="24"/>
          <w:szCs w:val="24"/>
        </w:rPr>
        <w:t xml:space="preserve"> in a supine patient</w:t>
      </w:r>
      <w:r w:rsidR="00DE5A27" w:rsidRPr="00EC6C19">
        <w:rPr>
          <w:rFonts w:ascii="Times New Roman" w:hAnsi="Times New Roman" w:cs="Times New Roman"/>
          <w:sz w:val="24"/>
          <w:szCs w:val="24"/>
        </w:rPr>
        <w:t>.</w:t>
      </w:r>
      <w:r w:rsidR="00F11ED5" w:rsidRPr="00EC6C19">
        <w:rPr>
          <w:rFonts w:ascii="Times New Roman" w:hAnsi="Times New Roman" w:cs="Times New Roman"/>
          <w:sz w:val="24"/>
          <w:szCs w:val="24"/>
        </w:rPr>
        <w:t xml:space="preserve"> The </w:t>
      </w:r>
      <w:r w:rsidR="003D731F">
        <w:rPr>
          <w:rFonts w:ascii="Times New Roman" w:hAnsi="Times New Roman" w:cs="Times New Roman"/>
          <w:sz w:val="24"/>
          <w:szCs w:val="24"/>
        </w:rPr>
        <w:t xml:space="preserve">average </w:t>
      </w:r>
      <w:r w:rsidR="00F11ED5" w:rsidRPr="00EC6C19">
        <w:rPr>
          <w:rFonts w:ascii="Times New Roman" w:hAnsi="Times New Roman" w:cs="Times New Roman"/>
          <w:sz w:val="24"/>
          <w:szCs w:val="24"/>
        </w:rPr>
        <w:t>difference in height between the distal PDA and PLV from CT data is 75.7mm.</w:t>
      </w:r>
      <w:r w:rsidR="00DE5A27" w:rsidRPr="00EC6C19">
        <w:rPr>
          <w:rFonts w:ascii="Times New Roman" w:hAnsi="Times New Roman" w:cs="Times New Roman"/>
          <w:sz w:val="24"/>
          <w:szCs w:val="24"/>
        </w:rPr>
        <w:t xml:space="preserve"> A lesion before this bifurcation can then be at risk of differing </w:t>
      </w:r>
      <w:r w:rsidR="0083555D" w:rsidRPr="00EC6C19">
        <w:rPr>
          <w:rFonts w:ascii="Times New Roman" w:hAnsi="Times New Roman" w:cs="Times New Roman"/>
          <w:sz w:val="24"/>
          <w:szCs w:val="24"/>
        </w:rPr>
        <w:t xml:space="preserve">pressure </w:t>
      </w:r>
      <w:r w:rsidR="00DE5A27" w:rsidRPr="00EC6C19">
        <w:rPr>
          <w:rFonts w:ascii="Times New Roman" w:hAnsi="Times New Roman" w:cs="Times New Roman"/>
          <w:sz w:val="24"/>
          <w:szCs w:val="24"/>
        </w:rPr>
        <w:t xml:space="preserve">results, </w:t>
      </w:r>
      <w:r w:rsidR="0083555D" w:rsidRPr="00EC6C19">
        <w:rPr>
          <w:rFonts w:ascii="Times New Roman" w:hAnsi="Times New Roman" w:cs="Times New Roman"/>
          <w:sz w:val="24"/>
          <w:szCs w:val="24"/>
        </w:rPr>
        <w:t xml:space="preserve">depending on where the wire is </w:t>
      </w:r>
      <w:r w:rsidR="00070F09" w:rsidRPr="00EC6C19">
        <w:rPr>
          <w:rFonts w:ascii="Times New Roman" w:hAnsi="Times New Roman" w:cs="Times New Roman"/>
          <w:sz w:val="24"/>
          <w:szCs w:val="24"/>
        </w:rPr>
        <w:t>placed</w:t>
      </w:r>
      <w:r w:rsidR="00DE5A27" w:rsidRPr="00EC6C19">
        <w:rPr>
          <w:rFonts w:ascii="Times New Roman" w:hAnsi="Times New Roman" w:cs="Times New Roman"/>
          <w:sz w:val="24"/>
          <w:szCs w:val="24"/>
        </w:rPr>
        <w:t>.</w:t>
      </w:r>
    </w:p>
    <w:p w14:paraId="29D87361" w14:textId="18C48E91" w:rsidR="00DE5A27" w:rsidRPr="00EC6C19" w:rsidRDefault="003D731F" w:rsidP="00870AA2">
      <w:pPr>
        <w:spacing w:line="360" w:lineRule="auto"/>
        <w:rPr>
          <w:rFonts w:ascii="Times New Roman" w:hAnsi="Times New Roman" w:cs="Times New Roman"/>
          <w:sz w:val="24"/>
          <w:szCs w:val="24"/>
        </w:rPr>
      </w:pPr>
      <w:r>
        <w:rPr>
          <w:rFonts w:ascii="Times New Roman" w:hAnsi="Times New Roman" w:cs="Times New Roman"/>
          <w:sz w:val="24"/>
          <w:szCs w:val="24"/>
        </w:rPr>
        <w:t>Operators should remain</w:t>
      </w:r>
      <w:r w:rsidR="00DE5A27" w:rsidRPr="00EC6C19">
        <w:rPr>
          <w:rFonts w:ascii="Times New Roman" w:hAnsi="Times New Roman" w:cs="Times New Roman"/>
          <w:sz w:val="24"/>
          <w:szCs w:val="24"/>
        </w:rPr>
        <w:t xml:space="preserve"> mindful of </w:t>
      </w:r>
      <w:r w:rsidR="0083555D" w:rsidRPr="00EC6C19">
        <w:rPr>
          <w:rFonts w:ascii="Times New Roman" w:hAnsi="Times New Roman" w:cs="Times New Roman"/>
          <w:sz w:val="24"/>
          <w:szCs w:val="24"/>
        </w:rPr>
        <w:t>wire position</w:t>
      </w:r>
      <w:r w:rsidR="00DE5A27" w:rsidRPr="00EC6C19">
        <w:rPr>
          <w:rFonts w:ascii="Times New Roman" w:hAnsi="Times New Roman" w:cs="Times New Roman"/>
          <w:sz w:val="24"/>
          <w:szCs w:val="24"/>
        </w:rPr>
        <w:t xml:space="preserve">, </w:t>
      </w:r>
      <w:r w:rsidR="00F11ED5" w:rsidRPr="00EC6C19">
        <w:rPr>
          <w:rFonts w:ascii="Times New Roman" w:hAnsi="Times New Roman" w:cs="Times New Roman"/>
          <w:sz w:val="24"/>
          <w:szCs w:val="24"/>
        </w:rPr>
        <w:t>especially if</w:t>
      </w:r>
      <w:r w:rsidR="00DE5A27" w:rsidRPr="00EC6C19">
        <w:rPr>
          <w:rFonts w:ascii="Times New Roman" w:hAnsi="Times New Roman" w:cs="Times New Roman"/>
          <w:sz w:val="24"/>
          <w:szCs w:val="24"/>
        </w:rPr>
        <w:t xml:space="preserve"> the lesion is close </w:t>
      </w:r>
      <w:r w:rsidR="00E70F84" w:rsidRPr="00EC6C19">
        <w:rPr>
          <w:rFonts w:ascii="Times New Roman" w:hAnsi="Times New Roman" w:cs="Times New Roman"/>
          <w:sz w:val="24"/>
          <w:szCs w:val="24"/>
        </w:rPr>
        <w:t>to or at the bifurcation of these vessels</w:t>
      </w:r>
      <w:r w:rsidR="00DE5A27" w:rsidRPr="00EC6C19">
        <w:rPr>
          <w:rFonts w:ascii="Times New Roman" w:hAnsi="Times New Roman" w:cs="Times New Roman"/>
          <w:sz w:val="24"/>
          <w:szCs w:val="24"/>
        </w:rPr>
        <w:t xml:space="preserve">. </w:t>
      </w:r>
      <w:r w:rsidR="0083555D" w:rsidRPr="00EC6C19">
        <w:rPr>
          <w:rFonts w:ascii="Times New Roman" w:hAnsi="Times New Roman" w:cs="Times New Roman"/>
          <w:sz w:val="24"/>
          <w:szCs w:val="24"/>
        </w:rPr>
        <w:t xml:space="preserve">PDA pressure indices are expected to be lower than in the PLV. </w:t>
      </w:r>
      <w:r w:rsidR="00DE5A27" w:rsidRPr="00EC6C19">
        <w:rPr>
          <w:rFonts w:ascii="Times New Roman" w:hAnsi="Times New Roman" w:cs="Times New Roman"/>
          <w:sz w:val="24"/>
          <w:szCs w:val="24"/>
        </w:rPr>
        <w:t>As shown in the describe</w:t>
      </w:r>
      <w:r w:rsidR="00E70F84" w:rsidRPr="00EC6C19">
        <w:rPr>
          <w:rFonts w:ascii="Times New Roman" w:hAnsi="Times New Roman" w:cs="Times New Roman"/>
          <w:sz w:val="24"/>
          <w:szCs w:val="24"/>
        </w:rPr>
        <w:t>d case, the difference in FFR</w:t>
      </w:r>
      <w:r w:rsidR="00A1082F" w:rsidRPr="00EC6C19">
        <w:rPr>
          <w:rFonts w:ascii="Times New Roman" w:hAnsi="Times New Roman" w:cs="Times New Roman"/>
          <w:sz w:val="24"/>
          <w:szCs w:val="24"/>
        </w:rPr>
        <w:t xml:space="preserve"> between each artery</w:t>
      </w:r>
      <w:r w:rsidR="00E70F84" w:rsidRPr="00EC6C19">
        <w:rPr>
          <w:rFonts w:ascii="Times New Roman" w:hAnsi="Times New Roman" w:cs="Times New Roman"/>
          <w:sz w:val="24"/>
          <w:szCs w:val="24"/>
        </w:rPr>
        <w:t xml:space="preserve"> is</w:t>
      </w:r>
      <w:r w:rsidR="00DE5A27" w:rsidRPr="00EC6C19">
        <w:rPr>
          <w:rFonts w:ascii="Times New Roman" w:hAnsi="Times New Roman" w:cs="Times New Roman"/>
          <w:sz w:val="24"/>
          <w:szCs w:val="24"/>
        </w:rPr>
        <w:t xml:space="preserve"> 0.05</w:t>
      </w:r>
      <w:r w:rsidR="00E70F84" w:rsidRPr="00EC6C19">
        <w:rPr>
          <w:rFonts w:ascii="Times New Roman" w:hAnsi="Times New Roman" w:cs="Times New Roman"/>
          <w:sz w:val="24"/>
          <w:szCs w:val="24"/>
        </w:rPr>
        <w:t>, which</w:t>
      </w:r>
      <w:r w:rsidR="00DE5A27" w:rsidRPr="00EC6C19">
        <w:rPr>
          <w:rFonts w:ascii="Times New Roman" w:hAnsi="Times New Roman" w:cs="Times New Roman"/>
          <w:sz w:val="24"/>
          <w:szCs w:val="24"/>
        </w:rPr>
        <w:t xml:space="preserve"> is not</w:t>
      </w:r>
      <w:r w:rsidR="00E70F84" w:rsidRPr="00EC6C19">
        <w:rPr>
          <w:rFonts w:ascii="Times New Roman" w:hAnsi="Times New Roman" w:cs="Times New Roman"/>
          <w:sz w:val="24"/>
          <w:szCs w:val="24"/>
        </w:rPr>
        <w:t xml:space="preserve"> clinically</w:t>
      </w:r>
      <w:r w:rsidR="00A1082F" w:rsidRPr="00EC6C19">
        <w:rPr>
          <w:rFonts w:ascii="Times New Roman" w:hAnsi="Times New Roman" w:cs="Times New Roman"/>
          <w:sz w:val="24"/>
          <w:szCs w:val="24"/>
        </w:rPr>
        <w:t xml:space="preserve"> negligible.</w:t>
      </w:r>
      <w:r w:rsidR="003930FC" w:rsidRPr="00EC6C19">
        <w:rPr>
          <w:rFonts w:ascii="Times New Roman" w:hAnsi="Times New Roman" w:cs="Times New Roman"/>
          <w:sz w:val="24"/>
          <w:szCs w:val="24"/>
        </w:rPr>
        <w:t xml:space="preserve"> </w:t>
      </w:r>
      <w:r w:rsidR="00A1082F" w:rsidRPr="00EC6C19">
        <w:rPr>
          <w:rFonts w:ascii="Times New Roman" w:hAnsi="Times New Roman" w:cs="Times New Roman"/>
          <w:sz w:val="24"/>
          <w:szCs w:val="24"/>
        </w:rPr>
        <w:t>This</w:t>
      </w:r>
      <w:r w:rsidR="003930FC" w:rsidRPr="00EC6C19">
        <w:rPr>
          <w:rFonts w:ascii="Times New Roman" w:hAnsi="Times New Roman" w:cs="Times New Roman"/>
          <w:sz w:val="24"/>
          <w:szCs w:val="24"/>
        </w:rPr>
        <w:t xml:space="preserve"> </w:t>
      </w:r>
      <w:r w:rsidR="0083555D" w:rsidRPr="00EC6C19">
        <w:rPr>
          <w:rFonts w:ascii="Times New Roman" w:hAnsi="Times New Roman" w:cs="Times New Roman"/>
          <w:sz w:val="24"/>
          <w:szCs w:val="24"/>
        </w:rPr>
        <w:t>may alter decision making or stenosis classification</w:t>
      </w:r>
      <w:r w:rsidR="00A1082F" w:rsidRPr="00EC6C19">
        <w:rPr>
          <w:rFonts w:ascii="Times New Roman" w:hAnsi="Times New Roman" w:cs="Times New Roman"/>
          <w:sz w:val="24"/>
          <w:szCs w:val="24"/>
        </w:rPr>
        <w:t xml:space="preserve"> (as it did in the described case)</w:t>
      </w:r>
      <w:r w:rsidR="0083555D" w:rsidRPr="00EC6C19">
        <w:rPr>
          <w:rFonts w:ascii="Times New Roman" w:hAnsi="Times New Roman" w:cs="Times New Roman"/>
          <w:sz w:val="24"/>
          <w:szCs w:val="24"/>
        </w:rPr>
        <w:t>. Coronary doppler flow</w:t>
      </w:r>
      <w:r w:rsidR="00DE5A27" w:rsidRPr="00EC6C19">
        <w:rPr>
          <w:rFonts w:ascii="Times New Roman" w:hAnsi="Times New Roman" w:cs="Times New Roman"/>
          <w:sz w:val="24"/>
          <w:szCs w:val="24"/>
        </w:rPr>
        <w:t xml:space="preserve"> did not change</w:t>
      </w:r>
      <w:r w:rsidR="00E70F84" w:rsidRPr="00EC6C19">
        <w:rPr>
          <w:rFonts w:ascii="Times New Roman" w:hAnsi="Times New Roman" w:cs="Times New Roman"/>
          <w:sz w:val="24"/>
          <w:szCs w:val="24"/>
        </w:rPr>
        <w:t xml:space="preserve"> significantly, demonstrating that hydrostatic effect</w:t>
      </w:r>
      <w:r w:rsidR="00DE5A27" w:rsidRPr="00EC6C19">
        <w:rPr>
          <w:rFonts w:ascii="Times New Roman" w:hAnsi="Times New Roman" w:cs="Times New Roman"/>
          <w:sz w:val="24"/>
          <w:szCs w:val="24"/>
        </w:rPr>
        <w:t xml:space="preserve"> is </w:t>
      </w:r>
      <w:r w:rsidR="00E70F84" w:rsidRPr="00EC6C19">
        <w:rPr>
          <w:rFonts w:ascii="Times New Roman" w:hAnsi="Times New Roman" w:cs="Times New Roman"/>
          <w:sz w:val="24"/>
          <w:szCs w:val="24"/>
        </w:rPr>
        <w:t>impacting</w:t>
      </w:r>
      <w:r w:rsidR="00DE5A27" w:rsidRPr="00EC6C19">
        <w:rPr>
          <w:rFonts w:ascii="Times New Roman" w:hAnsi="Times New Roman" w:cs="Times New Roman"/>
          <w:sz w:val="24"/>
          <w:szCs w:val="24"/>
        </w:rPr>
        <w:t xml:space="preserve"> the diagnostic tool of </w:t>
      </w:r>
      <w:r w:rsidR="008B054A" w:rsidRPr="00EC6C19">
        <w:rPr>
          <w:rFonts w:ascii="Times New Roman" w:hAnsi="Times New Roman" w:cs="Times New Roman"/>
          <w:sz w:val="24"/>
          <w:szCs w:val="24"/>
        </w:rPr>
        <w:t>pressure</w:t>
      </w:r>
      <w:r w:rsidR="008B054A">
        <w:rPr>
          <w:rFonts w:ascii="Times New Roman" w:hAnsi="Times New Roman" w:cs="Times New Roman"/>
          <w:sz w:val="24"/>
          <w:szCs w:val="24"/>
        </w:rPr>
        <w:t>-</w:t>
      </w:r>
      <w:r w:rsidR="00DE5A27" w:rsidRPr="00EC6C19">
        <w:rPr>
          <w:rFonts w:ascii="Times New Roman" w:hAnsi="Times New Roman" w:cs="Times New Roman"/>
          <w:sz w:val="24"/>
          <w:szCs w:val="24"/>
        </w:rPr>
        <w:t xml:space="preserve">based measurement, </w:t>
      </w:r>
      <w:r w:rsidR="0083555D" w:rsidRPr="00EC6C19">
        <w:rPr>
          <w:rFonts w:ascii="Times New Roman" w:hAnsi="Times New Roman" w:cs="Times New Roman"/>
          <w:sz w:val="24"/>
          <w:szCs w:val="24"/>
        </w:rPr>
        <w:t xml:space="preserve">rather than </w:t>
      </w:r>
      <w:r w:rsidR="00DE5A27" w:rsidRPr="00EC6C19">
        <w:rPr>
          <w:rFonts w:ascii="Times New Roman" w:hAnsi="Times New Roman" w:cs="Times New Roman"/>
          <w:sz w:val="24"/>
          <w:szCs w:val="24"/>
        </w:rPr>
        <w:t>coronary physiology across the lesion</w:t>
      </w:r>
      <w:r w:rsidR="00E70F84" w:rsidRPr="00EC6C19">
        <w:rPr>
          <w:rFonts w:ascii="Times New Roman" w:hAnsi="Times New Roman" w:cs="Times New Roman"/>
          <w:sz w:val="24"/>
          <w:szCs w:val="24"/>
        </w:rPr>
        <w:t>.</w:t>
      </w:r>
    </w:p>
    <w:p w14:paraId="6FCF140C" w14:textId="77777777" w:rsidR="006951B7" w:rsidRDefault="006951B7" w:rsidP="00870AA2">
      <w:pPr>
        <w:spacing w:line="360" w:lineRule="auto"/>
        <w:rPr>
          <w:rFonts w:ascii="Times New Roman" w:hAnsi="Times New Roman" w:cs="Times New Roman"/>
          <w:sz w:val="24"/>
          <w:szCs w:val="24"/>
        </w:rPr>
      </w:pPr>
    </w:p>
    <w:p w14:paraId="7640F8F5" w14:textId="77777777" w:rsidR="00857042" w:rsidRDefault="00857042" w:rsidP="00870AA2">
      <w:pPr>
        <w:spacing w:line="360" w:lineRule="auto"/>
        <w:rPr>
          <w:rFonts w:ascii="Times New Roman" w:hAnsi="Times New Roman" w:cs="Times New Roman"/>
          <w:sz w:val="24"/>
          <w:szCs w:val="24"/>
        </w:rPr>
      </w:pPr>
    </w:p>
    <w:p w14:paraId="359BBEB9" w14:textId="77777777" w:rsidR="00857042" w:rsidRPr="00EC6C19" w:rsidRDefault="00857042" w:rsidP="00870AA2">
      <w:pPr>
        <w:spacing w:line="360" w:lineRule="auto"/>
        <w:rPr>
          <w:rFonts w:ascii="Times New Roman" w:hAnsi="Times New Roman" w:cs="Times New Roman"/>
          <w:sz w:val="24"/>
          <w:szCs w:val="24"/>
        </w:rPr>
      </w:pPr>
    </w:p>
    <w:p w14:paraId="32F09274" w14:textId="77777777" w:rsidR="00780DBC" w:rsidRPr="008065E7" w:rsidRDefault="008065E7" w:rsidP="008065E7">
      <w:pPr>
        <w:pStyle w:val="Heading3"/>
        <w:rPr>
          <w:rFonts w:ascii="Times New Roman" w:hAnsi="Times New Roman" w:cs="Times New Roman"/>
          <w:b w:val="0"/>
          <w:i/>
          <w:color w:val="auto"/>
          <w:sz w:val="24"/>
          <w:szCs w:val="24"/>
        </w:rPr>
      </w:pPr>
      <w:bookmarkStart w:id="233" w:name="_Toc80302287"/>
      <w:r w:rsidRPr="008065E7">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7</w:t>
      </w:r>
      <w:r w:rsidRPr="008065E7">
        <w:rPr>
          <w:rFonts w:ascii="Times New Roman" w:hAnsi="Times New Roman" w:cs="Times New Roman"/>
          <w:b w:val="0"/>
          <w:i/>
          <w:color w:val="auto"/>
          <w:sz w:val="24"/>
          <w:szCs w:val="24"/>
        </w:rPr>
        <w:t xml:space="preserve">.5 - </w:t>
      </w:r>
      <w:r w:rsidR="00780DBC" w:rsidRPr="008065E7">
        <w:rPr>
          <w:rFonts w:ascii="Times New Roman" w:hAnsi="Times New Roman" w:cs="Times New Roman"/>
          <w:b w:val="0"/>
          <w:i/>
          <w:color w:val="auto"/>
          <w:sz w:val="24"/>
          <w:szCs w:val="24"/>
        </w:rPr>
        <w:t>Diffuse Disease and Serial Stenosis</w:t>
      </w:r>
      <w:bookmarkEnd w:id="233"/>
    </w:p>
    <w:p w14:paraId="522F3E69" w14:textId="77777777" w:rsidR="00780DBC" w:rsidRPr="00EC6C19" w:rsidRDefault="008065E7" w:rsidP="00870AA2">
      <w:pPr>
        <w:spacing w:line="360" w:lineRule="auto"/>
        <w:rPr>
          <w:rFonts w:ascii="Times New Roman" w:hAnsi="Times New Roman" w:cs="Times New Roman"/>
          <w:i/>
          <w:sz w:val="24"/>
          <w:szCs w:val="24"/>
        </w:rPr>
      </w:pPr>
      <w:r>
        <w:rPr>
          <w:rFonts w:ascii="Times New Roman" w:hAnsi="Times New Roman" w:cs="Times New Roman"/>
          <w:i/>
          <w:sz w:val="24"/>
          <w:szCs w:val="24"/>
        </w:rPr>
        <w:br/>
      </w:r>
    </w:p>
    <w:p w14:paraId="797A2CEA" w14:textId="77777777" w:rsidR="00FC3890" w:rsidRPr="00EC6C19" w:rsidRDefault="00500771" w:rsidP="00870AA2">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Regarding wire position, the initial FFR papers from Pijls and De Bruyne simply state the wire should be 'beyond the stenosis'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{"citationID":"cNkbC7Rt","properties":{"formattedCitation":"(Pijls et al., 1996)","plainCitation":"(Pijls et al., 1996)","noteIndex":0},"citationItems":[{"id":507,"uris":["http://zotero.org/users/local/k67tNDdX/items/CR26C3M4"],"uri":["http://zotero.org/users/local/k67tNDdX/items/CR26C3M4"],"itemData":{"id":507,"type":"article-journal","abstract":"In patients with chest pain and stenosis of moderate severity as assessed by coronary angiography, evaluation and treatment are challenging. Often, many diagnostic tests are performed and no clear diagnosis of the cause of the chest pain results. In a considerable number of patients, coronary revascularization is performed without definite evidence that the coronary stenosis is causing the symptoms.1,2 On the basis of pressure–flow analysis of coronary stenoses during maximal flow,3,4 the concept of myocardial fractional flow reserve (FFR) has been developed as an invasively determined index of the functional severity of coronary stenoses.5–10 FFR is defined . . .","container-title":"New England Journal of Medicine","DOI":"10.1056/NEJM199606273342604","ISSN":"0028-4793","issue":"26","note":"PMID: 8637515","page":"1703-1708","source":"Taylor and Francis+NEJM","title":"Measurement of Fractional Flow Reserve to Assess the Functional Severity of Coronary-Artery Stenoses","volume":"334","author":[{"family":"Pijls","given":"Nico H.J."},{"family":"Bruyne","given":"Bernard","non-dropping-particle":"de"},{"family":"Peels","given":"Kathinka"},{"family":"Voort","given":"Pepijn H.","non-dropping-particle":"van der"},{"family":"Bonnier","given":"Hans J.R.M."},{"family":"Bartunek","given":"Jozef"},{"family":"Koolen","given":"Jacques J."}],"issued":{"date-parts":[["1996",6,27]]}}}],"schema":"https://github.com/citation-style-language/schema/raw/master/csl-citation.json"} </w:instrText>
      </w:r>
      <w:r w:rsidR="00106A32" w:rsidRPr="00EC6C19">
        <w:rPr>
          <w:rFonts w:ascii="Times New Roman" w:hAnsi="Times New Roman" w:cs="Times New Roman"/>
          <w:sz w:val="24"/>
          <w:szCs w:val="24"/>
        </w:rPr>
        <w:fldChar w:fldCharType="separate"/>
      </w:r>
      <w:r w:rsidR="003930FC" w:rsidRPr="00EC6C19">
        <w:rPr>
          <w:rFonts w:ascii="Times New Roman" w:hAnsi="Times New Roman" w:cs="Times New Roman"/>
          <w:sz w:val="24"/>
          <w:szCs w:val="24"/>
        </w:rPr>
        <w:t xml:space="preserve">(Pijls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1996)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In serial stenosis or diffuse coronary disease, the wire must be placed beyond the most distal stenosis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{"citationID":"4OX2L7dc","properties":{"formattedCitation":"(Pijls et al., 2000)","plainCitation":"(Pijls et al., 2000)","noteIndex":0},"citationItems":[{"id":659,"uris":["http://zotero.org/users/local/k67tNDdX/items/YMBNP3D5"],"uri":["http://zotero.org/users/local/k67tNDdX/items/YMBNP3D5"],"itemData":{"id":659,"type":"article-journal","abstract":"BACKGROUND: When several stenoses are present within 1 coronary artery, the hemodynamic significance of each stenosis is influenced by the presence of the other(s), and the calculation of coronary and fractional flow reserve (CFR and FFR) for each individual stenosis is confounded. Recently, we developed and experimentally validated a method to determine the true FFR of each stenosis as it would be after the removal of the other stenosis; the true FFR can be reliably predicted by coronary pressures measured before treatment at specific locations within the coronary artery using equations accounting for stenosis interaction. The aim of the present study was to test the validity of these equations in humans.\nMETHODS AND RESULTS: In this study of 32 patients with 2 serial stenoses in 1 coronary artery, relevant pressures were measured before the intervention, after the treatment of 1 stenosis, and after the treatment of both stenoses. The true FFR of each stenosis (FFR(true)) was directly measured after the elimination of the other stenosis and compared with the value predicted (FFR(pred)) from the initial pressure measurements before treatment. Although the hyperemic gradient across 1 stenosis increased significantly (from 10+/-7 to 19+/-11 mm Hg after treatment of the other stenosis), FFR(pred) was close to FFR(true) in all patients (0.78+/-0.12 versus 0.78+/-0.11 mm Hg; r=0.92; Delta%=4+/-0%). Without accounting for stenosis interaction, the value of FFR for each stenosis would have been significantly overestimated (0.85+/-0.08; P:&lt;0.01).\nCONCLUSIONS: Coronary pressure measurements made by a pressure wire at maximum hyperemia provide a simple, practical method for assessing the individual hemodynamic significance of multiple stenoses within the same artery.","container-title":"Circulation","ISSN":"1524-4539","issue":"19","journalAbbreviation":"Circulation","language":"eng","note":"PMID: 11067791","page":"2371-2377","source":"PubMed","title":"Coronary pressure measurement to assess the hemodynamic significance of serial stenoses within one coronary artery: validation in humans","title-short":"Coronary pressure measurement to assess the hemodynamic significance of serial stenoses within one coronary artery","volume":"102","author":[{"family":"Pijls","given":"N. H."},{"family":"De Bruyne","given":"B."},{"family":"Bech","given":"G. J."},{"family":"Liistro","given":"F."},{"family":"Heyndrickx","given":"G. R."},{"family":"Bonnier","given":"H. J."},{"family":"Koolen","given":"J. J."}],"issued":{"date-parts":[["2000",11,7]]}}}],"schema":"https://github.com/citation-style-language/schema/raw/master/csl-citation.json"} </w:instrText>
      </w:r>
      <w:r w:rsidR="00106A32" w:rsidRPr="00EC6C19">
        <w:rPr>
          <w:rFonts w:ascii="Times New Roman" w:hAnsi="Times New Roman" w:cs="Times New Roman"/>
          <w:sz w:val="24"/>
          <w:szCs w:val="24"/>
        </w:rPr>
        <w:fldChar w:fldCharType="separate"/>
      </w:r>
      <w:r w:rsidR="003930FC" w:rsidRPr="00EC6C19">
        <w:rPr>
          <w:rFonts w:ascii="Times New Roman" w:hAnsi="Times New Roman" w:cs="Times New Roman"/>
          <w:sz w:val="24"/>
          <w:szCs w:val="24"/>
        </w:rPr>
        <w:t xml:space="preserve">(Pijls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2000)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meaning potentially a more distal wire position, and a greater hydrostatic pressure effect in such scenarios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{"citationID":"vbjUgSsz","properties":{"formattedCitation":"(Bruyne et al., 2000)","plainCitation":"(Bruyne et al., 2000)","noteIndex":0},"citationItems":[{"id":685,"uris":["http://zotero.org/users/local/k67tNDdX/items/B8M2UC7Y"],"uri":["http://zotero.org/users/local/k67tNDdX/items/B8M2UC7Y"],"itemData":{"id":685,"type":"article-journal","abstract":"Background—Fractional flow reserve (FFR) is an index of stenosis severity validated for isolated stenoses. This study develops the theoretical basis and experimentally validates equations for predicting FFR of sequential stenoses separately.\nMethods and Results—For 2 stenoses in series, equations were derived to predict FFR (FFRpred) of each stenosis separately (ie, as if the other one were removed) from arterial pressure (Pa), pressure between the 2 stenoses (Pm), distal coronary pressure (Pd), and coronary occlusive pressure (Pw). In 5 dogs with 2 stenoses of varying severity in the left circumflex coronary artery, FFRpred was compared with FFRapp (ratio of the pressure just distal to that just proximal to each stenoses) and to FFRtrue (ratio of the pressures distal to proximal to each stenosis but after removal of the other one) in case of fixed distal and varying proximal stenoses (n=15) and in case of fixed proximal and varying distal stenoses (n=20). The overestimation of FFRtrue by FFRapp was larger than that of FFRtrue by FFRpred (0.070±0.007 versus 0.029±0.004, P&lt;0.01 for fixed distal stenoses, and 0.114±0.01 versus 0.036±0.004, P&lt;0.01 for fixed proximal stenoses). This overestimation of FFRtrue by FFRapp was larger for fixed proximal than for fixed distal stenoses.\nConclusions—The interaction between 2 stenoses is such that FFR of each lesion separately cannot be calculated by the equation for isolated stenoses (Pd/Pa during hyperemia) applied to each separately but can be predicted by more complete equations taking into account Pa, Pm, Pd, and Pw.","container-title":"Circulation","DOI":"10.1161/01.CIR.101.15.1840","ISSN":"0009-7322, 1524-4539","issue":"15","language":"en","note":"PMID: 10769286","page":"1840-1847","source":"circ.ahajournals.org","title":"Pressure-Derived Fractional Flow Reserve to Assess Serial Epicardial Stenoses: Theoretical Basis and Animal Validation","title-short":"Pressure-Derived Fractional Flow Reserve to Assess Serial Epicardial Stenoses","volume":"101","author":[{"family":"Bruyne","given":"Bernard De"},{"family":"Pijls","given":"Nico H. J."},{"family":"Heyndrickx","given":"Guy R."},{"family":"Hodeige","given":"Dominique"},{"family":"Kirkeeide","given":"Richard"},{"family":"Gould","given":"K. Lance"}],"issued":{"date-parts":[["2000",4,18]]}}}],"schema":"https://github.com/citation-style-language/schema/raw/master/csl-citation.json"} </w:instrText>
      </w:r>
      <w:r w:rsidR="00106A32" w:rsidRPr="00EC6C19">
        <w:rPr>
          <w:rFonts w:ascii="Times New Roman" w:hAnsi="Times New Roman" w:cs="Times New Roman"/>
          <w:sz w:val="24"/>
          <w:szCs w:val="24"/>
        </w:rPr>
        <w:fldChar w:fldCharType="separate"/>
      </w:r>
      <w:r w:rsidR="003930FC" w:rsidRPr="00EC6C19">
        <w:rPr>
          <w:rFonts w:ascii="Times New Roman" w:hAnsi="Times New Roman" w:cs="Times New Roman"/>
          <w:sz w:val="24"/>
          <w:szCs w:val="24"/>
        </w:rPr>
        <w:t xml:space="preserve">(Bruyne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2000)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5F1A06FD" w14:textId="77777777" w:rsidR="00DE5A27" w:rsidRPr="00EC6C19" w:rsidRDefault="00DE5A27" w:rsidP="00870AA2">
      <w:pPr>
        <w:spacing w:line="360" w:lineRule="auto"/>
        <w:rPr>
          <w:rFonts w:ascii="Times New Roman" w:hAnsi="Times New Roman" w:cs="Times New Roman"/>
          <w:sz w:val="24"/>
          <w:szCs w:val="24"/>
        </w:rPr>
      </w:pPr>
    </w:p>
    <w:p w14:paraId="048B0D07" w14:textId="77777777" w:rsidR="00375E7D" w:rsidRPr="008065E7" w:rsidRDefault="008065E7" w:rsidP="008065E7">
      <w:pPr>
        <w:pStyle w:val="Heading3"/>
        <w:rPr>
          <w:rFonts w:ascii="Times New Roman" w:hAnsi="Times New Roman" w:cs="Times New Roman"/>
          <w:b w:val="0"/>
          <w:i/>
          <w:color w:val="auto"/>
          <w:sz w:val="24"/>
          <w:szCs w:val="24"/>
        </w:rPr>
      </w:pPr>
      <w:bookmarkStart w:id="234" w:name="_Toc80302288"/>
      <w:r w:rsidRPr="008065E7">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7</w:t>
      </w:r>
      <w:r w:rsidRPr="008065E7">
        <w:rPr>
          <w:rFonts w:ascii="Times New Roman" w:hAnsi="Times New Roman" w:cs="Times New Roman"/>
          <w:b w:val="0"/>
          <w:i/>
          <w:color w:val="auto"/>
          <w:sz w:val="24"/>
          <w:szCs w:val="24"/>
        </w:rPr>
        <w:t xml:space="preserve">.6 - </w:t>
      </w:r>
      <w:r w:rsidR="00375E7D" w:rsidRPr="008065E7">
        <w:rPr>
          <w:rFonts w:ascii="Times New Roman" w:hAnsi="Times New Roman" w:cs="Times New Roman"/>
          <w:b w:val="0"/>
          <w:i/>
          <w:color w:val="auto"/>
          <w:sz w:val="24"/>
          <w:szCs w:val="24"/>
        </w:rPr>
        <w:t>Other Physiological Indices</w:t>
      </w:r>
      <w:bookmarkEnd w:id="234"/>
      <w:r>
        <w:rPr>
          <w:rFonts w:ascii="Times New Roman" w:hAnsi="Times New Roman" w:cs="Times New Roman"/>
          <w:b w:val="0"/>
          <w:i/>
          <w:color w:val="auto"/>
          <w:sz w:val="24"/>
          <w:szCs w:val="24"/>
        </w:rPr>
        <w:br/>
      </w:r>
    </w:p>
    <w:p w14:paraId="657F7558" w14:textId="77777777" w:rsidR="00375E7D" w:rsidRPr="00EC6C19" w:rsidRDefault="00375E7D" w:rsidP="00870AA2">
      <w:pPr>
        <w:spacing w:line="360" w:lineRule="auto"/>
        <w:rPr>
          <w:rFonts w:ascii="Times New Roman" w:hAnsi="Times New Roman" w:cs="Times New Roman"/>
          <w:i/>
          <w:sz w:val="24"/>
          <w:szCs w:val="24"/>
        </w:rPr>
      </w:pPr>
    </w:p>
    <w:p w14:paraId="65C5ACD3" w14:textId="77777777" w:rsidR="00375E7D" w:rsidRPr="00EC6C19" w:rsidRDefault="00375E7D" w:rsidP="00870AA2">
      <w:pPr>
        <w:spacing w:line="360" w:lineRule="auto"/>
        <w:rPr>
          <w:rFonts w:ascii="Times New Roman" w:hAnsi="Times New Roman" w:cs="Times New Roman"/>
          <w:sz w:val="24"/>
          <w:szCs w:val="24"/>
        </w:rPr>
      </w:pPr>
      <w:r w:rsidRPr="00EC6C19">
        <w:rPr>
          <w:rFonts w:ascii="Times New Roman" w:hAnsi="Times New Roman" w:cs="Times New Roman"/>
          <w:sz w:val="24"/>
          <w:szCs w:val="24"/>
        </w:rPr>
        <w:t>Distal coronary pressure is also utilised in other physiological measurements within coronary arteries.</w:t>
      </w:r>
      <w:r w:rsidR="008B2FE9" w:rsidRPr="00EC6C19">
        <w:rPr>
          <w:rFonts w:ascii="Times New Roman" w:hAnsi="Times New Roman" w:cs="Times New Roman"/>
          <w:sz w:val="24"/>
          <w:szCs w:val="24"/>
        </w:rPr>
        <w:t xml:space="preserve"> The index of microvascular resistance (IMR) u</w:t>
      </w:r>
      <w:r w:rsidR="007B194A" w:rsidRPr="00EC6C19">
        <w:rPr>
          <w:rFonts w:ascii="Times New Roman" w:hAnsi="Times New Roman" w:cs="Times New Roman"/>
          <w:sz w:val="24"/>
          <w:szCs w:val="24"/>
        </w:rPr>
        <w:t>tilised</w:t>
      </w:r>
      <w:r w:rsidR="008B2FE9" w:rsidRPr="00EC6C19">
        <w:rPr>
          <w:rFonts w:ascii="Times New Roman" w:hAnsi="Times New Roman" w:cs="Times New Roman"/>
          <w:sz w:val="24"/>
          <w:szCs w:val="24"/>
        </w:rPr>
        <w:t xml:space="preserve"> distal coronary pressure in part of the equation for its calculation</w:t>
      </w:r>
      <w:r w:rsidR="003930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{"citationID":"KSxDUYDw","properties":{"formattedCitation":"(Ng, Yeung and Fearon, 2006)","plainCitation":"(Ng, Yeung and Fearon, 2006)","noteIndex":0},"citationItems":[{"id":690,"uris":["http://zotero.org/users/local/k67tNDdX/items/U767SQE9"],"uri":["http://zotero.org/users/local/k67tNDdX/items/U767SQE9"],"itemData":{"id":690,"type":"article-journal","abstract":"Background— A simple, reproducible invasive method for assessing the coronary microcirculation is lacking. A novel index of microcirculatory resistance (IMR) has been shown in animals to correlate with true microvascular resistance and, unlike coronary flow reserve (CFR), to be independent of the epicardial artery. We sought to compare the reproducibility and hemodynamic dependence of IMR with CFR in humans.\nMethods and Results— Using a pressure-temperature sensor-tipped coronary wire, thermodilution-derived CFR and IMR were measured, along with fractional flow reserve (FFR), in 15 coronary arteries (15 patients) under the following hemodynamic conditions: (1) twice at baseline; (2) during right ventricular pacing at 110 bpm; (3) during intravenous infusion of nitroprusside; and (4) during intravenous dobutamine infusion. Mean CFR did not change during baseline measurements or during nitroprusside infusion but decreased during pacing (from 3.1±1.1 at baseline to 2.3±1.2 during pacing, P&lt;0.05) and during dobutamine infusion (from 3.0±1.0 to 1.7±0.6 with dobutamine, P&lt;0.0001). By comparison, mean values for IMR and FFR remained similar throughout all hemodynamic conditions. The mean coefficient of variation between 2 baseline measurements was significantly lower for IMR (6.9±6.5%) and FFR (1.6±1.6%) than for CFR (18.6±9.6%; P&lt;0.01). Mean correlation between baseline measurements and each hemodynamic intervention was superior for IMR (r=0.90±0.05) and FFR (r=0.86±0.12) compared with CFR (r=0.70±0.05; P&lt;0.05).\nConclusions— Compared with CFR, IMR provides a more reproducible assessment of the microcirculation, which is independent of hemodynamic perturbations. Simultaneous measurement of FFR and IMR may provide a comprehensive and specific assessment of coronary physiology at both epicardial and microvascular levels, respectively.","container-title":"Circulation","DOI":"10.1161/CIRCULATIONAHA.105.603522","ISSN":"0009-7322, 1524-4539","issue":"17","language":"en","note":"PMID: 16636168","page":"2054-2061","source":"circ.ahajournals.org","title":"Invasive Assessment of the Coronary Microcirculation: Superior Reproducibility and Less Hemodynamic Dependence of Index of Microcirculatory Resistance Compared With Coronary Flow Reserve","title-short":"Invasive Assessment of the Coronary Microcirculation","volume":"113","author":[{"family":"Ng","given":"Martin K. C."},{"family":"Yeung","given":"Alan C."},{"family":"Fearon","given":"William F."}],"issued":{"date-parts":[["2006",5,2]]}}}],"schema":"https://github.com/citation-style-language/schema/raw/master/csl-citation.json"}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(Ng, Yeung and Fearon, 2006)</w:t>
      </w:r>
      <w:r w:rsidR="00106A32" w:rsidRPr="00EC6C19">
        <w:rPr>
          <w:rFonts w:ascii="Times New Roman" w:hAnsi="Times New Roman" w:cs="Times New Roman"/>
          <w:sz w:val="24"/>
          <w:szCs w:val="24"/>
        </w:rPr>
        <w:fldChar w:fldCharType="end"/>
      </w:r>
      <w:r w:rsidR="007B194A" w:rsidRPr="00EC6C19">
        <w:rPr>
          <w:rFonts w:ascii="Times New Roman" w:hAnsi="Times New Roman" w:cs="Times New Roman"/>
          <w:sz w:val="24"/>
          <w:szCs w:val="24"/>
        </w:rPr>
        <w:t xml:space="preserve"> as shown below.</w:t>
      </w:r>
    </w:p>
    <w:p w14:paraId="6B83FE28" w14:textId="77777777" w:rsidR="007B194A" w:rsidRPr="00EC6C19" w:rsidRDefault="007B194A" w:rsidP="00870AA2">
      <w:pPr>
        <w:spacing w:line="360" w:lineRule="auto"/>
        <w:rPr>
          <w:rFonts w:ascii="Times New Roman" w:hAnsi="Times New Roman" w:cs="Times New Roman"/>
          <w:sz w:val="24"/>
          <w:szCs w:val="24"/>
        </w:rPr>
      </w:pPr>
    </w:p>
    <w:p w14:paraId="41BA26C3" w14:textId="77777777" w:rsidR="007B194A" w:rsidRPr="00EC6C19" w:rsidRDefault="007B194A" w:rsidP="007B194A">
      <w:pPr>
        <w:spacing w:line="360" w:lineRule="auto"/>
        <w:jc w:val="center"/>
        <w:rPr>
          <w:rFonts w:ascii="Times New Roman" w:hAnsi="Times New Roman" w:cs="Times New Roman"/>
          <w:sz w:val="24"/>
          <w:szCs w:val="24"/>
        </w:rPr>
      </w:pPr>
      <w:r w:rsidRPr="00EC6C19">
        <w:rPr>
          <w:rFonts w:ascii="Times New Roman" w:hAnsi="Times New Roman" w:cs="Times New Roman"/>
          <w:sz w:val="24"/>
          <w:szCs w:val="24"/>
        </w:rPr>
        <w:t>IMR = Distal Artery Pressure x Mean Transmit Time</w:t>
      </w:r>
    </w:p>
    <w:p w14:paraId="1D6DE5C7" w14:textId="77777777" w:rsidR="007B194A" w:rsidRPr="00EC6C19" w:rsidRDefault="007B194A" w:rsidP="00870AA2">
      <w:pPr>
        <w:spacing w:line="360" w:lineRule="auto"/>
        <w:rPr>
          <w:rFonts w:ascii="Times New Roman" w:hAnsi="Times New Roman" w:cs="Times New Roman"/>
          <w:sz w:val="24"/>
          <w:szCs w:val="24"/>
        </w:rPr>
      </w:pPr>
    </w:p>
    <w:p w14:paraId="1C14BC17" w14:textId="77777777" w:rsidR="007B194A" w:rsidRPr="00EC6C19" w:rsidRDefault="007B194A" w:rsidP="00870AA2">
      <w:pPr>
        <w:spacing w:line="360" w:lineRule="auto"/>
        <w:rPr>
          <w:rFonts w:ascii="Times New Roman" w:hAnsi="Times New Roman" w:cs="Times New Roman"/>
          <w:sz w:val="24"/>
          <w:szCs w:val="24"/>
        </w:rPr>
      </w:pPr>
      <w:r w:rsidRPr="00EC6C19">
        <w:rPr>
          <w:rFonts w:ascii="Times New Roman" w:hAnsi="Times New Roman" w:cs="Times New Roman"/>
          <w:sz w:val="24"/>
          <w:szCs w:val="24"/>
        </w:rPr>
        <w:t>As distal pressure is affected by hydrostatic effects, there may also be an impact on IMR calculation.</w:t>
      </w:r>
      <w:r w:rsidR="00B14289">
        <w:rPr>
          <w:rFonts w:ascii="Times New Roman" w:hAnsi="Times New Roman" w:cs="Times New Roman"/>
          <w:sz w:val="24"/>
          <w:szCs w:val="24"/>
        </w:rPr>
        <w:t xml:space="preserve"> A vessel inferior to the aorta (such as the circumflex) with higher distal artery pressure will produce a higher IMR compared to the LAD for example.</w:t>
      </w:r>
    </w:p>
    <w:p w14:paraId="62808C0E" w14:textId="77777777" w:rsidR="007B194A" w:rsidRPr="00EC6C19" w:rsidRDefault="007B194A" w:rsidP="00870AA2">
      <w:pPr>
        <w:spacing w:line="360" w:lineRule="auto"/>
        <w:rPr>
          <w:rFonts w:ascii="Times New Roman" w:hAnsi="Times New Roman" w:cs="Times New Roman"/>
          <w:sz w:val="24"/>
          <w:szCs w:val="24"/>
        </w:rPr>
      </w:pPr>
    </w:p>
    <w:p w14:paraId="7889DCC9" w14:textId="77777777" w:rsidR="007B194A" w:rsidRPr="008065E7" w:rsidRDefault="008065E7" w:rsidP="008065E7">
      <w:pPr>
        <w:pStyle w:val="Heading3"/>
        <w:rPr>
          <w:rFonts w:ascii="Times New Roman" w:hAnsi="Times New Roman" w:cs="Times New Roman"/>
          <w:b w:val="0"/>
          <w:i/>
          <w:color w:val="auto"/>
          <w:sz w:val="24"/>
          <w:szCs w:val="24"/>
        </w:rPr>
      </w:pPr>
      <w:bookmarkStart w:id="235" w:name="_Toc80302289"/>
      <w:r w:rsidRPr="008065E7">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7.8</w:t>
      </w:r>
      <w:r w:rsidRPr="008065E7">
        <w:rPr>
          <w:rFonts w:ascii="Times New Roman" w:hAnsi="Times New Roman" w:cs="Times New Roman"/>
          <w:b w:val="0"/>
          <w:i/>
          <w:color w:val="auto"/>
          <w:sz w:val="24"/>
          <w:szCs w:val="24"/>
        </w:rPr>
        <w:t xml:space="preserve"> - </w:t>
      </w:r>
      <w:r w:rsidR="007B194A" w:rsidRPr="008065E7">
        <w:rPr>
          <w:rFonts w:ascii="Times New Roman" w:hAnsi="Times New Roman" w:cs="Times New Roman"/>
          <w:b w:val="0"/>
          <w:i/>
          <w:color w:val="auto"/>
          <w:sz w:val="24"/>
          <w:szCs w:val="24"/>
        </w:rPr>
        <w:t>Accounting for Hydrostatic Pressure Effect</w:t>
      </w:r>
      <w:bookmarkEnd w:id="235"/>
    </w:p>
    <w:p w14:paraId="5BE7F3D8" w14:textId="77777777" w:rsidR="007B194A" w:rsidRPr="00EC6C19" w:rsidRDefault="008065E7" w:rsidP="00870AA2">
      <w:pPr>
        <w:spacing w:line="360" w:lineRule="auto"/>
        <w:rPr>
          <w:rFonts w:ascii="Times New Roman" w:hAnsi="Times New Roman" w:cs="Times New Roman"/>
          <w:sz w:val="24"/>
          <w:szCs w:val="24"/>
          <w:u w:val="single"/>
        </w:rPr>
      </w:pPr>
      <w:r>
        <w:rPr>
          <w:rFonts w:ascii="Times New Roman" w:hAnsi="Times New Roman" w:cs="Times New Roman"/>
          <w:sz w:val="24"/>
          <w:szCs w:val="24"/>
          <w:u w:val="single"/>
        </w:rPr>
        <w:br/>
      </w:r>
    </w:p>
    <w:p w14:paraId="6C8283CD" w14:textId="479E093F" w:rsidR="007B194A" w:rsidRPr="00EC6C19" w:rsidRDefault="005E744A" w:rsidP="00870AA2">
      <w:pPr>
        <w:spacing w:line="360" w:lineRule="auto"/>
        <w:rPr>
          <w:rFonts w:ascii="Times New Roman" w:hAnsi="Times New Roman" w:cs="Times New Roman"/>
          <w:sz w:val="24"/>
          <w:szCs w:val="24"/>
        </w:rPr>
      </w:pPr>
      <w:r w:rsidRPr="00EC6C19">
        <w:rPr>
          <w:rFonts w:ascii="Times New Roman" w:hAnsi="Times New Roman" w:cs="Times New Roman"/>
          <w:sz w:val="24"/>
          <w:szCs w:val="24"/>
        </w:rPr>
        <w:t>Some c</w:t>
      </w:r>
      <w:r w:rsidR="00E73B72">
        <w:rPr>
          <w:rFonts w:ascii="Times New Roman" w:hAnsi="Times New Roman" w:cs="Times New Roman"/>
          <w:sz w:val="24"/>
          <w:szCs w:val="24"/>
        </w:rPr>
        <w:t>ardiologists</w:t>
      </w:r>
      <w:r w:rsidRPr="00EC6C19">
        <w:rPr>
          <w:rFonts w:ascii="Times New Roman" w:hAnsi="Times New Roman" w:cs="Times New Roman"/>
          <w:sz w:val="24"/>
          <w:szCs w:val="24"/>
        </w:rPr>
        <w:t xml:space="preserve"> may claim hydrostatic effect is another minor confounding </w:t>
      </w:r>
      <w:r w:rsidR="00BB4477" w:rsidRPr="00EC6C19">
        <w:rPr>
          <w:rFonts w:ascii="Times New Roman" w:hAnsi="Times New Roman" w:cs="Times New Roman"/>
          <w:sz w:val="24"/>
          <w:szCs w:val="24"/>
        </w:rPr>
        <w:t>factor, such as atrial pressure</w:t>
      </w:r>
      <w:r w:rsidRPr="00EC6C19">
        <w:rPr>
          <w:rFonts w:ascii="Times New Roman" w:hAnsi="Times New Roman" w:cs="Times New Roman"/>
          <w:sz w:val="24"/>
          <w:szCs w:val="24"/>
        </w:rPr>
        <w:t xml:space="preserve"> or the individual patient response to adenosine. A lettered response to Härle's CT paper already summarises some of the communities' thoughts </w:t>
      </w:r>
      <w:r w:rsidR="00106A32" w:rsidRPr="00EC6C19">
        <w:rPr>
          <w:rFonts w:ascii="Times New Roman" w:hAnsi="Times New Roman" w:cs="Times New Roman"/>
          <w:sz w:val="24"/>
          <w:szCs w:val="24"/>
        </w:rPr>
        <w:fldChar w:fldCharType="begin"/>
      </w:r>
      <w:r w:rsidR="00D212BB" w:rsidRPr="00EC6C19">
        <w:rPr>
          <w:rFonts w:ascii="Times New Roman" w:hAnsi="Times New Roman" w:cs="Times New Roman"/>
          <w:sz w:val="24"/>
          <w:szCs w:val="24"/>
        </w:rPr>
        <w:instrText xml:space="preserve"> ADDIN ZOTERO_ITEM CSL_CITATION {"citationID":"ueAsGkUi","properties":{"formattedCitation":"(Hydrostatic Forces: Don\\uc0\\u8217{}t Let the Pressure Get to Your Head! - PubMed - NCBI, 2019)","plainCitation":"(Hydrostatic Forces: Don’t Let the Pressure Get to Your Head! - PubMed - NCBI, 2019)","noteIndex":0},"citationItems":[{"id":762,"uris":["http://zotero.org/users/local/k67tNDdX/items/CXSDPAV4"],"uri":["http://zotero.org/users/local/k67tNDdX/items/CXSDPAV4"],"itemData":{"id":762,"type":"webpage","title":"Hydrostatic Forces: Don't Let the Pressure Get to Your Head! - PubMed - NCBI","URL":"https://www.ncbi.nlm.nih.gov/pubmed/28797436","accessed":{"date-parts":[["2019",10,29]]}}}],"schema":"https://github.com/citation-style-language/schema/raw/master/csl-citation.json"}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(Hydrostatic Forces: Don’t Let the Pressure Get to Your Head! - PubMed - NCBI, 2019)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BB4477" w:rsidRPr="00EC6C19">
        <w:rPr>
          <w:rFonts w:ascii="Times New Roman" w:hAnsi="Times New Roman" w:cs="Times New Roman"/>
          <w:sz w:val="24"/>
          <w:szCs w:val="24"/>
        </w:rPr>
        <w:t xml:space="preserve"> In summary, the response dampens the clinical importance of hydrostatic effect as just another minor confounding factor. The letter also highlights the wealth of data supporting </w:t>
      </w:r>
      <w:r w:rsidR="008B054A" w:rsidRPr="00EC6C19">
        <w:rPr>
          <w:rFonts w:ascii="Times New Roman" w:hAnsi="Times New Roman" w:cs="Times New Roman"/>
          <w:sz w:val="24"/>
          <w:szCs w:val="24"/>
        </w:rPr>
        <w:t>pressure</w:t>
      </w:r>
      <w:r w:rsidR="008B054A">
        <w:rPr>
          <w:rFonts w:ascii="Times New Roman" w:hAnsi="Times New Roman" w:cs="Times New Roman"/>
          <w:sz w:val="24"/>
          <w:szCs w:val="24"/>
        </w:rPr>
        <w:t>-</w:t>
      </w:r>
      <w:r w:rsidR="00BB4477" w:rsidRPr="00EC6C19">
        <w:rPr>
          <w:rFonts w:ascii="Times New Roman" w:hAnsi="Times New Roman" w:cs="Times New Roman"/>
          <w:sz w:val="24"/>
          <w:szCs w:val="24"/>
        </w:rPr>
        <w:t>based indices, and the fact that in reality, patients are standing upright in their daily lives, not lying prone or supine.</w:t>
      </w:r>
    </w:p>
    <w:p w14:paraId="6607439C" w14:textId="60C3BB0F" w:rsidR="00926C43" w:rsidRPr="00EC6C19" w:rsidRDefault="00A10BBA" w:rsidP="00870AA2">
      <w:pPr>
        <w:spacing w:line="360" w:lineRule="auto"/>
        <w:rPr>
          <w:rFonts w:ascii="Times New Roman" w:hAnsi="Times New Roman" w:cs="Times New Roman"/>
          <w:sz w:val="24"/>
          <w:szCs w:val="24"/>
        </w:rPr>
      </w:pPr>
      <w:r w:rsidRPr="00EC6C19">
        <w:rPr>
          <w:rFonts w:ascii="Times New Roman" w:hAnsi="Times New Roman" w:cs="Times New Roman"/>
          <w:sz w:val="24"/>
          <w:szCs w:val="24"/>
        </w:rPr>
        <w:t>One cannot however deny the basic physical principles that underpin this concept</w:t>
      </w:r>
      <w:r w:rsidR="005E744A" w:rsidRPr="00EC6C19">
        <w:rPr>
          <w:rFonts w:ascii="Times New Roman" w:hAnsi="Times New Roman" w:cs="Times New Roman"/>
          <w:sz w:val="24"/>
          <w:szCs w:val="24"/>
        </w:rPr>
        <w:t>.</w:t>
      </w:r>
      <w:r w:rsidR="00E73B72">
        <w:rPr>
          <w:rFonts w:ascii="Times New Roman" w:hAnsi="Times New Roman" w:cs="Times New Roman"/>
          <w:sz w:val="24"/>
          <w:szCs w:val="24"/>
        </w:rPr>
        <w:t xml:space="preserve"> Patients are upright in daily life, but we have always assess</w:t>
      </w:r>
      <w:r w:rsidR="003D731F">
        <w:rPr>
          <w:rFonts w:ascii="Times New Roman" w:hAnsi="Times New Roman" w:cs="Times New Roman"/>
          <w:sz w:val="24"/>
          <w:szCs w:val="24"/>
        </w:rPr>
        <w:t>ed</w:t>
      </w:r>
      <w:r w:rsidR="00E73B72">
        <w:rPr>
          <w:rFonts w:ascii="Times New Roman" w:hAnsi="Times New Roman" w:cs="Times New Roman"/>
          <w:sz w:val="24"/>
          <w:szCs w:val="24"/>
        </w:rPr>
        <w:t xml:space="preserve"> coronary physiology when supine. This study also does not aim to discredit the wealth of data for </w:t>
      </w:r>
      <w:r w:rsidR="008B054A">
        <w:rPr>
          <w:rFonts w:ascii="Times New Roman" w:hAnsi="Times New Roman" w:cs="Times New Roman"/>
          <w:sz w:val="24"/>
          <w:szCs w:val="24"/>
        </w:rPr>
        <w:t>pressure-</w:t>
      </w:r>
      <w:r w:rsidR="00E73B72">
        <w:rPr>
          <w:rFonts w:ascii="Times New Roman" w:hAnsi="Times New Roman" w:cs="Times New Roman"/>
          <w:sz w:val="24"/>
          <w:szCs w:val="24"/>
        </w:rPr>
        <w:t>based indices, rather highlight a potential unknown variable.</w:t>
      </w:r>
      <w:r w:rsidR="005E744A" w:rsidRPr="00EC6C19">
        <w:rPr>
          <w:rFonts w:ascii="Times New Roman" w:hAnsi="Times New Roman" w:cs="Times New Roman"/>
          <w:sz w:val="24"/>
          <w:szCs w:val="24"/>
        </w:rPr>
        <w:t xml:space="preserve"> A single cut-off point is an oversimplification of pressure based physiological assessment</w:t>
      </w:r>
      <w:r w:rsidRPr="00EC6C19">
        <w:rPr>
          <w:rFonts w:ascii="Times New Roman" w:hAnsi="Times New Roman" w:cs="Times New Roman"/>
          <w:sz w:val="24"/>
          <w:szCs w:val="24"/>
        </w:rPr>
        <w:t xml:space="preserve">. </w:t>
      </w:r>
      <w:r w:rsidR="005E744A" w:rsidRPr="00EC6C19">
        <w:rPr>
          <w:rFonts w:ascii="Times New Roman" w:hAnsi="Times New Roman" w:cs="Times New Roman"/>
          <w:sz w:val="24"/>
          <w:szCs w:val="24"/>
        </w:rPr>
        <w:t xml:space="preserve">Vessels </w:t>
      </w:r>
      <w:r w:rsidRPr="00EC6C19">
        <w:rPr>
          <w:rFonts w:ascii="Times New Roman" w:hAnsi="Times New Roman" w:cs="Times New Roman"/>
          <w:sz w:val="24"/>
          <w:szCs w:val="24"/>
        </w:rPr>
        <w:t xml:space="preserve">are not in the same vertical plane. </w:t>
      </w:r>
      <w:r w:rsidR="005E744A" w:rsidRPr="00EC6C19">
        <w:rPr>
          <w:rFonts w:ascii="Times New Roman" w:hAnsi="Times New Roman" w:cs="Times New Roman"/>
          <w:sz w:val="24"/>
          <w:szCs w:val="24"/>
        </w:rPr>
        <w:t xml:space="preserve">In some cases, </w:t>
      </w:r>
      <w:r w:rsidRPr="00EC6C19">
        <w:rPr>
          <w:rFonts w:ascii="Times New Roman" w:hAnsi="Times New Roman" w:cs="Times New Roman"/>
          <w:sz w:val="24"/>
          <w:szCs w:val="24"/>
        </w:rPr>
        <w:t>hydrostatic effects may be negligible, however there are some key concepts that have arisen from this study</w:t>
      </w:r>
      <w:r w:rsidR="008B054A">
        <w:rPr>
          <w:rFonts w:ascii="Times New Roman" w:hAnsi="Times New Roman" w:cs="Times New Roman"/>
          <w:sz w:val="24"/>
          <w:szCs w:val="24"/>
        </w:rPr>
        <w:t>:</w:t>
      </w:r>
    </w:p>
    <w:p w14:paraId="3FB9A67E" w14:textId="77777777" w:rsidR="00A10BBA" w:rsidRPr="00EC6C19" w:rsidRDefault="00A10BBA" w:rsidP="00A10BBA">
      <w:pPr>
        <w:pStyle w:val="ListParagraph"/>
        <w:spacing w:line="360" w:lineRule="auto"/>
        <w:rPr>
          <w:rFonts w:ascii="Times New Roman" w:hAnsi="Times New Roman" w:cs="Times New Roman"/>
          <w:sz w:val="24"/>
          <w:szCs w:val="24"/>
        </w:rPr>
      </w:pPr>
    </w:p>
    <w:p w14:paraId="5034FC0D" w14:textId="77777777" w:rsidR="00A10BBA" w:rsidRPr="00EC6C19" w:rsidRDefault="00A10BBA" w:rsidP="00A10BBA">
      <w:pPr>
        <w:pStyle w:val="ListParagraph"/>
        <w:numPr>
          <w:ilvl w:val="0"/>
          <w:numId w:val="35"/>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 more distal the wire is placed in the vessel, the larger the potential hydrostatic effect</w:t>
      </w:r>
      <w:r w:rsidR="003D731F">
        <w:rPr>
          <w:rFonts w:ascii="Times New Roman" w:hAnsi="Times New Roman" w:cs="Times New Roman"/>
          <w:sz w:val="24"/>
          <w:szCs w:val="24"/>
        </w:rPr>
        <w:t>.</w:t>
      </w:r>
    </w:p>
    <w:p w14:paraId="1BB6551E" w14:textId="77777777" w:rsidR="00A10BBA" w:rsidRPr="00EC6C19" w:rsidRDefault="00A10BBA" w:rsidP="00A10BBA">
      <w:pPr>
        <w:pStyle w:val="ListParagraph"/>
        <w:spacing w:line="360" w:lineRule="auto"/>
        <w:rPr>
          <w:rFonts w:ascii="Times New Roman" w:hAnsi="Times New Roman" w:cs="Times New Roman"/>
          <w:sz w:val="24"/>
          <w:szCs w:val="24"/>
        </w:rPr>
      </w:pPr>
    </w:p>
    <w:p w14:paraId="3CEC23EF" w14:textId="77777777" w:rsidR="00A10BBA" w:rsidRPr="00EC6C19" w:rsidRDefault="00A10BBA" w:rsidP="00A10BBA">
      <w:pPr>
        <w:pStyle w:val="ListParagraph"/>
        <w:numPr>
          <w:ilvl w:val="0"/>
          <w:numId w:val="35"/>
        </w:numPr>
        <w:spacing w:line="360" w:lineRule="auto"/>
        <w:rPr>
          <w:rFonts w:ascii="Times New Roman" w:hAnsi="Times New Roman" w:cs="Times New Roman"/>
          <w:sz w:val="24"/>
          <w:szCs w:val="24"/>
        </w:rPr>
      </w:pPr>
      <w:r w:rsidRPr="00EC6C19">
        <w:rPr>
          <w:rFonts w:ascii="Times New Roman" w:hAnsi="Times New Roman" w:cs="Times New Roman"/>
          <w:sz w:val="24"/>
          <w:szCs w:val="24"/>
        </w:rPr>
        <w:t>The same lesion in a superiorly positioned artery, will not yield the same FFR result if positioned in an inferiorly positioned artery</w:t>
      </w:r>
      <w:r w:rsidR="00D82223" w:rsidRPr="00EC6C19">
        <w:rPr>
          <w:rFonts w:ascii="Times New Roman" w:hAnsi="Times New Roman" w:cs="Times New Roman"/>
          <w:sz w:val="24"/>
          <w:szCs w:val="24"/>
        </w:rPr>
        <w:t xml:space="preserve"> (PLV vs. PDA).</w:t>
      </w:r>
    </w:p>
    <w:p w14:paraId="4A2B5EF7" w14:textId="77777777" w:rsidR="005E744A" w:rsidRPr="00EC6C19" w:rsidRDefault="005E744A" w:rsidP="005E744A">
      <w:pPr>
        <w:pStyle w:val="ListParagraph"/>
        <w:spacing w:line="360" w:lineRule="auto"/>
        <w:rPr>
          <w:rFonts w:ascii="Times New Roman" w:hAnsi="Times New Roman" w:cs="Times New Roman"/>
          <w:sz w:val="24"/>
          <w:szCs w:val="24"/>
        </w:rPr>
      </w:pPr>
    </w:p>
    <w:p w14:paraId="7CE70D15" w14:textId="77777777" w:rsidR="005E744A" w:rsidRPr="00EC6C19" w:rsidRDefault="003D731F" w:rsidP="00A10BBA">
      <w:pPr>
        <w:pStyle w:val="ListParagraph"/>
        <w:numPr>
          <w:ilvl w:val="0"/>
          <w:numId w:val="35"/>
        </w:numPr>
        <w:spacing w:line="360" w:lineRule="auto"/>
        <w:rPr>
          <w:rFonts w:ascii="Times New Roman" w:hAnsi="Times New Roman" w:cs="Times New Roman"/>
          <w:sz w:val="24"/>
          <w:szCs w:val="24"/>
        </w:rPr>
      </w:pPr>
      <w:r>
        <w:rPr>
          <w:rFonts w:ascii="Times New Roman" w:hAnsi="Times New Roman" w:cs="Times New Roman"/>
          <w:sz w:val="24"/>
          <w:szCs w:val="24"/>
        </w:rPr>
        <w:t>There is potentially a greater effect</w:t>
      </w:r>
      <w:r w:rsidR="005E744A" w:rsidRPr="00EC6C19">
        <w:rPr>
          <w:rFonts w:ascii="Times New Roman" w:hAnsi="Times New Roman" w:cs="Times New Roman"/>
          <w:sz w:val="24"/>
          <w:szCs w:val="24"/>
        </w:rPr>
        <w:t xml:space="preserve"> in resting indices</w:t>
      </w:r>
      <w:r>
        <w:rPr>
          <w:rFonts w:ascii="Times New Roman" w:hAnsi="Times New Roman" w:cs="Times New Roman"/>
          <w:sz w:val="24"/>
          <w:szCs w:val="24"/>
        </w:rPr>
        <w:t>.</w:t>
      </w:r>
    </w:p>
    <w:p w14:paraId="46EDD949" w14:textId="77777777" w:rsidR="005E744A" w:rsidRPr="00EC6C19" w:rsidRDefault="005E744A" w:rsidP="005E744A">
      <w:pPr>
        <w:pStyle w:val="ListParagraph"/>
        <w:spacing w:line="360" w:lineRule="auto"/>
        <w:rPr>
          <w:rFonts w:ascii="Times New Roman" w:hAnsi="Times New Roman" w:cs="Times New Roman"/>
          <w:sz w:val="24"/>
          <w:szCs w:val="24"/>
        </w:rPr>
      </w:pPr>
    </w:p>
    <w:p w14:paraId="2DB5ACB2" w14:textId="77777777" w:rsidR="005E744A" w:rsidRPr="00EC6C19" w:rsidRDefault="003D731F" w:rsidP="00A10BBA">
      <w:pPr>
        <w:pStyle w:val="ListParagraph"/>
        <w:numPr>
          <w:ilvl w:val="0"/>
          <w:numId w:val="35"/>
        </w:numPr>
        <w:spacing w:line="360" w:lineRule="auto"/>
        <w:rPr>
          <w:rFonts w:ascii="Times New Roman" w:hAnsi="Times New Roman" w:cs="Times New Roman"/>
          <w:sz w:val="24"/>
          <w:szCs w:val="24"/>
        </w:rPr>
      </w:pPr>
      <w:r>
        <w:rPr>
          <w:rFonts w:ascii="Times New Roman" w:hAnsi="Times New Roman" w:cs="Times New Roman"/>
          <w:sz w:val="24"/>
          <w:szCs w:val="24"/>
        </w:rPr>
        <w:t>Re-classification of ischaemia</w:t>
      </w:r>
      <w:r w:rsidR="005E744A" w:rsidRPr="00EC6C19">
        <w:rPr>
          <w:rFonts w:ascii="Times New Roman" w:hAnsi="Times New Roman" w:cs="Times New Roman"/>
          <w:sz w:val="24"/>
          <w:szCs w:val="24"/>
        </w:rPr>
        <w:t xml:space="preserve"> is common around treatment thresholds</w:t>
      </w:r>
      <w:r>
        <w:rPr>
          <w:rFonts w:ascii="Times New Roman" w:hAnsi="Times New Roman" w:cs="Times New Roman"/>
          <w:sz w:val="24"/>
          <w:szCs w:val="24"/>
        </w:rPr>
        <w:t xml:space="preserve"> when correcting for hydrostatic pressure effects.</w:t>
      </w:r>
    </w:p>
    <w:p w14:paraId="2DAF0713" w14:textId="77777777" w:rsidR="00D82223" w:rsidRPr="00EC6C19" w:rsidRDefault="00D82223" w:rsidP="00D82223">
      <w:pPr>
        <w:spacing w:line="360" w:lineRule="auto"/>
        <w:rPr>
          <w:rFonts w:ascii="Times New Roman" w:hAnsi="Times New Roman" w:cs="Times New Roman"/>
          <w:sz w:val="24"/>
          <w:szCs w:val="24"/>
        </w:rPr>
      </w:pPr>
    </w:p>
    <w:p w14:paraId="2EAF38A6" w14:textId="4FEC1626" w:rsidR="00D82223" w:rsidRPr="00EC6C19" w:rsidRDefault="005E744A"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The aim is</w:t>
      </w:r>
      <w:r w:rsidR="00D82223" w:rsidRPr="00EC6C19">
        <w:rPr>
          <w:rFonts w:ascii="Times New Roman" w:hAnsi="Times New Roman" w:cs="Times New Roman"/>
          <w:sz w:val="24"/>
          <w:szCs w:val="24"/>
        </w:rPr>
        <w:t xml:space="preserve"> to </w:t>
      </w:r>
      <w:r w:rsidR="00E73B72">
        <w:rPr>
          <w:rFonts w:ascii="Times New Roman" w:hAnsi="Times New Roman" w:cs="Times New Roman"/>
          <w:sz w:val="24"/>
          <w:szCs w:val="24"/>
        </w:rPr>
        <w:t xml:space="preserve">try and abolish </w:t>
      </w:r>
      <w:r w:rsidR="005922D6">
        <w:rPr>
          <w:rFonts w:ascii="Times New Roman" w:hAnsi="Times New Roman" w:cs="Times New Roman"/>
          <w:sz w:val="24"/>
          <w:szCs w:val="24"/>
        </w:rPr>
        <w:t xml:space="preserve">or correct </w:t>
      </w:r>
      <w:r w:rsidR="00E73B72">
        <w:rPr>
          <w:rFonts w:ascii="Times New Roman" w:hAnsi="Times New Roman" w:cs="Times New Roman"/>
          <w:sz w:val="24"/>
          <w:szCs w:val="24"/>
        </w:rPr>
        <w:t>hydrostatic effect as a confounding variable</w:t>
      </w:r>
      <w:r w:rsidR="00D82223" w:rsidRPr="00EC6C19">
        <w:rPr>
          <w:rFonts w:ascii="Times New Roman" w:hAnsi="Times New Roman" w:cs="Times New Roman"/>
          <w:sz w:val="24"/>
          <w:szCs w:val="24"/>
        </w:rPr>
        <w:t xml:space="preserve">. I feel there should be different treatment thresholds or cut-off points for each coronary artery. For example, the circumflex artery should have a </w:t>
      </w:r>
      <w:r w:rsidR="001551C3" w:rsidRPr="00EC6C19">
        <w:rPr>
          <w:rFonts w:ascii="Times New Roman" w:hAnsi="Times New Roman" w:cs="Times New Roman"/>
          <w:sz w:val="24"/>
          <w:szCs w:val="24"/>
        </w:rPr>
        <w:t>raised</w:t>
      </w:r>
      <w:r w:rsidR="007C0B62">
        <w:rPr>
          <w:rFonts w:ascii="Times New Roman" w:hAnsi="Times New Roman" w:cs="Times New Roman"/>
          <w:sz w:val="24"/>
          <w:szCs w:val="24"/>
        </w:rPr>
        <w:t xml:space="preserve"> FFR</w:t>
      </w:r>
      <w:r w:rsidR="001551C3" w:rsidRPr="00EC6C19">
        <w:rPr>
          <w:rFonts w:ascii="Times New Roman" w:hAnsi="Times New Roman" w:cs="Times New Roman"/>
          <w:sz w:val="24"/>
          <w:szCs w:val="24"/>
        </w:rPr>
        <w:t xml:space="preserve"> threshold</w:t>
      </w:r>
      <w:r w:rsidR="00D82223" w:rsidRPr="00EC6C19">
        <w:rPr>
          <w:rFonts w:ascii="Times New Roman" w:hAnsi="Times New Roman" w:cs="Times New Roman"/>
          <w:sz w:val="24"/>
          <w:szCs w:val="24"/>
        </w:rPr>
        <w:t xml:space="preserve"> (0.83-0.85) to account for the higher starting measurement, which is usually above 1.0 in mildly diseased or normal arteries. In turn the LAD should have a lowered threshold, to account for its lower starting point</w:t>
      </w:r>
      <w:r w:rsidR="00D82223" w:rsidRPr="007C0B62">
        <w:rPr>
          <w:rFonts w:ascii="Times New Roman" w:hAnsi="Times New Roman" w:cs="Times New Roman"/>
          <w:sz w:val="24"/>
          <w:szCs w:val="24"/>
        </w:rPr>
        <w:t xml:space="preserve">. Table </w:t>
      </w:r>
      <w:r w:rsidR="007C0B62" w:rsidRPr="007C0B62">
        <w:rPr>
          <w:rFonts w:ascii="Times New Roman" w:hAnsi="Times New Roman" w:cs="Times New Roman"/>
          <w:sz w:val="24"/>
          <w:szCs w:val="24"/>
        </w:rPr>
        <w:t>39</w:t>
      </w:r>
      <w:r w:rsidR="00D82223" w:rsidRPr="007C0B62">
        <w:rPr>
          <w:rFonts w:ascii="Times New Roman" w:hAnsi="Times New Roman" w:cs="Times New Roman"/>
          <w:sz w:val="24"/>
          <w:szCs w:val="24"/>
        </w:rPr>
        <w:t xml:space="preserve"> summarises</w:t>
      </w:r>
      <w:r w:rsidR="00D82223" w:rsidRPr="00EC6C19">
        <w:rPr>
          <w:rFonts w:ascii="Times New Roman" w:hAnsi="Times New Roman" w:cs="Times New Roman"/>
          <w:sz w:val="24"/>
          <w:szCs w:val="24"/>
        </w:rPr>
        <w:t xml:space="preserve"> the suggested values</w:t>
      </w:r>
      <w:r w:rsidR="007C0B62">
        <w:rPr>
          <w:rFonts w:ascii="Times New Roman" w:hAnsi="Times New Roman" w:cs="Times New Roman"/>
          <w:sz w:val="24"/>
          <w:szCs w:val="24"/>
        </w:rPr>
        <w:t xml:space="preserve"> for FFR</w:t>
      </w:r>
      <w:r w:rsidR="00D82223" w:rsidRPr="00EC6C19">
        <w:rPr>
          <w:rFonts w:ascii="Times New Roman" w:hAnsi="Times New Roman" w:cs="Times New Roman"/>
          <w:sz w:val="24"/>
          <w:szCs w:val="24"/>
        </w:rPr>
        <w:t>.</w:t>
      </w:r>
    </w:p>
    <w:p w14:paraId="131CFC7E" w14:textId="77777777" w:rsidR="00D82223" w:rsidRPr="00EC6C19" w:rsidRDefault="00D82223" w:rsidP="00D82223">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2329"/>
        <w:gridCol w:w="2343"/>
        <w:gridCol w:w="2345"/>
        <w:gridCol w:w="2343"/>
      </w:tblGrid>
      <w:tr w:rsidR="00D82223" w:rsidRPr="00EC6C19" w14:paraId="1F33F139" w14:textId="77777777" w:rsidTr="00E73B72">
        <w:tc>
          <w:tcPr>
            <w:tcW w:w="2394" w:type="dxa"/>
            <w:shd w:val="clear" w:color="auto" w:fill="F2F2F2" w:themeFill="background1" w:themeFillShade="F2"/>
          </w:tcPr>
          <w:p w14:paraId="5A0F2C7D" w14:textId="77777777" w:rsidR="00D82223" w:rsidRPr="00EC6C19" w:rsidRDefault="00D8222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Vessel</w:t>
            </w:r>
          </w:p>
          <w:p w14:paraId="132A9287" w14:textId="77777777" w:rsidR="001551C3" w:rsidRPr="00EC6C19" w:rsidRDefault="001551C3" w:rsidP="00D82223">
            <w:pPr>
              <w:spacing w:line="360" w:lineRule="auto"/>
              <w:rPr>
                <w:rFonts w:ascii="Times New Roman" w:hAnsi="Times New Roman" w:cs="Times New Roman"/>
                <w:sz w:val="24"/>
                <w:szCs w:val="24"/>
              </w:rPr>
            </w:pPr>
          </w:p>
        </w:tc>
        <w:tc>
          <w:tcPr>
            <w:tcW w:w="2394" w:type="dxa"/>
            <w:shd w:val="clear" w:color="auto" w:fill="F2F2F2" w:themeFill="background1" w:themeFillShade="F2"/>
          </w:tcPr>
          <w:p w14:paraId="6343F3B9" w14:textId="77777777" w:rsidR="00D82223" w:rsidRPr="00EC6C19" w:rsidRDefault="00D8222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Current </w:t>
            </w:r>
            <w:r w:rsidR="001551C3" w:rsidRPr="00EC6C19">
              <w:rPr>
                <w:rFonts w:ascii="Times New Roman" w:hAnsi="Times New Roman" w:cs="Times New Roman"/>
                <w:sz w:val="24"/>
                <w:szCs w:val="24"/>
              </w:rPr>
              <w:t xml:space="preserve">FFR </w:t>
            </w:r>
            <w:r w:rsidRPr="00EC6C19">
              <w:rPr>
                <w:rFonts w:ascii="Times New Roman" w:hAnsi="Times New Roman" w:cs="Times New Roman"/>
                <w:sz w:val="24"/>
                <w:szCs w:val="24"/>
              </w:rPr>
              <w:t>Threshold</w:t>
            </w:r>
          </w:p>
        </w:tc>
        <w:tc>
          <w:tcPr>
            <w:tcW w:w="2394" w:type="dxa"/>
            <w:shd w:val="clear" w:color="auto" w:fill="F2F2F2" w:themeFill="background1" w:themeFillShade="F2"/>
          </w:tcPr>
          <w:p w14:paraId="40E9E044" w14:textId="77777777" w:rsidR="00D82223" w:rsidRPr="00EC6C19" w:rsidRDefault="00D8222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Correction Factor</w:t>
            </w:r>
          </w:p>
        </w:tc>
        <w:tc>
          <w:tcPr>
            <w:tcW w:w="2394" w:type="dxa"/>
            <w:shd w:val="clear" w:color="auto" w:fill="F2F2F2" w:themeFill="background1" w:themeFillShade="F2"/>
          </w:tcPr>
          <w:p w14:paraId="674D654C" w14:textId="77777777" w:rsidR="00D82223" w:rsidRPr="00EC6C19" w:rsidRDefault="00D8222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New</w:t>
            </w:r>
            <w:r w:rsidR="001551C3" w:rsidRPr="00EC6C19">
              <w:rPr>
                <w:rFonts w:ascii="Times New Roman" w:hAnsi="Times New Roman" w:cs="Times New Roman"/>
                <w:sz w:val="24"/>
                <w:szCs w:val="24"/>
              </w:rPr>
              <w:t xml:space="preserve"> FFR</w:t>
            </w:r>
            <w:r w:rsidRPr="00EC6C19">
              <w:rPr>
                <w:rFonts w:ascii="Times New Roman" w:hAnsi="Times New Roman" w:cs="Times New Roman"/>
                <w:sz w:val="24"/>
                <w:szCs w:val="24"/>
              </w:rPr>
              <w:t xml:space="preserve"> Threshold</w:t>
            </w:r>
          </w:p>
        </w:tc>
      </w:tr>
      <w:tr w:rsidR="00D82223" w:rsidRPr="00EC6C19" w14:paraId="39618731" w14:textId="77777777" w:rsidTr="00E73B72">
        <w:tc>
          <w:tcPr>
            <w:tcW w:w="2394" w:type="dxa"/>
            <w:shd w:val="clear" w:color="auto" w:fill="FFFFFF" w:themeFill="background1"/>
          </w:tcPr>
          <w:p w14:paraId="26B9DEAA"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LAD</w:t>
            </w:r>
          </w:p>
          <w:p w14:paraId="439FFA1F" w14:textId="77777777" w:rsidR="001551C3" w:rsidRPr="00EC6C19" w:rsidRDefault="001551C3" w:rsidP="00D82223">
            <w:pPr>
              <w:spacing w:line="360" w:lineRule="auto"/>
              <w:rPr>
                <w:rFonts w:ascii="Times New Roman" w:hAnsi="Times New Roman" w:cs="Times New Roman"/>
                <w:sz w:val="24"/>
                <w:szCs w:val="24"/>
              </w:rPr>
            </w:pPr>
          </w:p>
        </w:tc>
        <w:tc>
          <w:tcPr>
            <w:tcW w:w="2394" w:type="dxa"/>
            <w:shd w:val="clear" w:color="auto" w:fill="FFFFFF" w:themeFill="background1"/>
          </w:tcPr>
          <w:p w14:paraId="6B4B5359" w14:textId="77777777" w:rsidR="00D82223" w:rsidRPr="00EC6C19" w:rsidRDefault="001551C3" w:rsidP="001551C3">
            <w:pPr>
              <w:spacing w:line="360" w:lineRule="auto"/>
              <w:rPr>
                <w:rFonts w:ascii="Times New Roman" w:hAnsi="Times New Roman" w:cs="Times New Roman"/>
                <w:sz w:val="24"/>
                <w:szCs w:val="24"/>
              </w:rPr>
            </w:pPr>
            <w:r w:rsidRPr="00EC6C19">
              <w:rPr>
                <w:rFonts w:ascii="Times New Roman" w:hAnsi="Times New Roman" w:cs="Times New Roman"/>
                <w:sz w:val="24"/>
                <w:szCs w:val="24"/>
              </w:rPr>
              <w:t>0.80</w:t>
            </w:r>
          </w:p>
        </w:tc>
        <w:tc>
          <w:tcPr>
            <w:tcW w:w="2394" w:type="dxa"/>
            <w:shd w:val="clear" w:color="auto" w:fill="FFFFFF" w:themeFill="background1"/>
          </w:tcPr>
          <w:p w14:paraId="43C9603D"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-0.04</w:t>
            </w:r>
          </w:p>
        </w:tc>
        <w:tc>
          <w:tcPr>
            <w:tcW w:w="2394" w:type="dxa"/>
            <w:shd w:val="clear" w:color="auto" w:fill="FFFFFF" w:themeFill="background1"/>
          </w:tcPr>
          <w:p w14:paraId="1F7DD503"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0.76</w:t>
            </w:r>
          </w:p>
        </w:tc>
      </w:tr>
      <w:tr w:rsidR="00D82223" w:rsidRPr="00EC6C19" w14:paraId="176C54A3" w14:textId="77777777" w:rsidTr="00E73B72">
        <w:tc>
          <w:tcPr>
            <w:tcW w:w="2394" w:type="dxa"/>
            <w:shd w:val="clear" w:color="auto" w:fill="FFFFFF" w:themeFill="background1"/>
          </w:tcPr>
          <w:p w14:paraId="6D8C37FE"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Cx</w:t>
            </w:r>
          </w:p>
          <w:p w14:paraId="374CF945" w14:textId="77777777" w:rsidR="001551C3" w:rsidRPr="00EC6C19" w:rsidRDefault="001551C3" w:rsidP="00D82223">
            <w:pPr>
              <w:spacing w:line="360" w:lineRule="auto"/>
              <w:rPr>
                <w:rFonts w:ascii="Times New Roman" w:hAnsi="Times New Roman" w:cs="Times New Roman"/>
                <w:sz w:val="24"/>
                <w:szCs w:val="24"/>
              </w:rPr>
            </w:pPr>
          </w:p>
        </w:tc>
        <w:tc>
          <w:tcPr>
            <w:tcW w:w="2394" w:type="dxa"/>
            <w:shd w:val="clear" w:color="auto" w:fill="FFFFFF" w:themeFill="background1"/>
          </w:tcPr>
          <w:p w14:paraId="1F03986C"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0.80</w:t>
            </w:r>
          </w:p>
        </w:tc>
        <w:tc>
          <w:tcPr>
            <w:tcW w:w="2394" w:type="dxa"/>
            <w:shd w:val="clear" w:color="auto" w:fill="FFFFFF" w:themeFill="background1"/>
          </w:tcPr>
          <w:p w14:paraId="67FB1E3B"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+0.03</w:t>
            </w:r>
          </w:p>
        </w:tc>
        <w:tc>
          <w:tcPr>
            <w:tcW w:w="2394" w:type="dxa"/>
            <w:shd w:val="clear" w:color="auto" w:fill="FFFFFF" w:themeFill="background1"/>
          </w:tcPr>
          <w:p w14:paraId="27C3A3B6"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0.83</w:t>
            </w:r>
          </w:p>
        </w:tc>
      </w:tr>
      <w:tr w:rsidR="00D82223" w:rsidRPr="00EC6C19" w14:paraId="7DD45161" w14:textId="77777777" w:rsidTr="00E73B72">
        <w:tc>
          <w:tcPr>
            <w:tcW w:w="2394" w:type="dxa"/>
            <w:shd w:val="clear" w:color="auto" w:fill="FFFFFF" w:themeFill="background1"/>
          </w:tcPr>
          <w:p w14:paraId="31F7AAB0"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PLV</w:t>
            </w:r>
          </w:p>
          <w:p w14:paraId="055BE1A1" w14:textId="77777777" w:rsidR="001551C3" w:rsidRPr="00EC6C19" w:rsidRDefault="001551C3" w:rsidP="00D82223">
            <w:pPr>
              <w:spacing w:line="360" w:lineRule="auto"/>
              <w:rPr>
                <w:rFonts w:ascii="Times New Roman" w:hAnsi="Times New Roman" w:cs="Times New Roman"/>
                <w:sz w:val="24"/>
                <w:szCs w:val="24"/>
              </w:rPr>
            </w:pPr>
          </w:p>
        </w:tc>
        <w:tc>
          <w:tcPr>
            <w:tcW w:w="2394" w:type="dxa"/>
            <w:shd w:val="clear" w:color="auto" w:fill="FFFFFF" w:themeFill="background1"/>
          </w:tcPr>
          <w:p w14:paraId="30EBA01A"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0.80</w:t>
            </w:r>
          </w:p>
        </w:tc>
        <w:tc>
          <w:tcPr>
            <w:tcW w:w="2394" w:type="dxa"/>
            <w:shd w:val="clear" w:color="auto" w:fill="FFFFFF" w:themeFill="background1"/>
          </w:tcPr>
          <w:p w14:paraId="5A69CB47"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+0.05</w:t>
            </w:r>
          </w:p>
        </w:tc>
        <w:tc>
          <w:tcPr>
            <w:tcW w:w="2394" w:type="dxa"/>
            <w:shd w:val="clear" w:color="auto" w:fill="FFFFFF" w:themeFill="background1"/>
          </w:tcPr>
          <w:p w14:paraId="27A847B9"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0.85</w:t>
            </w:r>
          </w:p>
        </w:tc>
      </w:tr>
      <w:tr w:rsidR="00D82223" w:rsidRPr="00EC6C19" w14:paraId="3423F4AF" w14:textId="77777777" w:rsidTr="00E73B72">
        <w:tc>
          <w:tcPr>
            <w:tcW w:w="2394" w:type="dxa"/>
            <w:shd w:val="clear" w:color="auto" w:fill="FFFFFF" w:themeFill="background1"/>
          </w:tcPr>
          <w:p w14:paraId="5542F9E3"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PDA</w:t>
            </w:r>
          </w:p>
          <w:p w14:paraId="057958DA" w14:textId="77777777" w:rsidR="001551C3" w:rsidRPr="00EC6C19" w:rsidRDefault="001551C3" w:rsidP="00D82223">
            <w:pPr>
              <w:spacing w:line="360" w:lineRule="auto"/>
              <w:rPr>
                <w:rFonts w:ascii="Times New Roman" w:hAnsi="Times New Roman" w:cs="Times New Roman"/>
                <w:sz w:val="24"/>
                <w:szCs w:val="24"/>
              </w:rPr>
            </w:pPr>
          </w:p>
        </w:tc>
        <w:tc>
          <w:tcPr>
            <w:tcW w:w="2394" w:type="dxa"/>
            <w:shd w:val="clear" w:color="auto" w:fill="FFFFFF" w:themeFill="background1"/>
          </w:tcPr>
          <w:p w14:paraId="1B525F71"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0.80</w:t>
            </w:r>
          </w:p>
        </w:tc>
        <w:tc>
          <w:tcPr>
            <w:tcW w:w="2394" w:type="dxa"/>
            <w:shd w:val="clear" w:color="auto" w:fill="FFFFFF" w:themeFill="background1"/>
          </w:tcPr>
          <w:p w14:paraId="42242706"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-0.02</w:t>
            </w:r>
          </w:p>
        </w:tc>
        <w:tc>
          <w:tcPr>
            <w:tcW w:w="2394" w:type="dxa"/>
            <w:shd w:val="clear" w:color="auto" w:fill="FFFFFF" w:themeFill="background1"/>
          </w:tcPr>
          <w:p w14:paraId="7FF9FB20" w14:textId="77777777" w:rsidR="00D82223" w:rsidRPr="00EC6C19" w:rsidRDefault="001551C3" w:rsidP="00D82223">
            <w:pPr>
              <w:spacing w:line="360" w:lineRule="auto"/>
              <w:rPr>
                <w:rFonts w:ascii="Times New Roman" w:hAnsi="Times New Roman" w:cs="Times New Roman"/>
                <w:sz w:val="24"/>
                <w:szCs w:val="24"/>
              </w:rPr>
            </w:pPr>
            <w:r w:rsidRPr="00EC6C19">
              <w:rPr>
                <w:rFonts w:ascii="Times New Roman" w:hAnsi="Times New Roman" w:cs="Times New Roman"/>
                <w:sz w:val="24"/>
                <w:szCs w:val="24"/>
              </w:rPr>
              <w:t>0.78</w:t>
            </w:r>
          </w:p>
        </w:tc>
      </w:tr>
    </w:tbl>
    <w:p w14:paraId="626EB35E" w14:textId="77777777" w:rsidR="00E73B72" w:rsidRDefault="00E73B72" w:rsidP="000B4057">
      <w:pPr>
        <w:spacing w:line="360" w:lineRule="auto"/>
        <w:rPr>
          <w:rFonts w:ascii="Times New Roman" w:hAnsi="Times New Roman" w:cs="Times New Roman"/>
          <w:i/>
          <w:sz w:val="24"/>
          <w:szCs w:val="24"/>
        </w:rPr>
      </w:pPr>
    </w:p>
    <w:p w14:paraId="4BE3F62A" w14:textId="77777777" w:rsidR="000B4057" w:rsidRPr="007C0B62" w:rsidRDefault="007C0B62" w:rsidP="007C0B62">
      <w:pPr>
        <w:pStyle w:val="Caption"/>
        <w:spacing w:line="360" w:lineRule="auto"/>
        <w:rPr>
          <w:rFonts w:ascii="Times New Roman" w:hAnsi="Times New Roman" w:cs="Times New Roman"/>
          <w:b w:val="0"/>
          <w:i/>
          <w:color w:val="auto"/>
          <w:sz w:val="24"/>
          <w:szCs w:val="24"/>
        </w:rPr>
      </w:pPr>
      <w:bookmarkStart w:id="236" w:name="_Toc44962615"/>
      <w:r w:rsidRPr="007C0B62">
        <w:rPr>
          <w:rFonts w:ascii="Times New Roman" w:hAnsi="Times New Roman" w:cs="Times New Roman"/>
          <w:b w:val="0"/>
          <w:i/>
          <w:color w:val="auto"/>
          <w:sz w:val="24"/>
          <w:szCs w:val="24"/>
        </w:rPr>
        <w:t xml:space="preserve">Table </w:t>
      </w:r>
      <w:r w:rsidR="00106A32" w:rsidRPr="007C0B62">
        <w:rPr>
          <w:rFonts w:ascii="Times New Roman" w:hAnsi="Times New Roman" w:cs="Times New Roman"/>
          <w:b w:val="0"/>
          <w:i/>
          <w:color w:val="auto"/>
          <w:sz w:val="24"/>
          <w:szCs w:val="24"/>
        </w:rPr>
        <w:fldChar w:fldCharType="begin"/>
      </w:r>
      <w:r w:rsidRPr="007C0B62">
        <w:rPr>
          <w:rFonts w:ascii="Times New Roman" w:hAnsi="Times New Roman" w:cs="Times New Roman"/>
          <w:b w:val="0"/>
          <w:i/>
          <w:color w:val="auto"/>
          <w:sz w:val="24"/>
          <w:szCs w:val="24"/>
        </w:rPr>
        <w:instrText xml:space="preserve"> SEQ Table \* ARABIC </w:instrText>
      </w:r>
      <w:r w:rsidR="00106A32" w:rsidRPr="007C0B6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39</w:t>
      </w:r>
      <w:r w:rsidR="00106A32" w:rsidRPr="007C0B62">
        <w:rPr>
          <w:rFonts w:ascii="Times New Roman" w:hAnsi="Times New Roman" w:cs="Times New Roman"/>
          <w:b w:val="0"/>
          <w:i/>
          <w:color w:val="auto"/>
          <w:sz w:val="24"/>
          <w:szCs w:val="24"/>
        </w:rPr>
        <w:fldChar w:fldCharType="end"/>
      </w:r>
      <w:r w:rsidRPr="007C0B62">
        <w:rPr>
          <w:rFonts w:ascii="Times New Roman" w:hAnsi="Times New Roman" w:cs="Times New Roman"/>
          <w:b w:val="0"/>
          <w:i/>
          <w:color w:val="auto"/>
          <w:sz w:val="24"/>
          <w:szCs w:val="24"/>
        </w:rPr>
        <w:t xml:space="preserve"> - Vessel Specific FFR</w:t>
      </w:r>
      <w:bookmarkEnd w:id="236"/>
    </w:p>
    <w:p w14:paraId="03677B02" w14:textId="77777777" w:rsidR="007C0B62" w:rsidRPr="007C0B62" w:rsidRDefault="007C0B62" w:rsidP="007C0B62"/>
    <w:p w14:paraId="33E6B5B9" w14:textId="2F1A98A1" w:rsidR="007D7E03" w:rsidRPr="00EC6C19" w:rsidRDefault="000B4057"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Vessel specific FFR</w:t>
      </w:r>
      <w:r w:rsidR="00B9672C">
        <w:rPr>
          <w:rFonts w:ascii="Times New Roman" w:hAnsi="Times New Roman" w:cs="Times New Roman"/>
          <w:sz w:val="24"/>
          <w:szCs w:val="24"/>
        </w:rPr>
        <w:t>, iFR and even Pd/Pa,</w:t>
      </w:r>
      <w:r w:rsidR="00A860AA" w:rsidRPr="00EC6C19">
        <w:rPr>
          <w:rFonts w:ascii="Times New Roman" w:hAnsi="Times New Roman" w:cs="Times New Roman"/>
          <w:sz w:val="24"/>
          <w:szCs w:val="24"/>
        </w:rPr>
        <w:t xml:space="preserve"> could give the operator </w:t>
      </w:r>
      <w:r w:rsidR="005922D6">
        <w:rPr>
          <w:rFonts w:ascii="Times New Roman" w:hAnsi="Times New Roman" w:cs="Times New Roman"/>
          <w:sz w:val="24"/>
          <w:szCs w:val="24"/>
        </w:rPr>
        <w:t>a more balanced assessment of</w:t>
      </w:r>
      <w:r w:rsidR="00A860AA" w:rsidRPr="00EC6C19">
        <w:rPr>
          <w:rFonts w:ascii="Times New Roman" w:hAnsi="Times New Roman" w:cs="Times New Roman"/>
          <w:sz w:val="24"/>
          <w:szCs w:val="24"/>
        </w:rPr>
        <w:t xml:space="preserve"> a coronary stenosis. There are some</w:t>
      </w:r>
      <w:r w:rsidR="00756A67" w:rsidRPr="00EC6C19">
        <w:rPr>
          <w:rFonts w:ascii="Times New Roman" w:hAnsi="Times New Roman" w:cs="Times New Roman"/>
          <w:sz w:val="24"/>
          <w:szCs w:val="24"/>
        </w:rPr>
        <w:t xml:space="preserve"> limitations </w:t>
      </w:r>
      <w:r w:rsidR="005922D6">
        <w:rPr>
          <w:rFonts w:ascii="Times New Roman" w:hAnsi="Times New Roman" w:cs="Times New Roman"/>
          <w:sz w:val="24"/>
          <w:szCs w:val="24"/>
        </w:rPr>
        <w:t>with such a suggestion however</w:t>
      </w:r>
      <w:r w:rsidR="00756A67" w:rsidRPr="00EC6C19">
        <w:rPr>
          <w:rFonts w:ascii="Times New Roman" w:hAnsi="Times New Roman" w:cs="Times New Roman"/>
          <w:sz w:val="24"/>
          <w:szCs w:val="24"/>
        </w:rPr>
        <w:t>.</w:t>
      </w:r>
      <w:r w:rsidR="005922D6">
        <w:rPr>
          <w:rFonts w:ascii="Times New Roman" w:hAnsi="Times New Roman" w:cs="Times New Roman"/>
          <w:sz w:val="24"/>
          <w:szCs w:val="24"/>
        </w:rPr>
        <w:t xml:space="preserve"> </w:t>
      </w:r>
      <w:r w:rsidR="00756A67" w:rsidRPr="00EC6C19">
        <w:rPr>
          <w:rFonts w:ascii="Times New Roman" w:hAnsi="Times New Roman" w:cs="Times New Roman"/>
          <w:sz w:val="24"/>
          <w:szCs w:val="24"/>
        </w:rPr>
        <w:t>Firstly, t</w:t>
      </w:r>
      <w:r w:rsidR="00A860AA" w:rsidRPr="00EC6C19">
        <w:rPr>
          <w:rFonts w:ascii="Times New Roman" w:hAnsi="Times New Roman" w:cs="Times New Roman"/>
          <w:sz w:val="24"/>
          <w:szCs w:val="24"/>
        </w:rPr>
        <w:t xml:space="preserve">he vessel specific values given </w:t>
      </w:r>
      <w:r w:rsidR="00A860AA" w:rsidRPr="007C0B62">
        <w:rPr>
          <w:rFonts w:ascii="Times New Roman" w:hAnsi="Times New Roman" w:cs="Times New Roman"/>
          <w:sz w:val="24"/>
          <w:szCs w:val="24"/>
        </w:rPr>
        <w:t xml:space="preserve">in table </w:t>
      </w:r>
      <w:r w:rsidR="00B9672C">
        <w:rPr>
          <w:rFonts w:ascii="Times New Roman" w:hAnsi="Times New Roman" w:cs="Times New Roman"/>
          <w:sz w:val="24"/>
          <w:szCs w:val="24"/>
        </w:rPr>
        <w:t>39</w:t>
      </w:r>
      <w:r w:rsidR="00A860AA" w:rsidRPr="007C0B62">
        <w:rPr>
          <w:rFonts w:ascii="Times New Roman" w:hAnsi="Times New Roman" w:cs="Times New Roman"/>
          <w:sz w:val="24"/>
          <w:szCs w:val="24"/>
        </w:rPr>
        <w:t xml:space="preserve"> are suggestions</w:t>
      </w:r>
      <w:r w:rsidR="00A860AA" w:rsidRPr="00EC6C19">
        <w:rPr>
          <w:rFonts w:ascii="Times New Roman" w:hAnsi="Times New Roman" w:cs="Times New Roman"/>
          <w:sz w:val="24"/>
          <w:szCs w:val="24"/>
        </w:rPr>
        <w:t xml:space="preserve"> from the data set obtained during the study. </w:t>
      </w:r>
      <w:r w:rsidR="00E73B72">
        <w:rPr>
          <w:rFonts w:ascii="Times New Roman" w:hAnsi="Times New Roman" w:cs="Times New Roman"/>
          <w:sz w:val="24"/>
          <w:szCs w:val="24"/>
        </w:rPr>
        <w:t>More</w:t>
      </w:r>
      <w:r w:rsidR="005922D6">
        <w:rPr>
          <w:rFonts w:ascii="Times New Roman" w:hAnsi="Times New Roman" w:cs="Times New Roman"/>
          <w:sz w:val="24"/>
          <w:szCs w:val="24"/>
        </w:rPr>
        <w:t xml:space="preserve"> numerous</w:t>
      </w:r>
      <w:r w:rsidR="00E73B72">
        <w:rPr>
          <w:rFonts w:ascii="Times New Roman" w:hAnsi="Times New Roman" w:cs="Times New Roman"/>
          <w:sz w:val="24"/>
          <w:szCs w:val="24"/>
        </w:rPr>
        <w:t xml:space="preserve"> data</w:t>
      </w:r>
      <w:r w:rsidR="005922D6">
        <w:rPr>
          <w:rFonts w:ascii="Times New Roman" w:hAnsi="Times New Roman" w:cs="Times New Roman"/>
          <w:sz w:val="24"/>
          <w:szCs w:val="24"/>
        </w:rPr>
        <w:t xml:space="preserve"> measurement points across the length of the artery</w:t>
      </w:r>
      <w:r w:rsidR="00A860AA" w:rsidRPr="00EC6C19">
        <w:rPr>
          <w:rFonts w:ascii="Times New Roman" w:hAnsi="Times New Roman" w:cs="Times New Roman"/>
          <w:sz w:val="24"/>
          <w:szCs w:val="24"/>
        </w:rPr>
        <w:t xml:space="preserve"> </w:t>
      </w:r>
      <w:r w:rsidR="00E73B72">
        <w:rPr>
          <w:rFonts w:ascii="Times New Roman" w:hAnsi="Times New Roman" w:cs="Times New Roman"/>
          <w:sz w:val="24"/>
          <w:szCs w:val="24"/>
        </w:rPr>
        <w:t>are required</w:t>
      </w:r>
      <w:r w:rsidR="00A860AA" w:rsidRPr="00EC6C19">
        <w:rPr>
          <w:rFonts w:ascii="Times New Roman" w:hAnsi="Times New Roman" w:cs="Times New Roman"/>
          <w:sz w:val="24"/>
          <w:szCs w:val="24"/>
        </w:rPr>
        <w:t xml:space="preserve"> to produce a robust</w:t>
      </w:r>
      <w:r w:rsidR="005922D6">
        <w:rPr>
          <w:rFonts w:ascii="Times New Roman" w:hAnsi="Times New Roman" w:cs="Times New Roman"/>
          <w:sz w:val="24"/>
          <w:szCs w:val="24"/>
        </w:rPr>
        <w:t xml:space="preserve"> and complete data set, </w:t>
      </w:r>
      <w:r w:rsidR="0092462A">
        <w:rPr>
          <w:rFonts w:ascii="Times New Roman" w:hAnsi="Times New Roman" w:cs="Times New Roman"/>
          <w:sz w:val="24"/>
          <w:szCs w:val="24"/>
        </w:rPr>
        <w:t xml:space="preserve">the </w:t>
      </w:r>
      <w:r w:rsidR="005922D6">
        <w:rPr>
          <w:rFonts w:ascii="Times New Roman" w:hAnsi="Times New Roman" w:cs="Times New Roman"/>
          <w:sz w:val="24"/>
          <w:szCs w:val="24"/>
        </w:rPr>
        <w:t xml:space="preserve">data </w:t>
      </w:r>
      <w:r w:rsidR="00756A67" w:rsidRPr="00EC6C19">
        <w:rPr>
          <w:rFonts w:ascii="Times New Roman" w:hAnsi="Times New Roman" w:cs="Times New Roman"/>
          <w:sz w:val="24"/>
          <w:szCs w:val="24"/>
        </w:rPr>
        <w:t>from coronary CT for this study was in a selective group of patients (young female patients, low risk of ischaemic heart disease), and do</w:t>
      </w:r>
      <w:r w:rsidR="005922D6">
        <w:rPr>
          <w:rFonts w:ascii="Times New Roman" w:hAnsi="Times New Roman" w:cs="Times New Roman"/>
          <w:sz w:val="24"/>
          <w:szCs w:val="24"/>
        </w:rPr>
        <w:t>es</w:t>
      </w:r>
      <w:r w:rsidR="00756A67" w:rsidRPr="00EC6C19">
        <w:rPr>
          <w:rFonts w:ascii="Times New Roman" w:hAnsi="Times New Roman" w:cs="Times New Roman"/>
          <w:sz w:val="24"/>
          <w:szCs w:val="24"/>
        </w:rPr>
        <w:t xml:space="preserve"> not mirror the general population. Furthermore, height variations are affected by multiple factors, such as sex</w:t>
      </w:r>
      <w:r w:rsidR="00AD38B7" w:rsidRPr="00EC6C19">
        <w:rPr>
          <w:rFonts w:ascii="Times New Roman" w:hAnsi="Times New Roman" w:cs="Times New Roman"/>
          <w:sz w:val="24"/>
          <w:szCs w:val="24"/>
        </w:rPr>
        <w:t xml:space="preserve"> and body height</w:t>
      </w:r>
      <w:r w:rsidR="00756A67" w:rsidRPr="00EC6C19">
        <w:rPr>
          <w:rFonts w:ascii="Times New Roman" w:hAnsi="Times New Roman" w:cs="Times New Roman"/>
          <w:sz w:val="24"/>
          <w:szCs w:val="24"/>
        </w:rPr>
        <w:t xml:space="preserve">, as demonstrated previously be Härle et al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{"citationID":"NrQzvabO","properties":{"formattedCitation":"(H\\uc0\\u228{}rle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 xml:space="preserve">(Härle </w:t>
      </w:r>
      <w:r w:rsidR="00B22321" w:rsidRPr="00EC6C19">
        <w:rPr>
          <w:rFonts w:ascii="Times New Roman" w:hAnsi="Times New Roman" w:cs="Times New Roman"/>
          <w:sz w:val="24"/>
          <w:szCs w:val="24"/>
        </w:rPr>
        <w:t>et al.,</w:t>
      </w:r>
      <w:r w:rsidR="003930FC" w:rsidRPr="00EC6C19">
        <w:rPr>
          <w:rFonts w:ascii="Times New Roman" w:hAnsi="Times New Roman" w:cs="Times New Roman"/>
          <w:sz w:val="24"/>
          <w:szCs w:val="24"/>
        </w:rPr>
        <w:t xml:space="preserve"> 2017</w:t>
      </w:r>
      <w:r w:rsidR="00756A5E" w:rsidRPr="00EC6C19">
        <w:rPr>
          <w:rFonts w:ascii="Times New Roman" w:hAnsi="Times New Roman" w:cs="Times New Roman"/>
          <w:sz w:val="24"/>
          <w:szCs w:val="24"/>
        </w:rPr>
        <w:t>a</w:t>
      </w:r>
      <w:r w:rsidR="00D212BB"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end"/>
      </w:r>
      <w:r w:rsidR="00454291" w:rsidRPr="00EC6C19">
        <w:rPr>
          <w:rFonts w:ascii="Times New Roman" w:hAnsi="Times New Roman" w:cs="Times New Roman"/>
          <w:sz w:val="24"/>
          <w:szCs w:val="24"/>
        </w:rPr>
        <w:t xml:space="preserve">. </w:t>
      </w:r>
    </w:p>
    <w:p w14:paraId="34D64450" w14:textId="77777777" w:rsidR="00756A67" w:rsidRPr="00EC6C19" w:rsidRDefault="00454291"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Patients with certain disease processes such as cardiomyopathy or valvular heart disease, may have altered coronary anatomy. This means a single value given for all arteries, across all patient ages, sex and medical </w:t>
      </w:r>
      <w:r w:rsidR="00E73B72">
        <w:rPr>
          <w:rFonts w:ascii="Times New Roman" w:hAnsi="Times New Roman" w:cs="Times New Roman"/>
          <w:sz w:val="24"/>
          <w:szCs w:val="24"/>
        </w:rPr>
        <w:t>history, may not be absolute</w:t>
      </w:r>
      <w:r w:rsidRPr="00EC6C19">
        <w:rPr>
          <w:rFonts w:ascii="Times New Roman" w:hAnsi="Times New Roman" w:cs="Times New Roman"/>
          <w:sz w:val="24"/>
          <w:szCs w:val="24"/>
        </w:rPr>
        <w:t xml:space="preserve">. </w:t>
      </w:r>
      <w:r w:rsidR="007D7E03" w:rsidRPr="00EC6C19">
        <w:rPr>
          <w:rFonts w:ascii="Times New Roman" w:hAnsi="Times New Roman" w:cs="Times New Roman"/>
          <w:sz w:val="24"/>
          <w:szCs w:val="24"/>
        </w:rPr>
        <w:t xml:space="preserve">Some </w:t>
      </w:r>
      <w:r w:rsidRPr="00EC6C19">
        <w:rPr>
          <w:rFonts w:ascii="Times New Roman" w:hAnsi="Times New Roman" w:cs="Times New Roman"/>
          <w:sz w:val="24"/>
          <w:szCs w:val="24"/>
        </w:rPr>
        <w:t>patients</w:t>
      </w:r>
      <w:r w:rsidR="00E73B72">
        <w:rPr>
          <w:rFonts w:ascii="Times New Roman" w:hAnsi="Times New Roman" w:cs="Times New Roman"/>
          <w:sz w:val="24"/>
          <w:szCs w:val="24"/>
        </w:rPr>
        <w:t xml:space="preserve"> also</w:t>
      </w:r>
      <w:r w:rsidRPr="00EC6C19">
        <w:rPr>
          <w:rFonts w:ascii="Times New Roman" w:hAnsi="Times New Roman" w:cs="Times New Roman"/>
          <w:sz w:val="24"/>
          <w:szCs w:val="24"/>
        </w:rPr>
        <w:t xml:space="preserve"> </w:t>
      </w:r>
      <w:r w:rsidR="007D7E03" w:rsidRPr="00EC6C19">
        <w:rPr>
          <w:rFonts w:ascii="Times New Roman" w:hAnsi="Times New Roman" w:cs="Times New Roman"/>
          <w:sz w:val="24"/>
          <w:szCs w:val="24"/>
        </w:rPr>
        <w:t>have anomalous coronary anatomy</w:t>
      </w:r>
      <w:r w:rsidRPr="00EC6C19">
        <w:rPr>
          <w:rFonts w:ascii="Times New Roman" w:hAnsi="Times New Roman" w:cs="Times New Roman"/>
          <w:sz w:val="24"/>
          <w:szCs w:val="24"/>
        </w:rPr>
        <w:t xml:space="preserve">. </w:t>
      </w:r>
    </w:p>
    <w:p w14:paraId="1B077D31" w14:textId="2A5E36C0" w:rsidR="00454291" w:rsidRPr="00EC6C19" w:rsidRDefault="00454291"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Secondly, the hydrostatic effect is not constant across the entire length of the vessel. </w:t>
      </w:r>
      <w:r w:rsidR="00BB4477" w:rsidRPr="00EC6C19">
        <w:rPr>
          <w:rFonts w:ascii="Times New Roman" w:hAnsi="Times New Roman" w:cs="Times New Roman"/>
          <w:sz w:val="24"/>
          <w:szCs w:val="24"/>
        </w:rPr>
        <w:t xml:space="preserve">A </w:t>
      </w:r>
      <w:r w:rsidRPr="00EC6C19">
        <w:rPr>
          <w:rFonts w:ascii="Times New Roman" w:hAnsi="Times New Roman" w:cs="Times New Roman"/>
          <w:sz w:val="24"/>
          <w:szCs w:val="24"/>
        </w:rPr>
        <w:t>grade</w:t>
      </w:r>
      <w:r w:rsidR="00684B84" w:rsidRPr="00EC6C19">
        <w:rPr>
          <w:rFonts w:ascii="Times New Roman" w:hAnsi="Times New Roman" w:cs="Times New Roman"/>
          <w:sz w:val="24"/>
          <w:szCs w:val="24"/>
        </w:rPr>
        <w:t>d</w:t>
      </w:r>
      <w:r w:rsidRPr="00EC6C19">
        <w:rPr>
          <w:rFonts w:ascii="Times New Roman" w:hAnsi="Times New Roman" w:cs="Times New Roman"/>
          <w:sz w:val="24"/>
          <w:szCs w:val="24"/>
        </w:rPr>
        <w:t xml:space="preserve"> change in hydrostatic effect, where for example the proximal circumflex FFR is adjusted by 0.01, mid vessel by 0.02 and distal vessel by 0.03</w:t>
      </w:r>
      <w:r w:rsidR="00BB4477" w:rsidRPr="00EC6C19">
        <w:rPr>
          <w:rFonts w:ascii="Times New Roman" w:hAnsi="Times New Roman" w:cs="Times New Roman"/>
          <w:sz w:val="24"/>
          <w:szCs w:val="24"/>
        </w:rPr>
        <w:t xml:space="preserve"> would be more accurate (more describe under Vessel Mapping below)</w:t>
      </w:r>
      <w:r w:rsidRPr="00EC6C19">
        <w:rPr>
          <w:rFonts w:ascii="Times New Roman" w:hAnsi="Times New Roman" w:cs="Times New Roman"/>
          <w:sz w:val="24"/>
          <w:szCs w:val="24"/>
        </w:rPr>
        <w:t xml:space="preserve">. </w:t>
      </w:r>
    </w:p>
    <w:p w14:paraId="095A8943" w14:textId="77777777" w:rsidR="0024561F" w:rsidRPr="00EC6C19" w:rsidRDefault="00E73B72" w:rsidP="000B4057">
      <w:pPr>
        <w:spacing w:line="360" w:lineRule="auto"/>
        <w:rPr>
          <w:rFonts w:ascii="Times New Roman" w:hAnsi="Times New Roman" w:cs="Times New Roman"/>
          <w:sz w:val="24"/>
          <w:szCs w:val="24"/>
        </w:rPr>
      </w:pPr>
      <w:r>
        <w:rPr>
          <w:rFonts w:ascii="Times New Roman" w:hAnsi="Times New Roman" w:cs="Times New Roman"/>
          <w:sz w:val="24"/>
          <w:szCs w:val="24"/>
        </w:rPr>
        <w:t xml:space="preserve">In some situations, </w:t>
      </w:r>
      <w:r w:rsidR="005922D6">
        <w:rPr>
          <w:rFonts w:ascii="Times New Roman" w:hAnsi="Times New Roman" w:cs="Times New Roman"/>
          <w:sz w:val="24"/>
          <w:szCs w:val="24"/>
        </w:rPr>
        <w:t>hydrostatic effect may not alter ischaemia classification</w:t>
      </w:r>
      <w:r>
        <w:rPr>
          <w:rFonts w:ascii="Times New Roman" w:hAnsi="Times New Roman" w:cs="Times New Roman"/>
          <w:sz w:val="24"/>
          <w:szCs w:val="24"/>
        </w:rPr>
        <w:t>. Using FFR as an example,</w:t>
      </w:r>
      <w:r w:rsidR="00684B84" w:rsidRPr="00EC6C19">
        <w:rPr>
          <w:rFonts w:ascii="Times New Roman" w:hAnsi="Times New Roman" w:cs="Times New Roman"/>
          <w:sz w:val="24"/>
          <w:szCs w:val="24"/>
        </w:rPr>
        <w:t xml:space="preserve"> the</w:t>
      </w:r>
      <w:r w:rsidR="0024561F" w:rsidRPr="00EC6C19">
        <w:rPr>
          <w:rFonts w:ascii="Times New Roman" w:hAnsi="Times New Roman" w:cs="Times New Roman"/>
          <w:sz w:val="24"/>
          <w:szCs w:val="24"/>
        </w:rPr>
        <w:t xml:space="preserve"> maximum</w:t>
      </w:r>
      <w:r w:rsidR="00684B84" w:rsidRPr="00EC6C19">
        <w:rPr>
          <w:rFonts w:ascii="Times New Roman" w:hAnsi="Times New Roman" w:cs="Times New Roman"/>
          <w:sz w:val="24"/>
          <w:szCs w:val="24"/>
        </w:rPr>
        <w:t xml:space="preserve"> hydrostatic effect in one position </w:t>
      </w:r>
      <w:r>
        <w:rPr>
          <w:rFonts w:ascii="Times New Roman" w:hAnsi="Times New Roman" w:cs="Times New Roman"/>
          <w:sz w:val="24"/>
          <w:szCs w:val="24"/>
        </w:rPr>
        <w:t>is thought to be 0.06</w:t>
      </w:r>
      <w:r w:rsidR="00684B84" w:rsidRPr="00EC6C19">
        <w:rPr>
          <w:rFonts w:ascii="Times New Roman" w:hAnsi="Times New Roman" w:cs="Times New Roman"/>
          <w:sz w:val="24"/>
          <w:szCs w:val="24"/>
        </w:rPr>
        <w:t xml:space="preserve"> </w:t>
      </w:r>
      <w:r>
        <w:rPr>
          <w:rFonts w:ascii="Times New Roman" w:hAnsi="Times New Roman" w:cs="Times New Roman"/>
          <w:sz w:val="24"/>
          <w:szCs w:val="24"/>
        </w:rPr>
        <w:t>on average</w:t>
      </w:r>
      <w:r w:rsidR="00684B84" w:rsidRPr="00EC6C19">
        <w:rPr>
          <w:rFonts w:ascii="Times New Roman" w:hAnsi="Times New Roman" w:cs="Times New Roman"/>
          <w:sz w:val="24"/>
          <w:szCs w:val="24"/>
        </w:rPr>
        <w:t>. If the</w:t>
      </w:r>
      <w:r w:rsidR="0024561F" w:rsidRPr="00EC6C19">
        <w:rPr>
          <w:rFonts w:ascii="Times New Roman" w:hAnsi="Times New Roman" w:cs="Times New Roman"/>
          <w:sz w:val="24"/>
          <w:szCs w:val="24"/>
        </w:rPr>
        <w:t xml:space="preserve"> FFR</w:t>
      </w:r>
      <w:r>
        <w:rPr>
          <w:rFonts w:ascii="Times New Roman" w:hAnsi="Times New Roman" w:cs="Times New Roman"/>
          <w:sz w:val="24"/>
          <w:szCs w:val="24"/>
        </w:rPr>
        <w:t xml:space="preserve"> reading is below 0.74 or above 0.86</w:t>
      </w:r>
      <w:r w:rsidR="00684B84" w:rsidRPr="00EC6C19">
        <w:rPr>
          <w:rFonts w:ascii="Times New Roman" w:hAnsi="Times New Roman" w:cs="Times New Roman"/>
          <w:sz w:val="24"/>
          <w:szCs w:val="24"/>
        </w:rPr>
        <w:t>, adjustment for hydrostatic effect is unlikely to change the clinical classification of the lesion from significant, to non-significant, and vice versa</w:t>
      </w:r>
      <w:r>
        <w:rPr>
          <w:rFonts w:ascii="Times New Roman" w:hAnsi="Times New Roman" w:cs="Times New Roman"/>
          <w:sz w:val="24"/>
          <w:szCs w:val="24"/>
        </w:rPr>
        <w:t>. If the FFR is between 0.74</w:t>
      </w:r>
      <w:r w:rsidR="00684B84" w:rsidRPr="00EC6C19">
        <w:rPr>
          <w:rFonts w:ascii="Times New Roman" w:hAnsi="Times New Roman" w:cs="Times New Roman"/>
          <w:sz w:val="24"/>
          <w:szCs w:val="24"/>
        </w:rPr>
        <w:t xml:space="preserve"> and 0.8</w:t>
      </w:r>
      <w:r>
        <w:rPr>
          <w:rFonts w:ascii="Times New Roman" w:hAnsi="Times New Roman" w:cs="Times New Roman"/>
          <w:sz w:val="24"/>
          <w:szCs w:val="24"/>
        </w:rPr>
        <w:t>6 however, the operator has several options. They may be mindful of the confounder of hydrostatic effect and make an informed decision. The operator may wish to correct for hydrostatic effect by using known correction factors. In the extreme, one could</w:t>
      </w:r>
      <w:r w:rsidR="00684B84" w:rsidRPr="00EC6C19">
        <w:rPr>
          <w:rFonts w:ascii="Times New Roman" w:hAnsi="Times New Roman" w:cs="Times New Roman"/>
          <w:sz w:val="24"/>
          <w:szCs w:val="24"/>
        </w:rPr>
        <w:t xml:space="preserve"> measure the guide to wire distance, in the catheter laboratory, using the left lateral position</w:t>
      </w:r>
      <w:r w:rsidR="0024561F" w:rsidRPr="00EC6C19">
        <w:rPr>
          <w:rFonts w:ascii="Times New Roman" w:hAnsi="Times New Roman" w:cs="Times New Roman"/>
          <w:sz w:val="24"/>
          <w:szCs w:val="24"/>
        </w:rPr>
        <w:t xml:space="preserve"> on the x-ray</w:t>
      </w:r>
      <w:r w:rsidR="00684B84" w:rsidRPr="00EC6C19">
        <w:rPr>
          <w:rFonts w:ascii="Times New Roman" w:hAnsi="Times New Roman" w:cs="Times New Roman"/>
          <w:sz w:val="24"/>
          <w:szCs w:val="24"/>
        </w:rPr>
        <w:t xml:space="preserve">, and acquire </w:t>
      </w:r>
      <w:r w:rsidR="0024561F" w:rsidRPr="00EC6C19">
        <w:rPr>
          <w:rFonts w:ascii="Times New Roman" w:hAnsi="Times New Roman" w:cs="Times New Roman"/>
          <w:sz w:val="24"/>
          <w:szCs w:val="24"/>
        </w:rPr>
        <w:t>the vertical distance between each. Using a correction factor of 0.8mmHg/cm, one could calculate the corrected FFR. This can then be combined with clinical judgment to decide on the most appropriate treatment strategy.</w:t>
      </w:r>
    </w:p>
    <w:p w14:paraId="71507540" w14:textId="7B672A8E" w:rsidR="0024561F" w:rsidRDefault="00E73B72" w:rsidP="000B4057">
      <w:pPr>
        <w:spacing w:line="360" w:lineRule="auto"/>
        <w:rPr>
          <w:rFonts w:ascii="Times New Roman" w:hAnsi="Times New Roman" w:cs="Times New Roman"/>
          <w:sz w:val="24"/>
          <w:szCs w:val="24"/>
        </w:rPr>
      </w:pPr>
      <w:r>
        <w:rPr>
          <w:rFonts w:ascii="Times New Roman" w:hAnsi="Times New Roman" w:cs="Times New Roman"/>
          <w:sz w:val="24"/>
          <w:szCs w:val="24"/>
        </w:rPr>
        <w:t xml:space="preserve">Each option has </w:t>
      </w:r>
      <w:r w:rsidR="005922D6">
        <w:rPr>
          <w:rFonts w:ascii="Times New Roman" w:hAnsi="Times New Roman" w:cs="Times New Roman"/>
          <w:sz w:val="24"/>
          <w:szCs w:val="24"/>
        </w:rPr>
        <w:t>advantages and limitations</w:t>
      </w:r>
      <w:r w:rsidR="0024561F" w:rsidRPr="00EC6C19">
        <w:rPr>
          <w:rFonts w:ascii="Times New Roman" w:hAnsi="Times New Roman" w:cs="Times New Roman"/>
          <w:sz w:val="24"/>
          <w:szCs w:val="24"/>
        </w:rPr>
        <w:t>,</w:t>
      </w:r>
      <w:r>
        <w:rPr>
          <w:rFonts w:ascii="Times New Roman" w:hAnsi="Times New Roman" w:cs="Times New Roman"/>
          <w:sz w:val="24"/>
          <w:szCs w:val="24"/>
        </w:rPr>
        <w:t xml:space="preserve"> with the last adding</w:t>
      </w:r>
      <w:r w:rsidR="0024561F" w:rsidRPr="00EC6C19">
        <w:rPr>
          <w:rFonts w:ascii="Times New Roman" w:hAnsi="Times New Roman" w:cs="Times New Roman"/>
          <w:sz w:val="24"/>
          <w:szCs w:val="24"/>
        </w:rPr>
        <w:t xml:space="preserve"> extra radiation and time to the procedure, which operators would</w:t>
      </w:r>
      <w:r w:rsidR="00F82072" w:rsidRPr="00EC6C19">
        <w:rPr>
          <w:rFonts w:ascii="Times New Roman" w:hAnsi="Times New Roman" w:cs="Times New Roman"/>
          <w:sz w:val="24"/>
          <w:szCs w:val="24"/>
        </w:rPr>
        <w:t xml:space="preserve"> prefer to</w:t>
      </w:r>
      <w:r w:rsidR="0024561F" w:rsidRPr="00EC6C19">
        <w:rPr>
          <w:rFonts w:ascii="Times New Roman" w:hAnsi="Times New Roman" w:cs="Times New Roman"/>
          <w:sz w:val="24"/>
          <w:szCs w:val="24"/>
        </w:rPr>
        <w:t xml:space="preserve"> avoid. It would however provide a more accurate assessment of the lesion in question, especially in the </w:t>
      </w:r>
      <w:r w:rsidR="007D7E03" w:rsidRPr="00EC6C19">
        <w:rPr>
          <w:rFonts w:ascii="Times New Roman" w:hAnsi="Times New Roman" w:cs="Times New Roman"/>
          <w:sz w:val="24"/>
          <w:szCs w:val="24"/>
        </w:rPr>
        <w:t>FFR 'grey zone' of 0.75 to 0.85.</w:t>
      </w:r>
    </w:p>
    <w:p w14:paraId="36AF1502" w14:textId="77777777" w:rsidR="000925DE" w:rsidRDefault="000925DE" w:rsidP="000B4057">
      <w:pPr>
        <w:spacing w:line="360" w:lineRule="auto"/>
        <w:rPr>
          <w:rFonts w:ascii="Times New Roman" w:hAnsi="Times New Roman" w:cs="Times New Roman"/>
          <w:sz w:val="24"/>
          <w:szCs w:val="24"/>
        </w:rPr>
      </w:pPr>
    </w:p>
    <w:p w14:paraId="75C5B1D5" w14:textId="77777777" w:rsidR="000925DE" w:rsidRPr="006C1A70" w:rsidRDefault="006C1A70" w:rsidP="006C1A70">
      <w:pPr>
        <w:pStyle w:val="Heading2"/>
        <w:rPr>
          <w:rFonts w:ascii="Times New Roman" w:hAnsi="Times New Roman" w:cs="Times New Roman"/>
          <w:color w:val="auto"/>
          <w:sz w:val="24"/>
          <w:szCs w:val="24"/>
        </w:rPr>
      </w:pPr>
      <w:bookmarkStart w:id="237" w:name="_Toc80302290"/>
      <w:r w:rsidRPr="006C1A70">
        <w:rPr>
          <w:rFonts w:ascii="Times New Roman" w:hAnsi="Times New Roman" w:cs="Times New Roman"/>
          <w:color w:val="auto"/>
          <w:sz w:val="24"/>
          <w:szCs w:val="24"/>
        </w:rPr>
        <w:t>4.</w:t>
      </w:r>
      <w:r w:rsidR="004A7AE9">
        <w:rPr>
          <w:rFonts w:ascii="Times New Roman" w:hAnsi="Times New Roman" w:cs="Times New Roman"/>
          <w:color w:val="auto"/>
          <w:sz w:val="24"/>
          <w:szCs w:val="24"/>
        </w:rPr>
        <w:t>8</w:t>
      </w:r>
      <w:r w:rsidRPr="006C1A70">
        <w:rPr>
          <w:rFonts w:ascii="Times New Roman" w:hAnsi="Times New Roman" w:cs="Times New Roman"/>
          <w:color w:val="auto"/>
          <w:sz w:val="24"/>
          <w:szCs w:val="24"/>
        </w:rPr>
        <w:t xml:space="preserve"> - </w:t>
      </w:r>
      <w:r w:rsidR="000925DE" w:rsidRPr="006C1A70">
        <w:rPr>
          <w:rFonts w:ascii="Times New Roman" w:hAnsi="Times New Roman" w:cs="Times New Roman"/>
          <w:color w:val="auto"/>
          <w:sz w:val="24"/>
          <w:szCs w:val="24"/>
        </w:rPr>
        <w:t>Anatomical FFR and Hydrostatic Pressure</w:t>
      </w:r>
      <w:bookmarkEnd w:id="237"/>
      <w:r>
        <w:rPr>
          <w:rFonts w:ascii="Times New Roman" w:hAnsi="Times New Roman" w:cs="Times New Roman"/>
          <w:color w:val="auto"/>
          <w:sz w:val="24"/>
          <w:szCs w:val="24"/>
        </w:rPr>
        <w:br/>
      </w:r>
    </w:p>
    <w:p w14:paraId="3C443CDA" w14:textId="77777777" w:rsidR="000925DE" w:rsidRDefault="000925DE" w:rsidP="000925DE">
      <w:pPr>
        <w:spacing w:line="360" w:lineRule="auto"/>
        <w:rPr>
          <w:rFonts w:ascii="Times New Roman" w:hAnsi="Times New Roman" w:cs="Times New Roman"/>
          <w:b/>
          <w:sz w:val="24"/>
          <w:szCs w:val="24"/>
        </w:rPr>
      </w:pPr>
    </w:p>
    <w:p w14:paraId="20DF566E" w14:textId="3FD87C60" w:rsidR="000925DE" w:rsidRDefault="000925DE" w:rsidP="000925DE">
      <w:pPr>
        <w:spacing w:line="360" w:lineRule="auto"/>
        <w:rPr>
          <w:rFonts w:ascii="Times New Roman" w:hAnsi="Times New Roman" w:cs="Times New Roman"/>
          <w:sz w:val="24"/>
          <w:szCs w:val="24"/>
        </w:rPr>
      </w:pPr>
      <w:r>
        <w:rPr>
          <w:rFonts w:ascii="Times New Roman" w:hAnsi="Times New Roman" w:cs="Times New Roman"/>
          <w:sz w:val="24"/>
          <w:szCs w:val="24"/>
        </w:rPr>
        <w:t>Anatomical measures such as CT FFR have been briefly discussed in Chapter I. CT FFR and</w:t>
      </w:r>
      <w:r w:rsidR="003C644B">
        <w:rPr>
          <w:rFonts w:ascii="Times New Roman" w:hAnsi="Times New Roman" w:cs="Times New Roman"/>
          <w:sz w:val="24"/>
          <w:szCs w:val="24"/>
        </w:rPr>
        <w:t xml:space="preserve"> similarly</w:t>
      </w:r>
      <w:r>
        <w:rPr>
          <w:rFonts w:ascii="Times New Roman" w:hAnsi="Times New Roman" w:cs="Times New Roman"/>
          <w:sz w:val="24"/>
          <w:szCs w:val="24"/>
        </w:rPr>
        <w:t xml:space="preserve"> angiographic FFR are not confounded by hydrostatic pressure effects</w:t>
      </w:r>
      <w:r w:rsidR="003C644B">
        <w:rPr>
          <w:rFonts w:ascii="Times New Roman" w:hAnsi="Times New Roman" w:cs="Times New Roman"/>
          <w:sz w:val="24"/>
          <w:szCs w:val="24"/>
        </w:rPr>
        <w:t xml:space="preserve"> due to their very nature being </w:t>
      </w:r>
      <w:r w:rsidR="0092462A">
        <w:rPr>
          <w:rFonts w:ascii="Times New Roman" w:hAnsi="Times New Roman" w:cs="Times New Roman"/>
          <w:sz w:val="24"/>
          <w:szCs w:val="24"/>
        </w:rPr>
        <w:t>non-</w:t>
      </w:r>
      <w:r w:rsidR="003C644B">
        <w:rPr>
          <w:rFonts w:ascii="Times New Roman" w:hAnsi="Times New Roman" w:cs="Times New Roman"/>
          <w:sz w:val="24"/>
          <w:szCs w:val="24"/>
        </w:rPr>
        <w:t>invasive</w:t>
      </w:r>
      <w:r>
        <w:rPr>
          <w:rFonts w:ascii="Times New Roman" w:hAnsi="Times New Roman" w:cs="Times New Roman"/>
          <w:sz w:val="24"/>
          <w:szCs w:val="24"/>
        </w:rPr>
        <w:t xml:space="preserve">. There are other inherent flaws due to </w:t>
      </w:r>
      <w:r w:rsidR="003C644B">
        <w:rPr>
          <w:rFonts w:ascii="Times New Roman" w:hAnsi="Times New Roman" w:cs="Times New Roman"/>
          <w:sz w:val="24"/>
          <w:szCs w:val="24"/>
        </w:rPr>
        <w:t>this</w:t>
      </w:r>
      <w:r>
        <w:rPr>
          <w:rFonts w:ascii="Times New Roman" w:hAnsi="Times New Roman" w:cs="Times New Roman"/>
          <w:sz w:val="24"/>
          <w:szCs w:val="24"/>
        </w:rPr>
        <w:t xml:space="preserve">, specifically </w:t>
      </w:r>
      <w:r w:rsidR="003C644B">
        <w:rPr>
          <w:rFonts w:ascii="Times New Roman" w:hAnsi="Times New Roman" w:cs="Times New Roman"/>
          <w:sz w:val="24"/>
          <w:szCs w:val="24"/>
        </w:rPr>
        <w:t xml:space="preserve">the need for </w:t>
      </w:r>
      <w:r>
        <w:rPr>
          <w:rFonts w:ascii="Times New Roman" w:hAnsi="Times New Roman" w:cs="Times New Roman"/>
          <w:sz w:val="24"/>
          <w:szCs w:val="24"/>
        </w:rPr>
        <w:t>estimations of invasive haemodynamics required to produce an 'FFR value'.</w:t>
      </w:r>
      <w:r w:rsidR="003C644B">
        <w:rPr>
          <w:rFonts w:ascii="Times New Roman" w:hAnsi="Times New Roman" w:cs="Times New Roman"/>
          <w:sz w:val="24"/>
          <w:szCs w:val="24"/>
        </w:rPr>
        <w:t xml:space="preserve"> However, they may provide</w:t>
      </w:r>
      <w:r w:rsidR="00A11D78">
        <w:rPr>
          <w:rFonts w:ascii="Times New Roman" w:hAnsi="Times New Roman" w:cs="Times New Roman"/>
          <w:sz w:val="24"/>
          <w:szCs w:val="24"/>
        </w:rPr>
        <w:t xml:space="preserve"> a more uniform assessment of ischaemia.</w:t>
      </w:r>
    </w:p>
    <w:p w14:paraId="33038EA2" w14:textId="77777777" w:rsidR="003E2AD3" w:rsidRDefault="003E2AD3" w:rsidP="000925DE">
      <w:pPr>
        <w:spacing w:line="360" w:lineRule="auto"/>
        <w:rPr>
          <w:rFonts w:ascii="Times New Roman" w:hAnsi="Times New Roman" w:cs="Times New Roman"/>
          <w:sz w:val="24"/>
          <w:szCs w:val="24"/>
        </w:rPr>
      </w:pPr>
    </w:p>
    <w:p w14:paraId="2A839A12" w14:textId="77777777" w:rsidR="000925DE" w:rsidRPr="006C1A70" w:rsidRDefault="006C1A70" w:rsidP="006C1A70">
      <w:pPr>
        <w:pStyle w:val="Heading3"/>
        <w:rPr>
          <w:rFonts w:ascii="Times New Roman" w:hAnsi="Times New Roman" w:cs="Times New Roman"/>
          <w:b w:val="0"/>
          <w:i/>
          <w:color w:val="auto"/>
          <w:sz w:val="24"/>
          <w:szCs w:val="24"/>
        </w:rPr>
      </w:pPr>
      <w:bookmarkStart w:id="238" w:name="_Toc80302291"/>
      <w:r w:rsidRPr="006C1A70">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8</w:t>
      </w:r>
      <w:r w:rsidRPr="006C1A70">
        <w:rPr>
          <w:rFonts w:ascii="Times New Roman" w:hAnsi="Times New Roman" w:cs="Times New Roman"/>
          <w:b w:val="0"/>
          <w:i/>
          <w:color w:val="auto"/>
          <w:sz w:val="24"/>
          <w:szCs w:val="24"/>
        </w:rPr>
        <w:t xml:space="preserve">.1 - </w:t>
      </w:r>
      <w:r w:rsidR="000925DE" w:rsidRPr="006C1A70">
        <w:rPr>
          <w:rFonts w:ascii="Times New Roman" w:hAnsi="Times New Roman" w:cs="Times New Roman"/>
          <w:b w:val="0"/>
          <w:i/>
          <w:color w:val="auto"/>
          <w:sz w:val="24"/>
          <w:szCs w:val="24"/>
        </w:rPr>
        <w:t>CT FFR</w:t>
      </w:r>
      <w:bookmarkEnd w:id="238"/>
      <w:r>
        <w:rPr>
          <w:rFonts w:ascii="Times New Roman" w:hAnsi="Times New Roman" w:cs="Times New Roman"/>
          <w:b w:val="0"/>
          <w:i/>
          <w:color w:val="auto"/>
          <w:sz w:val="24"/>
          <w:szCs w:val="24"/>
        </w:rPr>
        <w:br/>
      </w:r>
    </w:p>
    <w:p w14:paraId="15BA6761" w14:textId="77777777" w:rsidR="000925DE" w:rsidRDefault="000925DE" w:rsidP="000925DE">
      <w:pPr>
        <w:spacing w:line="360" w:lineRule="auto"/>
        <w:rPr>
          <w:rFonts w:ascii="Times New Roman" w:hAnsi="Times New Roman" w:cs="Times New Roman"/>
          <w:i/>
          <w:sz w:val="24"/>
          <w:szCs w:val="24"/>
        </w:rPr>
      </w:pPr>
    </w:p>
    <w:p w14:paraId="2B1CA89D" w14:textId="790CD40B" w:rsidR="000925DE" w:rsidRPr="005F0D00" w:rsidRDefault="00BE02AD" w:rsidP="000925DE">
      <w:pPr>
        <w:spacing w:line="360" w:lineRule="auto"/>
        <w:rPr>
          <w:rFonts w:ascii="Times New Roman" w:hAnsi="Times New Roman" w:cs="Times New Roman"/>
          <w:i/>
          <w:sz w:val="24"/>
          <w:szCs w:val="24"/>
        </w:rPr>
      </w:pPr>
      <w:r>
        <w:rPr>
          <w:rFonts w:ascii="Times New Roman" w:hAnsi="Times New Roman" w:cs="Times New Roman"/>
          <w:sz w:val="24"/>
          <w:szCs w:val="24"/>
        </w:rPr>
        <w:t xml:space="preserve">CT coronary angiography has </w:t>
      </w:r>
      <w:r w:rsidR="000925DE" w:rsidRPr="00EC6C19">
        <w:rPr>
          <w:rFonts w:ascii="Times New Roman" w:hAnsi="Times New Roman" w:cs="Times New Roman"/>
          <w:sz w:val="24"/>
          <w:szCs w:val="24"/>
        </w:rPr>
        <w:t>been used to provide</w:t>
      </w:r>
      <w:r w:rsidR="000925DE">
        <w:rPr>
          <w:rFonts w:ascii="Times New Roman" w:hAnsi="Times New Roman" w:cs="Times New Roman"/>
          <w:sz w:val="24"/>
          <w:szCs w:val="24"/>
        </w:rPr>
        <w:t xml:space="preserve"> a</w:t>
      </w:r>
      <w:r w:rsidR="000925DE" w:rsidRPr="00EC6C19">
        <w:rPr>
          <w:rFonts w:ascii="Times New Roman" w:hAnsi="Times New Roman" w:cs="Times New Roman"/>
          <w:sz w:val="24"/>
          <w:szCs w:val="24"/>
        </w:rPr>
        <w:t xml:space="preserve"> </w:t>
      </w:r>
      <w:r w:rsidR="0092462A" w:rsidRPr="00EC6C19">
        <w:rPr>
          <w:rFonts w:ascii="Times New Roman" w:hAnsi="Times New Roman" w:cs="Times New Roman"/>
          <w:sz w:val="24"/>
          <w:szCs w:val="24"/>
        </w:rPr>
        <w:t>non</w:t>
      </w:r>
      <w:r w:rsidR="0092462A">
        <w:rPr>
          <w:rFonts w:ascii="Times New Roman" w:hAnsi="Times New Roman" w:cs="Times New Roman"/>
          <w:sz w:val="24"/>
          <w:szCs w:val="24"/>
        </w:rPr>
        <w:t>-</w:t>
      </w:r>
      <w:r w:rsidR="000925DE" w:rsidRPr="00EC6C19">
        <w:rPr>
          <w:rFonts w:ascii="Times New Roman" w:hAnsi="Times New Roman" w:cs="Times New Roman"/>
          <w:sz w:val="24"/>
          <w:szCs w:val="24"/>
        </w:rPr>
        <w:t>invasive</w:t>
      </w:r>
      <w:r w:rsidR="000925DE">
        <w:rPr>
          <w:rFonts w:ascii="Times New Roman" w:hAnsi="Times New Roman" w:cs="Times New Roman"/>
          <w:sz w:val="24"/>
          <w:szCs w:val="24"/>
        </w:rPr>
        <w:t xml:space="preserve"> version of</w:t>
      </w:r>
      <w:r w:rsidR="000925DE" w:rsidRPr="00EC6C19">
        <w:rPr>
          <w:rFonts w:ascii="Times New Roman" w:hAnsi="Times New Roman" w:cs="Times New Roman"/>
          <w:sz w:val="24"/>
          <w:szCs w:val="24"/>
        </w:rPr>
        <w:t xml:space="preserve"> FFR, known as CT FFR </w:t>
      </w:r>
      <w:r w:rsidR="00106A32" w:rsidRPr="00EC6C19">
        <w:rPr>
          <w:rFonts w:ascii="Times New Roman" w:hAnsi="Times New Roman" w:cs="Times New Roman"/>
          <w:sz w:val="24"/>
          <w:szCs w:val="24"/>
        </w:rPr>
        <w:fldChar w:fldCharType="begin"/>
      </w:r>
      <w:r w:rsidR="000925DE" w:rsidRPr="00EC6C19">
        <w:rPr>
          <w:rFonts w:ascii="Times New Roman" w:hAnsi="Times New Roman" w:cs="Times New Roman"/>
          <w:sz w:val="24"/>
          <w:szCs w:val="24"/>
        </w:rPr>
        <w:instrText xml:space="preserve"> ADDIN ZOTERO_ITEM CSL_CITATION {"citationID":"YPixLNI2","properties":{"formattedCitation":"(Davies and Cook, 2017)","plainCitation":"(Davies and Cook, 2017)","noteIndex":0},"citationItems":[{"id":768,"uris":["http://zotero.org/users/local/k67tNDdX/items/UBI9TIMC"],"uri":["http://zotero.org/users/local/k67tNDdX/items/UBI9TIMC"],"itemData":{"id":768,"type":"article-journal","container-title":"JACC: Cardiovascular Imaging","DOI":"10.1016/j.jcmg.2016.06.016","ISSN":"1936-878X","issue":"4","journalAbbreviation":"JACC: Cardiovascular Imaging","language":"en","page":"434-436","source":"ScienceDirect","title":"Is FFRCT Ready to Assume the Crown Jewels of Invasive FFR?∗","title-short":"Is FFRCT Ready to Assume the Crown Jewels of Invasive FFR?","volume":"10","author":[{"family":"Davies","given":"Justin E."},{"family":"Cook","given":"Christopher M."}],"issued":{"date-parts":[["2017",4,1]]}}}],"schema":"https://github.com/citation-style-language/schema/raw/master/csl-citation.json"} </w:instrText>
      </w:r>
      <w:r w:rsidR="00106A32" w:rsidRPr="00EC6C19">
        <w:rPr>
          <w:rFonts w:ascii="Times New Roman" w:hAnsi="Times New Roman" w:cs="Times New Roman"/>
          <w:sz w:val="24"/>
          <w:szCs w:val="24"/>
        </w:rPr>
        <w:fldChar w:fldCharType="separate"/>
      </w:r>
      <w:r w:rsidR="000925DE" w:rsidRPr="00EC6C19">
        <w:rPr>
          <w:rFonts w:ascii="Times New Roman" w:hAnsi="Times New Roman" w:cs="Times New Roman"/>
          <w:sz w:val="24"/>
          <w:szCs w:val="24"/>
        </w:rPr>
        <w:t>(Davies and Cook, 2017)</w:t>
      </w:r>
      <w:r w:rsidR="00106A32" w:rsidRPr="00EC6C19">
        <w:rPr>
          <w:rFonts w:ascii="Times New Roman" w:hAnsi="Times New Roman" w:cs="Times New Roman"/>
          <w:sz w:val="24"/>
          <w:szCs w:val="24"/>
        </w:rPr>
        <w:fldChar w:fldCharType="end"/>
      </w:r>
      <w:r w:rsidR="000925DE" w:rsidRPr="00EC6C19">
        <w:rPr>
          <w:rFonts w:ascii="Times New Roman" w:hAnsi="Times New Roman" w:cs="Times New Roman"/>
          <w:sz w:val="24"/>
          <w:szCs w:val="24"/>
        </w:rPr>
        <w:t>. CT images, a mathematical model, and several assumptions (cardiac output, aortic pressure and microvascular resistance) are co</w:t>
      </w:r>
      <w:r w:rsidR="000925DE">
        <w:rPr>
          <w:rFonts w:ascii="Times New Roman" w:hAnsi="Times New Roman" w:cs="Times New Roman"/>
          <w:sz w:val="24"/>
          <w:szCs w:val="24"/>
        </w:rPr>
        <w:t>mbined to create a CT FFR value via several different mathematical models. CT FFR</w:t>
      </w:r>
      <w:r w:rsidR="000925DE" w:rsidRPr="00EC6C19">
        <w:rPr>
          <w:rFonts w:ascii="Times New Roman" w:hAnsi="Times New Roman" w:cs="Times New Roman"/>
          <w:sz w:val="24"/>
          <w:szCs w:val="24"/>
        </w:rPr>
        <w:t xml:space="preserve"> </w:t>
      </w:r>
      <w:r w:rsidR="000925DE">
        <w:rPr>
          <w:rFonts w:ascii="Times New Roman" w:hAnsi="Times New Roman" w:cs="Times New Roman"/>
          <w:sz w:val="24"/>
          <w:szCs w:val="24"/>
        </w:rPr>
        <w:t xml:space="preserve">is </w:t>
      </w:r>
      <w:r w:rsidR="000925DE" w:rsidRPr="00EC6C19">
        <w:rPr>
          <w:rFonts w:ascii="Times New Roman" w:hAnsi="Times New Roman" w:cs="Times New Roman"/>
          <w:sz w:val="24"/>
          <w:szCs w:val="24"/>
        </w:rPr>
        <w:t xml:space="preserve">shown to correlate with invasive FFR relatively well. The DISCOVER-FLOW </w:t>
      </w:r>
      <w:r w:rsidR="00106A32" w:rsidRPr="00EC6C19">
        <w:rPr>
          <w:rFonts w:ascii="Times New Roman" w:hAnsi="Times New Roman" w:cs="Times New Roman"/>
          <w:sz w:val="24"/>
          <w:szCs w:val="24"/>
        </w:rPr>
        <w:fldChar w:fldCharType="begin"/>
      </w:r>
      <w:r w:rsidR="000925DE" w:rsidRPr="00EC6C19">
        <w:rPr>
          <w:rFonts w:ascii="Times New Roman" w:hAnsi="Times New Roman" w:cs="Times New Roman"/>
          <w:sz w:val="24"/>
          <w:szCs w:val="24"/>
        </w:rPr>
        <w:instrText xml:space="preserve"> ADDIN ZOTERO_ITEM CSL_CITATION {"citationID":"uYX94BJR","properties":{"formattedCitation":"(Koo et al., 2011)","plainCitation":"(Koo et al., 2011)","noteIndex":0},"citationItems":[{"id":771,"uris":["http://zotero.org/users/local/k67tNDdX/items/KWIUTK3F"],"uri":["http://zotero.org/users/local/k67tNDdX/items/KWIUTK3F"],"itemData":{"id":771,"type":"article-journal","container-title":"Journal of the American College of Cardiology","issue":"19","page":"1989–1997","source":"Google Scholar","title":"Diagnosis of ischemia-causing coronary stenoses by noninvasive fractional flow reserve computed from coronary computed tomographic angiograms: results from the prospective multicenter DISCOVER-FLOW (Diagnosis of Ischemia-Causing Stenoses Obtained Via Noninvasive Fractional Flow Reserve) study","title-short":"Diagnosis of ischemia-causing coronary stenoses by noninvasive fractional flow reserve computed from coronary computed tomographic angiograms","volume":"58","author":[{"family":"Koo","given":"Bon-Kwon"},{"family":"Erglis","given":"Andrejs"},{"family":"Doh","given":"Joon-Hyung"},{"family":"Daniels","given":"David V."},{"family":"Jegere","given":"Sanda"},{"family":"Kim","given":"Hyo-Soo"},{"family":"Dunning","given":"Allison"},{"family":"DeFrance","given":"Tony"},{"family":"Lansky","given":"Alexandra"},{"family":"Leipsic","given":"Jonathan"}],"issued":{"date-parts":[["2011"]]}}}],"schema":"https://github.com/citation-style-language/schema/raw/master/csl-citation.json"} </w:instrText>
      </w:r>
      <w:r w:rsidR="00106A32" w:rsidRPr="00EC6C19">
        <w:rPr>
          <w:rFonts w:ascii="Times New Roman" w:hAnsi="Times New Roman" w:cs="Times New Roman"/>
          <w:sz w:val="24"/>
          <w:szCs w:val="24"/>
        </w:rPr>
        <w:fldChar w:fldCharType="separate"/>
      </w:r>
      <w:r w:rsidR="000925DE" w:rsidRPr="00EC6C19">
        <w:rPr>
          <w:rFonts w:ascii="Times New Roman" w:hAnsi="Times New Roman" w:cs="Times New Roman"/>
          <w:sz w:val="24"/>
          <w:szCs w:val="24"/>
        </w:rPr>
        <w:t>(Koo et al., 2011)</w:t>
      </w:r>
      <w:r w:rsidR="00106A32" w:rsidRPr="00EC6C19">
        <w:rPr>
          <w:rFonts w:ascii="Times New Roman" w:hAnsi="Times New Roman" w:cs="Times New Roman"/>
          <w:sz w:val="24"/>
          <w:szCs w:val="24"/>
        </w:rPr>
        <w:fldChar w:fldCharType="end"/>
      </w:r>
      <w:r w:rsidR="000925DE" w:rsidRPr="00EC6C19">
        <w:rPr>
          <w:rFonts w:ascii="Times New Roman" w:hAnsi="Times New Roman" w:cs="Times New Roman"/>
          <w:sz w:val="24"/>
          <w:szCs w:val="24"/>
        </w:rPr>
        <w:t xml:space="preserve"> study and NXT trial </w:t>
      </w:r>
      <w:r w:rsidR="00106A32" w:rsidRPr="00EC6C19">
        <w:rPr>
          <w:rFonts w:ascii="Times New Roman" w:hAnsi="Times New Roman" w:cs="Times New Roman"/>
          <w:sz w:val="24"/>
          <w:szCs w:val="24"/>
        </w:rPr>
        <w:fldChar w:fldCharType="begin"/>
      </w:r>
      <w:r w:rsidR="000925DE" w:rsidRPr="00EC6C19">
        <w:rPr>
          <w:rFonts w:ascii="Times New Roman" w:hAnsi="Times New Roman" w:cs="Times New Roman"/>
          <w:sz w:val="24"/>
          <w:szCs w:val="24"/>
        </w:rPr>
        <w:instrText xml:space="preserve"> ADDIN ZOTERO_ITEM CSL_CITATION {"citationID":"9bge4xfN","properties":{"formattedCitation":"(N\\uc0\\u248{}rgaard et al., 2014)","plainCitation":"(Nørgaard et al., 2014)","noteIndex":0},"citationItems":[{"id":776,"uris":["http://zotero.org/users/local/k67tNDdX/items/8LQKRK83"],"uri":["http://zotero.org/users/local/k67tNDdX/items/8LQKRK83"],"itemData":{"id":776,"type":"article-journal","container-title":"Journal of the American College of Cardiology","issue":"12","page":"1145–1155","source":"Google Scholar","title":"Diagnostic performance of noninvasive fractional flow reserve derived from coronary computed tomography angiography in suspected coronary artery disease: the NXT trial (Analysis of Coronary Blood Flow Using CT Angiography: Next Steps)","title-short":"Diagnostic performance of noninvasive fractional flow reserve derived from coronary computed tomography angiography in suspected coronary artery disease","volume":"63","author":[{"family":"Nørgaard","given":"Bjarne L."},{"family":"Leipsic","given":"Jonathon"},{"family":"Gaur","given":"Sara"},{"family":"Seneviratne","given":"Sujith"},{"family":"Ko","given":"Brian S."},{"family":"Ito","given":"Hiroshi"},{"family":"Jensen","given":"Jesper M."},{"family":"Mauri","given":"Laura"},{"family":"De Bruyne","given":"Bernard"},{"family":"Bezerra","given":"Hiram"}],"issued":{"date-parts":[["2014"]]}}}],"schema":"https://github.com/citation-style-language/schema/raw/master/csl-citation.json"} </w:instrText>
      </w:r>
      <w:r w:rsidR="00106A32" w:rsidRPr="00EC6C19">
        <w:rPr>
          <w:rFonts w:ascii="Times New Roman" w:hAnsi="Times New Roman" w:cs="Times New Roman"/>
          <w:sz w:val="24"/>
          <w:szCs w:val="24"/>
        </w:rPr>
        <w:fldChar w:fldCharType="separate"/>
      </w:r>
      <w:r w:rsidR="000925DE" w:rsidRPr="00EC6C19">
        <w:rPr>
          <w:rFonts w:ascii="Times New Roman" w:hAnsi="Times New Roman" w:cs="Times New Roman"/>
          <w:sz w:val="24"/>
          <w:szCs w:val="24"/>
        </w:rPr>
        <w:t>(Nørgaard et al., 2014)</w:t>
      </w:r>
      <w:r w:rsidR="00106A32" w:rsidRPr="00EC6C19">
        <w:rPr>
          <w:rFonts w:ascii="Times New Roman" w:hAnsi="Times New Roman" w:cs="Times New Roman"/>
          <w:sz w:val="24"/>
          <w:szCs w:val="24"/>
        </w:rPr>
        <w:fldChar w:fldCharType="end"/>
      </w:r>
      <w:r w:rsidR="000925DE" w:rsidRPr="00EC6C19">
        <w:rPr>
          <w:rFonts w:ascii="Times New Roman" w:hAnsi="Times New Roman" w:cs="Times New Roman"/>
          <w:sz w:val="24"/>
          <w:szCs w:val="24"/>
        </w:rPr>
        <w:t xml:space="preserve"> reported diagnostic accuracies of 84.3 and 86% respectively.</w:t>
      </w:r>
      <w:r w:rsidR="000925DE">
        <w:rPr>
          <w:rFonts w:ascii="Times New Roman" w:hAnsi="Times New Roman" w:cs="Times New Roman"/>
          <w:sz w:val="24"/>
          <w:szCs w:val="24"/>
        </w:rPr>
        <w:t xml:space="preserve"> There is also evidence that CT FFR could reduce the number of referrals put forward for invasive angiography by up to half </w:t>
      </w:r>
      <w:r w:rsidR="00106A32">
        <w:rPr>
          <w:rFonts w:ascii="Times New Roman" w:hAnsi="Times New Roman" w:cs="Times New Roman"/>
          <w:sz w:val="24"/>
          <w:szCs w:val="24"/>
        </w:rPr>
        <w:fldChar w:fldCharType="begin"/>
      </w:r>
      <w:r w:rsidR="000925DE">
        <w:rPr>
          <w:rFonts w:ascii="Times New Roman" w:hAnsi="Times New Roman" w:cs="Times New Roman"/>
          <w:sz w:val="24"/>
          <w:szCs w:val="24"/>
        </w:rPr>
        <w:instrText xml:space="preserve"> ADDIN ZOTERO_ITEM CSL_CITATION {"citationID":"kQuEYlGQ","properties":{"formattedCitation":"(Lu et al., 2017)","plainCitation":"(Lu et al., 2017)","noteIndex":0},"citationItems":[{"id":837,"uris":["http://zotero.org/users/local/k67tNDdX/items/7PAHHCFK"],"uri":["http://zotero.org/users/local/k67tNDdX/items/7PAHHCFK"],"itemData":{"id":837,"type":"article-journal","abstract":"OBJECTIVES: The purpose of this study was to determine whether noninvasive fractional flow reserve derived from computed tomography (FFRCT) predicts coronary revascularization and outcomes and whether its addition improves efficiency of referral to invasive coronary angiography (ICA) after coronary computed tomography angiography (CTA).\nBACKGROUND: FFRCT may improve the efficiency of an anatomic CTA strategy for stable chest pain.\nMETHODS: This observational cohort study included patients with stable chest pain in the PROMISE (PROspective Multicenter Imaging Study for Evaluation of Chest Pain) trial referred to ICA within 90 days after CTA. FFRCT was measured at a blinded core laboratory, and FFRCT results were unavailable to caregivers. We determined the agreement of FFRCT (positive if ≤0.80) with stenosis on CTA and ICA (positive if ≥50% left main or ≥70% other coronary artery), and predictive value for a composite of coronary revascularization or major adverse cardiac events (death, myocardial infarction, or unstable angina). We retrospectively assessed whether adding FFRCT ≤0.80 as a gatekeeper could improve efficiency of referral to ICA, defined as decreased rate of ICA without ≥50% stenosis and increased ICA leading to revascularization.\nRESULTS: FFRCT was calculated in 67% (181 of 271) of eligible patients (mean age 62 years; 36% women). FFRCT was discordant with stenosis in 31% (57 of 181) for CTA and 29% (52 of 181) for ICA. Most patients undergoing coronary revascularization had an FFRCT of ≤0.80 (91%; 80 of 88). An FFRCT of ≤0.80 was a significantly better predictor for revascularization or major adverse cardiac events than severe CTA stenosis (HR: 4.3 [95% confidence interval [CI]: 2.4 to 8.9] vs. 2.9 [95% CI: 1.8 to 5.1]; p = 0.033). Reserving ICA for patients with an FFRCT of ≤0.80 could decrease ICA without ≥50% stenosis by 44%, and increase the proportion of ICA leading to revascularization by 24%.\nCONCLUSIONS: In this hypothesis-generating study of patients with stable chest pain referred to ICA from CTA, an FFRCT of ≤0.80 was a better predictor of revascularization or major adverse cardiac events than severe stenosis on CTA. Adding FFRCT may improve efficiency of referral to ICA from CTA alone.","container-title":"JACC. Cardiovascular imaging","DOI":"10.1016/j.jcmg.2016.11.024","ISSN":"1876-7591","issue":"11","journalAbbreviation":"JACC Cardiovasc Imaging","language":"eng","note":"PMID: 28412436\nPMCID: PMC5632098","page":"1350-1358","source":"PubMed","title":"Noninvasive FFR Derived From Coronary CT Angiography: Management and Outcomes in the PROMISE Trial","title-short":"Noninvasive FFR Derived From Coronary CT Angiography","volume":"10","author":[{"family":"Lu","given":"Michael T."},{"family":"Ferencik","given":"Maros"},{"family":"Roberts","given":"Rhonda S."},{"family":"Lee","given":"Kerry L."},{"family":"Ivanov","given":"Alexander"},{"family":"Adami","given":"Elizabeth"},{"family":"Mark","given":"Daniel B."},{"family":"Jaffer","given":"Farouc A."},{"family":"Leipsic","given":"Jonathon A."},{"family":"Douglas","given":"Pamela S."},{"family":"Hoffmann","given":"Udo"}],"issued":{"date-parts":[["2017"]]}}}],"schema":"https://github.com/citation-style-language/schema/raw/master/csl-citation.json"} </w:instrText>
      </w:r>
      <w:r w:rsidR="00106A32">
        <w:rPr>
          <w:rFonts w:ascii="Times New Roman" w:hAnsi="Times New Roman" w:cs="Times New Roman"/>
          <w:sz w:val="24"/>
          <w:szCs w:val="24"/>
        </w:rPr>
        <w:fldChar w:fldCharType="separate"/>
      </w:r>
      <w:r w:rsidR="000925DE" w:rsidRPr="00E07AB2">
        <w:rPr>
          <w:rFonts w:ascii="Times New Roman" w:hAnsi="Times New Roman" w:cs="Times New Roman"/>
          <w:sz w:val="24"/>
        </w:rPr>
        <w:t>(Lu et al., 2017)</w:t>
      </w:r>
      <w:r w:rsidR="00106A32">
        <w:rPr>
          <w:rFonts w:ascii="Times New Roman" w:hAnsi="Times New Roman" w:cs="Times New Roman"/>
          <w:sz w:val="24"/>
          <w:szCs w:val="24"/>
        </w:rPr>
        <w:fldChar w:fldCharType="end"/>
      </w:r>
      <w:r w:rsidR="000925DE">
        <w:rPr>
          <w:rFonts w:ascii="Times New Roman" w:hAnsi="Times New Roman" w:cs="Times New Roman"/>
          <w:sz w:val="24"/>
          <w:szCs w:val="24"/>
        </w:rPr>
        <w:t>.</w:t>
      </w:r>
      <w:r w:rsidR="000925DE" w:rsidRPr="00EC6C19">
        <w:rPr>
          <w:rFonts w:ascii="Times New Roman" w:hAnsi="Times New Roman" w:cs="Times New Roman"/>
          <w:sz w:val="24"/>
          <w:szCs w:val="24"/>
        </w:rPr>
        <w:t xml:space="preserve"> As a diagnostic tool </w:t>
      </w:r>
      <w:r w:rsidR="0092462A" w:rsidRPr="00EC6C19">
        <w:rPr>
          <w:rFonts w:ascii="Times New Roman" w:hAnsi="Times New Roman" w:cs="Times New Roman"/>
          <w:sz w:val="24"/>
          <w:szCs w:val="24"/>
        </w:rPr>
        <w:t>however,</w:t>
      </w:r>
      <w:r w:rsidR="000925DE" w:rsidRPr="00EC6C19">
        <w:rPr>
          <w:rFonts w:ascii="Times New Roman" w:hAnsi="Times New Roman" w:cs="Times New Roman"/>
          <w:sz w:val="24"/>
          <w:szCs w:val="24"/>
        </w:rPr>
        <w:t xml:space="preserve"> the assumptions inputted into the CT FFR mathematical model are not individual for each patient, meaning inevitable errors. This is shown in some studies having less favourable, moderate diagnostic accuracy </w:t>
      </w:r>
      <w:r w:rsidR="00106A32" w:rsidRPr="00EC6C19">
        <w:rPr>
          <w:rFonts w:ascii="Times New Roman" w:hAnsi="Times New Roman" w:cs="Times New Roman"/>
          <w:sz w:val="24"/>
          <w:szCs w:val="24"/>
        </w:rPr>
        <w:fldChar w:fldCharType="begin"/>
      </w:r>
      <w:r w:rsidR="000925DE" w:rsidRPr="00EC6C19">
        <w:rPr>
          <w:rFonts w:ascii="Times New Roman" w:hAnsi="Times New Roman" w:cs="Times New Roman"/>
          <w:sz w:val="24"/>
          <w:szCs w:val="24"/>
        </w:rPr>
        <w:instrText xml:space="preserve"> ADDIN ZOTERO_ITEM CSL_CITATION {"citationID":"fOegyu4o","properties":{"formattedCitation":"(Gaur et al., 2017)","plainCitation":"(Gaur et al., 2017)","noteIndex":0},"citationItems":[{"id":781,"uris":["http://zotero.org/users/local/k67tNDdX/items/RWA6RYIU"],"uri":["http://zotero.org/users/local/k67tNDdX/items/RWA6RYIU"],"itemData":{"id":781,"type":"article-journal","abstract":"Graphical abstract\n&lt;img class=\"highwire-fragment fragment-image\" alt=\"Figure1\" src=\"http://imaging.onlinejacc.org/content/jimg/10/4/424/F1.medium.gif\" width=\"440\" height=\"370\"/&gt;Download figure Open in new tab Download powerpoint\n\nObjectives This study sought to determine the diagnostic performance of noninvasive fractional flow reserve (FFR) derived from coronary computed tomography angiography (CTA) (FFRCT) for the diagnosis of lesion-specific ischemia in nonculprit vessels of patients with recent in ST-segment elevation myocardial infarction (STEMI).\nBackground In patients with stable angina, FFRCT has high diagnostic performance in identification of ischemia-causing lesions. The potential value of FFRCT for assessment of multivessel disease in patients with recent STEMI has not been evaluated.\nMethods Coronary CTA with calculation of FFRCT and invasive coronary angiography with FFR were performed 1 month after STEMI in patients with multivessel disease. Coronary CTA and invasive coronary angiography stenosis &gt;50% were considered obstructive. Lesion-specific ischemia was assumed if FFRCT was ≤0.80. FFR ≤0.80 was the reference standard. To evaluate the influence of vessel size, the total coronary vessel lumen volume relative to left ventricular mass (volume-to-mass ratio) was calculated and compared with that of patients with stable angina.\nResults The study evaluated 124 nonculprit vessels from 60 patients. Accuracy, sensitivity, and specificity of FFRCT were 72%, 83%, and 66% versus 64% (p = 0.033), 93% (p = 0.15), and 49% (p &lt; 0.001) for CTA and 72% (p = 1.00), 76% (p = 0.46), and 70% (p = 0.54) for invasive coronary angiography. Following STEMI, median volume-to-mass ratio was lower than in patients with stable angina, 53 versus 65 mm3/g (p = 0.009). In patients with volume-to-mass ratio ≥65 mm3/g (upper tertile) accuracy, sensitivity, and specificity of FFRCT were all 83% versus 56% (p = 0.009), 75% (p = 0.61), and 44% (p = 0.003) in patients with &lt;49 mm3/g (lower tertile).\nConclusions The diagnostic performance of FFRCT for staged detection of ischemia in STEMI patients with multivessel disease is moderate. STEMI patients have a smaller vessel volume than do patients with stable angina. The diagnostic performance of FFRCT is influenced by the volume-to-mass ratio. This study does not support routine use of FFRCT in the post-STEMI setting. (Assessment of Coronary Stenoses Using Coronary CT-Angiography and Noninvasive Fractional Flow Reserve; NCT01739075)","container-title":"JACC: Cardiovascular Imaging","DOI":"10.1016/j.jcmg.2016.05.019","ISSN":"1936-878X, 1876-7591","issue":"4","journalAbbreviation":"J Am Coll Cardiol Img","language":"en","page":"424-433","source":"imaging.onlinejacc.org","title":"FFR Derived From Coronary CT Angiography in Nonculprit Lesions of Patients With Recent STEMI","volume":"10","author":[{"family":"Gaur","given":"Sara"},{"family":"Taylor","given":"Charles A."},{"family":"Jensen","given":"Jesper M."},{"family":"Bøtker","given":"Hans Erik"},{"family":"Christiansen","given":"Evald H."},{"family":"Kaltoft","given":"Anne K."},{"family":"Holm","given":"Niels R."},{"family":"Leipsic","given":"Jonathon"},{"family":"Zarins","given":"Christopher K."},{"family":"Achenbach","given":"Stephan"},{"family":"Khem","given":"Sophie"},{"family":"Wilk","given":"Alan"},{"family":"Bezerra","given":"Hiram G."},{"family":"Lassen","given":"Jens F."},{"family":"Nørgaard","given":"Bjarne L."}],"issued":{"date-parts":[["2017",4,3]]}}}],"schema":"https://github.com/citation-style-language/schema/raw/master/csl-citation.json"} </w:instrText>
      </w:r>
      <w:r w:rsidR="00106A32" w:rsidRPr="00EC6C19">
        <w:rPr>
          <w:rFonts w:ascii="Times New Roman" w:hAnsi="Times New Roman" w:cs="Times New Roman"/>
          <w:sz w:val="24"/>
          <w:szCs w:val="24"/>
        </w:rPr>
        <w:fldChar w:fldCharType="separate"/>
      </w:r>
      <w:r w:rsidR="000925DE" w:rsidRPr="00EC6C19">
        <w:rPr>
          <w:rFonts w:ascii="Times New Roman" w:hAnsi="Times New Roman" w:cs="Times New Roman"/>
          <w:sz w:val="24"/>
          <w:szCs w:val="24"/>
        </w:rPr>
        <w:t>(Gaur et al., 2017)</w:t>
      </w:r>
      <w:r w:rsidR="00106A32" w:rsidRPr="00EC6C19">
        <w:rPr>
          <w:rFonts w:ascii="Times New Roman" w:hAnsi="Times New Roman" w:cs="Times New Roman"/>
          <w:sz w:val="24"/>
          <w:szCs w:val="24"/>
        </w:rPr>
        <w:fldChar w:fldCharType="end"/>
      </w:r>
      <w:r w:rsidR="000925DE" w:rsidRPr="00EC6C19">
        <w:rPr>
          <w:rFonts w:ascii="Times New Roman" w:hAnsi="Times New Roman" w:cs="Times New Roman"/>
          <w:sz w:val="24"/>
          <w:szCs w:val="24"/>
        </w:rPr>
        <w:t xml:space="preserve">. Hydrostatic effect is not </w:t>
      </w:r>
      <w:r>
        <w:rPr>
          <w:rFonts w:ascii="Times New Roman" w:hAnsi="Times New Roman" w:cs="Times New Roman"/>
          <w:sz w:val="24"/>
          <w:szCs w:val="24"/>
        </w:rPr>
        <w:t>one of the factors in</w:t>
      </w:r>
      <w:r w:rsidR="000925DE" w:rsidRPr="00EC6C19">
        <w:rPr>
          <w:rFonts w:ascii="Times New Roman" w:hAnsi="Times New Roman" w:cs="Times New Roman"/>
          <w:sz w:val="24"/>
          <w:szCs w:val="24"/>
        </w:rPr>
        <w:t xml:space="preserve"> CT FFR</w:t>
      </w:r>
      <w:r>
        <w:rPr>
          <w:rFonts w:ascii="Times New Roman" w:hAnsi="Times New Roman" w:cs="Times New Roman"/>
          <w:sz w:val="24"/>
          <w:szCs w:val="24"/>
        </w:rPr>
        <w:t xml:space="preserve"> calculation</w:t>
      </w:r>
      <w:r w:rsidR="000925DE" w:rsidRPr="00EC6C19">
        <w:rPr>
          <w:rFonts w:ascii="Times New Roman" w:hAnsi="Times New Roman" w:cs="Times New Roman"/>
          <w:sz w:val="24"/>
          <w:szCs w:val="24"/>
        </w:rPr>
        <w:t>.</w:t>
      </w:r>
    </w:p>
    <w:p w14:paraId="057D679B" w14:textId="77777777" w:rsidR="000925DE" w:rsidRDefault="000925DE" w:rsidP="000925DE">
      <w:pPr>
        <w:spacing w:line="360" w:lineRule="auto"/>
        <w:rPr>
          <w:rFonts w:ascii="Times New Roman" w:hAnsi="Times New Roman" w:cs="Times New Roman"/>
          <w:i/>
          <w:sz w:val="24"/>
          <w:szCs w:val="24"/>
        </w:rPr>
      </w:pPr>
    </w:p>
    <w:p w14:paraId="36FC4D3F" w14:textId="77777777" w:rsidR="000925DE" w:rsidRPr="006C1A70" w:rsidRDefault="006C1A70" w:rsidP="006C1A70">
      <w:pPr>
        <w:pStyle w:val="Heading3"/>
        <w:rPr>
          <w:rFonts w:ascii="Times New Roman" w:hAnsi="Times New Roman" w:cs="Times New Roman"/>
          <w:b w:val="0"/>
          <w:i/>
          <w:color w:val="auto"/>
          <w:sz w:val="24"/>
          <w:szCs w:val="24"/>
        </w:rPr>
      </w:pPr>
      <w:bookmarkStart w:id="239" w:name="_Toc80302292"/>
      <w:r w:rsidRPr="006C1A70">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8</w:t>
      </w:r>
      <w:r w:rsidRPr="006C1A70">
        <w:rPr>
          <w:rFonts w:ascii="Times New Roman" w:hAnsi="Times New Roman" w:cs="Times New Roman"/>
          <w:b w:val="0"/>
          <w:i/>
          <w:color w:val="auto"/>
          <w:sz w:val="24"/>
          <w:szCs w:val="24"/>
        </w:rPr>
        <w:t xml:space="preserve">.2 - </w:t>
      </w:r>
      <w:r w:rsidR="000925DE" w:rsidRPr="006C1A70">
        <w:rPr>
          <w:rFonts w:ascii="Times New Roman" w:hAnsi="Times New Roman" w:cs="Times New Roman"/>
          <w:b w:val="0"/>
          <w:i/>
          <w:color w:val="auto"/>
          <w:sz w:val="24"/>
          <w:szCs w:val="24"/>
        </w:rPr>
        <w:t>Angio-FFR</w:t>
      </w:r>
      <w:bookmarkEnd w:id="239"/>
      <w:r>
        <w:rPr>
          <w:rFonts w:ascii="Times New Roman" w:hAnsi="Times New Roman" w:cs="Times New Roman"/>
          <w:b w:val="0"/>
          <w:i/>
          <w:color w:val="auto"/>
          <w:sz w:val="24"/>
          <w:szCs w:val="24"/>
        </w:rPr>
        <w:br/>
      </w:r>
    </w:p>
    <w:p w14:paraId="082C3C9C" w14:textId="77777777" w:rsidR="000925DE" w:rsidRDefault="000925DE" w:rsidP="000925DE">
      <w:pPr>
        <w:spacing w:line="360" w:lineRule="auto"/>
        <w:rPr>
          <w:rFonts w:ascii="Times New Roman" w:hAnsi="Times New Roman" w:cs="Times New Roman"/>
          <w:sz w:val="24"/>
          <w:szCs w:val="24"/>
        </w:rPr>
      </w:pPr>
    </w:p>
    <w:p w14:paraId="241DF488" w14:textId="77777777" w:rsidR="000925DE" w:rsidRPr="005A47C5" w:rsidRDefault="000925DE" w:rsidP="000925DE">
      <w:pPr>
        <w:spacing w:line="360" w:lineRule="auto"/>
        <w:rPr>
          <w:rFonts w:ascii="Times New Roman" w:hAnsi="Times New Roman" w:cs="Times New Roman"/>
          <w:sz w:val="24"/>
          <w:szCs w:val="24"/>
        </w:rPr>
      </w:pPr>
      <w:r>
        <w:rPr>
          <w:rFonts w:ascii="Times New Roman" w:hAnsi="Times New Roman" w:cs="Times New Roman"/>
          <w:sz w:val="24"/>
          <w:szCs w:val="24"/>
        </w:rPr>
        <w:t xml:space="preserve">Angiogram derived FFR was developed as an alternative to invasive FFR, as it can be done without an invasive wire insertion or a hyperaemic stimulus. The recent FAST-FFR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{"citationID":"7n4BIrrB","properties":{"formattedCitation":"(Fearon et al., 2019)","plainCitation":"(Fearon et al., 2019)","noteIndex":0},"citationItems":[{"id":864,"uris":["http://zotero.org/users/local/k67tNDdX/items/KVP4IYCC"],"uri":["http://zotero.org/users/local/k67tNDdX/items/KVP4IYCC"],"itemData":{"id":864,"type":"article-journal","abstract":"BACKGROUND: Measuring fractional flow reserve (FFR) with a pressure wire remains underutilized because of the invasiveness of guide wire placement or the need for a hyperemic stimulus. FFR derived from routine coronary angiography (FFRangio) eliminates both of these requirements and displays FFR values of the entire coronary tree. The FFRangio Accuracy versus Standard FFR (FAST-FFR) study is a prospective, multicenter, international trial with the primary goal of determining the accuracy of FFRangio.\nMETHODS: Coronary angiography was performed in a routine fashion in patients with suspected coronary artery disease. FFR was measured in vessels with coronary lesions of varying severity using a coronary pressure wire and hyperemic stimulus. Based on angiograms of the respective arteries acquired in ≥2 different projections, on-site operators blinded to FFR then calculated FFRangio using proprietary software. Coprimary end points were the sensitivity and specificity of the dichotomously scored FFRangio for predicting pressure wire-derived FFR using a cutoff value of 0.80. The study was powered to meet prespecified performance goals for sensitivity and specificity.\nRESULTS: Ten centers in the United States, Europe, and Israel enrolled a total of 301 subjects and 319 vessels meeting inclusion/exclusion criteria which were included in the final analysis. The mean FFR was 0.81 and 43% of vessels had an FFR≤0.80. The per-vessel sensitivity and specificity were 94% (95% CI, 88% to 97%) and 91% (86% to 95%), respectively, both of which exceeded the prespecified performance goals. The diagnostic accuracy of FFRangio was 92% overall and remained high when only considering FFR values between 0.75 to 0.85 (87%). FFRangio values correlated well with FFR measurements ( r=0.80, P&lt;0.001) and the Bland-Altman 95% confidence limits were between -0.14 and 0.12. The device success rate for FFRangio was 99%.\nCONCLUSIONS: FFRangio measured from the coronary angiogram alone has a high sensitivity, specificity, and accuracy compared with pressure wire-derived FFR. FFRangio has the promise to substantially increase physiological coronary lesion assessment in the catheterization laboratory, thereby potentially leading to improved patient outcomes.\nCLINICAL TRIAL REGISTRATION: URL: https://www.clinicaltrials.gov . Unique Identifier: NCT03226262.","container-title":"Circulation","DOI":"10.1161/CIRCULATIONAHA.118.037350","ISSN":"1524-4539","issue":"4","journalAbbreviation":"Circulation","language":"eng","note":"PMID: 30586699","page":"477-484","source":"PubMed","title":"Accuracy of Fractional Flow Reserve Derived From Coronary Angiography","volume":"139","author":[{"family":"Fearon","given":"William F."},{"family":"Achenbach","given":"Stephan"},{"family":"Engstrom","given":"Thomas"},{"family":"Assali","given":"Abid"},{"family":"Shlofmitz","given":"Richard"},{"family":"Jeremias","given":"Allen"},{"family":"Fournier","given":"Stephane"},{"family":"Kirtane","given":"Ajay J."},{"family":"Kornowski","given":"Ran"},{"family":"Greenberg","given":"Gabriel"},{"family":"Jubeh","given":"Rami"},{"family":"Kolansky","given":"Daniel M."},{"family":"McAndrew","given":"Thomas"},{"family":"Dressler","given":"Ovidiu"},{"family":"Maehara","given":"Akiko"},{"family":"Matsumura","given":"Mitsuaki"},{"family":"Leon","given":"Martin B."},{"family":"De Bruyne","given":"Bernard"},{"literal":"FAST-FFR Study Investigators"}],"issued":{"date-parts":[["2019"]],"season":"22"}}}],"schema":"https://github.com/citation-style-language/schema/raw/master/csl-citation.json"} </w:instrText>
      </w:r>
      <w:r w:rsidR="00106A32">
        <w:rPr>
          <w:rFonts w:ascii="Times New Roman" w:hAnsi="Times New Roman" w:cs="Times New Roman"/>
          <w:sz w:val="24"/>
          <w:szCs w:val="24"/>
        </w:rPr>
        <w:fldChar w:fldCharType="separate"/>
      </w:r>
      <w:r w:rsidRPr="002147CF">
        <w:rPr>
          <w:rFonts w:ascii="Times New Roman" w:hAnsi="Times New Roman" w:cs="Times New Roman"/>
          <w:sz w:val="24"/>
        </w:rPr>
        <w:t>(Fearon et al., 2019)</w:t>
      </w:r>
      <w:r w:rsidR="00106A32">
        <w:rPr>
          <w:rFonts w:ascii="Times New Roman" w:hAnsi="Times New Roman" w:cs="Times New Roman"/>
          <w:sz w:val="24"/>
          <w:szCs w:val="24"/>
        </w:rPr>
        <w:fldChar w:fldCharType="end"/>
      </w:r>
      <w:r>
        <w:rPr>
          <w:rFonts w:ascii="Times New Roman" w:hAnsi="Times New Roman" w:cs="Times New Roman"/>
          <w:sz w:val="24"/>
          <w:szCs w:val="24"/>
        </w:rPr>
        <w:t xml:space="preserve"> trial demonstrated angiogram derived FFR has high sensitivity (94%) and specificity (91%) as well as diagnostic accuracy (92%) when compared to standard FFR. Diagnostic accuracy was maintained in 'grey zone' values of 0.75 to 0.85 at 87%.</w:t>
      </w:r>
    </w:p>
    <w:p w14:paraId="2C3AC04D" w14:textId="77777777" w:rsidR="000925DE" w:rsidRDefault="000925DE" w:rsidP="000925DE">
      <w:pPr>
        <w:spacing w:line="360" w:lineRule="auto"/>
        <w:rPr>
          <w:rFonts w:ascii="Times New Roman" w:hAnsi="Times New Roman" w:cs="Times New Roman"/>
          <w:sz w:val="24"/>
          <w:szCs w:val="24"/>
        </w:rPr>
      </w:pPr>
      <w:r>
        <w:rPr>
          <w:rFonts w:ascii="Times New Roman" w:hAnsi="Times New Roman" w:cs="Times New Roman"/>
          <w:sz w:val="24"/>
          <w:szCs w:val="24"/>
        </w:rPr>
        <w:t>Unlike CT FFR, invasive aortic pressure is available for angio FFR calculation. This combined with multiple angiographic images of the coronary tree and stenoses is factored into a mathematical algorithm which estimates resistances and flow, producing an FFR result. Studies have utilised slightly different methods</w:t>
      </w:r>
      <w:r w:rsidR="00D76AD8">
        <w:rPr>
          <w:rFonts w:ascii="Times New Roman" w:hAnsi="Times New Roman" w:cs="Times New Roman"/>
          <w:sz w:val="24"/>
          <w:szCs w:val="24"/>
        </w:rPr>
        <w:t xml:space="preserve"> with computational fluid dynamics, </w:t>
      </w:r>
      <w:r>
        <w:rPr>
          <w:rFonts w:ascii="Times New Roman" w:hAnsi="Times New Roman" w:cs="Times New Roman"/>
          <w:sz w:val="24"/>
          <w:szCs w:val="24"/>
        </w:rPr>
        <w:t xml:space="preserve">but all </w:t>
      </w:r>
      <w:r w:rsidR="00D76AD8">
        <w:rPr>
          <w:rFonts w:ascii="Times New Roman" w:hAnsi="Times New Roman" w:cs="Times New Roman"/>
          <w:sz w:val="24"/>
          <w:szCs w:val="24"/>
        </w:rPr>
        <w:t>must</w:t>
      </w:r>
      <w:r>
        <w:rPr>
          <w:rFonts w:ascii="Times New Roman" w:hAnsi="Times New Roman" w:cs="Times New Roman"/>
          <w:sz w:val="24"/>
          <w:szCs w:val="24"/>
        </w:rPr>
        <w:t xml:space="preserve"> use a set of boundary conditions to produce a result</w:t>
      </w:r>
      <w:r w:rsidR="00B976FF">
        <w:rPr>
          <w:rFonts w:ascii="Times New Roman" w:hAnsi="Times New Roman" w:cs="Times New Roman"/>
          <w:sz w:val="24"/>
          <w:szCs w:val="24"/>
        </w:rPr>
        <w:t xml:space="preserve"> </w:t>
      </w:r>
      <w:r w:rsidR="00106A32">
        <w:rPr>
          <w:rFonts w:ascii="Times New Roman" w:hAnsi="Times New Roman" w:cs="Times New Roman"/>
          <w:sz w:val="24"/>
          <w:szCs w:val="24"/>
        </w:rPr>
        <w:fldChar w:fldCharType="begin"/>
      </w:r>
      <w:r w:rsidR="00B976FF">
        <w:rPr>
          <w:rFonts w:ascii="Times New Roman" w:hAnsi="Times New Roman" w:cs="Times New Roman"/>
          <w:sz w:val="24"/>
          <w:szCs w:val="24"/>
        </w:rPr>
        <w:instrText xml:space="preserve"> ADDIN ZOTERO_ITEM CSL_CITATION {"citationID":"Sql1UbNk","properties":{"formattedCitation":"(Morris et al., 2017)","plainCitation":"(Morris et al., 2017)","noteIndex":0},"citationItems":[{"id":883,"uris":["http://zotero.org/users/local/k67tNDdX/items/YI8D4279"],"uri":["http://zotero.org/users/local/k67tNDdX/items/YI8D4279"],"itemData":{"id":883,"type":"article-journal","abstract":"•\n              Computed vFFR promises the benefits of physiological lesion assessment without the drawbacks limiting use of the invasive method.\n            \n            \n              •\n              Sophisticated, zero-dimension–coupled, transient, 3-dimensional CFD models provide high degrees of accuracy but are typically slow to compute, and models are sensitive to unknown physiological parameters such as myocardial resistance.\n            \n            \n              •\n              Based on paired steady-state CFD analyses, 2 mathematical methods (“steady” and “pseudotransient”) were developed that accelerate the computation of vFFR from &gt;36 h to &lt;4 min.\n            \n            \n              •\n              The pseudotransient method computed transient results, without the need for complex, and computationally expensive, full transient CFD analysis.\n            \n            \n              •\n              Sensitivity analysis demonstrated that the hyperemic myocardial resistance is the dominant influence on vFFR and not the geometry of the lesion itself.\n            \n          \n        , Fractional flow reserve (FFR)-guided percutaneous intervention is superior to standard assessment but remains underused. The authors have developed a novel “pseudotransient” analysis protocol for computing virtual fractional flow reserve (vFFR) based upon angiographic images and steady-state computational fluid dynamics. This protocol generates vFFR results in 189 s (cf &gt;24 h for transient analysis) using a desktop PC, with &lt;1% error relative to that of full-transient computational fluid dynamics analysis. Sensitivity analysis demonstrated that physiological lesion significance was influenced less by coronary or lesion anatomy (33%) and more by microvascular physiology (59%). If coronary microvascular resistance can be estimated, vFFR can be accurately computed in less time than it takes to make invasive measurements.","container-title":"JACC: Basic to Translational Science","DOI":"10.1016/j.jacbts.2017.04.003","ISSN":"2452-302X","issue":"4","journalAbbreviation":"JACC Basic Transl Sci","note":"PMID: 28920099\nPMCID: PMC5582193","page":"434-446","source":"PubMed Central","title":"Fast Virtual Fractional Flow Reserve Based Upon Steady-State Computational Fluid Dynamics Analysis","volume":"2","author":[{"family":"Morris","given":"Paul D."},{"family":"Silva Soto","given":"Daniel Alejandro"},{"family":"Feher","given":"Jeroen F.A."},{"family":"Rafiroiu","given":"Dan"},{"family":"Lungu","given":"Angela"},{"family":"Varma","given":"Susheel"},{"family":"Lawford","given":"Patricia V."},{"family":"Hose","given":"D. Rodney"},{"family":"Gunn","given":"Julian P."}],"issued":{"date-parts":[["2017",8,28]]}}}],"schema":"https://github.com/citation-style-language/schema/raw/master/csl-citation.json"} </w:instrText>
      </w:r>
      <w:r w:rsidR="00106A32">
        <w:rPr>
          <w:rFonts w:ascii="Times New Roman" w:hAnsi="Times New Roman" w:cs="Times New Roman"/>
          <w:sz w:val="24"/>
          <w:szCs w:val="24"/>
        </w:rPr>
        <w:fldChar w:fldCharType="separate"/>
      </w:r>
      <w:r w:rsidR="00B976FF" w:rsidRPr="00B976FF">
        <w:rPr>
          <w:rFonts w:ascii="Times New Roman" w:hAnsi="Times New Roman" w:cs="Times New Roman"/>
          <w:sz w:val="24"/>
        </w:rPr>
        <w:t>(Morris et al., 2017)</w:t>
      </w:r>
      <w:r w:rsidR="00106A32">
        <w:rPr>
          <w:rFonts w:ascii="Times New Roman" w:hAnsi="Times New Roman" w:cs="Times New Roman"/>
          <w:sz w:val="24"/>
          <w:szCs w:val="24"/>
        </w:rPr>
        <w:fldChar w:fldCharType="end"/>
      </w:r>
      <w:r>
        <w:rPr>
          <w:rFonts w:ascii="Times New Roman" w:hAnsi="Times New Roman" w:cs="Times New Roman"/>
          <w:sz w:val="24"/>
          <w:szCs w:val="24"/>
        </w:rPr>
        <w:t xml:space="preserve">.  </w:t>
      </w:r>
      <w:r w:rsidR="00D76AD8">
        <w:rPr>
          <w:rFonts w:ascii="Times New Roman" w:hAnsi="Times New Roman" w:cs="Times New Roman"/>
          <w:sz w:val="24"/>
          <w:szCs w:val="24"/>
        </w:rPr>
        <w:t>Beneficially,</w:t>
      </w:r>
      <w:r>
        <w:rPr>
          <w:rFonts w:ascii="Times New Roman" w:hAnsi="Times New Roman" w:cs="Times New Roman"/>
          <w:sz w:val="24"/>
          <w:szCs w:val="24"/>
        </w:rPr>
        <w:t xml:space="preserve"> 96% of cases in the FAST-FFR study were appropriate for analysis, compared to only 67% in the PROMISE trial, which used CT FFR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{"citationID":"eBqsAxQW","properties":{"formattedCitation":"(Lu et al., 2017)","plainCitation":"(Lu et al., 2017)","noteIndex":0},"citationItems":[{"id":837,"uris":["http://zotero.org/users/local/k67tNDdX/items/7PAHHCFK"],"uri":["http://zotero.org/users/local/k67tNDdX/items/7PAHHCFK"],"itemData":{"id":837,"type":"article-journal","abstract":"OBJECTIVES: The purpose of this study was to determine whether noninvasive fractional flow reserve derived from computed tomography (FFRCT) predicts coronary revascularization and outcomes and whether its addition improves efficiency of referral to invasive coronary angiography (ICA) after coronary computed tomography angiography (CTA).\nBACKGROUND: FFRCT may improve the efficiency of an anatomic CTA strategy for stable chest pain.\nMETHODS: This observational cohort study included patients with stable chest pain in the PROMISE (PROspective Multicenter Imaging Study for Evaluation of Chest Pain) trial referred to ICA within 90 days after CTA. FFRCT was measured at a blinded core laboratory, and FFRCT results were unavailable to caregivers. We determined the agreement of FFRCT (positive if ≤0.80) with stenosis on CTA and ICA (positive if ≥50% left main or ≥70% other coronary artery), and predictive value for a composite of coronary revascularization or major adverse cardiac events (death, myocardial infarction, or unstable angina). We retrospectively assessed whether adding FFRCT ≤0.80 as a gatekeeper could improve efficiency of referral to ICA, defined as decreased rate of ICA without ≥50% stenosis and increased ICA leading to revascularization.\nRESULTS: FFRCT was calculated in 67% (181 of 271) of eligible patients (mean age 62 years; 36% women). FFRCT was discordant with stenosis in 31% (57 of 181) for CTA and 29% (52 of 181) for ICA. Most patients undergoing coronary revascularization had an FFRCT of ≤0.80 (91%; 80 of 88). An FFRCT of ≤0.80 was a significantly better predictor for revascularization or major adverse cardiac events than severe CTA stenosis (HR: 4.3 [95% confidence interval [CI]: 2.4 to 8.9] vs. 2.9 [95% CI: 1.8 to 5.1]; p = 0.033). Reserving ICA for patients with an FFRCT of ≤0.80 could decrease ICA without ≥50% stenosis by 44%, and increase the proportion of ICA leading to revascularization by 24%.\nCONCLUSIONS: In this hypothesis-generating study of patients with stable chest pain referred to ICA from CTA, an FFRCT of ≤0.80 was a better predictor of revascularization or major adverse cardiac events than severe stenosis on CTA. Adding FFRCT may improve efficiency of referral to ICA from CTA alone.","container-title":"JACC. Cardiovascular imaging","DOI":"10.1016/j.jcmg.2016.11.024","ISSN":"1876-7591","issue":"11","journalAbbreviation":"JACC Cardiovasc Imaging","language":"eng","note":"PMID: 28412436\nPMCID: PMC5632098","page":"1350-1358","source":"PubMed","title":"Noninvasive FFR Derived From Coronary CT Angiography: Management and Outcomes in the PROMISE Trial","title-short":"Noninvasive FFR Derived From Coronary CT Angiography","volume":"10","author":[{"family":"Lu","given":"Michael T."},{"family":"Ferencik","given":"Maros"},{"family":"Roberts","given":"Rhonda S."},{"family":"Lee","given":"Kerry L."},{"family":"Ivanov","given":"Alexander"},{"family":"Adami","given":"Elizabeth"},{"family":"Mark","given":"Daniel B."},{"family":"Jaffer","given":"Farouc A."},{"family":"Leipsic","given":"Jonathon A."},{"family":"Douglas","given":"Pamela S."},{"family":"Hoffmann","given":"Udo"}],"issued":{"date-parts":[["2017"]]}}}],"schema":"https://github.com/citation-style-language/schema/raw/master/csl-citation.json"} </w:instrText>
      </w:r>
      <w:r w:rsidR="00106A32">
        <w:rPr>
          <w:rFonts w:ascii="Times New Roman" w:hAnsi="Times New Roman" w:cs="Times New Roman"/>
          <w:sz w:val="24"/>
          <w:szCs w:val="24"/>
        </w:rPr>
        <w:fldChar w:fldCharType="separate"/>
      </w:r>
      <w:r w:rsidRPr="004641ED">
        <w:rPr>
          <w:rFonts w:ascii="Times New Roman" w:hAnsi="Times New Roman" w:cs="Times New Roman"/>
          <w:sz w:val="24"/>
        </w:rPr>
        <w:t>(Lu et al., 2017)</w:t>
      </w:r>
      <w:r w:rsidR="00106A32">
        <w:rPr>
          <w:rFonts w:ascii="Times New Roman" w:hAnsi="Times New Roman" w:cs="Times New Roman"/>
          <w:sz w:val="24"/>
          <w:szCs w:val="24"/>
        </w:rPr>
        <w:fldChar w:fldCharType="end"/>
      </w:r>
    </w:p>
    <w:p w14:paraId="64F01AF8" w14:textId="77777777" w:rsidR="000925DE" w:rsidRPr="006C1A70" w:rsidRDefault="006C1A70" w:rsidP="006C1A70">
      <w:pPr>
        <w:pStyle w:val="Heading3"/>
        <w:rPr>
          <w:rFonts w:ascii="Times New Roman" w:hAnsi="Times New Roman" w:cs="Times New Roman"/>
          <w:b w:val="0"/>
          <w:i/>
          <w:color w:val="auto"/>
          <w:sz w:val="24"/>
          <w:szCs w:val="24"/>
        </w:rPr>
      </w:pPr>
      <w:bookmarkStart w:id="240" w:name="_Toc80302293"/>
      <w:r w:rsidRPr="006C1A70">
        <w:rPr>
          <w:rFonts w:ascii="Times New Roman" w:hAnsi="Times New Roman" w:cs="Times New Roman"/>
          <w:b w:val="0"/>
          <w:i/>
          <w:color w:val="auto"/>
          <w:sz w:val="24"/>
          <w:szCs w:val="24"/>
        </w:rPr>
        <w:t>4.</w:t>
      </w:r>
      <w:r w:rsidR="004A7AE9">
        <w:rPr>
          <w:rFonts w:ascii="Times New Roman" w:hAnsi="Times New Roman" w:cs="Times New Roman"/>
          <w:b w:val="0"/>
          <w:i/>
          <w:color w:val="auto"/>
          <w:sz w:val="24"/>
          <w:szCs w:val="24"/>
        </w:rPr>
        <w:t>8</w:t>
      </w:r>
      <w:r w:rsidRPr="006C1A70">
        <w:rPr>
          <w:rFonts w:ascii="Times New Roman" w:hAnsi="Times New Roman" w:cs="Times New Roman"/>
          <w:b w:val="0"/>
          <w:i/>
          <w:color w:val="auto"/>
          <w:sz w:val="24"/>
          <w:szCs w:val="24"/>
        </w:rPr>
        <w:t xml:space="preserve">.3 - </w:t>
      </w:r>
      <w:r w:rsidR="00A11D78" w:rsidRPr="006C1A70">
        <w:rPr>
          <w:rFonts w:ascii="Times New Roman" w:hAnsi="Times New Roman" w:cs="Times New Roman"/>
          <w:b w:val="0"/>
          <w:i/>
          <w:color w:val="auto"/>
          <w:sz w:val="24"/>
          <w:szCs w:val="24"/>
        </w:rPr>
        <w:t>Hydrostatic Effect in</w:t>
      </w:r>
      <w:r w:rsidR="000925DE" w:rsidRPr="006C1A70">
        <w:rPr>
          <w:rFonts w:ascii="Times New Roman" w:hAnsi="Times New Roman" w:cs="Times New Roman"/>
          <w:b w:val="0"/>
          <w:i/>
          <w:color w:val="auto"/>
          <w:sz w:val="24"/>
          <w:szCs w:val="24"/>
        </w:rPr>
        <w:t xml:space="preserve"> Non-invasive FFR</w:t>
      </w:r>
      <w:bookmarkEnd w:id="240"/>
      <w:r>
        <w:rPr>
          <w:rFonts w:ascii="Times New Roman" w:hAnsi="Times New Roman" w:cs="Times New Roman"/>
          <w:b w:val="0"/>
          <w:i/>
          <w:color w:val="auto"/>
          <w:sz w:val="24"/>
          <w:szCs w:val="24"/>
        </w:rPr>
        <w:br/>
      </w:r>
    </w:p>
    <w:p w14:paraId="6A47837E" w14:textId="77777777" w:rsidR="000925DE" w:rsidRDefault="000925DE" w:rsidP="000925DE">
      <w:pPr>
        <w:spacing w:line="360" w:lineRule="auto"/>
        <w:rPr>
          <w:rFonts w:ascii="Times New Roman" w:hAnsi="Times New Roman" w:cs="Times New Roman"/>
          <w:i/>
          <w:sz w:val="24"/>
          <w:szCs w:val="24"/>
        </w:rPr>
      </w:pPr>
    </w:p>
    <w:p w14:paraId="548C6C16" w14:textId="6A15FCB7" w:rsidR="005F2A35" w:rsidRPr="005F2A35" w:rsidRDefault="005F2A35" w:rsidP="000925DE">
      <w:pPr>
        <w:spacing w:line="360" w:lineRule="auto"/>
        <w:rPr>
          <w:rFonts w:ascii="Times New Roman" w:hAnsi="Times New Roman" w:cs="Times New Roman"/>
          <w:sz w:val="24"/>
          <w:szCs w:val="24"/>
        </w:rPr>
      </w:pPr>
      <w:r>
        <w:rPr>
          <w:rFonts w:ascii="Times New Roman" w:hAnsi="Times New Roman" w:cs="Times New Roman"/>
          <w:sz w:val="24"/>
          <w:szCs w:val="24"/>
        </w:rPr>
        <w:t xml:space="preserve">As has been demonstrated, </w:t>
      </w:r>
      <w:r w:rsidR="0092462A">
        <w:rPr>
          <w:rFonts w:ascii="Times New Roman" w:hAnsi="Times New Roman" w:cs="Times New Roman"/>
          <w:sz w:val="24"/>
          <w:szCs w:val="24"/>
        </w:rPr>
        <w:t>non-</w:t>
      </w:r>
      <w:r>
        <w:rPr>
          <w:rFonts w:ascii="Times New Roman" w:hAnsi="Times New Roman" w:cs="Times New Roman"/>
          <w:sz w:val="24"/>
          <w:szCs w:val="24"/>
        </w:rPr>
        <w:t xml:space="preserve">invasive FFR correlates well with invasive FFR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{"citationID":"thBlKA7I","properties":{"formattedCitation":"(Koo et al., 2011)","plainCitation":"(Koo et al., 2011)","noteIndex":0},"citationItems":[{"id":771,"uris":["http://zotero.org/users/local/k67tNDdX/items/KWIUTK3F"],"uri":["http://zotero.org/users/local/k67tNDdX/items/KWIUTK3F"],"itemData":{"id":771,"type":"article-journal","container-title":"Journal of the American College of Cardiology","issue":"19","page":"1989–1997","source":"Google Scholar","title":"Diagnosis of ischemia-causing coronary stenoses by noninvasive fractional flow reserve computed from coronary computed tomographic angiograms: results from the prospective multicenter DISCOVER-FLOW (Diagnosis of Ischemia-Causing Stenoses Obtained Via Noninvasive Fractional Flow Reserve) study","title-short":"Diagnosis of ischemia-causing coronary stenoses by noninvasive fractional flow reserve computed from coronary computed tomographic angiograms","volume":"58","author":[{"family":"Koo","given":"Bon-Kwon"},{"family":"Erglis","given":"Andrejs"},{"family":"Doh","given":"Joon-Hyung"},{"family":"Daniels","given":"David V."},{"family":"Jegere","given":"Sanda"},{"family":"Kim","given":"Hyo-Soo"},{"family":"Dunning","given":"Allison"},{"family":"DeFrance","given":"Tony"},{"family":"Lansky","given":"Alexandra"},{"family":"Leipsic","given":"Jonathan"}],"issued":{"date-parts":[["2011"]]}}}],"schema":"https://github.com/citation-style-language/schema/raw/master/csl-citation.json"} </w:instrText>
      </w:r>
      <w:r w:rsidR="00106A32">
        <w:rPr>
          <w:rFonts w:ascii="Times New Roman" w:hAnsi="Times New Roman" w:cs="Times New Roman"/>
          <w:sz w:val="24"/>
          <w:szCs w:val="24"/>
        </w:rPr>
        <w:fldChar w:fldCharType="separate"/>
      </w:r>
      <w:r w:rsidRPr="005F2A35">
        <w:rPr>
          <w:rFonts w:ascii="Times New Roman" w:hAnsi="Times New Roman" w:cs="Times New Roman"/>
          <w:sz w:val="24"/>
        </w:rPr>
        <w:t>(Koo et al., 2011)</w:t>
      </w:r>
      <w:r w:rsidR="00106A32">
        <w:rPr>
          <w:rFonts w:ascii="Times New Roman" w:hAnsi="Times New Roman" w:cs="Times New Roman"/>
          <w:sz w:val="24"/>
          <w:szCs w:val="24"/>
        </w:rPr>
        <w:fldChar w:fldCharType="end"/>
      </w:r>
      <w:r>
        <w:rPr>
          <w:rFonts w:ascii="Times New Roman" w:hAnsi="Times New Roman" w:cs="Times New Roman"/>
          <w:sz w:val="24"/>
          <w:szCs w:val="24"/>
        </w:rPr>
        <w:t xml:space="preserve">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{"citationID":"V1wV8vKd","properties":{"formattedCitation":"(N\\uc0\\u248{}rgaard et al., 2014)","plainCitation":"(Nørgaard et al., 2014)","noteIndex":0},"citationItems":[{"id":776,"uris":["http://zotero.org/users/local/k67tNDdX/items/8LQKRK83"],"uri":["http://zotero.org/users/local/k67tNDdX/items/8LQKRK83"],"itemData":{"id":776,"type":"article-journal","container-title":"Journal of the American College of Cardiology","issue":"12","page":"1145–1155","source":"Google Scholar","title":"Diagnostic performance of noninvasive fractional flow reserve derived from coronary computed tomography angiography in suspected coronary artery disease: the NXT trial (Analysis of Coronary Blood Flow Using CT Angiography: Next Steps)","title-short":"Diagnostic performance of noninvasive fractional flow reserve derived from coronary computed tomography angiography in suspected coronary artery disease","volume":"63","author":[{"family":"Nørgaard","given":"Bjarne L."},{"family":"Leipsic","given":"Jonathon"},{"family":"Gaur","given":"Sara"},{"family":"Seneviratne","given":"Sujith"},{"family":"Ko","given":"Brian S."},{"family":"Ito","given":"Hiroshi"},{"family":"Jensen","given":"Jesper M."},{"family":"Mauri","given":"Laura"},{"family":"De Bruyne","given":"Bernard"},{"family":"Bezerra","given":"Hiram"}],"issued":{"date-parts":[["2014"]]}}}],"schema":"https://github.com/citation-style-language/schema/raw/master/csl-citation.json"} </w:instrText>
      </w:r>
      <w:r w:rsidR="00106A32">
        <w:rPr>
          <w:rFonts w:ascii="Times New Roman" w:hAnsi="Times New Roman" w:cs="Times New Roman"/>
          <w:sz w:val="24"/>
          <w:szCs w:val="24"/>
        </w:rPr>
        <w:fldChar w:fldCharType="separate"/>
      </w:r>
      <w:r w:rsidRPr="005F2A35">
        <w:rPr>
          <w:rFonts w:ascii="Times New Roman" w:hAnsi="Times New Roman" w:cs="Times New Roman"/>
          <w:sz w:val="24"/>
          <w:szCs w:val="24"/>
        </w:rPr>
        <w:t>(Nørgaard et al., 2014)</w:t>
      </w:r>
      <w:r w:rsidR="00106A32">
        <w:rPr>
          <w:rFonts w:ascii="Times New Roman" w:hAnsi="Times New Roman" w:cs="Times New Roman"/>
          <w:sz w:val="24"/>
          <w:szCs w:val="24"/>
        </w:rPr>
        <w:fldChar w:fldCharType="end"/>
      </w:r>
      <w:r>
        <w:rPr>
          <w:rFonts w:ascii="Times New Roman" w:hAnsi="Times New Roman" w:cs="Times New Roman"/>
          <w:sz w:val="24"/>
          <w:szCs w:val="24"/>
        </w:rPr>
        <w:t>. These studies did not individuall</w:t>
      </w:r>
      <w:r w:rsidR="00BE02AD">
        <w:rPr>
          <w:rFonts w:ascii="Times New Roman" w:hAnsi="Times New Roman" w:cs="Times New Roman"/>
          <w:sz w:val="24"/>
          <w:szCs w:val="24"/>
        </w:rPr>
        <w:t>y</w:t>
      </w:r>
      <w:r>
        <w:rPr>
          <w:rFonts w:ascii="Times New Roman" w:hAnsi="Times New Roman" w:cs="Times New Roman"/>
          <w:sz w:val="24"/>
          <w:szCs w:val="24"/>
        </w:rPr>
        <w:t xml:space="preserve"> compare each artery. This would have been useful to assess for any potential mismatch.</w:t>
      </w:r>
    </w:p>
    <w:p w14:paraId="2A1B76BD" w14:textId="2300F923" w:rsidR="000925DE" w:rsidRDefault="000925DE" w:rsidP="000925DE">
      <w:pPr>
        <w:spacing w:line="360" w:lineRule="auto"/>
        <w:rPr>
          <w:rFonts w:ascii="Times New Roman" w:hAnsi="Times New Roman" w:cs="Times New Roman"/>
          <w:sz w:val="24"/>
          <w:szCs w:val="24"/>
        </w:rPr>
      </w:pPr>
      <w:r>
        <w:rPr>
          <w:rFonts w:ascii="Times New Roman" w:hAnsi="Times New Roman" w:cs="Times New Roman"/>
          <w:sz w:val="24"/>
          <w:szCs w:val="24"/>
        </w:rPr>
        <w:t xml:space="preserve">Lack of specific haemodynamic data is a notable flaw in </w:t>
      </w:r>
      <w:r w:rsidR="0092462A">
        <w:rPr>
          <w:rFonts w:ascii="Times New Roman" w:hAnsi="Times New Roman" w:cs="Times New Roman"/>
          <w:sz w:val="24"/>
          <w:szCs w:val="24"/>
        </w:rPr>
        <w:t>non-</w:t>
      </w:r>
      <w:r>
        <w:rPr>
          <w:rFonts w:ascii="Times New Roman" w:hAnsi="Times New Roman" w:cs="Times New Roman"/>
          <w:sz w:val="24"/>
          <w:szCs w:val="24"/>
        </w:rPr>
        <w:t>invasive FFR calculation. However, the non-invasive nature of these measurements may also be beneficial, in that confounding factors which plague invasive FFR are irrelevant. Atrial pressure, LVEDP, response to hyperaemia and hydrostatic pressure are no longer a factor in angio or CT FFR. Anterior and posterior artery position should have negligible or no effect on measured FFR.</w:t>
      </w:r>
    </w:p>
    <w:p w14:paraId="7AA6F5F7" w14:textId="77777777" w:rsidR="000925DE" w:rsidRPr="00E404AE" w:rsidRDefault="00947050" w:rsidP="000925DE">
      <w:pPr>
        <w:spacing w:line="360" w:lineRule="auto"/>
        <w:rPr>
          <w:rFonts w:ascii="Times New Roman" w:hAnsi="Times New Roman" w:cs="Times New Roman"/>
          <w:sz w:val="24"/>
          <w:szCs w:val="24"/>
        </w:rPr>
      </w:pPr>
      <w:r>
        <w:rPr>
          <w:rFonts w:ascii="Times New Roman" w:hAnsi="Times New Roman" w:cs="Times New Roman"/>
          <w:sz w:val="24"/>
          <w:szCs w:val="24"/>
        </w:rPr>
        <w:t xml:space="preserve">Interestingly, </w:t>
      </w:r>
      <w:r w:rsidR="000925DE">
        <w:rPr>
          <w:rFonts w:ascii="Times New Roman" w:hAnsi="Times New Roman" w:cs="Times New Roman"/>
          <w:sz w:val="24"/>
          <w:szCs w:val="24"/>
        </w:rPr>
        <w:t xml:space="preserve">CT FFR data from the ADVANCE registry </w:t>
      </w:r>
      <w:r w:rsidR="00106A32">
        <w:rPr>
          <w:rFonts w:ascii="Times New Roman" w:hAnsi="Times New Roman" w:cs="Times New Roman"/>
          <w:sz w:val="24"/>
          <w:szCs w:val="24"/>
        </w:rPr>
        <w:fldChar w:fldCharType="begin"/>
      </w:r>
      <w:r w:rsidR="000925DE">
        <w:rPr>
          <w:rFonts w:ascii="Times New Roman" w:hAnsi="Times New Roman" w:cs="Times New Roman"/>
          <w:sz w:val="24"/>
          <w:szCs w:val="24"/>
        </w:rPr>
        <w:instrText xml:space="preserve"> ADDIN ZOTERO_ITEM CSL_CITATION {"citationID":"nxehnU65","properties":{"formattedCitation":"(Kitabata et al., 2018)","plainCitation":"(Kitabata et al., 2018)","noteIndex":0},"citationItems":[{"id":869,"uris":["http://zotero.org/users/local/k67tNDdX/items/RMA6A9XA"],"uri":["http://zotero.org/users/local/k67tNDdX/items/RMA6A9XA"],"itemData":{"id":869,"type":"article-journal","abstract":"BACKGROUND: To date, the clinical utility of coronary computed tomography angiography (CTA)-derived fractional flow reserve (FFRCT) has been limited to trials and single center experiences. We herein report the incidence of abnormal FFRCT (≤0.80) and the relationship of lesion-specific ischemia to subject demographics, symptoms, and degree of stenosis in the multicenter, prospective ADVANCE registry.\nMETHODS: One thousand patients with suspected angina having documented coronary artery disease on coronary CTA and clinically referred for FFRCT were prospectively enrolled in the registry. Patient demographics, symptom status, coronary CTA and FFRCT findings were recorded. Univariate and multivariate analyses were performed to investigate the predictors related to abnormal FFRCT.\nRESULTS: FFRCT data were analyzed in 952 patients (95.2%). Overall, 51.1% patients had a positive FFRCT value (≤0.80). Patients with ≥3 risk factors had a significantly higher rate of abnormal FFRCT than those with &lt;3 risk factors (60.2% vs. 43.9%, p = 0.0001). On multivariate analysis, baseline diabetes (odds ratio [OR] 1.52, 95% confidence interval [CI] 1.04-2.21, p = 0.030) and hypertension (OR 1.56, 95%CI 1.14-2.14, p = 0.005) were both predictive of abnormal FFRCT. In addition, &gt;70% stenosis was significantly associated with low FFRCT (OR 31.16, 95%CI 12.25-79.22, p &lt; 0.0001) vs. &lt;30% stenosis. Notably, stenosis 30-49% vs. &lt;30% had an increased likelihood of ischemia (OR 3.74, 95%CI 1.52-9.17, p &lt; 0.0001).\nCONCLUSIONS: In this real-world registry, CT angiographic stenosis severity in addition to baseline cardiovascular risk factors conferred an increased likelihood of an abnormal FFRCT. Importantly, however, mild CT angiographic stenoses were noted to have an increased hazard for ischemia and the converse holding true for more severe stenoses as well.","container-title":"Journal of Cardiovascular Computed Tomography","DOI":"10.1016/j.jcct.2018.01.008","ISSN":"1876-861X","issue":"2","journalAbbreviation":"J Cardiovasc Comput Tomogr","language":"eng","note":"PMID: 29422416","page":"95-100","source":"PubMed","title":"Incidence and predictors of lesion-specific ischemia by FFRCT: Learnings from the international ADVANCE registry","title-short":"Incidence and predictors of lesion-specific ischemia by FFRCT","volume":"12","author":[{"family":"Kitabata","given":"Hironori"},{"family":"Leipsic","given":"Jonathon"},{"family":"Patel","given":"Manesh R."},{"family":"Nieman","given":"Koen"},{"family":"De Bruyne","given":"Bernard"},{"family":"Rogers","given":"Campbell"},{"family":"Pontone","given":"Gianluca"},{"family":"Nørgaard","given":"Bjarne L."},{"family":"Bax","given":"Jeroen J."},{"family":"Raff","given":"Gilbert"},{"family":"Chinnaiyan","given":"Kavitha M."},{"family":"Rabbat","given":"Mark"},{"family":"Rønnow Sand","given":"Niels Peter"},{"family":"Blanke","given":"Philipp"},{"family":"Fairbairn","given":"Timothy A."},{"family":"Matsuo","given":"Hitoshi"},{"family":"Amano","given":"Tetsuya"},{"family":"Kawasaki","given":"Tomohiro"},{"family":"Morino","given":"Yoshihiro"},{"family":"Akasaka","given":"Takashi"}],"issued":{"date-parts":[["2018",4]]}}}],"schema":"https://github.com/citation-style-language/schema/raw/master/csl-citation.json"} </w:instrText>
      </w:r>
      <w:r w:rsidR="00106A32">
        <w:rPr>
          <w:rFonts w:ascii="Times New Roman" w:hAnsi="Times New Roman" w:cs="Times New Roman"/>
          <w:sz w:val="24"/>
          <w:szCs w:val="24"/>
        </w:rPr>
        <w:fldChar w:fldCharType="separate"/>
      </w:r>
      <w:r w:rsidR="000925DE" w:rsidRPr="000359A8">
        <w:rPr>
          <w:rFonts w:ascii="Times New Roman" w:hAnsi="Times New Roman" w:cs="Times New Roman"/>
          <w:sz w:val="24"/>
        </w:rPr>
        <w:t>(Kitabata et al., 2018)</w:t>
      </w:r>
      <w:r w:rsidR="00106A32">
        <w:rPr>
          <w:rFonts w:ascii="Times New Roman" w:hAnsi="Times New Roman" w:cs="Times New Roman"/>
          <w:sz w:val="24"/>
          <w:szCs w:val="24"/>
        </w:rPr>
        <w:fldChar w:fldCharType="end"/>
      </w:r>
      <w:r w:rsidR="000925DE">
        <w:rPr>
          <w:rFonts w:ascii="Times New Roman" w:hAnsi="Times New Roman" w:cs="Times New Roman"/>
          <w:sz w:val="24"/>
          <w:szCs w:val="24"/>
        </w:rPr>
        <w:t xml:space="preserve"> showed a trend towards lower FFR values in LAD lesions compared to RCA lesions. The authors did</w:t>
      </w:r>
      <w:r w:rsidR="00310EAB">
        <w:rPr>
          <w:rFonts w:ascii="Times New Roman" w:hAnsi="Times New Roman" w:cs="Times New Roman"/>
          <w:sz w:val="24"/>
          <w:szCs w:val="24"/>
        </w:rPr>
        <w:t xml:space="preserve"> not</w:t>
      </w:r>
      <w:r w:rsidR="000925DE">
        <w:rPr>
          <w:rFonts w:ascii="Times New Roman" w:hAnsi="Times New Roman" w:cs="Times New Roman"/>
          <w:sz w:val="24"/>
          <w:szCs w:val="24"/>
        </w:rPr>
        <w:t xml:space="preserve"> give an explanation for this </w:t>
      </w:r>
      <w:r w:rsidR="00A11D78">
        <w:rPr>
          <w:rFonts w:ascii="Times New Roman" w:hAnsi="Times New Roman" w:cs="Times New Roman"/>
          <w:sz w:val="24"/>
          <w:szCs w:val="24"/>
        </w:rPr>
        <w:t>or show any lesion specific data</w:t>
      </w:r>
      <w:r w:rsidR="000925DE">
        <w:rPr>
          <w:rFonts w:ascii="Times New Roman" w:hAnsi="Times New Roman" w:cs="Times New Roman"/>
          <w:sz w:val="24"/>
          <w:szCs w:val="24"/>
        </w:rPr>
        <w:t xml:space="preserve"> (e.g</w:t>
      </w:r>
      <w:r w:rsidR="00A11D78">
        <w:rPr>
          <w:rFonts w:ascii="Times New Roman" w:hAnsi="Times New Roman" w:cs="Times New Roman"/>
          <w:sz w:val="24"/>
          <w:szCs w:val="24"/>
        </w:rPr>
        <w:t>.</w:t>
      </w:r>
      <w:r w:rsidR="000925DE">
        <w:rPr>
          <w:rFonts w:ascii="Times New Roman" w:hAnsi="Times New Roman" w:cs="Times New Roman"/>
          <w:sz w:val="24"/>
          <w:szCs w:val="24"/>
        </w:rPr>
        <w:t xml:space="preserve"> lesion length). </w:t>
      </w:r>
      <w:r w:rsidR="00310EAB">
        <w:rPr>
          <w:rFonts w:ascii="Times New Roman" w:hAnsi="Times New Roman" w:cs="Times New Roman"/>
          <w:sz w:val="24"/>
          <w:szCs w:val="24"/>
        </w:rPr>
        <w:t>Boundary conditions which are required compute CT FFR are based on physical laws. Flow</w:t>
      </w:r>
      <w:r w:rsidR="00A11D78">
        <w:rPr>
          <w:rFonts w:ascii="Times New Roman" w:hAnsi="Times New Roman" w:cs="Times New Roman"/>
          <w:sz w:val="24"/>
          <w:szCs w:val="24"/>
        </w:rPr>
        <w:t xml:space="preserve"> for example</w:t>
      </w:r>
      <w:r w:rsidR="00310EAB">
        <w:rPr>
          <w:rFonts w:ascii="Times New Roman" w:hAnsi="Times New Roman" w:cs="Times New Roman"/>
          <w:sz w:val="24"/>
          <w:szCs w:val="24"/>
        </w:rPr>
        <w:t xml:space="preserve"> is calculated </w:t>
      </w:r>
      <w:r w:rsidR="00A11D78">
        <w:rPr>
          <w:rFonts w:ascii="Times New Roman" w:hAnsi="Times New Roman" w:cs="Times New Roman"/>
          <w:sz w:val="24"/>
          <w:szCs w:val="24"/>
        </w:rPr>
        <w:t>using</w:t>
      </w:r>
      <w:r w:rsidR="00310EAB">
        <w:rPr>
          <w:rFonts w:ascii="Times New Roman" w:hAnsi="Times New Roman" w:cs="Times New Roman"/>
          <w:sz w:val="24"/>
          <w:szCs w:val="24"/>
        </w:rPr>
        <w:t xml:space="preserve"> myocardial wall volume extracted from CTA</w:t>
      </w:r>
      <w:r w:rsidR="00A11D78">
        <w:rPr>
          <w:rFonts w:ascii="Times New Roman" w:hAnsi="Times New Roman" w:cs="Times New Roman"/>
          <w:sz w:val="24"/>
          <w:szCs w:val="24"/>
        </w:rPr>
        <w:t xml:space="preserve"> as a variable</w:t>
      </w:r>
      <w:r w:rsidR="00DB2938">
        <w:rPr>
          <w:rFonts w:ascii="Times New Roman" w:hAnsi="Times New Roman" w:cs="Times New Roman"/>
          <w:sz w:val="24"/>
          <w:szCs w:val="24"/>
        </w:rPr>
        <w:t>. This potentially has an impact on computed flow per vessel, as the LAD is known to supply the largest volume of myocardium.</w:t>
      </w:r>
    </w:p>
    <w:p w14:paraId="7237059B" w14:textId="5918B9FA" w:rsidR="005D22CD" w:rsidRDefault="0091036C" w:rsidP="000B4057">
      <w:pPr>
        <w:spacing w:line="360" w:lineRule="auto"/>
        <w:rPr>
          <w:rFonts w:ascii="Times New Roman" w:hAnsi="Times New Roman" w:cs="Times New Roman"/>
          <w:sz w:val="24"/>
          <w:szCs w:val="24"/>
        </w:rPr>
      </w:pPr>
      <w:r>
        <w:rPr>
          <w:rFonts w:ascii="Times New Roman" w:hAnsi="Times New Roman" w:cs="Times New Roman"/>
          <w:sz w:val="24"/>
          <w:szCs w:val="24"/>
        </w:rPr>
        <w:t xml:space="preserve">No study has addressed </w:t>
      </w:r>
      <w:r w:rsidR="00A11D78">
        <w:rPr>
          <w:rFonts w:ascii="Times New Roman" w:hAnsi="Times New Roman" w:cs="Times New Roman"/>
          <w:sz w:val="24"/>
          <w:szCs w:val="24"/>
        </w:rPr>
        <w:t xml:space="preserve">hydrostatic effect </w:t>
      </w:r>
      <w:r>
        <w:rPr>
          <w:rFonts w:ascii="Times New Roman" w:hAnsi="Times New Roman" w:cs="Times New Roman"/>
          <w:sz w:val="24"/>
          <w:szCs w:val="24"/>
        </w:rPr>
        <w:t xml:space="preserve">in </w:t>
      </w:r>
      <w:r w:rsidR="0092462A">
        <w:rPr>
          <w:rFonts w:ascii="Times New Roman" w:hAnsi="Times New Roman" w:cs="Times New Roman"/>
          <w:sz w:val="24"/>
          <w:szCs w:val="24"/>
        </w:rPr>
        <w:t>non-</w:t>
      </w:r>
      <w:r w:rsidR="00A11D78">
        <w:rPr>
          <w:rFonts w:ascii="Times New Roman" w:hAnsi="Times New Roman" w:cs="Times New Roman"/>
          <w:sz w:val="24"/>
          <w:szCs w:val="24"/>
        </w:rPr>
        <w:t>invasive measures of FFR</w:t>
      </w:r>
      <w:r w:rsidR="00122F76">
        <w:rPr>
          <w:rFonts w:ascii="Times New Roman" w:hAnsi="Times New Roman" w:cs="Times New Roman"/>
          <w:sz w:val="24"/>
          <w:szCs w:val="24"/>
        </w:rPr>
        <w:t xml:space="preserve"> and correlation with invasive FFR</w:t>
      </w:r>
      <w:r w:rsidR="00A11D78">
        <w:rPr>
          <w:rFonts w:ascii="Times New Roman" w:hAnsi="Times New Roman" w:cs="Times New Roman"/>
          <w:sz w:val="24"/>
          <w:szCs w:val="24"/>
        </w:rPr>
        <w:t>.</w:t>
      </w:r>
      <w:r w:rsidR="00122F76">
        <w:rPr>
          <w:rFonts w:ascii="Times New Roman" w:hAnsi="Times New Roman" w:cs="Times New Roman"/>
          <w:sz w:val="24"/>
          <w:szCs w:val="24"/>
        </w:rPr>
        <w:t xml:space="preserve"> No mathematical algorithm mentions hydrostatic pressure as an included variable in </w:t>
      </w:r>
      <w:r w:rsidR="0092462A">
        <w:rPr>
          <w:rFonts w:ascii="Times New Roman" w:hAnsi="Times New Roman" w:cs="Times New Roman"/>
          <w:sz w:val="24"/>
          <w:szCs w:val="24"/>
        </w:rPr>
        <w:t>non-</w:t>
      </w:r>
      <w:r w:rsidR="00122F76">
        <w:rPr>
          <w:rFonts w:ascii="Times New Roman" w:hAnsi="Times New Roman" w:cs="Times New Roman"/>
          <w:sz w:val="24"/>
          <w:szCs w:val="24"/>
        </w:rPr>
        <w:t>invasive FFR calculation. Many studies aim to show that CT FFR as diagnostically accurate as invasive FFR</w:t>
      </w:r>
      <w:r w:rsidR="00DB4B83">
        <w:rPr>
          <w:rFonts w:ascii="Times New Roman" w:hAnsi="Times New Roman" w:cs="Times New Roman"/>
          <w:sz w:val="24"/>
          <w:szCs w:val="24"/>
        </w:rPr>
        <w:t xml:space="preserve">, </w:t>
      </w:r>
      <w:r w:rsidR="00122F76">
        <w:rPr>
          <w:rFonts w:ascii="Times New Roman" w:hAnsi="Times New Roman" w:cs="Times New Roman"/>
          <w:sz w:val="24"/>
          <w:szCs w:val="24"/>
        </w:rPr>
        <w:t xml:space="preserve">where the wealth of data lies. However, with the assumptions and boundary limitations in </w:t>
      </w:r>
      <w:r w:rsidR="0092462A">
        <w:rPr>
          <w:rFonts w:ascii="Times New Roman" w:hAnsi="Times New Roman" w:cs="Times New Roman"/>
          <w:sz w:val="24"/>
          <w:szCs w:val="24"/>
        </w:rPr>
        <w:t>non-</w:t>
      </w:r>
      <w:r w:rsidR="00122F76">
        <w:rPr>
          <w:rFonts w:ascii="Times New Roman" w:hAnsi="Times New Roman" w:cs="Times New Roman"/>
          <w:sz w:val="24"/>
          <w:szCs w:val="24"/>
        </w:rPr>
        <w:t>invasive FFR, coupled against the confounding factors and patient specific issues in invasive FFR, discordance is likely to be forever present.</w:t>
      </w:r>
      <w:r w:rsidR="00DB4B83">
        <w:rPr>
          <w:rFonts w:ascii="Times New Roman" w:hAnsi="Times New Roman" w:cs="Times New Roman"/>
          <w:sz w:val="24"/>
          <w:szCs w:val="24"/>
        </w:rPr>
        <w:t xml:space="preserve"> It is still not clear which is truly the best measure of a significant stenosis.</w:t>
      </w:r>
    </w:p>
    <w:p w14:paraId="43DEF555" w14:textId="77777777" w:rsidR="00122F76" w:rsidRDefault="00122F76" w:rsidP="000B4057">
      <w:pPr>
        <w:spacing w:line="360" w:lineRule="auto"/>
        <w:rPr>
          <w:rFonts w:ascii="Times New Roman" w:hAnsi="Times New Roman" w:cs="Times New Roman"/>
          <w:sz w:val="24"/>
          <w:szCs w:val="24"/>
        </w:rPr>
      </w:pPr>
    </w:p>
    <w:p w14:paraId="5B76989E" w14:textId="77777777" w:rsidR="00857042" w:rsidRDefault="00857042" w:rsidP="000B4057">
      <w:pPr>
        <w:spacing w:line="360" w:lineRule="auto"/>
        <w:rPr>
          <w:rFonts w:ascii="Times New Roman" w:hAnsi="Times New Roman" w:cs="Times New Roman"/>
          <w:sz w:val="24"/>
          <w:szCs w:val="24"/>
        </w:rPr>
      </w:pPr>
    </w:p>
    <w:p w14:paraId="6FC9BDF6" w14:textId="77777777" w:rsidR="00857042" w:rsidRPr="00EC6C19" w:rsidRDefault="00857042" w:rsidP="000B4057">
      <w:pPr>
        <w:spacing w:line="360" w:lineRule="auto"/>
        <w:rPr>
          <w:rFonts w:ascii="Times New Roman" w:hAnsi="Times New Roman" w:cs="Times New Roman"/>
          <w:sz w:val="24"/>
          <w:szCs w:val="24"/>
        </w:rPr>
      </w:pPr>
    </w:p>
    <w:p w14:paraId="29897B08" w14:textId="77777777" w:rsidR="005D22CD" w:rsidRPr="006C1A70" w:rsidRDefault="006C1A70" w:rsidP="006C1A70">
      <w:pPr>
        <w:pStyle w:val="Heading2"/>
        <w:rPr>
          <w:rFonts w:ascii="Times New Roman" w:hAnsi="Times New Roman" w:cs="Times New Roman"/>
          <w:color w:val="auto"/>
          <w:sz w:val="24"/>
          <w:szCs w:val="24"/>
        </w:rPr>
      </w:pPr>
      <w:bookmarkStart w:id="241" w:name="_Toc80302294"/>
      <w:r w:rsidRPr="006C1A70">
        <w:rPr>
          <w:rFonts w:ascii="Times New Roman" w:hAnsi="Times New Roman" w:cs="Times New Roman"/>
          <w:color w:val="auto"/>
          <w:sz w:val="24"/>
          <w:szCs w:val="24"/>
        </w:rPr>
        <w:t>4.</w:t>
      </w:r>
      <w:r w:rsidR="004A7AE9">
        <w:rPr>
          <w:rFonts w:ascii="Times New Roman" w:hAnsi="Times New Roman" w:cs="Times New Roman"/>
          <w:color w:val="auto"/>
          <w:sz w:val="24"/>
          <w:szCs w:val="24"/>
        </w:rPr>
        <w:t>9</w:t>
      </w:r>
      <w:r w:rsidRPr="006C1A70">
        <w:rPr>
          <w:rFonts w:ascii="Times New Roman" w:hAnsi="Times New Roman" w:cs="Times New Roman"/>
          <w:color w:val="auto"/>
          <w:sz w:val="24"/>
          <w:szCs w:val="24"/>
        </w:rPr>
        <w:t xml:space="preserve"> - </w:t>
      </w:r>
      <w:r w:rsidR="005D22CD" w:rsidRPr="006C1A70">
        <w:rPr>
          <w:rFonts w:ascii="Times New Roman" w:hAnsi="Times New Roman" w:cs="Times New Roman"/>
          <w:color w:val="auto"/>
          <w:sz w:val="24"/>
          <w:szCs w:val="24"/>
        </w:rPr>
        <w:t>Arguments</w:t>
      </w:r>
      <w:r w:rsidR="000925DE" w:rsidRPr="006C1A70">
        <w:rPr>
          <w:rFonts w:ascii="Times New Roman" w:hAnsi="Times New Roman" w:cs="Times New Roman"/>
          <w:color w:val="auto"/>
          <w:sz w:val="24"/>
          <w:szCs w:val="24"/>
        </w:rPr>
        <w:t xml:space="preserve"> Against Hydrostatic Effect</w:t>
      </w:r>
      <w:bookmarkEnd w:id="241"/>
      <w:r>
        <w:rPr>
          <w:rFonts w:ascii="Times New Roman" w:hAnsi="Times New Roman" w:cs="Times New Roman"/>
          <w:color w:val="auto"/>
          <w:sz w:val="24"/>
          <w:szCs w:val="24"/>
        </w:rPr>
        <w:br/>
      </w:r>
    </w:p>
    <w:p w14:paraId="1A41B4B4" w14:textId="77777777" w:rsidR="005D22CD" w:rsidRPr="00EC6C19" w:rsidRDefault="005D22CD" w:rsidP="000B4057">
      <w:pPr>
        <w:spacing w:line="360" w:lineRule="auto"/>
        <w:rPr>
          <w:rFonts w:ascii="Times New Roman" w:hAnsi="Times New Roman" w:cs="Times New Roman"/>
          <w:i/>
          <w:sz w:val="24"/>
          <w:szCs w:val="24"/>
          <w:u w:val="single"/>
        </w:rPr>
      </w:pPr>
    </w:p>
    <w:p w14:paraId="65BE2C37" w14:textId="24A39B04" w:rsidR="005D22CD" w:rsidRPr="00EC6C19" w:rsidRDefault="005D22CD"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Some experts stipulate the change in FFR along the length of a vessel, in the absence of a focal stenosis, is due to diffuse coronary artery disease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{"citationID":"Iirtc8Wm","properties":{"formattedCitation":"(Bruyne et al., 2001)","plainCitation":"(Bruyne et al., 2001)","noteIndex":0},"citationItems":[{"id":37,"uris":["http://zotero.org/users/local/k67tNDdX/items/PQPK3U2L"],"uri":["http://zotero.org/users/local/k67tNDdX/items/PQPK3U2L"],"itemData":{"id":37,"type":"article-journal","abstract":"Background Coronary arteries without focal stenosis at angiography are generally considered non–flow-limiting. However, atherosclerosis is a diffuse process that often remains invisible at angiography. Accordingly, we hypothesized that in patients with coronary artery disease, nonstenotic coronary arteries induce a decrease in pressure along their length due to diffuse coronary atherosclerosis.\nMethods and Results Coronary pressure and fractional flow reserve (FFR), as indices of coronary conductance, were obtained from 37 arteries in 10 individuals without atherosclerosis (group I) and from 106 nonstenotic arteries in 62 patients with arteriographic stenoses in another coronary artery (group II). In group I, the pressure gradient between aorta and distal coronary artery was minimal at rest (1±1 mm Hg) and during maximal hyperemia (3±3 mm Hg). Corresponding values were significantly larger in group II (5±4 mm Hg and 10±8 mm Hg, respectively; both P&lt;0.001). The FFR was near unity (0.97±0.02; range, 0.92 to 1) in group I, indicating no resistance to flow in truly normal coronary arteries, but it was significantly lower (0.89±0.08; range, 0.69 to 1) in group II, indicating a higher resistance to flow. In 57% of arteries in group II, FFR was lower than the lowest value in group I. In 8% of arteries in group II, FFR was &lt;0.75, the threshold for inducible ischemia.\nConclusion Diffuse coronary atherosclerosis without focal stenosis at angiography causes a graded, continuous pressure fall along arterial length. This resistance to flow contributes to myocardial ischemia and has consequences for decision-making during percutaneous coronary interventions.","container-title":"Circulation","DOI":"10.1161/hc4501.099316","ISSN":"0009-7322, 1524-4539","issue":"20","language":"en","note":"PMID: 11705815","page":"2401-2406","source":"circ.ahajournals.org","title":"Abnormal Epicardial Coronary Resistance in Patients With Diffuse Atherosclerosis but “Normal” Coronary Angiography","volume":"104","author":[{"family":"Bruyne","given":"Bernard De"},{"family":"Hersbach","given":"Ferry"},{"family":"Pijls","given":"Nico H. J."},{"family":"Bartunek","given":"Jozef"},{"family":"Bech","given":"Jan-Willem"},{"family":"Heyndrickx","given":"Guy R."},{"family":"Gould","given":"K. Lance"},{"family":"Wijns","given":"William"}],"issued":{"date-parts":[["2001",11,13]]}}}],"schema":"https://github.com/citation-style-language/schema/raw/master/csl-citation.json"} </w:instrText>
      </w:r>
      <w:r w:rsidR="00106A32" w:rsidRPr="00EC6C19">
        <w:rPr>
          <w:rFonts w:ascii="Times New Roman" w:hAnsi="Times New Roman" w:cs="Times New Roman"/>
          <w:sz w:val="24"/>
          <w:szCs w:val="24"/>
        </w:rPr>
        <w:fldChar w:fldCharType="separate"/>
      </w:r>
      <w:r w:rsidR="003930FC" w:rsidRPr="00EC6C19">
        <w:rPr>
          <w:rFonts w:ascii="Times New Roman" w:hAnsi="Times New Roman" w:cs="Times New Roman"/>
          <w:sz w:val="24"/>
          <w:szCs w:val="24"/>
        </w:rPr>
        <w:t xml:space="preserve">(Bruyne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2001)</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 This potentially explains why the FFR may be 0.9</w:t>
      </w:r>
      <w:r w:rsidR="00766A64" w:rsidRPr="00EC6C19">
        <w:rPr>
          <w:rFonts w:ascii="Times New Roman" w:hAnsi="Times New Roman" w:cs="Times New Roman"/>
          <w:sz w:val="24"/>
          <w:szCs w:val="24"/>
        </w:rPr>
        <w:t>7</w:t>
      </w:r>
      <w:r w:rsidRPr="00EC6C19">
        <w:rPr>
          <w:rFonts w:ascii="Times New Roman" w:hAnsi="Times New Roman" w:cs="Times New Roman"/>
          <w:sz w:val="24"/>
          <w:szCs w:val="24"/>
        </w:rPr>
        <w:t xml:space="preserve"> in the distal LAD, in what appears to be a relatively </w:t>
      </w:r>
      <w:r w:rsidR="0092462A" w:rsidRPr="00EC6C19">
        <w:rPr>
          <w:rFonts w:ascii="Times New Roman" w:hAnsi="Times New Roman" w:cs="Times New Roman"/>
          <w:sz w:val="24"/>
          <w:szCs w:val="24"/>
        </w:rPr>
        <w:t>disease</w:t>
      </w:r>
      <w:r w:rsidR="0092462A">
        <w:rPr>
          <w:rFonts w:ascii="Times New Roman" w:hAnsi="Times New Roman" w:cs="Times New Roman"/>
          <w:sz w:val="24"/>
          <w:szCs w:val="24"/>
        </w:rPr>
        <w:t>-</w:t>
      </w:r>
      <w:r w:rsidRPr="00EC6C19">
        <w:rPr>
          <w:rFonts w:ascii="Times New Roman" w:hAnsi="Times New Roman" w:cs="Times New Roman"/>
          <w:sz w:val="24"/>
          <w:szCs w:val="24"/>
        </w:rPr>
        <w:t xml:space="preserve">free vessel. Whilst this is certainly a </w:t>
      </w:r>
      <w:r w:rsidR="004009F1" w:rsidRPr="00EC6C19">
        <w:rPr>
          <w:rFonts w:ascii="Times New Roman" w:hAnsi="Times New Roman" w:cs="Times New Roman"/>
          <w:sz w:val="24"/>
          <w:szCs w:val="24"/>
        </w:rPr>
        <w:t xml:space="preserve">valid </w:t>
      </w:r>
      <w:r w:rsidRPr="00EC6C19">
        <w:rPr>
          <w:rFonts w:ascii="Times New Roman" w:hAnsi="Times New Roman" w:cs="Times New Roman"/>
          <w:sz w:val="24"/>
          <w:szCs w:val="24"/>
        </w:rPr>
        <w:t>physiological explanation</w:t>
      </w:r>
      <w:r w:rsidR="00766A64" w:rsidRPr="00EC6C19">
        <w:rPr>
          <w:rFonts w:ascii="Times New Roman" w:hAnsi="Times New Roman" w:cs="Times New Roman"/>
          <w:sz w:val="24"/>
          <w:szCs w:val="24"/>
        </w:rPr>
        <w:t xml:space="preserve">, it does not explain why the FFR changes in the opposite direction during position change to prone. The diffuse atherosclerosis is still present, but the distal Pd/Pa is now </w:t>
      </w:r>
      <w:r w:rsidR="004009F1" w:rsidRPr="00EC6C19">
        <w:rPr>
          <w:rFonts w:ascii="Times New Roman" w:hAnsi="Times New Roman" w:cs="Times New Roman"/>
          <w:sz w:val="24"/>
          <w:szCs w:val="24"/>
        </w:rPr>
        <w:t xml:space="preserve">seen to be </w:t>
      </w:r>
      <w:r w:rsidR="00766A64" w:rsidRPr="00EC6C19">
        <w:rPr>
          <w:rFonts w:ascii="Times New Roman" w:hAnsi="Times New Roman" w:cs="Times New Roman"/>
          <w:sz w:val="24"/>
          <w:szCs w:val="24"/>
        </w:rPr>
        <w:t>above 1.0. This is exactly the situation for case 11, where supine Pd/Pa was 0.97 in the LAD, and prone Pd/Pa was 1.02.</w:t>
      </w:r>
    </w:p>
    <w:p w14:paraId="4BB3171E" w14:textId="77777777" w:rsidR="003E090F" w:rsidRPr="00EC6C19" w:rsidRDefault="003E090F"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Another interesting discussion point relates to the mass of myocardium supplied by a vessel. The suggested reason that the LAD has lower FFR values for the same stenosis severity than other vessels, relates to the mass of myocardium supplied. A larger myocardial mass means greater flow in the artery that supplies it, and in turn a larger gradient during maximal hyperaemia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{"citationID":"chmnmDrB","properties":{"formattedCitation":"(Leone et al., 2013a)","plainCitation":"(Leone et al., 2013a)","noteIndex":0},"citationItems":[{"id":698,"uris":["http://zotero.org/users/local/k67tNDdX/items/J9J7LIA5"],"uri":["http://zotero.org/users/local/k67tNDdX/items/J9J7LIA5"],"itemData":{"id":698,"type":"article-journal","abstract":"Background—Fractional flow reserve (FFR) specifically relates to the severity of a stenosis to the mass of tissue to be perfused. Accordingly, the larger the territory to be perfused, the greater the flow and the pressure gradient induced by maximal hyperemia. Although this notion may be considered intuitive, its unequivocal demonstration is still lacking. The aim of our study was to evaluate the influence of the amount of myocardium subtended to an intermediate stenosis on FFR, especially in relation to quantitative coronary angiography.\nMethods and Results—The severity of each lesion was assessed by FFR and 2-dimensional quantitative coronary angiography. The amount of jeopardized myocardium was evaluated using 3 validated scores specifically adapted to this aim: the Duke Jeopardy Score (DJS), the Myocardial Jeopardy Index (MJI), and the Alberta Provincial Project for Outcome Assessment in Coronary Heart Disease (APPROACH) Lesion Score (ALS). The presence of a concomitant collateralized chronic total occlusion was also reported. A total of 213 intermediate coronary stenoses in 184 patients were enrolled. FFR values were correlated to minimal lumen diameter (r=0.34; P&lt;0.0001) and diameter stenosis (r=−0.28; P&lt;0.0001). FFR was inversely correlated with DJS, MJI, and ALS (r=−0.28, P&lt;0.0001; r=−0.40, P&lt;0.0001; and r=−0.34, P&lt;0.0001). Lesions localized on proximal left anterior descending were related to significantly lower FFR values and to a higher rate of a positive FFR compared with those in distal left anterior descending, left circumflex, and right coronary arteries (0.80±0.09 versus 0.84±0.08 versus 0.88±0.09 versus 0.91±0.04; P&lt;0.0001). The presence of a collateralized chronic total occlusion was associated with significantly lower FFR values (0.80±0.07 versus 0.85±0.09; P&lt;0.005). At multivariate analysis MJI, minimal lumen diameter, and presence of a collateralized chronic total occlusion were confirmed as significant predictors of FFR.\nConclusions—A larger amount of perfused myocardium subtended by a stenosis is associated with a higher probability that an angiographically intermediate coronary stenosis is functionally significant.","container-title":"Circulation: Cardiovascular Interventions","DOI":"10.1161/CIRCINTERVENTIONS.112.971101","ISSN":"1941-7640, 1941-7632","issue":"1","language":"en","note":"PMID: 23322740","page":"29-36","source":"circinterventions.ahajournals.org","title":"Influence of the Amount of Myocardium Subtended by a Stenosis on Fractional Flow Reserve","volume":"6","author":[{"family":"Leone","given":"Antonio Maria"},{"family":"Caterina","given":"Alberto Ranieri De"},{"family":"Basile","given":"Eloisa"},{"family":"Gardi","given":"Andrea"},{"family":"Laezza","given":"Domenico"},{"family":"Mazzari","given":"Mario Attilio"},{"family":"Mongiardo","given":"Rocco"},{"family":"Kharbanda","given":"Rajesh"},{"family":"Cuculi","given":"Florim"},{"family":"Porto","given":"Italo"},{"family":"Niccoli","given":"Giampaolo"},{"family":"Burzotta","given":"Francesco"},{"family":"Trani","given":"Carlo"},{"family":"Banning","given":"Adrian Paul"},{"family":"Rebuzzi","given":"Antonio Giuseppe"},{"family":"Crea","given":"Filippo"}],"issued":{"date-parts":[["2013",2,1]]}}}],"schema":"https://github.com/citation-style-language/schema/raw/master/csl-citation.json"} </w:instrText>
      </w:r>
      <w:r w:rsidR="00106A32" w:rsidRPr="00EC6C19">
        <w:rPr>
          <w:rFonts w:ascii="Times New Roman" w:hAnsi="Times New Roman" w:cs="Times New Roman"/>
          <w:sz w:val="24"/>
          <w:szCs w:val="24"/>
        </w:rPr>
        <w:fldChar w:fldCharType="separate"/>
      </w:r>
      <w:r w:rsidR="00B62624" w:rsidRPr="00EC6C19">
        <w:rPr>
          <w:rFonts w:ascii="Times New Roman" w:hAnsi="Times New Roman" w:cs="Times New Roman"/>
          <w:sz w:val="24"/>
          <w:szCs w:val="24"/>
        </w:rPr>
        <w:t>(Leone et al., 2013a)</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This does not detract from the change in FFR wh</w:t>
      </w:r>
      <w:r w:rsidR="00BE02AD">
        <w:rPr>
          <w:rFonts w:ascii="Times New Roman" w:hAnsi="Times New Roman" w:cs="Times New Roman"/>
          <w:sz w:val="24"/>
          <w:szCs w:val="24"/>
        </w:rPr>
        <w:t>en a patient changes positions.</w:t>
      </w:r>
    </w:p>
    <w:p w14:paraId="308AAB46" w14:textId="63D2505E" w:rsidR="007D7E03" w:rsidRDefault="007D7E03"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In the same lettered response to Härle </w:t>
      </w:r>
      <w:r w:rsidR="00B22321" w:rsidRPr="00EC6C19">
        <w:rPr>
          <w:rFonts w:ascii="Times New Roman" w:hAnsi="Times New Roman" w:cs="Times New Roman"/>
          <w:sz w:val="24"/>
          <w:szCs w:val="24"/>
        </w:rPr>
        <w:t>et al.,</w:t>
      </w:r>
      <w:r w:rsidRPr="00EC6C19">
        <w:rPr>
          <w:rFonts w:ascii="Times New Roman" w:hAnsi="Times New Roman" w:cs="Times New Roman"/>
          <w:sz w:val="24"/>
          <w:szCs w:val="24"/>
        </w:rPr>
        <w:t xml:space="preserve"> from Johnson et al </w:t>
      </w:r>
      <w:r w:rsidR="00106A32" w:rsidRPr="00EC6C19">
        <w:rPr>
          <w:rFonts w:ascii="Times New Roman" w:hAnsi="Times New Roman" w:cs="Times New Roman"/>
          <w:sz w:val="24"/>
          <w:szCs w:val="24"/>
        </w:rPr>
        <w:fldChar w:fldCharType="begin"/>
      </w:r>
      <w:r w:rsidR="00D212BB" w:rsidRPr="00EC6C19">
        <w:rPr>
          <w:rFonts w:ascii="Times New Roman" w:hAnsi="Times New Roman" w:cs="Times New Roman"/>
          <w:sz w:val="24"/>
          <w:szCs w:val="24"/>
        </w:rPr>
        <w:instrText xml:space="preserve"> ADDIN ZOTERO_ITEM CSL_CITATION {"citationID":"QxOqRnqV","properties":{"formattedCitation":"(Hydrostatic Forces: Don\\uc0\\u8217{}t Let the Pressure Get to Your Head! - PubMed - NCBI, 2019)","plainCitation":"(Hydrostatic Forces: Don’t Let the Pressure Get to Your Head! - PubMed - NCBI, 2019)","noteIndex":0},"citationItems":[{"id":762,"uris":["http://zotero.org/users/local/k67tNDdX/items/CXSDPAV4"],"uri":["http://zotero.org/users/local/k67tNDdX/items/CXSDPAV4"],"itemData":{"id":762,"type":"webpage","title":"Hydrostatic Forces: Don't Let the Pressure Get to Your Head! - PubMed - NCBI","URL":"https://www.ncbi.nlm.nih.gov/pubmed/28797436","accessed":{"date-parts":[["2019",10,29]]}}}],"schema":"https://github.com/citation-style-language/schema/raw/master/csl-citation.json"}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(Hydrostatic Forces: Don’t Let the Pressure Get to Your Head! - PubMed - NCBI, 2019)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authors suggest that a change in 5mmHg for example, will have little effect on an FFR measurement which shows a 30mmHg transtenotic gradient. This is a valid response, however a significant proportion of stenoses have gradients closer to 20mmHg. A change of </w:t>
      </w:r>
      <w:r w:rsidR="00D97E85">
        <w:rPr>
          <w:rFonts w:ascii="Times New Roman" w:hAnsi="Times New Roman" w:cs="Times New Roman"/>
          <w:sz w:val="24"/>
          <w:szCs w:val="24"/>
        </w:rPr>
        <w:t>±</w:t>
      </w:r>
      <w:r w:rsidRPr="00EC6C19">
        <w:rPr>
          <w:rFonts w:ascii="Times New Roman" w:hAnsi="Times New Roman" w:cs="Times New Roman"/>
          <w:sz w:val="24"/>
          <w:szCs w:val="24"/>
        </w:rPr>
        <w:t xml:space="preserve"> 5mmHg, is highly relevant.</w:t>
      </w:r>
    </w:p>
    <w:p w14:paraId="52D959F2" w14:textId="77777777" w:rsidR="00AD6C54" w:rsidRPr="00EC6C19" w:rsidRDefault="00AD6C54" w:rsidP="000B4057">
      <w:pPr>
        <w:spacing w:line="360" w:lineRule="auto"/>
        <w:rPr>
          <w:rFonts w:ascii="Times New Roman" w:hAnsi="Times New Roman" w:cs="Times New Roman"/>
          <w:sz w:val="24"/>
          <w:szCs w:val="24"/>
        </w:rPr>
      </w:pPr>
      <w:r>
        <w:rPr>
          <w:rFonts w:ascii="Times New Roman" w:hAnsi="Times New Roman" w:cs="Times New Roman"/>
          <w:sz w:val="24"/>
          <w:szCs w:val="24"/>
        </w:rPr>
        <w:t>Intra</w:t>
      </w:r>
      <w:r w:rsidR="001914E3">
        <w:rPr>
          <w:rFonts w:ascii="Times New Roman" w:hAnsi="Times New Roman" w:cs="Times New Roman"/>
          <w:sz w:val="24"/>
          <w:szCs w:val="24"/>
        </w:rPr>
        <w:t xml:space="preserve"> </w:t>
      </w:r>
      <w:r>
        <w:rPr>
          <w:rFonts w:ascii="Times New Roman" w:hAnsi="Times New Roman" w:cs="Times New Roman"/>
          <w:sz w:val="24"/>
          <w:szCs w:val="24"/>
        </w:rPr>
        <w:t xml:space="preserve">thoracic </w:t>
      </w:r>
      <w:r w:rsidR="001914E3">
        <w:rPr>
          <w:rFonts w:ascii="Times New Roman" w:hAnsi="Times New Roman" w:cs="Times New Roman"/>
          <w:sz w:val="24"/>
          <w:szCs w:val="24"/>
        </w:rPr>
        <w:t>movement of organs</w:t>
      </w:r>
      <w:r>
        <w:rPr>
          <w:rFonts w:ascii="Times New Roman" w:hAnsi="Times New Roman" w:cs="Times New Roman"/>
          <w:sz w:val="24"/>
          <w:szCs w:val="24"/>
        </w:rPr>
        <w:t xml:space="preserve"> </w:t>
      </w:r>
      <w:r w:rsidR="001914E3">
        <w:rPr>
          <w:rFonts w:ascii="Times New Roman" w:hAnsi="Times New Roman" w:cs="Times New Roman"/>
          <w:sz w:val="24"/>
          <w:szCs w:val="24"/>
        </w:rPr>
        <w:t>is the</w:t>
      </w:r>
      <w:r>
        <w:rPr>
          <w:rFonts w:ascii="Times New Roman" w:hAnsi="Times New Roman" w:cs="Times New Roman"/>
          <w:sz w:val="24"/>
          <w:szCs w:val="24"/>
        </w:rPr>
        <w:t xml:space="preserve"> basic principle in prone positioning in ARDS, as the weight of organs is lifted off dorsal structures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{"citationID":"RAgWIdM4","properties":{"formattedCitation":"(Scholten et al., 2017)","plainCitation":"(Scholten et al., 2017)","noteIndex":0},"citationItems":[{"id":859,"uris":["http://zotero.org/users/local/k67tNDdX/items/DGGXG56R"],"uri":["http://zotero.org/users/local/k67tNDdX/items/DGGXG56R"],"itemData":{"id":859,"type":"article-journal","abstract":"Prone positioning was first proposed in the 1970s as a method to improve gas exchange in ARDS. Subsequent observations of dramatic improvement in oxygenation with simple patient rotation motivated the next several decades of research. This work elucidated the physiological mechanisms underlying changes in gas exchange and respiratory mechanics with prone ventilation. However, translating physiological improvements into a clinical benefit has proved challenging; several contemporary trials showed no major clinical benefits with prone positioning. By optimizing patient selection and treatment protocols, the recent Proning Severe ARDS Patients (PROSEVA) trial demonstrated a significant mortality benefit with prone ventilation. This trial, and subsequent meta-analyses, support the role of prone positioning as an effective therapy to reduce mortality in severe ARDS, particularly when applied early with other lung-protective strategies. This review discusses the physiological principles, clinical evidence, and practical application of prone ventilation in ARDS.","container-title":"Chest","DOI":"10.1016/j.chest.2016.06.032","ISSN":"0012-3692","issue":"1","journalAbbreviation":"Chest","note":"PMID: 27400909\nPMCID: PMC6026253","page":"215-224","source":"PubMed Central","title":"Treatment of ARDS With Prone Positioning","volume":"151","author":[{"family":"Scholten","given":"Eric L."},{"family":"Beitler","given":"Jeremy R."},{"family":"Prisk","given":"G. Kim"},{"family":"Malhotra","given":"Atul"}],"issued":{"date-parts":[["2017",1]]}}}],"schema":"https://github.com/citation-style-language/schema/raw/master/csl-citation.json"} </w:instrText>
      </w:r>
      <w:r w:rsidR="00106A32">
        <w:rPr>
          <w:rFonts w:ascii="Times New Roman" w:hAnsi="Times New Roman" w:cs="Times New Roman"/>
          <w:sz w:val="24"/>
          <w:szCs w:val="24"/>
        </w:rPr>
        <w:fldChar w:fldCharType="separate"/>
      </w:r>
      <w:r w:rsidRPr="00AD6C54">
        <w:rPr>
          <w:rFonts w:ascii="Times New Roman" w:hAnsi="Times New Roman" w:cs="Times New Roman"/>
          <w:sz w:val="24"/>
        </w:rPr>
        <w:t>(Scholten et al., 2017)</w:t>
      </w:r>
      <w:r w:rsidR="00106A32">
        <w:rPr>
          <w:rFonts w:ascii="Times New Roman" w:hAnsi="Times New Roman" w:cs="Times New Roman"/>
          <w:sz w:val="24"/>
          <w:szCs w:val="24"/>
        </w:rPr>
        <w:fldChar w:fldCharType="end"/>
      </w:r>
      <w:r>
        <w:rPr>
          <w:rFonts w:ascii="Times New Roman" w:hAnsi="Times New Roman" w:cs="Times New Roman"/>
          <w:sz w:val="24"/>
          <w:szCs w:val="24"/>
        </w:rPr>
        <w:t>. One could argue the weight of the heart when changing position is responsible for the pressure change within the coronary arteries.</w:t>
      </w:r>
      <w:r w:rsidR="001914E3">
        <w:rPr>
          <w:rFonts w:ascii="Times New Roman" w:hAnsi="Times New Roman" w:cs="Times New Roman"/>
          <w:sz w:val="24"/>
          <w:szCs w:val="24"/>
        </w:rPr>
        <w:t xml:space="preserve"> Whilst this may contribute,</w:t>
      </w:r>
      <w:r>
        <w:rPr>
          <w:rFonts w:ascii="Times New Roman" w:hAnsi="Times New Roman" w:cs="Times New Roman"/>
          <w:sz w:val="24"/>
          <w:szCs w:val="24"/>
        </w:rPr>
        <w:t xml:space="preserve"> </w:t>
      </w:r>
      <w:r w:rsidR="001914E3">
        <w:rPr>
          <w:rFonts w:ascii="Times New Roman" w:hAnsi="Times New Roman" w:cs="Times New Roman"/>
          <w:sz w:val="24"/>
          <w:szCs w:val="24"/>
        </w:rPr>
        <w:t>it</w:t>
      </w:r>
      <w:r w:rsidR="00BE02AD">
        <w:rPr>
          <w:rFonts w:ascii="Times New Roman" w:hAnsi="Times New Roman" w:cs="Times New Roman"/>
          <w:sz w:val="24"/>
          <w:szCs w:val="24"/>
        </w:rPr>
        <w:t xml:space="preserve"> would not explain the variation in magnitude of change</w:t>
      </w:r>
      <w:r>
        <w:rPr>
          <w:rFonts w:ascii="Times New Roman" w:hAnsi="Times New Roman" w:cs="Times New Roman"/>
          <w:sz w:val="24"/>
          <w:szCs w:val="24"/>
        </w:rPr>
        <w:t xml:space="preserve"> between the arteries themselves. </w:t>
      </w:r>
      <w:r w:rsidR="00BE02AD">
        <w:rPr>
          <w:rFonts w:ascii="Times New Roman" w:hAnsi="Times New Roman" w:cs="Times New Roman"/>
          <w:sz w:val="24"/>
          <w:szCs w:val="24"/>
        </w:rPr>
        <w:t xml:space="preserve">One may </w:t>
      </w:r>
      <w:r w:rsidR="001914E3">
        <w:rPr>
          <w:rFonts w:ascii="Times New Roman" w:hAnsi="Times New Roman" w:cs="Times New Roman"/>
          <w:sz w:val="24"/>
          <w:szCs w:val="24"/>
        </w:rPr>
        <w:t xml:space="preserve">expect all arteries to change by a set </w:t>
      </w:r>
      <w:r w:rsidR="008A0306">
        <w:rPr>
          <w:rFonts w:ascii="Times New Roman" w:hAnsi="Times New Roman" w:cs="Times New Roman"/>
          <w:sz w:val="24"/>
          <w:szCs w:val="24"/>
        </w:rPr>
        <w:t>magnitude</w:t>
      </w:r>
      <w:r w:rsidR="001914E3">
        <w:rPr>
          <w:rFonts w:ascii="Times New Roman" w:hAnsi="Times New Roman" w:cs="Times New Roman"/>
          <w:sz w:val="24"/>
          <w:szCs w:val="24"/>
        </w:rPr>
        <w:t xml:space="preserve"> with minimal variation, which is not the case.</w:t>
      </w:r>
    </w:p>
    <w:p w14:paraId="775C779F" w14:textId="77777777" w:rsidR="003E090F" w:rsidRPr="00EC6C19" w:rsidRDefault="003E090F" w:rsidP="000B4057">
      <w:pPr>
        <w:spacing w:line="360" w:lineRule="auto"/>
        <w:rPr>
          <w:rFonts w:ascii="Times New Roman" w:hAnsi="Times New Roman" w:cs="Times New Roman"/>
          <w:sz w:val="24"/>
          <w:szCs w:val="24"/>
        </w:rPr>
      </w:pPr>
    </w:p>
    <w:p w14:paraId="3165FF61" w14:textId="77777777" w:rsidR="00684B84" w:rsidRPr="006C1A70" w:rsidRDefault="006C1A70" w:rsidP="006C1A70">
      <w:pPr>
        <w:pStyle w:val="Heading2"/>
        <w:rPr>
          <w:rFonts w:ascii="Times New Roman" w:hAnsi="Times New Roman" w:cs="Times New Roman"/>
          <w:color w:val="auto"/>
          <w:sz w:val="24"/>
          <w:szCs w:val="24"/>
        </w:rPr>
      </w:pPr>
      <w:bookmarkStart w:id="242" w:name="_Toc80302295"/>
      <w:r w:rsidRPr="006C1A70">
        <w:rPr>
          <w:rFonts w:ascii="Times New Roman" w:hAnsi="Times New Roman" w:cs="Times New Roman"/>
          <w:color w:val="auto"/>
          <w:sz w:val="24"/>
          <w:szCs w:val="24"/>
        </w:rPr>
        <w:t>4.</w:t>
      </w:r>
      <w:r w:rsidR="004A7AE9">
        <w:rPr>
          <w:rFonts w:ascii="Times New Roman" w:hAnsi="Times New Roman" w:cs="Times New Roman"/>
          <w:color w:val="auto"/>
          <w:sz w:val="24"/>
          <w:szCs w:val="24"/>
        </w:rPr>
        <w:t>10</w:t>
      </w:r>
      <w:r w:rsidRPr="006C1A70">
        <w:rPr>
          <w:rFonts w:ascii="Times New Roman" w:hAnsi="Times New Roman" w:cs="Times New Roman"/>
          <w:color w:val="auto"/>
          <w:sz w:val="24"/>
          <w:szCs w:val="24"/>
        </w:rPr>
        <w:t xml:space="preserve"> - </w:t>
      </w:r>
      <w:r w:rsidR="00807A3F" w:rsidRPr="006C1A70">
        <w:rPr>
          <w:rFonts w:ascii="Times New Roman" w:hAnsi="Times New Roman" w:cs="Times New Roman"/>
          <w:color w:val="auto"/>
          <w:sz w:val="24"/>
          <w:szCs w:val="24"/>
        </w:rPr>
        <w:t>Study Limitations</w:t>
      </w:r>
      <w:bookmarkEnd w:id="242"/>
      <w:r>
        <w:rPr>
          <w:rFonts w:ascii="Times New Roman" w:hAnsi="Times New Roman" w:cs="Times New Roman"/>
          <w:color w:val="auto"/>
          <w:sz w:val="24"/>
          <w:szCs w:val="24"/>
        </w:rPr>
        <w:br/>
      </w:r>
    </w:p>
    <w:p w14:paraId="31030661" w14:textId="77777777" w:rsidR="00AD38B7" w:rsidRPr="00EC6C19" w:rsidRDefault="00AD38B7"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br/>
        <w:t xml:space="preserve">All patients were male. Male sex is a predictor for </w:t>
      </w:r>
      <w:r w:rsidR="003E090F" w:rsidRPr="00EC6C19">
        <w:rPr>
          <w:rFonts w:ascii="Times New Roman" w:hAnsi="Times New Roman" w:cs="Times New Roman"/>
          <w:sz w:val="24"/>
          <w:szCs w:val="24"/>
        </w:rPr>
        <w:t>increased height from distal to proximal coronary artery</w:t>
      </w:r>
      <w:r w:rsidR="00756A5E"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{"citationID":"VviPtdvz","properties":{"formattedCitation":"(H\\uc0\\u228{}rle et al., 2017a)","plainCitation":"(Härle et al., 2017a)","noteIndex":0},"citationItems":[{"id":"Vqvua3Kd/dDzTA0az","uris":["http://zotero.org/users/local/k67tNDdX/items/35FPF9RU"],"uri":["http://zotero.org/users/local/k67tNDdX/items/35FPF9RU"],"itemData":{"id":566,"type":"article-journal","abstract":"OBJECTIVES: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003930FC" w:rsidRPr="00EC6C19">
        <w:rPr>
          <w:rFonts w:ascii="Times New Roman" w:hAnsi="Times New Roman" w:cs="Times New Roman"/>
          <w:sz w:val="24"/>
          <w:szCs w:val="24"/>
        </w:rPr>
        <w:t xml:space="preserve">(Härle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2017</w:t>
      </w:r>
      <w:r w:rsidR="00756A5E" w:rsidRPr="00EC6C19">
        <w:rPr>
          <w:rFonts w:ascii="Times New Roman" w:hAnsi="Times New Roman" w:cs="Times New Roman"/>
          <w:sz w:val="24"/>
          <w:szCs w:val="24"/>
        </w:rPr>
        <w:t>a</w:t>
      </w:r>
      <w:r w:rsidR="00D212BB"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r w:rsidR="004F41D2" w:rsidRPr="00EC6C19">
        <w:rPr>
          <w:rFonts w:ascii="Times New Roman" w:hAnsi="Times New Roman" w:cs="Times New Roman"/>
          <w:sz w:val="24"/>
          <w:szCs w:val="24"/>
        </w:rPr>
        <w:t>H</w:t>
      </w:r>
      <w:r w:rsidR="003E090F" w:rsidRPr="00EC6C19">
        <w:rPr>
          <w:rFonts w:ascii="Times New Roman" w:hAnsi="Times New Roman" w:cs="Times New Roman"/>
          <w:sz w:val="24"/>
          <w:szCs w:val="24"/>
        </w:rPr>
        <w:t>eight is also a predictive factor for coronary height variations, and as on</w:t>
      </w:r>
      <w:r w:rsidRPr="00EC6C19">
        <w:rPr>
          <w:rFonts w:ascii="Times New Roman" w:hAnsi="Times New Roman" w:cs="Times New Roman"/>
          <w:sz w:val="24"/>
          <w:szCs w:val="24"/>
        </w:rPr>
        <w:t xml:space="preserve"> average, male patients are taller than females,</w:t>
      </w:r>
      <w:r w:rsidR="003E090F" w:rsidRPr="00EC6C19">
        <w:rPr>
          <w:rFonts w:ascii="Times New Roman" w:hAnsi="Times New Roman" w:cs="Times New Roman"/>
          <w:sz w:val="24"/>
          <w:szCs w:val="24"/>
        </w:rPr>
        <w:t xml:space="preserve"> the height calculations are potentially larger. This could</w:t>
      </w:r>
      <w:r w:rsidRPr="00EC6C19">
        <w:rPr>
          <w:rFonts w:ascii="Times New Roman" w:hAnsi="Times New Roman" w:cs="Times New Roman"/>
          <w:sz w:val="24"/>
          <w:szCs w:val="24"/>
        </w:rPr>
        <w:t xml:space="preserve"> lead to an overestimation of the hydrostatic effect</w:t>
      </w:r>
      <w:r w:rsidR="005D22CD" w:rsidRPr="00EC6C19">
        <w:rPr>
          <w:rFonts w:ascii="Times New Roman" w:hAnsi="Times New Roman" w:cs="Times New Roman"/>
          <w:sz w:val="24"/>
          <w:szCs w:val="24"/>
        </w:rPr>
        <w:t>.</w:t>
      </w:r>
    </w:p>
    <w:p w14:paraId="5C187E6B" w14:textId="77777777" w:rsidR="005D22CD" w:rsidRPr="00EC6C19" w:rsidRDefault="00E450F8"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default wire position for all measurements was in the distal vessel. This may not be the point of measurement in every clinical </w:t>
      </w:r>
      <w:r w:rsidR="001914E3">
        <w:rPr>
          <w:rFonts w:ascii="Times New Roman" w:hAnsi="Times New Roman" w:cs="Times New Roman"/>
          <w:sz w:val="24"/>
          <w:szCs w:val="24"/>
        </w:rPr>
        <w:t>case and exaggerate the hydrostatic effect.</w:t>
      </w:r>
      <w:r w:rsidRPr="00EC6C19">
        <w:rPr>
          <w:rFonts w:ascii="Times New Roman" w:hAnsi="Times New Roman" w:cs="Times New Roman"/>
          <w:sz w:val="24"/>
          <w:szCs w:val="24"/>
        </w:rPr>
        <w:t xml:space="preserve"> </w:t>
      </w:r>
    </w:p>
    <w:p w14:paraId="32B6BE24" w14:textId="77777777" w:rsidR="00E450F8" w:rsidRPr="00EC6C19" w:rsidRDefault="00E450F8"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The Pa pressure was lower</w:t>
      </w:r>
      <w:r w:rsidR="001914E3">
        <w:rPr>
          <w:rFonts w:ascii="Times New Roman" w:hAnsi="Times New Roman" w:cs="Times New Roman"/>
          <w:sz w:val="24"/>
          <w:szCs w:val="24"/>
        </w:rPr>
        <w:t xml:space="preserve"> on average</w:t>
      </w:r>
      <w:r w:rsidRPr="00EC6C19">
        <w:rPr>
          <w:rFonts w:ascii="Times New Roman" w:hAnsi="Times New Roman" w:cs="Times New Roman"/>
          <w:sz w:val="24"/>
          <w:szCs w:val="24"/>
        </w:rPr>
        <w:t xml:space="preserve"> when taking supine measurements. Prone measurements </w:t>
      </w:r>
      <w:r w:rsidR="001914E3">
        <w:rPr>
          <w:rFonts w:ascii="Times New Roman" w:hAnsi="Times New Roman" w:cs="Times New Roman"/>
          <w:sz w:val="24"/>
          <w:szCs w:val="24"/>
        </w:rPr>
        <w:t xml:space="preserve">were first, </w:t>
      </w:r>
      <w:r w:rsidRPr="00EC6C19">
        <w:rPr>
          <w:rFonts w:ascii="Times New Roman" w:hAnsi="Times New Roman" w:cs="Times New Roman"/>
          <w:sz w:val="24"/>
          <w:szCs w:val="24"/>
        </w:rPr>
        <w:t xml:space="preserve">followed by supine measurements. The reason for this was predominantly patient safety, in that starting supine, followed by prone, would mean positioning the patient back to supine </w:t>
      </w:r>
      <w:r w:rsidR="001914E3">
        <w:rPr>
          <w:rFonts w:ascii="Times New Roman" w:hAnsi="Times New Roman" w:cs="Times New Roman"/>
          <w:sz w:val="24"/>
          <w:szCs w:val="24"/>
        </w:rPr>
        <w:t>if the artery needed treatment</w:t>
      </w:r>
      <w:r w:rsidRPr="00EC6C19">
        <w:rPr>
          <w:rFonts w:ascii="Times New Roman" w:hAnsi="Times New Roman" w:cs="Times New Roman"/>
          <w:sz w:val="24"/>
          <w:szCs w:val="24"/>
        </w:rPr>
        <w:t xml:space="preserve">. To minimise the number of turns, and the risks associated with this, the study protocol was designed to take prone measurements first. Supine Pa was 5mmHg on average lower for Pd/Pa, and 6mmHg lower on average for FFR. The effect this has on delta change between positions is minimal, but </w:t>
      </w:r>
      <w:r w:rsidR="004F41D2" w:rsidRPr="00EC6C19">
        <w:rPr>
          <w:rFonts w:ascii="Times New Roman" w:hAnsi="Times New Roman" w:cs="Times New Roman"/>
          <w:sz w:val="24"/>
          <w:szCs w:val="24"/>
        </w:rPr>
        <w:t>noteworthy</w:t>
      </w:r>
      <w:r w:rsidRPr="00EC6C19">
        <w:rPr>
          <w:rFonts w:ascii="Times New Roman" w:hAnsi="Times New Roman" w:cs="Times New Roman"/>
          <w:sz w:val="24"/>
          <w:szCs w:val="24"/>
        </w:rPr>
        <w:t>.</w:t>
      </w:r>
    </w:p>
    <w:p w14:paraId="27A93ACE" w14:textId="77777777" w:rsidR="00E450F8" w:rsidRPr="00EC6C19" w:rsidRDefault="00E450F8"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Guide to wire measurement</w:t>
      </w:r>
      <w:r w:rsidR="00052F81">
        <w:rPr>
          <w:rFonts w:ascii="Times New Roman" w:hAnsi="Times New Roman" w:cs="Times New Roman"/>
          <w:sz w:val="24"/>
          <w:szCs w:val="24"/>
        </w:rPr>
        <w:t>s were</w:t>
      </w:r>
      <w:r w:rsidRPr="00EC6C19">
        <w:rPr>
          <w:rFonts w:ascii="Times New Roman" w:hAnsi="Times New Roman" w:cs="Times New Roman"/>
          <w:sz w:val="24"/>
          <w:szCs w:val="24"/>
        </w:rPr>
        <w:t xml:space="preserve"> taken during angiography in the left lateral position. In some cases, the left lateral angle was not exactly 90 degrees. This may cause a minute amount of error in the guide to wire height measurement. Furthermore, a useful addition in retrospect would be to repeat guide to wire measurement in the supine position, not only the prone position. The combination of both measurements may lead to a more accurate correlation with delta change in Pd/Pa and FFR.</w:t>
      </w:r>
    </w:p>
    <w:p w14:paraId="2241AE81" w14:textId="337EB136" w:rsidR="00E450F8" w:rsidRPr="00EC6C19" w:rsidRDefault="00E450F8"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Stenosis assessment using QCA is </w:t>
      </w:r>
      <w:r w:rsidR="00052F81">
        <w:rPr>
          <w:rFonts w:ascii="Times New Roman" w:hAnsi="Times New Roman" w:cs="Times New Roman"/>
          <w:sz w:val="24"/>
          <w:szCs w:val="24"/>
        </w:rPr>
        <w:t>has inaccuracies</w:t>
      </w:r>
      <w:r w:rsidR="003930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{"citationID":"2bon6rkv","properties":{"formattedCitation":"(Wunderlich et al., 1998)","plainCitation":"(Wunderlich et al., 1998)","noteIndex":0},"citationItems":[{"id":702,"uris":["http://zotero.org/users/local/k67tNDdX/items/5MFSE6FN"],"uri":["http://zotero.org/users/local/k67tNDdX/items/5MFSE6FN"],"itemData":{"id":702,"type":"article-journal","abstract":"Background: The calculation of absolute artery dimensions in quantitative coronary angiography is usually carried out by catheter calibration. It is based on the proportional comparison of the dimension of the imaged artery segment to the dimension of the imaged angiographic catheter of known size. This calibration method presumes an identical radiographic magnification between angiographic catheter and artery segment of interest. However, due to the different intrathoracic location of both objects the radiographic magnification or calibration factor is often not identical for a given angiographic projection. The aim of this study was to quantify the magnification error (out-of-plane magnification error) for the major coronary artery segments imaged in frequently used angiographic projections. Methods The intrathoracic spatial location of 468 coronary segments (RCA 196, LAD 156, LCX 116) and their respective coronary catheters were established with biplane angiography and known imaging geometry data. The error in the radiographic magnification or calibration factor was then calculated for all 936 monoplane projections using the spatial coordinates and imaging geometry data. Results The mean magnitude of magnification error was 4% within all 936 measurements. The magnitude and direction of error varied with the lesion localization and the angiographic projection angle (range −12.6% to +10.6%). The error characteristics could be described with six typical error groups by stratifying the data according to the three main coronaries and two angiographic planes. In 24% of measurements, the magnification error exceeded the 5.2% error limit acceptable for reference vessel sizing. Measurements of left coronary arteries were mainly affected by it. Conclusion: The magnification error contributes to the calibration error in measuring arterial dimensions by quantitative angiography. This error may affect the reliability of clinical studies and the proper sizing of interventional devices. These findings could be used to improve current error correction algorithms in order to reduce the effect of the magnification error in measuring arterial dimensions.","container-title":"The International Journal of Cardiac Imaging","DOI":"10.1023/A:1006067117225","ISSN":"0167-9899, 1573-0743","issue":"4","journalAbbreviation":"Int J Cardiovasc Imaging","language":"en","page":"217-227","source":"link.springer.com","title":"The impact of vessel and catheter position on the measurement accuracy in catheter-based quantitative coronary angiography","volume":"14","author":[{"family":"Wunderlich","given":"Werner"},{"family":"Roehrig","given":"Beate"},{"family":"Fischer","given":"Frank"},{"family":"Arntz","given":"Hans-Richard"},{"family":"Agrawal","given":"Rahul"},{"family":"Morguet","given":"Andreas"},{"family":"Schultheiss","given":"Heinz-Peter"},{"family":"Horstkotte","given":"Dieter"}],"issued":{"date-parts":[["1998",8,1]]}}}],"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 xml:space="preserve">(Wunderlich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1998)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Calibration of the QCA system</w:t>
      </w:r>
      <w:r w:rsidR="00086C3E" w:rsidRPr="00EC6C19">
        <w:rPr>
          <w:rFonts w:ascii="Times New Roman" w:hAnsi="Times New Roman" w:cs="Times New Roman"/>
          <w:sz w:val="24"/>
          <w:szCs w:val="24"/>
        </w:rPr>
        <w:t xml:space="preserve"> uses the size of a known calibre coronary catheter to measure</w:t>
      </w:r>
      <w:r w:rsidRPr="00EC6C19">
        <w:rPr>
          <w:rFonts w:ascii="Times New Roman" w:hAnsi="Times New Roman" w:cs="Times New Roman"/>
          <w:sz w:val="24"/>
          <w:szCs w:val="24"/>
        </w:rPr>
        <w:t xml:space="preserve"> d</w:t>
      </w:r>
      <w:r w:rsidR="00086C3E" w:rsidRPr="00EC6C19">
        <w:rPr>
          <w:rFonts w:ascii="Times New Roman" w:hAnsi="Times New Roman" w:cs="Times New Roman"/>
          <w:sz w:val="24"/>
          <w:szCs w:val="24"/>
        </w:rPr>
        <w:t xml:space="preserve">istances on a still image. There is a potential for error in the measured </w:t>
      </w:r>
      <w:r w:rsidR="00DB7E59" w:rsidRPr="00EC6C19">
        <w:rPr>
          <w:rFonts w:ascii="Times New Roman" w:hAnsi="Times New Roman" w:cs="Times New Roman"/>
          <w:sz w:val="24"/>
          <w:szCs w:val="24"/>
        </w:rPr>
        <w:t>distances,</w:t>
      </w:r>
      <w:r w:rsidR="00086C3E" w:rsidRPr="00EC6C19">
        <w:rPr>
          <w:rFonts w:ascii="Times New Roman" w:hAnsi="Times New Roman" w:cs="Times New Roman"/>
          <w:sz w:val="24"/>
          <w:szCs w:val="24"/>
        </w:rPr>
        <w:t xml:space="preserve"> therefore.</w:t>
      </w:r>
    </w:p>
    <w:p w14:paraId="4CD05125" w14:textId="77777777" w:rsidR="0044493B" w:rsidRPr="00EC6C19" w:rsidRDefault="0044493B"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Right atrial pressure was excluded in the assessment of FFR in the study demographic</w:t>
      </w:r>
      <w:r w:rsidR="004F41D2" w:rsidRPr="00EC6C19">
        <w:rPr>
          <w:rFonts w:ascii="Times New Roman" w:hAnsi="Times New Roman" w:cs="Times New Roman"/>
          <w:sz w:val="24"/>
          <w:szCs w:val="24"/>
        </w:rPr>
        <w:t xml:space="preserve"> for safety reasons</w:t>
      </w:r>
      <w:r w:rsidRPr="00EC6C19">
        <w:rPr>
          <w:rFonts w:ascii="Times New Roman" w:hAnsi="Times New Roman" w:cs="Times New Roman"/>
          <w:sz w:val="24"/>
          <w:szCs w:val="24"/>
        </w:rPr>
        <w:t xml:space="preserve">. </w:t>
      </w:r>
      <w:r w:rsidR="004F41D2" w:rsidRPr="00EC6C19">
        <w:rPr>
          <w:rFonts w:ascii="Times New Roman" w:hAnsi="Times New Roman" w:cs="Times New Roman"/>
          <w:sz w:val="24"/>
          <w:szCs w:val="24"/>
        </w:rPr>
        <w:t>However, r</w:t>
      </w:r>
      <w:r w:rsidRPr="00EC6C19">
        <w:rPr>
          <w:rFonts w:ascii="Times New Roman" w:hAnsi="Times New Roman" w:cs="Times New Roman"/>
          <w:sz w:val="24"/>
          <w:szCs w:val="24"/>
        </w:rPr>
        <w:t xml:space="preserve">ecent studies </w:t>
      </w:r>
      <w:r w:rsidR="004F41D2" w:rsidRPr="00EC6C19">
        <w:rPr>
          <w:rFonts w:ascii="Times New Roman" w:hAnsi="Times New Roman" w:cs="Times New Roman"/>
          <w:sz w:val="24"/>
          <w:szCs w:val="24"/>
        </w:rPr>
        <w:t>demonstrate</w:t>
      </w:r>
      <w:r w:rsidRPr="00EC6C19">
        <w:rPr>
          <w:rFonts w:ascii="Times New Roman" w:hAnsi="Times New Roman" w:cs="Times New Roman"/>
          <w:sz w:val="24"/>
          <w:szCs w:val="24"/>
        </w:rPr>
        <w:t xml:space="preserve"> that right atrial pressure </w:t>
      </w:r>
      <w:r w:rsidR="004F41D2" w:rsidRPr="00EC6C19">
        <w:rPr>
          <w:rFonts w:ascii="Times New Roman" w:hAnsi="Times New Roman" w:cs="Times New Roman"/>
          <w:sz w:val="24"/>
          <w:szCs w:val="24"/>
        </w:rPr>
        <w:t xml:space="preserve">is </w:t>
      </w:r>
      <w:r w:rsidRPr="00EC6C19">
        <w:rPr>
          <w:rFonts w:ascii="Times New Roman" w:hAnsi="Times New Roman" w:cs="Times New Roman"/>
          <w:sz w:val="24"/>
          <w:szCs w:val="24"/>
        </w:rPr>
        <w:t xml:space="preserve">negligible </w:t>
      </w:r>
      <w:r w:rsidR="004F41D2" w:rsidRPr="00EC6C19">
        <w:rPr>
          <w:rFonts w:ascii="Times New Roman" w:hAnsi="Times New Roman" w:cs="Times New Roman"/>
          <w:sz w:val="24"/>
          <w:szCs w:val="24"/>
        </w:rPr>
        <w:t>with regards</w:t>
      </w:r>
      <w:r w:rsidRPr="00EC6C19">
        <w:rPr>
          <w:rFonts w:ascii="Times New Roman" w:hAnsi="Times New Roman" w:cs="Times New Roman"/>
          <w:sz w:val="24"/>
          <w:szCs w:val="24"/>
        </w:rPr>
        <w:t xml:space="preserve"> to FFR measurement </w:t>
      </w:r>
      <w:r w:rsidR="00106A32" w:rsidRPr="00EC6C19">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{"citationID":"DoryU7rV","properties":{"formattedCitation":"(Toth et al., 2016)","plainCitation":"(Toth et al., 2016)","noteIndex":0},"citationItems":[{"id":515,"uris":["http://zotero.org/users/local/k67tNDdX/items/574DYNY4"],"uri":["http://zotero.org/users/local/k67tNDdX/items/574DYNY4"],"itemData":{"id":515,"type":"article-journal","abstract":"OBJECTIVES: This study sought to assess the impact of a wide range of mean right atrial pressure (Pra) on fractional flow reserve (FFR) measurements.\nBACKGROUND: FFR invasively assesses the ischemic potential of coronary stenoses. FFR is calculated as the ratio of mean distal coronary pressure (Pd) to mean aortic pressure (Pa) during maximal hyperemia. The Pra is considered to have little impact if it is within normal range, so it is neglected in the formula.\nMETHODS: In 1,676 stenoses of 1,235 patients undergoing left-right heart catheterization for ischemic (642 [52%]) or valvular heart disease (593 [48%]), the authors compared the FFR values calculated without accounting for Pra (FFR= Pd/Pa) to the corresponding myocardial fractional flow reserve (FFRmyo) values accounting for Pra (FFRmyo = Pd - Pra/Pa - Pra).\nRESULTS: The median Pra was 7 (interquartile range [IQR]: 5 to 10) mm Hg with a maximum of 27 mm Hg. The correlation and agreement between FFR and FFRmyo was excellent (R(2) = 0.987; slope 1.096 ± 0.003). The median FFR (0.85; IQR: 0.78 to 0.91) was slightly but statistically significantly higher than the median FFRmyo (0.83; IQR: 0.76 to 0.90; p &lt; 0.001) with a median difference of 0.01 (IQR: 0.01 to 0.02). Values of FFR above the cutoff of 0.80 provided an FFRmyo ≤0.80 in 110 (9%) stenoses. No FFR value above 0.80 provided an FFRmyo ≤0.75.\nCONCLUSIONS: The difference between FFR and FFRmyo was minimal even in patients with markedly increased Pra. FFR values above the gray zone (i.e., &gt;0.80) did not yield values below the gray zone (i.e., ≤0.75) in any case, which suggests that the impact of right atrial pressure on FFR measurement is indeed negligible.","container-title":"JACC. Cardiovascular interventions","DOI":"10.1016/j.jcin.2015.11.021","ISSN":"1876-7605","issue":"5","journalAbbreviation":"JACC Cardiovasc Interv","language":"eng","note":"PMID: 26896888","page":"453-459","source":"PubMed","title":"Impact of Right Atrial Pressure on Fractional Flow Reserve Measurements: Comparison of Fractional Flow Reserve and Myocardial Fractional Flow Reserve in 1,600 Coronary Stenoses","title-short":"Impact of Right Atrial Pressure on Fractional Flow Reserve Measurements","volume":"9","author":[{"family":"Toth","given":"Gabor G."},{"family":"De Bruyne","given":"Bernard"},{"family":"Rusinaru","given":"Dan"},{"family":"Di Gioia","given":"Giuseppe"},{"family":"Bartunek","given":"Jozef"},{"family":"Pellicano","given":"Mariano"},{"family":"Vanderheyden","given":"Marc"},{"family":"Adjedj","given":"Julien"},{"family":"Wijns","given":"William"},{"family":"Pijls","given":"Nico H. J."},{"family":"Barbato","given":"Emanuele"}],"issued":{"date-parts":[["2016",3,14]]}}}],"schema":"https://github.com/citation-style-language/schema/raw/master/csl-citation.json"} </w:instrText>
      </w:r>
      <w:r w:rsidR="00106A32" w:rsidRPr="00EC6C19">
        <w:rPr>
          <w:rFonts w:ascii="Times New Roman" w:hAnsi="Times New Roman" w:cs="Times New Roman"/>
          <w:sz w:val="24"/>
          <w:szCs w:val="24"/>
        </w:rPr>
        <w:fldChar w:fldCharType="separate"/>
      </w:r>
      <w:r w:rsidR="004A32A5" w:rsidRPr="004A32A5">
        <w:rPr>
          <w:rFonts w:ascii="Times New Roman" w:hAnsi="Times New Roman" w:cs="Times New Roman"/>
          <w:sz w:val="24"/>
        </w:rPr>
        <w:t>(Toth et al., 2016)</w:t>
      </w:r>
      <w:r w:rsidR="00106A32" w:rsidRPr="00EC6C19">
        <w:rPr>
          <w:rFonts w:ascii="Times New Roman" w:hAnsi="Times New Roman" w:cs="Times New Roman"/>
          <w:sz w:val="24"/>
          <w:szCs w:val="24"/>
        </w:rPr>
        <w:fldChar w:fldCharType="end"/>
      </w:r>
      <w:r w:rsidR="004F41D2" w:rsidRPr="00EC6C19">
        <w:rPr>
          <w:rFonts w:ascii="Times New Roman" w:hAnsi="Times New Roman" w:cs="Times New Roman"/>
          <w:sz w:val="24"/>
          <w:szCs w:val="24"/>
        </w:rPr>
        <w:t>.</w:t>
      </w:r>
    </w:p>
    <w:p w14:paraId="6EC5E0D0" w14:textId="77777777" w:rsidR="00566CCD" w:rsidRPr="00EC6C19" w:rsidRDefault="0044493B"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Lastly the correction factor of 0.8mmHg/cm to convert vertical height into hydrostatic pressure is the closest</w:t>
      </w:r>
      <w:r w:rsidR="00E72817" w:rsidRPr="00EC6C19">
        <w:rPr>
          <w:rFonts w:ascii="Times New Roman" w:hAnsi="Times New Roman" w:cs="Times New Roman"/>
          <w:sz w:val="24"/>
          <w:szCs w:val="24"/>
        </w:rPr>
        <w:t xml:space="preserve"> value available</w:t>
      </w:r>
      <w:r w:rsidR="003F1563" w:rsidRPr="00EC6C19">
        <w:rPr>
          <w:rFonts w:ascii="Times New Roman" w:hAnsi="Times New Roman" w:cs="Times New Roman"/>
          <w:sz w:val="24"/>
          <w:szCs w:val="24"/>
        </w:rPr>
        <w:t xml:space="preserve"> for use</w:t>
      </w:r>
      <w:r w:rsidR="00E72817" w:rsidRPr="00EC6C19">
        <w:rPr>
          <w:rFonts w:ascii="Times New Roman" w:hAnsi="Times New Roman" w:cs="Times New Roman"/>
          <w:sz w:val="24"/>
          <w:szCs w:val="24"/>
        </w:rPr>
        <w:t xml:space="preserve"> at the present time. Pressure simulator results </w:t>
      </w:r>
      <w:r w:rsidR="003F1563" w:rsidRPr="00EC6C19">
        <w:rPr>
          <w:rFonts w:ascii="Times New Roman" w:hAnsi="Times New Roman" w:cs="Times New Roman"/>
          <w:sz w:val="24"/>
          <w:szCs w:val="24"/>
        </w:rPr>
        <w:t xml:space="preserve">from </w:t>
      </w:r>
      <w:r w:rsidR="00106A32" w:rsidRPr="00EC6C19">
        <w:rPr>
          <w:rFonts w:ascii="Times New Roman" w:hAnsi="Times New Roman" w:cs="Times New Roman"/>
          <w:sz w:val="24"/>
          <w:szCs w:val="24"/>
        </w:rPr>
        <w:fldChar w:fldCharType="begin"/>
      </w:r>
      <w:r w:rsidR="00E66794">
        <w:rPr>
          <w:rFonts w:ascii="Times New Roman" w:hAnsi="Times New Roman" w:cs="Times New Roman"/>
          <w:sz w:val="24"/>
          <w:szCs w:val="24"/>
        </w:rPr>
        <w:instrText xml:space="preserve"> ADDIN ZOTERO_ITEM CSL_CITATION {"citationID":"nQP1gpyC","properties":{"formattedCitation":"(H\\uc0\\u228{}rle et al., 2017a)","plainCitation":"(Härle et al., 2017a)","dontUpdate":true,"noteIndex":0},"citationItems":[{"id":"Vqvua3Kd/dDzTA0az","uris":["http://zotero.org/users/local/k67tNDdX/items/35FPF9RU"],"uri":["http://zotero.org/users/local/k67tNDdX/items/35FPF9RU"],"itemData":{"id":566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Hä</w:t>
      </w:r>
      <w:r w:rsidR="003930FC" w:rsidRPr="00EC6C19">
        <w:rPr>
          <w:rFonts w:ascii="Times New Roman" w:hAnsi="Times New Roman" w:cs="Times New Roman"/>
          <w:sz w:val="24"/>
          <w:szCs w:val="24"/>
        </w:rPr>
        <w:t xml:space="preserve">rle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2017</w:t>
      </w:r>
      <w:r w:rsidR="00756A5E" w:rsidRPr="00EC6C19">
        <w:rPr>
          <w:rFonts w:ascii="Times New Roman" w:hAnsi="Times New Roman" w:cs="Times New Roman"/>
          <w:sz w:val="24"/>
          <w:szCs w:val="24"/>
        </w:rPr>
        <w:t>a</w:t>
      </w:r>
      <w:r w:rsidR="00106A32" w:rsidRPr="00EC6C19">
        <w:rPr>
          <w:rFonts w:ascii="Times New Roman" w:hAnsi="Times New Roman" w:cs="Times New Roman"/>
          <w:sz w:val="24"/>
          <w:szCs w:val="24"/>
        </w:rPr>
        <w:fldChar w:fldCharType="end"/>
      </w:r>
      <w:r w:rsidR="004034CE" w:rsidRPr="00EC6C19">
        <w:rPr>
          <w:rFonts w:ascii="Times New Roman" w:hAnsi="Times New Roman" w:cs="Times New Roman"/>
          <w:sz w:val="24"/>
          <w:szCs w:val="24"/>
        </w:rPr>
        <w:t>,</w:t>
      </w:r>
      <w:r w:rsidR="00756A5E" w:rsidRPr="00EC6C19">
        <w:rPr>
          <w:rFonts w:ascii="Times New Roman" w:hAnsi="Times New Roman" w:cs="Times New Roman"/>
          <w:sz w:val="24"/>
          <w:szCs w:val="24"/>
        </w:rPr>
        <w:t xml:space="preserve"> </w:t>
      </w:r>
      <w:r w:rsidR="00E72817" w:rsidRPr="00EC6C19">
        <w:rPr>
          <w:rFonts w:ascii="Times New Roman" w:hAnsi="Times New Roman" w:cs="Times New Roman"/>
          <w:sz w:val="24"/>
          <w:szCs w:val="24"/>
        </w:rPr>
        <w:t>show a conversion factor of 0.77mmHg/cm with 0.9% saline fluid instead of blood. Correcting for the density of blood, the value of 0.8mmHg/cm is more likely to represent t</w:t>
      </w:r>
      <w:r w:rsidR="003F1563" w:rsidRPr="00EC6C19">
        <w:rPr>
          <w:rFonts w:ascii="Times New Roman" w:hAnsi="Times New Roman" w:cs="Times New Roman"/>
          <w:sz w:val="24"/>
          <w:szCs w:val="24"/>
        </w:rPr>
        <w:t>he</w:t>
      </w:r>
      <w:r w:rsidR="00E72817" w:rsidRPr="00EC6C19">
        <w:rPr>
          <w:rFonts w:ascii="Times New Roman" w:hAnsi="Times New Roman" w:cs="Times New Roman"/>
          <w:sz w:val="24"/>
          <w:szCs w:val="24"/>
        </w:rPr>
        <w:t xml:space="preserve"> correct value. Further studies</w:t>
      </w:r>
      <w:r w:rsidR="003F1563" w:rsidRPr="00EC6C19">
        <w:rPr>
          <w:rFonts w:ascii="Times New Roman" w:hAnsi="Times New Roman" w:cs="Times New Roman"/>
          <w:sz w:val="24"/>
          <w:szCs w:val="24"/>
        </w:rPr>
        <w:t xml:space="preserve"> in vivo</w:t>
      </w:r>
      <w:r w:rsidR="00E72817" w:rsidRPr="00EC6C19">
        <w:rPr>
          <w:rFonts w:ascii="Times New Roman" w:hAnsi="Times New Roman" w:cs="Times New Roman"/>
          <w:sz w:val="24"/>
          <w:szCs w:val="24"/>
        </w:rPr>
        <w:t xml:space="preserve"> are needed to</w:t>
      </w:r>
      <w:r w:rsidR="003F1563" w:rsidRPr="00EC6C19">
        <w:rPr>
          <w:rFonts w:ascii="Times New Roman" w:hAnsi="Times New Roman" w:cs="Times New Roman"/>
          <w:sz w:val="24"/>
          <w:szCs w:val="24"/>
        </w:rPr>
        <w:t xml:space="preserve"> accurately define the conversion rate.</w:t>
      </w:r>
    </w:p>
    <w:p w14:paraId="384E8CBD" w14:textId="77777777" w:rsidR="00BB4477" w:rsidRDefault="00463AC5" w:rsidP="000B4057">
      <w:pPr>
        <w:spacing w:line="360" w:lineRule="auto"/>
        <w:rPr>
          <w:rFonts w:ascii="Times New Roman" w:hAnsi="Times New Roman" w:cs="Times New Roman"/>
          <w:sz w:val="24"/>
          <w:szCs w:val="24"/>
        </w:rPr>
      </w:pPr>
      <w:r>
        <w:rPr>
          <w:rFonts w:ascii="Times New Roman" w:hAnsi="Times New Roman" w:cs="Times New Roman"/>
          <w:sz w:val="24"/>
          <w:szCs w:val="24"/>
        </w:rPr>
        <w:t>The possible weight of the heart affecting intracoronary pressure has already been discussed.</w:t>
      </w:r>
    </w:p>
    <w:p w14:paraId="387A0E32" w14:textId="77777777" w:rsidR="00F20902" w:rsidRDefault="00596591" w:rsidP="000B4057">
      <w:pPr>
        <w:spacing w:line="360" w:lineRule="auto"/>
        <w:rPr>
          <w:rFonts w:ascii="Times New Roman" w:hAnsi="Times New Roman" w:cs="Times New Roman"/>
          <w:sz w:val="24"/>
          <w:szCs w:val="24"/>
        </w:rPr>
      </w:pPr>
      <w:r>
        <w:rPr>
          <w:rFonts w:ascii="Times New Roman" w:hAnsi="Times New Roman" w:cs="Times New Roman"/>
          <w:sz w:val="24"/>
          <w:szCs w:val="24"/>
        </w:rPr>
        <w:t xml:space="preserve">I designed, conducted and co-ordinated this study and performed all data collection and analysis. I was aware of the research hypothesis and was unblinded to the results. This may have introduced bias despite all precautions. I did have to guide placement of the physiology wire to keep positioning as constant as possible as well as ensure study protocol with regards to heparin and nitrates was adhered to. I did not have any intervention beyond this. </w:t>
      </w:r>
    </w:p>
    <w:p w14:paraId="3D7F5E58" w14:textId="77777777" w:rsidR="00F20902" w:rsidRPr="00EC6C19" w:rsidRDefault="00F20902" w:rsidP="000B4057">
      <w:pPr>
        <w:spacing w:line="360" w:lineRule="auto"/>
        <w:rPr>
          <w:rFonts w:ascii="Times New Roman" w:hAnsi="Times New Roman" w:cs="Times New Roman"/>
          <w:sz w:val="24"/>
          <w:szCs w:val="24"/>
        </w:rPr>
      </w:pPr>
    </w:p>
    <w:p w14:paraId="5A532910" w14:textId="77777777" w:rsidR="00E450F8" w:rsidRPr="006C1A70" w:rsidRDefault="006C1A70" w:rsidP="006C1A70">
      <w:pPr>
        <w:pStyle w:val="Heading2"/>
        <w:rPr>
          <w:rFonts w:ascii="Times New Roman" w:hAnsi="Times New Roman" w:cs="Times New Roman"/>
          <w:color w:val="auto"/>
          <w:sz w:val="24"/>
          <w:szCs w:val="24"/>
        </w:rPr>
      </w:pPr>
      <w:bookmarkStart w:id="243" w:name="_Toc80302296"/>
      <w:r w:rsidRPr="006C1A70">
        <w:rPr>
          <w:rFonts w:ascii="Times New Roman" w:hAnsi="Times New Roman" w:cs="Times New Roman"/>
          <w:color w:val="auto"/>
          <w:sz w:val="24"/>
          <w:szCs w:val="24"/>
        </w:rPr>
        <w:t xml:space="preserve">4.11 - </w:t>
      </w:r>
      <w:r w:rsidR="00A7041A" w:rsidRPr="006C1A70">
        <w:rPr>
          <w:rFonts w:ascii="Times New Roman" w:hAnsi="Times New Roman" w:cs="Times New Roman"/>
          <w:color w:val="auto"/>
          <w:sz w:val="24"/>
          <w:szCs w:val="24"/>
        </w:rPr>
        <w:t xml:space="preserve">Future </w:t>
      </w:r>
      <w:r w:rsidR="005F0D00" w:rsidRPr="006C1A70">
        <w:rPr>
          <w:rFonts w:ascii="Times New Roman" w:hAnsi="Times New Roman" w:cs="Times New Roman"/>
          <w:color w:val="auto"/>
          <w:sz w:val="24"/>
          <w:szCs w:val="24"/>
        </w:rPr>
        <w:t>Research</w:t>
      </w:r>
      <w:bookmarkEnd w:id="243"/>
      <w:r>
        <w:rPr>
          <w:rFonts w:ascii="Times New Roman" w:hAnsi="Times New Roman" w:cs="Times New Roman"/>
          <w:color w:val="auto"/>
          <w:sz w:val="24"/>
          <w:szCs w:val="24"/>
        </w:rPr>
        <w:br/>
      </w:r>
    </w:p>
    <w:p w14:paraId="435B3583" w14:textId="77777777" w:rsidR="00486727" w:rsidRDefault="00486727" w:rsidP="000B4057">
      <w:pPr>
        <w:spacing w:line="360" w:lineRule="auto"/>
        <w:rPr>
          <w:rFonts w:ascii="Times New Roman" w:hAnsi="Times New Roman" w:cs="Times New Roman"/>
          <w:i/>
          <w:sz w:val="24"/>
          <w:szCs w:val="24"/>
          <w:u w:val="single"/>
        </w:rPr>
      </w:pPr>
    </w:p>
    <w:p w14:paraId="1D20AF3E" w14:textId="77777777" w:rsidR="004012C8" w:rsidRPr="006C1A70" w:rsidRDefault="006C1A70" w:rsidP="006C1A70">
      <w:pPr>
        <w:pStyle w:val="Heading3"/>
        <w:rPr>
          <w:rFonts w:ascii="Times New Roman" w:hAnsi="Times New Roman" w:cs="Times New Roman"/>
          <w:b w:val="0"/>
          <w:i/>
          <w:color w:val="auto"/>
          <w:sz w:val="24"/>
          <w:szCs w:val="24"/>
        </w:rPr>
      </w:pPr>
      <w:bookmarkStart w:id="244" w:name="_Toc80302297"/>
      <w:r w:rsidRPr="006C1A70">
        <w:rPr>
          <w:rFonts w:ascii="Times New Roman" w:hAnsi="Times New Roman" w:cs="Times New Roman"/>
          <w:b w:val="0"/>
          <w:i/>
          <w:color w:val="auto"/>
          <w:sz w:val="24"/>
          <w:szCs w:val="24"/>
        </w:rPr>
        <w:t xml:space="preserve">4.11.1 - </w:t>
      </w:r>
      <w:r w:rsidR="00BE02AD" w:rsidRPr="006C1A70">
        <w:rPr>
          <w:rFonts w:ascii="Times New Roman" w:hAnsi="Times New Roman" w:cs="Times New Roman"/>
          <w:b w:val="0"/>
          <w:i/>
          <w:color w:val="auto"/>
          <w:sz w:val="24"/>
          <w:szCs w:val="24"/>
        </w:rPr>
        <w:t>Ideal Study Protocol</w:t>
      </w:r>
      <w:bookmarkEnd w:id="244"/>
    </w:p>
    <w:p w14:paraId="09EFB066" w14:textId="77777777" w:rsidR="004012C8" w:rsidRDefault="006C1A70" w:rsidP="000B4057">
      <w:pPr>
        <w:spacing w:line="360" w:lineRule="auto"/>
        <w:rPr>
          <w:rFonts w:ascii="Times New Roman" w:hAnsi="Times New Roman" w:cs="Times New Roman"/>
          <w:i/>
          <w:sz w:val="24"/>
          <w:szCs w:val="24"/>
        </w:rPr>
      </w:pPr>
      <w:r>
        <w:rPr>
          <w:rFonts w:ascii="Times New Roman" w:hAnsi="Times New Roman" w:cs="Times New Roman"/>
          <w:i/>
          <w:sz w:val="24"/>
          <w:szCs w:val="24"/>
        </w:rPr>
        <w:br/>
      </w:r>
    </w:p>
    <w:p w14:paraId="4B4EE87C" w14:textId="1E612668" w:rsidR="004012C8" w:rsidRDefault="004012C8" w:rsidP="000B4057">
      <w:pPr>
        <w:spacing w:line="360" w:lineRule="auto"/>
        <w:rPr>
          <w:rFonts w:ascii="Times New Roman" w:hAnsi="Times New Roman" w:cs="Times New Roman"/>
          <w:sz w:val="24"/>
          <w:szCs w:val="24"/>
        </w:rPr>
      </w:pPr>
      <w:r>
        <w:rPr>
          <w:rFonts w:ascii="Times New Roman" w:hAnsi="Times New Roman" w:cs="Times New Roman"/>
          <w:sz w:val="24"/>
          <w:szCs w:val="24"/>
        </w:rPr>
        <w:t>In an ideal</w:t>
      </w:r>
      <w:r w:rsidR="00BE02AD">
        <w:rPr>
          <w:rFonts w:ascii="Times New Roman" w:hAnsi="Times New Roman" w:cs="Times New Roman"/>
          <w:sz w:val="24"/>
          <w:szCs w:val="24"/>
        </w:rPr>
        <w:t xml:space="preserve"> scenario and protocol, a more comprehensive</w:t>
      </w:r>
      <w:r>
        <w:rPr>
          <w:rFonts w:ascii="Times New Roman" w:hAnsi="Times New Roman" w:cs="Times New Roman"/>
          <w:sz w:val="24"/>
          <w:szCs w:val="24"/>
        </w:rPr>
        <w:t xml:space="preserve"> assessme</w:t>
      </w:r>
      <w:r w:rsidR="00BE02AD">
        <w:rPr>
          <w:rFonts w:ascii="Times New Roman" w:hAnsi="Times New Roman" w:cs="Times New Roman"/>
          <w:sz w:val="24"/>
          <w:szCs w:val="24"/>
        </w:rPr>
        <w:t xml:space="preserve">nt of hydrostatic effect would </w:t>
      </w:r>
      <w:r>
        <w:rPr>
          <w:rFonts w:ascii="Times New Roman" w:hAnsi="Times New Roman" w:cs="Times New Roman"/>
          <w:sz w:val="24"/>
          <w:szCs w:val="24"/>
        </w:rPr>
        <w:t>measure the following</w:t>
      </w:r>
      <w:r w:rsidR="00DB7E59">
        <w:rPr>
          <w:rFonts w:ascii="Times New Roman" w:hAnsi="Times New Roman" w:cs="Times New Roman"/>
          <w:sz w:val="24"/>
          <w:szCs w:val="24"/>
        </w:rPr>
        <w:t>:</w:t>
      </w:r>
    </w:p>
    <w:p w14:paraId="2D39B610" w14:textId="77777777" w:rsidR="004012C8" w:rsidRDefault="004012C8" w:rsidP="000B4057">
      <w:pPr>
        <w:spacing w:line="360" w:lineRule="auto"/>
        <w:rPr>
          <w:rFonts w:ascii="Times New Roman" w:hAnsi="Times New Roman" w:cs="Times New Roman"/>
          <w:sz w:val="24"/>
          <w:szCs w:val="24"/>
        </w:rPr>
      </w:pPr>
    </w:p>
    <w:p w14:paraId="1A0A5590" w14:textId="77777777" w:rsidR="005929CA" w:rsidRDefault="004012C8" w:rsidP="004012C8">
      <w:pPr>
        <w:pStyle w:val="ListParagraph"/>
        <w:numPr>
          <w:ilvl w:val="0"/>
          <w:numId w:val="45"/>
        </w:numPr>
        <w:spacing w:line="360" w:lineRule="auto"/>
        <w:rPr>
          <w:rFonts w:ascii="Times New Roman" w:hAnsi="Times New Roman" w:cs="Times New Roman"/>
          <w:sz w:val="24"/>
          <w:szCs w:val="24"/>
        </w:rPr>
      </w:pPr>
      <w:r w:rsidRPr="005929CA">
        <w:rPr>
          <w:rFonts w:ascii="Times New Roman" w:hAnsi="Times New Roman" w:cs="Times New Roman"/>
          <w:sz w:val="24"/>
          <w:szCs w:val="24"/>
        </w:rPr>
        <w:t>Pd/Pa, iFR and FFR in all coronary arteries in every patient</w:t>
      </w:r>
    </w:p>
    <w:p w14:paraId="19812F4F" w14:textId="77777777" w:rsidR="005929CA" w:rsidRDefault="005929CA" w:rsidP="005929CA">
      <w:pPr>
        <w:pStyle w:val="ListParagraph"/>
        <w:spacing w:line="360" w:lineRule="auto"/>
        <w:rPr>
          <w:rFonts w:ascii="Times New Roman" w:hAnsi="Times New Roman" w:cs="Times New Roman"/>
          <w:sz w:val="24"/>
          <w:szCs w:val="24"/>
        </w:rPr>
      </w:pPr>
    </w:p>
    <w:p w14:paraId="0C00B3CF" w14:textId="77777777" w:rsidR="005929CA" w:rsidRPr="005929CA" w:rsidRDefault="005929CA" w:rsidP="004012C8">
      <w:pPr>
        <w:pStyle w:val="ListParagraph"/>
        <w:numPr>
          <w:ilvl w:val="0"/>
          <w:numId w:val="45"/>
        </w:numPr>
        <w:spacing w:line="360" w:lineRule="auto"/>
        <w:rPr>
          <w:rFonts w:ascii="Times New Roman" w:hAnsi="Times New Roman" w:cs="Times New Roman"/>
          <w:sz w:val="24"/>
          <w:szCs w:val="24"/>
        </w:rPr>
      </w:pPr>
      <w:r>
        <w:rPr>
          <w:rFonts w:ascii="Times New Roman" w:hAnsi="Times New Roman" w:cs="Times New Roman"/>
          <w:sz w:val="24"/>
          <w:szCs w:val="24"/>
        </w:rPr>
        <w:t>Prone, supine, left and right lateral patient position.</w:t>
      </w:r>
    </w:p>
    <w:p w14:paraId="11FEB1F7" w14:textId="77777777" w:rsidR="004012C8" w:rsidRDefault="004012C8" w:rsidP="004012C8">
      <w:pPr>
        <w:pStyle w:val="ListParagraph"/>
        <w:spacing w:line="360" w:lineRule="auto"/>
        <w:rPr>
          <w:rFonts w:ascii="Times New Roman" w:hAnsi="Times New Roman" w:cs="Times New Roman"/>
          <w:sz w:val="24"/>
          <w:szCs w:val="24"/>
        </w:rPr>
      </w:pPr>
    </w:p>
    <w:p w14:paraId="72FE192F" w14:textId="77777777" w:rsidR="004012C8" w:rsidRDefault="004012C8" w:rsidP="004012C8">
      <w:pPr>
        <w:pStyle w:val="ListParagraph"/>
        <w:numPr>
          <w:ilvl w:val="0"/>
          <w:numId w:val="45"/>
        </w:numPr>
        <w:spacing w:line="360" w:lineRule="auto"/>
        <w:rPr>
          <w:rFonts w:ascii="Times New Roman" w:hAnsi="Times New Roman" w:cs="Times New Roman"/>
          <w:sz w:val="24"/>
          <w:szCs w:val="24"/>
        </w:rPr>
      </w:pPr>
      <w:r>
        <w:rPr>
          <w:rFonts w:ascii="Times New Roman" w:hAnsi="Times New Roman" w:cs="Times New Roman"/>
          <w:sz w:val="24"/>
          <w:szCs w:val="24"/>
        </w:rPr>
        <w:t>Proximal, mid and distal measurement points in every artery</w:t>
      </w:r>
    </w:p>
    <w:p w14:paraId="191912B8" w14:textId="77777777" w:rsidR="004012C8" w:rsidRDefault="004012C8" w:rsidP="004012C8">
      <w:pPr>
        <w:pStyle w:val="ListParagraph"/>
        <w:spacing w:line="360" w:lineRule="auto"/>
        <w:rPr>
          <w:rFonts w:ascii="Times New Roman" w:hAnsi="Times New Roman" w:cs="Times New Roman"/>
          <w:sz w:val="24"/>
          <w:szCs w:val="24"/>
        </w:rPr>
      </w:pPr>
    </w:p>
    <w:p w14:paraId="71EFCD05" w14:textId="77777777" w:rsidR="004012C8" w:rsidRDefault="005929CA" w:rsidP="004012C8">
      <w:pPr>
        <w:pStyle w:val="ListParagraph"/>
        <w:numPr>
          <w:ilvl w:val="0"/>
          <w:numId w:val="45"/>
        </w:numPr>
        <w:spacing w:line="360" w:lineRule="auto"/>
        <w:rPr>
          <w:rFonts w:ascii="Times New Roman" w:hAnsi="Times New Roman" w:cs="Times New Roman"/>
          <w:sz w:val="24"/>
          <w:szCs w:val="24"/>
        </w:rPr>
      </w:pPr>
      <w:r>
        <w:rPr>
          <w:rFonts w:ascii="Times New Roman" w:hAnsi="Times New Roman" w:cs="Times New Roman"/>
          <w:sz w:val="24"/>
          <w:szCs w:val="24"/>
        </w:rPr>
        <w:t>Measurement in arteries with no coronary stenosis</w:t>
      </w:r>
    </w:p>
    <w:p w14:paraId="17993127" w14:textId="77777777" w:rsidR="004012C8" w:rsidRDefault="004012C8" w:rsidP="004012C8">
      <w:pPr>
        <w:pStyle w:val="ListParagraph"/>
        <w:spacing w:line="360" w:lineRule="auto"/>
        <w:rPr>
          <w:rFonts w:ascii="Times New Roman" w:hAnsi="Times New Roman" w:cs="Times New Roman"/>
          <w:sz w:val="24"/>
          <w:szCs w:val="24"/>
        </w:rPr>
      </w:pPr>
    </w:p>
    <w:p w14:paraId="6AFF7437" w14:textId="100B29B1" w:rsidR="004012C8" w:rsidRDefault="004012C8" w:rsidP="004012C8">
      <w:pPr>
        <w:pStyle w:val="ListParagraph"/>
        <w:numPr>
          <w:ilvl w:val="0"/>
          <w:numId w:val="45"/>
        </w:numPr>
        <w:spacing w:line="360" w:lineRule="auto"/>
        <w:rPr>
          <w:rFonts w:ascii="Times New Roman" w:hAnsi="Times New Roman" w:cs="Times New Roman"/>
          <w:sz w:val="24"/>
          <w:szCs w:val="24"/>
        </w:rPr>
      </w:pPr>
      <w:r>
        <w:rPr>
          <w:rFonts w:ascii="Times New Roman" w:hAnsi="Times New Roman" w:cs="Times New Roman"/>
          <w:sz w:val="24"/>
          <w:szCs w:val="24"/>
        </w:rPr>
        <w:t xml:space="preserve">Doppler and </w:t>
      </w:r>
      <w:r w:rsidR="00DB7E59">
        <w:rPr>
          <w:rFonts w:ascii="Times New Roman" w:hAnsi="Times New Roman" w:cs="Times New Roman"/>
          <w:sz w:val="24"/>
          <w:szCs w:val="24"/>
        </w:rPr>
        <w:t>thermodilution</w:t>
      </w:r>
      <w:r>
        <w:rPr>
          <w:rFonts w:ascii="Times New Roman" w:hAnsi="Times New Roman" w:cs="Times New Roman"/>
          <w:sz w:val="24"/>
          <w:szCs w:val="24"/>
        </w:rPr>
        <w:t xml:space="preserve"> flow measurements</w:t>
      </w:r>
    </w:p>
    <w:p w14:paraId="651A5405" w14:textId="77777777" w:rsidR="004012C8" w:rsidRDefault="004012C8" w:rsidP="004012C8">
      <w:pPr>
        <w:pStyle w:val="ListParagraph"/>
        <w:spacing w:line="360" w:lineRule="auto"/>
        <w:rPr>
          <w:rFonts w:ascii="Times New Roman" w:hAnsi="Times New Roman" w:cs="Times New Roman"/>
          <w:sz w:val="24"/>
          <w:szCs w:val="24"/>
        </w:rPr>
      </w:pPr>
    </w:p>
    <w:p w14:paraId="3E162F57" w14:textId="77777777" w:rsidR="004012C8" w:rsidRDefault="004012C8" w:rsidP="004012C8">
      <w:pPr>
        <w:pStyle w:val="ListParagraph"/>
        <w:numPr>
          <w:ilvl w:val="0"/>
          <w:numId w:val="45"/>
        </w:numPr>
        <w:spacing w:line="360" w:lineRule="auto"/>
        <w:rPr>
          <w:rFonts w:ascii="Times New Roman" w:hAnsi="Times New Roman" w:cs="Times New Roman"/>
          <w:sz w:val="24"/>
          <w:szCs w:val="24"/>
        </w:rPr>
      </w:pPr>
      <w:r>
        <w:rPr>
          <w:rFonts w:ascii="Times New Roman" w:hAnsi="Times New Roman" w:cs="Times New Roman"/>
          <w:sz w:val="24"/>
          <w:szCs w:val="24"/>
        </w:rPr>
        <w:t>CTCA for all patients before invasive angiography to map their coronary circulation</w:t>
      </w:r>
    </w:p>
    <w:p w14:paraId="7422E92E" w14:textId="77777777" w:rsidR="004012C8" w:rsidRDefault="004012C8" w:rsidP="004012C8">
      <w:pPr>
        <w:pStyle w:val="ListParagraph"/>
        <w:spacing w:line="360" w:lineRule="auto"/>
        <w:rPr>
          <w:rFonts w:ascii="Times New Roman" w:hAnsi="Times New Roman" w:cs="Times New Roman"/>
          <w:sz w:val="24"/>
          <w:szCs w:val="24"/>
        </w:rPr>
      </w:pPr>
    </w:p>
    <w:p w14:paraId="7A587BF9" w14:textId="77777777" w:rsidR="004012C8" w:rsidRDefault="004012C8" w:rsidP="004012C8">
      <w:pPr>
        <w:pStyle w:val="ListParagraph"/>
        <w:numPr>
          <w:ilvl w:val="0"/>
          <w:numId w:val="45"/>
        </w:numPr>
        <w:spacing w:line="360" w:lineRule="auto"/>
        <w:rPr>
          <w:rFonts w:ascii="Times New Roman" w:hAnsi="Times New Roman" w:cs="Times New Roman"/>
          <w:sz w:val="24"/>
          <w:szCs w:val="24"/>
        </w:rPr>
      </w:pPr>
      <w:r>
        <w:rPr>
          <w:rFonts w:ascii="Times New Roman" w:hAnsi="Times New Roman" w:cs="Times New Roman"/>
          <w:sz w:val="24"/>
          <w:szCs w:val="24"/>
        </w:rPr>
        <w:t xml:space="preserve">LAO angiogram </w:t>
      </w:r>
      <w:r w:rsidR="005929CA">
        <w:rPr>
          <w:rFonts w:ascii="Times New Roman" w:hAnsi="Times New Roman" w:cs="Times New Roman"/>
          <w:sz w:val="24"/>
          <w:szCs w:val="24"/>
        </w:rPr>
        <w:t>in every position.</w:t>
      </w:r>
    </w:p>
    <w:p w14:paraId="2F98FFCF" w14:textId="77777777" w:rsidR="004012C8" w:rsidRDefault="004012C8" w:rsidP="004012C8">
      <w:pPr>
        <w:pStyle w:val="ListParagraph"/>
        <w:spacing w:line="360" w:lineRule="auto"/>
        <w:rPr>
          <w:rFonts w:ascii="Times New Roman" w:hAnsi="Times New Roman" w:cs="Times New Roman"/>
          <w:sz w:val="24"/>
          <w:szCs w:val="24"/>
        </w:rPr>
      </w:pPr>
    </w:p>
    <w:p w14:paraId="1B9A87E3" w14:textId="77777777" w:rsidR="004012C8" w:rsidRPr="004012C8" w:rsidRDefault="004012C8" w:rsidP="004012C8">
      <w:pPr>
        <w:spacing w:line="360" w:lineRule="auto"/>
        <w:rPr>
          <w:rFonts w:ascii="Times New Roman" w:hAnsi="Times New Roman" w:cs="Times New Roman"/>
          <w:sz w:val="24"/>
          <w:szCs w:val="24"/>
        </w:rPr>
      </w:pPr>
      <w:r>
        <w:rPr>
          <w:rFonts w:ascii="Times New Roman" w:hAnsi="Times New Roman" w:cs="Times New Roman"/>
          <w:sz w:val="24"/>
          <w:szCs w:val="24"/>
        </w:rPr>
        <w:t xml:space="preserve">This would of course be unethical and require extensive resources. It would </w:t>
      </w:r>
      <w:r w:rsidR="005929CA">
        <w:rPr>
          <w:rFonts w:ascii="Times New Roman" w:hAnsi="Times New Roman" w:cs="Times New Roman"/>
          <w:sz w:val="24"/>
          <w:szCs w:val="24"/>
        </w:rPr>
        <w:t xml:space="preserve">however </w:t>
      </w:r>
      <w:r>
        <w:rPr>
          <w:rFonts w:ascii="Times New Roman" w:hAnsi="Times New Roman" w:cs="Times New Roman"/>
          <w:sz w:val="24"/>
          <w:szCs w:val="24"/>
        </w:rPr>
        <w:t xml:space="preserve">provide a robust and accurate data set however, to truly demonstrate the extent and </w:t>
      </w:r>
      <w:r w:rsidR="005929CA">
        <w:rPr>
          <w:rFonts w:ascii="Times New Roman" w:hAnsi="Times New Roman" w:cs="Times New Roman"/>
          <w:sz w:val="24"/>
          <w:szCs w:val="24"/>
        </w:rPr>
        <w:t>magnitude of hydrostatic effect in vivo.</w:t>
      </w:r>
    </w:p>
    <w:p w14:paraId="125BC138" w14:textId="77777777" w:rsidR="004012C8" w:rsidRPr="00EC6C19" w:rsidRDefault="004012C8" w:rsidP="000B4057">
      <w:pPr>
        <w:spacing w:line="360" w:lineRule="auto"/>
        <w:rPr>
          <w:rFonts w:ascii="Times New Roman" w:hAnsi="Times New Roman" w:cs="Times New Roman"/>
          <w:i/>
          <w:sz w:val="24"/>
          <w:szCs w:val="24"/>
          <w:u w:val="single"/>
        </w:rPr>
      </w:pPr>
    </w:p>
    <w:p w14:paraId="65104C32" w14:textId="77777777" w:rsidR="00914EAD" w:rsidRPr="006C1A70" w:rsidRDefault="006C1A70" w:rsidP="006C1A70">
      <w:pPr>
        <w:pStyle w:val="Heading3"/>
        <w:rPr>
          <w:rFonts w:ascii="Times New Roman" w:hAnsi="Times New Roman" w:cs="Times New Roman"/>
          <w:b w:val="0"/>
          <w:i/>
          <w:color w:val="auto"/>
          <w:sz w:val="24"/>
          <w:szCs w:val="24"/>
        </w:rPr>
      </w:pPr>
      <w:bookmarkStart w:id="245" w:name="_Toc80302298"/>
      <w:r w:rsidRPr="006C1A70">
        <w:rPr>
          <w:rFonts w:ascii="Times New Roman" w:hAnsi="Times New Roman" w:cs="Times New Roman"/>
          <w:b w:val="0"/>
          <w:i/>
          <w:color w:val="auto"/>
          <w:sz w:val="24"/>
          <w:szCs w:val="24"/>
        </w:rPr>
        <w:t xml:space="preserve">4.11.2 - </w:t>
      </w:r>
      <w:r w:rsidR="00914EAD" w:rsidRPr="006C1A70">
        <w:rPr>
          <w:rFonts w:ascii="Times New Roman" w:hAnsi="Times New Roman" w:cs="Times New Roman"/>
          <w:b w:val="0"/>
          <w:i/>
          <w:color w:val="auto"/>
          <w:sz w:val="24"/>
          <w:szCs w:val="24"/>
        </w:rPr>
        <w:t>STEMI</w:t>
      </w:r>
      <w:bookmarkEnd w:id="245"/>
      <w:r>
        <w:rPr>
          <w:rFonts w:ascii="Times New Roman" w:hAnsi="Times New Roman" w:cs="Times New Roman"/>
          <w:b w:val="0"/>
          <w:i/>
          <w:color w:val="auto"/>
          <w:sz w:val="24"/>
          <w:szCs w:val="24"/>
        </w:rPr>
        <w:br/>
      </w:r>
    </w:p>
    <w:p w14:paraId="3D48059D" w14:textId="77777777" w:rsidR="00914EAD" w:rsidRPr="00EC6C19" w:rsidRDefault="00914EAD" w:rsidP="000B4057">
      <w:pPr>
        <w:spacing w:line="360" w:lineRule="auto"/>
        <w:rPr>
          <w:rFonts w:ascii="Times New Roman" w:hAnsi="Times New Roman" w:cs="Times New Roman"/>
          <w:i/>
          <w:sz w:val="24"/>
          <w:szCs w:val="24"/>
        </w:rPr>
      </w:pPr>
    </w:p>
    <w:p w14:paraId="0F0C1DA6" w14:textId="77777777" w:rsidR="00486727" w:rsidRPr="00EC6C19" w:rsidRDefault="00486727" w:rsidP="000B405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initial </w:t>
      </w:r>
      <w:r w:rsidR="007E0E10" w:rsidRPr="00EC6C19">
        <w:rPr>
          <w:rFonts w:ascii="Times New Roman" w:hAnsi="Times New Roman" w:cs="Times New Roman"/>
          <w:sz w:val="24"/>
          <w:szCs w:val="24"/>
        </w:rPr>
        <w:t>research question still remain</w:t>
      </w:r>
      <w:r w:rsidR="00E05E29" w:rsidRPr="00EC6C19">
        <w:rPr>
          <w:rFonts w:ascii="Times New Roman" w:hAnsi="Times New Roman" w:cs="Times New Roman"/>
          <w:sz w:val="24"/>
          <w:szCs w:val="24"/>
        </w:rPr>
        <w:t>s</w:t>
      </w:r>
      <w:r w:rsidR="007E0E10" w:rsidRPr="00EC6C19">
        <w:rPr>
          <w:rFonts w:ascii="Times New Roman" w:hAnsi="Times New Roman" w:cs="Times New Roman"/>
          <w:sz w:val="24"/>
          <w:szCs w:val="24"/>
        </w:rPr>
        <w:t>; does a change of patient position during a</w:t>
      </w:r>
      <w:r w:rsidR="00390CB0" w:rsidRPr="00EC6C19">
        <w:rPr>
          <w:rFonts w:ascii="Times New Roman" w:hAnsi="Times New Roman" w:cs="Times New Roman"/>
          <w:sz w:val="24"/>
          <w:szCs w:val="24"/>
        </w:rPr>
        <w:t>n ST elevation</w:t>
      </w:r>
      <w:r w:rsidR="007E0E10" w:rsidRPr="00EC6C19">
        <w:rPr>
          <w:rFonts w:ascii="Times New Roman" w:hAnsi="Times New Roman" w:cs="Times New Roman"/>
          <w:sz w:val="24"/>
          <w:szCs w:val="24"/>
        </w:rPr>
        <w:t xml:space="preserve"> myocardial infarction, alter flow to the affected heart muscle</w:t>
      </w:r>
      <w:r w:rsidR="00390CB0" w:rsidRPr="00EC6C19">
        <w:rPr>
          <w:rFonts w:ascii="Times New Roman" w:hAnsi="Times New Roman" w:cs="Times New Roman"/>
          <w:sz w:val="24"/>
          <w:szCs w:val="24"/>
        </w:rPr>
        <w:t>?</w:t>
      </w:r>
    </w:p>
    <w:p w14:paraId="5EDA12F7" w14:textId="77777777" w:rsidR="00E05E29" w:rsidRPr="00EC6C19" w:rsidRDefault="007E0E10" w:rsidP="00E05E29">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From the study results, it appears a change in patient position does not affect flow in </w:t>
      </w:r>
      <w:r w:rsidR="005929CA">
        <w:rPr>
          <w:rFonts w:ascii="Times New Roman" w:hAnsi="Times New Roman" w:cs="Times New Roman"/>
          <w:sz w:val="24"/>
          <w:szCs w:val="24"/>
        </w:rPr>
        <w:t xml:space="preserve">mild to </w:t>
      </w:r>
      <w:r w:rsidR="00E05E29" w:rsidRPr="00EC6C19">
        <w:rPr>
          <w:rFonts w:ascii="Times New Roman" w:hAnsi="Times New Roman" w:cs="Times New Roman"/>
          <w:sz w:val="24"/>
          <w:szCs w:val="24"/>
        </w:rPr>
        <w:t>moderately diseased</w:t>
      </w:r>
      <w:r w:rsidRPr="00EC6C19">
        <w:rPr>
          <w:rFonts w:ascii="Times New Roman" w:hAnsi="Times New Roman" w:cs="Times New Roman"/>
          <w:sz w:val="24"/>
          <w:szCs w:val="24"/>
        </w:rPr>
        <w:t xml:space="preserve"> arteries. The study demographic did not</w:t>
      </w:r>
      <w:r w:rsidR="00E05E29" w:rsidRPr="00EC6C19">
        <w:rPr>
          <w:rFonts w:ascii="Times New Roman" w:hAnsi="Times New Roman" w:cs="Times New Roman"/>
          <w:sz w:val="24"/>
          <w:szCs w:val="24"/>
        </w:rPr>
        <w:t xml:space="preserve"> have</w:t>
      </w:r>
      <w:r w:rsidRPr="00EC6C19">
        <w:rPr>
          <w:rFonts w:ascii="Times New Roman" w:hAnsi="Times New Roman" w:cs="Times New Roman"/>
          <w:sz w:val="24"/>
          <w:szCs w:val="24"/>
        </w:rPr>
        <w:t xml:space="preserve"> an occluded or sub occluded vessel</w:t>
      </w:r>
      <w:r w:rsidR="00390CB0" w:rsidRPr="00EC6C19">
        <w:rPr>
          <w:rFonts w:ascii="Times New Roman" w:hAnsi="Times New Roman" w:cs="Times New Roman"/>
          <w:sz w:val="24"/>
          <w:szCs w:val="24"/>
        </w:rPr>
        <w:t xml:space="preserve"> as is usually the case in ST elevation myocardial infarction</w:t>
      </w:r>
      <w:r w:rsidRPr="00EC6C19">
        <w:rPr>
          <w:rFonts w:ascii="Times New Roman" w:hAnsi="Times New Roman" w:cs="Times New Roman"/>
          <w:sz w:val="24"/>
          <w:szCs w:val="24"/>
        </w:rPr>
        <w:t xml:space="preserve">. </w:t>
      </w:r>
      <w:r w:rsidR="00390CB0" w:rsidRPr="00EC6C19">
        <w:rPr>
          <w:rFonts w:ascii="Times New Roman" w:hAnsi="Times New Roman" w:cs="Times New Roman"/>
          <w:sz w:val="24"/>
          <w:szCs w:val="24"/>
        </w:rPr>
        <w:t xml:space="preserve"> The research team</w:t>
      </w:r>
      <w:r w:rsidR="008C13E1" w:rsidRPr="00EC6C19">
        <w:rPr>
          <w:rFonts w:ascii="Times New Roman" w:hAnsi="Times New Roman" w:cs="Times New Roman"/>
          <w:sz w:val="24"/>
          <w:szCs w:val="24"/>
        </w:rPr>
        <w:t xml:space="preserve"> at the Essex Cardiothoracic Centre now have a better understanding of</w:t>
      </w:r>
      <w:r w:rsidR="00390CB0" w:rsidRPr="00EC6C19">
        <w:rPr>
          <w:rFonts w:ascii="Times New Roman" w:hAnsi="Times New Roman" w:cs="Times New Roman"/>
          <w:sz w:val="24"/>
          <w:szCs w:val="24"/>
        </w:rPr>
        <w:t xml:space="preserve"> coronary physiology in non-emergency patients, and have the background knowledg</w:t>
      </w:r>
      <w:r w:rsidR="00070D1D">
        <w:rPr>
          <w:rFonts w:ascii="Times New Roman" w:hAnsi="Times New Roman" w:cs="Times New Roman"/>
          <w:sz w:val="24"/>
          <w:szCs w:val="24"/>
        </w:rPr>
        <w:t>e to trial subsequent theories in STEMI.</w:t>
      </w:r>
    </w:p>
    <w:p w14:paraId="6F166744" w14:textId="77777777" w:rsidR="00E05E29" w:rsidRDefault="00E05E29" w:rsidP="00E05E29">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Armed with the knowledge that flow does not change with position in a relatively normal artery, one can now attempt to ask the same question in acute myocardial infarction. In the acute setting of a myocardial infarction, the microcirculation is dysfunctional, and autoregulation is disturbed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{"citationID":"xisZzb4h","properties":{"formattedCitation":"(Tamita et al., 2002)","plainCitation":"(Tamita et al., 2002)","noteIndex":0},"citationItems":[{"id":707,"uris":["http://zotero.org/users/local/k67tNDdX/items/W99J7XC3"],"uri":["http://zotero.org/users/local/k67tNDdX/items/W99J7XC3"],"itemData":{"id":707,"type":"article-journal","abstract":"Fractional flow reserve (FFR) has emerged as a lesion-specific index of the functional severity of coronary stenosis in patients with chronic coronary artery disease. As the coronary blood flow in acute myocardial infarction (AMI) patients with microvascular damage is restricted, the pressure drop across the stenosis during hyperemia may be smaller than expected. However, the effects of microvascular dysfunction on FFR in AMI patients remain undetermined. The study comprised 33 AMI patients who underwent coronary stenting within 12 hr of onset, and 15 patients with stable angina pectoris who underwent elective stenting. Assessment of the 48 lesions by means of intravascular ultrasound and pressure measurements after stenting showed that postinterventional FFR was higher in AMI than angina pectoris patients (0.95 +/- 0.04 vs. 0.90 +/- 0.04; P = 0.002), although there were no significant differences in intravascular ultrasound parameters. AMI patients were divided into two subgroups based on their postprocedural Thrombolysis on Myocardial Infarction (TIMI) flow grade (23 patients with TIMI 3 and 10 with TIMI 2). There were no differences in intravascular ultrasound parameters between the AMI subgroups, while FFR was greater in the patients with TIMI 2 than in those with TIMI 3 (0.98 +/- 0.02 vs. 0.93 +/- 0.05; P = 0.017). No significant correlation was found between FFR and intravascular ultrasound parameters in either AMI subgroup, while FFR of more than 0.94 was observed in all TIMI 2 cases independent of residual stenosis severity. We conclude that in patients with marked microvascular dysfunction, FFR may not be reliable for the assessment of coronary lesion severity and may underestimate coronary lesion severity.","container-title":"Catheterization and Cardiovascular Interventions: Official Journal of the Society for Cardiac Angiography &amp; Interventions","DOI":"10.1002/ccd.10350","ISSN":"1522-1946","issue":"4","journalAbbreviation":"Catheter Cardiovasc Interv","language":"eng","note":"PMID: 12455078","page":"452-459","source":"PubMed","title":"Effects of microvascular dysfunction on myocardial fractional flow reserve after percutaneous coronary intervention in patients with acute myocardial infarction","volume":"57","author":[{"family":"Tamita","given":"Koichi"},{"family":"Akasaka","given":"Takashi"},{"family":"Takagi","given":"Tsutomu"},{"family":"Yamamuro","given":"Atsushi"},{"family":"Yamabe","given":"Kenji"},{"family":"Katayama","given":"Minako"},{"family":"Morioka","given":"Shigefumi"},{"family":"Yoshida","given":"Kiyoshi"}],"issued":{"date-parts":[["2002",12]]}}}],"schema":"https://github.com/citation-style-language/schema/raw/master/csl-citation.json"} </w:instrText>
      </w:r>
      <w:r w:rsidR="00106A32" w:rsidRPr="00EC6C19">
        <w:rPr>
          <w:rFonts w:ascii="Times New Roman" w:hAnsi="Times New Roman" w:cs="Times New Roman"/>
          <w:sz w:val="24"/>
          <w:szCs w:val="24"/>
        </w:rPr>
        <w:fldChar w:fldCharType="separate"/>
      </w:r>
      <w:r w:rsidR="003930FC" w:rsidRPr="00EC6C19">
        <w:rPr>
          <w:rFonts w:ascii="Times New Roman" w:hAnsi="Times New Roman" w:cs="Times New Roman"/>
          <w:sz w:val="24"/>
          <w:szCs w:val="24"/>
        </w:rPr>
        <w:t xml:space="preserve">(Tamita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2002)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Changing pressure in this clinical context may therefore correlate into a change in flow if autoregulation cannot compensate.</w:t>
      </w:r>
    </w:p>
    <w:p w14:paraId="49849E3A" w14:textId="77777777" w:rsidR="00F848FC" w:rsidRPr="00EC6C19" w:rsidRDefault="00F848FC" w:rsidP="00E05E29">
      <w:pPr>
        <w:spacing w:line="360" w:lineRule="auto"/>
        <w:rPr>
          <w:rFonts w:ascii="Times New Roman" w:hAnsi="Times New Roman" w:cs="Times New Roman"/>
          <w:sz w:val="24"/>
          <w:szCs w:val="24"/>
        </w:rPr>
      </w:pPr>
      <w:r>
        <w:rPr>
          <w:rFonts w:ascii="Times New Roman" w:hAnsi="Times New Roman" w:cs="Times New Roman"/>
          <w:sz w:val="24"/>
          <w:szCs w:val="24"/>
        </w:rPr>
        <w:t>It is unclear to what magnitude pressure would increase flow. We expect a change in coronary pressure of up to 10mm Hg. In animal models</w:t>
      </w:r>
      <w:r w:rsidR="00D52A69">
        <w:rPr>
          <w:rFonts w:ascii="Times New Roman" w:hAnsi="Times New Roman" w:cs="Times New Roman"/>
          <w:sz w:val="24"/>
          <w:szCs w:val="24"/>
        </w:rPr>
        <w:t xml:space="preserve"> with impaired autoregulation</w:t>
      </w:r>
      <w:r>
        <w:rPr>
          <w:rFonts w:ascii="Times New Roman" w:hAnsi="Times New Roman" w:cs="Times New Roman"/>
          <w:sz w:val="24"/>
          <w:szCs w:val="24"/>
        </w:rPr>
        <w:t xml:space="preserve"> this equates to a change of approximately 10 to 20ml/min of coronary blood flow </w:t>
      </w:r>
      <w:r w:rsidR="00106A32">
        <w:rPr>
          <w:rFonts w:ascii="Times New Roman" w:hAnsi="Times New Roman" w:cs="Times New Roman"/>
          <w:sz w:val="24"/>
          <w:szCs w:val="24"/>
        </w:rPr>
        <w:fldChar w:fldCharType="begin"/>
      </w:r>
      <w:r>
        <w:rPr>
          <w:rFonts w:ascii="Times New Roman" w:hAnsi="Times New Roman" w:cs="Times New Roman"/>
          <w:sz w:val="24"/>
          <w:szCs w:val="24"/>
        </w:rPr>
        <w:instrText xml:space="preserve"> ADDIN ZOTERO_ITEM CSL_CITATION {"citationID":"qK5aY1Q0","properties":{"formattedCitation":"(Goodwill et al., 2017)","plainCitation":"(Goodwill et al., 2017)","noteIndex":0},"citationItems":[{"id":854,"uris":["http://zotero.org/users/local/k67tNDdX/items/46T362RB"],"uri":["http://zotero.org/users/local/k67tNDdX/items/46T362RB"],"itemData":{"id":854,"type":"article-journal","abstract":"The heart is uniquely responsible for providing its own blood supply through the coronary circulation. Regulation of coronary blood flow is quite complex and, after over 100 years of dedicated research, is understood to be dictated through multiple mechanisms that include extravascular compressive forces (tissue pressure), coronary perfusion pressure, myogenic, local metabolic, endothelial as well as neural and hormonal influences. While each of these determinants can have profound influence over myocardial perfusion, largely through effects on end-effector ion channels, these mechanisms collectively modulate coronary vascular resistance and act to ensure that the myocardial requirements for oxygen and substrates are adequately provided by the coronary circulation. The purpose of this series of Comprehensive Physiology is to highlight current knowledge regarding the physiologic regulation of coronary blood flow, with emphasis on functional anatomy and the interplay between the physical and biological determinants of myocardial oxygen delivery.","container-title":"Comprehensive Physiology","DOI":"10.1002/cphy.c160016","ISSN":"2040-4603","issue":"2","journalAbbreviation":"Compr Physiol","note":"PMID: 28333376\nPMCID: PMC5966026","page":"321-382","source":"PubMed Central","title":"Regulation of Coronary Blood Flow","volume":"7","author":[{"family":"Goodwill","given":"Adam G."},{"family":"Dick","given":"Gregory M."},{"family":"Kiel","given":"Alexander M."},{"family":"Tune","given":"Johnathan D."}],"issued":{"date-parts":[["2017",3,16]]}}}],"schema":"https://github.com/citation-style-language/schema/raw/master/csl-citation.json"} </w:instrText>
      </w:r>
      <w:r w:rsidR="00106A32">
        <w:rPr>
          <w:rFonts w:ascii="Times New Roman" w:hAnsi="Times New Roman" w:cs="Times New Roman"/>
          <w:sz w:val="24"/>
          <w:szCs w:val="24"/>
        </w:rPr>
        <w:fldChar w:fldCharType="separate"/>
      </w:r>
      <w:r w:rsidRPr="00F848FC">
        <w:rPr>
          <w:rFonts w:ascii="Times New Roman" w:hAnsi="Times New Roman" w:cs="Times New Roman"/>
          <w:sz w:val="24"/>
        </w:rPr>
        <w:t>(Goodwill et al., 2017)</w:t>
      </w:r>
      <w:r w:rsidR="00106A32">
        <w:rPr>
          <w:rFonts w:ascii="Times New Roman" w:hAnsi="Times New Roman" w:cs="Times New Roman"/>
          <w:sz w:val="24"/>
          <w:szCs w:val="24"/>
        </w:rPr>
        <w:fldChar w:fldCharType="end"/>
      </w:r>
      <w:r>
        <w:rPr>
          <w:rFonts w:ascii="Times New Roman" w:hAnsi="Times New Roman" w:cs="Times New Roman"/>
          <w:sz w:val="24"/>
          <w:szCs w:val="24"/>
        </w:rPr>
        <w:t>. How this translates into clinical outcomes is unknown, and would be the</w:t>
      </w:r>
      <w:r w:rsidR="00C4709E">
        <w:rPr>
          <w:rFonts w:ascii="Times New Roman" w:hAnsi="Times New Roman" w:cs="Times New Roman"/>
          <w:sz w:val="24"/>
          <w:szCs w:val="24"/>
        </w:rPr>
        <w:t xml:space="preserve"> focus</w:t>
      </w:r>
      <w:r>
        <w:rPr>
          <w:rFonts w:ascii="Times New Roman" w:hAnsi="Times New Roman" w:cs="Times New Roman"/>
          <w:sz w:val="24"/>
          <w:szCs w:val="24"/>
        </w:rPr>
        <w:t xml:space="preserve"> of future studies.</w:t>
      </w:r>
    </w:p>
    <w:p w14:paraId="7FB70117" w14:textId="77777777" w:rsidR="00E05E29" w:rsidRPr="00EC6C19" w:rsidRDefault="00E05E29" w:rsidP="00E05E29">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This next step would </w:t>
      </w:r>
      <w:r w:rsidR="00F848FC">
        <w:rPr>
          <w:rFonts w:ascii="Times New Roman" w:hAnsi="Times New Roman" w:cs="Times New Roman"/>
          <w:sz w:val="24"/>
          <w:szCs w:val="24"/>
        </w:rPr>
        <w:t xml:space="preserve">be </w:t>
      </w:r>
      <w:r w:rsidRPr="00EC6C19">
        <w:rPr>
          <w:rFonts w:ascii="Times New Roman" w:hAnsi="Times New Roman" w:cs="Times New Roman"/>
          <w:sz w:val="24"/>
          <w:szCs w:val="24"/>
        </w:rPr>
        <w:t xml:space="preserve">to extend the current research into the acute group of patients. The </w:t>
      </w:r>
      <w:r w:rsidR="00F848FC">
        <w:rPr>
          <w:rFonts w:ascii="Times New Roman" w:hAnsi="Times New Roman" w:cs="Times New Roman"/>
          <w:sz w:val="24"/>
          <w:szCs w:val="24"/>
        </w:rPr>
        <w:t xml:space="preserve">current </w:t>
      </w:r>
      <w:r w:rsidRPr="00EC6C19">
        <w:rPr>
          <w:rFonts w:ascii="Times New Roman" w:hAnsi="Times New Roman" w:cs="Times New Roman"/>
          <w:sz w:val="24"/>
          <w:szCs w:val="24"/>
        </w:rPr>
        <w:t>study has proved prone angiography is not only possible, but safe and with correct staff training</w:t>
      </w:r>
      <w:r w:rsidR="00F848FC">
        <w:rPr>
          <w:rFonts w:ascii="Times New Roman" w:hAnsi="Times New Roman" w:cs="Times New Roman"/>
          <w:sz w:val="24"/>
          <w:szCs w:val="24"/>
        </w:rPr>
        <w:t xml:space="preserve"> and</w:t>
      </w:r>
      <w:r w:rsidRPr="00EC6C19">
        <w:rPr>
          <w:rFonts w:ascii="Times New Roman" w:hAnsi="Times New Roman" w:cs="Times New Roman"/>
          <w:sz w:val="24"/>
          <w:szCs w:val="24"/>
        </w:rPr>
        <w:t xml:space="preserve"> not overly time consuming. The risk of cardiac arrest in acute myocardial infarction is much higher than elective patients, and if the patient is prone, there will be added risk related to the time taken to manoeuvre back into the supine position to commence CPR. </w:t>
      </w:r>
      <w:r w:rsidR="00233B02">
        <w:rPr>
          <w:rFonts w:ascii="Times New Roman" w:hAnsi="Times New Roman" w:cs="Times New Roman"/>
          <w:sz w:val="24"/>
          <w:szCs w:val="24"/>
        </w:rPr>
        <w:t>Figure 53</w:t>
      </w:r>
      <w:r w:rsidRPr="00EC6C19">
        <w:rPr>
          <w:rFonts w:ascii="Times New Roman" w:hAnsi="Times New Roman" w:cs="Times New Roman"/>
          <w:sz w:val="24"/>
          <w:szCs w:val="24"/>
        </w:rPr>
        <w:t xml:space="preserve"> shows a provisional order of events in acute patients.</w:t>
      </w:r>
    </w:p>
    <w:p w14:paraId="2AB1D062" w14:textId="77777777" w:rsidR="00B83381" w:rsidRPr="00EC6C19" w:rsidRDefault="00B83381" w:rsidP="000B4057">
      <w:pPr>
        <w:spacing w:line="360" w:lineRule="auto"/>
        <w:rPr>
          <w:rFonts w:ascii="Times New Roman" w:hAnsi="Times New Roman" w:cs="Times New Roman"/>
          <w:sz w:val="24"/>
          <w:szCs w:val="24"/>
        </w:rPr>
      </w:pPr>
    </w:p>
    <w:p w14:paraId="0294115A" w14:textId="4F60F4B1" w:rsidR="00A7041A" w:rsidRPr="00233B02" w:rsidRDefault="00233B02" w:rsidP="00233B02">
      <w:pPr>
        <w:pStyle w:val="Caption"/>
        <w:spacing w:line="360" w:lineRule="auto"/>
        <w:rPr>
          <w:rFonts w:ascii="Times New Roman" w:hAnsi="Times New Roman" w:cs="Times New Roman"/>
          <w:b w:val="0"/>
          <w:i/>
          <w:color w:val="auto"/>
          <w:sz w:val="24"/>
          <w:szCs w:val="24"/>
        </w:rPr>
      </w:pPr>
      <w:bookmarkStart w:id="246" w:name="_Toc44684942"/>
      <w:r w:rsidRPr="00233B02">
        <w:rPr>
          <w:rFonts w:ascii="Times New Roman" w:hAnsi="Times New Roman" w:cs="Times New Roman"/>
          <w:b w:val="0"/>
          <w:i/>
          <w:color w:val="auto"/>
          <w:sz w:val="24"/>
          <w:szCs w:val="24"/>
        </w:rPr>
        <w:t xml:space="preserve">Figure </w:t>
      </w:r>
      <w:r w:rsidR="00106A32" w:rsidRPr="00233B02">
        <w:rPr>
          <w:rFonts w:ascii="Times New Roman" w:hAnsi="Times New Roman" w:cs="Times New Roman"/>
          <w:b w:val="0"/>
          <w:i/>
          <w:color w:val="auto"/>
          <w:sz w:val="24"/>
          <w:szCs w:val="24"/>
        </w:rPr>
        <w:fldChar w:fldCharType="begin"/>
      </w:r>
      <w:r w:rsidRPr="00233B02">
        <w:rPr>
          <w:rFonts w:ascii="Times New Roman" w:hAnsi="Times New Roman" w:cs="Times New Roman"/>
          <w:b w:val="0"/>
          <w:i/>
          <w:color w:val="auto"/>
          <w:sz w:val="24"/>
          <w:szCs w:val="24"/>
        </w:rPr>
        <w:instrText xml:space="preserve"> SEQ Figure \* ARABIC </w:instrText>
      </w:r>
      <w:r w:rsidR="00106A32" w:rsidRPr="00233B0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53</w:t>
      </w:r>
      <w:r w:rsidR="00106A32" w:rsidRPr="00233B02">
        <w:rPr>
          <w:rFonts w:ascii="Times New Roman" w:hAnsi="Times New Roman" w:cs="Times New Roman"/>
          <w:b w:val="0"/>
          <w:i/>
          <w:color w:val="auto"/>
          <w:sz w:val="24"/>
          <w:szCs w:val="24"/>
        </w:rPr>
        <w:fldChar w:fldCharType="end"/>
      </w:r>
      <w:r w:rsidRPr="00233B02">
        <w:rPr>
          <w:rFonts w:ascii="Times New Roman" w:hAnsi="Times New Roman" w:cs="Times New Roman"/>
          <w:b w:val="0"/>
          <w:i/>
          <w:color w:val="auto"/>
          <w:sz w:val="24"/>
          <w:szCs w:val="24"/>
        </w:rPr>
        <w:t xml:space="preserve"> - Suggested STEMI Pathway</w:t>
      </w:r>
      <w:r w:rsidR="00AA7419">
        <w:rPr>
          <w:rFonts w:ascii="Times New Roman" w:hAnsi="Times New Roman" w:cs="Times New Roman"/>
          <w:b w:val="0"/>
          <w:i/>
          <w:noProof/>
          <w:color w:val="auto"/>
          <w:sz w:val="24"/>
          <w:szCs w:val="24"/>
          <w:lang w:eastAsia="en-GB"/>
        </w:rPr>
        <mc:AlternateContent>
          <mc:Choice Requires="wpg">
            <w:drawing>
              <wp:anchor distT="0" distB="0" distL="114300" distR="114300" simplePos="0" relativeHeight="251681792" behindDoc="0" locked="0" layoutInCell="1" allowOverlap="1" wp14:anchorId="4685A471" wp14:editId="00DA3CF3">
                <wp:simplePos x="0" y="0"/>
                <wp:positionH relativeFrom="margin">
                  <wp:posOffset>-391795</wp:posOffset>
                </wp:positionH>
                <wp:positionV relativeFrom="margin">
                  <wp:posOffset>-516890</wp:posOffset>
                </wp:positionV>
                <wp:extent cx="7034530" cy="7723505"/>
                <wp:effectExtent l="0" t="0" r="0" b="3810"/>
                <wp:wrapSquare wrapText="bothSides"/>
                <wp:docPr id="47"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34530" cy="7723505"/>
                          <a:chOff x="2534" y="9781"/>
                          <a:chExt cx="7385" cy="7268"/>
                        </a:xfrm>
                      </wpg:grpSpPr>
                      <wps:wsp>
                        <wps:cNvPr id="52" name="AutoShape 117"/>
                        <wps:cNvSpPr>
                          <a:spLocks/>
                        </wps:cNvSpPr>
                        <wps:spPr bwMode="auto">
                          <a:xfrm>
                            <a:off x="2534" y="9781"/>
                            <a:ext cx="7385" cy="7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18"/>
                        <wps:cNvSpPr>
                          <a:spLocks/>
                        </wps:cNvSpPr>
                        <wps:spPr bwMode="auto">
                          <a:xfrm>
                            <a:off x="2989" y="9901"/>
                            <a:ext cx="4014" cy="586"/>
                          </a:xfrm>
                          <a:prstGeom prst="rect">
                            <a:avLst/>
                          </a:prstGeom>
                          <a:solidFill>
                            <a:schemeClr val="tx2">
                              <a:lumMod val="75000"/>
                              <a:lumOff val="0"/>
                            </a:schemeClr>
                          </a:solidFill>
                          <a:ln w="6350">
                            <a:solidFill>
                              <a:schemeClr val="tx1">
                                <a:lumMod val="100000"/>
                                <a:lumOff val="0"/>
                              </a:schemeClr>
                            </a:solidFill>
                            <a:miter lim="800000"/>
                            <a:headEnd/>
                            <a:tailEnd/>
                          </a:ln>
                          <a:effectLst>
                            <a:outerShdw dist="35921" dir="2700000" algn="ctr" rotWithShape="0">
                              <a:schemeClr val="accent3">
                                <a:lumMod val="50000"/>
                                <a:lumOff val="0"/>
                                <a:alpha val="50000"/>
                              </a:schemeClr>
                            </a:outerShdw>
                          </a:effectLst>
                        </wps:spPr>
                        <wps:txbx>
                          <w:txbxContent>
                            <w:p w14:paraId="1EA229B8" w14:textId="77777777" w:rsidR="00D35073" w:rsidRDefault="00D35073" w:rsidP="00154DE6">
                              <w:pPr>
                                <w:jc w:val="center"/>
                              </w:pPr>
                              <w:r>
                                <w:t>Recruitment based on evidence of current ST elevation myocardial infarction</w:t>
                              </w:r>
                            </w:p>
                          </w:txbxContent>
                        </wps:txbx>
                        <wps:bodyPr rot="0" vert="horz" wrap="square" lIns="91440" tIns="45720" rIns="91440" bIns="45720" anchor="t" anchorCtr="0" upright="1">
                          <a:noAutofit/>
                        </wps:bodyPr>
                      </wps:wsp>
                      <wps:wsp>
                        <wps:cNvPr id="58" name="Rectangle 119"/>
                        <wps:cNvSpPr>
                          <a:spLocks/>
                        </wps:cNvSpPr>
                        <wps:spPr bwMode="auto">
                          <a:xfrm>
                            <a:off x="3841" y="10861"/>
                            <a:ext cx="2294" cy="722"/>
                          </a:xfrm>
                          <a:prstGeom prst="rect">
                            <a:avLst/>
                          </a:prstGeom>
                          <a:solidFill>
                            <a:schemeClr val="tx2">
                              <a:lumMod val="75000"/>
                              <a:lumOff val="0"/>
                            </a:schemeClr>
                          </a:solidFill>
                          <a:ln w="6350">
                            <a:solidFill>
                              <a:schemeClr val="tx1">
                                <a:lumMod val="100000"/>
                                <a:lumOff val="0"/>
                              </a:schemeClr>
                            </a:solidFill>
                            <a:miter lim="800000"/>
                            <a:headEnd/>
                            <a:tailEnd/>
                          </a:ln>
                          <a:effectLst>
                            <a:outerShdw dist="35921" dir="2700000" algn="ctr" rotWithShape="0">
                              <a:srgbClr val="808080"/>
                            </a:outerShdw>
                          </a:effectLst>
                        </wps:spPr>
                        <wps:txbx>
                          <w:txbxContent>
                            <w:p w14:paraId="52B537EE" w14:textId="77777777" w:rsidR="00D35073" w:rsidRDefault="00D35073" w:rsidP="00154DE6">
                              <w:pPr>
                                <w:jc w:val="center"/>
                              </w:pPr>
                              <w:r>
                                <w:t>Inclusion and exclusion criteria satisfied</w:t>
                              </w:r>
                            </w:p>
                          </w:txbxContent>
                        </wps:txbx>
                        <wps:bodyPr rot="0" vert="horz" wrap="square" lIns="91440" tIns="45720" rIns="91440" bIns="45720" anchor="t" anchorCtr="0" upright="1">
                          <a:noAutofit/>
                        </wps:bodyPr>
                      </wps:wsp>
                      <wps:wsp>
                        <wps:cNvPr id="60" name="Rectangle 120"/>
                        <wps:cNvSpPr>
                          <a:spLocks/>
                        </wps:cNvSpPr>
                        <wps:spPr bwMode="auto">
                          <a:xfrm>
                            <a:off x="3824" y="11938"/>
                            <a:ext cx="2282" cy="861"/>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73F6CA56" w14:textId="77777777" w:rsidR="00D35073" w:rsidRDefault="00D35073" w:rsidP="00154DE6">
                              <w:pPr>
                                <w:jc w:val="center"/>
                              </w:pPr>
                              <w:r>
                                <w:t>Study Information given. Informed consent obtained?</w:t>
                              </w:r>
                            </w:p>
                          </w:txbxContent>
                        </wps:txbx>
                        <wps:bodyPr rot="0" vert="horz" wrap="square" lIns="91440" tIns="45720" rIns="91440" bIns="45720" anchor="t" anchorCtr="0" upright="1">
                          <a:noAutofit/>
                        </wps:bodyPr>
                      </wps:wsp>
                      <wps:wsp>
                        <wps:cNvPr id="63" name="AutoShape 121"/>
                        <wps:cNvCnPr>
                          <a:cxnSpLocks/>
                        </wps:cNvCnPr>
                        <wps:spPr bwMode="auto">
                          <a:xfrm>
                            <a:off x="4759" y="12799"/>
                            <a:ext cx="6" cy="53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Rectangle 122"/>
                        <wps:cNvSpPr>
                          <a:spLocks/>
                        </wps:cNvSpPr>
                        <wps:spPr bwMode="auto">
                          <a:xfrm>
                            <a:off x="4833" y="12923"/>
                            <a:ext cx="748" cy="326"/>
                          </a:xfrm>
                          <a:prstGeom prst="rect">
                            <a:avLst/>
                          </a:prstGeom>
                          <a:solidFill>
                            <a:srgbClr val="00B050"/>
                          </a:solidFill>
                          <a:ln w="19050">
                            <a:solidFill>
                              <a:schemeClr val="tx1">
                                <a:lumMod val="95000"/>
                                <a:lumOff val="5000"/>
                              </a:schemeClr>
                            </a:solidFill>
                            <a:miter lim="800000"/>
                            <a:headEnd/>
                            <a:tailEnd/>
                          </a:ln>
                        </wps:spPr>
                        <wps:txbx>
                          <w:txbxContent>
                            <w:p w14:paraId="41D31017" w14:textId="77777777" w:rsidR="00D35073" w:rsidRDefault="00D35073" w:rsidP="00154DE6">
                              <w:pPr>
                                <w:jc w:val="center"/>
                              </w:pPr>
                              <w:r>
                                <w:t>Yes</w:t>
                              </w:r>
                            </w:p>
                          </w:txbxContent>
                        </wps:txbx>
                        <wps:bodyPr rot="0" vert="horz" wrap="square" lIns="91440" tIns="45720" rIns="91440" bIns="45720" anchor="t" anchorCtr="0" upright="1">
                          <a:noAutofit/>
                        </wps:bodyPr>
                      </wps:wsp>
                      <wps:wsp>
                        <wps:cNvPr id="66" name="AutoShape 123"/>
                        <wps:cNvCnPr>
                          <a:cxnSpLocks/>
                        </wps:cNvCnPr>
                        <wps:spPr bwMode="auto">
                          <a:xfrm>
                            <a:off x="6106" y="12449"/>
                            <a:ext cx="1531" cy="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Rectangle 124"/>
                        <wps:cNvSpPr>
                          <a:spLocks/>
                        </wps:cNvSpPr>
                        <wps:spPr bwMode="auto">
                          <a:xfrm>
                            <a:off x="6465" y="12275"/>
                            <a:ext cx="748" cy="325"/>
                          </a:xfrm>
                          <a:prstGeom prst="rect">
                            <a:avLst/>
                          </a:prstGeom>
                          <a:solidFill>
                            <a:srgbClr val="FF0000"/>
                          </a:solidFill>
                          <a:ln w="9525">
                            <a:solidFill>
                              <a:srgbClr val="000000"/>
                            </a:solidFill>
                            <a:miter lim="800000"/>
                            <a:headEnd/>
                            <a:tailEnd/>
                          </a:ln>
                        </wps:spPr>
                        <wps:txbx>
                          <w:txbxContent>
                            <w:p w14:paraId="4A6B3762" w14:textId="77777777" w:rsidR="00D35073" w:rsidRDefault="00D35073" w:rsidP="00154DE6">
                              <w:pPr>
                                <w:jc w:val="center"/>
                              </w:pPr>
                              <w:r>
                                <w:t>No</w:t>
                              </w:r>
                            </w:p>
                            <w:p w14:paraId="0E387F6C" w14:textId="77777777" w:rsidR="00D35073" w:rsidRDefault="00D35073" w:rsidP="00154DE6"/>
                          </w:txbxContent>
                        </wps:txbx>
                        <wps:bodyPr rot="0" vert="horz" wrap="square" lIns="91440" tIns="45720" rIns="91440" bIns="45720" anchor="t" anchorCtr="0" upright="1">
                          <a:noAutofit/>
                        </wps:bodyPr>
                      </wps:wsp>
                      <wps:wsp>
                        <wps:cNvPr id="68" name="Rectangle 125"/>
                        <wps:cNvSpPr>
                          <a:spLocks/>
                        </wps:cNvSpPr>
                        <wps:spPr bwMode="auto">
                          <a:xfrm>
                            <a:off x="7637" y="12039"/>
                            <a:ext cx="1548" cy="960"/>
                          </a:xfrm>
                          <a:prstGeom prst="rect">
                            <a:avLst/>
                          </a:prstGeom>
                          <a:solidFill>
                            <a:schemeClr val="tx2">
                              <a:lumMod val="20000"/>
                              <a:lumOff val="80000"/>
                            </a:schemeClr>
                          </a:solidFill>
                          <a:ln w="9525">
                            <a:solidFill>
                              <a:srgbClr val="000000"/>
                            </a:solidFill>
                            <a:miter lim="800000"/>
                            <a:headEnd/>
                            <a:tailEnd/>
                          </a:ln>
                          <a:effectLst>
                            <a:outerShdw dist="35921" dir="2700000" algn="ctr" rotWithShape="0">
                              <a:srgbClr val="808080"/>
                            </a:outerShdw>
                          </a:effectLst>
                        </wps:spPr>
                        <wps:txbx>
                          <w:txbxContent>
                            <w:p w14:paraId="62DD3FEC" w14:textId="77777777" w:rsidR="00D35073" w:rsidRDefault="00D35073" w:rsidP="00154DE6">
                              <w:pPr>
                                <w:jc w:val="center"/>
                              </w:pPr>
                              <w:r>
                                <w:t>For continuing care as per Essex CTC</w:t>
                              </w:r>
                            </w:p>
                          </w:txbxContent>
                        </wps:txbx>
                        <wps:bodyPr rot="0" vert="horz" wrap="square" lIns="91440" tIns="45720" rIns="91440" bIns="45720" anchor="t" anchorCtr="0" upright="1">
                          <a:noAutofit/>
                        </wps:bodyPr>
                      </wps:wsp>
                      <wps:wsp>
                        <wps:cNvPr id="70" name="Rectangle 126"/>
                        <wps:cNvSpPr>
                          <a:spLocks/>
                        </wps:cNvSpPr>
                        <wps:spPr bwMode="auto">
                          <a:xfrm>
                            <a:off x="3467" y="13381"/>
                            <a:ext cx="3051" cy="831"/>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1C49883B" w14:textId="77777777" w:rsidR="00D35073" w:rsidRDefault="00D35073" w:rsidP="00154DE6">
                              <w:pPr>
                                <w:jc w:val="center"/>
                              </w:pPr>
                              <w:r>
                                <w:t>Treat culprit artery as per standard CTC care without delay</w:t>
                              </w:r>
                              <w:r>
                                <w:br/>
                              </w:r>
                            </w:p>
                          </w:txbxContent>
                        </wps:txbx>
                        <wps:bodyPr rot="0" vert="horz" wrap="square" lIns="91440" tIns="45720" rIns="91440" bIns="45720" anchor="t" anchorCtr="0" upright="1">
                          <a:noAutofit/>
                        </wps:bodyPr>
                      </wps:wsp>
                      <wps:wsp>
                        <wps:cNvPr id="71" name="AutoShape 127"/>
                        <wps:cNvCnPr>
                          <a:cxnSpLocks/>
                        </wps:cNvCnPr>
                        <wps:spPr bwMode="auto">
                          <a:xfrm>
                            <a:off x="4982" y="11614"/>
                            <a:ext cx="6" cy="32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Rectangle 128"/>
                        <wps:cNvSpPr>
                          <a:spLocks/>
                        </wps:cNvSpPr>
                        <wps:spPr bwMode="auto">
                          <a:xfrm>
                            <a:off x="3788" y="14427"/>
                            <a:ext cx="2430" cy="600"/>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1F3A7CEF" w14:textId="77777777" w:rsidR="00D35073" w:rsidRDefault="00D35073" w:rsidP="00154DE6">
                              <w:pPr>
                                <w:jc w:val="center"/>
                              </w:pPr>
                              <w:r>
                                <w:t>At end of procedure - balloon occlude artery at point of original blockage</w:t>
                              </w:r>
                            </w:p>
                          </w:txbxContent>
                        </wps:txbx>
                        <wps:bodyPr rot="0" vert="horz" wrap="square" lIns="91440" tIns="45720" rIns="91440" bIns="45720" anchor="t" anchorCtr="0" upright="1">
                          <a:noAutofit/>
                        </wps:bodyPr>
                      </wps:wsp>
                      <wps:wsp>
                        <wps:cNvPr id="73" name="Rectangle 129"/>
                        <wps:cNvSpPr>
                          <a:spLocks/>
                        </wps:cNvSpPr>
                        <wps:spPr bwMode="auto">
                          <a:xfrm>
                            <a:off x="3788" y="15242"/>
                            <a:ext cx="2430" cy="562"/>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694E4309" w14:textId="77777777" w:rsidR="00D35073" w:rsidRDefault="00D35073" w:rsidP="00154DE6">
                              <w:pPr>
                                <w:jc w:val="center"/>
                              </w:pPr>
                              <w:r>
                                <w:t>Measure flow and pressure beyond balloon occlusion</w:t>
                              </w:r>
                            </w:p>
                          </w:txbxContent>
                        </wps:txbx>
                        <wps:bodyPr rot="0" vert="horz" wrap="square" lIns="91440" tIns="45720" rIns="91440" bIns="45720" anchor="t" anchorCtr="0" upright="1">
                          <a:noAutofit/>
                        </wps:bodyPr>
                      </wps:wsp>
                      <wps:wsp>
                        <wps:cNvPr id="77" name="Rectangle 130"/>
                        <wps:cNvSpPr>
                          <a:spLocks/>
                        </wps:cNvSpPr>
                        <wps:spPr bwMode="auto">
                          <a:xfrm>
                            <a:off x="3841" y="16214"/>
                            <a:ext cx="2346" cy="610"/>
                          </a:xfrm>
                          <a:prstGeom prst="rect">
                            <a:avLst/>
                          </a:prstGeom>
                          <a:solidFill>
                            <a:schemeClr val="tx2">
                              <a:lumMod val="75000"/>
                              <a:lumOff val="0"/>
                            </a:schemeClr>
                          </a:solidFill>
                          <a:ln w="9525">
                            <a:solidFill>
                              <a:srgbClr val="000000"/>
                            </a:solidFill>
                            <a:miter lim="800000"/>
                            <a:headEnd/>
                            <a:tailEnd/>
                          </a:ln>
                          <a:effectLst>
                            <a:outerShdw dist="35921" dir="2700000" algn="ctr" rotWithShape="0">
                              <a:srgbClr val="808080"/>
                            </a:outerShdw>
                          </a:effectLst>
                        </wps:spPr>
                        <wps:txbx>
                          <w:txbxContent>
                            <w:p w14:paraId="7F3094C5" w14:textId="77777777" w:rsidR="00D35073" w:rsidRDefault="00D35073" w:rsidP="00154DE6">
                              <w:pPr>
                                <w:jc w:val="center"/>
                              </w:pPr>
                              <w:r>
                                <w:t>Turn patient prone and re-measure physiology</w:t>
                              </w:r>
                            </w:p>
                          </w:txbxContent>
                        </wps:txbx>
                        <wps:bodyPr rot="0" vert="horz" wrap="square" lIns="91440" tIns="45720" rIns="91440" bIns="45720" anchor="t" anchorCtr="0" upright="1">
                          <a:noAutofit/>
                        </wps:bodyPr>
                      </wps:wsp>
                      <wps:wsp>
                        <wps:cNvPr id="79" name="AutoShape 131"/>
                        <wps:cNvCnPr>
                          <a:cxnSpLocks/>
                        </wps:cNvCnPr>
                        <wps:spPr bwMode="auto">
                          <a:xfrm>
                            <a:off x="4993" y="14212"/>
                            <a:ext cx="10" cy="2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 name="AutoShape 132"/>
                        <wps:cNvCnPr>
                          <a:cxnSpLocks/>
                        </wps:cNvCnPr>
                        <wps:spPr bwMode="auto">
                          <a:xfrm>
                            <a:off x="5003" y="15027"/>
                            <a:ext cx="1" cy="2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 name="AutoShape 133"/>
                        <wps:cNvCnPr>
                          <a:cxnSpLocks/>
                        </wps:cNvCnPr>
                        <wps:spPr bwMode="auto">
                          <a:xfrm>
                            <a:off x="5003" y="15804"/>
                            <a:ext cx="12" cy="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 name="AutoShape 134"/>
                        <wps:cNvCnPr>
                          <a:cxnSpLocks/>
                        </wps:cNvCnPr>
                        <wps:spPr bwMode="auto">
                          <a:xfrm flipH="1">
                            <a:off x="4989" y="10487"/>
                            <a:ext cx="8" cy="37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3" name="Text Box 135"/>
                        <wps:cNvSpPr txBox="1">
                          <a:spLocks/>
                        </wps:cNvSpPr>
                        <wps:spPr bwMode="auto">
                          <a:xfrm>
                            <a:off x="7353" y="9901"/>
                            <a:ext cx="2495" cy="960"/>
                          </a:xfrm>
                          <a:prstGeom prst="rect">
                            <a:avLst/>
                          </a:prstGeom>
                          <a:solidFill>
                            <a:schemeClr val="lt1">
                              <a:lumMod val="100000"/>
                              <a:lumOff val="0"/>
                            </a:schemeClr>
                          </a:solidFill>
                          <a:ln w="63500" cmpd="thickThin">
                            <a:solidFill>
                              <a:schemeClr val="accent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EAEE8BA" w14:textId="77777777" w:rsidR="00D35073" w:rsidRDefault="00D35073" w:rsidP="00154DE6">
                              <w:pPr>
                                <w:jc w:val="center"/>
                                <w:rPr>
                                  <w:b/>
                                </w:rPr>
                              </w:pPr>
                              <w:r w:rsidRPr="009C41EF">
                                <w:rPr>
                                  <w:b/>
                                </w:rPr>
                                <w:t>GRAVITY Study</w:t>
                              </w:r>
                            </w:p>
                            <w:p w14:paraId="472313EB" w14:textId="77777777" w:rsidR="00D35073" w:rsidRDefault="00D35073" w:rsidP="00154DE6">
                              <w:pPr>
                                <w:jc w:val="center"/>
                                <w:rPr>
                                  <w:b/>
                                </w:rPr>
                              </w:pPr>
                              <w:r>
                                <w:rPr>
                                  <w:b/>
                                </w:rPr>
                                <w:t>STEMI Pathway</w:t>
                              </w:r>
                            </w:p>
                            <w:p w14:paraId="27BFEB06" w14:textId="77777777" w:rsidR="00D35073" w:rsidRPr="009C41EF" w:rsidRDefault="00D35073" w:rsidP="00154DE6">
                              <w:pPr>
                                <w:jc w:val="center"/>
                                <w:rPr>
                                  <w:b/>
                                </w:rPr>
                              </w:pPr>
                            </w:p>
                          </w:txbxContent>
                        </wps:txbx>
                        <wps:bodyPr rot="0" vert="horz" wrap="square" lIns="91440" tIns="45720" rIns="91440" bIns="45720" anchor="t" anchorCtr="0" upright="1">
                          <a:noAutofit/>
                        </wps:bodyPr>
                      </wps:wsp>
                      <wps:wsp>
                        <wps:cNvPr id="84" name="Text Box 136"/>
                        <wps:cNvSpPr txBox="1">
                          <a:spLocks/>
                        </wps:cNvSpPr>
                        <wps:spPr bwMode="auto">
                          <a:xfrm>
                            <a:off x="7792" y="16346"/>
                            <a:ext cx="1746" cy="5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F8084" w14:textId="77777777" w:rsidR="00D35073" w:rsidRPr="00F65994" w:rsidRDefault="00D35073" w:rsidP="00F65994">
                              <w:pPr>
                                <w:rPr>
                                  <w:szCs w:val="24"/>
                                </w:rPr>
                              </w:pPr>
                            </w:p>
                          </w:txbxContent>
                        </wps:txbx>
                        <wps:bodyPr rot="0" vert="horz" wrap="square" lIns="91440" tIns="45720" rIns="91440" bIns="45720" anchor="t" anchorCtr="0" upright="1">
                          <a:noAutofit/>
                        </wps:bodyPr>
                      </wps:wsp>
                      <wps:wsp>
                        <wps:cNvPr id="85" name="Text Box 137"/>
                        <wps:cNvSpPr txBox="1">
                          <a:spLocks/>
                        </wps:cNvSpPr>
                        <wps:spPr bwMode="auto">
                          <a:xfrm>
                            <a:off x="7074" y="13249"/>
                            <a:ext cx="2655" cy="677"/>
                          </a:xfrm>
                          <a:prstGeom prst="rect">
                            <a:avLst/>
                          </a:prstGeom>
                          <a:solidFill>
                            <a:schemeClr val="accent2">
                              <a:lumMod val="100000"/>
                              <a:lumOff val="0"/>
                            </a:schemeClr>
                          </a:solidFill>
                          <a:ln w="38100">
                            <a:solidFill>
                              <a:schemeClr val="lt1">
                                <a:lumMod val="95000"/>
                                <a:lumOff val="0"/>
                              </a:schemeClr>
                            </a:solidFill>
                            <a:miter lim="800000"/>
                            <a:headEnd/>
                            <a:tailEnd/>
                          </a:ln>
                          <a:effectLst>
                            <a:outerShdw dist="28398" dir="3806097" algn="ctr" rotWithShape="0">
                              <a:schemeClr val="accent2">
                                <a:lumMod val="50000"/>
                                <a:lumOff val="0"/>
                                <a:alpha val="50000"/>
                              </a:schemeClr>
                            </a:outerShdw>
                          </a:effectLst>
                        </wps:spPr>
                        <wps:txbx>
                          <w:txbxContent>
                            <w:p w14:paraId="74179BD6" w14:textId="77777777" w:rsidR="00D35073" w:rsidRPr="009C4793" w:rsidRDefault="00D35073" w:rsidP="00154DE6">
                              <w:pPr>
                                <w:jc w:val="center"/>
                                <w:rPr>
                                  <w:b/>
                                  <w:sz w:val="32"/>
                                  <w:szCs w:val="32"/>
                                  <w:u w:val="single"/>
                                </w:rPr>
                              </w:pPr>
                              <w:r>
                                <w:rPr>
                                  <w:b/>
                                  <w:sz w:val="32"/>
                                  <w:szCs w:val="32"/>
                                  <w:u w:val="single"/>
                                </w:rPr>
                                <w:t>ACCESS MUST BE LEFT RADIAL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85A471" id="Group 116" o:spid="_x0000_s1049" style="position:absolute;margin-left:-30.85pt;margin-top:-40.7pt;width:553.9pt;height:608.15pt;z-index:251681792;mso-position-horizontal-relative:margin;mso-position-vertical-relative:margin" coordorigin="2534,9781" coordsize="7385,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">
                <v:rect id="AutoShape 117" o:spid="_x0000_s1050" style="position:absolute;left:2534;top:9781;width:7385;height:7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" filled="f" stroked="f">
                  <v:path arrowok="t"/>
                </v:rect>
                <v:rect id="Rectangle 118" o:spid="_x0000_s1051" style="position:absolute;left:2989;top:9901;width:4014;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" fillcolor="#17365d [2415]" strokecolor="black [3213]" strokeweight=".5pt">
                  <v:shadow on="t" color="#4e6128 [1606]" opacity=".5"/>
                  <v:path arrowok="t"/>
                  <v:textbox>
                    <w:txbxContent>
                      <w:p w14:paraId="1EA229B8" w14:textId="77777777" w:rsidR="00D35073" w:rsidRDefault="00D35073" w:rsidP="00154DE6">
                        <w:pPr>
                          <w:jc w:val="center"/>
                        </w:pPr>
                        <w:r>
                          <w:t>Recruitment based on evidence of current ST elevation myocardial infarction</w:t>
                        </w:r>
                      </w:p>
                    </w:txbxContent>
                  </v:textbox>
                </v:rect>
                <v:rect id="Rectangle 119" o:spid="_x0000_s1052" style="position:absolute;left:3841;top:10861;width:2294;height: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" fillcolor="#17365d [2415]" strokecolor="black [3213]" strokeweight=".5pt">
                  <v:shadow on="t"/>
                  <v:path arrowok="t"/>
                  <v:textbox>
                    <w:txbxContent>
                      <w:p w14:paraId="52B537EE" w14:textId="77777777" w:rsidR="00D35073" w:rsidRDefault="00D35073" w:rsidP="00154DE6">
                        <w:pPr>
                          <w:jc w:val="center"/>
                        </w:pPr>
                        <w:r>
                          <w:t>Inclusion and exclusion criteria satisfied</w:t>
                        </w:r>
                      </w:p>
                    </w:txbxContent>
                  </v:textbox>
                </v:rect>
                <v:rect id="Rectangle 120" o:spid="_x0000_s1053" style="position:absolute;left:3824;top:11938;width:2282;height: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" fillcolor="#17365d [2415]">
                  <v:shadow on="t"/>
                  <v:path arrowok="t"/>
                  <v:textbox>
                    <w:txbxContent>
                      <w:p w14:paraId="73F6CA56" w14:textId="77777777" w:rsidR="00D35073" w:rsidRDefault="00D35073" w:rsidP="00154DE6">
                        <w:pPr>
                          <w:jc w:val="center"/>
                        </w:pPr>
                        <w:r>
                          <w:t>Study Information given. Informed consent obtained?</w:t>
                        </w:r>
                      </w:p>
                    </w:txbxContent>
                  </v:textbox>
                </v:rect>
                <v:shape id="AutoShape 121" o:spid="_x0000_s1054" type="#_x0000_t32" style="position:absolute;left:4759;top:12799;width:6;height:5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">
                  <v:stroke endarrow="block"/>
                  <o:lock v:ext="edit" shapetype="f"/>
                </v:shape>
                <v:rect id="Rectangle 122" o:spid="_x0000_s1055" style="position:absolute;left:4833;top:12923;width:748;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" fillcolor="#00b050" strokecolor="#0d0d0d [3069]" strokeweight="1.5pt">
                  <v:path arrowok="t"/>
                  <v:textbox>
                    <w:txbxContent>
                      <w:p w14:paraId="41D31017" w14:textId="77777777" w:rsidR="00D35073" w:rsidRDefault="00D35073" w:rsidP="00154DE6">
                        <w:pPr>
                          <w:jc w:val="center"/>
                        </w:pPr>
                        <w:r>
                          <w:t>Yes</w:t>
                        </w:r>
                      </w:p>
                    </w:txbxContent>
                  </v:textbox>
                </v:rect>
                <v:shape id="AutoShape 123" o:spid="_x0000_s1056" type="#_x0000_t32" style="position:absolute;left:6106;top:12449;width:1531;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">
                  <v:stroke endarrow="block"/>
                  <o:lock v:ext="edit" shapetype="f"/>
                </v:shape>
                <v:rect id="Rectangle 124" o:spid="_x0000_s1057" style="position:absolute;left:6465;top:12275;width:748;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" fillcolor="red">
                  <v:path arrowok="t"/>
                  <v:textbox>
                    <w:txbxContent>
                      <w:p w14:paraId="4A6B3762" w14:textId="77777777" w:rsidR="00D35073" w:rsidRDefault="00D35073" w:rsidP="00154DE6">
                        <w:pPr>
                          <w:jc w:val="center"/>
                        </w:pPr>
                        <w:r>
                          <w:t>No</w:t>
                        </w:r>
                      </w:p>
                      <w:p w14:paraId="0E387F6C" w14:textId="77777777" w:rsidR="00D35073" w:rsidRDefault="00D35073" w:rsidP="00154DE6"/>
                    </w:txbxContent>
                  </v:textbox>
                </v:rect>
                <v:rect id="Rectangle 125" o:spid="_x0000_s1058" style="position:absolute;left:7637;top:12039;width:1548;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" fillcolor="#c6d9f1 [671]">
                  <v:shadow on="t"/>
                  <v:path arrowok="t"/>
                  <v:textbox>
                    <w:txbxContent>
                      <w:p w14:paraId="62DD3FEC" w14:textId="77777777" w:rsidR="00D35073" w:rsidRDefault="00D35073" w:rsidP="00154DE6">
                        <w:pPr>
                          <w:jc w:val="center"/>
                        </w:pPr>
                        <w:r>
                          <w:t>For continuing care as per Essex CTC</w:t>
                        </w:r>
                      </w:p>
                    </w:txbxContent>
                  </v:textbox>
                </v:rect>
                <v:rect id="Rectangle 126" o:spid="_x0000_s1059" style="position:absolute;left:3467;top:13381;width:3051;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" fillcolor="#17365d [2415]">
                  <v:shadow on="t"/>
                  <v:path arrowok="t"/>
                  <v:textbox>
                    <w:txbxContent>
                      <w:p w14:paraId="1C49883B" w14:textId="77777777" w:rsidR="00D35073" w:rsidRDefault="00D35073" w:rsidP="00154DE6">
                        <w:pPr>
                          <w:jc w:val="center"/>
                        </w:pPr>
                        <w:r>
                          <w:t>Treat culprit artery as per standard CTC care without delay</w:t>
                        </w:r>
                        <w:r>
                          <w:br/>
                        </w:r>
                      </w:p>
                    </w:txbxContent>
                  </v:textbox>
                </v:rect>
                <v:shape id="AutoShape 127" o:spid="_x0000_s1060" type="#_x0000_t32" style="position:absolute;left:4982;top:11614;width:6;height: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">
                  <v:stroke endarrow="block"/>
                  <o:lock v:ext="edit" shapetype="f"/>
                </v:shape>
                <v:rect id="Rectangle 128" o:spid="_x0000_s1061" style="position:absolute;left:3788;top:14427;width:243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" fillcolor="#17365d [2415]">
                  <v:shadow on="t"/>
                  <v:path arrowok="t"/>
                  <v:textbox>
                    <w:txbxContent>
                      <w:p w14:paraId="1F3A7CEF" w14:textId="77777777" w:rsidR="00D35073" w:rsidRDefault="00D35073" w:rsidP="00154DE6">
                        <w:pPr>
                          <w:jc w:val="center"/>
                        </w:pPr>
                        <w:r>
                          <w:t>At end of procedure - balloon occlude artery at point of original blockage</w:t>
                        </w:r>
                      </w:p>
                    </w:txbxContent>
                  </v:textbox>
                </v:rect>
                <v:rect id="Rectangle 129" o:spid="_x0000_s1062" style="position:absolute;left:3788;top:15242;width:2430;height: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" fillcolor="#17365d [2415]">
                  <v:shadow on="t"/>
                  <v:path arrowok="t"/>
                  <v:textbox>
                    <w:txbxContent>
                      <w:p w14:paraId="694E4309" w14:textId="77777777" w:rsidR="00D35073" w:rsidRDefault="00D35073" w:rsidP="00154DE6">
                        <w:pPr>
                          <w:jc w:val="center"/>
                        </w:pPr>
                        <w:r>
                          <w:t>Measure flow and pressure beyond balloon occlusion</w:t>
                        </w:r>
                      </w:p>
                    </w:txbxContent>
                  </v:textbox>
                </v:rect>
                <v:rect id="Rectangle 130" o:spid="_x0000_s1063" style="position:absolute;left:3841;top:16214;width:234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" fillcolor="#17365d [2415]">
                  <v:shadow on="t"/>
                  <v:path arrowok="t"/>
                  <v:textbox>
                    <w:txbxContent>
                      <w:p w14:paraId="7F3094C5" w14:textId="77777777" w:rsidR="00D35073" w:rsidRDefault="00D35073" w:rsidP="00154DE6">
                        <w:pPr>
                          <w:jc w:val="center"/>
                        </w:pPr>
                        <w:r>
                          <w:t>Turn patient prone and re-measure physiology</w:t>
                        </w:r>
                      </w:p>
                    </w:txbxContent>
                  </v:textbox>
                </v:rect>
                <v:shape id="AutoShape 131" o:spid="_x0000_s1064" type="#_x0000_t32" style="position:absolute;left:4993;top:14212;width:1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">
                  <v:stroke endarrow="block"/>
                  <o:lock v:ext="edit" shapetype="f"/>
                </v:shape>
                <v:shape id="AutoShape 132" o:spid="_x0000_s1065" type="#_x0000_t32" style="position:absolute;left:5003;top:15027;width:1;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">
                  <v:stroke endarrow="block"/>
                  <o:lock v:ext="edit" shapetype="f"/>
                </v:shape>
                <v:shape id="AutoShape 133" o:spid="_x0000_s1066" type="#_x0000_t32" style="position:absolute;left:5003;top:15804;width:12;height:4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">
                  <v:stroke endarrow="block"/>
                  <o:lock v:ext="edit" shapetype="f"/>
                </v:shape>
                <v:shape id="AutoShape 134" o:spid="_x0000_s1067" type="#_x0000_t32" style="position:absolute;left:4989;top:10487;width:8;height: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">
                  <v:stroke endarrow="block"/>
                  <o:lock v:ext="edit" shapetype="f"/>
                </v:shape>
                <v:shape id="Text Box 135" o:spid="_x0000_s1068" type="#_x0000_t202" style="position:absolute;left:7353;top:9901;width:2495;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" fillcolor="white [3201]" strokecolor="#4f81bd [3204]" strokeweight="5pt">
                  <v:stroke linestyle="thickThin"/>
                  <v:shadow color="#868686"/>
                  <v:path arrowok="t"/>
                  <v:textbox>
                    <w:txbxContent>
                      <w:p w14:paraId="6EAEE8BA" w14:textId="77777777" w:rsidR="00D35073" w:rsidRDefault="00D35073" w:rsidP="00154DE6">
                        <w:pPr>
                          <w:jc w:val="center"/>
                          <w:rPr>
                            <w:b/>
                          </w:rPr>
                        </w:pPr>
                        <w:r w:rsidRPr="009C41EF">
                          <w:rPr>
                            <w:b/>
                          </w:rPr>
                          <w:t>GRAVITY Study</w:t>
                        </w:r>
                      </w:p>
                      <w:p w14:paraId="472313EB" w14:textId="77777777" w:rsidR="00D35073" w:rsidRDefault="00D35073" w:rsidP="00154DE6">
                        <w:pPr>
                          <w:jc w:val="center"/>
                          <w:rPr>
                            <w:b/>
                          </w:rPr>
                        </w:pPr>
                        <w:r>
                          <w:rPr>
                            <w:b/>
                          </w:rPr>
                          <w:t>STEMI Pathway</w:t>
                        </w:r>
                      </w:p>
                      <w:p w14:paraId="27BFEB06" w14:textId="77777777" w:rsidR="00D35073" w:rsidRPr="009C41EF" w:rsidRDefault="00D35073" w:rsidP="00154DE6">
                        <w:pPr>
                          <w:jc w:val="center"/>
                          <w:rPr>
                            <w:b/>
                          </w:rPr>
                        </w:pPr>
                      </w:p>
                    </w:txbxContent>
                  </v:textbox>
                </v:shape>
                <v:shape id="Text Box 136" o:spid="_x0000_s1069" type="#_x0000_t202" style="position:absolute;left:7792;top:16346;width:1746;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" stroked="f">
                  <v:path arrowok="t"/>
                  <v:textbox>
                    <w:txbxContent>
                      <w:p w14:paraId="33AF8084" w14:textId="77777777" w:rsidR="00D35073" w:rsidRPr="00F65994" w:rsidRDefault="00D35073" w:rsidP="00F65994">
                        <w:pPr>
                          <w:rPr>
                            <w:szCs w:val="24"/>
                          </w:rPr>
                        </w:pPr>
                      </w:p>
                    </w:txbxContent>
                  </v:textbox>
                </v:shape>
                <v:shape id="Text Box 137" o:spid="_x0000_s1070" type="#_x0000_t202" style="position:absolute;left:7074;top:13249;width:2655;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" fillcolor="#c0504d [3205]" strokecolor="#f2f2f2 [3041]" strokeweight="3pt">
                  <v:shadow on="t" color="#622423 [1605]" opacity=".5" offset="1pt"/>
                  <v:path arrowok="t"/>
                  <v:textbox>
                    <w:txbxContent>
                      <w:p w14:paraId="74179BD6" w14:textId="77777777" w:rsidR="00D35073" w:rsidRPr="009C4793" w:rsidRDefault="00D35073" w:rsidP="00154DE6">
                        <w:pPr>
                          <w:jc w:val="center"/>
                          <w:rPr>
                            <w:b/>
                            <w:sz w:val="32"/>
                            <w:szCs w:val="32"/>
                            <w:u w:val="single"/>
                          </w:rPr>
                        </w:pPr>
                        <w:r>
                          <w:rPr>
                            <w:b/>
                            <w:sz w:val="32"/>
                            <w:szCs w:val="32"/>
                            <w:u w:val="single"/>
                          </w:rPr>
                          <w:t>ACCESS MUST BE LEFT RADIAL</w:t>
                        </w:r>
                      </w:p>
                    </w:txbxContent>
                  </v:textbox>
                </v:shape>
                <w10:wrap type="square" anchorx="margin" anchory="margin"/>
              </v:group>
            </w:pict>
          </mc:Fallback>
        </mc:AlternateContent>
      </w:r>
      <w:r w:rsidRPr="00233B02">
        <w:rPr>
          <w:rFonts w:ascii="Times New Roman" w:hAnsi="Times New Roman" w:cs="Times New Roman"/>
          <w:b w:val="0"/>
          <w:i/>
          <w:color w:val="auto"/>
          <w:sz w:val="24"/>
          <w:szCs w:val="24"/>
        </w:rPr>
        <w:t>. P</w:t>
      </w:r>
      <w:r w:rsidR="00154DE6" w:rsidRPr="00233B02">
        <w:rPr>
          <w:rFonts w:ascii="Times New Roman" w:hAnsi="Times New Roman" w:cs="Times New Roman"/>
          <w:b w:val="0"/>
          <w:i/>
          <w:color w:val="auto"/>
          <w:sz w:val="24"/>
          <w:szCs w:val="24"/>
        </w:rPr>
        <w:t xml:space="preserve">ossible chain of events in STEMI </w:t>
      </w:r>
      <w:r w:rsidR="00A3034B" w:rsidRPr="00233B02">
        <w:rPr>
          <w:rFonts w:ascii="Times New Roman" w:hAnsi="Times New Roman" w:cs="Times New Roman"/>
          <w:b w:val="0"/>
          <w:i/>
          <w:color w:val="auto"/>
          <w:sz w:val="24"/>
          <w:szCs w:val="24"/>
        </w:rPr>
        <w:t xml:space="preserve">patients </w:t>
      </w:r>
      <w:r w:rsidR="00154DE6" w:rsidRPr="00233B02">
        <w:rPr>
          <w:rFonts w:ascii="Times New Roman" w:hAnsi="Times New Roman" w:cs="Times New Roman"/>
          <w:b w:val="0"/>
          <w:i/>
          <w:color w:val="auto"/>
          <w:sz w:val="24"/>
          <w:szCs w:val="24"/>
        </w:rPr>
        <w:t>of future GRAVITY studies.</w:t>
      </w:r>
      <w:bookmarkEnd w:id="246"/>
    </w:p>
    <w:p w14:paraId="056A63B2" w14:textId="77777777" w:rsidR="00154DE6" w:rsidRPr="00EC6C19" w:rsidRDefault="00154DE6" w:rsidP="000B4057">
      <w:pPr>
        <w:spacing w:line="360" w:lineRule="auto"/>
        <w:rPr>
          <w:rFonts w:ascii="Times New Roman" w:hAnsi="Times New Roman" w:cs="Times New Roman"/>
          <w:i/>
          <w:sz w:val="24"/>
          <w:szCs w:val="24"/>
        </w:rPr>
      </w:pPr>
    </w:p>
    <w:p w14:paraId="5D7F4768" w14:textId="77777777" w:rsidR="00F848FC" w:rsidRDefault="004A0742"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M</w:t>
      </w:r>
      <w:r w:rsidR="00154DE6" w:rsidRPr="00EC6C19">
        <w:rPr>
          <w:rFonts w:ascii="Times New Roman" w:hAnsi="Times New Roman" w:cs="Times New Roman"/>
          <w:sz w:val="24"/>
          <w:szCs w:val="24"/>
        </w:rPr>
        <w:t>easurements are taken</w:t>
      </w:r>
      <w:r w:rsidR="00A6674F" w:rsidRPr="00EC6C19">
        <w:rPr>
          <w:rFonts w:ascii="Times New Roman" w:hAnsi="Times New Roman" w:cs="Times New Roman"/>
          <w:sz w:val="24"/>
          <w:szCs w:val="24"/>
        </w:rPr>
        <w:t xml:space="preserve"> from a physiology wire</w:t>
      </w:r>
      <w:r w:rsidR="00154DE6" w:rsidRPr="00EC6C19">
        <w:rPr>
          <w:rFonts w:ascii="Times New Roman" w:hAnsi="Times New Roman" w:cs="Times New Roman"/>
          <w:sz w:val="24"/>
          <w:szCs w:val="24"/>
        </w:rPr>
        <w:t xml:space="preserve"> beyond a balloon</w:t>
      </w:r>
      <w:r w:rsidR="00A6674F" w:rsidRPr="00EC6C19">
        <w:rPr>
          <w:rFonts w:ascii="Times New Roman" w:hAnsi="Times New Roman" w:cs="Times New Roman"/>
          <w:sz w:val="24"/>
          <w:szCs w:val="24"/>
        </w:rPr>
        <w:t xml:space="preserve"> which is occluding the vessel</w:t>
      </w:r>
      <w:r w:rsidR="00154DE6" w:rsidRPr="00EC6C19">
        <w:rPr>
          <w:rFonts w:ascii="Times New Roman" w:hAnsi="Times New Roman" w:cs="Times New Roman"/>
          <w:sz w:val="24"/>
          <w:szCs w:val="24"/>
        </w:rPr>
        <w:t xml:space="preserve">. This </w:t>
      </w:r>
      <w:r w:rsidR="00E05E29" w:rsidRPr="00EC6C19">
        <w:rPr>
          <w:rFonts w:ascii="Times New Roman" w:hAnsi="Times New Roman" w:cs="Times New Roman"/>
          <w:sz w:val="24"/>
          <w:szCs w:val="24"/>
        </w:rPr>
        <w:t>mimics o</w:t>
      </w:r>
      <w:r w:rsidR="00154DE6" w:rsidRPr="00EC6C19">
        <w:rPr>
          <w:rFonts w:ascii="Times New Roman" w:hAnsi="Times New Roman" w:cs="Times New Roman"/>
          <w:sz w:val="24"/>
          <w:szCs w:val="24"/>
        </w:rPr>
        <w:t>cclusion of the vessel</w:t>
      </w:r>
      <w:r w:rsidR="00A6674F" w:rsidRPr="00EC6C19">
        <w:rPr>
          <w:rFonts w:ascii="Times New Roman" w:hAnsi="Times New Roman" w:cs="Times New Roman"/>
          <w:sz w:val="24"/>
          <w:szCs w:val="24"/>
        </w:rPr>
        <w:t xml:space="preserve">. </w:t>
      </w:r>
      <w:r w:rsidR="00E05E29" w:rsidRPr="00EC6C19">
        <w:rPr>
          <w:rFonts w:ascii="Times New Roman" w:hAnsi="Times New Roman" w:cs="Times New Roman"/>
          <w:sz w:val="24"/>
          <w:szCs w:val="24"/>
        </w:rPr>
        <w:t xml:space="preserve">Myocardial blood flow beyond this blockage is </w:t>
      </w:r>
      <w:r w:rsidR="00A6674F" w:rsidRPr="00EC6C19">
        <w:rPr>
          <w:rFonts w:ascii="Times New Roman" w:hAnsi="Times New Roman" w:cs="Times New Roman"/>
          <w:sz w:val="24"/>
          <w:szCs w:val="24"/>
        </w:rPr>
        <w:t>supplied by coronary collaterals</w:t>
      </w:r>
      <w:r w:rsidR="001D0D24" w:rsidRPr="00EC6C19">
        <w:rPr>
          <w:rFonts w:ascii="Times New Roman" w:hAnsi="Times New Roman" w:cs="Times New Roman"/>
          <w:sz w:val="24"/>
          <w:szCs w:val="24"/>
        </w:rPr>
        <w:t xml:space="preserve"> as there is no antegrade flow</w:t>
      </w:r>
      <w:r w:rsidR="00A6674F" w:rsidRPr="00EC6C19">
        <w:rPr>
          <w:rFonts w:ascii="Times New Roman" w:hAnsi="Times New Roman" w:cs="Times New Roman"/>
          <w:sz w:val="24"/>
          <w:szCs w:val="24"/>
        </w:rPr>
        <w:t xml:space="preserve">. The pressure and flow measurements obtained will therefore be collateral flow and collateral pressure. The centre has experience in obtaining these measurements from previous studies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{"citationID":"8dZHgbbT","properties":{"formattedCitation":"(Mohdnazri et al., 2018)","plainCitation":"(Mohdnazri et al., 2018)","noteIndex":0},"citationItems":[{"id":709,"uris":["http://zotero.org/users/local/k67tNDdX/items/FQH9KJ8G"],"uri":["http://zotero.org/users/local/k67tNDdX/items/FQH9KJ8G"],"itemData":{"id":709,"type":"article-journal","abstract":"OBJECTIVE: To investigate the immediate and short term impact of right coronary artery (RCA) chronic total coronary occlusion (CTO) percutaneous coronary intervention (PCI) upon collateral donor vessel fractional flow reserve (FFR) and instantaneous wave-free ratio (iFR).\nBACKGROUND: CTO PCI influences collateral donor vessel physiology, making the indication and/or timing of donor vessel revascularization difficult to determine.\nMETHODS: In patients with RCA CTO, FFR, iFR, and collateral function index (FFRcoll ) were measured in LAD and LCx pre-CTO PCI, immediately post and at 4 month follow-up.\nRESULTS: 34 patients underwent successful PCI. In the predominant donor vessel immediately post PCI, FFR, and FFRcoll did not change (0.76 ± 0.12 to 0.75 ± 0.13, P = 0.267 and 0.31 ± 0.10 vs. 0.34 ± 0.11, P = 0.078), but iFR increased significantly (0.86 ± 0.10 to 0.88 ± 0.10, P = 0.012). At follow-up, there was a significant increase in predominant donor FFR and iFR (0.76 ± 0.12 to 0.79 ± 0.11, P = 0.047 and 0.86 ± 0.10 to 0.90 ± 0.07, P = 0.003), accompanied by a significant reduction in FFRcoll (0.31 ± 0.10 to 0.18 ± 0.07 P &lt; 0.0001). These changes resulted in a reclassification of the predominant donor vessel from ischemic to nonischemic in 18% (FFR) and 25% (iFR) of the cases, respectively.\nCONCLUSIONS: Successful recanalization of an RCA CTO resulted in a modest but statistically significant increase in the predominant donor vessel immediately post CTO PCI in the case of iFR and at 4-month follow-up for FFR and iFR compared to pre-PCI with a concomitant reduction in collateral function.","container-title":"Catheterization and Cardiovascular Interventions: Official Journal of the Society for Cardiac Angiography &amp; Interventions","DOI":"10.1002/ccd.27587","ISSN":"1522-726X","journalAbbreviation":"Catheter Cardiovasc Interv","language":"eng","note":"PMID: 29569332","source":"PubMed","title":"The impact of coronary chronic total occlusion percutaneous coronary intervention upon donor vessel fractional flow reserve and instantaneous wave-free ratio: Implications for physiology-guided PCI in patients with CTO","title-short":"The impact of coronary chronic total occlusion percutaneous coronary intervention upon donor vessel fractional flow reserve and instantaneous wave-free ratio","author":[{"family":"Mohdnazri","given":"Shah R."},{"family":"Karamasis","given":"Grigoris V."},{"family":"Al-Janabi","given":"Firas"},{"family":"Cook","given":"Christopher M."},{"family":"Hampton-Till","given":"James"},{"family":"Zhang","given":"Jufen"},{"family":"Al-Lamee","given":"Rasha"},{"family":"Dungu","given":"Jason N."},{"family":"Gedela","given":"Swamy"},{"family":"Tang","given":"Kare H."},{"family":"Kelly","given":"Paul A."},{"family":"Davies","given":"Justin E."},{"family":"Davies","given":"John R."},{"family":"Keeble","given":"Thomas R."}],"issued":{"date-parts":[["2018",3,22]]}}}],"schema":"https://github.com/citation-style-language/schema/raw/master/csl-citation.json"}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 xml:space="preserve">(Mohdnazri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2018)</w:t>
      </w:r>
      <w:r w:rsidR="00106A32" w:rsidRPr="00EC6C19">
        <w:rPr>
          <w:rFonts w:ascii="Times New Roman" w:hAnsi="Times New Roman" w:cs="Times New Roman"/>
          <w:sz w:val="24"/>
          <w:szCs w:val="24"/>
        </w:rPr>
        <w:fldChar w:fldCharType="end"/>
      </w:r>
      <w:r w:rsidR="00A6674F" w:rsidRPr="00EC6C19">
        <w:rPr>
          <w:rFonts w:ascii="Times New Roman" w:hAnsi="Times New Roman" w:cs="Times New Roman"/>
          <w:sz w:val="24"/>
          <w:szCs w:val="24"/>
        </w:rPr>
        <w:t xml:space="preserve">. If flow can be increased with changes in position, </w:t>
      </w:r>
      <w:r w:rsidR="00E05E29" w:rsidRPr="00EC6C19">
        <w:rPr>
          <w:rFonts w:ascii="Times New Roman" w:hAnsi="Times New Roman" w:cs="Times New Roman"/>
          <w:sz w:val="24"/>
          <w:szCs w:val="24"/>
        </w:rPr>
        <w:t>ambulance or emergency staff could</w:t>
      </w:r>
      <w:r w:rsidR="003930FC" w:rsidRPr="00EC6C19">
        <w:rPr>
          <w:rFonts w:ascii="Times New Roman" w:hAnsi="Times New Roman" w:cs="Times New Roman"/>
          <w:sz w:val="24"/>
          <w:szCs w:val="24"/>
        </w:rPr>
        <w:t xml:space="preserve"> </w:t>
      </w:r>
      <w:r w:rsidR="00E05E29" w:rsidRPr="00EC6C19">
        <w:rPr>
          <w:rFonts w:ascii="Times New Roman" w:hAnsi="Times New Roman" w:cs="Times New Roman"/>
          <w:sz w:val="24"/>
          <w:szCs w:val="24"/>
        </w:rPr>
        <w:t>position</w:t>
      </w:r>
      <w:r w:rsidR="001D0D24" w:rsidRPr="00EC6C19">
        <w:rPr>
          <w:rFonts w:ascii="Times New Roman" w:hAnsi="Times New Roman" w:cs="Times New Roman"/>
          <w:sz w:val="24"/>
          <w:szCs w:val="24"/>
        </w:rPr>
        <w:t xml:space="preserve"> patient prone for certain infarcts</w:t>
      </w:r>
      <w:r w:rsidR="00A6674F" w:rsidRPr="00EC6C19">
        <w:rPr>
          <w:rFonts w:ascii="Times New Roman" w:hAnsi="Times New Roman" w:cs="Times New Roman"/>
          <w:sz w:val="24"/>
          <w:szCs w:val="24"/>
        </w:rPr>
        <w:t xml:space="preserve"> during transfer to </w:t>
      </w:r>
      <w:r w:rsidR="001D0D24" w:rsidRPr="00EC6C19">
        <w:rPr>
          <w:rFonts w:ascii="Times New Roman" w:hAnsi="Times New Roman" w:cs="Times New Roman"/>
          <w:sz w:val="24"/>
          <w:szCs w:val="24"/>
        </w:rPr>
        <w:t>a PCI centre</w:t>
      </w:r>
      <w:r w:rsidR="00A6674F" w:rsidRPr="00EC6C19">
        <w:rPr>
          <w:rFonts w:ascii="Times New Roman" w:hAnsi="Times New Roman" w:cs="Times New Roman"/>
          <w:sz w:val="24"/>
          <w:szCs w:val="24"/>
        </w:rPr>
        <w:t xml:space="preserve">, saving myocardium and reducing infarct size. Infarct size is a clear determinant of outcomes for patients suffering acute myocardial infarction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{"citationID":"lVy65rOJ","properties":{"formattedCitation":"(Stone et al., 2016a)","plainCitation":"(Stone et al., 2016a)","noteIndex":0},"citationItems":[{"id":164,"uris":["http://zotero.org/users/local/k67tNDdX/items/GGMS5WSS"],"uri":["http://zotero.org/users/local/k67tNDdX/items/GGMS5WSS"],"itemData":{"id":164,"type":"article-journal","abstract":"BACKGROUND: Prompt reperfusion in patients with ST-segment elevation myocardial infarction (STEMI) reduces infarct size and improves survival. However, the intuitive link between infarct size and prognosis has not been convincingly demonstrated in the contemporary era.\nOBJECTIVES: This study sought to determine the strength of the relationship between infarct size assessed early after primary percutaneous coronary intervention (PCI) in STEMI and subsequent all-cause mortality, reinfarction, and hospitalization for heart failure.\nMETHODS: We performed a pooled patient-level analysis from 10 randomized primary PCI trials (total 2,632 patients) in which infarct size was assessed within 1 month after randomization by either cardiac magnetic resonance (CMR) imaging or technetium-99m sestamibi single-photon emission computed tomography (SPECT), with clinical follow-up for ≥ 6 months.\nRESULTS: Infarct size was assessed by CMR in 1,889 patients (71.8%) and by SPECT in 743 patients (28.2%). Median (25th, 75th percentile) time to infarct size measurement was 4 days (3, 10 days) after STEMI. Median infarct size (% left ventricular myocardial mass) was 17.9% (8.0%, 29.8%), and median duration of clinical follow-up was 352 days (185, 371 days). The Kaplan-Meier estimated 1-year rates of all-cause mortality, reinfarction, and HF hospitalization were 2.2%, 2.5%, and 2.6%, respectively. A strong graded response was present between infarct size (per 5% increase) and subsequent mortality (Cox-adjusted hazard ratio: 1.19 [95% confidence interval: 1.18 to 1.20]; p &lt; 0.0001) and hospitalization for heart failure (adjusted hazard ratio: 1.20 [95% confidence interval: 1.19 to 1.21]; p &lt; 0.0001), independent of age, sex, diabetes, hypertension, hyperlipidemia, current smoking, left anterior descending versus non-left anterior descending infarct vessel, symptom-to-first device time, and baseline TIMI (Thrombolysis In Myocardial Infarction) flow 0/1 versus 2/3. Infarct size was not significantly related to subsequent reinfarction.\nCONCLUSIONS: Infarct size, measured by CMR or technetium-99m sestamibi SPECT within 1 month after primary PCI, is strongly associated with all-cause mortality and hospitalization for HF within 1 year. Infarct size may, therefore, be useful as an endpoint in clinical trials and as an important prognostic measure when caring for patients with STEMI.","container-title":"Journal of the American College of Cardiology","DOI":"10.1016/j.jacc.2016.01.069","ISSN":"1558-3597","issue":"14","journalAbbreviation":"J. Am. Coll. Cardiol.","language":"eng","note":"PMID: 27056772","page":"1674-1683","source":"PubMed","title":"Relationship Between Infarct Size and Outcomes Following Primary PCI: Patient-Level Analysis From 10 Randomized Trials","title-short":"Relationship Between Infarct Size and Outcomes Following Primary PCI","volume":"67","author":[{"family":"Stone","given":"Gregg W."},{"family":"Selker","given":"Harry P."},{"family":"Thiele","given":"Holger"},{"family":"Patel","given":"Manesh R."},{"family":"Udelson","given":"James E."},{"family":"Ohman","given":"E. Magnus"},{"family":"Maehara","given":"Akiko"},{"family":"Eitel","given":"Ingo"},{"family":"Granger","given":"Christopher B."},{"family":"Jenkins","given":"Paul L."},{"family":"Nichols","given":"Melissa"},{"family":"Ben-Yehuda","given":"Ori"}],"issued":{"date-parts":[["2016",4,12]]}}}],"schema":"https://github.com/citation-style-language/schema/raw/master/csl-citation.json"} </w:instrText>
      </w:r>
      <w:r w:rsidR="00106A32" w:rsidRPr="00EC6C19">
        <w:rPr>
          <w:rFonts w:ascii="Times New Roman" w:hAnsi="Times New Roman" w:cs="Times New Roman"/>
          <w:sz w:val="24"/>
          <w:szCs w:val="24"/>
        </w:rPr>
        <w:fldChar w:fldCharType="separate"/>
      </w:r>
      <w:r w:rsidR="00D212BB" w:rsidRPr="00EC6C19">
        <w:rPr>
          <w:rFonts w:ascii="Times New Roman" w:hAnsi="Times New Roman" w:cs="Times New Roman"/>
          <w:sz w:val="24"/>
          <w:szCs w:val="24"/>
        </w:rPr>
        <w:t>(Stone et al., 2016a)</w:t>
      </w:r>
      <w:r w:rsidR="00106A32" w:rsidRPr="00EC6C19">
        <w:rPr>
          <w:rFonts w:ascii="Times New Roman" w:hAnsi="Times New Roman" w:cs="Times New Roman"/>
          <w:sz w:val="24"/>
          <w:szCs w:val="24"/>
        </w:rPr>
        <w:fldChar w:fldCharType="end"/>
      </w:r>
      <w:r w:rsidR="00A6674F" w:rsidRPr="00EC6C19">
        <w:rPr>
          <w:rFonts w:ascii="Times New Roman" w:hAnsi="Times New Roman" w:cs="Times New Roman"/>
          <w:sz w:val="24"/>
          <w:szCs w:val="24"/>
        </w:rPr>
        <w:t>.</w:t>
      </w:r>
    </w:p>
    <w:p w14:paraId="76E343E6" w14:textId="77777777" w:rsidR="003F367F" w:rsidRDefault="00A3034B"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A</w:t>
      </w:r>
      <w:r w:rsidR="00F848FC">
        <w:rPr>
          <w:rFonts w:ascii="Times New Roman" w:hAnsi="Times New Roman" w:cs="Times New Roman"/>
          <w:sz w:val="24"/>
          <w:szCs w:val="24"/>
        </w:rPr>
        <w:t xml:space="preserve"> prospective randomised trial of</w:t>
      </w:r>
      <w:r w:rsidRPr="00EC6C19">
        <w:rPr>
          <w:rFonts w:ascii="Times New Roman" w:hAnsi="Times New Roman" w:cs="Times New Roman"/>
          <w:sz w:val="24"/>
          <w:szCs w:val="24"/>
        </w:rPr>
        <w:t xml:space="preserve"> prone versus supine positioning</w:t>
      </w:r>
      <w:r w:rsidR="00F848FC">
        <w:rPr>
          <w:rFonts w:ascii="Times New Roman" w:hAnsi="Times New Roman" w:cs="Times New Roman"/>
          <w:sz w:val="24"/>
          <w:szCs w:val="24"/>
        </w:rPr>
        <w:t xml:space="preserve"> versus control</w:t>
      </w:r>
      <w:r w:rsidRPr="00EC6C19">
        <w:rPr>
          <w:rFonts w:ascii="Times New Roman" w:hAnsi="Times New Roman" w:cs="Times New Roman"/>
          <w:sz w:val="24"/>
          <w:szCs w:val="24"/>
        </w:rPr>
        <w:t xml:space="preserve"> </w:t>
      </w:r>
      <w:r w:rsidR="00F848FC">
        <w:rPr>
          <w:rFonts w:ascii="Times New Roman" w:hAnsi="Times New Roman" w:cs="Times New Roman"/>
          <w:sz w:val="24"/>
          <w:szCs w:val="24"/>
        </w:rPr>
        <w:t>(standard care), and the assessment of infarct size (CMRI) and adverse cardiac events at 30 days and 1 year.</w:t>
      </w:r>
    </w:p>
    <w:p w14:paraId="07B0CB64" w14:textId="77777777" w:rsidR="00F848FC" w:rsidRDefault="00F848FC" w:rsidP="00154DE6">
      <w:pPr>
        <w:spacing w:line="360" w:lineRule="auto"/>
        <w:rPr>
          <w:rFonts w:ascii="Times New Roman" w:hAnsi="Times New Roman" w:cs="Times New Roman"/>
          <w:i/>
          <w:sz w:val="24"/>
          <w:szCs w:val="24"/>
        </w:rPr>
      </w:pPr>
    </w:p>
    <w:p w14:paraId="2477601F" w14:textId="77777777" w:rsidR="00F848FC" w:rsidRPr="006C1A70" w:rsidRDefault="006C1A70" w:rsidP="006C1A70">
      <w:pPr>
        <w:pStyle w:val="Heading3"/>
        <w:rPr>
          <w:rFonts w:ascii="Times New Roman" w:hAnsi="Times New Roman" w:cs="Times New Roman"/>
          <w:b w:val="0"/>
          <w:i/>
          <w:color w:val="auto"/>
          <w:sz w:val="24"/>
          <w:szCs w:val="24"/>
        </w:rPr>
      </w:pPr>
      <w:bookmarkStart w:id="247" w:name="_Toc80302299"/>
      <w:r w:rsidRPr="006C1A70">
        <w:rPr>
          <w:rFonts w:ascii="Times New Roman" w:hAnsi="Times New Roman" w:cs="Times New Roman"/>
          <w:b w:val="0"/>
          <w:i/>
          <w:color w:val="auto"/>
          <w:sz w:val="24"/>
          <w:szCs w:val="24"/>
        </w:rPr>
        <w:t xml:space="preserve">4.11.3 - </w:t>
      </w:r>
      <w:r w:rsidR="00F848FC" w:rsidRPr="006C1A70">
        <w:rPr>
          <w:rFonts w:ascii="Times New Roman" w:hAnsi="Times New Roman" w:cs="Times New Roman"/>
          <w:b w:val="0"/>
          <w:i/>
          <w:color w:val="auto"/>
          <w:sz w:val="24"/>
          <w:szCs w:val="24"/>
        </w:rPr>
        <w:t>Chronic Total Occlusion</w:t>
      </w:r>
      <w:bookmarkEnd w:id="247"/>
      <w:r>
        <w:rPr>
          <w:rFonts w:ascii="Times New Roman" w:hAnsi="Times New Roman" w:cs="Times New Roman"/>
          <w:b w:val="0"/>
          <w:i/>
          <w:color w:val="auto"/>
          <w:sz w:val="24"/>
          <w:szCs w:val="24"/>
        </w:rPr>
        <w:br/>
      </w:r>
    </w:p>
    <w:p w14:paraId="12AF3FDC" w14:textId="77777777" w:rsidR="00F848FC" w:rsidRPr="00EC6C19" w:rsidRDefault="00F848FC" w:rsidP="00154DE6">
      <w:pPr>
        <w:spacing w:line="360" w:lineRule="auto"/>
        <w:rPr>
          <w:rFonts w:ascii="Times New Roman" w:hAnsi="Times New Roman" w:cs="Times New Roman"/>
          <w:sz w:val="24"/>
          <w:szCs w:val="24"/>
        </w:rPr>
      </w:pPr>
    </w:p>
    <w:p w14:paraId="6831900B" w14:textId="174B30D6" w:rsidR="006549CF" w:rsidRPr="00EC6C19" w:rsidRDefault="00B83381"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Before studying acute myocardial infarction, and acute blockages of a coronary artery, </w:t>
      </w:r>
      <w:r w:rsidR="00F848FC">
        <w:rPr>
          <w:rFonts w:ascii="Times New Roman" w:hAnsi="Times New Roman" w:cs="Times New Roman"/>
          <w:sz w:val="24"/>
          <w:szCs w:val="24"/>
        </w:rPr>
        <w:t xml:space="preserve">the intermediate step may be to </w:t>
      </w:r>
      <w:r w:rsidRPr="00EC6C19">
        <w:rPr>
          <w:rFonts w:ascii="Times New Roman" w:hAnsi="Times New Roman" w:cs="Times New Roman"/>
          <w:sz w:val="24"/>
          <w:szCs w:val="24"/>
        </w:rPr>
        <w:t>study patients with a chronic occlusion of an artery. In chronic total occ</w:t>
      </w:r>
      <w:r w:rsidR="00F848FC">
        <w:rPr>
          <w:rFonts w:ascii="Times New Roman" w:hAnsi="Times New Roman" w:cs="Times New Roman"/>
          <w:sz w:val="24"/>
          <w:szCs w:val="24"/>
        </w:rPr>
        <w:t>lusion, the microcirculation</w:t>
      </w:r>
      <w:r w:rsidR="00CB7115">
        <w:rPr>
          <w:rFonts w:ascii="Times New Roman" w:hAnsi="Times New Roman" w:cs="Times New Roman"/>
          <w:sz w:val="24"/>
          <w:szCs w:val="24"/>
        </w:rPr>
        <w:t xml:space="preserve"> is</w:t>
      </w:r>
      <w:r w:rsidR="00F848FC">
        <w:rPr>
          <w:rFonts w:ascii="Times New Roman" w:hAnsi="Times New Roman" w:cs="Times New Roman"/>
          <w:sz w:val="24"/>
          <w:szCs w:val="24"/>
        </w:rPr>
        <w:t xml:space="preserve"> thought to be</w:t>
      </w:r>
      <w:r w:rsidRPr="00EC6C19">
        <w:rPr>
          <w:rFonts w:ascii="Times New Roman" w:hAnsi="Times New Roman" w:cs="Times New Roman"/>
          <w:sz w:val="24"/>
          <w:szCs w:val="24"/>
        </w:rPr>
        <w:t xml:space="preserve"> dysfunctional</w:t>
      </w:r>
      <w:r w:rsidR="003930FC"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00DA1AD3" w:rsidRPr="00EC6C19">
        <w:rPr>
          <w:rFonts w:ascii="Times New Roman" w:hAnsi="Times New Roman" w:cs="Times New Roman"/>
          <w:sz w:val="24"/>
          <w:szCs w:val="24"/>
        </w:rPr>
        <w:instrText xml:space="preserve"> ADDIN ZOTERO_ITEM CSL_CITATION {"citationID":"EBKZv5l9","properties":{"formattedCitation":"(Ladwiniec et al., 2016)","plainCitation":"(Ladwiniec et al., 2016)","noteIndex":0},"citationItems":[{"id":765,"uris":["http://zotero.org/users/local/k67tNDdX/items/K45S6F5I"],"uri":["http://zotero.org/users/local/k67tNDdX/items/K45S6F5I"],"itemData":{"id":765,"type":"article-journal","abstract":"Objectives The aim of this study was to compare microvascular resistance under both baseline and hyperemic conditions immediately after percutaneous coronary intervention (PCI) of a chronic total occlusion (CTO) with an unobstructed reference vessel in the same patient Background Microvascular dysfunction has been reported to be prevalent immediately after CTO PCI. However, previous studies have not made comparison with a reference vessel. Patients with a CTO may have global microvascular and/or endothelial dysfunction, making comparison with established normal values misleading. Methods After successful CTO PCI in 21 consecutive patients, coronary pressure and flow velocity were measured at baseline and hyperemia in distal segments of the CTO/target vessel and an unobstructed reference vessel. Hemodynamics including hyperemic microvascular resistance (HMR), basal microvascular resistance (BMR), and instantaneous minimal microvascular resistance at baseline and hyperemia were calculated and compared between reference and target/CTO vessels. Results After CTO PCI, BMR was reduced in the target/CTO vessel compared with the reference vessel: 3.58 mm Hg/cm/s vs 4.94 mm Hg/cm/s, difference −1.36 mm Hg/cm/s (−2.33 to −0.39, p = 0.008). We did not detect a difference in HMR: 1.82 mm Hg/cm/s vs 2.01 mm Hg/cm/s, difference −0.20 (−0.78 to 0.39, p = 0.49). Instantaneous minimal microvascular resistance correlated strongly with the length of stented segment at baseline (r = 0.63, p = 0.005) and hyperemia (r = 0.68, p = 0.002). Conclusions BMR is reduced in a recanalized CTO in the immediate aftermath of PCI compared to an unobstructed reference vessel; however, HMR appears to be preserved. A longer stented segment is associated with increased microvascular resistance. © 2016 Wiley Periodicals, Inc.","container-title":"Catheterization and Cardiovascular Interventions","DOI":"10.1002/ccd.26392","ISSN":"1522-726X","issue":"6","language":"en","page":"1071-1079","source":"Wiley Online Library","title":"Microvascular dysfunction in the immediate aftermath of chronic total coronary occlusion recanalization","volume":"87","author":[{"family":"Ladwiniec","given":"Andrew"},{"family":"Cunnington","given":"Michael S."},{"family":"Rossington","given":"Jennifer"},{"family":"Thackray","given":"Simon"},{"family":"Alamgir","given":"Farquad"},{"family":"Hoye","given":"Angela"}],"issued":{"date-parts":[["2016"]]}}}],"schema":"https://github.com/citation-style-language/schema/raw/master/csl-citation.json"} </w:instrText>
      </w:r>
      <w:r w:rsidR="00106A32" w:rsidRPr="00EC6C19">
        <w:rPr>
          <w:rFonts w:ascii="Times New Roman" w:hAnsi="Times New Roman" w:cs="Times New Roman"/>
          <w:sz w:val="24"/>
          <w:szCs w:val="24"/>
        </w:rPr>
        <w:fldChar w:fldCharType="separate"/>
      </w:r>
      <w:r w:rsidR="003930FC" w:rsidRPr="00EC6C19">
        <w:rPr>
          <w:rFonts w:ascii="Times New Roman" w:hAnsi="Times New Roman" w:cs="Times New Roman"/>
          <w:sz w:val="24"/>
          <w:szCs w:val="24"/>
        </w:rPr>
        <w:t xml:space="preserve">(Ladwiniec </w:t>
      </w:r>
      <w:r w:rsidR="00B22321" w:rsidRPr="00EC6C19">
        <w:rPr>
          <w:rFonts w:ascii="Times New Roman" w:hAnsi="Times New Roman" w:cs="Times New Roman"/>
          <w:sz w:val="24"/>
          <w:szCs w:val="24"/>
        </w:rPr>
        <w:t>et al.,</w:t>
      </w:r>
      <w:r w:rsidR="00D212BB" w:rsidRPr="00EC6C19">
        <w:rPr>
          <w:rFonts w:ascii="Times New Roman" w:hAnsi="Times New Roman" w:cs="Times New Roman"/>
          <w:sz w:val="24"/>
          <w:szCs w:val="24"/>
        </w:rPr>
        <w:t xml:space="preserve"> 2016)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r w:rsidR="00D52A69">
        <w:rPr>
          <w:rFonts w:ascii="Times New Roman" w:hAnsi="Times New Roman" w:cs="Times New Roman"/>
          <w:sz w:val="24"/>
          <w:szCs w:val="24"/>
        </w:rPr>
        <w:t xml:space="preserve"> </w:t>
      </w:r>
      <w:r w:rsidR="00D52A69" w:rsidRPr="00EC6C19">
        <w:rPr>
          <w:rFonts w:ascii="Times New Roman" w:hAnsi="Times New Roman" w:cs="Times New Roman"/>
          <w:sz w:val="24"/>
          <w:szCs w:val="24"/>
        </w:rPr>
        <w:t xml:space="preserve">Ethical approval for this has already been obtained, </w:t>
      </w:r>
      <w:r w:rsidR="00D52A69">
        <w:rPr>
          <w:rFonts w:ascii="Times New Roman" w:hAnsi="Times New Roman" w:cs="Times New Roman"/>
          <w:sz w:val="24"/>
          <w:szCs w:val="24"/>
        </w:rPr>
        <w:t xml:space="preserve">recruitment could commence at </w:t>
      </w:r>
      <w:r w:rsidR="00D52A69" w:rsidRPr="00EC6C19">
        <w:rPr>
          <w:rFonts w:ascii="Times New Roman" w:hAnsi="Times New Roman" w:cs="Times New Roman"/>
          <w:sz w:val="24"/>
          <w:szCs w:val="24"/>
        </w:rPr>
        <w:t xml:space="preserve">any time. </w:t>
      </w:r>
      <w:r w:rsidRPr="00EC6C19">
        <w:rPr>
          <w:rFonts w:ascii="Times New Roman" w:hAnsi="Times New Roman" w:cs="Times New Roman"/>
          <w:sz w:val="24"/>
          <w:szCs w:val="24"/>
        </w:rPr>
        <w:t xml:space="preserve"> </w:t>
      </w:r>
      <w:r w:rsidR="00CB7115">
        <w:rPr>
          <w:rFonts w:ascii="Times New Roman" w:hAnsi="Times New Roman" w:cs="Times New Roman"/>
          <w:sz w:val="24"/>
          <w:szCs w:val="24"/>
        </w:rPr>
        <w:t>The counter argument is</w:t>
      </w:r>
      <w:r w:rsidR="00F848FC">
        <w:rPr>
          <w:rFonts w:ascii="Times New Roman" w:hAnsi="Times New Roman" w:cs="Times New Roman"/>
          <w:sz w:val="24"/>
          <w:szCs w:val="24"/>
        </w:rPr>
        <w:t xml:space="preserve"> </w:t>
      </w:r>
      <w:r w:rsidRPr="00EC6C19">
        <w:rPr>
          <w:rFonts w:ascii="Times New Roman" w:hAnsi="Times New Roman" w:cs="Times New Roman"/>
          <w:sz w:val="24"/>
          <w:szCs w:val="24"/>
        </w:rPr>
        <w:t xml:space="preserve">that if </w:t>
      </w:r>
      <w:r w:rsidR="00F848FC">
        <w:rPr>
          <w:rFonts w:ascii="Times New Roman" w:hAnsi="Times New Roman" w:cs="Times New Roman"/>
          <w:sz w:val="24"/>
          <w:szCs w:val="24"/>
        </w:rPr>
        <w:t>the</w:t>
      </w:r>
      <w:r w:rsidR="00CB7115">
        <w:rPr>
          <w:rFonts w:ascii="Times New Roman" w:hAnsi="Times New Roman" w:cs="Times New Roman"/>
          <w:sz w:val="24"/>
          <w:szCs w:val="24"/>
        </w:rPr>
        <w:t xml:space="preserve"> final</w:t>
      </w:r>
      <w:r w:rsidR="00F848FC">
        <w:rPr>
          <w:rFonts w:ascii="Times New Roman" w:hAnsi="Times New Roman" w:cs="Times New Roman"/>
          <w:sz w:val="24"/>
          <w:szCs w:val="24"/>
        </w:rPr>
        <w:t xml:space="preserve"> target group is STEMI patients</w:t>
      </w:r>
      <w:r w:rsidRPr="00EC6C19">
        <w:rPr>
          <w:rFonts w:ascii="Times New Roman" w:hAnsi="Times New Roman" w:cs="Times New Roman"/>
          <w:sz w:val="24"/>
          <w:szCs w:val="24"/>
        </w:rPr>
        <w:t xml:space="preserve">, one should </w:t>
      </w:r>
      <w:r w:rsidR="003F367F" w:rsidRPr="00EC6C19">
        <w:rPr>
          <w:rFonts w:ascii="Times New Roman" w:hAnsi="Times New Roman" w:cs="Times New Roman"/>
          <w:sz w:val="24"/>
          <w:szCs w:val="24"/>
        </w:rPr>
        <w:t xml:space="preserve">not involve a separate group of </w:t>
      </w:r>
      <w:bookmarkStart w:id="248" w:name="ExpandiFRCTO"/>
      <w:bookmarkEnd w:id="248"/>
      <w:r w:rsidR="003F367F" w:rsidRPr="00EC6C19">
        <w:rPr>
          <w:rFonts w:ascii="Times New Roman" w:hAnsi="Times New Roman" w:cs="Times New Roman"/>
          <w:sz w:val="24"/>
          <w:szCs w:val="24"/>
        </w:rPr>
        <w:t>patients who are subjected to the small, but potenti</w:t>
      </w:r>
      <w:r w:rsidR="00F848FC">
        <w:rPr>
          <w:rFonts w:ascii="Times New Roman" w:hAnsi="Times New Roman" w:cs="Times New Roman"/>
          <w:sz w:val="24"/>
          <w:szCs w:val="24"/>
        </w:rPr>
        <w:t>al risks of the study protocol and instead go straight to acute infarct patients.</w:t>
      </w:r>
    </w:p>
    <w:p w14:paraId="506FEDE1" w14:textId="77777777" w:rsidR="006E26DD" w:rsidRPr="00EC6C19" w:rsidRDefault="006E26DD" w:rsidP="00154DE6">
      <w:pPr>
        <w:spacing w:line="360" w:lineRule="auto"/>
        <w:rPr>
          <w:rFonts w:ascii="Times New Roman" w:hAnsi="Times New Roman" w:cs="Times New Roman"/>
          <w:sz w:val="24"/>
          <w:szCs w:val="24"/>
        </w:rPr>
      </w:pPr>
    </w:p>
    <w:p w14:paraId="7105C28D" w14:textId="77777777" w:rsidR="00B159A9" w:rsidRPr="006C1A70" w:rsidRDefault="006C1A70" w:rsidP="006C1A70">
      <w:pPr>
        <w:pStyle w:val="Heading3"/>
        <w:rPr>
          <w:rFonts w:ascii="Times New Roman" w:hAnsi="Times New Roman" w:cs="Times New Roman"/>
          <w:b w:val="0"/>
          <w:i/>
          <w:color w:val="auto"/>
          <w:sz w:val="24"/>
          <w:szCs w:val="24"/>
        </w:rPr>
      </w:pPr>
      <w:bookmarkStart w:id="249" w:name="_Toc80302300"/>
      <w:r w:rsidRPr="006C1A70">
        <w:rPr>
          <w:rFonts w:ascii="Times New Roman" w:hAnsi="Times New Roman" w:cs="Times New Roman"/>
          <w:b w:val="0"/>
          <w:i/>
          <w:color w:val="auto"/>
          <w:sz w:val="24"/>
          <w:szCs w:val="24"/>
        </w:rPr>
        <w:t xml:space="preserve">4.11.4 - </w:t>
      </w:r>
      <w:r w:rsidR="00B159A9" w:rsidRPr="006C1A70">
        <w:rPr>
          <w:rFonts w:ascii="Times New Roman" w:hAnsi="Times New Roman" w:cs="Times New Roman"/>
          <w:b w:val="0"/>
          <w:i/>
          <w:color w:val="auto"/>
          <w:sz w:val="24"/>
          <w:szCs w:val="24"/>
        </w:rPr>
        <w:t>Vessel Mapping</w:t>
      </w:r>
      <w:bookmarkEnd w:id="249"/>
      <w:r>
        <w:rPr>
          <w:rFonts w:ascii="Times New Roman" w:hAnsi="Times New Roman" w:cs="Times New Roman"/>
          <w:b w:val="0"/>
          <w:i/>
          <w:color w:val="auto"/>
          <w:sz w:val="24"/>
          <w:szCs w:val="24"/>
        </w:rPr>
        <w:br/>
      </w:r>
    </w:p>
    <w:p w14:paraId="0505980F" w14:textId="77777777" w:rsidR="00914EAD" w:rsidRPr="00EC6C19" w:rsidRDefault="00914EAD" w:rsidP="00154DE6">
      <w:pPr>
        <w:spacing w:line="360" w:lineRule="auto"/>
        <w:rPr>
          <w:rFonts w:ascii="Times New Roman" w:hAnsi="Times New Roman" w:cs="Times New Roman"/>
          <w:i/>
          <w:sz w:val="24"/>
          <w:szCs w:val="24"/>
        </w:rPr>
      </w:pPr>
    </w:p>
    <w:p w14:paraId="42A71C3D" w14:textId="77777777" w:rsidR="00914EAD" w:rsidRPr="00EC6C19" w:rsidRDefault="00D53D2F" w:rsidP="00154DE6">
      <w:pPr>
        <w:spacing w:line="360" w:lineRule="auto"/>
        <w:rPr>
          <w:rFonts w:ascii="Times New Roman" w:hAnsi="Times New Roman" w:cs="Times New Roman"/>
          <w:sz w:val="24"/>
          <w:szCs w:val="24"/>
        </w:rPr>
      </w:pPr>
      <w:r>
        <w:rPr>
          <w:rFonts w:ascii="Times New Roman" w:hAnsi="Times New Roman" w:cs="Times New Roman"/>
          <w:sz w:val="24"/>
          <w:szCs w:val="24"/>
        </w:rPr>
        <w:t>The current research suggests single</w:t>
      </w:r>
      <w:r w:rsidR="006E23F9" w:rsidRPr="00EC6C19">
        <w:rPr>
          <w:rFonts w:ascii="Times New Roman" w:hAnsi="Times New Roman" w:cs="Times New Roman"/>
          <w:sz w:val="24"/>
          <w:szCs w:val="24"/>
        </w:rPr>
        <w:t xml:space="preserve"> thresholds for all coronary arteries is an oversimplification. However, a single </w:t>
      </w:r>
      <w:r>
        <w:rPr>
          <w:rFonts w:ascii="Times New Roman" w:hAnsi="Times New Roman" w:cs="Times New Roman"/>
          <w:sz w:val="24"/>
          <w:szCs w:val="24"/>
        </w:rPr>
        <w:t xml:space="preserve">adjustment factor per artery would also be </w:t>
      </w:r>
      <w:r w:rsidR="006E23F9" w:rsidRPr="00EC6C19">
        <w:rPr>
          <w:rFonts w:ascii="Times New Roman" w:hAnsi="Times New Roman" w:cs="Times New Roman"/>
          <w:sz w:val="24"/>
          <w:szCs w:val="24"/>
        </w:rPr>
        <w:t>only partially correct.</w:t>
      </w:r>
    </w:p>
    <w:p w14:paraId="1FF3311F" w14:textId="77777777" w:rsidR="006E23F9" w:rsidRPr="00EC6C19" w:rsidRDefault="006E23F9"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A more elegant solution would be specific correction factors for each segment of each artery. The vessel is 'mapped' to assess hydrostatic pressure effect at each point. In clinical practice, this may mean separate adjustments for proximal, mid and distal vessel.</w:t>
      </w:r>
    </w:p>
    <w:p w14:paraId="4FB02763" w14:textId="3F4B51C5" w:rsidR="006E23F9" w:rsidRPr="00EC6C19" w:rsidRDefault="006E23F9"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most accurate way to do this, would be to study normal coronary arteries in live patients, with </w:t>
      </w:r>
      <w:r w:rsidR="00DB7E59" w:rsidRPr="00EC6C19">
        <w:rPr>
          <w:rFonts w:ascii="Times New Roman" w:hAnsi="Times New Roman" w:cs="Times New Roman"/>
          <w:sz w:val="24"/>
          <w:szCs w:val="24"/>
        </w:rPr>
        <w:t>pressure</w:t>
      </w:r>
      <w:r w:rsidR="00DB7E59">
        <w:rPr>
          <w:rFonts w:ascii="Times New Roman" w:hAnsi="Times New Roman" w:cs="Times New Roman"/>
          <w:sz w:val="24"/>
          <w:szCs w:val="24"/>
        </w:rPr>
        <w:t>-</w:t>
      </w:r>
      <w:r w:rsidRPr="00EC6C19">
        <w:rPr>
          <w:rFonts w:ascii="Times New Roman" w:hAnsi="Times New Roman" w:cs="Times New Roman"/>
          <w:sz w:val="24"/>
          <w:szCs w:val="24"/>
        </w:rPr>
        <w:t xml:space="preserve">based measurements at multiple points in each artery. With enough data, one could create a hydrostatic map for each coronary artery. </w:t>
      </w:r>
      <w:r w:rsidR="00273A34">
        <w:rPr>
          <w:rFonts w:ascii="Times New Roman" w:hAnsi="Times New Roman" w:cs="Times New Roman"/>
          <w:sz w:val="24"/>
          <w:szCs w:val="24"/>
        </w:rPr>
        <w:t>Studying non culprit arteries as part of the protocol was explored during the study period</w:t>
      </w:r>
      <w:r w:rsidRPr="00EC6C19">
        <w:rPr>
          <w:rFonts w:ascii="Times New Roman" w:hAnsi="Times New Roman" w:cs="Times New Roman"/>
          <w:sz w:val="24"/>
          <w:szCs w:val="24"/>
        </w:rPr>
        <w:t xml:space="preserve">. </w:t>
      </w:r>
      <w:r w:rsidR="00DB7E59">
        <w:rPr>
          <w:rFonts w:ascii="Times New Roman" w:hAnsi="Times New Roman" w:cs="Times New Roman"/>
          <w:sz w:val="24"/>
          <w:szCs w:val="24"/>
        </w:rPr>
        <w:t>Unfortunately,</w:t>
      </w:r>
      <w:r w:rsidR="00273A34">
        <w:rPr>
          <w:rFonts w:ascii="Times New Roman" w:hAnsi="Times New Roman" w:cs="Times New Roman"/>
          <w:sz w:val="24"/>
          <w:szCs w:val="24"/>
        </w:rPr>
        <w:t xml:space="preserve"> a</w:t>
      </w:r>
      <w:r w:rsidRPr="00EC6C19">
        <w:rPr>
          <w:rFonts w:ascii="Times New Roman" w:hAnsi="Times New Roman" w:cs="Times New Roman"/>
          <w:sz w:val="24"/>
          <w:szCs w:val="24"/>
        </w:rPr>
        <w:t>n ethical amendment was reject</w:t>
      </w:r>
      <w:r w:rsidR="004826B9">
        <w:rPr>
          <w:rFonts w:ascii="Times New Roman" w:hAnsi="Times New Roman" w:cs="Times New Roman"/>
          <w:sz w:val="24"/>
          <w:szCs w:val="24"/>
        </w:rPr>
        <w:t>ed</w:t>
      </w:r>
      <w:r w:rsidR="00273A34">
        <w:rPr>
          <w:rFonts w:ascii="Times New Roman" w:hAnsi="Times New Roman" w:cs="Times New Roman"/>
          <w:sz w:val="24"/>
          <w:szCs w:val="24"/>
        </w:rPr>
        <w:t xml:space="preserve"> by the local ethics committee. It was deemed that five extra </w:t>
      </w:r>
      <w:r w:rsidRPr="00EC6C19">
        <w:rPr>
          <w:rFonts w:ascii="Times New Roman" w:hAnsi="Times New Roman" w:cs="Times New Roman"/>
          <w:sz w:val="24"/>
          <w:szCs w:val="24"/>
        </w:rPr>
        <w:t xml:space="preserve">pressure wire measurements instead of one was excessive for study purposes. Physiology </w:t>
      </w:r>
      <w:r w:rsidR="00273A34">
        <w:rPr>
          <w:rFonts w:ascii="Times New Roman" w:hAnsi="Times New Roman" w:cs="Times New Roman"/>
          <w:sz w:val="24"/>
          <w:szCs w:val="24"/>
        </w:rPr>
        <w:t>measurements in</w:t>
      </w:r>
      <w:r w:rsidRPr="00EC6C19">
        <w:rPr>
          <w:rFonts w:ascii="Times New Roman" w:hAnsi="Times New Roman" w:cs="Times New Roman"/>
          <w:sz w:val="24"/>
          <w:szCs w:val="24"/>
        </w:rPr>
        <w:t xml:space="preserve"> unobstructed coronary arteries would</w:t>
      </w:r>
      <w:r w:rsidR="004826B9">
        <w:rPr>
          <w:rFonts w:ascii="Times New Roman" w:hAnsi="Times New Roman" w:cs="Times New Roman"/>
          <w:sz w:val="24"/>
          <w:szCs w:val="24"/>
        </w:rPr>
        <w:t xml:space="preserve"> be unethical.</w:t>
      </w:r>
    </w:p>
    <w:p w14:paraId="33E3D27D" w14:textId="77777777" w:rsidR="00301D70" w:rsidRPr="004826B9" w:rsidRDefault="00176693"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CT coronary angiography may provide an alternative solution</w:t>
      </w:r>
      <w:r w:rsidR="005F0D00">
        <w:rPr>
          <w:rFonts w:ascii="Times New Roman" w:hAnsi="Times New Roman" w:cs="Times New Roman"/>
          <w:sz w:val="24"/>
          <w:szCs w:val="24"/>
        </w:rPr>
        <w:t xml:space="preserve">. </w:t>
      </w:r>
      <w:r w:rsidR="00722031" w:rsidRPr="00EC6C19">
        <w:rPr>
          <w:rFonts w:ascii="Times New Roman" w:hAnsi="Times New Roman" w:cs="Times New Roman"/>
          <w:sz w:val="24"/>
          <w:szCs w:val="24"/>
        </w:rPr>
        <w:t>From a</w:t>
      </w:r>
      <w:r w:rsidR="005F0D00">
        <w:rPr>
          <w:rFonts w:ascii="Times New Roman" w:hAnsi="Times New Roman" w:cs="Times New Roman"/>
          <w:sz w:val="24"/>
          <w:szCs w:val="24"/>
        </w:rPr>
        <w:t>n</w:t>
      </w:r>
      <w:r w:rsidR="00722031" w:rsidRPr="00EC6C19">
        <w:rPr>
          <w:rFonts w:ascii="Times New Roman" w:hAnsi="Times New Roman" w:cs="Times New Roman"/>
          <w:sz w:val="24"/>
          <w:szCs w:val="24"/>
        </w:rPr>
        <w:t xml:space="preserve"> </w:t>
      </w:r>
      <w:r w:rsidR="005F0D00">
        <w:rPr>
          <w:rFonts w:ascii="Times New Roman" w:hAnsi="Times New Roman" w:cs="Times New Roman"/>
          <w:sz w:val="24"/>
          <w:szCs w:val="24"/>
        </w:rPr>
        <w:t>anatomical</w:t>
      </w:r>
      <w:r w:rsidR="00722031" w:rsidRPr="00EC6C19">
        <w:rPr>
          <w:rFonts w:ascii="Times New Roman" w:hAnsi="Times New Roman" w:cs="Times New Roman"/>
          <w:sz w:val="24"/>
          <w:szCs w:val="24"/>
        </w:rPr>
        <w:t xml:space="preserve"> perspective, CTCA could still be useful in mapping hydrostatic effect </w:t>
      </w:r>
      <w:r w:rsidR="005F0D00">
        <w:rPr>
          <w:rFonts w:ascii="Times New Roman" w:hAnsi="Times New Roman" w:cs="Times New Roman"/>
          <w:sz w:val="24"/>
          <w:szCs w:val="24"/>
        </w:rPr>
        <w:t xml:space="preserve">via </w:t>
      </w:r>
      <w:r w:rsidR="00722031" w:rsidRPr="00EC6C19">
        <w:rPr>
          <w:rFonts w:ascii="Times New Roman" w:hAnsi="Times New Roman" w:cs="Times New Roman"/>
          <w:sz w:val="24"/>
          <w:szCs w:val="24"/>
        </w:rPr>
        <w:t>vertical height. This could be gathered from retrospective CT coronary angiograms, to build a database of height measurement for each coronary artery</w:t>
      </w:r>
      <w:r w:rsidR="00301D70" w:rsidRPr="00EC6C19">
        <w:rPr>
          <w:rFonts w:ascii="Times New Roman" w:hAnsi="Times New Roman" w:cs="Times New Roman"/>
          <w:sz w:val="24"/>
          <w:szCs w:val="24"/>
        </w:rPr>
        <w:t xml:space="preserve"> at multiple points</w:t>
      </w:r>
      <w:r w:rsidR="00722031" w:rsidRPr="00EC6C19">
        <w:rPr>
          <w:rFonts w:ascii="Times New Roman" w:hAnsi="Times New Roman" w:cs="Times New Roman"/>
          <w:sz w:val="24"/>
          <w:szCs w:val="24"/>
        </w:rPr>
        <w:t>. This translates into hydrostatic effect, and would map effect per portion of artery.</w:t>
      </w:r>
      <w:r w:rsidR="00833997" w:rsidRPr="00EC6C19">
        <w:rPr>
          <w:rFonts w:ascii="Times New Roman" w:hAnsi="Times New Roman" w:cs="Times New Roman"/>
          <w:sz w:val="24"/>
          <w:szCs w:val="24"/>
        </w:rPr>
        <w:t xml:space="preserve"> Being non invasive, this bypasses many ethical issues, and having a full database of scans at the Essex Cardiothoracic Centre means this could be done locally and rapidly.</w:t>
      </w:r>
    </w:p>
    <w:p w14:paraId="460ED0DD" w14:textId="77777777" w:rsidR="00301D70" w:rsidRDefault="00301D70"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CT scans would map multiple points in the coronary tree, and provide a correction factor for proximal, mid and distal vessel in all coronary </w:t>
      </w:r>
      <w:r w:rsidRPr="00233B02">
        <w:rPr>
          <w:rFonts w:ascii="Times New Roman" w:hAnsi="Times New Roman" w:cs="Times New Roman"/>
          <w:sz w:val="24"/>
          <w:szCs w:val="24"/>
        </w:rPr>
        <w:t>arteries</w:t>
      </w:r>
      <w:r w:rsidR="002D05D8" w:rsidRPr="00233B02">
        <w:rPr>
          <w:rFonts w:ascii="Times New Roman" w:hAnsi="Times New Roman" w:cs="Times New Roman"/>
          <w:sz w:val="24"/>
          <w:szCs w:val="24"/>
        </w:rPr>
        <w:t xml:space="preserve"> (Figure </w:t>
      </w:r>
      <w:r w:rsidR="00233B02" w:rsidRPr="00233B02">
        <w:rPr>
          <w:rFonts w:ascii="Times New Roman" w:hAnsi="Times New Roman" w:cs="Times New Roman"/>
          <w:sz w:val="24"/>
          <w:szCs w:val="24"/>
        </w:rPr>
        <w:t>54</w:t>
      </w:r>
      <w:r w:rsidR="002D05D8" w:rsidRPr="00233B02">
        <w:rPr>
          <w:rFonts w:ascii="Times New Roman" w:hAnsi="Times New Roman" w:cs="Times New Roman"/>
          <w:sz w:val="24"/>
          <w:szCs w:val="24"/>
        </w:rPr>
        <w:t>)</w:t>
      </w:r>
      <w:r w:rsidRPr="00233B02">
        <w:rPr>
          <w:rFonts w:ascii="Times New Roman" w:hAnsi="Times New Roman" w:cs="Times New Roman"/>
          <w:sz w:val="24"/>
          <w:szCs w:val="24"/>
        </w:rPr>
        <w:t>.</w:t>
      </w:r>
      <w:r w:rsidRPr="00EC6C19">
        <w:rPr>
          <w:rFonts w:ascii="Times New Roman" w:hAnsi="Times New Roman" w:cs="Times New Roman"/>
          <w:sz w:val="24"/>
          <w:szCs w:val="24"/>
        </w:rPr>
        <w:t xml:space="preserve"> The correction factor could either be applied directly to pressure wire software, or be available to angioplasty operators during stenosis assessment.</w:t>
      </w:r>
    </w:p>
    <w:p w14:paraId="416F84C1" w14:textId="77777777" w:rsidR="002B08FC" w:rsidRPr="00EC6C19" w:rsidRDefault="002B08FC" w:rsidP="002B08FC">
      <w:pPr>
        <w:spacing w:line="360" w:lineRule="auto"/>
        <w:jc w:val="center"/>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100250D4" wp14:editId="43E39D52">
            <wp:extent cx="3771900" cy="3895725"/>
            <wp:effectExtent l="1905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srcRect/>
                    <a:stretch>
                      <a:fillRect/>
                    </a:stretch>
                  </pic:blipFill>
                  <pic:spPr bwMode="auto">
                    <a:xfrm>
                      <a:off x="0" y="0"/>
                      <a:ext cx="3771900" cy="3895725"/>
                    </a:xfrm>
                    <a:prstGeom prst="rect">
                      <a:avLst/>
                    </a:prstGeom>
                    <a:noFill/>
                    <a:ln w="9525">
                      <a:noFill/>
                      <a:miter lim="800000"/>
                      <a:headEnd/>
                      <a:tailEnd/>
                    </a:ln>
                  </pic:spPr>
                </pic:pic>
              </a:graphicData>
            </a:graphic>
          </wp:inline>
        </w:drawing>
      </w:r>
    </w:p>
    <w:p w14:paraId="6E44AB1D" w14:textId="77777777" w:rsidR="002B08FC" w:rsidRPr="00233B02" w:rsidRDefault="00233B02" w:rsidP="00233B02">
      <w:pPr>
        <w:pStyle w:val="Caption"/>
        <w:spacing w:line="360" w:lineRule="auto"/>
        <w:rPr>
          <w:rFonts w:ascii="Times New Roman" w:hAnsi="Times New Roman" w:cs="Times New Roman"/>
          <w:b w:val="0"/>
          <w:i/>
          <w:color w:val="auto"/>
          <w:sz w:val="24"/>
          <w:szCs w:val="24"/>
        </w:rPr>
      </w:pPr>
      <w:bookmarkStart w:id="250" w:name="_Toc44684943"/>
      <w:r w:rsidRPr="00233B02">
        <w:rPr>
          <w:rFonts w:ascii="Times New Roman" w:hAnsi="Times New Roman" w:cs="Times New Roman"/>
          <w:b w:val="0"/>
          <w:i/>
          <w:color w:val="auto"/>
          <w:sz w:val="24"/>
          <w:szCs w:val="24"/>
        </w:rPr>
        <w:t xml:space="preserve">Figure </w:t>
      </w:r>
      <w:r w:rsidR="00106A32" w:rsidRPr="00233B02">
        <w:rPr>
          <w:rFonts w:ascii="Times New Roman" w:hAnsi="Times New Roman" w:cs="Times New Roman"/>
          <w:b w:val="0"/>
          <w:i/>
          <w:color w:val="auto"/>
          <w:sz w:val="24"/>
          <w:szCs w:val="24"/>
        </w:rPr>
        <w:fldChar w:fldCharType="begin"/>
      </w:r>
      <w:r w:rsidRPr="00233B02">
        <w:rPr>
          <w:rFonts w:ascii="Times New Roman" w:hAnsi="Times New Roman" w:cs="Times New Roman"/>
          <w:b w:val="0"/>
          <w:i/>
          <w:color w:val="auto"/>
          <w:sz w:val="24"/>
          <w:szCs w:val="24"/>
        </w:rPr>
        <w:instrText xml:space="preserve"> SEQ Figure \* ARABIC </w:instrText>
      </w:r>
      <w:r w:rsidR="00106A32" w:rsidRPr="00233B0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54</w:t>
      </w:r>
      <w:r w:rsidR="00106A32" w:rsidRPr="00233B02">
        <w:rPr>
          <w:rFonts w:ascii="Times New Roman" w:hAnsi="Times New Roman" w:cs="Times New Roman"/>
          <w:b w:val="0"/>
          <w:i/>
          <w:color w:val="auto"/>
          <w:sz w:val="24"/>
          <w:szCs w:val="24"/>
        </w:rPr>
        <w:fldChar w:fldCharType="end"/>
      </w:r>
      <w:r w:rsidRPr="00233B02">
        <w:rPr>
          <w:rFonts w:ascii="Times New Roman" w:hAnsi="Times New Roman" w:cs="Times New Roman"/>
          <w:b w:val="0"/>
          <w:i/>
          <w:color w:val="auto"/>
          <w:sz w:val="24"/>
          <w:szCs w:val="24"/>
        </w:rPr>
        <w:t xml:space="preserve"> - Graduated Hydrostatic Correction - </w:t>
      </w:r>
      <w:r w:rsidR="002B08FC" w:rsidRPr="00233B02">
        <w:rPr>
          <w:rFonts w:ascii="Times New Roman" w:hAnsi="Times New Roman" w:cs="Times New Roman"/>
          <w:b w:val="0"/>
          <w:i/>
          <w:color w:val="auto"/>
          <w:sz w:val="24"/>
          <w:szCs w:val="24"/>
        </w:rPr>
        <w:t>demonstration of LAD with proximal, mid and distal LAD correction factors</w:t>
      </w:r>
      <w:bookmarkEnd w:id="250"/>
    </w:p>
    <w:p w14:paraId="5B6570EB" w14:textId="77777777" w:rsidR="00E404AE" w:rsidRPr="00FB6BFC" w:rsidRDefault="00E404AE" w:rsidP="00154DE6">
      <w:pPr>
        <w:spacing w:line="360" w:lineRule="auto"/>
        <w:rPr>
          <w:rFonts w:ascii="Times New Roman" w:hAnsi="Times New Roman" w:cs="Times New Roman"/>
          <w:i/>
          <w:sz w:val="24"/>
          <w:szCs w:val="24"/>
        </w:rPr>
      </w:pPr>
    </w:p>
    <w:p w14:paraId="5DA9CB19" w14:textId="77777777" w:rsidR="004826B9" w:rsidRDefault="004826B9" w:rsidP="00154DE6">
      <w:pPr>
        <w:spacing w:line="360" w:lineRule="auto"/>
        <w:rPr>
          <w:rFonts w:ascii="Times New Roman" w:hAnsi="Times New Roman" w:cs="Times New Roman"/>
          <w:i/>
          <w:sz w:val="24"/>
          <w:szCs w:val="24"/>
        </w:rPr>
      </w:pPr>
    </w:p>
    <w:p w14:paraId="55E17538" w14:textId="77777777" w:rsidR="006E26DD" w:rsidRPr="006C1A70" w:rsidRDefault="006C1A70" w:rsidP="006C1A70">
      <w:pPr>
        <w:pStyle w:val="Heading2"/>
        <w:rPr>
          <w:rFonts w:ascii="Times New Roman" w:hAnsi="Times New Roman" w:cs="Times New Roman"/>
          <w:color w:val="auto"/>
          <w:sz w:val="24"/>
          <w:szCs w:val="24"/>
        </w:rPr>
      </w:pPr>
      <w:bookmarkStart w:id="251" w:name="_Toc80302301"/>
      <w:r w:rsidRPr="006C1A70">
        <w:rPr>
          <w:rFonts w:ascii="Times New Roman" w:hAnsi="Times New Roman" w:cs="Times New Roman"/>
          <w:color w:val="auto"/>
          <w:sz w:val="24"/>
          <w:szCs w:val="24"/>
        </w:rPr>
        <w:t xml:space="preserve">4.12 - </w:t>
      </w:r>
      <w:r w:rsidR="00B159A9" w:rsidRPr="006C1A70">
        <w:rPr>
          <w:rFonts w:ascii="Times New Roman" w:hAnsi="Times New Roman" w:cs="Times New Roman"/>
          <w:color w:val="auto"/>
          <w:sz w:val="24"/>
          <w:szCs w:val="24"/>
        </w:rPr>
        <w:t>Novel Pressure Wires Immune to Hydrostatic Effect</w:t>
      </w:r>
      <w:bookmarkEnd w:id="251"/>
      <w:r>
        <w:rPr>
          <w:rFonts w:ascii="Times New Roman" w:hAnsi="Times New Roman" w:cs="Times New Roman"/>
          <w:color w:val="auto"/>
          <w:sz w:val="24"/>
          <w:szCs w:val="24"/>
        </w:rPr>
        <w:br/>
      </w:r>
    </w:p>
    <w:p w14:paraId="455AB7D7" w14:textId="77777777" w:rsidR="006E26DD" w:rsidRPr="00EC6C19" w:rsidRDefault="006E26DD" w:rsidP="00154DE6">
      <w:pPr>
        <w:spacing w:line="360" w:lineRule="auto"/>
        <w:rPr>
          <w:rFonts w:ascii="Times New Roman" w:hAnsi="Times New Roman" w:cs="Times New Roman"/>
          <w:sz w:val="24"/>
          <w:szCs w:val="24"/>
        </w:rPr>
      </w:pPr>
    </w:p>
    <w:p w14:paraId="444B8C6C" w14:textId="77777777" w:rsidR="002D05D8" w:rsidRPr="00EC6C19" w:rsidRDefault="002D05D8"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T</w:t>
      </w:r>
      <w:r w:rsidR="002F4CE2" w:rsidRPr="00EC6C19">
        <w:rPr>
          <w:rFonts w:ascii="Times New Roman" w:hAnsi="Times New Roman" w:cs="Times New Roman"/>
          <w:sz w:val="24"/>
          <w:szCs w:val="24"/>
        </w:rPr>
        <w:t xml:space="preserve">he concept of hydrostatic effect has impressed upon medical equipment developers. In the final few months </w:t>
      </w:r>
      <w:r w:rsidRPr="00EC6C19">
        <w:rPr>
          <w:rFonts w:ascii="Times New Roman" w:hAnsi="Times New Roman" w:cs="Times New Roman"/>
          <w:sz w:val="24"/>
          <w:szCs w:val="24"/>
        </w:rPr>
        <w:t xml:space="preserve">of </w:t>
      </w:r>
      <w:r w:rsidR="002F4CE2" w:rsidRPr="00EC6C19">
        <w:rPr>
          <w:rFonts w:ascii="Times New Roman" w:hAnsi="Times New Roman" w:cs="Times New Roman"/>
          <w:sz w:val="24"/>
          <w:szCs w:val="24"/>
        </w:rPr>
        <w:t xml:space="preserve">research, a medical devices company approached the institution with interest surrounding our CT coronary angiogram data. </w:t>
      </w:r>
    </w:p>
    <w:p w14:paraId="2156D27E" w14:textId="77777777" w:rsidR="00BA7B06" w:rsidRPr="00EC6C19" w:rsidRDefault="002F4CE2"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There appears to be a way in vivo to abolish hydrostatic effect by using a specific kind of physiology wire, which is undergoing preliminary trials. </w:t>
      </w:r>
      <w:r w:rsidR="00BA7B06" w:rsidRPr="00EC6C19">
        <w:rPr>
          <w:rFonts w:ascii="Times New Roman" w:hAnsi="Times New Roman" w:cs="Times New Roman"/>
          <w:sz w:val="24"/>
          <w:szCs w:val="24"/>
        </w:rPr>
        <w:t xml:space="preserve">The concept involves measuring pressure distal to the stenosis using a physiology wire with a saline filled centre. The pressure is projected through the saline central lumen to an external pressure sensor sitting at aortic level outside of the patient. This abolishes hydrostatic pressure, by ensuring the distal sensor is always at the same vertical level. The pressure in the distal vessel is now not compounded by hydrostatic effect. </w:t>
      </w:r>
      <w:r w:rsidR="00BA7B06" w:rsidRPr="00233B02">
        <w:rPr>
          <w:rFonts w:ascii="Times New Roman" w:hAnsi="Times New Roman" w:cs="Times New Roman"/>
          <w:sz w:val="24"/>
          <w:szCs w:val="24"/>
        </w:rPr>
        <w:t xml:space="preserve">Figure </w:t>
      </w:r>
      <w:r w:rsidR="00233B02" w:rsidRPr="00233B02">
        <w:rPr>
          <w:rFonts w:ascii="Times New Roman" w:hAnsi="Times New Roman" w:cs="Times New Roman"/>
          <w:sz w:val="24"/>
          <w:szCs w:val="24"/>
        </w:rPr>
        <w:t>55</w:t>
      </w:r>
      <w:r w:rsidR="00BA7B06" w:rsidRPr="00EC6C19">
        <w:rPr>
          <w:rFonts w:ascii="Times New Roman" w:hAnsi="Times New Roman" w:cs="Times New Roman"/>
          <w:sz w:val="24"/>
          <w:szCs w:val="24"/>
        </w:rPr>
        <w:t xml:space="preserve"> demonstrates this.</w:t>
      </w:r>
    </w:p>
    <w:p w14:paraId="1AD5FBA6" w14:textId="77777777" w:rsidR="002778F7" w:rsidRPr="00EC6C19" w:rsidRDefault="002778F7" w:rsidP="00154DE6">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0E17377F" wp14:editId="2BB8BB69">
            <wp:extent cx="5934075" cy="2000250"/>
            <wp:effectExtent l="19050" t="0" r="9525" b="0"/>
            <wp:docPr id="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srcRect/>
                    <a:stretch>
                      <a:fillRect/>
                    </a:stretch>
                  </pic:blipFill>
                  <pic:spPr bwMode="auto">
                    <a:xfrm>
                      <a:off x="0" y="0"/>
                      <a:ext cx="5934075" cy="2000250"/>
                    </a:xfrm>
                    <a:prstGeom prst="rect">
                      <a:avLst/>
                    </a:prstGeom>
                    <a:noFill/>
                    <a:ln w="9525">
                      <a:noFill/>
                      <a:miter lim="800000"/>
                      <a:headEnd/>
                      <a:tailEnd/>
                    </a:ln>
                  </pic:spPr>
                </pic:pic>
              </a:graphicData>
            </a:graphic>
          </wp:inline>
        </w:drawing>
      </w:r>
    </w:p>
    <w:p w14:paraId="1E23DAE9" w14:textId="77777777" w:rsidR="00BA7B06" w:rsidRPr="00233B02" w:rsidRDefault="00233B02" w:rsidP="00233B02">
      <w:pPr>
        <w:pStyle w:val="Caption"/>
        <w:spacing w:line="360" w:lineRule="auto"/>
        <w:rPr>
          <w:rFonts w:ascii="Times New Roman" w:hAnsi="Times New Roman" w:cs="Times New Roman"/>
          <w:b w:val="0"/>
          <w:i/>
          <w:color w:val="auto"/>
          <w:sz w:val="24"/>
          <w:szCs w:val="24"/>
        </w:rPr>
      </w:pPr>
      <w:bookmarkStart w:id="252" w:name="_Toc44684944"/>
      <w:r w:rsidRPr="00233B02">
        <w:rPr>
          <w:rFonts w:ascii="Times New Roman" w:hAnsi="Times New Roman" w:cs="Times New Roman"/>
          <w:b w:val="0"/>
          <w:i/>
          <w:color w:val="auto"/>
          <w:sz w:val="24"/>
          <w:szCs w:val="24"/>
        </w:rPr>
        <w:t xml:space="preserve">Figure </w:t>
      </w:r>
      <w:r w:rsidR="00106A32" w:rsidRPr="00233B02">
        <w:rPr>
          <w:rFonts w:ascii="Times New Roman" w:hAnsi="Times New Roman" w:cs="Times New Roman"/>
          <w:b w:val="0"/>
          <w:i/>
          <w:color w:val="auto"/>
          <w:sz w:val="24"/>
          <w:szCs w:val="24"/>
        </w:rPr>
        <w:fldChar w:fldCharType="begin"/>
      </w:r>
      <w:r w:rsidRPr="00233B02">
        <w:rPr>
          <w:rFonts w:ascii="Times New Roman" w:hAnsi="Times New Roman" w:cs="Times New Roman"/>
          <w:b w:val="0"/>
          <w:i/>
          <w:color w:val="auto"/>
          <w:sz w:val="24"/>
          <w:szCs w:val="24"/>
        </w:rPr>
        <w:instrText xml:space="preserve"> SEQ Figure \* ARABIC </w:instrText>
      </w:r>
      <w:r w:rsidR="00106A32" w:rsidRPr="00233B02">
        <w:rPr>
          <w:rFonts w:ascii="Times New Roman" w:hAnsi="Times New Roman" w:cs="Times New Roman"/>
          <w:b w:val="0"/>
          <w:i/>
          <w:color w:val="auto"/>
          <w:sz w:val="24"/>
          <w:szCs w:val="24"/>
        </w:rPr>
        <w:fldChar w:fldCharType="separate"/>
      </w:r>
      <w:r w:rsidR="00816506">
        <w:rPr>
          <w:rFonts w:ascii="Times New Roman" w:hAnsi="Times New Roman" w:cs="Times New Roman"/>
          <w:b w:val="0"/>
          <w:i/>
          <w:noProof/>
          <w:color w:val="auto"/>
          <w:sz w:val="24"/>
          <w:szCs w:val="24"/>
        </w:rPr>
        <w:t>55</w:t>
      </w:r>
      <w:r w:rsidR="00106A32" w:rsidRPr="00233B02">
        <w:rPr>
          <w:rFonts w:ascii="Times New Roman" w:hAnsi="Times New Roman" w:cs="Times New Roman"/>
          <w:b w:val="0"/>
          <w:i/>
          <w:color w:val="auto"/>
          <w:sz w:val="24"/>
          <w:szCs w:val="24"/>
        </w:rPr>
        <w:fldChar w:fldCharType="end"/>
      </w:r>
      <w:r w:rsidRPr="00233B02">
        <w:rPr>
          <w:rFonts w:ascii="Times New Roman" w:hAnsi="Times New Roman" w:cs="Times New Roman"/>
          <w:b w:val="0"/>
          <w:i/>
          <w:color w:val="auto"/>
          <w:sz w:val="24"/>
          <w:szCs w:val="24"/>
        </w:rPr>
        <w:t xml:space="preserve"> - Hydrostatic Effect Immune Wires </w:t>
      </w:r>
      <w:r w:rsidR="002778F7" w:rsidRPr="00233B02">
        <w:rPr>
          <w:rFonts w:ascii="Times New Roman" w:hAnsi="Times New Roman" w:cs="Times New Roman"/>
          <w:b w:val="0"/>
          <w:i/>
          <w:color w:val="auto"/>
          <w:sz w:val="24"/>
          <w:szCs w:val="24"/>
        </w:rPr>
        <w:t>- Pd pressure is transferred through a saline centred wire and measured externally through a transducer at the same level as Pa. The height difference is therefore abolished</w:t>
      </w:r>
      <w:bookmarkEnd w:id="252"/>
    </w:p>
    <w:p w14:paraId="6091DAAF" w14:textId="77777777" w:rsidR="008B33E9" w:rsidRPr="00EC6C19" w:rsidRDefault="008B33E9" w:rsidP="00154DE6">
      <w:pPr>
        <w:spacing w:line="360" w:lineRule="auto"/>
        <w:rPr>
          <w:rFonts w:ascii="Times New Roman" w:hAnsi="Times New Roman" w:cs="Times New Roman"/>
          <w:sz w:val="24"/>
          <w:szCs w:val="24"/>
        </w:rPr>
      </w:pPr>
    </w:p>
    <w:p w14:paraId="567F54B3" w14:textId="77777777" w:rsidR="002778F7" w:rsidRPr="00EC6C19" w:rsidRDefault="008B33E9" w:rsidP="00154DE6">
      <w:pPr>
        <w:spacing w:line="360" w:lineRule="auto"/>
        <w:rPr>
          <w:rFonts w:ascii="Times New Roman" w:hAnsi="Times New Roman" w:cs="Times New Roman"/>
          <w:sz w:val="24"/>
          <w:szCs w:val="24"/>
        </w:rPr>
      </w:pPr>
      <w:r w:rsidRPr="00EC6C19">
        <w:rPr>
          <w:rFonts w:ascii="Times New Roman" w:hAnsi="Times New Roman" w:cs="Times New Roman"/>
          <w:sz w:val="24"/>
          <w:szCs w:val="24"/>
        </w:rPr>
        <w:t>This wire</w:t>
      </w:r>
      <w:r w:rsidR="00585A00">
        <w:rPr>
          <w:rFonts w:ascii="Times New Roman" w:hAnsi="Times New Roman" w:cs="Times New Roman"/>
          <w:sz w:val="24"/>
          <w:szCs w:val="24"/>
        </w:rPr>
        <w:t>,</w:t>
      </w:r>
      <w:r w:rsidRPr="00EC6C19">
        <w:rPr>
          <w:rFonts w:ascii="Times New Roman" w:hAnsi="Times New Roman" w:cs="Times New Roman"/>
          <w:sz w:val="24"/>
          <w:szCs w:val="24"/>
        </w:rPr>
        <w:t xml:space="preserve"> if fully produced</w:t>
      </w:r>
      <w:r w:rsidR="00585A00">
        <w:rPr>
          <w:rFonts w:ascii="Times New Roman" w:hAnsi="Times New Roman" w:cs="Times New Roman"/>
          <w:sz w:val="24"/>
          <w:szCs w:val="24"/>
        </w:rPr>
        <w:t>,</w:t>
      </w:r>
      <w:r w:rsidRPr="00EC6C19">
        <w:rPr>
          <w:rFonts w:ascii="Times New Roman" w:hAnsi="Times New Roman" w:cs="Times New Roman"/>
          <w:sz w:val="24"/>
          <w:szCs w:val="24"/>
        </w:rPr>
        <w:t xml:space="preserve"> could negate all hydrostatic effect, and give a pure stenosis pressure signal. This would make vessel mapping obsolete if incorporated into angiography laboratory set-up.</w:t>
      </w:r>
    </w:p>
    <w:p w14:paraId="6DE12ACB" w14:textId="77777777" w:rsidR="00BB4477" w:rsidRPr="00EC6C19" w:rsidRDefault="008B33E9" w:rsidP="00BB447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It </w:t>
      </w:r>
      <w:r w:rsidR="002F4CE2" w:rsidRPr="00EC6C19">
        <w:rPr>
          <w:rFonts w:ascii="Times New Roman" w:hAnsi="Times New Roman" w:cs="Times New Roman"/>
          <w:sz w:val="24"/>
          <w:szCs w:val="24"/>
        </w:rPr>
        <w:t xml:space="preserve">is hugely re-assuring to know that a concept which has </w:t>
      </w:r>
      <w:r w:rsidR="00BB4BA6" w:rsidRPr="00EC6C19">
        <w:rPr>
          <w:rFonts w:ascii="Times New Roman" w:hAnsi="Times New Roman" w:cs="Times New Roman"/>
          <w:sz w:val="24"/>
          <w:szCs w:val="24"/>
        </w:rPr>
        <w:t>considered largely irrelevant</w:t>
      </w:r>
      <w:r w:rsidR="002F4CE2" w:rsidRPr="00EC6C19">
        <w:rPr>
          <w:rFonts w:ascii="Times New Roman" w:hAnsi="Times New Roman" w:cs="Times New Roman"/>
          <w:sz w:val="24"/>
          <w:szCs w:val="24"/>
        </w:rPr>
        <w:t>, is being investigated by other academics in the field, partly due to the literature this study has produced. There may indeed be future collaborations between industry and our institution, in developing novel, and clinically relevant medical equipment.</w:t>
      </w:r>
    </w:p>
    <w:p w14:paraId="7233B0CB" w14:textId="77777777" w:rsidR="00BB4477" w:rsidRPr="00EC6C19" w:rsidRDefault="00BB4477" w:rsidP="00BB4477">
      <w:pPr>
        <w:spacing w:line="360" w:lineRule="auto"/>
        <w:rPr>
          <w:rFonts w:ascii="Times New Roman" w:hAnsi="Times New Roman" w:cs="Times New Roman"/>
          <w:sz w:val="24"/>
          <w:szCs w:val="24"/>
        </w:rPr>
      </w:pPr>
    </w:p>
    <w:p w14:paraId="4412501C" w14:textId="77777777" w:rsidR="00BB4477" w:rsidRPr="006C1A70" w:rsidRDefault="006C1A70" w:rsidP="006C1A70">
      <w:pPr>
        <w:pStyle w:val="Heading2"/>
        <w:rPr>
          <w:rFonts w:ascii="Times New Roman" w:hAnsi="Times New Roman" w:cs="Times New Roman"/>
          <w:color w:val="auto"/>
          <w:sz w:val="24"/>
          <w:szCs w:val="24"/>
        </w:rPr>
      </w:pPr>
      <w:bookmarkStart w:id="253" w:name="_Toc80302302"/>
      <w:r w:rsidRPr="006C1A70">
        <w:rPr>
          <w:rFonts w:ascii="Times New Roman" w:hAnsi="Times New Roman" w:cs="Times New Roman"/>
          <w:color w:val="auto"/>
          <w:sz w:val="24"/>
          <w:szCs w:val="24"/>
        </w:rPr>
        <w:t xml:space="preserve">4.13 - </w:t>
      </w:r>
      <w:r w:rsidR="00BB4477" w:rsidRPr="006C1A70">
        <w:rPr>
          <w:rFonts w:ascii="Times New Roman" w:hAnsi="Times New Roman" w:cs="Times New Roman"/>
          <w:color w:val="auto"/>
          <w:sz w:val="24"/>
          <w:szCs w:val="24"/>
        </w:rPr>
        <w:t>Final Thoughts</w:t>
      </w:r>
      <w:bookmarkEnd w:id="253"/>
    </w:p>
    <w:p w14:paraId="0D981F76" w14:textId="77777777" w:rsidR="00BB4477" w:rsidRPr="00EC6C19" w:rsidRDefault="006C1A70" w:rsidP="00BB4477">
      <w:pPr>
        <w:spacing w:line="360" w:lineRule="auto"/>
        <w:rPr>
          <w:rFonts w:ascii="Times New Roman" w:hAnsi="Times New Roman" w:cs="Times New Roman"/>
          <w:sz w:val="24"/>
          <w:szCs w:val="24"/>
        </w:rPr>
      </w:pPr>
      <w:r>
        <w:rPr>
          <w:rFonts w:ascii="Times New Roman" w:hAnsi="Times New Roman" w:cs="Times New Roman"/>
          <w:sz w:val="24"/>
          <w:szCs w:val="24"/>
        </w:rPr>
        <w:br/>
      </w:r>
    </w:p>
    <w:p w14:paraId="1FFBAAD1" w14:textId="7FD54016" w:rsidR="00BB4477" w:rsidRPr="00EC6C19" w:rsidRDefault="003815B8" w:rsidP="00BB447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aim of this study was not to change clinical practice, or specifically alter the use of </w:t>
      </w:r>
      <w:r w:rsidR="00DB7E59" w:rsidRPr="00EC6C19">
        <w:rPr>
          <w:rFonts w:ascii="Times New Roman" w:hAnsi="Times New Roman" w:cs="Times New Roman"/>
          <w:sz w:val="24"/>
          <w:szCs w:val="24"/>
        </w:rPr>
        <w:t>pressure</w:t>
      </w:r>
      <w:r w:rsidR="00DB7E59">
        <w:rPr>
          <w:rFonts w:ascii="Times New Roman" w:hAnsi="Times New Roman" w:cs="Times New Roman"/>
          <w:sz w:val="24"/>
          <w:szCs w:val="24"/>
        </w:rPr>
        <w:t>-</w:t>
      </w:r>
      <w:r w:rsidRPr="00EC6C19">
        <w:rPr>
          <w:rFonts w:ascii="Times New Roman" w:hAnsi="Times New Roman" w:cs="Times New Roman"/>
          <w:sz w:val="24"/>
          <w:szCs w:val="24"/>
        </w:rPr>
        <w:t>based indices. It would be impossible to invalidate over twenty-five yea</w:t>
      </w:r>
      <w:r w:rsidR="00D52A69">
        <w:rPr>
          <w:rFonts w:ascii="Times New Roman" w:hAnsi="Times New Roman" w:cs="Times New Roman"/>
          <w:sz w:val="24"/>
          <w:szCs w:val="24"/>
        </w:rPr>
        <w:t>rs</w:t>
      </w:r>
      <w:r w:rsidRPr="00EC6C19">
        <w:rPr>
          <w:rFonts w:ascii="Times New Roman" w:hAnsi="Times New Roman" w:cs="Times New Roman"/>
          <w:sz w:val="24"/>
          <w:szCs w:val="24"/>
        </w:rPr>
        <w:t xml:space="preserve"> of data</w:t>
      </w:r>
      <w:r w:rsidR="003930FC" w:rsidRPr="00EC6C19">
        <w:rPr>
          <w:rFonts w:ascii="Times New Roman" w:hAnsi="Times New Roman" w:cs="Times New Roman"/>
          <w:sz w:val="24"/>
          <w:szCs w:val="24"/>
        </w:rPr>
        <w:t xml:space="preserve"> </w:t>
      </w:r>
      <w:r w:rsidR="004632B4" w:rsidRPr="00EC6C19">
        <w:rPr>
          <w:rFonts w:ascii="Times New Roman" w:hAnsi="Times New Roman" w:cs="Times New Roman"/>
          <w:sz w:val="24"/>
          <w:szCs w:val="24"/>
        </w:rPr>
        <w:t>with</w:t>
      </w:r>
      <w:r w:rsidR="00B05972" w:rsidRPr="00EC6C19">
        <w:rPr>
          <w:rFonts w:ascii="Times New Roman" w:hAnsi="Times New Roman" w:cs="Times New Roman"/>
          <w:sz w:val="24"/>
          <w:szCs w:val="24"/>
        </w:rPr>
        <w:t xml:space="preserve"> a relatively small data set</w:t>
      </w:r>
      <w:r w:rsidRPr="00EC6C19">
        <w:rPr>
          <w:rFonts w:ascii="Times New Roman" w:hAnsi="Times New Roman" w:cs="Times New Roman"/>
          <w:sz w:val="24"/>
          <w:szCs w:val="24"/>
        </w:rPr>
        <w:t xml:space="preserve">. The hope is to emphasise the importance of widely neglected phenomenon to clinicians who use </w:t>
      </w:r>
      <w:r w:rsidR="00DB7E59" w:rsidRPr="00EC6C19">
        <w:rPr>
          <w:rFonts w:ascii="Times New Roman" w:hAnsi="Times New Roman" w:cs="Times New Roman"/>
          <w:sz w:val="24"/>
          <w:szCs w:val="24"/>
        </w:rPr>
        <w:t>pressure</w:t>
      </w:r>
      <w:r w:rsidR="00DB7E59">
        <w:rPr>
          <w:rFonts w:ascii="Times New Roman" w:hAnsi="Times New Roman" w:cs="Times New Roman"/>
          <w:sz w:val="24"/>
          <w:szCs w:val="24"/>
        </w:rPr>
        <w:t>-</w:t>
      </w:r>
      <w:r w:rsidRPr="00EC6C19">
        <w:rPr>
          <w:rFonts w:ascii="Times New Roman" w:hAnsi="Times New Roman" w:cs="Times New Roman"/>
          <w:sz w:val="24"/>
          <w:szCs w:val="24"/>
        </w:rPr>
        <w:t>based indices as a daily diagnostic tool.</w:t>
      </w:r>
    </w:p>
    <w:p w14:paraId="14D4C934" w14:textId="77777777" w:rsidR="003815B8" w:rsidRDefault="003815B8" w:rsidP="00BB4477">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study has certainly changed the way operators at the Essex Cardiothoracic Centre approach pressure wire studies. If this ethos could spread to the wider community, it should only aid </w:t>
      </w:r>
      <w:r w:rsidR="00B05972" w:rsidRPr="00EC6C19">
        <w:rPr>
          <w:rFonts w:ascii="Times New Roman" w:hAnsi="Times New Roman" w:cs="Times New Roman"/>
          <w:sz w:val="24"/>
          <w:szCs w:val="24"/>
        </w:rPr>
        <w:t xml:space="preserve">the </w:t>
      </w:r>
      <w:r w:rsidRPr="00EC6C19">
        <w:rPr>
          <w:rFonts w:ascii="Times New Roman" w:hAnsi="Times New Roman" w:cs="Times New Roman"/>
          <w:sz w:val="24"/>
          <w:szCs w:val="24"/>
        </w:rPr>
        <w:t>continu</w:t>
      </w:r>
      <w:r w:rsidR="00B05972" w:rsidRPr="00EC6C19">
        <w:rPr>
          <w:rFonts w:ascii="Times New Roman" w:hAnsi="Times New Roman" w:cs="Times New Roman"/>
          <w:sz w:val="24"/>
          <w:szCs w:val="24"/>
        </w:rPr>
        <w:t>ous learning process in delivering the best patient care</w:t>
      </w:r>
      <w:r w:rsidRPr="00EC6C19">
        <w:rPr>
          <w:rFonts w:ascii="Times New Roman" w:hAnsi="Times New Roman" w:cs="Times New Roman"/>
          <w:sz w:val="24"/>
          <w:szCs w:val="24"/>
        </w:rPr>
        <w:t>.</w:t>
      </w:r>
    </w:p>
    <w:p w14:paraId="423788FC" w14:textId="77777777" w:rsidR="00DB1605" w:rsidRPr="00EC6C19" w:rsidRDefault="00DB1605" w:rsidP="00BB4477">
      <w:pPr>
        <w:spacing w:line="360" w:lineRule="auto"/>
        <w:rPr>
          <w:rFonts w:ascii="Times New Roman" w:hAnsi="Times New Roman" w:cs="Times New Roman"/>
          <w:sz w:val="24"/>
          <w:szCs w:val="24"/>
        </w:rPr>
      </w:pPr>
      <w:r>
        <w:rPr>
          <w:rFonts w:ascii="Times New Roman" w:hAnsi="Times New Roman" w:cs="Times New Roman"/>
          <w:sz w:val="24"/>
          <w:szCs w:val="24"/>
        </w:rPr>
        <w:t xml:space="preserve">In my personal practice, I am mindful of the position of the </w:t>
      </w:r>
      <w:r w:rsidR="00E1240D">
        <w:rPr>
          <w:rFonts w:ascii="Times New Roman" w:hAnsi="Times New Roman" w:cs="Times New Roman"/>
          <w:sz w:val="24"/>
          <w:szCs w:val="24"/>
        </w:rPr>
        <w:t xml:space="preserve">physiology </w:t>
      </w:r>
      <w:r>
        <w:rPr>
          <w:rFonts w:ascii="Times New Roman" w:hAnsi="Times New Roman" w:cs="Times New Roman"/>
          <w:sz w:val="24"/>
          <w:szCs w:val="24"/>
        </w:rPr>
        <w:t xml:space="preserve">wire and the vessel I am assessing. I believe in a multi-faceted approach in the assessment of the patient and their coronary anatomy. Pressure based indices are a single piece of the whole, and whilst FFR is an excellent diagnostic aid, </w:t>
      </w:r>
      <w:r w:rsidR="00E1240D">
        <w:rPr>
          <w:rFonts w:ascii="Times New Roman" w:hAnsi="Times New Roman" w:cs="Times New Roman"/>
          <w:sz w:val="24"/>
          <w:szCs w:val="24"/>
        </w:rPr>
        <w:t>like any clinical tool, it has limitations. This r</w:t>
      </w:r>
      <w:r w:rsidR="00D52A69">
        <w:rPr>
          <w:rFonts w:ascii="Times New Roman" w:hAnsi="Times New Roman" w:cs="Times New Roman"/>
          <w:sz w:val="24"/>
          <w:szCs w:val="24"/>
        </w:rPr>
        <w:t>esearch has certainly enlightened my clinical practice</w:t>
      </w:r>
      <w:r w:rsidR="00E1240D">
        <w:rPr>
          <w:rFonts w:ascii="Times New Roman" w:hAnsi="Times New Roman" w:cs="Times New Roman"/>
          <w:sz w:val="24"/>
          <w:szCs w:val="24"/>
        </w:rPr>
        <w:t xml:space="preserve">, </w:t>
      </w:r>
      <w:r w:rsidR="00D52A69">
        <w:rPr>
          <w:rFonts w:ascii="Times New Roman" w:hAnsi="Times New Roman" w:cs="Times New Roman"/>
          <w:sz w:val="24"/>
          <w:szCs w:val="24"/>
        </w:rPr>
        <w:t>and I hope it will for similarly for my colleagues</w:t>
      </w:r>
      <w:r w:rsidR="00E1240D">
        <w:rPr>
          <w:rFonts w:ascii="Times New Roman" w:hAnsi="Times New Roman" w:cs="Times New Roman"/>
          <w:sz w:val="24"/>
          <w:szCs w:val="24"/>
        </w:rPr>
        <w:t>.</w:t>
      </w:r>
    </w:p>
    <w:p w14:paraId="5696B37A" w14:textId="77777777" w:rsidR="00F20902" w:rsidRDefault="00F20902" w:rsidP="00F20902"/>
    <w:p w14:paraId="6E704614" w14:textId="77777777" w:rsidR="00F20902" w:rsidRPr="00F20902" w:rsidRDefault="00F20902" w:rsidP="00F20902"/>
    <w:p w14:paraId="5FBB139E" w14:textId="77777777" w:rsidR="002B1641" w:rsidRDefault="002B1641">
      <w:pPr>
        <w:rPr>
          <w:rFonts w:ascii="Times New Roman" w:eastAsiaTheme="majorEastAsia" w:hAnsi="Times New Roman" w:cs="Times New Roman"/>
          <w:b/>
          <w:bCs/>
          <w:sz w:val="24"/>
          <w:szCs w:val="24"/>
        </w:rPr>
      </w:pPr>
      <w:bookmarkStart w:id="254" w:name="_Toc80302303"/>
      <w:r>
        <w:rPr>
          <w:rFonts w:ascii="Times New Roman" w:hAnsi="Times New Roman" w:cs="Times New Roman"/>
          <w:sz w:val="24"/>
          <w:szCs w:val="24"/>
        </w:rPr>
        <w:br w:type="page"/>
      </w:r>
    </w:p>
    <w:p w14:paraId="643D69A5" w14:textId="1268F63C" w:rsidR="001C0BBF" w:rsidRPr="00E66794" w:rsidRDefault="00F04497" w:rsidP="00F20902">
      <w:pPr>
        <w:pStyle w:val="Heading1"/>
        <w:spacing w:before="240"/>
        <w:rPr>
          <w:rFonts w:ascii="Times New Roman" w:eastAsiaTheme="minorHAnsi" w:hAnsi="Times New Roman" w:cs="Times New Roman"/>
          <w:bCs w:val="0"/>
          <w:color w:val="auto"/>
          <w:sz w:val="24"/>
          <w:szCs w:val="24"/>
        </w:rPr>
      </w:pPr>
      <w:r w:rsidRPr="00E66794">
        <w:rPr>
          <w:rFonts w:ascii="Times New Roman" w:hAnsi="Times New Roman" w:cs="Times New Roman"/>
          <w:color w:val="auto"/>
          <w:sz w:val="24"/>
          <w:szCs w:val="24"/>
        </w:rPr>
        <w:t>References</w:t>
      </w:r>
      <w:bookmarkEnd w:id="254"/>
    </w:p>
    <w:p w14:paraId="230ACCDD" w14:textId="77777777" w:rsidR="001C0BBF" w:rsidRPr="00E66794" w:rsidRDefault="001C0BBF">
      <w:pPr>
        <w:rPr>
          <w:rFonts w:ascii="Times New Roman" w:hAnsi="Times New Roman" w:cs="Times New Roman"/>
          <w:b/>
          <w:sz w:val="24"/>
          <w:szCs w:val="24"/>
        </w:rPr>
      </w:pPr>
    </w:p>
    <w:p w14:paraId="7061FFAB" w14:textId="77777777" w:rsidR="00E66794" w:rsidRPr="00E66794" w:rsidRDefault="00106A32"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fldChar w:fldCharType="begin"/>
      </w:r>
      <w:r w:rsidR="00E66794" w:rsidRPr="00E66794">
        <w:rPr>
          <w:rFonts w:ascii="Times New Roman" w:hAnsi="Times New Roman" w:cs="Times New Roman"/>
          <w:sz w:val="24"/>
          <w:szCs w:val="24"/>
        </w:rPr>
        <w:instrText xml:space="preserve"> ADDIN ZOTERO_BIBL {"uncited":[],"omitted":[],"custom":[]} CSL_BIBLIOGRAPHY </w:instrText>
      </w:r>
      <w:r w:rsidRPr="00E66794">
        <w:rPr>
          <w:rFonts w:ascii="Times New Roman" w:hAnsi="Times New Roman" w:cs="Times New Roman"/>
          <w:sz w:val="24"/>
          <w:szCs w:val="24"/>
        </w:rPr>
        <w:fldChar w:fldCharType="separate"/>
      </w:r>
      <w:r w:rsidR="00E66794" w:rsidRPr="00E66794">
        <w:rPr>
          <w:rFonts w:ascii="Times New Roman" w:hAnsi="Times New Roman" w:cs="Times New Roman"/>
          <w:sz w:val="24"/>
          <w:szCs w:val="24"/>
        </w:rPr>
        <w:t xml:space="preserve">Adjedj, J., Xaplanteris, P., Toth, G., Ferrara, A., Pellicano, M., Ciccarelli, G., Floré, V., Barbato, E. and De Bruyne, B., 2017. Visual and Quantitative Assessment of Coronary Stenoses at Angiography Versus Fractional Flow Reserve: The Impact of Risk Factors. </w:t>
      </w:r>
      <w:r w:rsidR="00E66794" w:rsidRPr="00E66794">
        <w:rPr>
          <w:rFonts w:ascii="Times New Roman" w:hAnsi="Times New Roman" w:cs="Times New Roman"/>
          <w:i/>
          <w:iCs/>
          <w:sz w:val="24"/>
          <w:szCs w:val="24"/>
        </w:rPr>
        <w:t>Circulation. Cardiovascular Imaging</w:t>
      </w:r>
      <w:r w:rsidR="00E66794" w:rsidRPr="00E66794">
        <w:rPr>
          <w:rFonts w:ascii="Times New Roman" w:hAnsi="Times New Roman" w:cs="Times New Roman"/>
          <w:sz w:val="24"/>
          <w:szCs w:val="24"/>
        </w:rPr>
        <w:t>, 10(7).</w:t>
      </w:r>
    </w:p>
    <w:p w14:paraId="7A9A249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Ahn, J.-M., Park, D.-W., Shin, E.-S., Koo, B.-K., Nam, C.-W., Doh, J.-H., Kim, J.H., Chae, I.-H., Yoon, J.-H., Her, S.-H., Seung, K.-B., Chung, W.-Y., Yoo, S.-Y., Lee, J.B., Choi, S.W., Park, K., Hong, T.J., Lee, S.Y., Han, M., Lee, P.H., Kang, S.-J., Lee, S.-W., Kim, Y.-H., Lee, C.W., Park, S.-W., Park, S.-J. and IRIS-FFR Investigators†, 2017. Fractional Flow Reserve and Cardiac Events in Coronary Artery Disease: Data From a Prospective IRIS-FFR Registry (Interventional Cardiology Research Incooperation Society Fractional Flow Reserve).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135(23), pp.2241–2251.</w:t>
      </w:r>
    </w:p>
    <w:p w14:paraId="067B0DE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Al-Janabi, F., Karamasis, G., Cook, C.M., Kabir, A.M., Jagathesan, R.O., Robinson, N.M., Sayer, J.W., Aggarwal, R.K., Clesham, G.J., Kelly, P.R., Gamma, R.A., Tang, K.H., Keeble, T.R. and Davies, J.R., 2019. Coronary artery height differences and their effect on fractional flow reserve. </w:t>
      </w:r>
      <w:r w:rsidRPr="00E66794">
        <w:rPr>
          <w:rFonts w:ascii="Times New Roman" w:hAnsi="Times New Roman" w:cs="Times New Roman"/>
          <w:i/>
          <w:iCs/>
          <w:sz w:val="24"/>
          <w:szCs w:val="24"/>
        </w:rPr>
        <w:t>Cardiology Journal</w:t>
      </w:r>
      <w:r w:rsidRPr="00E66794">
        <w:rPr>
          <w:rFonts w:ascii="Times New Roman" w:hAnsi="Times New Roman" w:cs="Times New Roman"/>
          <w:sz w:val="24"/>
          <w:szCs w:val="24"/>
        </w:rPr>
        <w:t>.</w:t>
      </w:r>
    </w:p>
    <w:p w14:paraId="39D1F8D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Al-Lamee, R., Davies, J. and Malik, I.S., 2016. What is the role of coronary angioplasty and stenting in stable angina? </w:t>
      </w:r>
      <w:r w:rsidRPr="00E66794">
        <w:rPr>
          <w:rFonts w:ascii="Times New Roman" w:hAnsi="Times New Roman" w:cs="Times New Roman"/>
          <w:i/>
          <w:iCs/>
          <w:sz w:val="24"/>
          <w:szCs w:val="24"/>
        </w:rPr>
        <w:t>BMJ</w:t>
      </w:r>
      <w:r w:rsidRPr="00E66794">
        <w:rPr>
          <w:rFonts w:ascii="Times New Roman" w:hAnsi="Times New Roman" w:cs="Times New Roman"/>
          <w:sz w:val="24"/>
          <w:szCs w:val="24"/>
        </w:rPr>
        <w:t>, 352, p.i205.</w:t>
      </w:r>
    </w:p>
    <w:p w14:paraId="47433AD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Al-Lamee, R., Thompson, D., Dehbi, H.-M., Sen, S., Tang, K., Davies, J., Keeble, T., Mielewczik, M., Kaprielian, R., Malik, I.S., Nijjer, S.S., Petraco, R., Cook, C., Ahmad, Y., Howard, J., Baker, C., Sharp, A., Gerber, R., Talwar, S., Assomull, R., Mayet, J., Wensel, R., Collier, D., Shun-Shin, M., Thom, S.A., Davies, J.E., Francis, D.P. and ORBITA investigators, 2018. Percutaneous coronary intervention in stable angina (ORBITA): a double-blind, randomised controlled trial. </w:t>
      </w:r>
      <w:r w:rsidRPr="00E66794">
        <w:rPr>
          <w:rFonts w:ascii="Times New Roman" w:hAnsi="Times New Roman" w:cs="Times New Roman"/>
          <w:i/>
          <w:iCs/>
          <w:sz w:val="24"/>
          <w:szCs w:val="24"/>
        </w:rPr>
        <w:t>Lancet (London, England)</w:t>
      </w:r>
      <w:r w:rsidRPr="00E66794">
        <w:rPr>
          <w:rFonts w:ascii="Times New Roman" w:hAnsi="Times New Roman" w:cs="Times New Roman"/>
          <w:sz w:val="24"/>
          <w:szCs w:val="24"/>
        </w:rPr>
        <w:t>, 391(10115), pp.31–40.</w:t>
      </w:r>
    </w:p>
    <w:p w14:paraId="7935774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Al-Mukhaini, M., Panduranga, P., Sulaiman, K., Riyami, A.A., Deeb, M. and Riyami, M.B., 2011. Coronary perforation and covered stents: an update and review. </w:t>
      </w:r>
      <w:r w:rsidRPr="00E66794">
        <w:rPr>
          <w:rFonts w:ascii="Times New Roman" w:hAnsi="Times New Roman" w:cs="Times New Roman"/>
          <w:i/>
          <w:iCs/>
          <w:sz w:val="24"/>
          <w:szCs w:val="24"/>
        </w:rPr>
        <w:t>Heart Views: The Official Journal of the Gulf Heart Association</w:t>
      </w:r>
      <w:r w:rsidRPr="00E66794">
        <w:rPr>
          <w:rFonts w:ascii="Times New Roman" w:hAnsi="Times New Roman" w:cs="Times New Roman"/>
          <w:sz w:val="24"/>
          <w:szCs w:val="24"/>
        </w:rPr>
        <w:t>, 12(2), pp.63–70.</w:t>
      </w:r>
    </w:p>
    <w:p w14:paraId="132D3CC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Andersen, H.R., Nielsen, T.T., Rasmussen, K., Thuesen, L., Kelbaek, H., Thayssen, P., Abildgaard, U., Pedersen, F., Madsen, J.K., Grande, P., Villadsen, A.B., Krusell, L.R., Haghfelt, T., Lomholt, P., Husted, S.E., Vigholt, E., Kjaergard, H.K., Mortensen, L.S. and DANAMI-2 Investigators, 2003. A comparison of coronary angioplasty with fibrinolytic therapy in acute myocardial infarction.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349(8), pp.733–742.</w:t>
      </w:r>
    </w:p>
    <w:p w14:paraId="4981667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Anderson, H.V., Shaw, R.E., Brindis, R.G., McKay, C.R., Klein, L.W., Krone, R.J., Ho, K.K.L., Rumsfeld, J.S., Smith, S.C. and Weintraub, W.S., 2007. Risk-adjusted mortality analysis of percutaneous coronary interventions by American College of Cardiology/American Heart Association guidelines recommendations. </w:t>
      </w:r>
      <w:r w:rsidRPr="00E66794">
        <w:rPr>
          <w:rFonts w:ascii="Times New Roman" w:hAnsi="Times New Roman" w:cs="Times New Roman"/>
          <w:i/>
          <w:iCs/>
          <w:sz w:val="24"/>
          <w:szCs w:val="24"/>
        </w:rPr>
        <w:t>The American Journal of Cardiology</w:t>
      </w:r>
      <w:r w:rsidRPr="00E66794">
        <w:rPr>
          <w:rFonts w:ascii="Times New Roman" w:hAnsi="Times New Roman" w:cs="Times New Roman"/>
          <w:sz w:val="24"/>
          <w:szCs w:val="24"/>
        </w:rPr>
        <w:t>, 99(2), pp.189–196.</w:t>
      </w:r>
    </w:p>
    <w:p w14:paraId="0444208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Anon 1994. Indications for fibrinolytic therapy in suspected acute myocardial infarction: collaborative overview of early mortality and major morbidity results from all randomised trials of more than 1000 patients. Fibrinolytic Therapy Trialists’ (FTT) Collaborative Group. </w:t>
      </w:r>
      <w:r w:rsidRPr="00E66794">
        <w:rPr>
          <w:rFonts w:ascii="Times New Roman" w:hAnsi="Times New Roman" w:cs="Times New Roman"/>
          <w:i/>
          <w:iCs/>
          <w:sz w:val="24"/>
          <w:szCs w:val="24"/>
        </w:rPr>
        <w:t>Lancet (London, England)</w:t>
      </w:r>
      <w:r w:rsidRPr="00E66794">
        <w:rPr>
          <w:rFonts w:ascii="Times New Roman" w:hAnsi="Times New Roman" w:cs="Times New Roman"/>
          <w:sz w:val="24"/>
          <w:szCs w:val="24"/>
        </w:rPr>
        <w:t>, 343(8893), pp.311–322.</w:t>
      </w:r>
    </w:p>
    <w:p w14:paraId="44A15B5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Anon 2018. </w:t>
      </w:r>
      <w:r w:rsidRPr="00E66794">
        <w:rPr>
          <w:rFonts w:ascii="Times New Roman" w:hAnsi="Times New Roman" w:cs="Times New Roman"/>
          <w:i/>
          <w:iCs/>
          <w:sz w:val="24"/>
          <w:szCs w:val="24"/>
        </w:rPr>
        <w:t>Avoidable mortality in England and Wales - Office for National Statistics</w:t>
      </w:r>
      <w:r w:rsidRPr="00E66794">
        <w:rPr>
          <w:rFonts w:ascii="Times New Roman" w:hAnsi="Times New Roman" w:cs="Times New Roman"/>
          <w:sz w:val="24"/>
          <w:szCs w:val="24"/>
        </w:rPr>
        <w:t>. [online] Available at: &lt;https://www.ons.gov.uk/peoplepopulationandcommunity/healthandsocialcare/causesofdeath/bulletins/avoidablemortalityinenglandandwales/2015&gt; [Accessed 16 Apr. 2018].</w:t>
      </w:r>
    </w:p>
    <w:p w14:paraId="7D3B346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Anon 2018. </w:t>
      </w:r>
      <w:r w:rsidRPr="00E66794">
        <w:rPr>
          <w:rFonts w:ascii="Times New Roman" w:hAnsi="Times New Roman" w:cs="Times New Roman"/>
          <w:i/>
          <w:iCs/>
          <w:sz w:val="24"/>
          <w:szCs w:val="24"/>
        </w:rPr>
        <w:t>Chest pain of recent onset: assessment and diagnosis | Guidance and guidelines | NICE</w:t>
      </w:r>
      <w:r w:rsidRPr="00E66794">
        <w:rPr>
          <w:rFonts w:ascii="Times New Roman" w:hAnsi="Times New Roman" w:cs="Times New Roman"/>
          <w:sz w:val="24"/>
          <w:szCs w:val="24"/>
        </w:rPr>
        <w:t>. [online] Available at: &lt;https://www.nice.org.uk/guidance/cg95/chapter/Recommendations#people-presenting-with-stable-chest-pain&gt; [Accessed 21 Jun. 2018].</w:t>
      </w:r>
    </w:p>
    <w:p w14:paraId="6356855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Anon 2018. </w:t>
      </w:r>
      <w:r w:rsidRPr="00E66794">
        <w:rPr>
          <w:rFonts w:ascii="Times New Roman" w:hAnsi="Times New Roman" w:cs="Times New Roman"/>
          <w:i/>
          <w:iCs/>
          <w:sz w:val="24"/>
          <w:szCs w:val="24"/>
        </w:rPr>
        <w:t>Heart statistics</w:t>
      </w:r>
      <w:r w:rsidRPr="00E66794">
        <w:rPr>
          <w:rFonts w:ascii="Times New Roman" w:hAnsi="Times New Roman" w:cs="Times New Roman"/>
          <w:sz w:val="24"/>
          <w:szCs w:val="24"/>
        </w:rPr>
        <w:t>. [online] Available at: &lt;https://www.bhf.org.uk/research/heart-statistics&gt; [Accessed 24 Apr. 2018].</w:t>
      </w:r>
    </w:p>
    <w:p w14:paraId="094776A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Anon 2018. </w:t>
      </w:r>
      <w:r w:rsidRPr="00E66794">
        <w:rPr>
          <w:rFonts w:ascii="Times New Roman" w:hAnsi="Times New Roman" w:cs="Times New Roman"/>
          <w:i/>
          <w:iCs/>
          <w:sz w:val="24"/>
          <w:szCs w:val="24"/>
        </w:rPr>
        <w:t>Stable angina: management | Guidance and guidelines | NICE</w:t>
      </w:r>
      <w:r w:rsidRPr="00E66794">
        <w:rPr>
          <w:rFonts w:ascii="Times New Roman" w:hAnsi="Times New Roman" w:cs="Times New Roman"/>
          <w:sz w:val="24"/>
          <w:szCs w:val="24"/>
        </w:rPr>
        <w:t>. [online] Available at: &lt;https://www.nice.org.uk/guidance/CG126&gt; [Accessed 1 May 2018].</w:t>
      </w:r>
    </w:p>
    <w:p w14:paraId="159F1EF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Anon 2019. </w:t>
      </w:r>
      <w:r w:rsidRPr="00E66794">
        <w:rPr>
          <w:rFonts w:ascii="Times New Roman" w:hAnsi="Times New Roman" w:cs="Times New Roman"/>
          <w:i/>
          <w:iCs/>
          <w:sz w:val="24"/>
          <w:szCs w:val="24"/>
        </w:rPr>
        <w:t>Hydrostatic Forces: Don’t Let the Pressure Get to Your Head! - PubMed - NCBI</w:t>
      </w:r>
      <w:r w:rsidRPr="00E66794">
        <w:rPr>
          <w:rFonts w:ascii="Times New Roman" w:hAnsi="Times New Roman" w:cs="Times New Roman"/>
          <w:sz w:val="24"/>
          <w:szCs w:val="24"/>
        </w:rPr>
        <w:t>. [online] Available at: &lt;https://www.ncbi.nlm.nih.gov/pubmed/28797436&gt; [Accessed 29 Oct. 2019].</w:t>
      </w:r>
    </w:p>
    <w:p w14:paraId="1474863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Anon 2020. </w:t>
      </w:r>
      <w:r w:rsidRPr="00E66794">
        <w:rPr>
          <w:rFonts w:ascii="Times New Roman" w:hAnsi="Times New Roman" w:cs="Times New Roman"/>
          <w:i/>
          <w:iCs/>
          <w:sz w:val="24"/>
          <w:szCs w:val="24"/>
        </w:rPr>
        <w:t>ESC Guidelines on Chronic Coronary Syndromes (Previously titled Stable Coronary Artery Disease)</w:t>
      </w:r>
      <w:r w:rsidRPr="00E66794">
        <w:rPr>
          <w:rFonts w:ascii="Times New Roman" w:hAnsi="Times New Roman" w:cs="Times New Roman"/>
          <w:sz w:val="24"/>
          <w:szCs w:val="24"/>
        </w:rPr>
        <w:t>. [online] Available at: &lt;https://www.escardio.org/Guidelines/Clinical-Practice-Guidelines/Chronic-Coronary-Syndromes, https://www.escardio.org/Guidelines/Clinical-Practice-Guidelines/Chronic-Coronary-Syndromes&gt; [Accessed 14 May 2020].</w:t>
      </w:r>
    </w:p>
    <w:p w14:paraId="554E79B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Anon 2020. </w:t>
      </w:r>
      <w:r w:rsidRPr="00E66794">
        <w:rPr>
          <w:rFonts w:ascii="Times New Roman" w:hAnsi="Times New Roman" w:cs="Times New Roman"/>
          <w:i/>
          <w:iCs/>
          <w:sz w:val="24"/>
          <w:szCs w:val="24"/>
        </w:rPr>
        <w:t>PCR Abstract book</w:t>
      </w:r>
      <w:r w:rsidRPr="00E66794">
        <w:rPr>
          <w:rFonts w:ascii="Times New Roman" w:hAnsi="Times New Roman" w:cs="Times New Roman"/>
          <w:sz w:val="24"/>
          <w:szCs w:val="24"/>
        </w:rPr>
        <w:t>. [online] Available at: &lt;https://abstractbook.pcronline.com/index/slide/abstract/100377/search/hydro&gt; [Accessed 17 Jul. 2020].</w:t>
      </w:r>
    </w:p>
    <w:p w14:paraId="3EA0847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Antithrombotic Trialists’ Collaboration, 2002. Collaborative meta-analysis of randomised trials of antiplatelet therapy for prevention of death, myocardial infarction, and stroke in high risk patients. </w:t>
      </w:r>
      <w:r w:rsidRPr="00E66794">
        <w:rPr>
          <w:rFonts w:ascii="Times New Roman" w:hAnsi="Times New Roman" w:cs="Times New Roman"/>
          <w:i/>
          <w:iCs/>
          <w:sz w:val="24"/>
          <w:szCs w:val="24"/>
        </w:rPr>
        <w:t>BMJ (Clinical research ed.)</w:t>
      </w:r>
      <w:r w:rsidRPr="00E66794">
        <w:rPr>
          <w:rFonts w:ascii="Times New Roman" w:hAnsi="Times New Roman" w:cs="Times New Roman"/>
          <w:sz w:val="24"/>
          <w:szCs w:val="24"/>
        </w:rPr>
        <w:t>, 324(7329), pp.71–86.</w:t>
      </w:r>
    </w:p>
    <w:p w14:paraId="2F060C3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Authors/Task Force members, Windecker, S., Kolh, P., Alfonso, F., Collet, J.-P., Cremer, J., Falk, V., Filippatos, G., Hamm, C., Head, S.J., Jüni, P., Kappetein, A.P., Kastrati, A., Knuuti, J., Landmesser, U., Laufer, G., Neumann, F.-J., Richter, D.J., Schauerte, P., Sousa Uva, M., Stefanini, G.G., Taggart, D.P., Torracca, L., Valgimigli, M., Wijns, W. and Witkowski, A., 2014. 2014 ESC/EACTS Guidelines on myocardial revascularization: The Task Force on Myocardial Revascularization of the European Society of Cardiology (ESC) and the European Association for Cardio-Thoracic Surgery (EACTS)Developed with the special contribution of the European Association of Percutaneous Cardiovascular Interventions (EAPCI).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35(37), pp.2541–2619.</w:t>
      </w:r>
    </w:p>
    <w:p w14:paraId="16105F8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Axel, D.I., Kunert, W., Göggelmann, C., Oberhoff, M., Herdeg, C., Küttner, A., Wild, D.H., Brehm, B.R., Riessen, R., Köveker, G. and Karsch, K.R., 1997. Paclitaxel inhibits arterial smooth muscle cell proliferation and migration in vitro and in vivo using local drug delivery.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96(2), pp.636–645.</w:t>
      </w:r>
    </w:p>
    <w:p w14:paraId="0D2E3A1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Baigent, C., Collins, R., Appleby, P., Parish, S., Sleight, P. and Peto, R., 1998. ISIS-2: 10 year survival among patients with suspected acute myocardial infarction in randomised comparison of intravenous streptokinase, oral aspirin, both, or neither. The ISIS-2 (Second International Study of Infarct Survival) Collaborative Group. </w:t>
      </w:r>
      <w:r w:rsidRPr="00E66794">
        <w:rPr>
          <w:rFonts w:ascii="Times New Roman" w:hAnsi="Times New Roman" w:cs="Times New Roman"/>
          <w:i/>
          <w:iCs/>
          <w:sz w:val="24"/>
          <w:szCs w:val="24"/>
        </w:rPr>
        <w:t>BMJ (Clinical research ed.)</w:t>
      </w:r>
      <w:r w:rsidRPr="00E66794">
        <w:rPr>
          <w:rFonts w:ascii="Times New Roman" w:hAnsi="Times New Roman" w:cs="Times New Roman"/>
          <w:sz w:val="24"/>
          <w:szCs w:val="24"/>
        </w:rPr>
        <w:t>, 316(7141), pp.1337–1343.</w:t>
      </w:r>
    </w:p>
    <w:p w14:paraId="4177D2C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Bangalore, S., Kumar, S., Fusaro, M., Amoroso, N., Kirtane, A.J., Byrne, R.A., Williams, D.O., Slater, J., Cutlip, D.E. and Feit, F., 2012. Outcomes with various drug eluting or bare metal stents in patients with diabetes mellitus: mixed treatment comparison analysis of 22,844 patient years of follow-up from randomised trials. </w:t>
      </w:r>
      <w:r w:rsidRPr="00E66794">
        <w:rPr>
          <w:rFonts w:ascii="Times New Roman" w:hAnsi="Times New Roman" w:cs="Times New Roman"/>
          <w:i/>
          <w:iCs/>
          <w:sz w:val="24"/>
          <w:szCs w:val="24"/>
        </w:rPr>
        <w:t>BMJ (Clinical research ed.)</w:t>
      </w:r>
      <w:r w:rsidRPr="00E66794">
        <w:rPr>
          <w:rFonts w:ascii="Times New Roman" w:hAnsi="Times New Roman" w:cs="Times New Roman"/>
          <w:sz w:val="24"/>
          <w:szCs w:val="24"/>
        </w:rPr>
        <w:t>, 345, p.e5170.</w:t>
      </w:r>
    </w:p>
    <w:p w14:paraId="2CDE2C9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BARI 2D Study Group, Frye, R.L., August, P., Brooks, M.M., Hardison, R.M., Kelsey, S.F., MacGregor, J.M., Orchard, T.J., Chaitman, B.R., Genuth, S.M., Goldberg, S.H., Hlatky, M.A., Jones, T.L.Z., Molitch, M.E., Nesto, R.W., Sako, E.Y. and Sobel, B.E., 2009. A randomized trial of therapies for type 2 diabetes and coronary artery disease.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360(24), pp.2503–2515.</w:t>
      </w:r>
    </w:p>
    <w:p w14:paraId="62620A0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Barrett, B.J. and Carlisle, E.J., 1993. Metaanalysis of the relative nephrotoxicity of high- and low-osmolality iodinated contrast media. </w:t>
      </w:r>
      <w:r w:rsidRPr="00E66794">
        <w:rPr>
          <w:rFonts w:ascii="Times New Roman" w:hAnsi="Times New Roman" w:cs="Times New Roman"/>
          <w:i/>
          <w:iCs/>
          <w:sz w:val="24"/>
          <w:szCs w:val="24"/>
        </w:rPr>
        <w:t>Radiology</w:t>
      </w:r>
      <w:r w:rsidRPr="00E66794">
        <w:rPr>
          <w:rFonts w:ascii="Times New Roman" w:hAnsi="Times New Roman" w:cs="Times New Roman"/>
          <w:sz w:val="24"/>
          <w:szCs w:val="24"/>
        </w:rPr>
        <w:t>, 188(1), pp.171–178.</w:t>
      </w:r>
    </w:p>
    <w:p w14:paraId="66269E1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Bauters, C., Meurice, T., Hamon, M., McFadden, E., Lablanche, J.M. and Bertrand, M.E., 1996. Mechanisms and prevention of restenosis: from experimental models to clinical practice. </w:t>
      </w:r>
      <w:r w:rsidRPr="00E66794">
        <w:rPr>
          <w:rFonts w:ascii="Times New Roman" w:hAnsi="Times New Roman" w:cs="Times New Roman"/>
          <w:i/>
          <w:iCs/>
          <w:sz w:val="24"/>
          <w:szCs w:val="24"/>
        </w:rPr>
        <w:t>Cardiovascular Research</w:t>
      </w:r>
      <w:r w:rsidRPr="00E66794">
        <w:rPr>
          <w:rFonts w:ascii="Times New Roman" w:hAnsi="Times New Roman" w:cs="Times New Roman"/>
          <w:sz w:val="24"/>
          <w:szCs w:val="24"/>
        </w:rPr>
        <w:t>, 31(6), pp.835–846.</w:t>
      </w:r>
    </w:p>
    <w:p w14:paraId="728B5DA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Bech, G.J., De Bruyne, B., Pijls, N.H., de Muinck, E.D., Hoorntje, J.C., Escaned, J., Stella, P.R., Boersma, E., Bartunek, J., Koolen, J.J. and Wijns, W., 2001. Fractional flow reserve to determine the appropriateness of angioplasty in moderate coronary stenosis: a randomized trial.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103(24), pp.2928–2934.</w:t>
      </w:r>
    </w:p>
    <w:p w14:paraId="67958BB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Berry, C., van ’t Veer, M., Witt, N., Kala, P., Bocek, O., Pyxaras, S.A., McClure, J.D., Fearon, W.F., Barbato, E., Tonino, P.A.L., De Bruyne, B., Pijls, N.H.J. and Oldroyd, K.G., 2013. VERIFY (VERification of Instantaneous Wave-Free Ratio and Fractional Flow Reserve for the Assessment of Coronary Artery Stenosis Severity in EverydaY Practice): a multicenter study in consecutive patients.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61(13), pp.1421–1427.</w:t>
      </w:r>
    </w:p>
    <w:p w14:paraId="6F1DCB9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Biondi-Zoccai, G.G.L., Agostoni, P., Sangiorgi, G.M., Airoldi, F., Cosgrave, J., Chieffo, A., Barbagallo, R., Tamburino, C., Vittori, G., Falchetti, E., Margheri, M., Briguori, C., Remigi, E., Iakovou, I. and Colombo, A., 2006. Incidence, predictors, and outcomes of coronary dissections left untreated after drug-eluting stent implantation.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27(5), pp.540–546.</w:t>
      </w:r>
    </w:p>
    <w:p w14:paraId="6519219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Blows, L.J. and Redwood, S.R., 2007. The pressure wire in practice. </w:t>
      </w:r>
      <w:r w:rsidRPr="00E66794">
        <w:rPr>
          <w:rFonts w:ascii="Times New Roman" w:hAnsi="Times New Roman" w:cs="Times New Roman"/>
          <w:i/>
          <w:iCs/>
          <w:sz w:val="24"/>
          <w:szCs w:val="24"/>
        </w:rPr>
        <w:t>Heart</w:t>
      </w:r>
      <w:r w:rsidRPr="00E66794">
        <w:rPr>
          <w:rFonts w:ascii="Times New Roman" w:hAnsi="Times New Roman" w:cs="Times New Roman"/>
          <w:sz w:val="24"/>
          <w:szCs w:val="24"/>
        </w:rPr>
        <w:t>, 93(4), pp.419–422.</w:t>
      </w:r>
    </w:p>
    <w:p w14:paraId="102AC33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Boden, W.E., O’Rourke, R.A., Teo, K.K., Hartigan, P.M., Maron, D.J., Kostuk, W.J., Knudtson, M., Dada, M., Casperson, P., Harris, C.L., Chaitman, B.R., Shaw, L., Gosselin, G., Nawaz, S., Title, L.M., Gau, G., Blaustein, A.S., Booth, D.C., Bates, E.R., Spertus, J.A., Berman, D.S., Mancini, G.B.J., Weintraub, W.S. and COURAGE Trial Research Group, 2007. Optimal medical therapy with or without PCI for stable coronary disease.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356(15), pp.1503–1516.</w:t>
      </w:r>
    </w:p>
    <w:p w14:paraId="539036F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Borden, W.B., Spertus, J.A., Mushlin, A.I., Roe, M.T., McCoy, L.A. and Redberg, R.F., 2013. Antianginal Therapy Before Percutaneous Coronary Intervention. </w:t>
      </w:r>
      <w:r w:rsidRPr="00E66794">
        <w:rPr>
          <w:rFonts w:ascii="Times New Roman" w:hAnsi="Times New Roman" w:cs="Times New Roman"/>
          <w:i/>
          <w:iCs/>
          <w:sz w:val="24"/>
          <w:szCs w:val="24"/>
        </w:rPr>
        <w:t>Circulation: Cardiovascular Interventions</w:t>
      </w:r>
      <w:r w:rsidRPr="00E66794">
        <w:rPr>
          <w:rFonts w:ascii="Times New Roman" w:hAnsi="Times New Roman" w:cs="Times New Roman"/>
          <w:sz w:val="24"/>
          <w:szCs w:val="24"/>
        </w:rPr>
        <w:t>, 6(4), pp.436–443.</w:t>
      </w:r>
    </w:p>
    <w:p w14:paraId="5E99E36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BrJCardiol, 2018. </w:t>
      </w:r>
      <w:r w:rsidRPr="00E66794">
        <w:rPr>
          <w:rFonts w:ascii="Times New Roman" w:hAnsi="Times New Roman" w:cs="Times New Roman"/>
          <w:i/>
          <w:iCs/>
          <w:sz w:val="24"/>
          <w:szCs w:val="24"/>
        </w:rPr>
        <w:t>Chronic stable angina guidelines – is there an emerging international consensus?</w:t>
      </w:r>
      <w:r w:rsidRPr="00E66794">
        <w:rPr>
          <w:rFonts w:ascii="Times New Roman" w:hAnsi="Times New Roman" w:cs="Times New Roman"/>
          <w:sz w:val="24"/>
          <w:szCs w:val="24"/>
        </w:rPr>
        <w:t xml:space="preserve"> [online] The British Journal of Cardiology. Available at: &lt;https://bjcardio.co.uk/2012/08/chronic-stable-angina-guidelines-is-there-an-emerging-international-consensus/&gt; [Accessed 2 Jul. 2018].</w:t>
      </w:r>
    </w:p>
    <w:p w14:paraId="50B66E7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Brodie, B.R., Stuckey, T.D., Wall, T.C., Kissling, G., Hansen, C.J., Muncy, D.B., Weintraub, R.A. and Kelly, T.A., 1998. Importance of time to reperfusion for 30-day and late survival and recovery of left ventricular function after primary angioplasty for acute myocardial infarction.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32(5), pp.1312–1319.</w:t>
      </w:r>
    </w:p>
    <w:p w14:paraId="01B8A8F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de Bruyne, B., Bartunek, J., Sys, S.U., Pijls, N.H., Heyndrickx, G.R. and Wijns, W., 1996. Simultaneous coronary pressure and flow velocity measurements in humans. Feasibility, reproducibility, and hemodynamic dependence of coronary flow velocity reserve, hyperemic flow versus pressure slope index, and fractional flow reserve.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94(8), pp.1842–1849.</w:t>
      </w:r>
    </w:p>
    <w:p w14:paraId="2436EE7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Bruyne, B.D., Hersbach, F., Pijls, N.H.J., Bartunek, J., Bech, J.-W., Heyndrickx, G.R., Gould, K.L. and Wijns, W., 2001. Abnormal Epicardial Coronary Resistance in Patients With Diffuse Atherosclerosis but “Normal” Coronary Angiography.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104(20), pp.2401–2406.</w:t>
      </w:r>
    </w:p>
    <w:p w14:paraId="6A67F452"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Bruyne, B.D., Pijls, N.H.J., Heyndrickx, G.R., Hodeige, D., Kirkeeide, R. and Gould, K.L., 2000. Pressure-Derived Fractional Flow Reserve to Assess Serial Epicardial Stenoses: Theoretical Basis and Animal Validation.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101(15), pp.1840–1847.</w:t>
      </w:r>
    </w:p>
    <w:p w14:paraId="3114E68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Budoff, M.J., Dowe, D., Jollis, J.G., Gitter, M., Sutherland, J., Halamert, E., Scherer, M., Bellinger, R., Martin, A., Benton, R., Delago, A. and Min, J.K., 2008. Diagnostic Performance of 64-Multidetector Row Coronary Computed Tomographic Angiography for Evaluation of Coronary Artery Stenosis in Individuals Without Known Coronary Artery Disease: Results From the Prospective Multicenter ACCURACY (Assessment by Coronary Computed Tomographic Angiography of Individuals Undergoing Invasive Coronary Angiography) Trial.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52(21), pp.1724–1732.</w:t>
      </w:r>
    </w:p>
    <w:p w14:paraId="09DB87E2"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Budoff, M.J., Nakazato, R., Mancini, G.B.J., Gransar, H., Leipsic, J., Berman, D.S. and Min, J.K., 2016. CT Angiography for the Prediction of Hemodynamic Significance in Intermediate and Severe Lesions: Head-to-Head Comparison With Quantitative Coronary Angiography Using Fractional Flow Reserve as the Reference Standard. </w:t>
      </w:r>
      <w:r w:rsidRPr="00E66794">
        <w:rPr>
          <w:rFonts w:ascii="Times New Roman" w:hAnsi="Times New Roman" w:cs="Times New Roman"/>
          <w:i/>
          <w:iCs/>
          <w:sz w:val="24"/>
          <w:szCs w:val="24"/>
        </w:rPr>
        <w:t>JACC. Cardiovascular imaging</w:t>
      </w:r>
      <w:r w:rsidRPr="00E66794">
        <w:rPr>
          <w:rFonts w:ascii="Times New Roman" w:hAnsi="Times New Roman" w:cs="Times New Roman"/>
          <w:sz w:val="24"/>
          <w:szCs w:val="24"/>
        </w:rPr>
        <w:t>, 9(5), pp.559–564.</w:t>
      </w:r>
    </w:p>
    <w:p w14:paraId="45F8923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Busk, M., Maeng, M., Rasmussen, K., Kelbaek, H., Thayssen, P., Abildgaard, U., Vigholt, E., Mortensen, L.S., Thuesen, L., Kristensen, S.D., Nielsen, T.T., Andersen, H.R. and DANAMI-2 Investigators, 2008. The Danish multicentre randomized study of fibrinolytic therapy vs. primary angioplasty in acute myocardial infarction (the DANAMI-2 trial): outcome after 3 years follow-up.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29(10), pp.1259–1266.</w:t>
      </w:r>
    </w:p>
    <w:p w14:paraId="6C0EFD4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Cannon, C.P., Weintraub, W.S., Demopoulos, L.A., Vicari, R., Frey, M.J., Lakkis, N., Neumann, F.J., Robertson, D.H., DeLucca, P.T., DiBattiste, P.M., Gibson, C.M., Braunwald, E. and TACTICS (Treat Angina with Aggrastat and Determine Cost of Therapy with an Invasive or Conservative Strategy)--Thrombolysis in Myocardial Infarction 18 Investigators, 2001. Comparison of early invasive and conservative strategies in patients with unstable coronary syndromes treated with the glycoprotein IIb/IIIa inhibitor tirofiban.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344(25), pp.1879–1887.</w:t>
      </w:r>
    </w:p>
    <w:p w14:paraId="1617AC2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Canty, J.M. and Smith, T.P., 1995. Modulation of coronary autoregulatory responses by endothelium-derived nitric oxide. </w:t>
      </w:r>
      <w:r w:rsidRPr="00E66794">
        <w:rPr>
          <w:rFonts w:ascii="Times New Roman" w:hAnsi="Times New Roman" w:cs="Times New Roman"/>
          <w:i/>
          <w:iCs/>
          <w:sz w:val="24"/>
          <w:szCs w:val="24"/>
        </w:rPr>
        <w:t>International Journal of Cardiology</w:t>
      </w:r>
      <w:r w:rsidRPr="00E66794">
        <w:rPr>
          <w:rFonts w:ascii="Times New Roman" w:hAnsi="Times New Roman" w:cs="Times New Roman"/>
          <w:sz w:val="24"/>
          <w:szCs w:val="24"/>
        </w:rPr>
        <w:t>, 50(3), pp.207–215.</w:t>
      </w:r>
    </w:p>
    <w:p w14:paraId="2534AE9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Castellano, I.A., Nicol, E.D., Bull, R.K., Roobottom, C.A., Williams, M.C. and Harden, S.P., 2017. A prospective national survey of coronary CT angiography radiation doses in the United Kingdom. </w:t>
      </w:r>
      <w:r w:rsidRPr="00E66794">
        <w:rPr>
          <w:rFonts w:ascii="Times New Roman" w:hAnsi="Times New Roman" w:cs="Times New Roman"/>
          <w:i/>
          <w:iCs/>
          <w:sz w:val="24"/>
          <w:szCs w:val="24"/>
        </w:rPr>
        <w:t>Journal of Cardiovascular Computed Tomography</w:t>
      </w:r>
      <w:r w:rsidRPr="00E66794">
        <w:rPr>
          <w:rFonts w:ascii="Times New Roman" w:hAnsi="Times New Roman" w:cs="Times New Roman"/>
          <w:sz w:val="24"/>
          <w:szCs w:val="24"/>
        </w:rPr>
        <w:t>, 11(4), pp.268–273.</w:t>
      </w:r>
    </w:p>
    <w:p w14:paraId="711A767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Chin, C.T., L’Allier, P., Neumann, F.-J., Engstrøm, T., Jüni, P. and Olivecrona, G.K., 2017. The Compare-Acute trial of fractional flow reserve-guided multivessel angioplasty in myocardial infarction. </w:t>
      </w:r>
      <w:r w:rsidRPr="00E66794">
        <w:rPr>
          <w:rFonts w:ascii="Times New Roman" w:hAnsi="Times New Roman" w:cs="Times New Roman"/>
          <w:i/>
          <w:iCs/>
          <w:sz w:val="24"/>
          <w:szCs w:val="24"/>
        </w:rPr>
        <w:t>EuroIntervention: Journal of EuroPCR in Collaboration with the Working Group on Interventional Cardiology of the European Society of Cardiology</w:t>
      </w:r>
      <w:r w:rsidRPr="00E66794">
        <w:rPr>
          <w:rFonts w:ascii="Times New Roman" w:hAnsi="Times New Roman" w:cs="Times New Roman"/>
          <w:sz w:val="24"/>
          <w:szCs w:val="24"/>
        </w:rPr>
        <w:t>, 13(5), pp.e613–e616.</w:t>
      </w:r>
    </w:p>
    <w:p w14:paraId="1F3FF2D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Cho, H.-O., Nam, C.-W., Cho, Y.-K., Yoon, H.-J., Park, H.-S., Kim, H., Chung, I.-S., Doh, J.-H., Koo, B.-K., Hyun, D.-W., Hur, S.-H., Kim, Y.-N. and Kim, K.-B., 2014. Characteristics of function-anatomy mismatch in patients with coronary artery disease. </w:t>
      </w:r>
      <w:r w:rsidRPr="00E66794">
        <w:rPr>
          <w:rFonts w:ascii="Times New Roman" w:hAnsi="Times New Roman" w:cs="Times New Roman"/>
          <w:i/>
          <w:iCs/>
          <w:sz w:val="24"/>
          <w:szCs w:val="24"/>
        </w:rPr>
        <w:t>Korean Circulation Journal</w:t>
      </w:r>
      <w:r w:rsidRPr="00E66794">
        <w:rPr>
          <w:rFonts w:ascii="Times New Roman" w:hAnsi="Times New Roman" w:cs="Times New Roman"/>
          <w:sz w:val="24"/>
          <w:szCs w:val="24"/>
        </w:rPr>
        <w:t>, 44(6), pp.394–399.</w:t>
      </w:r>
    </w:p>
    <w:p w14:paraId="73534DA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Choi, J.W., Gibson, C.M., Murphy, S.A., Davidson, C.J., Kim, R.J. and Ricciardi, M.J., 2004. Myonecrosis following stent placement: Association between impaired TIMI myocardial perfusion grade and MRI visualization of microinfarction. </w:t>
      </w:r>
      <w:r w:rsidRPr="00E66794">
        <w:rPr>
          <w:rFonts w:ascii="Times New Roman" w:hAnsi="Times New Roman" w:cs="Times New Roman"/>
          <w:i/>
          <w:iCs/>
          <w:sz w:val="24"/>
          <w:szCs w:val="24"/>
        </w:rPr>
        <w:t>Catheterization and Cardiovascular Interventions</w:t>
      </w:r>
      <w:r w:rsidRPr="00E66794">
        <w:rPr>
          <w:rFonts w:ascii="Times New Roman" w:hAnsi="Times New Roman" w:cs="Times New Roman"/>
          <w:sz w:val="24"/>
          <w:szCs w:val="24"/>
        </w:rPr>
        <w:t>, 61(4), pp.472–476.</w:t>
      </w:r>
    </w:p>
    <w:p w14:paraId="5DD7316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Cholesterol Treatment Trialists’ (CTT) Collaboration, Baigent, C., Blackwell, L., Emberson, J., Holland, L.E., Reith, C., Bhala, N., Peto, R., Barnes, E.H., Keech, A., Simes, J. and Collins, R., 2010. Efficacy and safety of more intensive lowering of LDL cholesterol: a meta-analysis of data from 170,000 participants in 26 randomised trials. </w:t>
      </w:r>
      <w:r w:rsidRPr="00E66794">
        <w:rPr>
          <w:rFonts w:ascii="Times New Roman" w:hAnsi="Times New Roman" w:cs="Times New Roman"/>
          <w:i/>
          <w:iCs/>
          <w:sz w:val="24"/>
          <w:szCs w:val="24"/>
        </w:rPr>
        <w:t>Lancet (London, England)</w:t>
      </w:r>
      <w:r w:rsidRPr="00E66794">
        <w:rPr>
          <w:rFonts w:ascii="Times New Roman" w:hAnsi="Times New Roman" w:cs="Times New Roman"/>
          <w:sz w:val="24"/>
          <w:szCs w:val="24"/>
        </w:rPr>
        <w:t>, 376(9753), pp.1670–1681.</w:t>
      </w:r>
    </w:p>
    <w:p w14:paraId="238EEA3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Claessen, B.E., Henriques, J.P.S., Jaffer, F.A., Mehran, R., Piek, J.J. and Dangas, G.D., 2014. Stent Thrombosis: A Clinical Perspective.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7(10), pp.1081–1092.</w:t>
      </w:r>
    </w:p>
    <w:p w14:paraId="3CBB7FB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Claeys, M.J., Bosmans, J.M., Hendrix, J. and Vrints, C.J., 2001. Reliability of fractional flow reserve measurements in patients with associated microvascular dysfunction: Importance of flow on translesional pressure gradient. </w:t>
      </w:r>
      <w:r w:rsidRPr="00E66794">
        <w:rPr>
          <w:rFonts w:ascii="Times New Roman" w:hAnsi="Times New Roman" w:cs="Times New Roman"/>
          <w:i/>
          <w:iCs/>
          <w:sz w:val="24"/>
          <w:szCs w:val="24"/>
        </w:rPr>
        <w:t>Catheterization and Cardiovascular Interventions</w:t>
      </w:r>
      <w:r w:rsidRPr="00E66794">
        <w:rPr>
          <w:rFonts w:ascii="Times New Roman" w:hAnsi="Times New Roman" w:cs="Times New Roman"/>
          <w:sz w:val="24"/>
          <w:szCs w:val="24"/>
        </w:rPr>
        <w:t>, 54(4), pp.427–434.</w:t>
      </w:r>
    </w:p>
    <w:p w14:paraId="001E88F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Clayton, B., Roobottom, C. and Morgan-Hughes, G., 2015. CT coronary angiography in atrial fibrillation: a comparison of radiation dose and diagnostic confidence with retrospective gating vs prospective gating with systolic acquisition. </w:t>
      </w:r>
      <w:r w:rsidRPr="00E66794">
        <w:rPr>
          <w:rFonts w:ascii="Times New Roman" w:hAnsi="Times New Roman" w:cs="Times New Roman"/>
          <w:i/>
          <w:iCs/>
          <w:sz w:val="24"/>
          <w:szCs w:val="24"/>
        </w:rPr>
        <w:t>The British Journal of Radiology</w:t>
      </w:r>
      <w:r w:rsidRPr="00E66794">
        <w:rPr>
          <w:rFonts w:ascii="Times New Roman" w:hAnsi="Times New Roman" w:cs="Times New Roman"/>
          <w:sz w:val="24"/>
          <w:szCs w:val="24"/>
        </w:rPr>
        <w:t>, 88(1055), p.20150533.</w:t>
      </w:r>
    </w:p>
    <w:p w14:paraId="2E7A03A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Cook, C.M., Jeremias, A., Petraco, R., Sen, S., Nijjer, S., Shun-Shin, M.J., Ahmad, Y., de Waard, G., van de Hoef, T., Echavarria-Pinto, M., van Lavieren, M., Al Lamee, R., Kikuta, Y., Shiono, Y., Buch, A., Meuwissen, M., Danad, I., Knaapen, P., Maehara, A., Koo, B.-K., Mintz, G.S., Escaned, J., Stone, G.W., Francis, D.P., Mayet, J., Piek, J.J., van Royen, N. and Davies, J.E., 2017. Fractional Flow Reserve/Instantaneous Wave-Free Ratio Discordance in Angiographically Intermediate Coronary Stenoses: An Analysis Using Doppler-Derived Coronary Flow Measurements.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10(24), pp.2514–2524.</w:t>
      </w:r>
    </w:p>
    <w:p w14:paraId="19EB5B9E"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Cutlip, D.E., Windecker, S., Mehran, R., Boam, A., Cohen, D.J., Es, G.-A. van, Steg, P.G., Morel, M., Mauri, L., Vranckx, P., McFadden, E., Lansky, A., Hamon, M., Krucoff, M.W. and Serruys, P.W., 2007. Clinical End Points in Coronary Stent Trials: A Case for Standardized Definitions.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115(17), pp.2344–2351.</w:t>
      </w:r>
    </w:p>
    <w:p w14:paraId="7526698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Davidson, C., Stacul, F., McCullough, P.A., Tumlin, J., Adam, A., Lameire, N. and Becker, C.R., 2006. Contrast Medium Use. </w:t>
      </w:r>
      <w:r w:rsidRPr="00E66794">
        <w:rPr>
          <w:rFonts w:ascii="Times New Roman" w:hAnsi="Times New Roman" w:cs="Times New Roman"/>
          <w:i/>
          <w:iCs/>
          <w:sz w:val="24"/>
          <w:szCs w:val="24"/>
        </w:rPr>
        <w:t>American Journal of Cardiology</w:t>
      </w:r>
      <w:r w:rsidRPr="00E66794">
        <w:rPr>
          <w:rFonts w:ascii="Times New Roman" w:hAnsi="Times New Roman" w:cs="Times New Roman"/>
          <w:sz w:val="24"/>
          <w:szCs w:val="24"/>
        </w:rPr>
        <w:t>, 98(6), pp.42–58.</w:t>
      </w:r>
    </w:p>
    <w:p w14:paraId="5DAA610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Davies, J.E. and Cook, C.M., 2017. Is FFRCT Ready to Assume the Crown Jewels of Invasive FFR?</w:t>
      </w:r>
      <w:r w:rsidRPr="00E66794">
        <w:rPr>
          <w:rFonts w:ascii="Times New Roman" w:hAnsi="Cambria Math" w:cs="Times New Roman"/>
          <w:sz w:val="24"/>
          <w:szCs w:val="24"/>
        </w:rPr>
        <w:t>∗</w:t>
      </w:r>
      <w:r w:rsidRPr="00E66794">
        <w:rPr>
          <w:rFonts w:ascii="Times New Roman" w:hAnsi="Times New Roman" w:cs="Times New Roman"/>
          <w:sz w:val="24"/>
          <w:szCs w:val="24"/>
        </w:rPr>
        <w:t xml:space="preserve">. </w:t>
      </w:r>
      <w:r w:rsidRPr="00E66794">
        <w:rPr>
          <w:rFonts w:ascii="Times New Roman" w:hAnsi="Times New Roman" w:cs="Times New Roman"/>
          <w:i/>
          <w:iCs/>
          <w:sz w:val="24"/>
          <w:szCs w:val="24"/>
        </w:rPr>
        <w:t>JACC: Cardiovascular Imaging</w:t>
      </w:r>
      <w:r w:rsidRPr="00E66794">
        <w:rPr>
          <w:rFonts w:ascii="Times New Roman" w:hAnsi="Times New Roman" w:cs="Times New Roman"/>
          <w:sz w:val="24"/>
          <w:szCs w:val="24"/>
        </w:rPr>
        <w:t>, 10(4), pp.434–436.</w:t>
      </w:r>
    </w:p>
    <w:p w14:paraId="6C599B1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Davies, J.E., Sen, S., Dehbi, H.-M., Al-Lamee, R., Petraco, R., Nijjer, S.S., Bhindi, R., Lehman, S.J., Walters, D., Sapontis, J., Janssens, L., Vrints, C.J., Khashaba, A., Laine, M., Van Belle, E., Krackhardt, F., Bojara, W., Going, O., Härle, T., Indolfi, C., Niccoli, G., Ribichini, F., Tanaka, N., Yokoi, H., Takashima, H., Kikuta, Y., Erglis, A., Vinhas, H., Canas Silva, P., Baptista, S.B., Alghamdi, A., Hellig, F., Koo, B.-K., Nam, C.-W., Shin, E.-S., Doh, J.-H., Brugaletta, S., Alegria-Barrero, E., Meuwissen, M., Piek, J.J., van Royen, N., Sezer, M., Di Mario, C., Gerber, R.T., Malik, I.S., Sharp, A.S.P., Talwar, S., Tang, K., Samady, H., Altman, J., Seto, A.H., Singh, J., Jeremias, A., Matsuo, H., Kharbanda, R.K., Patel, M.R., Serruys, P. and Escaned, J., 2017. Use of the Instantaneous Wave-free Ratio or Fractional Flow Reserve in PCI.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376(19), pp.1824–1834.</w:t>
      </w:r>
    </w:p>
    <w:p w14:paraId="44A0A99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Davies, J.E., Whinnett, Z.I., Francis, D.P., Manisty, C.H., Aguado-Sierra, J., Willson, K., Foale, R.A., Malik, I.S., Hughes, A.D., Parker, K.H. and Mayet, J., 2006. Evidence of a dominant backward-propagating ‘suction’ wave responsible for diastolic coronary filling in humans, attenuated in left ventricular hypertrophy.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113(14), pp.1768–1778.</w:t>
      </w:r>
    </w:p>
    <w:p w14:paraId="6297AC1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Davies, M.J., Woolf, N., Rowles, P.M. and Pepper, J., 1988. Morphology of the endothelium over atherosclerotic plaques in human coronary arteries. </w:t>
      </w:r>
      <w:r w:rsidRPr="00E66794">
        <w:rPr>
          <w:rFonts w:ascii="Times New Roman" w:hAnsi="Times New Roman" w:cs="Times New Roman"/>
          <w:i/>
          <w:iCs/>
          <w:sz w:val="24"/>
          <w:szCs w:val="24"/>
        </w:rPr>
        <w:t>British Heart Journal</w:t>
      </w:r>
      <w:r w:rsidRPr="00E66794">
        <w:rPr>
          <w:rFonts w:ascii="Times New Roman" w:hAnsi="Times New Roman" w:cs="Times New Roman"/>
          <w:sz w:val="24"/>
          <w:szCs w:val="24"/>
        </w:rPr>
        <w:t>, 60(6), pp.459–464.</w:t>
      </w:r>
    </w:p>
    <w:p w14:paraId="6FB2208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Dawber, T.R., Kannel, W.B., Revotskie, N., Stokes, J., Kagan, A. and Gordon, T., 1959. Some factors associated with the development of coronary heart disease: six years’ follow-up experience in the Framingham study. </w:t>
      </w:r>
      <w:r w:rsidRPr="00E66794">
        <w:rPr>
          <w:rFonts w:ascii="Times New Roman" w:hAnsi="Times New Roman" w:cs="Times New Roman"/>
          <w:i/>
          <w:iCs/>
          <w:sz w:val="24"/>
          <w:szCs w:val="24"/>
        </w:rPr>
        <w:t>American Journal of Public Health and the Nation’s Health</w:t>
      </w:r>
      <w:r w:rsidRPr="00E66794">
        <w:rPr>
          <w:rFonts w:ascii="Times New Roman" w:hAnsi="Times New Roman" w:cs="Times New Roman"/>
          <w:sz w:val="24"/>
          <w:szCs w:val="24"/>
        </w:rPr>
        <w:t>, 49, pp.1349–1356.</w:t>
      </w:r>
    </w:p>
    <w:p w14:paraId="1F96FF5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De Bruyne, B., Baudhuin, T., Melin, J.A., Pijls, N.H., Sys, S.U., Bol, A., Paulus, W.J., Heyndrickx, G.R. and Wijns, W., 1994. Coronary flow reserve calculated from pressure measurements in humans. Validation with positron emission tomography.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89(3), pp.1013–1022.</w:t>
      </w:r>
    </w:p>
    <w:p w14:paraId="7ECF534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De Bruyne, B., Fearon, W.F., Pijls, N.H.J., Barbato, E., Tonino, P., Piroth, Z., Jagic, N., Mobius-Winckler, S., Rioufol, G., Witt, N., Kala, P., MacCarthy, P., Engström, T., Oldroyd, K., Mavromatis, K., Manoharan, G., Verlee, P., Frobert, O., Curzen, N., Johnson, J.B., Limacher, A., Nüesch, E. and Jüni, P., 2014. Fractional Flow Reserve–Guided PCI for Stable Coronary Artery Disease.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371(13), pp.1208–1217.</w:t>
      </w:r>
    </w:p>
    <w:p w14:paraId="72BB7382"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De Bruyne, B., Pijls, N.H.J., Kalesan, B., Barbato, E., Tonino, P.A.L., Piroth, Z., Jagic, N., Möbius-Winkler, S., Mobius-Winckler, S., Rioufol, G., Witt, N., Kala, P., MacCarthy, P., Engström, T., Oldroyd, K.G., Mavromatis, K., Manoharan, G., Verlee, P., Frobert, O., Curzen, N., Johnson, J.B., Jüni, P., Fearon, W.F. and FAME 2 Trial Investigators, 2012. Fractional flow reserve-guided PCI versus medical therapy in stable coronary disease.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367(11), pp.991–1001.</w:t>
      </w:r>
    </w:p>
    <w:p w14:paraId="1C4B277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Demirel, F., Rasoul, S., Elvan, A., Ottervanger, J.P., Dambrink, J.-H.E., Gosselink, A.T.M., Hoorntje, J.C.A., Ramdat Misier, A.R. and van ’t Hof, A.W.J., 2015. Impact of out-of-hospital cardiac arrest due to ventricular fibrillation in patients with ST-elevation myocardial infarction admitted for primary percutaneous coronary intervention: Impact of ventricular fibrillation in STEMI patients. </w:t>
      </w:r>
      <w:r w:rsidRPr="00E66794">
        <w:rPr>
          <w:rFonts w:ascii="Times New Roman" w:hAnsi="Times New Roman" w:cs="Times New Roman"/>
          <w:i/>
          <w:iCs/>
          <w:sz w:val="24"/>
          <w:szCs w:val="24"/>
        </w:rPr>
        <w:t>European Heart Journal. Acute Cardiovascular Care</w:t>
      </w:r>
      <w:r w:rsidRPr="00E66794">
        <w:rPr>
          <w:rFonts w:ascii="Times New Roman" w:hAnsi="Times New Roman" w:cs="Times New Roman"/>
          <w:sz w:val="24"/>
          <w:szCs w:val="24"/>
        </w:rPr>
        <w:t>, 4(1), pp.16–23.</w:t>
      </w:r>
    </w:p>
    <w:p w14:paraId="0A35764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DeWood, M.A., Spores, J., Notske, R., Mouser, L.T., Burroughs, R., Golden, M.S. and Lang, H.T., 1980. Prevalence of total coronary occlusion during the early hours of transmural myocardial infarction.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303(16), pp.897–902.</w:t>
      </w:r>
    </w:p>
    <w:p w14:paraId="4006E27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Donnelly, P.M., Higginson, J.D.S. and Hanley, P.D., 2005. Multidetector CT coronary angiography: have we found the holy grail of non-invasive coronary imaging? </w:t>
      </w:r>
      <w:r w:rsidRPr="00E66794">
        <w:rPr>
          <w:rFonts w:ascii="Times New Roman" w:hAnsi="Times New Roman" w:cs="Times New Roman"/>
          <w:i/>
          <w:iCs/>
          <w:sz w:val="24"/>
          <w:szCs w:val="24"/>
        </w:rPr>
        <w:t>Heart</w:t>
      </w:r>
      <w:r w:rsidRPr="00E66794">
        <w:rPr>
          <w:rFonts w:ascii="Times New Roman" w:hAnsi="Times New Roman" w:cs="Times New Roman"/>
          <w:sz w:val="24"/>
          <w:szCs w:val="24"/>
        </w:rPr>
        <w:t>, 91(11), pp.1385–1388.</w:t>
      </w:r>
    </w:p>
    <w:p w14:paraId="632B18A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Dukkipati, S., O’Neill, W.W., Harjai, K.J., Sanders, W.P., Deo, D., Boura, J.A., Bartholomew, B.A., Yerkey, M.W., Sadeghi, H.M. and Kahn, J.K., 2004. Characteristics of cerebrovascular accidents after percutaneous coronary interventions.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43(7), pp.1161–1167.</w:t>
      </w:r>
    </w:p>
    <w:p w14:paraId="075D3FD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Einstein, A.J., Moser, K.W., Thompson, R.C., Cerqueira, M.D. and Henzlova, M.J., 2007. Radiation Dose to Patients From Cardiac Diagnostic Imaging.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116(11), pp.1290–1305.</w:t>
      </w:r>
    </w:p>
    <w:p w14:paraId="1F67FDE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Engstrøm, T., Kelbæk, H., Helqvist, S., Høfsten, D.E., Kløvgaard, L., Holmvang, L., Jørgensen, E., Pedersen, F., Saunamäki, K., Clemmensen, P., De Backer, O., Ravkilde, J., Tilsted, H.-H., Villadsen, A.B., Aarøe, J., Jensen, S.E., Raungaard, B., Køber, L. and DANAMI-3—PRIMULTI Investigators, 2015. Complete revascularisation versus treatment of the culprit   lesion only in patients with ST-segment elevation myocardial   infarction and multivessel disease (DANAMI-3—PRIMULTI):   an open-label, randomised controlled trial. </w:t>
      </w:r>
      <w:r w:rsidRPr="00E66794">
        <w:rPr>
          <w:rFonts w:ascii="Times New Roman" w:hAnsi="Times New Roman" w:cs="Times New Roman"/>
          <w:i/>
          <w:iCs/>
          <w:sz w:val="24"/>
          <w:szCs w:val="24"/>
        </w:rPr>
        <w:t>Lancet (London, England)</w:t>
      </w:r>
      <w:r w:rsidRPr="00E66794">
        <w:rPr>
          <w:rFonts w:ascii="Times New Roman" w:hAnsi="Times New Roman" w:cs="Times New Roman"/>
          <w:sz w:val="24"/>
          <w:szCs w:val="24"/>
        </w:rPr>
        <w:t>, 386(9994), pp.665–671.</w:t>
      </w:r>
    </w:p>
    <w:p w14:paraId="7383F04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Eshtehardi, P., Adorjan, P., Togni, M., Tevaearai, H., Vogel, R., Seiler, C., Meier, B., Windecker, S., Carrel, T., Wenaweser, P. and Cook, S., 2010. Iatrogenic left main coronary artery dissection: incidence, classification, management, and long-term follow-up. </w:t>
      </w:r>
      <w:r w:rsidRPr="00E66794">
        <w:rPr>
          <w:rFonts w:ascii="Times New Roman" w:hAnsi="Times New Roman" w:cs="Times New Roman"/>
          <w:i/>
          <w:iCs/>
          <w:sz w:val="24"/>
          <w:szCs w:val="24"/>
        </w:rPr>
        <w:t>American Heart Journal</w:t>
      </w:r>
      <w:r w:rsidRPr="00E66794">
        <w:rPr>
          <w:rFonts w:ascii="Times New Roman" w:hAnsi="Times New Roman" w:cs="Times New Roman"/>
          <w:sz w:val="24"/>
          <w:szCs w:val="24"/>
        </w:rPr>
        <w:t>, 159(6), pp.1147–1153.</w:t>
      </w:r>
    </w:p>
    <w:p w14:paraId="27A6264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Farkouh, M.E., Boden, W.E., Bittner, V., Muratov, V., Hartigan, P., Ogdie, M., Bertolet, M., Mathewkutty, S., Teo, K., Maron, D.J., Sethi, S.S., Domanski, M., Frye, R.L. and Fuster, V., 2013. Risk factor control for coronary artery disease secondary prevention in large randomized trials.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61(15), pp.1607–1615.</w:t>
      </w:r>
    </w:p>
    <w:p w14:paraId="2C16E16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Faul, F., Erdfelder, E., Lang, A.-G. and Buchner, A., 2007. G*Power 3: A flexible statistical power analysis program for the social, behavioral, and biomedical sciences. </w:t>
      </w:r>
      <w:r w:rsidRPr="00E66794">
        <w:rPr>
          <w:rFonts w:ascii="Times New Roman" w:hAnsi="Times New Roman" w:cs="Times New Roman"/>
          <w:i/>
          <w:iCs/>
          <w:sz w:val="24"/>
          <w:szCs w:val="24"/>
        </w:rPr>
        <w:t>Behavior Research Methods</w:t>
      </w:r>
      <w:r w:rsidRPr="00E66794">
        <w:rPr>
          <w:rFonts w:ascii="Times New Roman" w:hAnsi="Times New Roman" w:cs="Times New Roman"/>
          <w:sz w:val="24"/>
          <w:szCs w:val="24"/>
        </w:rPr>
        <w:t>, 39(2), pp.175–191.</w:t>
      </w:r>
    </w:p>
    <w:p w14:paraId="04D14EE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Faxon, D.P., Fuster, V., Libby, P., Beckman, J.A., Hiatt, W.R., Thompson, R.W., Topper, J.N., Annex, B.H., Rundback, J.H., Fabunmi, R.P., Robertson, R.M., Loscalzo, J. and American Heart Association, 2004. Atherosclerotic Vascular Disease Conference: Writing Group III: pathophysiology.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109(21), pp.2617–2625.</w:t>
      </w:r>
    </w:p>
    <w:p w14:paraId="6CCD001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Fearon, W.F., 2015. Invasive Coronary Physiology for Assessing Intermediate Lesions. </w:t>
      </w:r>
      <w:r w:rsidRPr="00E66794">
        <w:rPr>
          <w:rFonts w:ascii="Times New Roman" w:hAnsi="Times New Roman" w:cs="Times New Roman"/>
          <w:i/>
          <w:iCs/>
          <w:sz w:val="24"/>
          <w:szCs w:val="24"/>
        </w:rPr>
        <w:t>Circulation: Cardiovascular Interventions</w:t>
      </w:r>
      <w:r w:rsidRPr="00E66794">
        <w:rPr>
          <w:rFonts w:ascii="Times New Roman" w:hAnsi="Times New Roman" w:cs="Times New Roman"/>
          <w:sz w:val="24"/>
          <w:szCs w:val="24"/>
        </w:rPr>
        <w:t>, 8(2), p.e001942.</w:t>
      </w:r>
    </w:p>
    <w:p w14:paraId="0F8A063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Fearon, W.F., Achenbach, S., Engstrom, T., Assali, A., Shlofmitz, R., Jeremias, A., Fournier, S., Kirtane, A.J., Kornowski, R., Greenberg, G., Jubeh, R., Kolansky, D.M., McAndrew, T., Dressler, O., Maehara, A., Matsumura, M., Leon, M.B., De Bruyne, B. and FAST-FFR Study Investigators, 2019. Accuracy of Fractional Flow Reserve Derived From Coronary Angiography.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139(4), pp.477–484.</w:t>
      </w:r>
    </w:p>
    <w:p w14:paraId="3D1E4AD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de Feyter, P.J., de Jaegere, P.P. and Serruys, P.W., 1994. Incidence, predictors, and management of acute coronary occlusion after coronary angioplasty. </w:t>
      </w:r>
      <w:r w:rsidRPr="00E66794">
        <w:rPr>
          <w:rFonts w:ascii="Times New Roman" w:hAnsi="Times New Roman" w:cs="Times New Roman"/>
          <w:i/>
          <w:iCs/>
          <w:sz w:val="24"/>
          <w:szCs w:val="24"/>
        </w:rPr>
        <w:t>American Heart Journal</w:t>
      </w:r>
      <w:r w:rsidRPr="00E66794">
        <w:rPr>
          <w:rFonts w:ascii="Times New Roman" w:hAnsi="Times New Roman" w:cs="Times New Roman"/>
          <w:sz w:val="24"/>
          <w:szCs w:val="24"/>
        </w:rPr>
        <w:t>, 127(3), pp.643–651.</w:t>
      </w:r>
    </w:p>
    <w:p w14:paraId="4E2B186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Fischman, D.L., Leon, M.B., Baim, D.S., Schatz, R.A., Savage, M.P., Penn, I., Detre, K., Veltri, L., Ricci, D. and Nobuyoshi, M., 1994. A randomized comparison of coronary-stent placement and balloon angioplasty in the treatment of coronary artery disease. Stent Restenosis Study Investigators.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331(8), pp.496–501.</w:t>
      </w:r>
    </w:p>
    <w:p w14:paraId="665383D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Ford, E.S., Ajani, U.A., Croft, J.B., Critchley, J.A., Labarthe, D.R., Kottke, T.E., Giles, W.H. and Capewell, S., 2007. Explaining the Decrease in U.S. Deaths from Coronary Disease, 1980–2000.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356(23), pp.2388–2398.</w:t>
      </w:r>
    </w:p>
    <w:p w14:paraId="2CF52B2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Fox, K. a. A., Poole-Wilson, P., Clayton, T.C., Henderson, R.A., Shaw, T.R.D., Wheatley, D.J., Knight, R. and Pocock, S.J., 2005. 5-year outcome of an interventional strategy in non-ST-elevation acute coronary syndrome: the British Heart Foundation RITA 3 randomised trial. </w:t>
      </w:r>
      <w:r w:rsidRPr="00E66794">
        <w:rPr>
          <w:rFonts w:ascii="Times New Roman" w:hAnsi="Times New Roman" w:cs="Times New Roman"/>
          <w:i/>
          <w:iCs/>
          <w:sz w:val="24"/>
          <w:szCs w:val="24"/>
        </w:rPr>
        <w:t>Lancet (London, England)</w:t>
      </w:r>
      <w:r w:rsidRPr="00E66794">
        <w:rPr>
          <w:rFonts w:ascii="Times New Roman" w:hAnsi="Times New Roman" w:cs="Times New Roman"/>
          <w:sz w:val="24"/>
          <w:szCs w:val="24"/>
        </w:rPr>
        <w:t>, 366(9489), pp.914–920.</w:t>
      </w:r>
    </w:p>
    <w:p w14:paraId="5484D6B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Fox, K. a. A., Poole-Wilson, P.A., Henderson, R.A., Clayton, T.C., Chamberlain, D.A., Shaw, T.R.D., Wheatley, D.J., Pocock, S.J. and Randomized Intervention Trial of unstable Angina Investigators, 2002. Interventional versus conservative treatment for patients with unstable angina or non-ST-elevation myocardial infarction: the British Heart Foundation RITA 3 randomised trial. Randomized Intervention Trial of unstable Angina. </w:t>
      </w:r>
      <w:r w:rsidRPr="00E66794">
        <w:rPr>
          <w:rFonts w:ascii="Times New Roman" w:hAnsi="Times New Roman" w:cs="Times New Roman"/>
          <w:i/>
          <w:iCs/>
          <w:sz w:val="24"/>
          <w:szCs w:val="24"/>
        </w:rPr>
        <w:t>Lancet (London, England)</w:t>
      </w:r>
      <w:r w:rsidRPr="00E66794">
        <w:rPr>
          <w:rFonts w:ascii="Times New Roman" w:hAnsi="Times New Roman" w:cs="Times New Roman"/>
          <w:sz w:val="24"/>
          <w:szCs w:val="24"/>
        </w:rPr>
        <w:t>, 360(9335), pp.743–751.</w:t>
      </w:r>
    </w:p>
    <w:p w14:paraId="072E5E7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Fuchs, S., Gruberg, L., Singh, S., Stabile, E., Duncan, C., Wu, H., Waksman, R., Satler, L.F., Pichard, A.D., Kent, K.M. and Kornowski, R., 2001. Prognostic value of cardiac troponin I re-elevation following percutaneous coronary intervention in high-risk patients with acute coronary syndromes. </w:t>
      </w:r>
      <w:r w:rsidRPr="00E66794">
        <w:rPr>
          <w:rFonts w:ascii="Times New Roman" w:hAnsi="Times New Roman" w:cs="Times New Roman"/>
          <w:i/>
          <w:iCs/>
          <w:sz w:val="24"/>
          <w:szCs w:val="24"/>
        </w:rPr>
        <w:t>American Journal of Cardiology</w:t>
      </w:r>
      <w:r w:rsidRPr="00E66794">
        <w:rPr>
          <w:rFonts w:ascii="Times New Roman" w:hAnsi="Times New Roman" w:cs="Times New Roman"/>
          <w:sz w:val="24"/>
          <w:szCs w:val="24"/>
        </w:rPr>
        <w:t>, 88(2), pp.129–133.</w:t>
      </w:r>
    </w:p>
    <w:p w14:paraId="18EA93E2"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Gandjour, A. and Lauterbach, K.W., 1999. Review of quality-of-life evaluations in patients with angina pectoris. </w:t>
      </w:r>
      <w:r w:rsidRPr="00E66794">
        <w:rPr>
          <w:rFonts w:ascii="Times New Roman" w:hAnsi="Times New Roman" w:cs="Times New Roman"/>
          <w:i/>
          <w:iCs/>
          <w:sz w:val="24"/>
          <w:szCs w:val="24"/>
        </w:rPr>
        <w:t>PharmacoEconomics</w:t>
      </w:r>
      <w:r w:rsidRPr="00E66794">
        <w:rPr>
          <w:rFonts w:ascii="Times New Roman" w:hAnsi="Times New Roman" w:cs="Times New Roman"/>
          <w:sz w:val="24"/>
          <w:szCs w:val="24"/>
        </w:rPr>
        <w:t>, 16(2), pp.141–152.</w:t>
      </w:r>
    </w:p>
    <w:p w14:paraId="7A3815B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Garg, P., Normand, S.-L.T., Silbaugh, T.S., Wolf, R.E., Zelevinsky, K., Lovett, A., Varma, M.R., Zhou, Z. and Mauri, L., 2008. Drug-eluting or bare-metal stenting in patients with diabetes mellitus: results from the Massachusetts Data Analysis Center Registry.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118(22), pp.2277–2285, 7p following 2285.</w:t>
      </w:r>
    </w:p>
    <w:p w14:paraId="54A6452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Gaur, S., Taylor, C.A., Jensen, J.M., Bøtker, H.E., Christiansen, E.H., Kaltoft, A.K., Holm, N.R., Leipsic, J., Zarins, C.K., Achenbach, S., Khem, S., Wilk, A., Bezerra, H.G., Lassen, J.F. and Nørgaard, B.L., 2017. FFR Derived From Coronary CT Angiography in Nonculprit Lesions of Patients With Recent STEMI. </w:t>
      </w:r>
      <w:r w:rsidRPr="00E66794">
        <w:rPr>
          <w:rFonts w:ascii="Times New Roman" w:hAnsi="Times New Roman" w:cs="Times New Roman"/>
          <w:i/>
          <w:iCs/>
          <w:sz w:val="24"/>
          <w:szCs w:val="24"/>
        </w:rPr>
        <w:t>JACC: Cardiovascular Imaging</w:t>
      </w:r>
      <w:r w:rsidRPr="00E66794">
        <w:rPr>
          <w:rFonts w:ascii="Times New Roman" w:hAnsi="Times New Roman" w:cs="Times New Roman"/>
          <w:sz w:val="24"/>
          <w:szCs w:val="24"/>
        </w:rPr>
        <w:t>, 10(4), pp.424–433.</w:t>
      </w:r>
    </w:p>
    <w:p w14:paraId="09B6E4A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Global Use of Strategies to Open Occluded Coronary Arteries in Acute Coronary Syndromes (GUSTO IIb) Angioplasty Substudy Investigators, 1997. A clinical trial comparing primary coronary angioplasty with tissue plasminogen activator for acute myocardial infarction.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336(23), pp.1621–1628.</w:t>
      </w:r>
    </w:p>
    <w:p w14:paraId="486D753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Goodwill, A.G., Dick, G.M., Kiel, A.M. and Tune, J.D., 2017. Regulation of Coronary Blood Flow. </w:t>
      </w:r>
      <w:r w:rsidRPr="00E66794">
        <w:rPr>
          <w:rFonts w:ascii="Times New Roman" w:hAnsi="Times New Roman" w:cs="Times New Roman"/>
          <w:i/>
          <w:iCs/>
          <w:sz w:val="24"/>
          <w:szCs w:val="24"/>
        </w:rPr>
        <w:t>Comprehensive Physiology</w:t>
      </w:r>
      <w:r w:rsidRPr="00E66794">
        <w:rPr>
          <w:rFonts w:ascii="Times New Roman" w:hAnsi="Times New Roman" w:cs="Times New Roman"/>
          <w:sz w:val="24"/>
          <w:szCs w:val="24"/>
        </w:rPr>
        <w:t>, 7(2), pp.321–382.</w:t>
      </w:r>
    </w:p>
    <w:p w14:paraId="2A3777F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Gould, K.L., Kirkeeide, R.L. and Buchi, M., 1990. Coronary flow reserve as a physiologic measure of stenosis severity.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15(2), pp.459–474.</w:t>
      </w:r>
    </w:p>
    <w:p w14:paraId="2D01C0D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Gould, K.L. and Lipscomb, K., 1974. Effects of coronary stenoses on coronary flow reserve and resistance. </w:t>
      </w:r>
      <w:r w:rsidRPr="00E66794">
        <w:rPr>
          <w:rFonts w:ascii="Times New Roman" w:hAnsi="Times New Roman" w:cs="Times New Roman"/>
          <w:i/>
          <w:iCs/>
          <w:sz w:val="24"/>
          <w:szCs w:val="24"/>
        </w:rPr>
        <w:t>The American Journal of Cardiology</w:t>
      </w:r>
      <w:r w:rsidRPr="00E66794">
        <w:rPr>
          <w:rFonts w:ascii="Times New Roman" w:hAnsi="Times New Roman" w:cs="Times New Roman"/>
          <w:sz w:val="24"/>
          <w:szCs w:val="24"/>
        </w:rPr>
        <w:t>, 34(1), pp.48–55.</w:t>
      </w:r>
    </w:p>
    <w:p w14:paraId="374F622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Grech, E.D., 2003. Percutaneous coronary intervention. I: History and development. </w:t>
      </w:r>
      <w:r w:rsidRPr="00E66794">
        <w:rPr>
          <w:rFonts w:ascii="Times New Roman" w:hAnsi="Times New Roman" w:cs="Times New Roman"/>
          <w:i/>
          <w:iCs/>
          <w:sz w:val="24"/>
          <w:szCs w:val="24"/>
        </w:rPr>
        <w:t>BMJ : British Medical Journal</w:t>
      </w:r>
      <w:r w:rsidRPr="00E66794">
        <w:rPr>
          <w:rFonts w:ascii="Times New Roman" w:hAnsi="Times New Roman" w:cs="Times New Roman"/>
          <w:sz w:val="24"/>
          <w:szCs w:val="24"/>
        </w:rPr>
        <w:t>, 326(7398), pp.1080–1082.</w:t>
      </w:r>
    </w:p>
    <w:p w14:paraId="7B75438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Grines, C.L., Browne, K.F., Marco, J., Rothbaum, D., Stone, G.W., O’Keefe, J., Overlie, P., Donohue, B., Chelliah, N. and Timmis, G.C., 1993. A comparison of immediate angioplasty with thrombolytic therapy for acute myocardial infarction. The Primary Angioplasty in Myocardial Infarction Study Group.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328(10), pp.673–679.</w:t>
      </w:r>
    </w:p>
    <w:p w14:paraId="5CACE90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Grüntzig, A.R., Senning, Å. and Siegenthaler, W.E., 1979. Nonoperative Dilatation of Coronary-Artery Stenosis.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301(2), pp.61–68.</w:t>
      </w:r>
    </w:p>
    <w:p w14:paraId="7073F6D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Hammal, F., Ezekowitz, J.A., Norris, C.M., Wild, T.C. and Finegan, B.A., 2014. Smoking status and survival: impact on mortality of continuing to smoke one year after the angiographic diagnosis of coronary artery disease, a prospective cohort study. </w:t>
      </w:r>
      <w:r w:rsidRPr="00E66794">
        <w:rPr>
          <w:rFonts w:ascii="Times New Roman" w:hAnsi="Times New Roman" w:cs="Times New Roman"/>
          <w:i/>
          <w:iCs/>
          <w:sz w:val="24"/>
          <w:szCs w:val="24"/>
        </w:rPr>
        <w:t>BMC Cardiovascular Disorders</w:t>
      </w:r>
      <w:r w:rsidRPr="00E66794">
        <w:rPr>
          <w:rFonts w:ascii="Times New Roman" w:hAnsi="Times New Roman" w:cs="Times New Roman"/>
          <w:sz w:val="24"/>
          <w:szCs w:val="24"/>
        </w:rPr>
        <w:t>, [online] 14. Available at: &lt;https://www.ncbi.nlm.nih.gov/pmc/articles/PMC4190449/&gt; [Accessed 24 Apr. 2018].</w:t>
      </w:r>
    </w:p>
    <w:p w14:paraId="2BD2C09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Härle, T., Luz, M., Meyer, S., Kronberg, K., Nickau, B., Escaned, J., Davies, J. and Elsässer, A., 2017a. Effect of Coronary Anatomy and Hydrostatic Pressure on Intracoronary Indices of Stenosis Severity.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10(8), pp.764–773.</w:t>
      </w:r>
    </w:p>
    <w:p w14:paraId="4F33838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Härle, T., Luz, M., Meyer, S., Kronberg, K., Nickau, B., Escaned, J., Davies, J. and Elsässer, A., 2017b. Effect of Coronary Anatomy and Hydrostatic Pressure on Intracoronary Indices of Stenosis Severity.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10(8), pp.764–773.</w:t>
      </w:r>
    </w:p>
    <w:p w14:paraId="064992A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Härle, T., Luz, M., Meyer, S., Vahldiek, F., van der Harst, P., van Dijk, R., Ties, D., Escaned, J., Davies, J. and Elsässer, A., 2018. Influence of hydrostatic pressure on intracoronary indices of stenosis severity in vivo. </w:t>
      </w:r>
      <w:r w:rsidRPr="00E66794">
        <w:rPr>
          <w:rFonts w:ascii="Times New Roman" w:hAnsi="Times New Roman" w:cs="Times New Roman"/>
          <w:i/>
          <w:iCs/>
          <w:sz w:val="24"/>
          <w:szCs w:val="24"/>
        </w:rPr>
        <w:t>Clinical Research in Cardiology: Official Journal of the German Cardiac Society</w:t>
      </w:r>
      <w:r w:rsidRPr="00E66794">
        <w:rPr>
          <w:rFonts w:ascii="Times New Roman" w:hAnsi="Times New Roman" w:cs="Times New Roman"/>
          <w:sz w:val="24"/>
          <w:szCs w:val="24"/>
        </w:rPr>
        <w:t>, 107(3), pp.222–232.</w:t>
      </w:r>
    </w:p>
    <w:p w14:paraId="4F8B1A5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Härle, T., Meyer, S., Bojara, W., Vahldiek, F. and Elsässer, A., 2017c. Intracoronary pressure measurement differences between anter</w:t>
      </w:r>
      <w:r w:rsidRPr="00E66794">
        <w:rPr>
          <w:rFonts w:cs="Times New Roman"/>
          <w:sz w:val="24"/>
          <w:szCs w:val="24"/>
        </w:rPr>
        <w:t>﻿</w:t>
      </w:r>
      <w:r w:rsidRPr="00E66794">
        <w:rPr>
          <w:rFonts w:ascii="Times New Roman" w:hAnsi="Times New Roman" w:cs="Times New Roman"/>
          <w:sz w:val="24"/>
          <w:szCs w:val="24"/>
        </w:rPr>
        <w:t xml:space="preserve">ior and posterior coronary territories. </w:t>
      </w:r>
      <w:r w:rsidRPr="00E66794">
        <w:rPr>
          <w:rFonts w:ascii="Times New Roman" w:hAnsi="Times New Roman" w:cs="Times New Roman"/>
          <w:i/>
          <w:iCs/>
          <w:sz w:val="24"/>
          <w:szCs w:val="24"/>
        </w:rPr>
        <w:t>Herz</w:t>
      </w:r>
      <w:r w:rsidRPr="00E66794">
        <w:rPr>
          <w:rFonts w:ascii="Times New Roman" w:hAnsi="Times New Roman" w:cs="Times New Roman"/>
          <w:sz w:val="24"/>
          <w:szCs w:val="24"/>
        </w:rPr>
        <w:t>, 42(4), pp.395–402.</w:t>
      </w:r>
    </w:p>
    <w:p w14:paraId="267EF62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Härle, T., Meyer, S., Bojara, W., Vahldiek, F. and Elsässer, A., 2017d. Intracoronary pressure measurement differences between anter</w:t>
      </w:r>
      <w:r w:rsidRPr="00E66794">
        <w:rPr>
          <w:rFonts w:cs="Times New Roman"/>
          <w:sz w:val="24"/>
          <w:szCs w:val="24"/>
        </w:rPr>
        <w:t>﻿</w:t>
      </w:r>
      <w:r w:rsidRPr="00E66794">
        <w:rPr>
          <w:rFonts w:ascii="Times New Roman" w:hAnsi="Times New Roman" w:cs="Times New Roman"/>
          <w:sz w:val="24"/>
          <w:szCs w:val="24"/>
        </w:rPr>
        <w:t xml:space="preserve">ior and posterior coronary territories. </w:t>
      </w:r>
      <w:r w:rsidRPr="00E66794">
        <w:rPr>
          <w:rFonts w:ascii="Times New Roman" w:hAnsi="Times New Roman" w:cs="Times New Roman"/>
          <w:i/>
          <w:iCs/>
          <w:sz w:val="24"/>
          <w:szCs w:val="24"/>
        </w:rPr>
        <w:t>Herz</w:t>
      </w:r>
      <w:r w:rsidRPr="00E66794">
        <w:rPr>
          <w:rFonts w:ascii="Times New Roman" w:hAnsi="Times New Roman" w:cs="Times New Roman"/>
          <w:sz w:val="24"/>
          <w:szCs w:val="24"/>
        </w:rPr>
        <w:t>, 42(4), pp.395–402.</w:t>
      </w:r>
    </w:p>
    <w:p w14:paraId="6FB692AE"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Head, S.J., Kieser, T.M., Falk, V., Huysmans, H.A. and Kappetein, A.P., 2013. Coronary artery bypass grafting: Part 1—the evolution over the first 50 years.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34(37), pp.2862–2872.</w:t>
      </w:r>
    </w:p>
    <w:p w14:paraId="4A260CD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Hennigan, B., Oldroyd, K.G., Berry, C., Johnson, N., McClure, J., McCartney, P., McEntegart, M.B., Eteiba, H., Petrie, M.C., Rocchiccioli, P., Good, R., Lindsay, M.M., Hood, S. and Watkins, S., 2016. Discordance Between Resting and Hyperemic Indices of Coronary Stenosis Severity: The VERIFY 2 Study (A Comparative Study of Resting Coronary Pressure Gradient, Instantaneous Wave-Free Ratio and Fractional Flow Reserve in an Unselected Population Referred for Invasive Angiography). </w:t>
      </w:r>
      <w:r w:rsidRPr="00E66794">
        <w:rPr>
          <w:rFonts w:ascii="Times New Roman" w:hAnsi="Times New Roman" w:cs="Times New Roman"/>
          <w:i/>
          <w:iCs/>
          <w:sz w:val="24"/>
          <w:szCs w:val="24"/>
        </w:rPr>
        <w:t>Circulation. Cardiovascular Interventions</w:t>
      </w:r>
      <w:r w:rsidRPr="00E66794">
        <w:rPr>
          <w:rFonts w:ascii="Times New Roman" w:hAnsi="Times New Roman" w:cs="Times New Roman"/>
          <w:sz w:val="24"/>
          <w:szCs w:val="24"/>
        </w:rPr>
        <w:t>, 9(11).</w:t>
      </w:r>
    </w:p>
    <w:p w14:paraId="30C7F9E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Herrmann, J., 2005. Peri-procedural myocardial injury: 2005 update.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26(23), pp.2493–2519.</w:t>
      </w:r>
    </w:p>
    <w:p w14:paraId="02CB3D02"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van de Hoef, T.P., van Lavieren, M.A., Damman, P., Delewi, R., Piek, M.A., Chamuleau, S.A.J., Voskuil, M., Henriques, J.P.S., Koch, K.T., de Winter, R.J., Spaan, J.A.E., Siebes, M., Tijssen, J.G.P., Meuwissen, M. and Piek, J.J., 2014. Physiological basis and long-term clinical outcome of discordance between fractional flow reserve and coronary flow velocity reserve in coronary stenoses of intermediate severity. </w:t>
      </w:r>
      <w:r w:rsidRPr="00E66794">
        <w:rPr>
          <w:rFonts w:ascii="Times New Roman" w:hAnsi="Times New Roman" w:cs="Times New Roman"/>
          <w:i/>
          <w:iCs/>
          <w:sz w:val="24"/>
          <w:szCs w:val="24"/>
        </w:rPr>
        <w:t>Circulation. Cardiovascular Interventions</w:t>
      </w:r>
      <w:r w:rsidRPr="00E66794">
        <w:rPr>
          <w:rFonts w:ascii="Times New Roman" w:hAnsi="Times New Roman" w:cs="Times New Roman"/>
          <w:sz w:val="24"/>
          <w:szCs w:val="24"/>
        </w:rPr>
        <w:t>, 7(3), pp.301–311.</w:t>
      </w:r>
    </w:p>
    <w:p w14:paraId="49F035A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van de Hoef, T.P., Meuwissen, M., Escaned, J., Davies, J.E., Siebes, M., Spaan, J.A.E. and Piek, J.J., 2013. Fractional flow reserve as a surrogate for inducible myocardial ischaemia. </w:t>
      </w:r>
      <w:r w:rsidRPr="00E66794">
        <w:rPr>
          <w:rFonts w:ascii="Times New Roman" w:hAnsi="Times New Roman" w:cs="Times New Roman"/>
          <w:i/>
          <w:iCs/>
          <w:sz w:val="24"/>
          <w:szCs w:val="24"/>
        </w:rPr>
        <w:t>Nature Reviews. Cardiology</w:t>
      </w:r>
      <w:r w:rsidRPr="00E66794">
        <w:rPr>
          <w:rFonts w:ascii="Times New Roman" w:hAnsi="Times New Roman" w:cs="Times New Roman"/>
          <w:sz w:val="24"/>
          <w:szCs w:val="24"/>
        </w:rPr>
        <w:t>, 10(8), pp.439–452.</w:t>
      </w:r>
    </w:p>
    <w:p w14:paraId="1F46AC1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Hoenig, M.R., Doust, J.A., Aroney, C.N. and Scott, I.A., 2006. Early invasive versus conservative strategies for unstable angina &amp; non-ST-elevation myocardial infarction in the stent era. </w:t>
      </w:r>
      <w:r w:rsidRPr="00E66794">
        <w:rPr>
          <w:rFonts w:ascii="Times New Roman" w:hAnsi="Times New Roman" w:cs="Times New Roman"/>
          <w:i/>
          <w:iCs/>
          <w:sz w:val="24"/>
          <w:szCs w:val="24"/>
        </w:rPr>
        <w:t>The Cochrane Database of Systematic Reviews</w:t>
      </w:r>
      <w:r w:rsidRPr="00E66794">
        <w:rPr>
          <w:rFonts w:ascii="Times New Roman" w:hAnsi="Times New Roman" w:cs="Times New Roman"/>
          <w:sz w:val="24"/>
          <w:szCs w:val="24"/>
        </w:rPr>
        <w:t>, (3), p.CD004815.</w:t>
      </w:r>
    </w:p>
    <w:p w14:paraId="75450B8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Hoffmann, U., Truong, Q.A., Schoenfeld, D.A., Chou, E.T., Woodard, P.K., Nagurney, J.T., Pope, J.H., Hauser, T.H., White, C.S., Weiner, S.G., Kalanjian, S., Mullins, M.E., Mikati, I., Peacock, W.F., Zakroysky, P., Hayden, D., Goehler, A., Lee, H., Gazelle, G.S., Wiviott, S.D., Fleg, J.L. and Udelson, J.E., 2012. Coronary CT Angiography versus Standard Evaluation in Acute Chest Pain.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367(4), pp.299–308.</w:t>
      </w:r>
    </w:p>
    <w:p w14:paraId="74D92392"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Hueb, W., Lopes, N., Gersh, B.J., Soares, P.R., Ribeiro, E.E., Pereira, A.C., Favarato, D., Rocha, A.S.C., Hueb, A.C. and Ramires, J.A.F., 2010. Ten-Year Follow-Up Survival of the Medicine, Angioplasty, or Surgery Study (MASS II): A Randomized Controlled Clinical Trial of 3 Therapeutic Strategies for Multivessel Coronary Artery Disease.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122(10), pp.949–957.</w:t>
      </w:r>
    </w:p>
    <w:p w14:paraId="493681E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Insull, W., 2009. The Pathology of Atherosclerosis: Plaque Development and Plaque Responses to Medical Treatment. </w:t>
      </w:r>
      <w:r w:rsidRPr="00E66794">
        <w:rPr>
          <w:rFonts w:ascii="Times New Roman" w:hAnsi="Times New Roman" w:cs="Times New Roman"/>
          <w:i/>
          <w:iCs/>
          <w:sz w:val="24"/>
          <w:szCs w:val="24"/>
        </w:rPr>
        <w:t>The American Journal of Medicine</w:t>
      </w:r>
      <w:r w:rsidRPr="00E66794">
        <w:rPr>
          <w:rFonts w:ascii="Times New Roman" w:hAnsi="Times New Roman" w:cs="Times New Roman"/>
          <w:sz w:val="24"/>
          <w:szCs w:val="24"/>
        </w:rPr>
        <w:t>, 122(1), pp.S3–S14.</w:t>
      </w:r>
    </w:p>
    <w:p w14:paraId="4B22BAC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Iqbal, J., Gunn, J. and Serruys, P.W., 2013. Coronary stents: historical development, current status and future directions. </w:t>
      </w:r>
      <w:r w:rsidRPr="00E66794">
        <w:rPr>
          <w:rFonts w:ascii="Times New Roman" w:hAnsi="Times New Roman" w:cs="Times New Roman"/>
          <w:i/>
          <w:iCs/>
          <w:sz w:val="24"/>
          <w:szCs w:val="24"/>
        </w:rPr>
        <w:t>British Medical Bulletin</w:t>
      </w:r>
      <w:r w:rsidRPr="00E66794">
        <w:rPr>
          <w:rFonts w:ascii="Times New Roman" w:hAnsi="Times New Roman" w:cs="Times New Roman"/>
          <w:sz w:val="24"/>
          <w:szCs w:val="24"/>
        </w:rPr>
        <w:t>, 106(1), pp.193–211.</w:t>
      </w:r>
    </w:p>
    <w:p w14:paraId="0E65780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ISCHEMIA Trial Research Group, Maron, D.J., Hochman, J.S., O’Brien, S.M., Reynolds, H.R., Boden, W.E., Stone, G.W., Bangalore, S., Spertus, J.A., Mark, D.B., Alexander, K.P., Shaw, L., Berger, J.S., Ferguson, T.B., Williams, D.O., Harrington, R.A. and Rosenberg, Y., 2018. International Study of Comparative Health Effectiveness with Medical and Invasive Approaches (ISCHEMIA) trial: Rationale and design. </w:t>
      </w:r>
      <w:r w:rsidRPr="00E66794">
        <w:rPr>
          <w:rFonts w:ascii="Times New Roman" w:hAnsi="Times New Roman" w:cs="Times New Roman"/>
          <w:i/>
          <w:iCs/>
          <w:sz w:val="24"/>
          <w:szCs w:val="24"/>
        </w:rPr>
        <w:t>American Heart Journal</w:t>
      </w:r>
      <w:r w:rsidRPr="00E66794">
        <w:rPr>
          <w:rFonts w:ascii="Times New Roman" w:hAnsi="Times New Roman" w:cs="Times New Roman"/>
          <w:sz w:val="24"/>
          <w:szCs w:val="24"/>
        </w:rPr>
        <w:t>, 201, pp.124–135.</w:t>
      </w:r>
    </w:p>
    <w:p w14:paraId="65B9B24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James, M.T., Samuel, S.M., Manning, M.A., Tonelli, M., Ghali, W.A., Faris, P., Knudtson, M.L., Pannu, N. and Hemmelgarn, B.R., 2013. Contrast-induced acute kidney injury and risk of adverse clinical outcomes after coronary angiography: a systematic review and meta-analysis. </w:t>
      </w:r>
      <w:r w:rsidRPr="00E66794">
        <w:rPr>
          <w:rFonts w:ascii="Times New Roman" w:hAnsi="Times New Roman" w:cs="Times New Roman"/>
          <w:i/>
          <w:iCs/>
          <w:sz w:val="24"/>
          <w:szCs w:val="24"/>
        </w:rPr>
        <w:t>Circulation. Cardiovascular Interventions</w:t>
      </w:r>
      <w:r w:rsidRPr="00E66794">
        <w:rPr>
          <w:rFonts w:ascii="Times New Roman" w:hAnsi="Times New Roman" w:cs="Times New Roman"/>
          <w:sz w:val="24"/>
          <w:szCs w:val="24"/>
        </w:rPr>
        <w:t>, 6(1), pp.37–43.</w:t>
      </w:r>
    </w:p>
    <w:p w14:paraId="1FF9278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Jeremias, A., Maehara, A., Généreux, P., Asrress, K.N., Berry, C., De Bruyne, B., Davies, J.E., Escaned, J., Fearon, W.F., Gould, K.L., Johnson, N.P., Kirtane, A.J., Koo, B.-K., Marques, K.M., Nijjer, S., Oldroyd, K.G., Petraco, R., Piek, J.J., Pijls, N.H., Redwood, S., Siebes, M., Spaan, J.A.E., van ’t Veer, M., Mintz, G.S. and Stone, G.W., 2014. Multicenter core laboratory comparison of the instantaneous wave-free ratio and resting Pd/Pa with fractional flow reserve: the RESOLVE study.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63(13), pp.1253–1261.</w:t>
      </w:r>
    </w:p>
    <w:p w14:paraId="346F63A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Johnson, N.P., Johnson, D.T., Kirkeeide, R.L., Berry, C., De Bruyne, B., Fearon, W.F., Oldroyd, K.G., Pijls, N.H.J. and Gould, K.L., 2015. Repeatability of Fractional Flow Reserve Despite Variations in Systemic and Coronary Hemodynamics.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8(8), pp.1018–1027.</w:t>
      </w:r>
    </w:p>
    <w:p w14:paraId="304EDB2E"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Johnson, N.P., Kirkeeide, R.L. and Gould, K.L., 2015. History and Development of Coronary Flow Reserve and Fractional Flow Reserve for Clinical Applications. </w:t>
      </w:r>
      <w:r w:rsidRPr="00E66794">
        <w:rPr>
          <w:rFonts w:ascii="Times New Roman" w:hAnsi="Times New Roman" w:cs="Times New Roman"/>
          <w:i/>
          <w:iCs/>
          <w:sz w:val="24"/>
          <w:szCs w:val="24"/>
        </w:rPr>
        <w:t>Interventional Cardiology Clinics</w:t>
      </w:r>
      <w:r w:rsidRPr="00E66794">
        <w:rPr>
          <w:rFonts w:ascii="Times New Roman" w:hAnsi="Times New Roman" w:cs="Times New Roman"/>
          <w:sz w:val="24"/>
          <w:szCs w:val="24"/>
        </w:rPr>
        <w:t>, 4(4), pp.397–410.</w:t>
      </w:r>
    </w:p>
    <w:p w14:paraId="5C3B418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Johnson, N.P., Tóth, G.G., Lai, D., Zhu, H., Açar, G., Agostoni, P., Appelman, Y., Arslan, F., Barbato, E., Chen, S.-L., Di Serafino, L., Domínguez-Franco, A.J., Dupouy, P., Esen, A.M., Esen, O.B., Hamilos, M., Iwasaki, K., Jensen, L.O., Jiménez-Navarro, M.F., Katritsis, D.G., Kocaman, S.A., Koo, B.-K., López-Palop, R., Lorin, J.D., Miller, L.H., Muller, O., Nam, C.-W., Oud, N., Puymirat, E., Rieber, J., Rioufol, G., Rodés-Cabau, J., Sedlis, S.P., Takeishi, Y., Tonino, P.A.L., Van Belle, E., Verna, E., Werner, G.S., Fearon, W.F., Pijls, N.H.J., De Bruyne, B. and Gould, K.L., 2014. Prognostic value of fractional flow reserve: linking physiologic severity to clinical outcomes.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64(16), pp.1641–1654.</w:t>
      </w:r>
    </w:p>
    <w:p w14:paraId="684F009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Kallet, R.H., 2015. A Comprehensive Review of Prone Position in ARDS. </w:t>
      </w:r>
      <w:r w:rsidRPr="00E66794">
        <w:rPr>
          <w:rFonts w:ascii="Times New Roman" w:hAnsi="Times New Roman" w:cs="Times New Roman"/>
          <w:i/>
          <w:iCs/>
          <w:sz w:val="24"/>
          <w:szCs w:val="24"/>
        </w:rPr>
        <w:t>Respiratory Care</w:t>
      </w:r>
      <w:r w:rsidRPr="00E66794">
        <w:rPr>
          <w:rFonts w:ascii="Times New Roman" w:hAnsi="Times New Roman" w:cs="Times New Roman"/>
          <w:sz w:val="24"/>
          <w:szCs w:val="24"/>
        </w:rPr>
        <w:t>, 60(11), pp.1660–1687.</w:t>
      </w:r>
    </w:p>
    <w:p w14:paraId="39D65B1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Kanaganayagam, G.S., Ngo, A.T., Alsafi, A., Kamanahalli, R., Sutaria, N., Mittal, T. and Ariff, B., 2014. CT coronary angiography in the investigation of chest pain — Beyond coronary artery atherosclerosis; A pictorial review. </w:t>
      </w:r>
      <w:r w:rsidRPr="00E66794">
        <w:rPr>
          <w:rFonts w:ascii="Times New Roman" w:hAnsi="Times New Roman" w:cs="Times New Roman"/>
          <w:i/>
          <w:iCs/>
          <w:sz w:val="24"/>
          <w:szCs w:val="24"/>
        </w:rPr>
        <w:t>International Journal of Cardiology</w:t>
      </w:r>
      <w:r w:rsidRPr="00E66794">
        <w:rPr>
          <w:rFonts w:ascii="Times New Roman" w:hAnsi="Times New Roman" w:cs="Times New Roman"/>
          <w:sz w:val="24"/>
          <w:szCs w:val="24"/>
        </w:rPr>
        <w:t>, 176(3), pp.618–629.</w:t>
      </w:r>
    </w:p>
    <w:p w14:paraId="6F70C6E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Kannel, W.B., Dawber, T.R., Kagan, A., Revotskie, N. and Stokes, J., 1961. Factors of risk in the development of coronary heart disease--six year follow-up experience. The Framingham Study. </w:t>
      </w:r>
      <w:r w:rsidRPr="00E66794">
        <w:rPr>
          <w:rFonts w:ascii="Times New Roman" w:hAnsi="Times New Roman" w:cs="Times New Roman"/>
          <w:i/>
          <w:iCs/>
          <w:sz w:val="24"/>
          <w:szCs w:val="24"/>
        </w:rPr>
        <w:t>Annals of Internal Medicine</w:t>
      </w:r>
      <w:r w:rsidRPr="00E66794">
        <w:rPr>
          <w:rFonts w:ascii="Times New Roman" w:hAnsi="Times New Roman" w:cs="Times New Roman"/>
          <w:sz w:val="24"/>
          <w:szCs w:val="24"/>
        </w:rPr>
        <w:t>, 55, pp.33–50.</w:t>
      </w:r>
    </w:p>
    <w:p w14:paraId="548BBEC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Karamasis, G.V., Kalogeropoulos, A.S., Mohdnazri, S.H., Al-Janabi, F., Jagathesan, R., Clesham, G.J., Tang, K.H., Kelly, P.A., Davies, J.R. and Keeble, T.R., 2018. Impact of right atrial pressure on fractional flow reserve calculation in the presence of a chronic total occlusion. </w:t>
      </w:r>
      <w:r w:rsidRPr="00E66794">
        <w:rPr>
          <w:rFonts w:ascii="Times New Roman" w:hAnsi="Times New Roman" w:cs="Times New Roman"/>
          <w:i/>
          <w:iCs/>
          <w:sz w:val="24"/>
          <w:szCs w:val="24"/>
        </w:rPr>
        <w:t>Cardiovascular Revascularization Medicine: Including Molecular Interventions</w:t>
      </w:r>
      <w:r w:rsidRPr="00E66794">
        <w:rPr>
          <w:rFonts w:ascii="Times New Roman" w:hAnsi="Times New Roman" w:cs="Times New Roman"/>
          <w:sz w:val="24"/>
          <w:szCs w:val="24"/>
        </w:rPr>
        <w:t>.</w:t>
      </w:r>
    </w:p>
    <w:p w14:paraId="10227B9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Kawaguchi, Y., Ito, K., Kin, H., Shirai, Y., Okazaki, A., Miyajima, K., Watanabe, T., Tatsuguchi, M., Wakabayashi, Y. and Maekawa, Y., 2019. Impact of Hydrostatic Pressure Variations Caused by Height Differences in Supine and Prone Positions on Fractional Flow Reserve Values in the Coronary Circulation. </w:t>
      </w:r>
      <w:r w:rsidRPr="00E66794">
        <w:rPr>
          <w:rFonts w:ascii="Times New Roman" w:hAnsi="Times New Roman" w:cs="Times New Roman"/>
          <w:i/>
          <w:iCs/>
          <w:sz w:val="24"/>
          <w:szCs w:val="24"/>
        </w:rPr>
        <w:t>Journal of Interventional Cardiology</w:t>
      </w:r>
      <w:r w:rsidRPr="00E66794">
        <w:rPr>
          <w:rFonts w:ascii="Times New Roman" w:hAnsi="Times New Roman" w:cs="Times New Roman"/>
          <w:sz w:val="24"/>
          <w:szCs w:val="24"/>
        </w:rPr>
        <w:t>, 2019.</w:t>
      </w:r>
    </w:p>
    <w:p w14:paraId="15EBF22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Kedhi, E., Joesoef, K.S., McFadden, E., Wassing, J., van Mieghem, C., Goedhart, D. and Smits, P.C., 2010. Second-generation everolimus-eluting and paclitaxel-eluting stents in real-life practice (COMPARE): a randomised trial. </w:t>
      </w:r>
      <w:r w:rsidRPr="00E66794">
        <w:rPr>
          <w:rFonts w:ascii="Times New Roman" w:hAnsi="Times New Roman" w:cs="Times New Roman"/>
          <w:i/>
          <w:iCs/>
          <w:sz w:val="24"/>
          <w:szCs w:val="24"/>
        </w:rPr>
        <w:t>The Lancet</w:t>
      </w:r>
      <w:r w:rsidRPr="00E66794">
        <w:rPr>
          <w:rFonts w:ascii="Times New Roman" w:hAnsi="Times New Roman" w:cs="Times New Roman"/>
          <w:sz w:val="24"/>
          <w:szCs w:val="24"/>
        </w:rPr>
        <w:t>, 375(9710), pp.201–209.</w:t>
      </w:r>
    </w:p>
    <w:p w14:paraId="17B6632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Keeley, E.C., Boura, J.A. and Grines, C.L., 2003. Primary angioplasty versus intravenous thrombolytic therapy for acute myocardial infarction: a quantitative review of 23 randomised trials. </w:t>
      </w:r>
      <w:r w:rsidRPr="00E66794">
        <w:rPr>
          <w:rFonts w:ascii="Times New Roman" w:hAnsi="Times New Roman" w:cs="Times New Roman"/>
          <w:i/>
          <w:iCs/>
          <w:sz w:val="24"/>
          <w:szCs w:val="24"/>
        </w:rPr>
        <w:t>The Lancet</w:t>
      </w:r>
      <w:r w:rsidRPr="00E66794">
        <w:rPr>
          <w:rFonts w:ascii="Times New Roman" w:hAnsi="Times New Roman" w:cs="Times New Roman"/>
          <w:sz w:val="24"/>
          <w:szCs w:val="24"/>
        </w:rPr>
        <w:t>, 361(9351), pp.13–20.</w:t>
      </w:r>
    </w:p>
    <w:p w14:paraId="4B0732A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Kiernan, T.J., Yan, B.P., Ruggiero, N., Eisenberg, J.D., Bernal, J., Cubeddu, R.J., Witzke, C., Don, C., Cruz-Gonzalez, I., Rosenfield, K., Pomersantev, E. and Palacios, I., 2009. Coronary artery perforations in the contemporary interventional era. </w:t>
      </w:r>
      <w:r w:rsidRPr="00E66794">
        <w:rPr>
          <w:rFonts w:ascii="Times New Roman" w:hAnsi="Times New Roman" w:cs="Times New Roman"/>
          <w:i/>
          <w:iCs/>
          <w:sz w:val="24"/>
          <w:szCs w:val="24"/>
        </w:rPr>
        <w:t>Journal of Interventional Cardiology</w:t>
      </w:r>
      <w:r w:rsidRPr="00E66794">
        <w:rPr>
          <w:rFonts w:ascii="Times New Roman" w:hAnsi="Times New Roman" w:cs="Times New Roman"/>
          <w:sz w:val="24"/>
          <w:szCs w:val="24"/>
        </w:rPr>
        <w:t>, 22(4), pp.350–353.</w:t>
      </w:r>
    </w:p>
    <w:p w14:paraId="6E2EF5D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Kim, H.-S., Tonino, P.A.L., De Bruyne, B., Yong, A.S.C., Tremmel, J.A., Pijls, N.H.J., Fearon, W.F. and FAME Study Investigators, 2012. The impact of sex differences on fractional flow reserve-guided percutaneous coronary intervention: a FAME (Fractional Flow Reserve Versus Angiography for Multivessel Evaluation) substudy.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5(10), pp.1037–1042.</w:t>
      </w:r>
    </w:p>
    <w:p w14:paraId="1A99929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Kim, H.Y., Lim, H.-S., Doh, J.-H., Nam, C.-W., Shin, E.-S., Koo, B.-K., Yoon, M.-H., Tahk, S.-J., Kang, D.K., Song, Y.B., Hahn, J.-Y., Choi, S.H., Gwon, H.-C., Lee, S.-H., Kim, E.-K., Kim, S.M., Choe, Y. and Choi, J.-H., 2016. Physiological Severity of Coronary Artery Stenosis Depends on the Amount of Myocardial Mass Subtended by the Coronary Artery.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9(15), pp.1548–1560.</w:t>
      </w:r>
    </w:p>
    <w:p w14:paraId="10999D4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Kitabata, H., Leipsic, J., Patel, M.R., Nieman, K., De Bruyne, B., Rogers, C., Pontone, G., Nørgaard, B.L., Bax, J.J., Raff, G., Chinnaiyan, K.M., Rabbat, M., Rønnow Sand, N.P., Blanke, P., Fairbairn, T.A., Matsuo, H., Amano, T., Kawasaki, T., Morino, Y. and Akasaka, T., 2018. Incidence and predictors of lesion-specific ischemia by FFRCT: Learnings from the international ADVANCE registry. </w:t>
      </w:r>
      <w:r w:rsidRPr="00E66794">
        <w:rPr>
          <w:rFonts w:ascii="Times New Roman" w:hAnsi="Times New Roman" w:cs="Times New Roman"/>
          <w:i/>
          <w:iCs/>
          <w:sz w:val="24"/>
          <w:szCs w:val="24"/>
        </w:rPr>
        <w:t>Journal of Cardiovascular Computed Tomography</w:t>
      </w:r>
      <w:r w:rsidRPr="00E66794">
        <w:rPr>
          <w:rFonts w:ascii="Times New Roman" w:hAnsi="Times New Roman" w:cs="Times New Roman"/>
          <w:sz w:val="24"/>
          <w:szCs w:val="24"/>
        </w:rPr>
        <w:t>, 12(2), pp.95–100.</w:t>
      </w:r>
    </w:p>
    <w:p w14:paraId="703347E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Knickelbine, T., Lesser, J.R., Haas, T.S., Brandenburg, E.R., Gleason-Han, B.K., Flygenring, B., Longe, T.F., Schwartz, R.S. and Maron, B.J., 2009. Identification of Unexpected Nonatherosclerotic Cardiovascular Disease With Coronary CT Angiography. </w:t>
      </w:r>
      <w:r w:rsidRPr="00E66794">
        <w:rPr>
          <w:rFonts w:ascii="Times New Roman" w:hAnsi="Times New Roman" w:cs="Times New Roman"/>
          <w:i/>
          <w:iCs/>
          <w:sz w:val="24"/>
          <w:szCs w:val="24"/>
        </w:rPr>
        <w:t>JACC: Cardiovascular Imaging</w:t>
      </w:r>
      <w:r w:rsidRPr="00E66794">
        <w:rPr>
          <w:rFonts w:ascii="Times New Roman" w:hAnsi="Times New Roman" w:cs="Times New Roman"/>
          <w:sz w:val="24"/>
          <w:szCs w:val="24"/>
        </w:rPr>
        <w:t>, 2(9), pp.1085–1092.</w:t>
      </w:r>
    </w:p>
    <w:p w14:paraId="7A5AD2C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Kobayashi, N., Maehara, A., Brener, S.J., Généreux, P., Witzenbichler, B., Guagliumi, G., Peruga, J.Z., Mehran, R., Mintz, G.S. and Stone, G.W., 2015a. Usefulness of the Left Anterior Descending Coronary Artery Wrapping Around the Left Ventricular Apex to Predict Adverse Clinical Outcomes in Patients With Anterior Wall ST-Segment Elevation Myocardial Infarction (from the Harmonizing Outcomes With Revascularization and Stents in Acute Myocardial Infarction Trial). </w:t>
      </w:r>
      <w:r w:rsidRPr="00E66794">
        <w:rPr>
          <w:rFonts w:ascii="Times New Roman" w:hAnsi="Times New Roman" w:cs="Times New Roman"/>
          <w:i/>
          <w:iCs/>
          <w:sz w:val="24"/>
          <w:szCs w:val="24"/>
        </w:rPr>
        <w:t>American Journal of Cardiology</w:t>
      </w:r>
      <w:r w:rsidRPr="00E66794">
        <w:rPr>
          <w:rFonts w:ascii="Times New Roman" w:hAnsi="Times New Roman" w:cs="Times New Roman"/>
          <w:sz w:val="24"/>
          <w:szCs w:val="24"/>
        </w:rPr>
        <w:t>, 116(11), pp.1658–1665.</w:t>
      </w:r>
    </w:p>
    <w:p w14:paraId="0954A5A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Kobayashi, N., Maehara, A., Brener, S.J., Généreux, P., Witzenbichler, B., Guagliumi, G., Peruga, J.Z., Mehran, R., Mintz, G.S. and Stone, G.W., 2015b. Usefulness of the Left Anterior Descending Coronary Artery Wrapping Around the Left Ventricular Apex to Predict Adverse Clinical Outcomes in Patients With Anterior Wall ST-Segment Elevation Myocardial Infarction (from the Harmonizing Outcomes With Revascularization and Stents in Acute Myocardial Infarction Trial). </w:t>
      </w:r>
      <w:r w:rsidRPr="00E66794">
        <w:rPr>
          <w:rFonts w:ascii="Times New Roman" w:hAnsi="Times New Roman" w:cs="Times New Roman"/>
          <w:i/>
          <w:iCs/>
          <w:sz w:val="24"/>
          <w:szCs w:val="24"/>
        </w:rPr>
        <w:t>The American Journal of Cardiology</w:t>
      </w:r>
      <w:r w:rsidRPr="00E66794">
        <w:rPr>
          <w:rFonts w:ascii="Times New Roman" w:hAnsi="Times New Roman" w:cs="Times New Roman"/>
          <w:sz w:val="24"/>
          <w:szCs w:val="24"/>
        </w:rPr>
        <w:t>, 116(11), pp.1658–1665.</w:t>
      </w:r>
    </w:p>
    <w:p w14:paraId="0F6412F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Koo, B.-K., Erglis, A., Doh, J.-H., Daniels, D.V., Jegere, S., Kim, H.-S., Dunning, A., DeFrance, T., Lansky, A. and Leipsic, J., 2011. Diagnosis of ischemia-causing coronary stenoses by noninvasive fractional flow reserve computed from coronary computed tomographic angiograms: results from the prospective multicenter DISCOVER-FLOW (Diagnosis of Ischemia-Causing Stenoses Obtained Via Noninvasive Fractional Flow Reserve) study.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58(19), pp.1989–1997.</w:t>
      </w:r>
    </w:p>
    <w:p w14:paraId="0D3988D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Kumar, A. and Cannon, C.P., 2009. Acute Coronary Syndromes: Diagnosis and Management, Part I. </w:t>
      </w:r>
      <w:r w:rsidRPr="00E66794">
        <w:rPr>
          <w:rFonts w:ascii="Times New Roman" w:hAnsi="Times New Roman" w:cs="Times New Roman"/>
          <w:i/>
          <w:iCs/>
          <w:sz w:val="24"/>
          <w:szCs w:val="24"/>
        </w:rPr>
        <w:t>Mayo Clinic Proceedings</w:t>
      </w:r>
      <w:r w:rsidRPr="00E66794">
        <w:rPr>
          <w:rFonts w:ascii="Times New Roman" w:hAnsi="Times New Roman" w:cs="Times New Roman"/>
          <w:sz w:val="24"/>
          <w:szCs w:val="24"/>
        </w:rPr>
        <w:t>, 84(10), pp.917–938.</w:t>
      </w:r>
    </w:p>
    <w:p w14:paraId="73448A62"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Kvakkestad, K.M., Sandvik, L., Andersen, G.Ø., Sunde, K. and Halvorsen, S., 2018. Long-term survival in patients with acute myocardial infarction and out-of-hospital cardiac arrest: A prospective cohort study. </w:t>
      </w:r>
      <w:r w:rsidRPr="00E66794">
        <w:rPr>
          <w:rFonts w:ascii="Times New Roman" w:hAnsi="Times New Roman" w:cs="Times New Roman"/>
          <w:i/>
          <w:iCs/>
          <w:sz w:val="24"/>
          <w:szCs w:val="24"/>
        </w:rPr>
        <w:t>Resuscitation</w:t>
      </w:r>
      <w:r w:rsidRPr="00E66794">
        <w:rPr>
          <w:rFonts w:ascii="Times New Roman" w:hAnsi="Times New Roman" w:cs="Times New Roman"/>
          <w:sz w:val="24"/>
          <w:szCs w:val="24"/>
        </w:rPr>
        <w:t>, 122, pp.41–47.</w:t>
      </w:r>
    </w:p>
    <w:p w14:paraId="277DB45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Kwon, S.W., Cha, J.-J. and Rhee, J.-H., 2012. Prone position coronary angiography due to intractable back pain: another merit of transradial approach compared to transfemoral approach. </w:t>
      </w:r>
      <w:r w:rsidRPr="00E66794">
        <w:rPr>
          <w:rFonts w:ascii="Times New Roman" w:hAnsi="Times New Roman" w:cs="Times New Roman"/>
          <w:i/>
          <w:iCs/>
          <w:sz w:val="24"/>
          <w:szCs w:val="24"/>
        </w:rPr>
        <w:t>The Journal of Invasive Cardiology</w:t>
      </w:r>
      <w:r w:rsidRPr="00E66794">
        <w:rPr>
          <w:rFonts w:ascii="Times New Roman" w:hAnsi="Times New Roman" w:cs="Times New Roman"/>
          <w:sz w:val="24"/>
          <w:szCs w:val="24"/>
        </w:rPr>
        <w:t>, 24(11), pp.605–607.</w:t>
      </w:r>
    </w:p>
    <w:p w14:paraId="1C7CF07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Ladwiniec, A., Cunnington, M.S., Rossington, J., Mather, A.N., Alahmar, A., Oliver, R.M., Nijjer, S.S., Davies, J.E., Thackray, S., Alamgir, F. and Hoye, A., 2015. Collateral donor artery physiology and the influence of a chronic total occlusion on fractional flow reserve. </w:t>
      </w:r>
      <w:r w:rsidRPr="00E66794">
        <w:rPr>
          <w:rFonts w:ascii="Times New Roman" w:hAnsi="Times New Roman" w:cs="Times New Roman"/>
          <w:i/>
          <w:iCs/>
          <w:sz w:val="24"/>
          <w:szCs w:val="24"/>
        </w:rPr>
        <w:t>Circulation. Cardiovascular Interventions</w:t>
      </w:r>
      <w:r w:rsidRPr="00E66794">
        <w:rPr>
          <w:rFonts w:ascii="Times New Roman" w:hAnsi="Times New Roman" w:cs="Times New Roman"/>
          <w:sz w:val="24"/>
          <w:szCs w:val="24"/>
        </w:rPr>
        <w:t>, 8(4).</w:t>
      </w:r>
    </w:p>
    <w:p w14:paraId="00228E5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Ladwiniec, A., Cunnington, M.S., Rossington, J., Thackray, S., Alamgir, F. and Hoye, A., 2016. Microvascular dysfunction in the immediate aftermath of chronic total coronary occlusion recanalization. </w:t>
      </w:r>
      <w:r w:rsidRPr="00E66794">
        <w:rPr>
          <w:rFonts w:ascii="Times New Roman" w:hAnsi="Times New Roman" w:cs="Times New Roman"/>
          <w:i/>
          <w:iCs/>
          <w:sz w:val="24"/>
          <w:szCs w:val="24"/>
        </w:rPr>
        <w:t>Catheterization and Cardiovascular Interventions</w:t>
      </w:r>
      <w:r w:rsidRPr="00E66794">
        <w:rPr>
          <w:rFonts w:ascii="Times New Roman" w:hAnsi="Times New Roman" w:cs="Times New Roman"/>
          <w:sz w:val="24"/>
          <w:szCs w:val="24"/>
        </w:rPr>
        <w:t>, 87(6), pp.1071–1079.</w:t>
      </w:r>
    </w:p>
    <w:p w14:paraId="48BAF8B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Landau, C., Lange, R.A., Glamann, D.B., Willard, J.E. and Hillis, L.D., 1994. Vasovagal reactions in the cardiac catheterization laboratory. </w:t>
      </w:r>
      <w:r w:rsidRPr="00E66794">
        <w:rPr>
          <w:rFonts w:ascii="Times New Roman" w:hAnsi="Times New Roman" w:cs="Times New Roman"/>
          <w:i/>
          <w:iCs/>
          <w:sz w:val="24"/>
          <w:szCs w:val="24"/>
        </w:rPr>
        <w:t>The American Journal of Cardiology</w:t>
      </w:r>
      <w:r w:rsidRPr="00E66794">
        <w:rPr>
          <w:rFonts w:ascii="Times New Roman" w:hAnsi="Times New Roman" w:cs="Times New Roman"/>
          <w:sz w:val="24"/>
          <w:szCs w:val="24"/>
        </w:rPr>
        <w:t>, 73(1), pp.95–97.</w:t>
      </w:r>
    </w:p>
    <w:p w14:paraId="47E47A4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Le May, M.R., Labinaz, M., Davies, R.F., Marquis, J.F., Laramée, L.A., O’Brien, E.R., Williams, W.L., Beanlands, R.S., Nichol, G. and Higginson, L.A., 2001. Stenting versus thrombolysis in acute myocardial infarction trial (STAT).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37(4), pp.985–991.</w:t>
      </w:r>
    </w:p>
    <w:p w14:paraId="23337F9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Leone, A.M., Caterina, A.R.D., Basile, E., Gardi, A., Laezza, D., Mazzari, M.A., Mongiardo, R., Kharbanda, R., Cuculi, F., Porto, I., Niccoli, G., Burzotta, F., Trani, C., Banning, A.P., Rebuzzi, A.G. and Crea, F., 2013a. Influence of the Amount of Myocardium Subtended by a Stenosis on Fractional Flow Reserve. </w:t>
      </w:r>
      <w:r w:rsidRPr="00E66794">
        <w:rPr>
          <w:rFonts w:ascii="Times New Roman" w:hAnsi="Times New Roman" w:cs="Times New Roman"/>
          <w:i/>
          <w:iCs/>
          <w:sz w:val="24"/>
          <w:szCs w:val="24"/>
        </w:rPr>
        <w:t>Circulation: Cardiovascular Interventions</w:t>
      </w:r>
      <w:r w:rsidRPr="00E66794">
        <w:rPr>
          <w:rFonts w:ascii="Times New Roman" w:hAnsi="Times New Roman" w:cs="Times New Roman"/>
          <w:sz w:val="24"/>
          <w:szCs w:val="24"/>
        </w:rPr>
        <w:t>, 6(1), pp.29–36.</w:t>
      </w:r>
    </w:p>
    <w:p w14:paraId="09B355A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Leone, A.M., De Caterina, A.R., Basile, E., Gardi, A., Laezza, D., Mazzari, M.A., Mongiardo, R., Kharbanda, R., Cuculi, F., Porto, I., Niccoli, G., Burzotta, F., Trani, C., Banning, A.P., Rebuzzi, A.G. and Crea, F., 2013b. Influence of the amount of myocardium subtended by a stenosis on fractional flow reserve. </w:t>
      </w:r>
      <w:r w:rsidRPr="00E66794">
        <w:rPr>
          <w:rFonts w:ascii="Times New Roman" w:hAnsi="Times New Roman" w:cs="Times New Roman"/>
          <w:i/>
          <w:iCs/>
          <w:sz w:val="24"/>
          <w:szCs w:val="24"/>
        </w:rPr>
        <w:t>Circulation. Cardiovascular Interventions</w:t>
      </w:r>
      <w:r w:rsidRPr="00E66794">
        <w:rPr>
          <w:rFonts w:ascii="Times New Roman" w:hAnsi="Times New Roman" w:cs="Times New Roman"/>
          <w:sz w:val="24"/>
          <w:szCs w:val="24"/>
        </w:rPr>
        <w:t>, 6(1), pp.29–36.</w:t>
      </w:r>
    </w:p>
    <w:p w14:paraId="3FE969D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Li, J., Elrashidi, M.Y., Flammer, A.J., Lennon, R.J., Bell, M.R., Holmes, D.R., Bresnahan, J.F., Rihal, C.S., Lerman, L.O. and Lerman, A., 2013. Long-term outcomes of fractional flow reserve-guided vs. angiography-guided percutaneous coronary intervention in contemporary practice.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34(18), pp.1375–1383.</w:t>
      </w:r>
    </w:p>
    <w:p w14:paraId="788E413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Libby, P., Ridker, P.M. and Hansson, G.K., 2011. Progress and challenges in translating the biology of atherosclerosis. </w:t>
      </w:r>
      <w:r w:rsidRPr="00E66794">
        <w:rPr>
          <w:rFonts w:ascii="Times New Roman" w:hAnsi="Times New Roman" w:cs="Times New Roman"/>
          <w:i/>
          <w:iCs/>
          <w:sz w:val="24"/>
          <w:szCs w:val="24"/>
        </w:rPr>
        <w:t>Nature</w:t>
      </w:r>
      <w:r w:rsidRPr="00E66794">
        <w:rPr>
          <w:rFonts w:ascii="Times New Roman" w:hAnsi="Times New Roman" w:cs="Times New Roman"/>
          <w:sz w:val="24"/>
          <w:szCs w:val="24"/>
        </w:rPr>
        <w:t>, 473(7347), pp.317–325.</w:t>
      </w:r>
    </w:p>
    <w:p w14:paraId="046881D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López-Palop, R., Carrillo, P., Cordero, A., Frutos, A., Mateo, I., Mashlab, S. and Roldán, J., 2013. Effect of lesion length on functional significance of intermediate long coronary lesions. </w:t>
      </w:r>
      <w:r w:rsidRPr="00E66794">
        <w:rPr>
          <w:rFonts w:ascii="Times New Roman" w:hAnsi="Times New Roman" w:cs="Times New Roman"/>
          <w:i/>
          <w:iCs/>
          <w:sz w:val="24"/>
          <w:szCs w:val="24"/>
        </w:rPr>
        <w:t>Catheterization and Cardiovascular Interventions: Official Journal of the Society for Cardiac Angiography &amp; Interventions</w:t>
      </w:r>
      <w:r w:rsidRPr="00E66794">
        <w:rPr>
          <w:rFonts w:ascii="Times New Roman" w:hAnsi="Times New Roman" w:cs="Times New Roman"/>
          <w:sz w:val="24"/>
          <w:szCs w:val="24"/>
        </w:rPr>
        <w:t>, 81(4), pp.E186-194.</w:t>
      </w:r>
    </w:p>
    <w:p w14:paraId="384B05F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Lu, M.T., Ferencik, M., Roberts, R.S., Lee, K.L., Ivanov, A., Adami, E., Mark, D.B., Jaffer, F.A., Leipsic, J.A., Douglas, P.S. and Hoffmann, U., 2017. Noninvasive FFR Derived From Coronary CT Angiography: Management and Outcomes in the PROMISE Trial. </w:t>
      </w:r>
      <w:r w:rsidRPr="00E66794">
        <w:rPr>
          <w:rFonts w:ascii="Times New Roman" w:hAnsi="Times New Roman" w:cs="Times New Roman"/>
          <w:i/>
          <w:iCs/>
          <w:sz w:val="24"/>
          <w:szCs w:val="24"/>
        </w:rPr>
        <w:t>JACC. Cardiovascular imaging</w:t>
      </w:r>
      <w:r w:rsidRPr="00E66794">
        <w:rPr>
          <w:rFonts w:ascii="Times New Roman" w:hAnsi="Times New Roman" w:cs="Times New Roman"/>
          <w:sz w:val="24"/>
          <w:szCs w:val="24"/>
        </w:rPr>
        <w:t>, 10(11), pp.1350–1358.</w:t>
      </w:r>
    </w:p>
    <w:p w14:paraId="313129F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Madhavan, M.V., Tarigopula, M., Mintz, G.S., Maehara, A., Stone, G.W. and Généreux, P., 2014. Coronary artery calcification: pathogenesis and prognostic implications.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63(17), pp.1703–1714.</w:t>
      </w:r>
    </w:p>
    <w:p w14:paraId="462433B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Malbouisson, L.M., Busch, C.J., Puybasset, L., Lu, Q., Cluzel, P. and Rouby, J.J., 2000. Role of the heart in the loss of aeration characterizing lower lobes in acute respiratory distress syndrome. CT Scan ARDS Study Group. </w:t>
      </w:r>
      <w:r w:rsidRPr="00E66794">
        <w:rPr>
          <w:rFonts w:ascii="Times New Roman" w:hAnsi="Times New Roman" w:cs="Times New Roman"/>
          <w:i/>
          <w:iCs/>
          <w:sz w:val="24"/>
          <w:szCs w:val="24"/>
        </w:rPr>
        <w:t>American Journal of Respiratory and Critical Care Medicine</w:t>
      </w:r>
      <w:r w:rsidRPr="00E66794">
        <w:rPr>
          <w:rFonts w:ascii="Times New Roman" w:hAnsi="Times New Roman" w:cs="Times New Roman"/>
          <w:sz w:val="24"/>
          <w:szCs w:val="24"/>
        </w:rPr>
        <w:t>, 161(6), pp.2005–2012.</w:t>
      </w:r>
    </w:p>
    <w:p w14:paraId="75E0A96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Mario, C.D., Gil, R. and Serruys, P.W., 1995. Long-term reproducibility of coronary flow velocity measurements in patients with coronary artery disease. </w:t>
      </w:r>
      <w:r w:rsidRPr="00E66794">
        <w:rPr>
          <w:rFonts w:ascii="Times New Roman" w:hAnsi="Times New Roman" w:cs="Times New Roman"/>
          <w:i/>
          <w:iCs/>
          <w:sz w:val="24"/>
          <w:szCs w:val="24"/>
        </w:rPr>
        <w:t>American Journal of Cardiology</w:t>
      </w:r>
      <w:r w:rsidRPr="00E66794">
        <w:rPr>
          <w:rFonts w:ascii="Times New Roman" w:hAnsi="Times New Roman" w:cs="Times New Roman"/>
          <w:sz w:val="24"/>
          <w:szCs w:val="24"/>
        </w:rPr>
        <w:t>, 75(16), pp.1177–1180.</w:t>
      </w:r>
    </w:p>
    <w:p w14:paraId="46D0B26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Mauri, L., Hsieh, W., Massaro, J.M., Ho, K.K.L., D’Agostino, R. and Cutlip, D.E., 2009. </w:t>
      </w:r>
      <w:r w:rsidRPr="00E66794">
        <w:rPr>
          <w:rFonts w:ascii="Times New Roman" w:hAnsi="Times New Roman" w:cs="Times New Roman"/>
          <w:i/>
          <w:iCs/>
          <w:sz w:val="24"/>
          <w:szCs w:val="24"/>
        </w:rPr>
        <w:t>Stent Thrombosis in Randomized Clinical Trials of Drug-Eluting Stents</w:t>
      </w:r>
      <w:r w:rsidRPr="00E66794">
        <w:rPr>
          <w:rFonts w:ascii="Times New Roman" w:hAnsi="Times New Roman" w:cs="Times New Roman"/>
          <w:sz w:val="24"/>
          <w:szCs w:val="24"/>
        </w:rPr>
        <w:t>. [research-article] http://dx.doi.org/10.1056/NEJMoa067731. Available at: &lt;https://www.nejm.org/doi/10.1056/NEJMoa067731&gt; [Accessed 2 May 2018].</w:t>
      </w:r>
    </w:p>
    <w:p w14:paraId="4F592AB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McCullough, P.A., Bertrand, M.E., Brinker, J.A. and Stacul, F., 2006. A Meta-Analysis of the Renal Safety of Isosmolar Iodixanol Compared With Low-Osmolar Contrast Media.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48(4), pp.692–699.</w:t>
      </w:r>
    </w:p>
    <w:p w14:paraId="2AC81CF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Meijboom, W.B., Meijs, M.F.L., Schuijf, J.D., Cramer, M.J., Mollet, N.R., van Mieghem, C.A.G., Nieman, K., van Werkhoven, J.M., Pundziute, G., Weustink, A.C., de Vos, A.M., Pugliese, F., Rensing, B., Jukema, J.W., Bax, J.J., Prokop, M., Doevendans, P.A., Hunink, M.G.M., Krestin, G.P. and de Feyter, P.J., 2008. Diagnostic Accuracy of 64-Slice Computed Tomography Coronary Angiography: A Prospective, Multicenter, Multivendor Study.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52(25), pp.2135–2144.</w:t>
      </w:r>
    </w:p>
    <w:p w14:paraId="5A0B5CC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Meyer, J.A., 1990. Werner Forssmann and catheterization of the heart, 1929. </w:t>
      </w:r>
      <w:r w:rsidRPr="00E66794">
        <w:rPr>
          <w:rFonts w:ascii="Times New Roman" w:hAnsi="Times New Roman" w:cs="Times New Roman"/>
          <w:i/>
          <w:iCs/>
          <w:sz w:val="24"/>
          <w:szCs w:val="24"/>
        </w:rPr>
        <w:t>The Annals of Thoracic Surgery</w:t>
      </w:r>
      <w:r w:rsidRPr="00E66794">
        <w:rPr>
          <w:rFonts w:ascii="Times New Roman" w:hAnsi="Times New Roman" w:cs="Times New Roman"/>
          <w:sz w:val="24"/>
          <w:szCs w:val="24"/>
        </w:rPr>
        <w:t>, 49(3), pp.497–499.</w:t>
      </w:r>
    </w:p>
    <w:p w14:paraId="00F361F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Mohdnazri, S.R., Karamasis, G.V., Al-Janabi, F., Cook, C.M., Hampton-Till, J., Zhang, J., Al-Lamee, R., Dungu, J.N., Gedela, S., Tang, K.H., Kelly, P.A., Davies, J.E., Davies, J.R. and Keeble, T.R., 2018. The impact of coronary chronic total occlusion percutaneous coronary intervention upon donor vessel fractional flow reserve and instantaneous wave-free ratio: Implications for physiology-guided PCI in patients with CTO. </w:t>
      </w:r>
      <w:r w:rsidRPr="00E66794">
        <w:rPr>
          <w:rFonts w:ascii="Times New Roman" w:hAnsi="Times New Roman" w:cs="Times New Roman"/>
          <w:i/>
          <w:iCs/>
          <w:sz w:val="24"/>
          <w:szCs w:val="24"/>
        </w:rPr>
        <w:t>Catheterization and Cardiovascular Interventions: Official Journal of the Society for Cardiac Angiography &amp; Interventions</w:t>
      </w:r>
      <w:r w:rsidRPr="00E66794">
        <w:rPr>
          <w:rFonts w:ascii="Times New Roman" w:hAnsi="Times New Roman" w:cs="Times New Roman"/>
          <w:sz w:val="24"/>
          <w:szCs w:val="24"/>
        </w:rPr>
        <w:t>.</w:t>
      </w:r>
    </w:p>
    <w:p w14:paraId="140102A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Montalescot, G., Sechtem, U., Achenbach, S., Andreotti, F., Arden, C., Budaj, A., Bugiardini, R., Crea, F., Cuisset, T., Di Mario, C., Ferreira, J.R., Gersh, B.J., Gitt, A.K., Hulot, J.-S., Marx, N., Opie, L.H., Pfisterer, M., Prescott, E., Ruschitzka, F., Sabaté, M., Senior, R., Taggart, D.P., Wall, V.D., E, E., Vrints, C.J.M., Zamorano, J.L., Achenbach, S., Baumgartner, H., Bax, J.J., Bueno, H., Dean, V., Deaton, C., Erol, C., Fagard, R., Ferrari, R., Hasdai, D., Hoes, A.W., Kirchhof, P., Knuuti, J., Kolh, P., Lancellotti, P., Linhart, A., Nihoyannopoulos, P., Piepoli, M.F., Ponikowski, P., Sirnes, P.A., Tamargo, J.L., Tendera, M., Torbicki, A., Wijns, W., Windecker, S., Knuuti, J., Valgimigli, M., Bueno, H., Claeys, M.J., Donner-Banzhoff, N., Erol, C., Frank, H., Funck-Brentano, C., Gaemperli, O., Gonzalez-Juanatey, J.R., Hamilos, M., Hasdai, D., Husted, S., James, S.K., Kervinen, K., Kolh, P., Kristensen, S.D., Lancellotti, P., Maggioni, A.P., Piepoli, M.F., Pries, A.R., Romeo, F., Rydén, L., Simoons, M.L., Sirnes, P.A., Steg, P.G., Timmis, A., Wijns, W., Windecker, S., Yildirir, A. and Zamorano, J.L., 2013. 2013 ESC guidelines on the management of stable coronary artery diseaseThe Task Force on the management of stable coronary artery disease of the European Society of Cardiology.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34(38), pp.2949–3003.</w:t>
      </w:r>
    </w:p>
    <w:p w14:paraId="05CF07E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Morice, M.-C., Serruys, P.W., Sousa, J.E., Fajadet, J., Ban Hayashi, E., Perin, M., Colombo, A., Schuler, G., Barragan, P., Guagliumi, G., Molnàr, F., Falotico, R. and RAVEL Study Group. Randomized Study with the Sirolimus-Coated Bx Velocity Balloon-Expandable Stent in the Treatment of Patients with de Novo Native Coronary Artery Lesions, 2002. A randomized comparison of a sirolimus-eluting stent with a standard stent for coronary revascularization.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346(23), pp.1773–1780.</w:t>
      </w:r>
    </w:p>
    <w:p w14:paraId="726DE77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Morris, P.D., Silva Soto, D.A., Feher, J.F.A., Rafiroiu, D., Lungu, A., Varma, S., Lawford, P.V., Hose, D.R. and Gunn, J.P., 2017. Fast Virtual Fractional Flow Reserve Based Upon Steady-State Computational Fluid Dynamics Analysis. </w:t>
      </w:r>
      <w:r w:rsidRPr="00E66794">
        <w:rPr>
          <w:rFonts w:ascii="Times New Roman" w:hAnsi="Times New Roman" w:cs="Times New Roman"/>
          <w:i/>
          <w:iCs/>
          <w:sz w:val="24"/>
          <w:szCs w:val="24"/>
        </w:rPr>
        <w:t>JACC: Basic to Translational Science</w:t>
      </w:r>
      <w:r w:rsidRPr="00E66794">
        <w:rPr>
          <w:rFonts w:ascii="Times New Roman" w:hAnsi="Times New Roman" w:cs="Times New Roman"/>
          <w:sz w:val="24"/>
          <w:szCs w:val="24"/>
        </w:rPr>
        <w:t>, 2(4), pp.434–446.</w:t>
      </w:r>
    </w:p>
    <w:p w14:paraId="7D56971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Moses, J.W., Leon, M.B., Popma, J.J., Fitzgerald, P.J., Holmes, D.R., O’Shaughnessy, C., Caputo, R.P., Kereiakes, D.J., Williams, D.O., Teirstein, P.S., Jaeger, J.L., Kuntz, R.E. and SIRIUS Investigators, 2003. Sirolimus-eluting stents versus standard stents in patients with stenosis in a native coronary artery.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349(14), pp.1315–1323.</w:t>
      </w:r>
    </w:p>
    <w:p w14:paraId="7DEE319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Muller, O., Mangiacapra, F., Ntalianis, A., Verhamme, K.M.C., Trana, C., Hamilos, M., Bartunek, J., Vanderheyden, M., Wyffels, E., Heyndrickx, G.R., van Rooij, F.J.A., Witteman, J.C.M., Hofman, A., Wijns, W., Barbato, E. and De Bruyne, B., 2011. Long-term follow-up after fractional flow reserve-guided treatment strategy in patients with an isolated proximal left anterior descending coronary artery stenosis.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4(11), pp.1175–1182.</w:t>
      </w:r>
    </w:p>
    <w:p w14:paraId="35F0E2D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Murthy, V.L. and Eagle, K.A., 2018. ISCHEMIA: A Search for clarity and why we may not find it. </w:t>
      </w:r>
      <w:r w:rsidRPr="00E66794">
        <w:rPr>
          <w:rFonts w:ascii="Times New Roman" w:hAnsi="Times New Roman" w:cs="Times New Roman"/>
          <w:i/>
          <w:iCs/>
          <w:sz w:val="24"/>
          <w:szCs w:val="24"/>
        </w:rPr>
        <w:t>American heart journal</w:t>
      </w:r>
      <w:r w:rsidRPr="00E66794">
        <w:rPr>
          <w:rFonts w:ascii="Times New Roman" w:hAnsi="Times New Roman" w:cs="Times New Roman"/>
          <w:sz w:val="24"/>
          <w:szCs w:val="24"/>
        </w:rPr>
        <w:t>, 203, pp.82–84.</w:t>
      </w:r>
    </w:p>
    <w:p w14:paraId="753B377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Nair, P. and Roguin, A., 2006. Coronary perforations. </w:t>
      </w:r>
      <w:r w:rsidRPr="00E66794">
        <w:rPr>
          <w:rFonts w:ascii="Times New Roman" w:hAnsi="Times New Roman" w:cs="Times New Roman"/>
          <w:i/>
          <w:iCs/>
          <w:sz w:val="24"/>
          <w:szCs w:val="24"/>
        </w:rPr>
        <w:t>EuroIntervention: Journal of EuroPCR in Collaboration with the Working Group on Interventional Cardiology of the European Society of Cardiology</w:t>
      </w:r>
      <w:r w:rsidRPr="00E66794">
        <w:rPr>
          <w:rFonts w:ascii="Times New Roman" w:hAnsi="Times New Roman" w:cs="Times New Roman"/>
          <w:sz w:val="24"/>
          <w:szCs w:val="24"/>
        </w:rPr>
        <w:t>, 2(3), pp.363–370.</w:t>
      </w:r>
    </w:p>
    <w:p w14:paraId="7BCC60A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Nakamura, M., Yamagishi, M., Ueno, T., Hara, K., Ishiwata, S., Itoh, T., Hamanaka, I., Wakatsuki, T., Sugano, T., Kawai, K., Akasaka, T., Tanaka, N. and Kimura, T., 2014. Prevalence of visual-functional mismatch regarding coronary artery stenosis in the CVIT-DEFER registry. </w:t>
      </w:r>
      <w:r w:rsidRPr="00E66794">
        <w:rPr>
          <w:rFonts w:ascii="Times New Roman" w:hAnsi="Times New Roman" w:cs="Times New Roman"/>
          <w:i/>
          <w:iCs/>
          <w:sz w:val="24"/>
          <w:szCs w:val="24"/>
        </w:rPr>
        <w:t>Cardiovascular Intervention and Therapeutics</w:t>
      </w:r>
      <w:r w:rsidRPr="00E66794">
        <w:rPr>
          <w:rFonts w:ascii="Times New Roman" w:hAnsi="Times New Roman" w:cs="Times New Roman"/>
          <w:sz w:val="24"/>
          <w:szCs w:val="24"/>
        </w:rPr>
        <w:t>, 29(4), pp.300–308.</w:t>
      </w:r>
    </w:p>
    <w:p w14:paraId="6AA56B0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Nash, K., Hafeez, A. and Hou, S., 2002. Hospital-acquired renal insufficiency. </w:t>
      </w:r>
      <w:r w:rsidRPr="00E66794">
        <w:rPr>
          <w:rFonts w:ascii="Times New Roman" w:hAnsi="Times New Roman" w:cs="Times New Roman"/>
          <w:i/>
          <w:iCs/>
          <w:sz w:val="24"/>
          <w:szCs w:val="24"/>
        </w:rPr>
        <w:t>American Journal of Kidney Diseases</w:t>
      </w:r>
      <w:r w:rsidRPr="00E66794">
        <w:rPr>
          <w:rFonts w:ascii="Times New Roman" w:hAnsi="Times New Roman" w:cs="Times New Roman"/>
          <w:sz w:val="24"/>
          <w:szCs w:val="24"/>
        </w:rPr>
        <w:t>, 39(5), pp.930–936.</w:t>
      </w:r>
    </w:p>
    <w:p w14:paraId="670866A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Newby, D.E. and Fox, K.A.A., 2002. Invasive assessment of the coronary circulation: intravascular ultrasound and Doppler. </w:t>
      </w:r>
      <w:r w:rsidRPr="00E66794">
        <w:rPr>
          <w:rFonts w:ascii="Times New Roman" w:hAnsi="Times New Roman" w:cs="Times New Roman"/>
          <w:i/>
          <w:iCs/>
          <w:sz w:val="24"/>
          <w:szCs w:val="24"/>
        </w:rPr>
        <w:t>British Journal of Clinical Pharmacology</w:t>
      </w:r>
      <w:r w:rsidRPr="00E66794">
        <w:rPr>
          <w:rFonts w:ascii="Times New Roman" w:hAnsi="Times New Roman" w:cs="Times New Roman"/>
          <w:sz w:val="24"/>
          <w:szCs w:val="24"/>
        </w:rPr>
        <w:t>, 53(6), pp.561–575.</w:t>
      </w:r>
    </w:p>
    <w:p w14:paraId="4855FBF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Ng, M.K.C., Yeung, A.C. and Fearon, W.F., 2006. Invasive Assessment of the Coronary Microcirculation: Superior Reproducibility and Less Hemodynamic Dependence of Index of Microcirculatory Resistance Compared With Coronary Flow Reserve.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113(17), pp.2054–2061.</w:t>
      </w:r>
    </w:p>
    <w:p w14:paraId="25B0058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Nichol, G., Thomas, E., Callaway, C.W., Hedges, J., Powell, J.L., Aufderheide, T.P., Rea, T., Lowe, R., Brown, T., Dreyer, J., Davis, D., Idris, A., Stiell, I. and Resuscitation Outcomes Consortium Investigators, 2008. Regional variation in out-of-hospital cardiac arrest incidence and outcome. </w:t>
      </w:r>
      <w:r w:rsidRPr="00E66794">
        <w:rPr>
          <w:rFonts w:ascii="Times New Roman" w:hAnsi="Times New Roman" w:cs="Times New Roman"/>
          <w:i/>
          <w:iCs/>
          <w:sz w:val="24"/>
          <w:szCs w:val="24"/>
        </w:rPr>
        <w:t>JAMA</w:t>
      </w:r>
      <w:r w:rsidRPr="00E66794">
        <w:rPr>
          <w:rFonts w:ascii="Times New Roman" w:hAnsi="Times New Roman" w:cs="Times New Roman"/>
          <w:sz w:val="24"/>
          <w:szCs w:val="24"/>
        </w:rPr>
        <w:t>, 300(12), pp.1423–1431.</w:t>
      </w:r>
    </w:p>
    <w:p w14:paraId="6CD0DAD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Nieminen, M.S., Dickstein, K., Fonseca, C., Serrano, J.M., Parissis, J., Fedele, F., Wikström, G., Agostoni, P., Atar, S., Baholli, L., Brito, D., Colet, J.C., Édes, I., Mesa, J.E.G., Gorjup, V., Garza, E.H., Juanatey, J.R.G., Karanovic, N., Karavidas, A., Katsytadze, I., Kivikko, M., Matskeplishvili, S., Merkely, B., Morandi, F., Novoa, A., Oliva, F., Ostadal, P., Pereira-Barretto, A., Pollesello, P., Rudiger, A., Schwinger, R.H.G., Wieser, M., Yavelov, I. and Zymliński, R., 2015. The patient perspective: Quality of life in advanced heart failure with frequent hospitalisations. </w:t>
      </w:r>
      <w:r w:rsidRPr="00E66794">
        <w:rPr>
          <w:rFonts w:ascii="Times New Roman" w:hAnsi="Times New Roman" w:cs="Times New Roman"/>
          <w:i/>
          <w:iCs/>
          <w:sz w:val="24"/>
          <w:szCs w:val="24"/>
        </w:rPr>
        <w:t>International Journal of Cardiology</w:t>
      </w:r>
      <w:r w:rsidRPr="00E66794">
        <w:rPr>
          <w:rFonts w:ascii="Times New Roman" w:hAnsi="Times New Roman" w:cs="Times New Roman"/>
          <w:sz w:val="24"/>
          <w:szCs w:val="24"/>
        </w:rPr>
        <w:t>, 191, pp.256–264.</w:t>
      </w:r>
    </w:p>
    <w:p w14:paraId="236953C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Nijjer, S.S., de Waard, G.A., Sen, S., van de Hoef, T.P., Petraco, R., Echavarría-Pinto, M., van Lavieren, M.A., Meuwissen, M., Danad, I., Knaapen, P., Escaned, J., Piek, J.J., Davies, J.E. and van Royen, N., 2016. Coronary pressure and flow relationships in humans: phasic analysis of normal and pathological vessels and the implications for stenosis assessment: a report from the Iberian-Dutch-English (IDEAL) collaborators.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37(26), pp.2069–2080.</w:t>
      </w:r>
    </w:p>
    <w:p w14:paraId="1AC0177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Nørgaard, B.L., Leipsic, J., Gaur, S., Seneviratne, S., Ko, B.S., Ito, H., Jensen, J.M., Mauri, L., De Bruyne, B. and Bezerra, H., 2014. Diagnostic performance of noninvasive fractional flow reserve derived from coronary computed tomography angiography in suspected coronary artery disease: the NXT trial (Analysis of Coronary Blood Flow Using CT Angiography: Next Steps).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63(12), pp.1145–1155.</w:t>
      </w:r>
    </w:p>
    <w:p w14:paraId="56511B1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Ohman, E.M., 2016. Chronic Stable Angina.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374(12), pp.1167–1176.</w:t>
      </w:r>
    </w:p>
    <w:p w14:paraId="0088A8D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Park, K.W., Kang, S.-H., Velders, M.A., Shin, D.-H., Hahn, S., Lim, W.-H., Yang, H.-M., Lee, H.-Y., Van Boven, A.J., Hofma, S.H., Kang, H.-J., Koo, B.-K., Oh, B.-H., Park, Y.-B., Kandzari, D.E. and Kim, H.-S., 2013. Safety and efficacy of everolimus- versus sirolimus-eluting stents: a systematic review and meta-analysis of 11 randomized trials. </w:t>
      </w:r>
      <w:r w:rsidRPr="00E66794">
        <w:rPr>
          <w:rFonts w:ascii="Times New Roman" w:hAnsi="Times New Roman" w:cs="Times New Roman"/>
          <w:i/>
          <w:iCs/>
          <w:sz w:val="24"/>
          <w:szCs w:val="24"/>
        </w:rPr>
        <w:t>American Heart Journal</w:t>
      </w:r>
      <w:r w:rsidRPr="00E66794">
        <w:rPr>
          <w:rFonts w:ascii="Times New Roman" w:hAnsi="Times New Roman" w:cs="Times New Roman"/>
          <w:sz w:val="24"/>
          <w:szCs w:val="24"/>
        </w:rPr>
        <w:t>, 165(2), pp.241-250.e4.</w:t>
      </w:r>
    </w:p>
    <w:p w14:paraId="15C2A43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Patel, M.R., Calhoon, J.H., Dehmer, G.J., Grantham, J.A., Maddox, T.M., Maron, D.J. and Smith, P.K., 2017. ACC/AATS/AHA/ASE/ASNC/SCAI/SCCT/STS 2017 Appropriate Use Criteria for Coronary Revascularization in Patients With Stable Ischemic Heart Disease: A Report of the American College of Cardiology Appropriate Use Criteria Task Force, American Association for Thoracic Surgery, American Heart Association, American Society of Echocardiography, American Society of Nuclear Cardiology, Society for Cardiovascular Angiography and Interventions, Society of Cardiovascular Computed Tomography, and Society of Thoracic Surgeons.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69(17), pp.2212–2241.</w:t>
      </w:r>
    </w:p>
    <w:p w14:paraId="67219BF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Pedersen, T.R., Kjekshus, J., Berg, K., Haghfelt, T., Faergeman, O., Faergeman, G., Pyörälä, K., Miettinen, T., Wilhelmsen, L., Olsson, A.G., Wedel, H. and Scandinavian Simvastatin Survival Study Group, 2004. Randomised trial of cholesterol lowering in 4444 patients with coronary heart disease: the Scandinavian Simvastatin Survival Study (4S). 1994. </w:t>
      </w:r>
      <w:r w:rsidRPr="00E66794">
        <w:rPr>
          <w:rFonts w:ascii="Times New Roman" w:hAnsi="Times New Roman" w:cs="Times New Roman"/>
          <w:i/>
          <w:iCs/>
          <w:sz w:val="24"/>
          <w:szCs w:val="24"/>
        </w:rPr>
        <w:t>Atherosclerosis. Supplements</w:t>
      </w:r>
      <w:r w:rsidRPr="00E66794">
        <w:rPr>
          <w:rFonts w:ascii="Times New Roman" w:hAnsi="Times New Roman" w:cs="Times New Roman"/>
          <w:sz w:val="24"/>
          <w:szCs w:val="24"/>
        </w:rPr>
        <w:t>, 5(3), pp.81–87.</w:t>
      </w:r>
    </w:p>
    <w:p w14:paraId="0F69C9A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Perkins, G.D. and Cooke, M.W., 2012. Variability in cardiac arrest survival: the NHS Ambulance Service Quality Indicators. </w:t>
      </w:r>
      <w:r w:rsidRPr="00E66794">
        <w:rPr>
          <w:rFonts w:ascii="Times New Roman" w:hAnsi="Times New Roman" w:cs="Times New Roman"/>
          <w:i/>
          <w:iCs/>
          <w:sz w:val="24"/>
          <w:szCs w:val="24"/>
        </w:rPr>
        <w:t>Emerg Med J</w:t>
      </w:r>
      <w:r w:rsidRPr="00E66794">
        <w:rPr>
          <w:rFonts w:ascii="Times New Roman" w:hAnsi="Times New Roman" w:cs="Times New Roman"/>
          <w:sz w:val="24"/>
          <w:szCs w:val="24"/>
        </w:rPr>
        <w:t>, 29(1), pp.3–5.</w:t>
      </w:r>
    </w:p>
    <w:p w14:paraId="686A0F8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Petraco, R., Escaned, J., Sen, S., Nijjer, S., Asrress, K.N., Echavarria-Pinto, M., Lockie, T., Khawaja, M.Z., Cuevas, C., Foin, N., Broyd, C., Foale, R.A., Hadjiloizou, N., Malik, I.S., Mikhail, G.W., Sethi, A., Kaprielian, R., Baker, C.S., Lefroy, D., Bellamy, M., Al-Bustami, M., Khan, M.A., Hughes, A.D., Francis, D.P., Mayet, J., Di Mario, C., Redwood, S. and Davies, J.E., 2013. Classification performance of instantaneous wave-free ratio (iFR) and fractional flow reserve in a clinical population of intermediate coronary stenoses: results of the ADVISE registry. </w:t>
      </w:r>
      <w:r w:rsidRPr="00E66794">
        <w:rPr>
          <w:rFonts w:ascii="Times New Roman" w:hAnsi="Times New Roman" w:cs="Times New Roman"/>
          <w:i/>
          <w:iCs/>
          <w:sz w:val="24"/>
          <w:szCs w:val="24"/>
        </w:rPr>
        <w:t>EuroIntervention: Journal of EuroPCR in Collaboration with the Working Group on Interventional Cardiology of the European Society of Cardiology</w:t>
      </w:r>
      <w:r w:rsidRPr="00E66794">
        <w:rPr>
          <w:rFonts w:ascii="Times New Roman" w:hAnsi="Times New Roman" w:cs="Times New Roman"/>
          <w:sz w:val="24"/>
          <w:szCs w:val="24"/>
        </w:rPr>
        <w:t>, 9(1), pp.91–101.</w:t>
      </w:r>
    </w:p>
    <w:p w14:paraId="47E3155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Pijls, N.H., De Bruyne, B., Bech, G.J., Liistro, F., Heyndrickx, G.R., Bonnier, H.J. and Koolen, J.J., 2000. Coronary pressure measurement to assess the hemodynamic significance of serial stenoses within one coronary artery: validation in humans.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102(19), pp.2371–2377.</w:t>
      </w:r>
    </w:p>
    <w:p w14:paraId="6DB6C69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Pijls, N.H., van Son, J.A., Kirkeeide, R.L., De Bruyne, B. and Gould, K.L., 1993. Experimental basis of determining maximum coronary, myocardial, and collateral blood flow by pressure measurements for assessing functional stenosis severity before and after percutaneous transluminal coronary angioplasty.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87(4), pp.1354–1367.</w:t>
      </w:r>
    </w:p>
    <w:p w14:paraId="17EE08E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Pijls, N.H.J., de Bruyne, B., Peels, K., van der Voort, P.H., Bonnier, H.J.R.M., Bartunek, J. and Koolen, J.J., 1996. Measurement of Fractional Flow Reserve to Assess the Functional Severity of Coronary-Artery Stenoses.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334(26), pp.1703–1708.</w:t>
      </w:r>
    </w:p>
    <w:p w14:paraId="21D7F1E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Pijls, N.H.J., Fearon, W.F., Tonino, P.A.L., Siebert, U., Ikeno, F., Bornschein, B., van’t Veer, M., Klauss, V., Manoharan, G., Engstrøm, T., Oldroyd, K.G., Ver Lee, P.N., MacCarthy, P.A., De Bruyne, B. and FAME Study Investigators, 2010. Fractional flow reserve versus angiography for guiding percutaneous coronary intervention in patients with multivessel coronary artery disease: 2-year follow-up of the FAME (Fractional Flow Reserve Versus Angiography for Multivessel Evaluation) study.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56(3), pp.177–184.</w:t>
      </w:r>
    </w:p>
    <w:p w14:paraId="746864B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Platelet Receptor Inhibition in Ischemic Syndrome Management in Patients Limited by Unstable Signs and Symptoms (PRISM-PLUS) Study Investigators, 1998. Inhibition of the platelet glycoprotein IIb/IIIa receptor with tirofiban in unstable angina and non-Q-wave myocardial infarction.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338(21), pp.1488–1497.</w:t>
      </w:r>
    </w:p>
    <w:p w14:paraId="63ED927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Poon, M., Marx, S.O., Gallo, R., Badimon, J.J., Taubman, M.B. and Marks, A.R., 1996. Rapamycin inhibits vascular smooth muscle cell migration. </w:t>
      </w:r>
      <w:r w:rsidRPr="00E66794">
        <w:rPr>
          <w:rFonts w:ascii="Times New Roman" w:hAnsi="Times New Roman" w:cs="Times New Roman"/>
          <w:i/>
          <w:iCs/>
          <w:sz w:val="24"/>
          <w:szCs w:val="24"/>
        </w:rPr>
        <w:t>The Journal of Clinical Investigation</w:t>
      </w:r>
      <w:r w:rsidRPr="00E66794">
        <w:rPr>
          <w:rFonts w:ascii="Times New Roman" w:hAnsi="Times New Roman" w:cs="Times New Roman"/>
          <w:sz w:val="24"/>
          <w:szCs w:val="24"/>
        </w:rPr>
        <w:t>, 98(10), pp.2277–2283.</w:t>
      </w:r>
    </w:p>
    <w:p w14:paraId="2C19613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Pursnani, S., Korley, F., Gopaul, R., Kanade, P., Chandra, N., Shaw, R.E. and Bangalore, S., 2012. Percutaneous Coronary Intervention Versus Optimal Medical Therapy in Stable Coronary Artery Disease: A Systematic Review and Meta-Analysis of Randomized Clinical Trials. </w:t>
      </w:r>
      <w:r w:rsidRPr="00E66794">
        <w:rPr>
          <w:rFonts w:ascii="Times New Roman" w:hAnsi="Times New Roman" w:cs="Times New Roman"/>
          <w:i/>
          <w:iCs/>
          <w:sz w:val="24"/>
          <w:szCs w:val="24"/>
        </w:rPr>
        <w:t>Circulation: Cardiovascular Interventions</w:t>
      </w:r>
      <w:r w:rsidRPr="00E66794">
        <w:rPr>
          <w:rFonts w:ascii="Times New Roman" w:hAnsi="Times New Roman" w:cs="Times New Roman"/>
          <w:sz w:val="24"/>
          <w:szCs w:val="24"/>
        </w:rPr>
        <w:t>, p.CIRCINTERVENTIONS.112.970954.</w:t>
      </w:r>
    </w:p>
    <w:p w14:paraId="64B3170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Qian, J., Ge, J., Baumgart, D., Oldenburg, O., Haude, M., Sack, S. and Erbel, R., 2000. Safety of intracoronary Doppler flow measurement. </w:t>
      </w:r>
      <w:r w:rsidRPr="00E66794">
        <w:rPr>
          <w:rFonts w:ascii="Times New Roman" w:hAnsi="Times New Roman" w:cs="Times New Roman"/>
          <w:i/>
          <w:iCs/>
          <w:sz w:val="24"/>
          <w:szCs w:val="24"/>
        </w:rPr>
        <w:t>American Heart Journal</w:t>
      </w:r>
      <w:r w:rsidRPr="00E66794">
        <w:rPr>
          <w:rFonts w:ascii="Times New Roman" w:hAnsi="Times New Roman" w:cs="Times New Roman"/>
          <w:sz w:val="24"/>
          <w:szCs w:val="24"/>
        </w:rPr>
        <w:t>, 140(3), pp.502–510.</w:t>
      </w:r>
    </w:p>
    <w:p w14:paraId="458658A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Quadros, A.S., Cambruzzi, E., Sebben, J., David, R.B., Abelin, A., Welter, D., Sarmento-Leite, R., Mehta, R.H., Gottschall, C.A. and Lopes, R.D., 2012. Red versus white thrombi in patients with ST-elevation myocardial infarction undergoing primary percutaneous coronary intervention: clinical and angiographic outcomes. </w:t>
      </w:r>
      <w:r w:rsidRPr="00E66794">
        <w:rPr>
          <w:rFonts w:ascii="Times New Roman" w:hAnsi="Times New Roman" w:cs="Times New Roman"/>
          <w:i/>
          <w:iCs/>
          <w:sz w:val="24"/>
          <w:szCs w:val="24"/>
        </w:rPr>
        <w:t>American Heart Journal</w:t>
      </w:r>
      <w:r w:rsidRPr="00E66794">
        <w:rPr>
          <w:rFonts w:ascii="Times New Roman" w:hAnsi="Times New Roman" w:cs="Times New Roman"/>
          <w:sz w:val="24"/>
          <w:szCs w:val="24"/>
        </w:rPr>
        <w:t>, 164(4), pp.553–560.</w:t>
      </w:r>
    </w:p>
    <w:p w14:paraId="4E03EFF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Ramanathan, T. and Skinner, H., 2005. Coronary blood flow. </w:t>
      </w:r>
      <w:r w:rsidRPr="00E66794">
        <w:rPr>
          <w:rFonts w:ascii="Times New Roman" w:hAnsi="Times New Roman" w:cs="Times New Roman"/>
          <w:i/>
          <w:iCs/>
          <w:sz w:val="24"/>
          <w:szCs w:val="24"/>
        </w:rPr>
        <w:t>Continuing Education in Anaesthesia Critical Care &amp; Pain</w:t>
      </w:r>
      <w:r w:rsidRPr="00E66794">
        <w:rPr>
          <w:rFonts w:ascii="Times New Roman" w:hAnsi="Times New Roman" w:cs="Times New Roman"/>
          <w:sz w:val="24"/>
          <w:szCs w:val="24"/>
        </w:rPr>
        <w:t>, 5(2), pp.61–64.</w:t>
      </w:r>
    </w:p>
    <w:p w14:paraId="08197C6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Reynolds Harmony R., Picard Michael H. and Hochman Judith S., 2015. Does Ischemia Burden in Stable Coronary Artery Disease Effectively Identify Revascularization Candidates? </w:t>
      </w:r>
      <w:r w:rsidRPr="00E66794">
        <w:rPr>
          <w:rFonts w:ascii="Times New Roman" w:hAnsi="Times New Roman" w:cs="Times New Roman"/>
          <w:i/>
          <w:iCs/>
          <w:sz w:val="24"/>
          <w:szCs w:val="24"/>
        </w:rPr>
        <w:t>Circulation: Cardiovascular Imaging</w:t>
      </w:r>
      <w:r w:rsidRPr="00E66794">
        <w:rPr>
          <w:rFonts w:ascii="Times New Roman" w:hAnsi="Times New Roman" w:cs="Times New Roman"/>
          <w:sz w:val="24"/>
          <w:szCs w:val="24"/>
        </w:rPr>
        <w:t>, 8(5), p.e000362.</w:t>
      </w:r>
    </w:p>
    <w:p w14:paraId="54C6FCB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Rigo, F., Sicari, R., Gherardi, S., Djordjevic-Dikic, A., Cortigiani, L. and Picano, E., 2007. Prognostic value of coronary flow reserve in medically treated patients with left anterior descending coronary disease with stenosis 51% to 75% in diameter. </w:t>
      </w:r>
      <w:r w:rsidRPr="00E66794">
        <w:rPr>
          <w:rFonts w:ascii="Times New Roman" w:hAnsi="Times New Roman" w:cs="Times New Roman"/>
          <w:i/>
          <w:iCs/>
          <w:sz w:val="24"/>
          <w:szCs w:val="24"/>
        </w:rPr>
        <w:t>The American Journal of Cardiology</w:t>
      </w:r>
      <w:r w:rsidRPr="00E66794">
        <w:rPr>
          <w:rFonts w:ascii="Times New Roman" w:hAnsi="Times New Roman" w:cs="Times New Roman"/>
          <w:sz w:val="24"/>
          <w:szCs w:val="24"/>
        </w:rPr>
        <w:t>, 100(10), pp.1527–1531.</w:t>
      </w:r>
    </w:p>
    <w:p w14:paraId="70DA159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Rihal, C.S., Textor, S.C., Grill, D.E., Berger, P.B., Ting, H.H., Best, P.J., Singh, M., Bell, M.R., Barsness, G.W., Mathew, V., Garratt, K.N. and Holmes, D.R., 2002. Incidence and prognostic importance of acute renal failure after percutaneous coronary intervention.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105(19), pp.2259–2264.</w:t>
      </w:r>
    </w:p>
    <w:p w14:paraId="797BB15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Rubin, G.D., 2014. Computed Tomography: Revolutionizing the Practice of Medicine for 40                     Years. </w:t>
      </w:r>
      <w:r w:rsidRPr="00E66794">
        <w:rPr>
          <w:rFonts w:ascii="Times New Roman" w:hAnsi="Times New Roman" w:cs="Times New Roman"/>
          <w:i/>
          <w:iCs/>
          <w:sz w:val="24"/>
          <w:szCs w:val="24"/>
        </w:rPr>
        <w:t>Radiology</w:t>
      </w:r>
      <w:r w:rsidRPr="00E66794">
        <w:rPr>
          <w:rFonts w:ascii="Times New Roman" w:hAnsi="Times New Roman" w:cs="Times New Roman"/>
          <w:sz w:val="24"/>
          <w:szCs w:val="24"/>
        </w:rPr>
        <w:t>, 273(2S), pp.S45–S74.</w:t>
      </w:r>
    </w:p>
    <w:p w14:paraId="194EAB1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Ryan, T.J., 2002. The coronary angiogram and its seminal contributions to cardiovascular medicine over five decades. </w:t>
      </w:r>
      <w:r w:rsidRPr="00E66794">
        <w:rPr>
          <w:rFonts w:ascii="Times New Roman" w:hAnsi="Times New Roman" w:cs="Times New Roman"/>
          <w:i/>
          <w:iCs/>
          <w:sz w:val="24"/>
          <w:szCs w:val="24"/>
        </w:rPr>
        <w:t>Transactions of the American Clinical and Climatological Association</w:t>
      </w:r>
      <w:r w:rsidRPr="00E66794">
        <w:rPr>
          <w:rFonts w:ascii="Times New Roman" w:hAnsi="Times New Roman" w:cs="Times New Roman"/>
          <w:sz w:val="24"/>
          <w:szCs w:val="24"/>
        </w:rPr>
        <w:t>, 113, pp.261–271.</w:t>
      </w:r>
    </w:p>
    <w:p w14:paraId="7A05BD5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Sajobi, T.T., Wang, M., Awosoga, O., Santana, M., Southern, D., Liang, Z., Galbraith, D., Wilton, S.B., Quan, H., Graham, M.M., James, M.T., Ghali, W.A., Knudtson, M.L., Norris, C. and APPROACH Investigators, 2018. Trajectories of Health-Related Quality of Life in Coronary Artery Disease. </w:t>
      </w:r>
      <w:r w:rsidRPr="00E66794">
        <w:rPr>
          <w:rFonts w:ascii="Times New Roman" w:hAnsi="Times New Roman" w:cs="Times New Roman"/>
          <w:i/>
          <w:iCs/>
          <w:sz w:val="24"/>
          <w:szCs w:val="24"/>
        </w:rPr>
        <w:t>Circulation. Cardiovascular Quality and Outcomes</w:t>
      </w:r>
      <w:r w:rsidRPr="00E66794">
        <w:rPr>
          <w:rFonts w:ascii="Times New Roman" w:hAnsi="Times New Roman" w:cs="Times New Roman"/>
          <w:sz w:val="24"/>
          <w:szCs w:val="24"/>
        </w:rPr>
        <w:t>, 11(3), p.e003661.</w:t>
      </w:r>
    </w:p>
    <w:p w14:paraId="493E5AD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Sartini, C., Tresoldi, M., Scarpellini, P., Tettamanti, A., Carcò, F., Landoni, G. and Zangrillo, A., 2020. Respiratory Parameters in Patients With COVID-19 After Using Noninvasive Ventilation in the Prone Position Outside the Intensive Care Unit. </w:t>
      </w:r>
      <w:r w:rsidRPr="00E66794">
        <w:rPr>
          <w:rFonts w:ascii="Times New Roman" w:hAnsi="Times New Roman" w:cs="Times New Roman"/>
          <w:i/>
          <w:iCs/>
          <w:sz w:val="24"/>
          <w:szCs w:val="24"/>
        </w:rPr>
        <w:t>JAMA</w:t>
      </w:r>
      <w:r w:rsidRPr="00E66794">
        <w:rPr>
          <w:rFonts w:ascii="Times New Roman" w:hAnsi="Times New Roman" w:cs="Times New Roman"/>
          <w:sz w:val="24"/>
          <w:szCs w:val="24"/>
        </w:rPr>
        <w:t>, 323(22), pp.2338–2340.</w:t>
      </w:r>
    </w:p>
    <w:p w14:paraId="7830FEF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Scholten, E.L., Beitler, J.R., Prisk, G.K. and Malhotra, A., 2017. Treatment of ARDS With Prone Positioning. </w:t>
      </w:r>
      <w:r w:rsidRPr="00E66794">
        <w:rPr>
          <w:rFonts w:ascii="Times New Roman" w:hAnsi="Times New Roman" w:cs="Times New Roman"/>
          <w:i/>
          <w:iCs/>
          <w:sz w:val="24"/>
          <w:szCs w:val="24"/>
        </w:rPr>
        <w:t>Chest</w:t>
      </w:r>
      <w:r w:rsidRPr="00E66794">
        <w:rPr>
          <w:rFonts w:ascii="Times New Roman" w:hAnsi="Times New Roman" w:cs="Times New Roman"/>
          <w:sz w:val="24"/>
          <w:szCs w:val="24"/>
        </w:rPr>
        <w:t>, 151(1), pp.215–224.</w:t>
      </w:r>
    </w:p>
    <w:p w14:paraId="0AB14CE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Schömig, A., Kastrati, A., Dirschinger, J., Mehilli, J., Schricke, U., Pache, J., Martinoff, S., Neumann, F.J. and Schwaiger, M., 2000. Coronary stenting plus platelet glycoprotein IIb/IIIa blockade compared with tissue plasminogen activator in acute myocardial infarction. Stent versus Thrombolysis for Occluded Coronary Arteries in Patients with Acute Myocardial Infarction Study Investigators.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343(6), pp.385–391.</w:t>
      </w:r>
    </w:p>
    <w:p w14:paraId="4EDFFC6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Serruys, P.W., de Jaegere, P., Kiemeneij, F., Macaya, C., Rutsch, W., Heyndrickx, G., Emanuelsson, H., Marco, J., Legrand, V. and Materne, P., 1994. A comparison of balloon-expandable-stent implantation with balloon angioplasty in patients with coronary artery disease. Benestent Study Group.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331(8), pp.489–495.</w:t>
      </w:r>
    </w:p>
    <w:p w14:paraId="01E1F38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Serruys, P.W., Kutryk, M.J.B. and Ong, A.T.L., 2006. Coronary-Artery Stents.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354(5), pp.483–495.</w:t>
      </w:r>
    </w:p>
    <w:p w14:paraId="54473C4E"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Serruys, P.W., di Mario, C., Piek, J., Schroeder, E., Vrints, C., Probst, P., de Bruyne, B., Hanet, C., Fleck, E., Haude, M., Verna, E., Voudris, V., Geschwind, H., Emanuelsson, H., Mühlberger, V., Danzi, G., Peels, H.O., Ford, A.J. and Boersma, E., 1997. Prognostic value of intracoronary flow velocity and diameter stenosis in assessing the short- and long-term outcomes of coronary balloon angioplasty: the DEBATE Study (Doppler Endpoints Balloon Angioplasty Trial Europe).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96(10), pp.3369–3377.</w:t>
      </w:r>
    </w:p>
    <w:p w14:paraId="4BE16F21"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Serruys, P.W., Silber, S., Garg, S., van Geuns, R.J., Richardt, G., Buszman, P.E., Kelbaek, H., van Boven, A.J., Hofma, S.H., Linke, A., Klauss, V., Wijns, W., Macaya, C., Garot, P., DiMario, C., Manoharan, G., Kornowski, R., Ischinger, T., Bartorelli, A., Ronden, J., Bressers, M., Gobbens, P., Negoita, M., van Leeuwen, F. and Windecker, S., 2010. Comparison of zotarolimus-eluting and everolimus-eluting coronary stents.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363(2), pp.136–146.</w:t>
      </w:r>
    </w:p>
    <w:p w14:paraId="227119F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Serruys, P.W., Strauss, B.H., Beatt, K.J., Bertrand, M.E., Puel, J., Rickards, A.F., Meier, B., Goy, J.-J., Vogt, P., Kappenberger, L. and Sigwart, U., 1991. Angiographic Follow-up after Placement of a Self-Expanding Coronary-Artery Stent.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324(1), pp.13–17.</w:t>
      </w:r>
    </w:p>
    <w:p w14:paraId="67FDA51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Sieljacks, P., Knudsen, L., Wernbom, M. and Vissing, K., 2018. Body position influences arterial occlusion pressure: implications for the standardization of pressure during blood flow restricted exercise. </w:t>
      </w:r>
      <w:r w:rsidRPr="00E66794">
        <w:rPr>
          <w:rFonts w:ascii="Times New Roman" w:hAnsi="Times New Roman" w:cs="Times New Roman"/>
          <w:i/>
          <w:iCs/>
          <w:sz w:val="24"/>
          <w:szCs w:val="24"/>
        </w:rPr>
        <w:t>European Journal of Applied Physiology</w:t>
      </w:r>
      <w:r w:rsidRPr="00E66794">
        <w:rPr>
          <w:rFonts w:ascii="Times New Roman" w:hAnsi="Times New Roman" w:cs="Times New Roman"/>
          <w:sz w:val="24"/>
          <w:szCs w:val="24"/>
        </w:rPr>
        <w:t>, 118(2), pp.303–312.</w:t>
      </w:r>
    </w:p>
    <w:p w14:paraId="08B3627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Siudak, Z., Birkemeyer, R., Dziewierz, A., Rakowski, T., Zmudka, K., Dubiel, J.S. and Dudek, D., 2012. Out-of-hospital cardiac arrest in patients treated with primary PCI for STEMI. Long-term follow up data from EUROTRANSFER registry. </w:t>
      </w:r>
      <w:r w:rsidRPr="00E66794">
        <w:rPr>
          <w:rFonts w:ascii="Times New Roman" w:hAnsi="Times New Roman" w:cs="Times New Roman"/>
          <w:i/>
          <w:iCs/>
          <w:sz w:val="24"/>
          <w:szCs w:val="24"/>
        </w:rPr>
        <w:t>Resuscitation</w:t>
      </w:r>
      <w:r w:rsidRPr="00E66794">
        <w:rPr>
          <w:rFonts w:ascii="Times New Roman" w:hAnsi="Times New Roman" w:cs="Times New Roman"/>
          <w:sz w:val="24"/>
          <w:szCs w:val="24"/>
        </w:rPr>
        <w:t>, 83(3), pp.303–306.</w:t>
      </w:r>
    </w:p>
    <w:p w14:paraId="64D4188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Smulders, M.W., Jaarsma, C., Nelemans, P.J., Bekkers, S.C.A.M., Bucerius, J., Leiner, T., Crijns, H.J.G.M., Wildberger, J.E. and Schalla, S., 2017. Comparison of the prognostic value of negative non-invasive cardiac investigations in patients with suspected or known coronary artery disease-a meta-analysis. </w:t>
      </w:r>
      <w:r w:rsidRPr="00E66794">
        <w:rPr>
          <w:rFonts w:ascii="Times New Roman" w:hAnsi="Times New Roman" w:cs="Times New Roman"/>
          <w:i/>
          <w:iCs/>
          <w:sz w:val="24"/>
          <w:szCs w:val="24"/>
        </w:rPr>
        <w:t>European Heart Journal Cardiovascular Imaging</w:t>
      </w:r>
      <w:r w:rsidRPr="00E66794">
        <w:rPr>
          <w:rFonts w:ascii="Times New Roman" w:hAnsi="Times New Roman" w:cs="Times New Roman"/>
          <w:sz w:val="24"/>
          <w:szCs w:val="24"/>
        </w:rPr>
        <w:t>, 18(9), pp.980–987.</w:t>
      </w:r>
    </w:p>
    <w:p w14:paraId="37BF16C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Snowden, C.B., McNamara, P.M., Garrison, R.J., Feinleib, M., Kannel, W.B. and Epstein, F.H., 1982. Predicting coronary heart disease in siblings--a multivariate assessment: the Framingham Heart Study. </w:t>
      </w:r>
      <w:r w:rsidRPr="00E66794">
        <w:rPr>
          <w:rFonts w:ascii="Times New Roman" w:hAnsi="Times New Roman" w:cs="Times New Roman"/>
          <w:i/>
          <w:iCs/>
          <w:sz w:val="24"/>
          <w:szCs w:val="24"/>
        </w:rPr>
        <w:t>American Journal of Epidemiology</w:t>
      </w:r>
      <w:r w:rsidRPr="00E66794">
        <w:rPr>
          <w:rFonts w:ascii="Times New Roman" w:hAnsi="Times New Roman" w:cs="Times New Roman"/>
          <w:sz w:val="24"/>
          <w:szCs w:val="24"/>
        </w:rPr>
        <w:t>, 115(2), pp.217–222.</w:t>
      </w:r>
    </w:p>
    <w:p w14:paraId="38DA325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Sobel, B.E., Bresnahan, G.F., Shell, W.E. and Yoder, R.D., 1972. Estimation of infarct size in man and its relation to prognosis.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46(4), pp.640–648.</w:t>
      </w:r>
    </w:p>
    <w:p w14:paraId="25CA80E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Spaan, J.A.E., Piek, J.J., Hoffman, J.I.E. and Siebes, M., 2006. Physiological basis of clinically used coronary hemodynamic indices.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113(3), pp.446–455.</w:t>
      </w:r>
    </w:p>
    <w:p w14:paraId="64C038CB"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Steg, P.G. and Ducrocq, G., 2016. Future of the Prevention and Treatment of Coronary Artery Disease. </w:t>
      </w:r>
      <w:r w:rsidRPr="00E66794">
        <w:rPr>
          <w:rFonts w:ascii="Times New Roman" w:hAnsi="Times New Roman" w:cs="Times New Roman"/>
          <w:i/>
          <w:iCs/>
          <w:sz w:val="24"/>
          <w:szCs w:val="24"/>
        </w:rPr>
        <w:t>Circulation Journal: Official Journal of the Japanese Circulation Society</w:t>
      </w:r>
      <w:r w:rsidRPr="00E66794">
        <w:rPr>
          <w:rFonts w:ascii="Times New Roman" w:hAnsi="Times New Roman" w:cs="Times New Roman"/>
          <w:sz w:val="24"/>
          <w:szCs w:val="24"/>
        </w:rPr>
        <w:t>, 80(5), pp.1067–1072.</w:t>
      </w:r>
    </w:p>
    <w:p w14:paraId="3D4FAEE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Stergiopoulos, K., Boden, W.E., Hartigan, P., Möbius-Winkler, S., Hambrecht, R., Hueb, W., Hardison, R.M., Abbott, J.D. and Brown, D.L., 2014. Percutaneous coronary intervention outcomes in patients with stable obstructive coronary artery disease and myocardial ischemia: a collaborative meta-analysis of contemporary randomized clinical trials. </w:t>
      </w:r>
      <w:r w:rsidRPr="00E66794">
        <w:rPr>
          <w:rFonts w:ascii="Times New Roman" w:hAnsi="Times New Roman" w:cs="Times New Roman"/>
          <w:i/>
          <w:iCs/>
          <w:sz w:val="24"/>
          <w:szCs w:val="24"/>
        </w:rPr>
        <w:t>JAMA internal medicine</w:t>
      </w:r>
      <w:r w:rsidRPr="00E66794">
        <w:rPr>
          <w:rFonts w:ascii="Times New Roman" w:hAnsi="Times New Roman" w:cs="Times New Roman"/>
          <w:sz w:val="24"/>
          <w:szCs w:val="24"/>
        </w:rPr>
        <w:t>, 174(2), pp.232–240.</w:t>
      </w:r>
    </w:p>
    <w:p w14:paraId="34F5574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Stone, G.W., Ellis, S.G., Cox, D.A., Hermiller, J., O’Shaughnessy, C., Mann, J.T., Turco, M., Caputo, R., Bergin, P., Greenberg, J., Popma, J.J., Russell, M.E. and TAXUS-IV Investigators, 2004. A polymer-based, paclitaxel-eluting stent in patients with coronary artery disease.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350(3), pp.221–231.</w:t>
      </w:r>
    </w:p>
    <w:p w14:paraId="4322926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Stone, G.W., Selker, H.P., Thiele, H., Patel, M.R., Udelson, J.E., Ohman, E.M., Maehara, A., Eitel, I., Granger, C.B., Jenkins, P.L., Nichols, M. and Ben-Yehuda, O., 2016a. Relationship Between Infarct Size and Outcomes Following Primary PCI: Patient-Level Analysis From 10 Randomized Trials.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67(14), pp.1674–1683.</w:t>
      </w:r>
    </w:p>
    <w:p w14:paraId="2056DE5F"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Stone, G.W., Selker, H.P., Thiele, H., Patel, M.R., Udelson, J.E., Ohman, E.M., Maehara, A., Eitel, I., Granger, C.B., Jenkins, P.L., Nichols, M. and Ben-Yehuda, O., 2016b. Relationship Between Infarct Size and Outcomes Following Primary PCI: Patient-Level Analysis From 10 Randomized Trials.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67(14), pp.1674–1683.</w:t>
      </w:r>
    </w:p>
    <w:p w14:paraId="3F9DA66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Strong, J.P., Malcom, G.T., McMahan, C.A., Tracy, R.E., Newman, W.P., Herderick, E.E. and Cornhill, J.F., 1999. Prevalence and extent of atherosclerosis in adolescents and young adults: implications for prevention from the Pathobiological Determinants of Atherosclerosis in Youth Study. </w:t>
      </w:r>
      <w:r w:rsidRPr="00E66794">
        <w:rPr>
          <w:rFonts w:ascii="Times New Roman" w:hAnsi="Times New Roman" w:cs="Times New Roman"/>
          <w:i/>
          <w:iCs/>
          <w:sz w:val="24"/>
          <w:szCs w:val="24"/>
        </w:rPr>
        <w:t>JAMA</w:t>
      </w:r>
      <w:r w:rsidRPr="00E66794">
        <w:rPr>
          <w:rFonts w:ascii="Times New Roman" w:hAnsi="Times New Roman" w:cs="Times New Roman"/>
          <w:sz w:val="24"/>
          <w:szCs w:val="24"/>
        </w:rPr>
        <w:t>, 281(8), pp.727–735.</w:t>
      </w:r>
    </w:p>
    <w:p w14:paraId="1E05604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Sun, Z., Choo, G.H. and Ng, K.H., 2012. Coronary CT angiography: current status and continuing challenges. </w:t>
      </w:r>
      <w:r w:rsidRPr="00E66794">
        <w:rPr>
          <w:rFonts w:ascii="Times New Roman" w:hAnsi="Times New Roman" w:cs="Times New Roman"/>
          <w:i/>
          <w:iCs/>
          <w:sz w:val="24"/>
          <w:szCs w:val="24"/>
        </w:rPr>
        <w:t>The British Journal of Radiology</w:t>
      </w:r>
      <w:r w:rsidRPr="00E66794">
        <w:rPr>
          <w:rFonts w:ascii="Times New Roman" w:hAnsi="Times New Roman" w:cs="Times New Roman"/>
          <w:sz w:val="24"/>
          <w:szCs w:val="24"/>
        </w:rPr>
        <w:t>, 85(1013), pp.495–510.</w:t>
      </w:r>
    </w:p>
    <w:p w14:paraId="4F4AAF9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Sun, Z. and Xu, L., 2014. Coronary CT angiography in the quantitative assessment of coronary plaques. </w:t>
      </w:r>
      <w:r w:rsidRPr="00E66794">
        <w:rPr>
          <w:rFonts w:ascii="Times New Roman" w:hAnsi="Times New Roman" w:cs="Times New Roman"/>
          <w:i/>
          <w:iCs/>
          <w:sz w:val="24"/>
          <w:szCs w:val="24"/>
        </w:rPr>
        <w:t>BioMed Research International</w:t>
      </w:r>
      <w:r w:rsidRPr="00E66794">
        <w:rPr>
          <w:rFonts w:ascii="Times New Roman" w:hAnsi="Times New Roman" w:cs="Times New Roman"/>
          <w:sz w:val="24"/>
          <w:szCs w:val="24"/>
        </w:rPr>
        <w:t>, 2014, p.346380.</w:t>
      </w:r>
    </w:p>
    <w:p w14:paraId="7F3E6DF2"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Suzuki, H., Takeyama, Y., Koba, S., Suwa, Y. and Katagiri, T., 1994. Small vessel pathology and coronary hemodynamics in patients with microvascular angina. </w:t>
      </w:r>
      <w:r w:rsidRPr="00E66794">
        <w:rPr>
          <w:rFonts w:ascii="Times New Roman" w:hAnsi="Times New Roman" w:cs="Times New Roman"/>
          <w:i/>
          <w:iCs/>
          <w:sz w:val="24"/>
          <w:szCs w:val="24"/>
        </w:rPr>
        <w:t>International Journal of Cardiology</w:t>
      </w:r>
      <w:r w:rsidRPr="00E66794">
        <w:rPr>
          <w:rFonts w:ascii="Times New Roman" w:hAnsi="Times New Roman" w:cs="Times New Roman"/>
          <w:sz w:val="24"/>
          <w:szCs w:val="24"/>
        </w:rPr>
        <w:t>, 43(2), pp.139–150.</w:t>
      </w:r>
    </w:p>
    <w:p w14:paraId="190CCB1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Svanerud, J., Ahn, J.-M., Jeremias, A., van ’t Veer, M., Gore, A., Maehara, A., Crowley, A., Pijls, N.H.J., De Bruyne, B., Johnson, N.P., Hennigan, B., Watkins, S., Berry, C., Oldroyd, K.G., Park, S.-J. and Ali, Z.A., 2018. Validation of a novel non-hyperaemic index of coronary artery stenosis severity: the Resting Full-cycle Ratio (VALIDATE RFR) study. </w:t>
      </w:r>
      <w:r w:rsidRPr="00E66794">
        <w:rPr>
          <w:rFonts w:ascii="Times New Roman" w:hAnsi="Times New Roman" w:cs="Times New Roman"/>
          <w:i/>
          <w:iCs/>
          <w:sz w:val="24"/>
          <w:szCs w:val="24"/>
        </w:rPr>
        <w:t>EuroIntervention: Journal of EuroPCR in Collaboration with the Working Group on Interventional Cardiology of the European Society of Cardiology</w:t>
      </w:r>
      <w:r w:rsidRPr="00E66794">
        <w:rPr>
          <w:rFonts w:ascii="Times New Roman" w:hAnsi="Times New Roman" w:cs="Times New Roman"/>
          <w:sz w:val="24"/>
          <w:szCs w:val="24"/>
        </w:rPr>
        <w:t>.</w:t>
      </w:r>
    </w:p>
    <w:p w14:paraId="1AD6D8E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Tamita, K., Akasaka, T., Takagi, T., Yamamuro, A., Yamabe, K., Katayama, M., Morioka, S. and Yoshida, K., 2002. Effects of microvascular dysfunction on myocardial fractional flow reserve after percutaneous coronary intervention in patients with acute myocardial infarction. </w:t>
      </w:r>
      <w:r w:rsidRPr="00E66794">
        <w:rPr>
          <w:rFonts w:ascii="Times New Roman" w:hAnsi="Times New Roman" w:cs="Times New Roman"/>
          <w:i/>
          <w:iCs/>
          <w:sz w:val="24"/>
          <w:szCs w:val="24"/>
        </w:rPr>
        <w:t>Catheterization and Cardiovascular Interventions: Official Journal of the Society for Cardiac Angiography &amp; Interventions</w:t>
      </w:r>
      <w:r w:rsidRPr="00E66794">
        <w:rPr>
          <w:rFonts w:ascii="Times New Roman" w:hAnsi="Times New Roman" w:cs="Times New Roman"/>
          <w:sz w:val="24"/>
          <w:szCs w:val="24"/>
        </w:rPr>
        <w:t>, 57(4), pp.452–459.</w:t>
      </w:r>
    </w:p>
    <w:p w14:paraId="3F4B5F8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Taqueti, V.R. and Di Carli, M.F., 2018. Coronary Microvascular Disease Pathogenic Mechanisms and Therapeutic Options: JACC State-of-the-Art Review.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72(21), pp.2625–2641.</w:t>
      </w:r>
    </w:p>
    <w:p w14:paraId="499C501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Taylor, C.A., Fonte, T.A. and Min, J.K., 2013. Computational Fluid Dynamics Applied to Cardiac Computed Tomography for Noninvasive Quantification of Fractional Flow Reserve: Scientific Basis. </w:t>
      </w:r>
      <w:r w:rsidRPr="00E66794">
        <w:rPr>
          <w:rFonts w:ascii="Times New Roman" w:hAnsi="Times New Roman" w:cs="Times New Roman"/>
          <w:i/>
          <w:iCs/>
          <w:sz w:val="24"/>
          <w:szCs w:val="24"/>
        </w:rPr>
        <w:t>Journal of the American College of Cardiology</w:t>
      </w:r>
      <w:r w:rsidRPr="00E66794">
        <w:rPr>
          <w:rFonts w:ascii="Times New Roman" w:hAnsi="Times New Roman" w:cs="Times New Roman"/>
          <w:sz w:val="24"/>
          <w:szCs w:val="24"/>
        </w:rPr>
        <w:t>, 61(22), pp.2233–2241.</w:t>
      </w:r>
    </w:p>
    <w:p w14:paraId="0CB9C6A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Tebaldi, M., Biscaglia, S., Fineschi, M., Manari, A., Menozzi, M., Secco, G.G., Di Lorenzo, E., D’Ascenzo, F., Fabbian, F., Tumscitz, C., Ferrari, R. and Campo, G., 2016. Fractional Flow Reserve Evaluation and Chronic Kidney Disease: Analysis From a Multicenter Italian Registry (the FREAK Study). </w:t>
      </w:r>
      <w:r w:rsidRPr="00E66794">
        <w:rPr>
          <w:rFonts w:ascii="Times New Roman" w:hAnsi="Times New Roman" w:cs="Times New Roman"/>
          <w:i/>
          <w:iCs/>
          <w:sz w:val="24"/>
          <w:szCs w:val="24"/>
        </w:rPr>
        <w:t>Catheterization and Cardiovascular Interventions: Official Journal of the Society for Cardiac Angiography &amp; Interventions</w:t>
      </w:r>
      <w:r w:rsidRPr="00E66794">
        <w:rPr>
          <w:rFonts w:ascii="Times New Roman" w:hAnsi="Times New Roman" w:cs="Times New Roman"/>
          <w:sz w:val="24"/>
          <w:szCs w:val="24"/>
        </w:rPr>
        <w:t>, 88(4), pp.555–562.</w:t>
      </w:r>
    </w:p>
    <w:p w14:paraId="4E07641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Tebaldi, M., Biscaglia, S., Fineschi, M., Musumeci, G., Marchese, A., Leone, A.M., Rossi, M.L., Stefanini, G., Maione, A., Menozzi, A., Tarantino, F., Lodolini, V., Gallo, F., Barbato, E., Tarantini, G. and Campo, G., 2018. Evolving Routine Standards in Invasive Hemodynamic Assessment of Coronary Stenosis: The Nationwide Italian SICI-GISE Cross-Sectional ERIS Study.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11(15), pp.1482–1491.</w:t>
      </w:r>
    </w:p>
    <w:p w14:paraId="0C96A0C4"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Tonino, P.A.L., De Bruyne, B., Pijls, N.H.J., Siebert, U., Ikeno, F., van `t Veer, M., Klauss, V., Manoharan, G., Engstrøm, T., Oldroyd, K.G., Ver Lee, P.N., MacCarthy, P.A. and Fearon, W.F., 2009. Fractional Flow Reserve versus Angiography for Guiding Percutaneous Coronary Intervention.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360(3), pp.213–224.</w:t>
      </w:r>
    </w:p>
    <w:p w14:paraId="09A248B6"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Toth, G.G., De Bruyne, B., Rusinaru, D., Di Gioia, G., Bartunek, J., Pellicano, M., Vanderheyden, M., Adjedj, J., Wijns, W., Pijls, N.H.J. and Barbato, E., 2016. Impact of Right Atrial Pressure on Fractional Flow Reserve Measurements: Comparison of Fractional Flow Reserve and Myocardial Fractional Flow Reserve in 1,600 Coronary Stenoses. </w:t>
      </w:r>
      <w:r w:rsidRPr="00E66794">
        <w:rPr>
          <w:rFonts w:ascii="Times New Roman" w:hAnsi="Times New Roman" w:cs="Times New Roman"/>
          <w:i/>
          <w:iCs/>
          <w:sz w:val="24"/>
          <w:szCs w:val="24"/>
        </w:rPr>
        <w:t>JACC. Cardiovascular interventions</w:t>
      </w:r>
      <w:r w:rsidRPr="00E66794">
        <w:rPr>
          <w:rFonts w:ascii="Times New Roman" w:hAnsi="Times New Roman" w:cs="Times New Roman"/>
          <w:sz w:val="24"/>
          <w:szCs w:val="24"/>
        </w:rPr>
        <w:t>, 9(5), pp.453–459.</w:t>
      </w:r>
    </w:p>
    <w:p w14:paraId="31CC28D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Virmani, R., Kolodgie, F.D., Burke, A.P., Farb, A. and Schwartz, S.M., 2000a. Lessons from sudden coronary death: a comprehensive morphological classification scheme for atherosclerotic lesions. </w:t>
      </w:r>
      <w:r w:rsidRPr="00E66794">
        <w:rPr>
          <w:rFonts w:ascii="Times New Roman" w:hAnsi="Times New Roman" w:cs="Times New Roman"/>
          <w:i/>
          <w:iCs/>
          <w:sz w:val="24"/>
          <w:szCs w:val="24"/>
        </w:rPr>
        <w:t>Arteriosclerosis, Thrombosis, and Vascular Biology</w:t>
      </w:r>
      <w:r w:rsidRPr="00E66794">
        <w:rPr>
          <w:rFonts w:ascii="Times New Roman" w:hAnsi="Times New Roman" w:cs="Times New Roman"/>
          <w:sz w:val="24"/>
          <w:szCs w:val="24"/>
        </w:rPr>
        <w:t>, 20(5), pp.1262–1275.</w:t>
      </w:r>
    </w:p>
    <w:p w14:paraId="0048695A"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Virmani, R., Kolodgie, F.D., Burke, A.P., Farb, A. and Schwartz, S.M., 2000b. Lessons from sudden coronary death: a comprehensive morphological classification scheme for atherosclerotic lesions. </w:t>
      </w:r>
      <w:r w:rsidRPr="00E66794">
        <w:rPr>
          <w:rFonts w:ascii="Times New Roman" w:hAnsi="Times New Roman" w:cs="Times New Roman"/>
          <w:i/>
          <w:iCs/>
          <w:sz w:val="24"/>
          <w:szCs w:val="24"/>
        </w:rPr>
        <w:t>Arteriosclerosis, Thrombosis, and Vascular Biology</w:t>
      </w:r>
      <w:r w:rsidRPr="00E66794">
        <w:rPr>
          <w:rFonts w:ascii="Times New Roman" w:hAnsi="Times New Roman" w:cs="Times New Roman"/>
          <w:sz w:val="24"/>
          <w:szCs w:val="24"/>
        </w:rPr>
        <w:t>, 20(5), pp.1262–1275.</w:t>
      </w:r>
    </w:p>
    <w:p w14:paraId="74FE449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Waard, G.A. de, Fahrni, G., Wit, D. de, Kitabata, H., Williams, R., Patel, N., Teunissen, P.F., Ven, P.M. van de, Umman, S., Knaapen, P., Perera, D., Akasaka, T., Sezer, M., Kharbanda, R.K. and Royen, N. van, 2018. Hyperaemic microvascular resistance predicts clinical outcome and microvascular injury after myocardial infarction. </w:t>
      </w:r>
      <w:r w:rsidRPr="00E66794">
        <w:rPr>
          <w:rFonts w:ascii="Times New Roman" w:hAnsi="Times New Roman" w:cs="Times New Roman"/>
          <w:i/>
          <w:iCs/>
          <w:sz w:val="24"/>
          <w:szCs w:val="24"/>
        </w:rPr>
        <w:t>Heart</w:t>
      </w:r>
      <w:r w:rsidRPr="00E66794">
        <w:rPr>
          <w:rFonts w:ascii="Times New Roman" w:hAnsi="Times New Roman" w:cs="Times New Roman"/>
          <w:sz w:val="24"/>
          <w:szCs w:val="24"/>
        </w:rPr>
        <w:t>, 104(2), pp.127–134.</w:t>
      </w:r>
    </w:p>
    <w:p w14:paraId="599B073D"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Wagner, L., 2007. Radiation injury is a potentially serious complication to fluoroscopically-guided complex interventions. </w:t>
      </w:r>
      <w:r w:rsidRPr="00E66794">
        <w:rPr>
          <w:rFonts w:ascii="Times New Roman" w:hAnsi="Times New Roman" w:cs="Times New Roman"/>
          <w:i/>
          <w:iCs/>
          <w:sz w:val="24"/>
          <w:szCs w:val="24"/>
        </w:rPr>
        <w:t>Biomedical Imaging and Intervention Journal</w:t>
      </w:r>
      <w:r w:rsidRPr="00E66794">
        <w:rPr>
          <w:rFonts w:ascii="Times New Roman" w:hAnsi="Times New Roman" w:cs="Times New Roman"/>
          <w:sz w:val="24"/>
          <w:szCs w:val="24"/>
        </w:rPr>
        <w:t>, [online] 3(2). Available at: &lt;https://www.ncbi.nlm.nih.gov/pmc/articles/PMC3097662/&gt; [Accessed 25 Apr. 2018].</w:t>
      </w:r>
    </w:p>
    <w:p w14:paraId="2B718D0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Wallentin, L., Lindhagen, L., Ärnström, E., Husted, S., Janzon, M., Johnsen, S.P., Kontny, F., Kempf, T., Levin, L.-Å., Lindahl, B., Stridsberg, M., Ståhle, E., Venge, P., Wollert, K.C., Swahn, E., Lagerqvist, B. and FRISC-II study group, 2016. Early invasive versus non-invasive treatment in patients with non-ST-elevation acute coronary syndrome (FRISC-II): 15 year follow-up of a prospective, randomised, multicentre study. </w:t>
      </w:r>
      <w:r w:rsidRPr="00E66794">
        <w:rPr>
          <w:rFonts w:ascii="Times New Roman" w:hAnsi="Times New Roman" w:cs="Times New Roman"/>
          <w:i/>
          <w:iCs/>
          <w:sz w:val="24"/>
          <w:szCs w:val="24"/>
        </w:rPr>
        <w:t>Lancet (London, England)</w:t>
      </w:r>
      <w:r w:rsidRPr="00E66794">
        <w:rPr>
          <w:rFonts w:ascii="Times New Roman" w:hAnsi="Times New Roman" w:cs="Times New Roman"/>
          <w:sz w:val="24"/>
          <w:szCs w:val="24"/>
        </w:rPr>
        <w:t>, 388(10054), pp.1903–1911.</w:t>
      </w:r>
    </w:p>
    <w:p w14:paraId="3E3CCFB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Wi, J., Ko, Y.-G., Kim, J.-S., Kim, B.-K., Choi, D., Ha, J.-W., Hong, M.-K. and Jang, Y., 2011. Impact of contrast-induced acute kidney injury with transient or persistent renal dysfunction on long-term outcomes of patients with acute myocardial infarction undergoing percutaneous coronary intervention. </w:t>
      </w:r>
      <w:r w:rsidRPr="00E66794">
        <w:rPr>
          <w:rFonts w:ascii="Times New Roman" w:hAnsi="Times New Roman" w:cs="Times New Roman"/>
          <w:i/>
          <w:iCs/>
          <w:sz w:val="24"/>
          <w:szCs w:val="24"/>
        </w:rPr>
        <w:t>Heart (British Cardiac Society)</w:t>
      </w:r>
      <w:r w:rsidRPr="00E66794">
        <w:rPr>
          <w:rFonts w:ascii="Times New Roman" w:hAnsi="Times New Roman" w:cs="Times New Roman"/>
          <w:sz w:val="24"/>
          <w:szCs w:val="24"/>
        </w:rPr>
        <w:t>, 97(21), pp.1753–1757.</w:t>
      </w:r>
    </w:p>
    <w:p w14:paraId="3DF873F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Wijns, W., Serruys, P.W., Reiber, J.H., van den Brand, M., Simoons, M.L., Kooijman, C.J., Balakumaran, K. and Hugenholtz, P.G., 1985. Quantitative angiography of the left anterior descending coronary artery: correlations with pressure gradient and results of exercise thallium scintigraphy.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71(2), pp.273–279.</w:t>
      </w:r>
    </w:p>
    <w:p w14:paraId="7F85D38C"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Wilson, R.F., Wyche, K., Christensen, B.V., Zimmer, S. and Laxson, D.D., 1990. Effects of adenosine on human coronary arterial circulation. </w:t>
      </w:r>
      <w:r w:rsidRPr="00E66794">
        <w:rPr>
          <w:rFonts w:ascii="Times New Roman" w:hAnsi="Times New Roman" w:cs="Times New Roman"/>
          <w:i/>
          <w:iCs/>
          <w:sz w:val="24"/>
          <w:szCs w:val="24"/>
        </w:rPr>
        <w:t>Circulation</w:t>
      </w:r>
      <w:r w:rsidRPr="00E66794">
        <w:rPr>
          <w:rFonts w:ascii="Times New Roman" w:hAnsi="Times New Roman" w:cs="Times New Roman"/>
          <w:sz w:val="24"/>
          <w:szCs w:val="24"/>
        </w:rPr>
        <w:t>, 82(5), pp.1595–1606.</w:t>
      </w:r>
    </w:p>
    <w:p w14:paraId="4C1195A0"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Windecker, S., Latib, A., Kedhi, E., Kirtane, A.J., Kandzari, D.E., Mehran, R., Price, M.J., Abizaid, A., Simon, D.I., Worthley, S.G., Zaman, A., Hudec, M., Poliacikova, P., Abdul Ghapar, A.K. bin, Selvaraj, K., Petrov, I., Mylotte, D., Pinar, E., Moreno, R., Fabbiocchi, F., Pasupati, S., Kim, H.-S., Aminian, A., Tie, C., Wlodarczak, A., Hur, S.-H., Marx, S.O., Jankovic, I., Brar, S., Bousquette, L., Liu, M. and Stone, G.W., 2020. Polymer-based or Polymer-free Stents in Patients at High Bleeding Risk.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382(13), pp.1208–1218.</w:t>
      </w:r>
    </w:p>
    <w:p w14:paraId="59A5E707"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Wong, P.C.Y., Li, Z., Guo, J. and Zhang, A., 2012. Pathophysiology of contrast-induced nephropathy. </w:t>
      </w:r>
      <w:r w:rsidRPr="00E66794">
        <w:rPr>
          <w:rFonts w:ascii="Times New Roman" w:hAnsi="Times New Roman" w:cs="Times New Roman"/>
          <w:i/>
          <w:iCs/>
          <w:sz w:val="24"/>
          <w:szCs w:val="24"/>
        </w:rPr>
        <w:t>International Journal of Cardiology</w:t>
      </w:r>
      <w:r w:rsidRPr="00E66794">
        <w:rPr>
          <w:rFonts w:ascii="Times New Roman" w:hAnsi="Times New Roman" w:cs="Times New Roman"/>
          <w:sz w:val="24"/>
          <w:szCs w:val="24"/>
        </w:rPr>
        <w:t>, 158(2), pp.186–192.</w:t>
      </w:r>
    </w:p>
    <w:p w14:paraId="4C9CD17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Wunderlich, W., Roehrig, B., Fischer, F., Arntz, H.-R., Agrawal, R., Morguet, A., Schultheiss, H.-P. and Horstkotte, D., 1998. The impact of vessel and catheter position on the measurement accuracy in catheter-based quantitative coronary angiography. </w:t>
      </w:r>
      <w:r w:rsidRPr="00E66794">
        <w:rPr>
          <w:rFonts w:ascii="Times New Roman" w:hAnsi="Times New Roman" w:cs="Times New Roman"/>
          <w:i/>
          <w:iCs/>
          <w:sz w:val="24"/>
          <w:szCs w:val="24"/>
        </w:rPr>
        <w:t>The International Journal of Cardiac Imaging</w:t>
      </w:r>
      <w:r w:rsidRPr="00E66794">
        <w:rPr>
          <w:rFonts w:ascii="Times New Roman" w:hAnsi="Times New Roman" w:cs="Times New Roman"/>
          <w:sz w:val="24"/>
          <w:szCs w:val="24"/>
        </w:rPr>
        <w:t>, 14(4), pp.217–227.</w:t>
      </w:r>
    </w:p>
    <w:p w14:paraId="371C4E2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Xaplanteris, P., Fournier, S., Pijls, N.H.J., Fearon, W.F., Barbato, E., Tonino, P.A.L., Engstrøm, T., Kääb, S., Dambrink, J.-H., Rioufol, G., Toth, G.G., Piroth, Z., Witt, N., Fröbert, O., Kala, P., Linke, A., Jagic, N., Mates, M., Mavromatis, K., Samady, H., Irimpen, A., Oldroyd, K., Campo, G., Rothenbühler, M., Jüni, P. and De Bruyne, B., 2018a. Five-Year Outcomes with PCI Guided by Fractional Flow Reserve. </w:t>
      </w:r>
      <w:r w:rsidRPr="00E66794">
        <w:rPr>
          <w:rFonts w:ascii="Times New Roman" w:hAnsi="Times New Roman" w:cs="Times New Roman"/>
          <w:i/>
          <w:iCs/>
          <w:sz w:val="24"/>
          <w:szCs w:val="24"/>
        </w:rPr>
        <w:t>New England Journal of Medicine</w:t>
      </w:r>
      <w:r w:rsidRPr="00E66794">
        <w:rPr>
          <w:rFonts w:ascii="Times New Roman" w:hAnsi="Times New Roman" w:cs="Times New Roman"/>
          <w:sz w:val="24"/>
          <w:szCs w:val="24"/>
        </w:rPr>
        <w:t>, 379(3), pp.250–259.</w:t>
      </w:r>
    </w:p>
    <w:p w14:paraId="53EEB6B5"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Xaplanteris, P., Fournier, S., Pijls, N.H.J., Fearon, W.F., Barbato, E., Tonino, P.A.L., Engstrøm, T., Kääb, S., Dambrink, J.-H., Rioufol, G., Toth, G.G., Piroth, Z., Witt, N., Fröbert, O., Kala, P., Linke, A., Jagic, N., Mates, M., Mavromatis, K., Samady, H., Irimpen, A., Oldroyd, K., Campo, G., Rothenbühler, M., Jüni, P., De Bruyne, B. and FAME 2 Investigators, 2018b. Five-Year Outcomes with PCI Guided by Fractional Flow Reserve.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w:t>
      </w:r>
    </w:p>
    <w:p w14:paraId="07E432B9"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Yonetsu, T., Murai, T., Kanaji, Y., Lee, T., Matsuda, J., Usui, E., Hoshino, M., Araki, M., Niida, T., Hada, M., Ichijo, S., Hamaya, R., Kanno, Y. and Kakuta, T., 2017. Significance of Microvascular Function in Visual—Functional Mismatch Between Invasive Coronary Angiography and Fractional Flow Reserve. </w:t>
      </w:r>
      <w:r w:rsidRPr="00E66794">
        <w:rPr>
          <w:rFonts w:ascii="Times New Roman" w:hAnsi="Times New Roman" w:cs="Times New Roman"/>
          <w:i/>
          <w:iCs/>
          <w:sz w:val="24"/>
          <w:szCs w:val="24"/>
        </w:rPr>
        <w:t>Journal of the American Heart Association: Cardiovascular and Cerebrovascular Disease</w:t>
      </w:r>
      <w:r w:rsidRPr="00E66794">
        <w:rPr>
          <w:rFonts w:ascii="Times New Roman" w:hAnsi="Times New Roman" w:cs="Times New Roman"/>
          <w:sz w:val="24"/>
          <w:szCs w:val="24"/>
        </w:rPr>
        <w:t>, [online] 6(6). Available at: &lt;https://www.ncbi.nlm.nih.gov/pmc/articles/PMC5669189/&gt; [Accessed 30 Jun. 2020].</w:t>
      </w:r>
    </w:p>
    <w:p w14:paraId="587A851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Zijlstra, F., de Boer, M.J., Hoorntje, J.C., Reiffers, S., Reiber, J.H. and Suryapranata, H., 1993. A comparison of immediate coronary angioplasty with intravenous streptokinase in acute myocardial infarction. </w:t>
      </w:r>
      <w:r w:rsidRPr="00E66794">
        <w:rPr>
          <w:rFonts w:ascii="Times New Roman" w:hAnsi="Times New Roman" w:cs="Times New Roman"/>
          <w:i/>
          <w:iCs/>
          <w:sz w:val="24"/>
          <w:szCs w:val="24"/>
        </w:rPr>
        <w:t>The New England Journal of Medicine</w:t>
      </w:r>
      <w:r w:rsidRPr="00E66794">
        <w:rPr>
          <w:rFonts w:ascii="Times New Roman" w:hAnsi="Times New Roman" w:cs="Times New Roman"/>
          <w:sz w:val="24"/>
          <w:szCs w:val="24"/>
        </w:rPr>
        <w:t>, 328(10), pp.680–684.</w:t>
      </w:r>
    </w:p>
    <w:p w14:paraId="6F5007A3"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Zimmermann, F.M., Ferrara, A., Johnson, N.P., van Nunen, L.X., Escaned, J., Albertsson, P., Erbel, R., Legrand, V., Gwon, H.-C., Remkes, W.S., Stella, P.R., van Schaardenburgh, P., Bech, G.J.W., De Bruyne, B. and Pijls, N.H.J., 2015a. Deferral vs. performance of percutaneous coronary intervention of functionally non-significant coronary stenosis: 15-year follow-up of the DEFER trial.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36(45), pp.3182–3188.</w:t>
      </w:r>
    </w:p>
    <w:p w14:paraId="6C41DAF8" w14:textId="77777777" w:rsidR="00E66794" w:rsidRPr="00E66794" w:rsidRDefault="00E66794" w:rsidP="00E66794">
      <w:pPr>
        <w:pStyle w:val="Bibliography"/>
        <w:rPr>
          <w:rFonts w:ascii="Times New Roman" w:hAnsi="Times New Roman" w:cs="Times New Roman"/>
          <w:sz w:val="24"/>
          <w:szCs w:val="24"/>
        </w:rPr>
      </w:pPr>
      <w:r w:rsidRPr="00E66794">
        <w:rPr>
          <w:rFonts w:ascii="Times New Roman" w:hAnsi="Times New Roman" w:cs="Times New Roman"/>
          <w:sz w:val="24"/>
          <w:szCs w:val="24"/>
        </w:rPr>
        <w:t xml:space="preserve">Zimmermann, F.M., Ferrara, A., Johnson, N.P., van Nunen, L.X., Escaned, J., Albertsson, P., Erbel, R., Legrand, V., Gwon, H.-C., Remkes, W.S., Stella, P.R., van Schaardenburgh, P., Bech, G.J.W., De Bruyne, B. and Pijls, N.H.J., 2015b. Deferral vs. performance of percutaneous coronary intervention of functionally non-significant coronary stenosis: 15-year follow-up of the DEFER trial. </w:t>
      </w:r>
      <w:r w:rsidRPr="00E66794">
        <w:rPr>
          <w:rFonts w:ascii="Times New Roman" w:hAnsi="Times New Roman" w:cs="Times New Roman"/>
          <w:i/>
          <w:iCs/>
          <w:sz w:val="24"/>
          <w:szCs w:val="24"/>
        </w:rPr>
        <w:t>European Heart Journal</w:t>
      </w:r>
      <w:r w:rsidRPr="00E66794">
        <w:rPr>
          <w:rFonts w:ascii="Times New Roman" w:hAnsi="Times New Roman" w:cs="Times New Roman"/>
          <w:sz w:val="24"/>
          <w:szCs w:val="24"/>
        </w:rPr>
        <w:t>, 36(45), pp.3182–3188.</w:t>
      </w:r>
    </w:p>
    <w:p w14:paraId="357A4585" w14:textId="77777777" w:rsidR="001C0BBF" w:rsidRPr="00E66794" w:rsidRDefault="00106A32">
      <w:pPr>
        <w:rPr>
          <w:rFonts w:ascii="Times New Roman" w:hAnsi="Times New Roman" w:cs="Times New Roman"/>
          <w:b/>
          <w:sz w:val="24"/>
          <w:szCs w:val="24"/>
        </w:rPr>
      </w:pPr>
      <w:r w:rsidRPr="00E66794">
        <w:rPr>
          <w:rFonts w:ascii="Times New Roman" w:hAnsi="Times New Roman" w:cs="Times New Roman"/>
          <w:b/>
          <w:sz w:val="24"/>
          <w:szCs w:val="24"/>
        </w:rPr>
        <w:fldChar w:fldCharType="end"/>
      </w:r>
    </w:p>
    <w:p w14:paraId="3767081A" w14:textId="77777777" w:rsidR="00CA2686" w:rsidRPr="00CA2686" w:rsidRDefault="00CA2686" w:rsidP="00CA2686"/>
    <w:p w14:paraId="1B94CEEA" w14:textId="77777777" w:rsidR="002B1641" w:rsidRDefault="002B1641">
      <w:pPr>
        <w:rPr>
          <w:rFonts w:ascii="Times New Roman" w:eastAsiaTheme="majorEastAsia" w:hAnsi="Times New Roman" w:cs="Times New Roman"/>
          <w:b/>
          <w:bCs/>
          <w:sz w:val="24"/>
          <w:szCs w:val="24"/>
        </w:rPr>
      </w:pPr>
      <w:bookmarkStart w:id="255" w:name="_Toc80302304"/>
      <w:r>
        <w:rPr>
          <w:rFonts w:ascii="Times New Roman" w:hAnsi="Times New Roman" w:cs="Times New Roman"/>
          <w:sz w:val="24"/>
          <w:szCs w:val="24"/>
        </w:rPr>
        <w:br w:type="page"/>
      </w:r>
    </w:p>
    <w:p w14:paraId="49B4E722" w14:textId="6B7FA975" w:rsidR="002111F7" w:rsidRPr="003F208B" w:rsidRDefault="005E6779" w:rsidP="00E66794">
      <w:pPr>
        <w:pStyle w:val="Heading1"/>
        <w:spacing w:before="0"/>
        <w:rPr>
          <w:rFonts w:ascii="Times New Roman" w:hAnsi="Times New Roman" w:cs="Times New Roman"/>
          <w:color w:val="auto"/>
          <w:sz w:val="24"/>
          <w:szCs w:val="24"/>
        </w:rPr>
      </w:pPr>
      <w:r w:rsidRPr="003F208B">
        <w:rPr>
          <w:rFonts w:ascii="Times New Roman" w:hAnsi="Times New Roman" w:cs="Times New Roman"/>
          <w:color w:val="auto"/>
          <w:sz w:val="24"/>
          <w:szCs w:val="24"/>
        </w:rPr>
        <w:t>A</w:t>
      </w:r>
      <w:r w:rsidR="00D529E7">
        <w:rPr>
          <w:rFonts w:ascii="Times New Roman" w:hAnsi="Times New Roman" w:cs="Times New Roman"/>
          <w:color w:val="auto"/>
          <w:sz w:val="24"/>
          <w:szCs w:val="24"/>
        </w:rPr>
        <w:t>ppendix</w:t>
      </w:r>
      <w:r w:rsidRPr="003F208B">
        <w:rPr>
          <w:rFonts w:ascii="Times New Roman" w:hAnsi="Times New Roman" w:cs="Times New Roman"/>
          <w:color w:val="auto"/>
          <w:sz w:val="24"/>
          <w:szCs w:val="24"/>
        </w:rPr>
        <w:t xml:space="preserve"> A</w:t>
      </w:r>
      <w:r w:rsidR="00B200E6" w:rsidRPr="003F208B">
        <w:rPr>
          <w:rFonts w:ascii="Times New Roman" w:hAnsi="Times New Roman" w:cs="Times New Roman"/>
          <w:color w:val="auto"/>
          <w:sz w:val="24"/>
          <w:szCs w:val="24"/>
        </w:rPr>
        <w:t xml:space="preserve"> - </w:t>
      </w:r>
      <w:r w:rsidR="003F208B">
        <w:rPr>
          <w:rFonts w:ascii="Times New Roman" w:hAnsi="Times New Roman" w:cs="Times New Roman"/>
          <w:color w:val="auto"/>
          <w:sz w:val="24"/>
          <w:szCs w:val="24"/>
        </w:rPr>
        <w:t xml:space="preserve">General Introduction to </w:t>
      </w:r>
      <w:r w:rsidR="00B200E6" w:rsidRPr="003F208B">
        <w:rPr>
          <w:rFonts w:ascii="Times New Roman" w:hAnsi="Times New Roman" w:cs="Times New Roman"/>
          <w:color w:val="auto"/>
          <w:sz w:val="24"/>
          <w:szCs w:val="24"/>
        </w:rPr>
        <w:t>Coronary Artery Disease</w:t>
      </w:r>
      <w:bookmarkEnd w:id="255"/>
      <w:r w:rsidR="003F208B" w:rsidRPr="003F208B">
        <w:rPr>
          <w:rFonts w:ascii="Times New Roman" w:hAnsi="Times New Roman" w:cs="Times New Roman"/>
          <w:color w:val="auto"/>
          <w:sz w:val="24"/>
          <w:szCs w:val="24"/>
        </w:rPr>
        <w:br/>
      </w:r>
    </w:p>
    <w:p w14:paraId="3C13D3E6" w14:textId="77777777" w:rsidR="00B200E6" w:rsidRPr="00EC6C19" w:rsidRDefault="00B200E6">
      <w:pPr>
        <w:rPr>
          <w:rFonts w:ascii="Times New Roman" w:hAnsi="Times New Roman" w:cs="Times New Roman"/>
          <w:b/>
          <w:sz w:val="24"/>
          <w:szCs w:val="24"/>
          <w:u w:val="single"/>
        </w:rPr>
      </w:pPr>
    </w:p>
    <w:p w14:paraId="5FB50282" w14:textId="77777777" w:rsidR="00B200E6" w:rsidRPr="00EC6C19" w:rsidRDefault="00B200E6" w:rsidP="00B200E6">
      <w:pPr>
        <w:rPr>
          <w:rFonts w:ascii="Times New Roman" w:hAnsi="Times New Roman" w:cs="Times New Roman"/>
          <w:i/>
          <w:sz w:val="24"/>
          <w:szCs w:val="24"/>
        </w:rPr>
      </w:pPr>
      <w:r w:rsidRPr="00EC6C19">
        <w:rPr>
          <w:rFonts w:ascii="Times New Roman" w:hAnsi="Times New Roman" w:cs="Times New Roman"/>
          <w:i/>
          <w:sz w:val="24"/>
          <w:szCs w:val="24"/>
        </w:rPr>
        <w:t>Pathology</w:t>
      </w:r>
    </w:p>
    <w:p w14:paraId="3E2E1AE8" w14:textId="77777777" w:rsidR="00B200E6" w:rsidRPr="00EC6C19" w:rsidRDefault="00B200E6" w:rsidP="00B200E6">
      <w:pPr>
        <w:rPr>
          <w:rFonts w:ascii="Times New Roman" w:hAnsi="Times New Roman" w:cs="Times New Roman"/>
          <w:i/>
          <w:sz w:val="24"/>
          <w:szCs w:val="24"/>
        </w:rPr>
      </w:pPr>
    </w:p>
    <w:p w14:paraId="09CAFC6B" w14:textId="77777777" w:rsidR="00B200E6" w:rsidRPr="00EC6C19" w:rsidRDefault="00B200E6" w:rsidP="00B200E6">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Coronary artery disease is the second largest cause of premature death in the UK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{"citationID":"3hvtotJh","properties":{"formattedCitation":"(Avoidable mortality in England and Wales - Office for National Statistics, 2018)","plainCitation":"(Avoidable mortality in England and Wales - Office for National Statistics, 2018)","noteIndex":0},"citationItems":[{"id":162,"uris":["http://zotero.org/users/local/k67tNDdX/items/G723YARL"],"uri":["http://zotero.org/users/local/k67tNDdX/items/G723YARL"],"itemData":{"id":162,"type":"webpage","title":"Avoidable mortality in England and Wales - Office for National Statistics","URL":"https://www.ons.gov.uk/peoplepopulationandcommunity/healthandsocialcare/causesofdeath/bulletins/avoidablemortalityinenglandandwales/2015","accessed":{"date-parts":[["2018",4,16]]}}}],"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(Avoidable mortality in England and Wales - Office for National Statistics,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By definition, it is a disease process which leads to a restriction or obstruction of blood flow to the myocardium. For the purpose of this thesis, this will be synonymous with atherosclerosis. Atherosclerosis is a pathological process involving coronary, cerebral, peripheral arteries and the aorta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{"citationID":"RrEtR7If","properties":{"formattedCitation":"(Faxon et al., 2004)","plainCitation":"(Faxon et al., 2004)","dontUpdate":true,"noteIndex":0},"citationItems":[{"id":170,"uris":["http://zotero.org/users/local/k67tNDdX/items/ASFSIQ9F"],"uri":["http://zotero.org/users/local/k67tNDdX/items/ASFSIQ9F"],"itemData":{"id":170,"type":"article-journal","container-title":"Circulation","DOI":"10.1161/01.CIR.0000128520.37674.EF","ISSN":"1524-4539","issue":"21","journalAbbreviation":"Circulation","language":"eng","note":"PMID: 15173044","page":"2617-2625","source":"PubMed","title":"Atherosclerotic Vascular Disease Conference: Writing Group III: pathophysiology","title-short":"Atherosclerotic Vascular Disease Conference","volume":"109","author":[{"family":"Faxon","given":"David P."},{"family":"Fuster","given":"Valentin"},{"family":"Libby","given":"Peter"},{"family":"Beckman","given":"Joshua A."},{"family":"Hiatt","given":"William R."},{"family":"Thompson","given":"Robert W."},{"family":"Topper","given":"James N."},{"family":"Annex","given":"Brian H."},{"family":"Rundback","given":"John H."},{"family":"Fabunmi","given":"Rosalind P."},{"family":"Robertson","given":"Rose Marie"},{"family":"Loscalzo","given":"Joseph"},{"literal":"American Heart Association"}],"issued":{"date-parts":[["2004",6,1]]}}}],"schema":"https://github.com/citation-style-language/schema/raw/master/csl-citation.json"}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(Faxon et al., 2004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{"citationID":"6wyot6nh","properties":{"formattedCitation":"(Libby, Ridker and Hansson, 2011)","plainCitation":"(Libby, Ridker and Hansson, 2011)","dontUpdate":true,"noteIndex":0},"citationItems":[{"id":172,"uris":["http://zotero.org/users/local/k67tNDdX/items/KBNNNTKD"],"uri":["http://zotero.org/users/local/k67tNDdX/items/KBNNNTKD"],"itemData":{"id":172,"type":"article-journal","abstract":"Atherosclerosis is a chronic disease of the arterial wall, and a leading cause of death and loss of productive life years worldwide. Research into the disease has led to many compelling hypotheses about the pathophysiology of atherosclerotic lesion formation and of complications such as myocardial infarction and stroke. Yet, despite these advances, we still lack definitive evidence to show that processes such as lipoprotein oxidation, inflammation and immunity have a crucial involvement in human atherosclerosis. Experimental atherosclerosis in animals furnishes an important research tool, but extrapolation to humans requires care. Understanding how to combine experimental and clinical science will provide further insight into atherosclerosis and could lead to new clinical applications.","container-title":"Nature","DOI":"10.1038/nature10146","ISSN":"1476-4687","issue":"7347","journalAbbreviation":"Nature","language":"eng","note":"PMID: 21593864","page":"317-325","source":"PubMed","title":"Progress and challenges in translating the biology of atherosclerosis","volume":"473","author":[{"family":"Libby","given":"Peter"},{"family":"Ridker","given":"Paul M."},{"family":"Hansson","given":"Göran K."}],"issued":{"date-parts":[["2011",5,19]]}}}],"schema":"https://github.com/citation-style-language/schema/raw/master/csl-citation.json"}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Libby, Ridker and Hansson, 2011)</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 process can be divided into stages which lead to progressive deposition of cholesterol and fibrous tissue in the wall of the coronary arteries</w:t>
      </w:r>
      <w:r w:rsidR="00EE0859" w:rsidRPr="00EC6C19">
        <w:rPr>
          <w:rFonts w:ascii="Times New Roman" w:hAnsi="Times New Roman" w:cs="Times New Roman"/>
          <w:sz w:val="24"/>
          <w:szCs w:val="24"/>
        </w:rPr>
        <w:t xml:space="preserve"> </w:t>
      </w:r>
      <w:r w:rsidRPr="00EC6C19">
        <w:rPr>
          <w:rFonts w:ascii="Times New Roman" w:hAnsi="Times New Roman" w:cs="Times New Roman"/>
          <w:color w:val="FF0000"/>
          <w:sz w:val="24"/>
          <w:szCs w:val="24"/>
        </w:rPr>
        <w:t>(Figure X).</w:t>
      </w:r>
      <w:r w:rsidRPr="00EC6C19">
        <w:rPr>
          <w:rFonts w:ascii="Times New Roman" w:hAnsi="Times New Roman" w:cs="Times New Roman"/>
          <w:sz w:val="24"/>
          <w:szCs w:val="24"/>
        </w:rPr>
        <w:t>The stages are summarised below:</w:t>
      </w:r>
    </w:p>
    <w:p w14:paraId="4B4248F2" w14:textId="77777777" w:rsidR="00B200E6" w:rsidRPr="00EC6C19" w:rsidRDefault="00B200E6" w:rsidP="00B200E6">
      <w:pPr>
        <w:pStyle w:val="ListParagraph"/>
        <w:numPr>
          <w:ilvl w:val="0"/>
          <w:numId w:val="1"/>
        </w:numPr>
        <w:spacing w:line="360" w:lineRule="auto"/>
        <w:jc w:val="both"/>
        <w:rPr>
          <w:rFonts w:ascii="Times New Roman" w:hAnsi="Times New Roman" w:cs="Times New Roman"/>
          <w:sz w:val="24"/>
          <w:szCs w:val="24"/>
        </w:rPr>
      </w:pPr>
      <w:r w:rsidRPr="00EC6C19">
        <w:rPr>
          <w:rFonts w:ascii="Times New Roman" w:hAnsi="Times New Roman" w:cs="Times New Roman"/>
          <w:i/>
          <w:sz w:val="24"/>
          <w:szCs w:val="24"/>
        </w:rPr>
        <w:t>Fatty streak</w:t>
      </w:r>
      <w:r w:rsidRPr="00EC6C19">
        <w:rPr>
          <w:rFonts w:ascii="Times New Roman" w:hAnsi="Times New Roman" w:cs="Times New Roman"/>
          <w:sz w:val="24"/>
          <w:szCs w:val="24"/>
        </w:rPr>
        <w:t xml:space="preserve"> - This process starts when low density lipoprotein (LDL) enters the vessel intima. This triggers an inflammatory process and leads to lipid-laden macrophages accumulation. Smooth muscle cell proliferation and extracellular matrix deposition leads to focal intimal thickening. Progressive smooth muscle cell proliferation expands the streak. Some of these smooth muscles cells undergo apoptosis, leading to further macrophage infiltration and progression to an atherosclerotic plaque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{"citationID":"F0H9G5qY","properties":{"formattedCitation":"(Davies et al., 1988)","plainCitation":"(Davies et al., 1988)","noteIndex":0},"citationItems":[{"id":180,"uris":["http://zotero.org/users/local/k67tNDdX/items/KWEI685C"],"uri":["http://zotero.org/users/local/k67tNDdX/items/KWEI685C"],"itemData":{"id":180,"type":"article-journal","abstract":"The right coronary arteries of six hearts removed from patients with atherosclerosis, who were undergoing cardiac transplantation, were perfused with 2% buffered glutaraldehyde for 20 minutes before preparation for scanning electron microscopy. Perfusion was started within five minutes of explanation. In two patients the artery was angiographically normal, in one it was irregular in outline, and three had focal segments with significant stenosis. None of the patients had concentrations of plasma lipids above 5.5 mmol/l. The endothelial surface showed widespread focal abnormalities ranging from adhesion and migration of monocytes to loss of individual endothelial cells. Larger areas of endothelial denudation with exposure of underlying collagen were also seen consistently. Loss of endothelial cells was associated with accumulation of monocytes, on and deep to the surface, as well as adhesion of platelets to the exposed subendothelial tissue. These results accord with the endothelial damage and platelet adhesion seen in hyperlipidaemic animals fed a high lipid diet.","container-title":"British Heart Journal","ISSN":"0007-0769","issue":"6","journalAbbreviation":"Br Heart J","language":"eng","note":"PMID: 3066389\nPMCID: PMC1224883","page":"459-464","source":"PubMed","title":"Morphology of the endothelium over atherosclerotic plaques in human coronary arteries","volume":"60","author":[{"family":"Davies","given":"M. J."},{"family":"Woolf","given":"N."},{"family":"Rowles","given":"P. M."},{"family":"Pepper","given":"J."}],"issued":{"date-parts":[["1988",12]]}}}],"schema":"https://github.com/citation-style-language/schema/raw/master/csl-citation.json"}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(Davies et al., 1988)</w:t>
      </w:r>
      <w:r w:rsidR="00106A32" w:rsidRPr="00EC6C19">
        <w:rPr>
          <w:rFonts w:ascii="Times New Roman" w:hAnsi="Times New Roman" w:cs="Times New Roman"/>
          <w:sz w:val="24"/>
          <w:szCs w:val="24"/>
        </w:rPr>
        <w:fldChar w:fldCharType="end"/>
      </w:r>
    </w:p>
    <w:p w14:paraId="48F54EF8" w14:textId="77777777" w:rsidR="00B200E6" w:rsidRPr="00EC6C19" w:rsidRDefault="00B200E6" w:rsidP="00B200E6">
      <w:pPr>
        <w:pStyle w:val="ListParagraph"/>
        <w:spacing w:line="360" w:lineRule="auto"/>
        <w:rPr>
          <w:rFonts w:ascii="Times New Roman" w:hAnsi="Times New Roman" w:cs="Times New Roman"/>
          <w:sz w:val="24"/>
          <w:szCs w:val="24"/>
        </w:rPr>
      </w:pPr>
    </w:p>
    <w:p w14:paraId="05E35EE2" w14:textId="77777777" w:rsidR="00B200E6" w:rsidRPr="00EC6C19" w:rsidRDefault="00B200E6" w:rsidP="00B200E6">
      <w:pPr>
        <w:pStyle w:val="ListParagraph"/>
        <w:numPr>
          <w:ilvl w:val="0"/>
          <w:numId w:val="1"/>
        </w:numPr>
        <w:spacing w:line="360" w:lineRule="auto"/>
        <w:jc w:val="both"/>
        <w:rPr>
          <w:rFonts w:ascii="Times New Roman" w:hAnsi="Times New Roman" w:cs="Times New Roman"/>
          <w:sz w:val="24"/>
          <w:szCs w:val="24"/>
        </w:rPr>
      </w:pPr>
      <w:r w:rsidRPr="00EC6C19">
        <w:rPr>
          <w:rFonts w:ascii="Times New Roman" w:hAnsi="Times New Roman" w:cs="Times New Roman"/>
          <w:i/>
          <w:sz w:val="24"/>
          <w:szCs w:val="24"/>
        </w:rPr>
        <w:t>Atheroma and Fibroatheroma</w:t>
      </w:r>
      <w:r w:rsidRPr="00EC6C19">
        <w:rPr>
          <w:rFonts w:ascii="Times New Roman" w:hAnsi="Times New Roman" w:cs="Times New Roman"/>
          <w:sz w:val="24"/>
          <w:szCs w:val="24"/>
        </w:rPr>
        <w:t xml:space="preserve"> - Increased accumulation of macrophages, inflammatory cells and smooth muscle cells lead to continuing vessel thickening. Increasing amounts of lipid are bound within the atheroma, and an on-going cycle of cell death leads to necrotic debris and further inflammation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{"citationID":"Yi7SV64r","properties":{"formattedCitation":"(Insull, 2009)","plainCitation":"(Insull, 2009)","noteIndex":0},"citationItems":[{"id":182,"uris":["http://zotero.org/users/local/k67tNDdX/items/FD52JXSD"],"uri":["http://zotero.org/users/local/k67tNDdX/items/FD52JXSD"],"itemData":{"id":182,"type":"article-journal","container-title":"The American Journal of Medicine","DOI":"10.1016/j.amjmed.2008.10.013","ISSN":"0002-9343, 1555-7162","issue":"1","journalAbbreviation":"The American Journal of Medicine","language":"English","page":"S3-S14","source":"www.amjmed.com","title":"The Pathology of Atherosclerosis: Plaque Development and Plaque Responses to Medical Treatment","title-short":"The Pathology of Atherosclerosis","volume":"122","author":[{"family":"Insull","given":"William"}],"issued":{"date-parts":[["2009",1,1]]}}}],"schema":"https://github.com/citation-style-language/schema/raw/master/csl-citation.json"}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(Insull, 2009)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7EBBAEF5" w14:textId="77777777" w:rsidR="00B200E6" w:rsidRPr="00EC6C19" w:rsidRDefault="00B200E6" w:rsidP="00B200E6">
      <w:pPr>
        <w:pStyle w:val="ListParagraph"/>
        <w:spacing w:line="360" w:lineRule="auto"/>
        <w:rPr>
          <w:rFonts w:ascii="Times New Roman" w:hAnsi="Times New Roman" w:cs="Times New Roman"/>
          <w:sz w:val="24"/>
          <w:szCs w:val="24"/>
        </w:rPr>
      </w:pPr>
    </w:p>
    <w:p w14:paraId="0133E950" w14:textId="77777777" w:rsidR="00B200E6" w:rsidRPr="00EC6C19" w:rsidRDefault="00B200E6" w:rsidP="00B200E6">
      <w:pPr>
        <w:pStyle w:val="ListParagraph"/>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On-going inflammation and necrosis causes loss of the normal intimal structure, which is replaced by lipid rich necrotic cores. The plaque continues to grow into the adjacent media and adventitia of the vessel, causing distortion in vessel layers and occupying up to 50% of the vessel wall. To compensate for threatened lumen reduction, the arterial wall may enlarge its diameter. Finally fibrous tissue forms above the core, just under the endothelium at the blood interface. This is known as a thin fibrous cap, and is susceptible to rupture, causing myocardial infarction and even sudden cardiac death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{"citationID":"Wxd90l4h","properties":{"formattedCitation":"(Virmani et al., 2000a)","plainCitation":"(Virmani et al., 2000a)","dontUpdate":true,"noteIndex":0},"citationItems":[{"id":185,"uris":["http://zotero.org/users/local/k67tNDdX/items/2KDHDVLB"],"uri":["http://zotero.org/users/local/k67tNDdX/items/2KDHDVLB"],"itemData":{"id":185,"type":"article-journal","container-title":"Arteriosclerosis, Thrombosis, and Vascular Biology","ISSN":"1079-5642","issue":"5","journalAbbreviation":"Arterioscler. Thromb. Vasc. Biol.","language":"eng","note":"PMID: 10807742","page":"1262-1275","source":"PubMed","title":"Lessons from sudden coronary death: a comprehensive morphological classification scheme for atherosclerotic lesions","title-short":"Lessons from sudden coronary death","volume":"20","author":[{"family":"Virmani","given":"R."},{"family":"Kolodgie","given":"F. D."},{"family":"Burke","given":"A. P."},{"family":"Farb","given":"A."},{"family":"Schwartz","given":"S. M."}],"issued":{"date-parts":[["2000",5]]}}}],"schema":"https://github.com/citation-style-language/schema/raw/master/csl-citation.json"}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(Virmani et al., 2000)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3F8A62BA" w14:textId="77777777" w:rsidR="00B200E6" w:rsidRPr="00EC6C19" w:rsidRDefault="00B200E6" w:rsidP="00B200E6">
      <w:pPr>
        <w:pStyle w:val="ListParagraph"/>
        <w:spacing w:line="360" w:lineRule="auto"/>
        <w:jc w:val="both"/>
        <w:rPr>
          <w:rFonts w:ascii="Times New Roman" w:hAnsi="Times New Roman" w:cs="Times New Roman"/>
          <w:sz w:val="24"/>
          <w:szCs w:val="24"/>
        </w:rPr>
      </w:pPr>
    </w:p>
    <w:p w14:paraId="3AFA4A0C" w14:textId="77777777" w:rsidR="00B200E6" w:rsidRPr="00EC6C19" w:rsidRDefault="00B200E6" w:rsidP="00B200E6">
      <w:pPr>
        <w:pStyle w:val="ListParagraph"/>
        <w:numPr>
          <w:ilvl w:val="0"/>
          <w:numId w:val="1"/>
        </w:numPr>
        <w:spacing w:line="360" w:lineRule="auto"/>
        <w:jc w:val="both"/>
        <w:rPr>
          <w:rFonts w:ascii="Times New Roman" w:hAnsi="Times New Roman" w:cs="Times New Roman"/>
          <w:sz w:val="24"/>
          <w:szCs w:val="24"/>
        </w:rPr>
      </w:pPr>
      <w:r w:rsidRPr="00EC6C19">
        <w:rPr>
          <w:rFonts w:ascii="Times New Roman" w:hAnsi="Times New Roman" w:cs="Times New Roman"/>
          <w:i/>
          <w:sz w:val="24"/>
          <w:szCs w:val="24"/>
        </w:rPr>
        <w:t>Complex lesion formation</w:t>
      </w:r>
      <w:r w:rsidRPr="00EC6C19">
        <w:rPr>
          <w:rFonts w:ascii="Times New Roman" w:hAnsi="Times New Roman" w:cs="Times New Roman"/>
          <w:sz w:val="24"/>
          <w:szCs w:val="24"/>
        </w:rPr>
        <w:t xml:space="preserve"> - Many ruptures of thin fibrous caps are silent and re-heal by further fibrous tissue formation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{"citationID":"vXyNTcUq","properties":{"formattedCitation":"(Virmani et al., 2000b)","plainCitation":"(Virmani et al., 2000b)","dontUpdate":true,"noteIndex":0},"citationItems":[{"id":187,"uris":["http://zotero.org/users/local/k67tNDdX/items/5ACQ3CUT"],"uri":["http://zotero.org/users/local/k67tNDdX/items/5ACQ3CUT"],"itemData":{"id":187,"type":"article-journal","container-title":"Arteriosclerosis, Thrombosis, and Vascular Biology","ISSN":"1079-5642","issue":"5","journalAbbreviation":"Arterioscler. Thromb. Vasc. Biol.","language":"eng","note":"PMID: 10807742","page":"1262-1275","source":"PubMed","title":"Lessons from sudden coronary death: a comprehensive morphological classification scheme for atherosclerotic lesions","title-short":"Lessons from sudden coronary death","volume":"20","author":[{"family":"Virmani","given":"R."},{"family":"Kolodgie","given":"F. D."},{"family":"Burke","given":"A. P."},{"family":"Farb","given":"A."},{"family":"Schwartz","given":"S. M."}],"issued":{"date-parts":[["2000",5]]}}}],"schema":"https://github.com/citation-style-language/schema/raw/master/csl-citation.json"}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(Virmani et al., 2000)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This can happen multiple times per lesion. Calcium deposition is seen at this stage, in a cumulative fashion as the disease progresses. The mass of the plaque alone may become enough to trigger symptoms in the patient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{"citationID":"ki5KhVrX","properties":{"formattedCitation":"(Insull, 2009)","plainCitation":"(Insull, 2009)","noteIndex":0},"citationItems":[{"id":182,"uris":["http://zotero.org/users/local/k67tNDdX/items/FD52JXSD"],"uri":["http://zotero.org/users/local/k67tNDdX/items/FD52JXSD"],"itemData":{"id":182,"type":"article-journal","container-title":"The American Journal of Medicine","DOI":"10.1016/j.amjmed.2008.10.013","ISSN":"0002-9343, 1555-7162","issue":"1","journalAbbreviation":"The American Journal of Medicine","language":"English","page":"S3-S14","source":"www.amjmed.com","title":"The Pathology of Atherosclerosis: Plaque Development and Plaque Responses to Medical Treatment","title-short":"The Pathology of Atherosclerosis","volume":"122","author":[{"family":"Insull","given":"William"}],"issued":{"date-parts":[["2009",1,1]]}}}],"schema":"https://github.com/citation-style-language/schema/raw/master/csl-citation.json"}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(Insull, 2009)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2EF77073" w14:textId="77777777" w:rsidR="00B200E6" w:rsidRPr="00EC6C19" w:rsidRDefault="00B200E6" w:rsidP="00B200E6">
      <w:pPr>
        <w:pStyle w:val="ListParagraph"/>
        <w:spacing w:line="360" w:lineRule="auto"/>
        <w:jc w:val="both"/>
        <w:rPr>
          <w:rFonts w:ascii="Times New Roman" w:hAnsi="Times New Roman" w:cs="Times New Roman"/>
          <w:sz w:val="24"/>
          <w:szCs w:val="24"/>
        </w:rPr>
      </w:pPr>
    </w:p>
    <w:p w14:paraId="65A1A732" w14:textId="77777777" w:rsidR="00B200E6" w:rsidRPr="00EC6C19" w:rsidRDefault="00B200E6" w:rsidP="00B200E6">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As can be seen, luminal area is progressively lost during disease progression, with symptoms rarely present until 80% vessel stenosis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{"citationID":"0VQeyPB4","properties":{"formattedCitation":"(Fearon, 2015)","plainCitation":"(Fearon, 2015)","noteIndex":0},"citationItems":[{"id":176,"uris":["http://zotero.org/users/local/k67tNDdX/items/A9UMNB63"],"uri":["http://zotero.org/users/local/k67tNDdX/items/A9UMNB63"],"itemData":{"id":176,"type":"article-journal","abstract":"Atherosclerotic coronary artery narrowings, which provoke myocardial ischemia are the most common cause of angina pectoris and lead to adverse cardiac events.1 Removing the ischemic potential of a stenosis decreases symptoms and improves outcomes.2 Invasive coronary angiography remains the primary method for identifying coronary artery stenoses, but its inability to diagnose lesions responsible for inducing myocardial ischemia, particularly those of intermediate diameter stenosis remains a major limitation.3,4 To address this issue, there has been a long-standing interest in coronary wire-based methods for assessing coronary artery physiology. The goal of this review is to describe past efforts, define current standards, and address remaining controversy in the area of the invasive functional assessment of intermediate coronary artery stenosis.\n\nIn the early 1970s, Gould et al5 performed seminal laboratory studies demonstrating that resting coronary flow remains unchanged with increasing epicardial coronary stenosis until the vessel lumen is &gt;85% narrowed. They described the importance of inducing hyperemia to bring out the ischemic potential of more moderate coronary stenoses by measuring coronary flow reserve (CFR), defined as maximal coronary flow divided by resting flow. They showed that CFR had an inverse relationship to progressive coronary stenosis. However, it was not until the early 1990s, when a suitable Doppler wire became available to measure distal coronary flow velocity that invasive CFR and other velocity-based assessments could be performed readily in humans.6 Because coronary flow is proportional to coronary flow velocity, CFR can be estimated by measuring the coronary velocity at rest and during maximal vasodilation, typically after administration of adenosine.\n\nSubsequently, several studies were performed demonstrating the ability of Doppler wire-derived CFR to identify physiologically important coronary narrowings and to guide percutaneous coronary intervention (PCI).7,8 These experiences, however, highlighted some important limitations of this technique, which …","container-title":"Circulation: Cardiovascular Interventions","DOI":"10.1161/CIRCINTERVENTIONS.114.001942","ISSN":"1941-7640, 1941-7632","issue":"2","language":"en","note":"PMID: 25657316","page":"e001942","source":"circinterventions.ahajournals.org","title":"Invasive Coronary Physiology for Assessing Intermediate Lesions","volume":"8","author":[{"family":"Fearon","given":"William F."}],"issued":{"date-parts":[["2015",2,1]]}}}],"schema":"https://github.com/citation-style-language/schema/raw/master/csl-citation.json"}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(Fearon, 2015)</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Even in the first decade of life, the initial stages of disease can be seen in the aorta. A post-mortem study of 2,876 men and women aged 15 to 34 found fatty aortic streaks in all studied individuals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{"citationID":"isKn8B1l","properties":{"formattedCitation":"(Strong et al., 1999)","plainCitation":"(Strong et al., 1999)","noteIndex":0},"citationItems":[{"id":174,"uris":["http://zotero.org/users/local/k67tNDdX/items/HGSYWHJ2"],"uri":["http://zotero.org/users/local/k67tNDdX/items/HGSYWHJ2"],"itemData":{"id":174,"type":"article-journal","abstract":"CONTEXT: Atherosclerosis, the underlying cause of coronary heart disease, has been shown to be present even in young adults.\nOBJECTIVE: To document the extent and severity of atherosclerosis in adolescents and young adults in the United States.\nDESIGN AND SETTING: The Pathobiological Determinants of Atherosclerosis in Youth Study, a multi-institutional autopsy study conducted in US medical centers. Subjects A total of 2876 study subjects, between 15 and 34 years old, black and white, men and women, who died of external causes and underwent autopsy between June 1, 1987, and August 31, 1994.\nMAIN OUTCOME MEASURES: Extent, prevalence, and topography of atherosclerotic lesions.\nRESULTS: Intimal lesions appeared in all the aortas and more than half of the right coronary arteries of the youngest age group (15-19 years) and increased in prevalence and extent with age through the oldest age group (30-34 years). Fatty streaks were more extensive in black subjects than in white subjects, but raised lesions did not differ between blacks and whites. Raised lesions in the aortas of women and men were similar, but raised lesions in the right coronary arteries of women were less than those of men. The prevalence of total lesions was lower in the right coronary artery than in the aorta, but the proportion of raised lesions among total lesions was higher in the right coronary artery than in the aorta.\nCONCLUSIONS: Atherosclerosis begins in youth. Fatty streaks and clinically significant raised lesions increase rapidly in prevalence and extent during the 15- to 34-year age span. Primary prevention of atherosclerosis, as contrasted with primary prevention of clinically manifest atherosclerotic disease, must begin in childhood or adolescence.","container-title":"JAMA","ISSN":"0098-7484","issue":"8","journalAbbreviation":"JAMA","language":"eng","note":"PMID: 10052443","page":"727-735","source":"PubMed","title":"Prevalence and extent of atherosclerosis in adolescents and young adults: implications for prevention from the Pathobiological Determinants of Atherosclerosis in Youth Study","title-short":"Prevalence and extent of atherosclerosis in adolescents and young adults","volume":"281","author":[{"family":"Strong","given":"J. P."},{"family":"Malcom","given":"G. T."},{"family":"McMahan","given":"C. A."},{"family":"Tracy","given":"R. E."},{"family":"Newman","given":"W. P."},{"family":"Herderick","given":"E. E."},{"family":"Cornhill","given":"J. F."}],"issued":{"date-parts":[["1999",2,24]]}}}],"schema":"https://github.com/citation-style-language/schema/raw/master/csl-citation.json"}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(Strong et al., 1999)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05980495" w14:textId="77777777" w:rsidR="00B200E6" w:rsidRPr="00EC6C19" w:rsidRDefault="00B200E6" w:rsidP="00B200E6">
      <w:pPr>
        <w:rPr>
          <w:rFonts w:ascii="Times New Roman" w:hAnsi="Times New Roman" w:cs="Times New Roman"/>
          <w:i/>
          <w:sz w:val="24"/>
          <w:szCs w:val="24"/>
          <w:shd w:val="clear" w:color="auto" w:fill="FFFFFF"/>
        </w:rPr>
      </w:pPr>
      <w:r w:rsidRPr="00EC6C19">
        <w:rPr>
          <w:rFonts w:ascii="Times New Roman" w:hAnsi="Times New Roman" w:cs="Times New Roman"/>
          <w:noProof/>
          <w:sz w:val="24"/>
          <w:szCs w:val="24"/>
          <w:lang w:eastAsia="en-GB"/>
        </w:rPr>
        <w:drawing>
          <wp:inline distT="0" distB="0" distL="0" distR="0" wp14:anchorId="68FA6E6E" wp14:editId="6A6B5025">
            <wp:extent cx="5943600" cy="6527886"/>
            <wp:effectExtent l="19050" t="0" r="0" b="0"/>
            <wp:docPr id="4" name="Picture 1" descr="https://upload.wikimedia.org/wikipedia/commons/9/9a/Endo_dysfunction_Athe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9/9a/Endo_dysfunction_Athero.PNG"/>
                    <pic:cNvPicPr>
                      <a:picLocks noChangeAspect="1" noChangeArrowheads="1"/>
                    </pic:cNvPicPr>
                  </pic:nvPicPr>
                  <pic:blipFill>
                    <a:blip r:embed="rId73"/>
                    <a:srcRect/>
                    <a:stretch>
                      <a:fillRect/>
                    </a:stretch>
                  </pic:blipFill>
                  <pic:spPr bwMode="auto">
                    <a:xfrm>
                      <a:off x="0" y="0"/>
                      <a:ext cx="5943600" cy="6527886"/>
                    </a:xfrm>
                    <a:prstGeom prst="rect">
                      <a:avLst/>
                    </a:prstGeom>
                    <a:noFill/>
                    <a:ln w="9525">
                      <a:noFill/>
                      <a:miter lim="800000"/>
                      <a:headEnd/>
                      <a:tailEnd/>
                    </a:ln>
                  </pic:spPr>
                </pic:pic>
              </a:graphicData>
            </a:graphic>
          </wp:inline>
        </w:drawing>
      </w:r>
      <w:r w:rsidRPr="00EC6C19">
        <w:rPr>
          <w:rFonts w:ascii="Times New Roman" w:hAnsi="Times New Roman" w:cs="Times New Roman"/>
          <w:i/>
          <w:sz w:val="24"/>
          <w:szCs w:val="24"/>
          <w:shd w:val="clear" w:color="auto" w:fill="F8F9FA"/>
        </w:rPr>
        <w:t xml:space="preserve">Figure X, stages of atherosclerosis. </w:t>
      </w:r>
      <w:r w:rsidRPr="00EC6C19">
        <w:rPr>
          <w:rFonts w:ascii="Times New Roman" w:hAnsi="Times New Roman" w:cs="Times New Roman"/>
          <w:i/>
          <w:sz w:val="24"/>
          <w:szCs w:val="24"/>
          <w:shd w:val="clear" w:color="auto" w:fill="F8F9FA"/>
        </w:rPr>
        <w:br/>
        <w:t xml:space="preserve">(Stages of endothelial dysfunction in atherosclerosis, </w:t>
      </w:r>
      <w:r w:rsidRPr="00EC6C19">
        <w:rPr>
          <w:rFonts w:ascii="Times New Roman" w:hAnsi="Times New Roman" w:cs="Times New Roman"/>
          <w:i/>
          <w:sz w:val="24"/>
          <w:szCs w:val="24"/>
          <w:shd w:val="clear" w:color="auto" w:fill="FFFFFF"/>
        </w:rPr>
        <w:t> (https://commons.wikimedia.org/wiki/File:Endo_dysfunction_Athero.PNG), Endo dysfunction Athero, https://creativecommons.org/licenses/by-sa/3.0/legalcode)</w:t>
      </w:r>
    </w:p>
    <w:p w14:paraId="33F46C52" w14:textId="77777777" w:rsidR="00B200E6" w:rsidRPr="00EC6C19" w:rsidRDefault="00B200E6" w:rsidP="00B200E6">
      <w:pPr>
        <w:rPr>
          <w:rFonts w:ascii="Times New Roman" w:hAnsi="Times New Roman" w:cs="Times New Roman"/>
          <w:i/>
          <w:sz w:val="24"/>
          <w:szCs w:val="24"/>
          <w:shd w:val="clear" w:color="auto" w:fill="FFFFFF"/>
        </w:rPr>
      </w:pPr>
    </w:p>
    <w:p w14:paraId="42EC555D" w14:textId="77777777" w:rsidR="00B200E6" w:rsidRPr="00EC6C19" w:rsidRDefault="00B200E6" w:rsidP="00B200E6">
      <w:pPr>
        <w:rPr>
          <w:rFonts w:ascii="Times New Roman" w:hAnsi="Times New Roman" w:cs="Times New Roman"/>
          <w:sz w:val="24"/>
          <w:szCs w:val="24"/>
          <w:shd w:val="clear" w:color="auto" w:fill="F8F9FA"/>
        </w:rPr>
      </w:pPr>
    </w:p>
    <w:p w14:paraId="7F93A6E0" w14:textId="77777777" w:rsidR="00B200E6" w:rsidRPr="00EC6C19" w:rsidRDefault="00B200E6" w:rsidP="00B200E6">
      <w:pPr>
        <w:rPr>
          <w:rFonts w:ascii="Times New Roman" w:hAnsi="Times New Roman" w:cs="Times New Roman"/>
          <w:sz w:val="24"/>
          <w:szCs w:val="24"/>
        </w:rPr>
      </w:pPr>
      <w:r w:rsidRPr="00EC6C19">
        <w:rPr>
          <w:rFonts w:ascii="Times New Roman" w:hAnsi="Times New Roman" w:cs="Times New Roman"/>
          <w:i/>
          <w:sz w:val="24"/>
          <w:szCs w:val="24"/>
        </w:rPr>
        <w:t>Risk Factors</w:t>
      </w:r>
    </w:p>
    <w:p w14:paraId="5E75D443" w14:textId="77777777" w:rsidR="00B200E6" w:rsidRPr="00EC6C19" w:rsidRDefault="00B200E6" w:rsidP="00B200E6">
      <w:pPr>
        <w:rPr>
          <w:rFonts w:ascii="Times New Roman" w:hAnsi="Times New Roman" w:cs="Times New Roman"/>
          <w:sz w:val="24"/>
          <w:szCs w:val="24"/>
        </w:rPr>
      </w:pPr>
    </w:p>
    <w:p w14:paraId="695CF5F7" w14:textId="77777777" w:rsidR="00B200E6" w:rsidRPr="00EC6C19" w:rsidRDefault="00B200E6" w:rsidP="00B200E6">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Data exists to predict certain 'risk factors' in the development of atherosclerosis. The earliest study to identify such factors was the Framingham Heart Study published initially in 1957. The study enrolled 5,209 men and women aged 30-59 in the town of Framingham, Massachusetts, USA, and collected various demographic data, including blood samples, blood pressure, heart rate, electrocardiograms, and medical histories. The Framingham heart study outlined the main risk factors for coronary artery disease we still follow to this day, namely hypertension, hypercholesterolaemia, diabetes, smoking and family history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{"citationID":"MRVGSIoQ","properties":{"formattedCitation":"(Kannel et al., 1961)","plainCitation":"(Kannel et al., 1961)","dontUpdate":true,"noteIndex":0},"citationItems":[{"id":191,"uris":["http://zotero.org/users/local/k67tNDdX/items/JDS62M4R"],"uri":["http://zotero.org/users/local/k67tNDdX/items/JDS62M4R"],"itemData":{"id":191,"type":"article-journal","container-title":"Annals of Internal Medicine","ISSN":"0003-4819","journalAbbreviation":"Ann. Intern. Med.","language":"eng","note":"PMID: 13751193","page":"33-50","source":"PubMed","title":"Factors of risk in the development of coronary heart disease--six year follow-up experience. The Framingham Study","volume":"55","author":[{"family":"Kannel","given":"W. B."},{"family":"Dawber","given":"T. R."},{"family":"Kagan","given":"A."},{"family":"Revotskie","given":"N."},{"family":"Stokes","given":"J."}],"issued":{"date-parts":[["1961",7]]}}}],"schema":"https://github.com/citation-style-language/schema/raw/master/csl-citation.json"}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{"citationID":"z9sU0PlX","properties":{"formattedCitation":"(Dawber et al., 1959)","plainCitation":"(Dawber et al., 1959)","dontUpdate":true,"noteIndex":0},"citationItems":[{"id":193,"uris":["http://zotero.org/users/local/k67tNDdX/items/FW4HCALV"],"uri":["http://zotero.org/users/local/k67tNDdX/items/FW4HCALV"],"itemData":{"id":193,"type":"article-journal","container-title":"American Journal of Public Health and the Nation's Health","ISSN":"0002-9572","journalAbbreviation":"Am J Public Health Nations Health","language":"eng","note":"PMID: 13814552\nPMCID: PMC1372949","page":"1349-1356","source":"PubMed","title":"Some factors associated with the development of coronary heart disease: six years' follow-up experience in the Framingham study","title-short":"Some factors associated with the development of coronary heart disease","volume":"49","author":[{"family":"Dawber","given":"T. R."},{"family":"Kannel","given":"W. B."},{"family":"Revotskie","given":"N."},{"family":"Stokes","given":"J."},{"family":"Kagan","given":"A."},{"family":"Gordon","given":"T."}],"issued":{"date-parts":[["1959",10]]}}}],"schema":"https://github.com/citation-style-language/schema/raw/master/csl-citation.json"}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Dawber et al., 1959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Kannel et al., 1961</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{"citationID":"Fg0oDeWk","properties":{"formattedCitation":"(Snowden et al., 1982)","plainCitation":"(Snowden et al., 1982)","dontUpdate":true,"noteIndex":0},"citationItems":[{"id":195,"uris":["http://zotero.org/users/local/k67tNDdX/items/FA4CDGSH"],"uri":["http://zotero.org/users/local/k67tNDdX/items/FA4CDGSH"],"itemData":{"id":195,"type":"article-journal","abstract":"The incidence of clinically recognized coronary heart disease and its relation to risk factors have been studied for 596 sibships in the Framingham Heart Study cohort. Only the 186 pairs of brothers were considered in the multivariate analysis, since the rate of coronary heart disease in women is low. Multiple logistic regression was performed by using endpoints of coronary heart disease as the dependent variable for the younger brother of the pair. Age, Metropolitan relative weight, systolic blood pressure, total cholesterol, cigarette smoking and endpoints of coronary heart disease for the older brother represent the independent variables. The incidence of myocardial infarction in the older brother is significantly related to myocardial infarction experience of the younger brother, even after the strong effects of total cholesterol, systolic blood pressure and cigarette smoking were controlled. These findings suggest that family history of myocardial infarction may be an important independent predictor of myocardial infarction, and suggest that familial aggregation for coronary heart disease may result from predisposition to disease, possibly genetic, that is not reflected in the measured levels of total cholesterol, systolic blood pressure or cigarette smoking.","container-title":"American Journal of Epidemiology","ISSN":"0002-9262","issue":"2","journalAbbreviation":"Am. J. Epidemiol.","language":"eng","note":"PMID: 7058780","page":"217-222","source":"PubMed","title":"Predicting coronary heart disease in siblings--a multivariate assessment: the Framingham Heart Study","title-short":"Predicting coronary heart disease in siblings--a multivariate assessment","volume":"115","author":[{"family":"Snowden","given":"C. B."},{"family":"McNamara","given":"P. M."},{"family":"Garrison","given":"R. J."},{"family":"Feinleib","given":"M."},{"family":"Kannel","given":"W. B."},{"family":"Epstein","given":"F. H."}],"issued":{"date-parts":[["1982",2]]}}}],"schema":"https://github.com/citation-style-language/schema/raw/master/csl-citation.json"}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Snowden et al., 1982)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 disease process does not follow risk factors strictly, as those with none may still develop aggressive atherosclerosis, and vice versa.</w:t>
      </w:r>
    </w:p>
    <w:p w14:paraId="2E54E697" w14:textId="77777777" w:rsidR="00B200E6" w:rsidRPr="00EC6C19" w:rsidRDefault="00B200E6" w:rsidP="00B200E6">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Additionally, patients who modify and control their risk factors after a diagnosis of coronary artery disease, have better prognosis and outcomes from treatment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{"citationID":"eNTxvFro","properties":{"formattedCitation":"(Hammal et al., 2014)","plainCitation":"(Hammal et al., 2014)","dontUpdate":true,"noteIndex":0},"citationItems":[{"id":198,"uris":["http://zotero.org/users/local/k67tNDdX/items/UEWJKCX8"],"uri":["http://zotero.org/users/local/k67tNDdX/items/UEWJKCX8"],"itemData":{"id":198,"type":"article-journal","abstract":"Background\nSmoking is an undertreated risk factor for coronary artery disease (CAD) and is associated with adverse outcomes after myocardial infarction. Aims of our study were to determine if management of CAD by medical therapy (MT) alone or with coronary artery bypass grafting (CABG) or percutaneous coronary intervention (PCI) influence smoking status at one year following angiography and if a change in smoking status at one year influences long term survival.\n\nMethods\nProspective cohort study using the APPROACH registry. Two cohorts were examined: (1) 11,334 patients who returned a one year follow-up questionnaire; (2) 4,246 patients propensity-matched based on their post-angiography treatment - MT or revascularization (RV). Multivariate modeling and survival analysis were used.\n\nResults\nIn the propensity-matched cohort, quit rates at one year were greater among CABG patients (68%) than PCI (37%) or MT patients (47%). Smokers in the RV group, who self-reported quitting at one year, had a significantly reduced mortality compared to those who continued to smoke.\n\nConclusions\nCABG patients were more likely to quit smoking than those treated with MT alone or PCI. Quitting smoking was associated with improved long-term survival; smoking remains a key risk factor for mortality in patients with CAD. These data underscore the importance of nicotine addiction management in patients with CAD and the need to emphasize cessation particularly in those patients undergoing MT or PCI.","container-title":"BMC Cardiovascular Disorders","DOI":"10.1186/1471-2261-14-133","ISSN":"1471-2261","journalAbbreviation":"BMC Cardiovasc Disord","note":"PMID: 25274407\nPMCID: PMC4190449","source":"PubMed Central","title":"Smoking status and survival: impact on mortality of continuing to smoke one year after the angiographic diagnosis of coronary artery disease, a prospective cohort study","title-short":"Smoking status and survival","URL":"https://www.ncbi.nlm.nih.gov/pmc/articles/PMC4190449/","volume":"14","author":[{"family":"Hammal","given":"Fadi"},{"family":"Ezekowitz","given":"Justin A"},{"family":"Norris","given":"Colleen M"},{"family":"Wild","given":"T Cameron"},{"family":"Finegan","given":"Barry A"}],"accessed":{"date-parts":[["2018",4,24]]},"issued":{"date-parts":[["2014",10,1]]}}}],"schema":"https://github.com/citation-style-language/schema/raw/master/csl-citation.json"}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 xml:space="preserve">(Ford et al., 2007;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{"citationID":"gGKyQDWa","properties":{"formattedCitation":"(Farkouh et al., 2013)","plainCitation":"(Farkouh et al., 2013)","dontUpdate":true,"noteIndex":0},"citationItems":[{"id":201,"uris":["http://zotero.org/users/local/k67tNDdX/items/6YY6DRVB"],"uri":["http://zotero.org/users/local/k67tNDdX/items/6YY6DRVB"],"itemData":{"id":201,"type":"article-journal","abstract":"OBJECTIVES: This study evaluated data from 3 federally funded trials that focused on optimal medical therapy to determine if formalized attempts at risk factor control within clinical trials are effective in achieving guideline-driven treatment goals for diabetic patients with coronary artery disease (CAD).\nBACKGROUND: Despite clear evidence of benefit for CAD secondary prevention, the level of risk factor control in clinical practice has been disappointing.\nMETHODS: We obtained data from the COURAGE (Clinical Outcomes Utilizing Revascularization and Aggressive Drug Evaluation) diabetes subgroup, (n = 766 of 2,287), the BARI 2D (Bypass Angioplasty Revascularization Investigation 2 Diabetes) trial (n = 2,368), and the FREEDOM (Comparison of Two Treatments for Multivessel Coronary Artery Disease in Individuals With Diabetes) trial (n = 1,900) to evaluate the proportion of patients achieving guideline-based, protocol-driven treatment targets for systolic blood pressure, low-density lipoprotein cholesterol, smoking cessation, and hemoglobin A1c. The primary outcome measure was the proportion of diabetic CAD patients meeting all 4 pre-specified targets at 1 year after enrollment.\nRESULTS: The pooled data include 5,034 diabetic patients. The percentages of patients achieving the 1-year low-density lipoprotein cholesterol targets compared with baseline increased from 55% to 77% in COURAGE, from 59% to 75% in BARI 2D, and from 34% to 42% in FREEDOM. Although similar improved trends were seen for systolic blood pressure, glycemic control, and smoking cessation, only 18% of the COURAGE diabetes subgroup, 23% of BARI 2D patients, and 8% of FREEDOM patients met all 4 pre-specified treatment targets at 1 year of follow-up.\nCONCLUSIONS: A significant proportion of diabetic CAD patients fail to achieve pre-specified targets for 4 major modifiable cardiovascular risk factors in clinical trials. We conclude that fundamentally new thinking is needed to explore approaches to achieve optimal secondary prevention treatment goals. (Clinical Outcomes Utilizing Revascularization and Aggressive Drug Evaluation; NCT00007657) (Bypass Angioplasty Revascularization Investigation 2 Diabetes [BARI 2D]; NCT00006305) (Comparison of Two Treatments for Multivessel Coronary Artery Disease in Individuals With Diabetes [FREEDOM]; NCT00086450).","container-title":"Journal of the American College of Cardiology","DOI":"10.1016/j.jacc.2013.01.044","ISSN":"1558-3597","issue":"15","journalAbbreviation":"J. Am. Coll. Cardiol.","language":"eng","note":"PMID: 23500281","page":"1607-1615","source":"PubMed","title":"Risk factor control for coronary artery disease secondary prevention in large randomized trials","volume":"61","author":[{"family":"Farkouh","given":"Michael E."},{"family":"Boden","given":"William E."},{"family":"Bittner","given":"Vera"},{"family":"Muratov","given":"Victoria"},{"family":"Hartigan","given":"Pamela"},{"family":"Ogdie","given":"May"},{"family":"Bertolet","given":"Marnie"},{"family":"Mathewkutty","given":"Shiny"},{"family":"Teo","given":"Koon"},{"family":"Maron","given":"David J."},{"family":"Sethi","given":"Sanjum S."},{"family":"Domanski","given":"Michael"},{"family":"Frye","given":"Robert L."},{"family":"Fuster","given":"Valentin"}],"issued":{"date-parts":[["2013",4,16]]}}}],"schema":"https://github.com/citation-style-language/schema/raw/master/csl-citation.json"}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Farkouh et al.,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Hammal et al., 2014</w:t>
      </w:r>
      <w:r w:rsidR="00106A32" w:rsidRPr="00EC6C19">
        <w:rPr>
          <w:rFonts w:ascii="Times New Roman" w:hAnsi="Times New Roman" w:cs="Times New Roman"/>
          <w:sz w:val="24"/>
          <w:szCs w:val="24"/>
        </w:rPr>
        <w:fldChar w:fldCharType="end"/>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{"citationID":"KoeQH8w5","properties":{"formattedCitation":"(Ford et al., 2007)","plainCitation":"(Ford et al., 2007)","dontUpdate":true,"noteIndex":0},"citationItems":[{"id":203,"uris":["http://zotero.org/users/local/k67tNDdX/items/EGAN59V2"],"uri":["http://zotero.org/users/local/k67tNDdX/items/EGAN59V2"],"itemData":{"id":203,"type":"article-journal","abstract":"Mortality due to coronary heart disease has declined substantially in the United States in recent decades. A previously validated model was used to estimate the roles of specific cardiac treatments and changes in risk factors in this decline. Approximately 47% of the decrease in mortality was attributed to therapeutic interventions and 44% to changes in risk factors.","container-title":"New England Journal of Medicine","DOI":"10.1056/NEJMsa053935","ISSN":"0028-4793","issue":"23","note":"PMID: 17554120","page":"2388-2398","source":"Taylor and Francis+NEJM","title":"Explaining the Decrease in U.S. Deaths from Coronary Disease, 1980–2000","volume":"356","author":[{"family":"Ford","given":"Earl S."},{"family":"Ajani","given":"Umed A."},{"family":"Croft","given":"Janet B."},{"family":"Critchley","given":"Julia A."},{"family":"Labarthe","given":"Darwin R."},{"family":"Kottke","given":"Thomas E."},{"family":"Giles","given":"Wayne H."},{"family":"Capewell","given":"Simon"}],"issued":{"date-parts":[["2007",6,7]]}}}],"schema":"https://github.com/citation-style-language/schema/raw/master/csl-citation.json"}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0A1EEAE0" w14:textId="77777777" w:rsidR="00B200E6" w:rsidRPr="00EC6C19" w:rsidRDefault="00B200E6" w:rsidP="00B200E6">
      <w:pPr>
        <w:spacing w:line="360" w:lineRule="auto"/>
        <w:jc w:val="both"/>
        <w:rPr>
          <w:rFonts w:ascii="Times New Roman" w:hAnsi="Times New Roman" w:cs="Times New Roman"/>
          <w:sz w:val="24"/>
          <w:szCs w:val="24"/>
        </w:rPr>
      </w:pPr>
    </w:p>
    <w:p w14:paraId="5F2559CE" w14:textId="77777777" w:rsidR="00B200E6" w:rsidRPr="00EC6C19" w:rsidRDefault="00B200E6" w:rsidP="00B200E6">
      <w:pPr>
        <w:spacing w:line="360" w:lineRule="auto"/>
        <w:jc w:val="both"/>
        <w:rPr>
          <w:rFonts w:ascii="Times New Roman" w:hAnsi="Times New Roman" w:cs="Times New Roman"/>
          <w:i/>
          <w:sz w:val="24"/>
          <w:szCs w:val="24"/>
        </w:rPr>
      </w:pPr>
      <w:r w:rsidRPr="00EC6C19">
        <w:rPr>
          <w:rFonts w:ascii="Times New Roman" w:hAnsi="Times New Roman" w:cs="Times New Roman"/>
          <w:i/>
          <w:sz w:val="24"/>
          <w:szCs w:val="24"/>
        </w:rPr>
        <w:t>Implications of Coronary Artery Disease</w:t>
      </w:r>
    </w:p>
    <w:p w14:paraId="36F32A26" w14:textId="77777777" w:rsidR="00B200E6" w:rsidRPr="00EC6C19" w:rsidRDefault="00B200E6" w:rsidP="00B200E6">
      <w:pPr>
        <w:spacing w:line="360" w:lineRule="auto"/>
        <w:jc w:val="both"/>
        <w:rPr>
          <w:rFonts w:ascii="Times New Roman" w:hAnsi="Times New Roman" w:cs="Times New Roman"/>
          <w:sz w:val="24"/>
          <w:szCs w:val="24"/>
        </w:rPr>
      </w:pPr>
    </w:p>
    <w:p w14:paraId="29A4C661" w14:textId="77777777" w:rsidR="00B200E6" w:rsidRPr="00EC6C19" w:rsidRDefault="00B200E6" w:rsidP="00B200E6">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Coronary artery disease is only superseded by cancer as the largest cause of premature death in the UK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{"citationID":"yjYZb42x","properties":{"formattedCitation":"(Avoidable mortality in England and Wales - Office for National Statistics, 2018)","plainCitation":"(Avoidable mortality in England and Wales - Office for National Statistics, 2018)","noteIndex":0},"citationItems":[{"id":162,"uris":["http://zotero.org/users/local/k67tNDdX/items/G723YARL"],"uri":["http://zotero.org/users/local/k67tNDdX/items/G723YARL"],"itemData":{"id":162,"type":"webpage","title":"Avoidable mortality in England and Wales - Office for National Statistics","URL":"https://www.ons.gov.uk/peoplepopulationandcommunity/healthandsocialcare/causesofdeath/bulletins/avoidablemortalityinenglandandwales/2015","accessed":{"date-parts":[["2018",4,16]]}}}],"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(Avoidable mortality in England and Wales - Office for National Statistics,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The footprint of mortality is therefore enormous.</w:t>
      </w:r>
    </w:p>
    <w:p w14:paraId="315B3129" w14:textId="77777777" w:rsidR="00B200E6" w:rsidRPr="00EC6C19" w:rsidRDefault="00B200E6" w:rsidP="00B200E6">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The effect on morbidity is equally large. With the potential development of heart failure, persistent anginal symptoms, recurrent cardiovascular events and the need for bypass surgery or other invasive treatment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{"citationID":"F9vL3qVe","properties":{"formattedCitation":"(Madhavan et al., 2014)","plainCitation":"(Madhavan et al., 2014)","dontUpdate":true,"noteIndex":0},"citationItems":[{"id":803,"uris":["http://zotero.org/users/local/k67tNDdX/items/IVAV5NHB"],"uri":["http://zotero.org/users/local/k67tNDdX/items/IVAV5NHB"],"itemData":{"id":803,"type":"article-journal","abstract":"Coronary artery calcification (CAC) is a risk factor for adverse outcomes in the general population and in patients with coronary artery disease. The pathogenesis of CAC and bone formation share common pathways, and risk factors have been identified that contribute to the initiation and progression of CAC. Efforts to control CAC with medical therapy have not been successful. Event-free survival is also reduced in patients with coronary calcification after both percutaneous coronary intervention (PCI) and bypass graft surgery. Although drug-eluting stents and devices for plaque modification have modestly improved outcomes in calcified vessels, adverse event rates are still high. Innovative pharmacologic and device-based approaches are needed to improve the poor prognosis of patients with CAC.","container-title":"Journal of the American College of Cardiology","DOI":"10.1016/j.jacc.2014.01.017","ISSN":"1558-3597","issue":"17","journalAbbreviation":"J. Am. Coll. Cardiol.","language":"eng","note":"PMID: 24530667","page":"1703-1714","source":"PubMed","title":"Coronary artery calcification: pathogenesis and prognostic implications","title-short":"Coronary artery calcification","volume":"63","author":[{"family":"Madhavan","given":"Mahesh V."},{"family":"Tarigopula","given":"Madhusudhan"},{"family":"Mintz","given":"Gary S."},{"family":"Maehara","given":"Akiko"},{"family":"Stone","given":"Gregg W."},{"family":"Généreux","given":"Philippe"}],"issued":{"date-parts":[["2014",5,6]]}}}],"schema":"https://github.com/citation-style-language/schema/raw/master/csl-citation.json"}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(Madhavan et al., 2014)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p>
    <w:p w14:paraId="1279B509" w14:textId="77777777" w:rsidR="00B200E6" w:rsidRPr="00EC6C19" w:rsidRDefault="00B200E6" w:rsidP="00B200E6">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At a patient level, a quarter of patients report a significant decline in their quality of life after diagnosis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{"citationID":"p75Z5uXt","properties":{"formattedCitation":"(Sajobi et al., 2018)","plainCitation":"(Sajobi et al., 2018)","dontUpdate":true,"noteIndex":0},"citationItems":[{"id":795,"uris":["http://zotero.org/users/local/k67tNDdX/items/NDTIDE5S"],"uri":["http://zotero.org/users/local/k67tNDdX/items/NDTIDE5S"],"itemData":{"id":795,"type":"article-journal","abstract":"BACKGROUND: Health-related quality of life (HRQOL) assessment is an important health outcome for measuring the efficacy of treatments and interventions for coronary artery disease (CAD). HRQOL is known to improve over the first year after interventions for CAD, but there is limited knowledge of the changes in HRQOL beyond 1 year. We investigated heterogeneity in long-term trajectories of HRQOL in patients with CAD.\nMETHODS AND RESULTS: Data were obtained from 6226 patients identified from the Alberta Provincial Project for Outcome Assessment in Coronary Heart Disease with at least 1-vessel CAD who underwent their first catheterization between 2006 and 2009. HRQOL was assessed using the Seattle Angina Questionnaire, a 19-item disease-specific measure of HRQOL for patients with CAD. Group-based trajectory analysis was used to identify various subgroups of Seattle Angina Questionnaire trajectories over time while adjusting for missing data through a longitudinal multiple imputation model. Multinomial logistic regression was used to identify the predictors of differences among the identified subgroups. Our analysis revealed significant improvements in HRQOL across all the 5 domains of Seattle Angina Questionnaire overtime for the whole data. Multitrajectory analyses revealed 4 HRQOL trajectory subgroups including high (25.1%), largely increased (32.3%), largely decreased (25.0%), and low (17.6%) trajectories. Age, sex, body mass index, diabetes mellitus, previous history of myocardial infarction, smoking, depression, anxiety, type of treatment received, and perceived social support were significant predictors of differences among these trajectory subgroups.\nCONCLUSIONS: This study highlights variations in longitudinal trajectories of HRQOL in patients with CAD. Despite overall improvements in HRQOL, about a quarter of our cohort experienced a significant decline in their HRQOL over the 5-year period. Understanding these HRQOL trajectories may help personalize prognostic information, identify patients and HRQOL domains on which clinical interventions are most beneficial, and support treatment decisions for patients with CAD.","container-title":"Circulation. Cardiovascular Quality and Outcomes","DOI":"10.1161/CIRCOUTCOMES.117.003661","ISSN":"1941-7705","issue":"3","journalAbbreviation":"Circ Cardiovasc Qual Outcomes","language":"eng","note":"PMID: 29545392","page":"e003661","source":"PubMed","title":"Trajectories of Health-Related Quality of Life in Coronary Artery Disease","volume":"11","author":[{"family":"Sajobi","given":"Tolulope T."},{"family":"Wang","given":"Meng"},{"family":"Awosoga","given":"Oluwagbohunmi"},{"family":"Santana","given":"Maria"},{"family":"Southern","given":"Danielle"},{"family":"Liang","given":"Zhiying"},{"family":"Galbraith","given":"Diane"},{"family":"Wilton","given":"Stephen B."},{"family":"Quan","given":"Hude"},{"family":"Graham","given":"Michelle M."},{"family":"James","given":"Matthew T."},{"family":"Ghali","given":"William A."},{"family":"Knudtson","given":"Merrill L."},{"family":"Norris","given":"Colleen"},{"literal":"APPROACH Investigators"}],"issued":{"date-parts":[["2018"]]}}}],"schema":"https://github.com/citation-style-language/schema/raw/master/csl-citation.json"}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(Sajobi et al.,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This could be attributable to anginal symptoms related to their coronary artery disease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{"citationID":"JBSF8YLu","properties":{"formattedCitation":"(Gandjour and Lauterbach, 1999)","plainCitation":"(Gandjour and Lauterbach, 1999)","noteIndex":0},"citationItems":[{"id":798,"uris":["http://zotero.org/users/local/k67tNDdX/items/WQFCCDC8"],"uri":["http://zotero.org/users/local/k67tNDdX/items/WQFCCDC8"],"itemData":{"id":798,"type":"article-journal","abstract":"Patients with angina pectoris have a reduced quality of life because of their symptoms, impaired activity and anxiety. However, there is no consensus on the best method of measuring quality of life. A systematic literature search of randomised controlled trials (RCTs) in angina showed that the most common generic questionnaire was the Nottingham Health Profile (NHP) Part 1, and the most common angina-specific measure was the Quality-of-Life after Acute Myocardial Infarction Questionnaire. A comparison of NHP scores with those of the healthy population revealed that patients with angina particularly seem to experience a lack of energy, poor sleep and decreased physical mobility. In the RCTs evaluated, antianginal drugs did not show a significant benefit over placebo in terms of quality of life. As a result of a lack of valid data from RCTs, a strong conclusion regarding the impact of revascularisation procedures on quality of life could not be derived.","container-title":"PharmacoEconomics","DOI":"10.2165/00019053-199916020-00003","ISSN":"1170-7690","issue":"2","journalAbbreviation":"Pharmacoeconomics","language":"eng","note":"PMID: 10539395","page":"141-152","source":"PubMed","title":"Review of quality-of-life evaluations in patients with angina pectoris","volume":"16","author":[{"family":"Gandjour","given":"A."},{"family":"Lauterbach","given":"K. W."}],"issued":{"date-parts":[["1999",8]]}}}],"schema":"https://github.com/citation-style-language/schema/raw/master/csl-citation.json"}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(Gandjour and Lauterbach, 1999)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or heart failure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{"citationID":"KAgJhtx1","properties":{"formattedCitation":"(Nieminen et al., 2015)","plainCitation":"(Nieminen et al., 2015)","dontUpdate":true,"noteIndex":0},"citationItems":[{"id":800,"uris":["http://zotero.org/users/local/k67tNDdX/items/N46XLBD5"],"uri":["http://zotero.org/users/local/k67tNDdX/items/N46XLBD5"],"itemData":{"id":800,"type":"article-journal","abstract":"&lt;h2&gt;Abstract&lt;/h2&gt;&lt;p&gt;End of life is an unfortunate but inevitable phase of the heart failure patients' journey. It is often preceded by a stage in the progression of heart failure defined as advanced heart failure, and characterised by poor quality of life and frequent hospitalisations. In clinical practice, the efficacy of treatments for advanced heart failure is often assessed by parameters such as clinical status, haemodynamics, neurohormonal status, and echo/MRI indices. From the patients' perspective, however, quality-of-life-related parameters, such as functional capacity, exercise performance, psychological status, and frequency of re-hospitalisations, are more significant. The effects of therapies and interventions on these parameters are, however, underrepresented in clinical trials targeted to assess advanced heart failure treatment efficacy, and data are overall scarce. This is possibly due to a non-universal definition of the quality-of-life-related endpoints, and to the difficult standardisation of the data collection. These uncertainties also lead to difficulties in handling trade-off decisions between quality of life and survival by patients, families and healthcare providers. A panel of 34 experts in the field of cardiology and intensive cardiac care from 21 countries around the world convened for reviewing the existing data on quality-of-life in patients with advanced heart failure, discussing and reaching a consensus on the validity and significance of quality-of-life assessment methods. Gaps in routine care and research, which should be addressed, were identified. Finally, published data on the effects of current i.v. vasoactive therapies such as inotropes, inodilators, and vasodilators on quality-of-life in advanced heart failure patients were analysed.&lt;/p&gt;","container-title":"International Journal of Cardiology","DOI":"10.1016/j.ijcard.2015.04.235","ISSN":"0167-5273, 1874-1754","journalAbbreviation":"International Journal of Cardiology","language":"English","page":"256-264","source":"www.internationaljournalofcardiology.com","title":"The patient perspective: Quality of life in advanced heart failure with frequent hospitalisations","title-short":"The patient perspective","volume":"191","author":[{"family":"Nieminen","given":"Markku S."},{"family":"Dickstein","given":"Kenneth"},{"family":"Fonseca","given":"Cândida"},{"family":"Serrano","given":"Jose Magaña"},{"family":"Parissis","given":"John"},{"family":"Fedele","given":"Francesco"},{"family":"Wikström","given":"Gerhard"},{"family":"Agostoni","given":"Piergiuseppe"},{"family":"Atar","given":"Shaul"},{"family":"Baholli","given":"Loant"},{"family":"Brito","given":"Dulce"},{"family":"Colet","given":"Josep Comín"},{"family":"Édes","given":"István"},{"family":"Mesa","given":"Juan E. Gómez"},{"family":"Gorjup","given":"Vojka"},{"family":"Garza","given":"Eduardo Herrera"},{"family":"Juanatey","given":"José R. González"},{"family":"Karanovic","given":"Nenad"},{"family":"Karavidas","given":"Apostolos"},{"family":"Katsytadze","given":"Igor"},{"family":"Kivikko","given":"Matti"},{"family":"Matskeplishvili","given":"Simon"},{"family":"Merkely","given":"Béla"},{"family":"Morandi","given":"Fabrizio"},{"family":"Novoa","given":"Angel"},{"family":"Oliva","given":"Fabrizio"},{"family":"Ostadal","given":"Petr"},{"family":"Pereira-Barretto","given":"Antonio"},{"family":"Pollesello","given":"Piero"},{"family":"Rudiger","given":"Alain"},{"family":"Schwinger","given":"Robert H. G."},{"family":"Wieser","given":"Manfred"},{"family":"Yavelov","given":"Igor"},{"family":"Zymliński","given":"Robert"}],"issued":{"date-parts":[["2015",7,15]]}}}],"schema":"https://github.com/citation-style-language/schema/raw/master/csl-citation.json"}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(Nieminen et al., 2015)</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It is more likely however, due to the complex physical, emotional and social interactions which constitute quality of life. Truly identifying the cause is problematic.</w:t>
      </w:r>
    </w:p>
    <w:p w14:paraId="6222C427" w14:textId="77777777" w:rsidR="00B200E6" w:rsidRPr="00EC6C19" w:rsidRDefault="00B200E6" w:rsidP="00B200E6">
      <w:pPr>
        <w:rPr>
          <w:rFonts w:ascii="Times New Roman" w:hAnsi="Times New Roman" w:cs="Times New Roman"/>
          <w:i/>
          <w:sz w:val="24"/>
          <w:szCs w:val="24"/>
          <w:u w:val="single"/>
        </w:rPr>
      </w:pPr>
    </w:p>
    <w:p w14:paraId="6ACBFA9C" w14:textId="77777777" w:rsidR="00B200E6" w:rsidRPr="00EC6C19" w:rsidRDefault="00B200E6" w:rsidP="00B200E6">
      <w:pPr>
        <w:rPr>
          <w:rFonts w:ascii="Times New Roman" w:hAnsi="Times New Roman" w:cs="Times New Roman"/>
          <w:i/>
          <w:sz w:val="24"/>
          <w:szCs w:val="24"/>
        </w:rPr>
      </w:pPr>
      <w:r w:rsidRPr="00EC6C19">
        <w:rPr>
          <w:rFonts w:ascii="Times New Roman" w:hAnsi="Times New Roman" w:cs="Times New Roman"/>
          <w:i/>
          <w:sz w:val="24"/>
          <w:szCs w:val="24"/>
        </w:rPr>
        <w:t>Heart Disease in Today's World</w:t>
      </w:r>
    </w:p>
    <w:p w14:paraId="2E5A28D6" w14:textId="77777777" w:rsidR="00B200E6" w:rsidRPr="00EC6C19" w:rsidRDefault="00B200E6" w:rsidP="00B200E6">
      <w:pPr>
        <w:rPr>
          <w:rFonts w:ascii="Times New Roman" w:hAnsi="Times New Roman" w:cs="Times New Roman"/>
          <w:i/>
          <w:sz w:val="24"/>
          <w:szCs w:val="24"/>
        </w:rPr>
      </w:pPr>
    </w:p>
    <w:p w14:paraId="53DD5E73" w14:textId="77777777" w:rsidR="00B200E6" w:rsidRPr="00EC6C19" w:rsidRDefault="00B200E6" w:rsidP="00B200E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impact of heart disease in the current health climate is huge. Statistics from the British Heart Foundation show that 26% of all deaths in the UK are due to heart disease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{"citationID":"LK9V78bq","properties":{"formattedCitation":"(Heart statistics, 2018)","plainCitation":"(Heart statistics, 2018)","noteIndex":0},"citationItems":[{"id":254,"uris":["http://zotero.org/users/local/k67tNDdX/items/IHWQZVVY"],"uri":["http://zotero.org/users/local/k67tNDdX/items/IHWQZVVY"],"itemData":{"id":254,"type":"webpage","abstract":"The latest, most comprehensive statistics on heart disease in the UK. Learn more about mortality, morbidity, treatments and risk factors.","language":"en","title":"Heart statistics","URL":"https://www.bhf.org.uk/research/heart-statistics","accessed":{"date-parts":[["2018",4,24]]}}}],"schema":"https://github.com/citation-style-language/schema/raw/master/csl-citation.json"}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(Heart statistics, 2018)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with 2.3 million current sufferers of coronary artery disease. One hospital visit every three minutes is due to a myocardial infarction, leading to 180 deaths per day.</w:t>
      </w:r>
    </w:p>
    <w:p w14:paraId="6E7D5145" w14:textId="77777777" w:rsidR="00B200E6" w:rsidRPr="00EC6C19" w:rsidRDefault="00B200E6" w:rsidP="00B200E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Coronary artery disease is estimated to cost the National Health Service (NHS) just over seven billion pounds annually. Death rates have fallen over the past 5 decades, but an aging and growing population is putting further stress on our healthcare system. </w:t>
      </w:r>
    </w:p>
    <w:p w14:paraId="58A3A8B2" w14:textId="77777777" w:rsidR="00EE0859" w:rsidRPr="00EC6C19" w:rsidRDefault="00EE0859" w:rsidP="00B200E6">
      <w:pPr>
        <w:spacing w:line="360" w:lineRule="auto"/>
        <w:rPr>
          <w:rFonts w:ascii="Times New Roman" w:hAnsi="Times New Roman" w:cs="Times New Roman"/>
          <w:sz w:val="24"/>
          <w:szCs w:val="24"/>
        </w:rPr>
      </w:pPr>
    </w:p>
    <w:p w14:paraId="198B8C68" w14:textId="77777777" w:rsidR="00EE0859" w:rsidRPr="00EC6C19" w:rsidRDefault="00EE0859" w:rsidP="00EE0859">
      <w:pPr>
        <w:spacing w:line="360" w:lineRule="auto"/>
        <w:jc w:val="both"/>
        <w:rPr>
          <w:rFonts w:ascii="Times New Roman" w:hAnsi="Times New Roman" w:cs="Times New Roman"/>
          <w:i/>
          <w:sz w:val="24"/>
          <w:szCs w:val="24"/>
        </w:rPr>
      </w:pPr>
      <w:r w:rsidRPr="00EC6C19">
        <w:rPr>
          <w:rFonts w:ascii="Times New Roman" w:hAnsi="Times New Roman" w:cs="Times New Roman"/>
          <w:i/>
          <w:sz w:val="24"/>
          <w:szCs w:val="24"/>
        </w:rPr>
        <w:t>Primary Prevention</w:t>
      </w:r>
    </w:p>
    <w:p w14:paraId="19964029" w14:textId="77777777" w:rsidR="00EE0859" w:rsidRPr="00EC6C19" w:rsidRDefault="00EE0859" w:rsidP="00EE0859">
      <w:pPr>
        <w:spacing w:line="360" w:lineRule="auto"/>
        <w:jc w:val="both"/>
        <w:rPr>
          <w:rFonts w:ascii="Times New Roman" w:hAnsi="Times New Roman" w:cs="Times New Roman"/>
          <w:i/>
          <w:sz w:val="24"/>
          <w:szCs w:val="24"/>
        </w:rPr>
      </w:pPr>
    </w:p>
    <w:p w14:paraId="34281839" w14:textId="77777777" w:rsidR="00EE0859" w:rsidRPr="00EC6C19" w:rsidRDefault="00EE0859" w:rsidP="00EE0859">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Identifying and modifying the risk factors identified from the Framingham heart study is the cornerstone of preventing morbidity and mortality from coronary artery disease. Anti-hypertensive and lipid lowering agents are widely used, but advances in coronary prevention are still on-going. Newer lipid lowering drugs (PCSK9 Inhibitors) are expected to further lower the incidence of coronary artery disease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{"citationID":"755tuqTS","properties":{"formattedCitation":"(Steg and Ducrocq, 2016)","plainCitation":"(Steg and Ducrocq, 2016)","noteIndex":0},"citationItems":[{"id":792,"uris":["http://zotero.org/users/local/k67tNDdX/items/3Q9LC8SG"],"uri":["http://zotero.org/users/local/k67tNDdX/items/3Q9LC8SG"],"itemData":{"id":792,"type":"article-journal","abstract":"With ongoing progress in the prevention and treatment of coronary artery disease (CAD), a continued decrease in prevalence and lethality is expected in high-income countries. Prevention will include lipid-lowering, antithrombotic and anti-inflammatory therapies. With respect to the former, potent, safe and prolonged drugs (such as generic forms of PCSK9 inhibitors relying on monoclonal antibodies or miRNA) should result in a decreased incidence of acute coronary syndromes. Another key aspect will be the ability to identify genetic predictors of CAD and therefore implement targeted personalized prevention early in life. Curative treatment will involve a short course of potent and reversible antithrombotics, but long-term therapy will rely on the ability to stabilize or even regress plaque (eg, using PCSK9 inhibition or modified high-density lipoprotein infusions or anti-inflammatory therapies). Antithrombotic therapy will rely on highly reversible agents (or agents with specific titratable antagonists), and on personalized therapies in which the doses, combinations and duration of therapy will be determined differentially for each patient on the basis of clinical characteristics, genetic profiling and biomarkers. Finally, the need for revascularization in stable CAD will be rare, given the expected progress in prevention. The main challenge, 20 years from now, is likely to be the provision of such effective care at acceptable costs in low- and middle-income countries. (Circ J 2016; 80: 1067-1072).","container-title":"Circulation Journal: Official Journal of the Japanese Circulation Society","DOI":"10.1253/circj.CJ-16-0266","ISSN":"1347-4820","issue":"5","journalAbbreviation":"Circ. J.","language":"eng","note":"PMID: 27063295","page":"1067-1072","source":"PubMed","title":"Future of the Prevention and Treatment of Coronary Artery Disease","volume":"80","author":[{"family":"Steg","given":"Philippe Gabriel"},{"family":"Ducrocq","given":"Grégory"}],"issued":{"date-parts":[["2016",4,25]]}}}],"schema":"https://github.com/citation-style-language/schema/raw/master/csl-citation.json"}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(Steg and Ducrocq, 2016)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Furthermore, genetic testing could provide an individually personalised plan for coronary prevention in the near future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{"citationID":"GGngt142","properties":{"formattedCitation":"(Steg and Ducrocq, 2016)","plainCitation":"(Steg and Ducrocq, 2016)","noteIndex":0},"citationItems":[{"id":792,"uris":["http://zotero.org/users/local/k67tNDdX/items/3Q9LC8SG"],"uri":["http://zotero.org/users/local/k67tNDdX/items/3Q9LC8SG"],"itemData":{"id":792,"type":"article-journal","abstract":"With ongoing progress in the prevention and treatment of coronary artery disease (CAD), a continued decrease in prevalence and lethality is expected in high-income countries. Prevention will include lipid-lowering, antithrombotic and anti-inflammatory therapies. With respect to the former, potent, safe and prolonged drugs (such as generic forms of PCSK9 inhibitors relying on monoclonal antibodies or miRNA) should result in a decreased incidence of acute coronary syndromes. Another key aspect will be the ability to identify genetic predictors of CAD and therefore implement targeted personalized prevention early in life. Curative treatment will involve a short course of potent and reversible antithrombotics, but long-term therapy will rely on the ability to stabilize or even regress plaque (eg, using PCSK9 inhibition or modified high-density lipoprotein infusions or anti-inflammatory therapies). Antithrombotic therapy will rely on highly reversible agents (or agents with specific titratable antagonists), and on personalized therapies in which the doses, combinations and duration of therapy will be determined differentially for each patient on the basis of clinical characteristics, genetic profiling and biomarkers. Finally, the need for revascularization in stable CAD will be rare, given the expected progress in prevention. The main challenge, 20 years from now, is likely to be the provision of such effective care at acceptable costs in low- and middle-income countries. (Circ J 2016; 80: 1067-1072).","container-title":"Circulation Journal: Official Journal of the Japanese Circulation Society","DOI":"10.1253/circj.CJ-16-0266","ISSN":"1347-4820","issue":"5","journalAbbreviation":"Circ. J.","language":"eng","note":"PMID: 27063295","page":"1067-1072","source":"PubMed","title":"Future of the Prevention and Treatment of Coronary Artery Disease","volume":"80","author":[{"family":"Steg","given":"Philippe Gabriel"},{"family":"Ducrocq","given":"Grégory"}],"issued":{"date-parts":[["2016",4,25]]}}}],"schema":"https://github.com/citation-style-language/schema/raw/master/csl-citation.json"}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(Steg and Ducrocq, 2016)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01360672" w14:textId="77777777" w:rsidR="00EE0859" w:rsidRPr="00EC6C19" w:rsidRDefault="00EE0859" w:rsidP="00EE0859">
      <w:pPr>
        <w:spacing w:line="360" w:lineRule="auto"/>
        <w:jc w:val="both"/>
        <w:rPr>
          <w:rFonts w:ascii="Times New Roman" w:hAnsi="Times New Roman" w:cs="Times New Roman"/>
          <w:sz w:val="24"/>
          <w:szCs w:val="24"/>
        </w:rPr>
      </w:pPr>
    </w:p>
    <w:p w14:paraId="10A1FEB0" w14:textId="77777777" w:rsidR="00EE0859" w:rsidRPr="00EC6C19" w:rsidRDefault="00EE0859" w:rsidP="00EE0859">
      <w:pPr>
        <w:rPr>
          <w:rFonts w:ascii="Times New Roman" w:hAnsi="Times New Roman" w:cs="Times New Roman"/>
          <w:i/>
          <w:sz w:val="24"/>
          <w:szCs w:val="24"/>
        </w:rPr>
      </w:pPr>
      <w:r w:rsidRPr="00EC6C19">
        <w:rPr>
          <w:rFonts w:ascii="Times New Roman" w:hAnsi="Times New Roman" w:cs="Times New Roman"/>
          <w:i/>
          <w:sz w:val="24"/>
          <w:szCs w:val="24"/>
        </w:rPr>
        <w:t>Secondary Prevention and Long Term Treatment</w:t>
      </w:r>
    </w:p>
    <w:p w14:paraId="31B44D0D" w14:textId="77777777" w:rsidR="00EE0859" w:rsidRPr="00EC6C19" w:rsidRDefault="00EE0859" w:rsidP="00EE0859">
      <w:pPr>
        <w:rPr>
          <w:rFonts w:ascii="Times New Roman" w:hAnsi="Times New Roman" w:cs="Times New Roman"/>
          <w:sz w:val="24"/>
          <w:szCs w:val="24"/>
        </w:rPr>
      </w:pPr>
    </w:p>
    <w:p w14:paraId="6CFCCA04" w14:textId="77777777" w:rsidR="00EE0859" w:rsidRPr="00EC6C19" w:rsidRDefault="00EE0859" w:rsidP="00EE0859">
      <w:pPr>
        <w:spacing w:line="360" w:lineRule="auto"/>
        <w:jc w:val="both"/>
        <w:rPr>
          <w:rFonts w:ascii="Times New Roman" w:hAnsi="Times New Roman" w:cs="Times New Roman"/>
          <w:sz w:val="24"/>
          <w:szCs w:val="24"/>
        </w:rPr>
      </w:pPr>
      <w:r w:rsidRPr="00EC6C19">
        <w:rPr>
          <w:rFonts w:ascii="Times New Roman" w:hAnsi="Times New Roman" w:cs="Times New Roman"/>
          <w:sz w:val="24"/>
          <w:szCs w:val="24"/>
        </w:rPr>
        <w:t xml:space="preserve">Management of cardiovascular risk factors in patients with established atherosclerosis has been shown to improve outcomes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{"citationID":"ohcTacti","properties":{"formattedCitation":"(Hammal et al., 2014)","plainCitation":"(Hammal et al., 2014)","dontUpdate":true,"noteIndex":0},"citationItems":[{"id":198,"uris":["http://zotero.org/users/local/k67tNDdX/items/UEWJKCX8"],"uri":["http://zotero.org/users/local/k67tNDdX/items/UEWJKCX8"],"itemData":{"id":198,"type":"article-journal","abstract":"Background\nSmoking is an undertreated risk factor for coronary artery disease (CAD) and is associated with adverse outcomes after myocardial infarction. Aims of our study were to determine if management of CAD by medical therapy (MT) alone or with coronary artery bypass grafting (CABG) or percutaneous coronary intervention (PCI) influence smoking status at one year following angiography and if a change in smoking status at one year influences long term survival.\n\nMethods\nProspective cohort study using the APPROACH registry. Two cohorts were examined: (1) 11,334 patients who returned a one year follow-up questionnaire; (2) 4,246 patients propensity-matched based on their post-angiography treatment - MT or revascularization (RV). Multivariate modeling and survival analysis were used.\n\nResults\nIn the propensity-matched cohort, quit rates at one year were greater among CABG patients (68%) than PCI (37%) or MT patients (47%). Smokers in the RV group, who self-reported quitting at one year, had a significantly reduced mortality compared to those who continued to smoke.\n\nConclusions\nCABG patients were more likely to quit smoking than those treated with MT alone or PCI. Quitting smoking was associated with improved long-term survival; smoking remains a key risk factor for mortality in patients with CAD. These data underscore the importance of nicotine addiction management in patients with CAD and the need to emphasize cessation particularly in those patients undergoing MT or PCI.","container-title":"BMC Cardiovascular Disorders","DOI":"10.1186/1471-2261-14-133","ISSN":"1471-2261","journalAbbreviation":"BMC Cardiovasc Disord","note":"PMID: 25274407\nPMCID: PMC4190449","source":"PubMed Central","title":"Smoking status and survival: impact on mortality of continuing to smoke one year after the angiographic diagnosis of coronary artery disease, a prospective cohort study","title-short":"Smoking status and survival","URL":"https://www.ncbi.nlm.nih.gov/pmc/articles/PMC4190449/","volume":"14","author":[{"family":"Hammal","given":"Fadi"},{"family":"Ezekowitz","given":"Justin A"},{"family":"Norris","given":"Colleen M"},{"family":"Wild","given":"T Cameron"},{"family":"Finegan","given":"Barry A"}],"accessed":{"date-parts":[["2018",4,24]]},"issued":{"date-parts":[["2014",10,1]]}}}],"schema":"https://github.com/citation-style-language/schema/raw/master/csl-citation.json"}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 xml:space="preserve">(Ford et al., 2007;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{"citationID":"jkU9BEE6","properties":{"formattedCitation":"(Farkouh et al., 2013)","plainCitation":"(Farkouh et al., 2013)","dontUpdate":true,"noteIndex":0},"citationItems":[{"id":201,"uris":["http://zotero.org/users/local/k67tNDdX/items/6YY6DRVB"],"uri":["http://zotero.org/users/local/k67tNDdX/items/6YY6DRVB"],"itemData":{"id":201,"type":"article-journal","abstract":"OBJECTIVES: This study evaluated data from 3 federally funded trials that focused on optimal medical therapy to determine if formalized attempts at risk factor control within clinical trials are effective in achieving guideline-driven treatment goals for diabetic patients with coronary artery disease (CAD).\nBACKGROUND: Despite clear evidence of benefit for CAD secondary prevention, the level of risk factor control in clinical practice has been disappointing.\nMETHODS: We obtained data from the COURAGE (Clinical Outcomes Utilizing Revascularization and Aggressive Drug Evaluation) diabetes subgroup, (n = 766 of 2,287), the BARI 2D (Bypass Angioplasty Revascularization Investigation 2 Diabetes) trial (n = 2,368), and the FREEDOM (Comparison of Two Treatments for Multivessel Coronary Artery Disease in Individuals With Diabetes) trial (n = 1,900) to evaluate the proportion of patients achieving guideline-based, protocol-driven treatment targets for systolic blood pressure, low-density lipoprotein cholesterol, smoking cessation, and hemoglobin A1c. The primary outcome measure was the proportion of diabetic CAD patients meeting all 4 pre-specified targets at 1 year after enrollment.\nRESULTS: The pooled data include 5,034 diabetic patients. The percentages of patients achieving the 1-year low-density lipoprotein cholesterol targets compared with baseline increased from 55% to 77% in COURAGE, from 59% to 75% in BARI 2D, and from 34% to 42% in FREEDOM. Although similar improved trends were seen for systolic blood pressure, glycemic control, and smoking cessation, only 18% of the COURAGE diabetes subgroup, 23% of BARI 2D patients, and 8% of FREEDOM patients met all 4 pre-specified treatment targets at 1 year of follow-up.\nCONCLUSIONS: A significant proportion of diabetic CAD patients fail to achieve pre-specified targets for 4 major modifiable cardiovascular risk factors in clinical trials. We conclude that fundamentally new thinking is needed to explore approaches to achieve optimal secondary prevention treatment goals. (Clinical Outcomes Utilizing Revascularization and Aggressive Drug Evaluation; NCT00007657) (Bypass Angioplasty Revascularization Investigation 2 Diabetes [BARI 2D]; NCT00006305) (Comparison of Two Treatments for Multivessel Coronary Artery Disease in Individuals With Diabetes [FREEDOM]; NCT00086450).","container-title":"Journal of the American College of Cardiology","DOI":"10.1016/j.jacc.2013.01.044","ISSN":"1558-3597","issue":"15","journalAbbreviation":"J. Am. Coll. Cardiol.","language":"eng","note":"PMID: 23500281","page":"1607-1615","source":"PubMed","title":"Risk factor control for coronary artery disease secondary prevention in large randomized trials","volume":"61","author":[{"family":"Farkouh","given":"Michael E."},{"family":"Boden","given":"William E."},{"family":"Bittner","given":"Vera"},{"family":"Muratov","given":"Victoria"},{"family":"Hartigan","given":"Pamela"},{"family":"Ogdie","given":"May"},{"family":"Bertolet","given":"Marnie"},{"family":"Mathewkutty","given":"Shiny"},{"family":"Teo","given":"Koon"},{"family":"Maron","given":"David J."},{"family":"Sethi","given":"Sanjum S."},{"family":"Domanski","given":"Michael"},{"family":"Frye","given":"Robert L."},{"family":"Fuster","given":"Valentin"}],"issued":{"date-parts":[["2013",4,16]]}}}],"schema":"https://github.com/citation-style-language/schema/raw/master/csl-citation.json"}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Farkouh et al., 2013</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Hammal et al., 2014</w:t>
      </w:r>
      <w:r w:rsidR="00106A32" w:rsidRPr="00EC6C19">
        <w:rPr>
          <w:rFonts w:ascii="Times New Roman" w:hAnsi="Times New Roman" w:cs="Times New Roman"/>
          <w:sz w:val="24"/>
          <w:szCs w:val="24"/>
        </w:rPr>
        <w:fldChar w:fldCharType="end"/>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{"citationID":"KKqDeWZQ","properties":{"formattedCitation":"(Ford et al., 2007)","plainCitation":"(Ford et al., 2007)","dontUpdate":true,"noteIndex":0},"citationItems":[{"id":203,"uris":["http://zotero.org/users/local/k67tNDdX/items/EGAN59V2"],"uri":["http://zotero.org/users/local/k67tNDdX/items/EGAN59V2"],"itemData":{"id":203,"type":"article-journal","abstract":"Mortality due to coronary heart disease has declined substantially in the United States in recent decades. A previously validated model was used to estimate the roles of specific cardiac treatments and changes in risk factors in this decline. Approximately 47% of the decrease in mortality was attributed to therapeutic interventions and 44% to changes in risk factors.","container-title":"New England Journal of Medicine","DOI":"10.1056/NEJMsa053935","ISSN":"0028-4793","issue":"23","note":"PMID: 17554120","page":"2388-2398","source":"Taylor and Francis+NEJM","title":"Explaining the Decrease in U.S. Deaths from Coronary Disease, 1980–2000","volume":"356","author":[{"family":"Ford","given":"Earl S."},{"family":"Ajani","given":"Umed A."},{"family":"Croft","given":"Janet B."},{"family":"Critchley","given":"Julia A."},{"family":"Labarthe","given":"Darwin R."},{"family":"Kottke","given":"Thomas E."},{"family":"Giles","given":"Wayne H."},{"family":"Capewell","given":"Simon"}],"issued":{"date-parts":[["2007",6,7]]}}}],"schema":"https://github.com/citation-style-language/schema/raw/master/csl-citation.json"}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Patients who have suffered a cardiovascular event, and therefore require secondary prevention derive benefit when taking aspirin and statin therapy compared to those who do not. For aspirin, this was first demonstrated in the ISIS-2 trial published in 1998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{"citationID":"EXccoUue","properties":{"formattedCitation":"(Baigent et al., 1998)","plainCitation":"(Baigent et al., 1998)","dontUpdate":true,"noteIndex":0},"citationItems":[{"id":806,"uris":["http://zotero.org/users/local/k67tNDdX/items/5G2AD6CH"],"uri":["http://zotero.org/users/local/k67tNDdX/items/5G2AD6CH"],"itemData":{"id":806,"type":"article-journal","abstract":"OBJECTIVE: To assess effects of intravenous streptokinase, one month of oral aspirin, or both, on long term survival after suspected acute myocardial infarction.\nDESIGN: Randomised, \"2 x 2 factorial,\" placebo controlled trial.\nSETTING: 417 hospitals in 16 countries.\nSUBJECTS: 17 187 patients with suspected acute myocardial infarction randomised between March 1985 and December 1987. Follow up of vital status complete to at least 1 January 1990 for 95% of all patients and to mid-1997 for the 6213 patients in United Kingdom.\nINTERVENTIONS: Intravenous streptokinase (1.5 MU in 1 hour) and oral aspirin (162 mg daily for 1 month) versus matching placebos.\nMAIN OUTCOME MEASURES: Mortality from all causes during up to 10 years' follow up, with subgroup analyses based on 4 year follow up.\nRESULTS: After randomisation, 1841 deaths were recorded in days 0-35, 991 from day 36 to end of year 1, 1478 in years 2-4, and 1230 in years 5-10. Allocation to streptokinase was associated with 29 (95% confidence interval 20 to 38) fewer deaths per 1000 patients during days 0-35. This early benefit persisted (death rate ratio 0.98 (0.92 to 1.04) for additional deaths between day 36 and end of year 10), so that there were 28 (14 to 42) and 23 (2 to 44) fewer deaths per 1000 patients treated with streptokinase after 4 years and 10 years respectively. There was no evidence that absolute survival benefit increased with prolonged follow up among any category of patient, including those presenting early after symptoms started or with anterior ST elevation. Nor did the early benefits seem to be lost in any category (including those aged over 70). Allocation to one month of aspirin was associated with 26 (16 to 35) fewer deaths per 1000 during first 35 days, with little further benefit or loss during subsequent years (death rate ratio 0.99 (0.93 to 1.06) between day 36 and end of year 10). The early benefit obtained with combination of streptokinase and one month of aspirin also seemed to persist long term.\nCONCLUSIONS: The early survival advantages produced by fibrinolytic therapy and one month of aspirin started in acute myocardial infarction seem to be maintained for at least 10 years.","container-title":"BMJ (Clinical research ed.)","DOI":"10.1136/bmj.316.7141.1337","ISSN":"0959-8138","issue":"7141","journalAbbreviation":"BMJ","language":"eng","note":"PMID: 9563981\nPMCID: PMC28530","page":"1337-1343","source":"PubMed","title":"ISIS-2: 10 year survival among patients with suspected acute myocardial infarction in randomised comparison of intravenous streptokinase, oral aspirin, both, or neither. The ISIS-2 (Second International Study of Infarct Survival) Collaborative Group","title-short":"ISIS-2","volume":"316","author":[{"family":"Baigent","given":"C."},{"family":"Collins","given":"R."},{"family":"Appleby","given":"P."},{"family":"Parish","given":"S."},{"family":"Sleight","given":"P."},{"family":"Peto","given":"R."}],"issued":{"date-parts":[["1998",5,2]]}}}],"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(Baigent et al., 1998)</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Further meta-analyses further contributed to this stance, showing low dose aspirin (75mg once daily) also has protective effects against further events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{"citationID":"4TLJuVW1","properties":{"formattedCitation":"(Antithrombotic Trialists\\uc0\\u8217{} Collaboration, 2002)","plainCitation":"(Antithrombotic Trialists’ Collaboration, 2002)","noteIndex":0},"citationItems":[{"id":242,"uris":["http://zotero.org/users/local/k67tNDdX/items/BZ6YD8RT"],"uri":["http://zotero.org/users/local/k67tNDdX/items/BZ6YD8RT"],"itemData":{"id":242,"type":"article-journal","abstract":"OBJECTIVE: To determine the effects of antiplatelet therapy among patients at high risk of occlusive vascular events.\nDESIGN: Collaborative meta-analyses (systematic overviews).\nINCLUSION CRITERIA: Randomised trials of an antiplatelet regimen versus control or of one antiplatelet regimen versus another in high risk patients (with acute or previous vascular disease or some other predisposing condition) from which results were available before September 1997. Trials had to use a method of randomisation that precluded prior knowledge of the next treatment to be allocated and comparisons had to be unconfounded-that is, have study groups that differed only in terms of antiplatelet regimen.\nSTUDIES REVIEWED: 287 studies involving 135 000 patients in comparisons of antiplatelet therapy versus control and 77 000 in comparisons of different antiplatelet regimens.\nMAIN OUTCOME MEASURE: \"Serious vascular event\": non-fatal myocardial infarction, non-fatal stroke, or vascular death.\nRESULTS: Overall, among these high risk patients, allocation to antiplatelet therapy reduced the combined outcome of any serious vascular event by about one quarter; non-fatal myocardial infarction was reduced by one third, non-fatal stroke by one quarter, and vascular mortality by one sixth (with no apparent adverse effect on other deaths). Absolute reductions in the risk of having a serious vascular event were 36 (SE 5) per 1000 treated for two years among patients with previous myocardial infarction; 38 (5) per 1000 patients treated for one month among patients with acute myocardial infarction; 36 (6) per 1000 treated for two years among those with previous stroke or transient ischaemic attack; 9 (3) per 1000 treated for three weeks among those with acute stroke; and 22 (3) per 1000 treated for two years among other high risk patients (with separately significant results for those with stable angina (P=0.0005), peripheral arterial disease (P=0.004), and atrial fibrillation (P=0.01)). In each of these high risk categories, the absolute benefits substantially outweighed the absolute risks of major extracranial bleeding. Aspirin was the most widely studied antiplatelet drug, with doses of 75-150 mg daily at least as effective as higher daily doses. The effects of doses lower than 75 mg daily were less certain. Clopidogrel reduced serious vascular events by 10% (4%) compared with aspirin, which was similar to the 12% (7%) reduction observed with its analogue ticlopidine. Addition of dipyridamole to aspirin produced no significant further reduction in vascular events compared with aspirin alone. Among patients at high risk of immediate coronary occlusion, short term addition of an intravenous glycoprotein IIb/IIIa antagonist to aspirin prevented a further 20 (4) vascular events per 1000 (P&lt;0.0001) but caused 23 major (but rarely fatal) extracranial bleeds per 1000.\nCONCLUSIONS: Aspirin (or another oral antiplatelet drug) is protective in most types of patient at increased risk of occlusive vascular events, including those with an acute myocardial infarction or ischaemic stroke, unstable or stable angina, previous myocardial infarction, stroke or cerebral ischaemia, peripheral arterial disease, or atrial fibrillation. Low dose aspirin (75-150 mg daily) is an effective antiplatelet regimen for long term use, but in acute settings an initial loading dose of at least 150 mg aspirin may be required. Adding a second antiplatelet drug to aspirin may produce additional benefits in some clinical circumstances, but more research into this strategy is needed.","container-title":"BMJ (Clinical research ed.)","ISSN":"0959-8138","issue":"7329","journalAbbreviation":"BMJ","language":"eng","note":"PMID: 11786451\nPMCID: PMC64503","page":"71-86","source":"PubMed","title":"Collaborative meta-analysis of randomised trials of antiplatelet therapy for prevention of death, myocardial infarction, and stroke in high risk patients","volume":"324","author":[{"literal":"Antithrombotic Trialists' Collaboration"}],"issued":{"date-parts":[["2002",1,12]]}}}],"schema":"https://github.com/citation-style-language/schema/raw/master/csl-citation.json"}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(Antithrombotic Trialists’ Collaboration, 2002)</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Statin therapy also has compelling evidence regarding secondary prevention, with the first trial published in 1994 of over 4000 patients showing mortality reduction with statin therapy compared to placebo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{"citationID":"e8uJMfPM","properties":{"formattedCitation":"(Pedersen et al., 2004)","plainCitation":"(Pedersen et al., 2004)","dontUpdate":true,"noteIndex":0},"citationItems":[{"id":809,"uris":["http://zotero.org/users/local/k67tNDdX/items/3UGPMXRQ"],"uri":["http://zotero.org/users/local/k67tNDdX/items/3UGPMXRQ"],"itemData":{"id":809,"type":"article-journal","container-title":"Atherosclerosis. Supplements","DOI":"10.1016/j.atherosclerosissup.2004.08.027","ISSN":"1567-5688","issue":"3","journalAbbreviation":"Atheroscler Suppl","language":"eng","note":"PMID: 15531279","page":"81-87","source":"PubMed","title":"Randomised trial of cholesterol lowering in 4444 patients with coronary heart disease: the Scandinavian Simvastatin Survival Study (4S). 1994","title-short":"Randomised trial of cholesterol lowering in 4444 patients with coronary heart disease","volume":"5","author":[{"family":"Pedersen","given":"T. R."},{"family":"Kjekshus","given":"J."},{"family":"Berg","given":"K."},{"family":"Haghfelt","given":"T."},{"family":"Faergeman","given":"O."},{"family":"Faergeman","given":"G."},{"family":"Pyörälä","given":"K."},{"family":"Miettinen","given":"T."},{"family":"Wilhelmsen","given":"L."},{"family":"Olsson","given":"A. G."},{"family":"Wedel","given":"H."},{"literal":"Scandinavian Simvastatin Survival Study Group"}],"issued":{"date-parts":[["2004",10]]}}}],"schema":"https://github.com/citation-style-language/schema/raw/master/csl-citation.json"}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(Pedersen et al., 2004)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Further meta-analyses showed reduction in mortality and further ischaemic events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{"citationID":"vsM1YTjR","properties":{"formattedCitation":"(Cholesterol Treatment Trialists\\uc0\\u8217{} (CTT) Collaboration et al., 2010)","plainCitation":"(Cholesterol Treatment Trialists’ (CTT) Collaboration et al., 2010)","dontUpdate":true,"noteIndex":0},"citationItems":[{"id":246,"uris":["http://zotero.org/users/local/k67tNDdX/items/BYHCMGHB"],"uri":["http://zotero.org/users/local/k67tNDdX/items/BYHCMGHB"],"itemData":{"id":246,"type":"article-journal","abstract":"BACKGROUND: Lowering of LDL cholesterol with standard statin regimens reduces the risk of occlusive vascular events in a wide range of individuals. We aimed to assess the safety and efficacy of more intensive lowering of LDL cholesterol with statin therapy.\nMETHODS: We undertook meta-analyses of individual participant data from randomised trials involving at least 1000 participants and at least 2 years' treatment duration of more versus less intensive statin regimens (five trials; 39 612 individuals; median follow-up 5·1 years) and of statin versus control (21 trials; 129 526 individuals; median follow-up 4·8 years). For each type of trial, we calculated not only the average risk reduction, but also the average risk reduction per 1·0 mmol/L LDL cholesterol reduction at 1 year after randomisation.\nFINDINGS: In the trials of more versus less intensive statin therapy, the weighted mean further reduction in LDL cholesterol at 1 year was 0·51 mmol/L. Compared with less intensive regimens, more intensive regimens produced a highly significant 15% (95% CI 11-18; p&lt;0·0001) further reduction in major vascular events, consisting of separately significant reductions in coronary death or non-fatal myocardial infarction of 13% (95% CI 7-19; p&lt;0·0001), in coronary revascularisation of 19% (95% CI 15-24; p&lt;0·0001), and in ischaemic stroke of 16% (95% CI 5-26; p=0·005). Per 1·0 mmol/L reduction in LDL cholesterol, these further reductions in risk were similar to the proportional reductions in the trials of statin versus control. When both types of trial were combined, similar proportional reductions in major vascular events per 1·0 mmol/L LDL cholesterol reduction were found in all types of patient studied (rate ratio [RR] 0·78, 95% CI 0·76-0·80; p&lt;0·0001), including those with LDL cholesterol lower than 2 mmol/L on the less intensive or control regimen. Across all 26 trials, all-cause mortality was reduced by 10% per 1·0 mmol/L LDL reduction (RR 0·90, 95% CI 0·87-0·93; p&lt;0·0001), largely reflecting significant reductions in deaths due to coronary heart disease (RR 0·80, 99% CI 0·74-0·87; p&lt;0·0001) and other cardiac causes (RR 0·89, 99% CI 0·81-0·98; p=0·002), with no significant effect on deaths due to stroke (RR 0·96, 95% CI 0·84-1·09; p=0·5) or other vascular causes (RR 0·98, 99% CI 0·81-1·18; p=0·8). No significant effects were observed on deaths due to cancer or other non-vascular causes (RR 0·97, 95% CI 0·92-1·03; p=0·3) or on cancer incidence (RR 1·00, 95% CI 0·96-1·04; p=0·9), even at low LDL cholesterol concentrations.\nINTERPRETATION: Further reductions in LDL cholesterol safely produce definite further reductions in the incidence of heart attack, of revascularisation, and of ischaemic stroke, with each 1·0 mmol/L reduction reducing the annual rate of these major vascular events by just over a fifth. There was no evidence of any threshold within the cholesterol range studied, suggesting that reduction of LDL cholesterol by 2-3 mmol/L would reduce risk by about 40-50%.\nFUNDING: UK Medical Research Council, British Heart Foundation, European Community Biomed Programme, Australian National Health and Medical Research Council, and National Heart Foundation.","container-title":"Lancet (London, England)","DOI":"10.1016/S0140-6736(10)61350-5","ISSN":"1474-547X","issue":"9753","journalAbbreviation":"Lancet","language":"eng","note":"PMID: 21067804\nPMCID: PMC2988224","page":"1670-1681","source":"PubMed","title":"Efficacy and safety of more intensive lowering of LDL cholesterol: a meta-analysis of data from 170,000 participants in 26 randomised trials","title-short":"Efficacy and safety of more intensive lowering of LDL cholesterol","volume":"376","author":[{"literal":"Cholesterol Treatment Trialists’ (CTT) Collaboration"},{"family":"Baigent","given":"C."},{"family":"Blackwell","given":"L."},{"family":"Emberson","given":"J."},{"family":"Holland","given":"L. E."},{"family":"Reith","given":"C."},{"family":"Bhala","given":"N."},{"family":"Peto","given":"R."},{"family":"Barnes","given":"E. H."},{"family":"Keech","given":"A."},{"family":"Simes","given":"J."},{"family":"Collins","given":"R."}],"issued":{"date-parts":[["2010",11,13]]}}}],"schema":"https://github.com/citation-style-language/schema/raw/master/csl-citation.json"}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(Cholesterol Treatment Trialists’ (CTT) Collaboration et al., 2010)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38DEFF4A" w14:textId="77777777" w:rsidR="00EE0859" w:rsidRPr="00EC6C19" w:rsidRDefault="00EE0859" w:rsidP="00B200E6">
      <w:pPr>
        <w:spacing w:line="360" w:lineRule="auto"/>
        <w:rPr>
          <w:rFonts w:ascii="Times New Roman" w:hAnsi="Times New Roman" w:cs="Times New Roman"/>
          <w:sz w:val="24"/>
          <w:szCs w:val="24"/>
        </w:rPr>
      </w:pPr>
    </w:p>
    <w:p w14:paraId="5DF49777" w14:textId="77777777" w:rsidR="00B200E6" w:rsidRPr="00EC6C19" w:rsidRDefault="00B200E6" w:rsidP="00B200E6">
      <w:pPr>
        <w:spacing w:line="360" w:lineRule="auto"/>
        <w:jc w:val="both"/>
        <w:rPr>
          <w:rFonts w:ascii="Times New Roman" w:hAnsi="Times New Roman" w:cs="Times New Roman"/>
          <w:sz w:val="24"/>
          <w:szCs w:val="24"/>
        </w:rPr>
      </w:pPr>
    </w:p>
    <w:p w14:paraId="0B63AB6B" w14:textId="77777777" w:rsidR="00B200E6" w:rsidRPr="00EC6C19" w:rsidRDefault="00B200E6">
      <w:pPr>
        <w:rPr>
          <w:rFonts w:ascii="Times New Roman" w:hAnsi="Times New Roman" w:cs="Times New Roman"/>
          <w:b/>
          <w:sz w:val="24"/>
          <w:szCs w:val="24"/>
          <w:u w:val="single"/>
        </w:rPr>
      </w:pPr>
    </w:p>
    <w:p w14:paraId="09B3CCAA" w14:textId="77777777" w:rsidR="00B200E6" w:rsidRPr="00EC6C19" w:rsidRDefault="00B200E6">
      <w:pPr>
        <w:rPr>
          <w:rFonts w:ascii="Times New Roman" w:hAnsi="Times New Roman" w:cs="Times New Roman"/>
          <w:b/>
          <w:sz w:val="24"/>
          <w:szCs w:val="24"/>
          <w:u w:val="single"/>
        </w:rPr>
      </w:pPr>
    </w:p>
    <w:p w14:paraId="51BF505A" w14:textId="77777777" w:rsidR="00B200E6" w:rsidRPr="00EC6C19" w:rsidRDefault="00B200E6">
      <w:pPr>
        <w:rPr>
          <w:rFonts w:ascii="Times New Roman" w:hAnsi="Times New Roman" w:cs="Times New Roman"/>
          <w:b/>
          <w:sz w:val="24"/>
          <w:szCs w:val="24"/>
          <w:u w:val="single"/>
        </w:rPr>
      </w:pPr>
    </w:p>
    <w:p w14:paraId="337A682F" w14:textId="77777777" w:rsidR="00B200E6" w:rsidRPr="00EC6C19" w:rsidRDefault="00B200E6">
      <w:pPr>
        <w:rPr>
          <w:rFonts w:ascii="Times New Roman" w:hAnsi="Times New Roman" w:cs="Times New Roman"/>
          <w:b/>
          <w:sz w:val="24"/>
          <w:szCs w:val="24"/>
        </w:rPr>
      </w:pPr>
    </w:p>
    <w:p w14:paraId="79FBA498" w14:textId="77777777" w:rsidR="00B200E6" w:rsidRPr="00EC6C19" w:rsidRDefault="00B200E6">
      <w:pPr>
        <w:rPr>
          <w:rFonts w:ascii="Times New Roman" w:hAnsi="Times New Roman" w:cs="Times New Roman"/>
          <w:b/>
          <w:sz w:val="24"/>
          <w:szCs w:val="24"/>
        </w:rPr>
      </w:pPr>
    </w:p>
    <w:p w14:paraId="45E64D09" w14:textId="77777777" w:rsidR="00B200E6" w:rsidRPr="00EC6C19" w:rsidRDefault="00B200E6">
      <w:pPr>
        <w:rPr>
          <w:rFonts w:ascii="Times New Roman" w:hAnsi="Times New Roman" w:cs="Times New Roman"/>
          <w:b/>
          <w:sz w:val="24"/>
          <w:szCs w:val="24"/>
        </w:rPr>
      </w:pPr>
    </w:p>
    <w:p w14:paraId="2F2628D0" w14:textId="77777777" w:rsidR="00B200E6" w:rsidRPr="00EC6C19" w:rsidRDefault="00B200E6">
      <w:pPr>
        <w:rPr>
          <w:rFonts w:ascii="Times New Roman" w:hAnsi="Times New Roman" w:cs="Times New Roman"/>
          <w:b/>
          <w:sz w:val="24"/>
          <w:szCs w:val="24"/>
        </w:rPr>
      </w:pPr>
    </w:p>
    <w:p w14:paraId="65F88588" w14:textId="77777777" w:rsidR="00B200E6" w:rsidRPr="00EC6C19" w:rsidRDefault="00B200E6">
      <w:pPr>
        <w:rPr>
          <w:rFonts w:ascii="Times New Roman" w:hAnsi="Times New Roman" w:cs="Times New Roman"/>
          <w:b/>
          <w:sz w:val="24"/>
          <w:szCs w:val="24"/>
        </w:rPr>
      </w:pPr>
    </w:p>
    <w:p w14:paraId="0A27A7AC" w14:textId="77777777" w:rsidR="00B200E6" w:rsidRPr="00EC6C19" w:rsidRDefault="00B200E6">
      <w:pPr>
        <w:rPr>
          <w:rFonts w:ascii="Times New Roman" w:hAnsi="Times New Roman" w:cs="Times New Roman"/>
          <w:b/>
          <w:sz w:val="24"/>
          <w:szCs w:val="24"/>
        </w:rPr>
      </w:pPr>
    </w:p>
    <w:p w14:paraId="2E582F3A" w14:textId="77777777" w:rsidR="00B200E6" w:rsidRPr="00EC6C19" w:rsidRDefault="00B200E6">
      <w:pPr>
        <w:rPr>
          <w:rFonts w:ascii="Times New Roman" w:hAnsi="Times New Roman" w:cs="Times New Roman"/>
          <w:b/>
          <w:sz w:val="24"/>
          <w:szCs w:val="24"/>
        </w:rPr>
      </w:pPr>
    </w:p>
    <w:p w14:paraId="08189153" w14:textId="06AE9BC0" w:rsidR="00B200E6" w:rsidRDefault="00B200E6">
      <w:pPr>
        <w:rPr>
          <w:rFonts w:ascii="Times New Roman" w:hAnsi="Times New Roman" w:cs="Times New Roman"/>
          <w:b/>
          <w:sz w:val="24"/>
          <w:szCs w:val="24"/>
        </w:rPr>
      </w:pPr>
    </w:p>
    <w:p w14:paraId="7399C11B" w14:textId="77777777" w:rsidR="00CA2686" w:rsidRPr="00EC6C19" w:rsidRDefault="00CA2686">
      <w:pPr>
        <w:rPr>
          <w:rFonts w:ascii="Times New Roman" w:hAnsi="Times New Roman" w:cs="Times New Roman"/>
          <w:b/>
          <w:sz w:val="24"/>
          <w:szCs w:val="24"/>
        </w:rPr>
      </w:pPr>
    </w:p>
    <w:p w14:paraId="318BDB0B" w14:textId="77777777" w:rsidR="00B200E6" w:rsidRPr="00EC6C19" w:rsidRDefault="00B200E6">
      <w:pPr>
        <w:rPr>
          <w:rFonts w:ascii="Times New Roman" w:hAnsi="Times New Roman" w:cs="Times New Roman"/>
          <w:b/>
          <w:sz w:val="24"/>
          <w:szCs w:val="24"/>
        </w:rPr>
      </w:pPr>
    </w:p>
    <w:p w14:paraId="5D5F102F" w14:textId="77777777" w:rsidR="00960536" w:rsidRPr="003F208B" w:rsidRDefault="00960536" w:rsidP="003F208B">
      <w:pPr>
        <w:pStyle w:val="Heading1"/>
        <w:rPr>
          <w:rFonts w:ascii="Times New Roman" w:hAnsi="Times New Roman" w:cs="Times New Roman"/>
          <w:color w:val="auto"/>
          <w:sz w:val="24"/>
          <w:szCs w:val="24"/>
        </w:rPr>
      </w:pPr>
      <w:bookmarkStart w:id="256" w:name="_Toc80302305"/>
      <w:r w:rsidRPr="003F208B">
        <w:rPr>
          <w:rFonts w:ascii="Times New Roman" w:hAnsi="Times New Roman" w:cs="Times New Roman"/>
          <w:color w:val="auto"/>
          <w:sz w:val="24"/>
          <w:szCs w:val="24"/>
        </w:rPr>
        <w:t>Appendix B - Risks of Percutaneous Coronary Intervention</w:t>
      </w:r>
      <w:bookmarkEnd w:id="256"/>
    </w:p>
    <w:p w14:paraId="22FCB717" w14:textId="77777777" w:rsidR="00960536" w:rsidRPr="00EC6C19" w:rsidRDefault="003F208B">
      <w:pPr>
        <w:rPr>
          <w:rFonts w:ascii="Times New Roman" w:hAnsi="Times New Roman" w:cs="Times New Roman"/>
          <w:b/>
          <w:sz w:val="24"/>
          <w:szCs w:val="24"/>
        </w:rPr>
      </w:pPr>
      <w:r>
        <w:rPr>
          <w:rFonts w:ascii="Times New Roman" w:hAnsi="Times New Roman" w:cs="Times New Roman"/>
          <w:b/>
          <w:sz w:val="24"/>
          <w:szCs w:val="24"/>
        </w:rPr>
        <w:br/>
      </w:r>
    </w:p>
    <w:p w14:paraId="5408A2EE" w14:textId="77777777" w:rsidR="00960536" w:rsidRPr="00EC6C19" w:rsidRDefault="00960536" w:rsidP="00960536">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Death</w:t>
      </w:r>
    </w:p>
    <w:p w14:paraId="6A5F596D" w14:textId="77777777" w:rsidR="00960536" w:rsidRPr="00EC6C19" w:rsidRDefault="00960536" w:rsidP="00960536">
      <w:pPr>
        <w:spacing w:line="360" w:lineRule="auto"/>
        <w:rPr>
          <w:rFonts w:ascii="Times New Roman" w:hAnsi="Times New Roman" w:cs="Times New Roman"/>
          <w:i/>
          <w:sz w:val="24"/>
          <w:szCs w:val="24"/>
        </w:rPr>
      </w:pPr>
    </w:p>
    <w:p w14:paraId="66F6AA0C" w14:textId="77777777" w:rsidR="00960536" w:rsidRPr="00EC6C19" w:rsidRDefault="00960536" w:rsidP="0096053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rate of death is higher than basic angiography alone, and also dependent on the clinical context. From large volume United States registry data sets, elective PCI mortality was 0.65% compared to 4.81% in STEMI patients. Overall mortality was 1.27%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{"citationID":"MoRtiGFH","properties":{"formattedCitation":"(Anderson et al., 2007)","plainCitation":"(Anderson et al., 2007)","noteIndex":0},"citationItems":[{"id":436,"uris":["http://zotero.org/users/local/k67tNDdX/items/6UC3XGQS"],"uri":["http://zotero.org/users/local/k67tNDdX/items/6UC3XGQS"],"itemData":{"id":436,"type":"article-journal","abstract":"An American College of Cardiology (ACC)/American Heart Association (AHA) task force on practice guidelines in 2001 published evidence-based recommendations for performing percutaneous coronary interventions (PCIs). These guidelines grouped the indications for PCI into 4 classes (I, IIa, IIb, and III) based on analyses of risks and benefits. In a previous study, we found that clinical success and in-hospital adverse events varied by indications class. However, no adjustment for risk was used in those comparisons. The ACC/National Cardiovascular Data Registry (ACC-NCDR) previously developed a risk-adjustment model for the adverse event of in-hospital PCI mortality. We investigated how the 14 individual risk factors in the ACC-NCDR PCI mortality model might differ across the 4 indications classes and whether estimated mortality for each class approximated the observed mortality for that class. We analyzed the ACC-NCDR PCI database for January 1, 2001 to December 31, 2004. We excluded procedures performed for treatment of acute ST-segment elevation myocardial infarction; all others were included, yielding 559,273 procedures for analysis. An algorithm derived from the 2001 guidelines was used to assign procedures to an indications class. Increasing frequencies of risk components were observed across classes I, IIa, IIb, and III. Expected mortalities for each class calculated by the risk-adjustment model were close to observed values (expected 0.52%, 0.59%, 1.72%, and 1.96%, respectively; observed 0.49%, 0.63%, 1.88%, and 1.60%, respectively). In conclusion, the ACC-NCDR risk-adjusted mortality model can be linked to the ACC/AHA PCI guidelines, and together these produce mortality risk estimates by indications classes that are close to actual observed values. With further refinement, these methods should be able to be used as powerful analytic tools for quality assurance and appropriateness purposes.","container-title":"The American Journal of Cardiology","DOI":"10.1016/j.amjcard.2006.07.083","ISSN":"0002-9149","issue":"2","journalAbbreviation":"Am. J. Cardiol.","language":"eng","note":"PMID: 17223417","page":"189-196","source":"PubMed","title":"Risk-adjusted mortality analysis of percutaneous coronary interventions by American College of Cardiology/American Heart Association guidelines recommendations","volume":"99","author":[{"family":"Anderson","given":"H. Vernon"},{"family":"Shaw","given":"Richard E."},{"family":"Brindis","given":"Ralph G."},{"family":"McKay","given":"Charles R."},{"family":"Klein","given":"Lloyd W."},{"family":"Krone","given":"Ronald J."},{"family":"Ho","given":"Kalon K. L."},{"family":"Rumsfeld","given":"John S."},{"family":"Smith","given":"Sidney C."},{"family":"Weintraub","given":"William S."}],"issued":{"date-parts":[["2007",1,15]]}}}],"schema":"https://github.com/citation-style-language/schema/raw/master/csl-citation.json"}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(Anderson et al., 2007)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Of course advances in technology over time may have reduced this number in today's clinical practice.</w:t>
      </w:r>
    </w:p>
    <w:p w14:paraId="1FE68D71" w14:textId="77777777" w:rsidR="00960536" w:rsidRPr="00EC6C19" w:rsidRDefault="00960536" w:rsidP="00960536">
      <w:pPr>
        <w:spacing w:line="360" w:lineRule="auto"/>
        <w:rPr>
          <w:rFonts w:ascii="Times New Roman" w:hAnsi="Times New Roman" w:cs="Times New Roman"/>
          <w:sz w:val="24"/>
          <w:szCs w:val="24"/>
        </w:rPr>
      </w:pPr>
    </w:p>
    <w:p w14:paraId="6ACCDDEC" w14:textId="77777777" w:rsidR="00960536" w:rsidRPr="00EC6C19" w:rsidRDefault="00960536" w:rsidP="00960536">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Myocardial Infarction</w:t>
      </w:r>
    </w:p>
    <w:p w14:paraId="506A9793" w14:textId="77777777" w:rsidR="00960536" w:rsidRPr="00EC6C19" w:rsidRDefault="00960536" w:rsidP="00960536">
      <w:pPr>
        <w:spacing w:line="360" w:lineRule="auto"/>
        <w:rPr>
          <w:rFonts w:ascii="Times New Roman" w:hAnsi="Times New Roman" w:cs="Times New Roman"/>
          <w:sz w:val="24"/>
          <w:szCs w:val="24"/>
        </w:rPr>
      </w:pPr>
    </w:p>
    <w:p w14:paraId="2445D186" w14:textId="77777777" w:rsidR="00960536" w:rsidRPr="00EC6C19" w:rsidRDefault="00960536" w:rsidP="0096053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The reported rates of peri-procedural myocardial infarction are highly variable. They are linked with multiple factors including age, burden of atherosclerosis, lesion and procedure complexity and procedural complications such as dissection and vessel closure. Depending on the diagnostic criteria used, rates of peri-procedural myocardial infarction are on average 25%, but can range from 0-70%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{"citationID":"2zxn2qOi","properties":{"formattedCitation":"(Herrmann, 2005)","plainCitation":"(Herrmann, 2005)","noteIndex":0},"citationItems":[{"id":440,"uris":["http://zotero.org/users/local/k67tNDdX/items/EQTHEDPN"],"uri":["http://zotero.org/users/local/k67tNDdX/items/EQTHEDPN"],"itemData":{"id":440,"type":"article-journal","abstract":"During the past three decades, percutaneous coronary intervention has become one of the cardinal treatment strategies for stenotic coronary artery disease. Technical advances, including the introduction of new devices such as stents, have expanded the interventional capabilities of balloon angioplasty. At the same time, there has been a decline in the rate of major adverse cardiac events, including Q-wave acute myocardial infarction, emergency coronary artery bypass grafting, and cardiac death. Despite these advances, the incidence of post-procedural cardiac marker elevation has not substantially decreased since the first serial assessment 20 years ago. As of now, these post-procedural cardiac marker elevations are considered to represent peri-procedural myocardial injury (PMI) with worse long-term outcome potential. Recent progress has been made for the identification of two main PMI patterns, one near the intervention site (proximal type, PMI type I) and one in the distal perfusion territory of the treated coronary artery (distal type, PMI type II) as well as for preventive strategies. Integrating these new developments into the wealth of clinical information on this topic, this review aims at giving a current perspective on the entity of PMI.","container-title":"European Heart Journal","DOI":"10.1093/eurheartj/ehi455","ISSN":"0195-668X","issue":"23","journalAbbreviation":"Eur Heart J","language":"en","page":"2493-2519","source":"academic.oup.com","title":"Peri-procedural myocardial injury: 2005 update","title-short":"Peri-procedural myocardial injury","volume":"26","author":[{"family":"Herrmann","given":"Joerg"}],"issued":{"date-parts":[["2005",12,1]]}}}],"schema":"https://github.com/citation-style-language/schema/raw/master/csl-citation.json"}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(Herrmann, 2005)</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Presentation is often clinically silent, but some studies have linked peri-procedural myocardial infarction with increased long term risks of cardiac mortality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{"citationID":"7Xg5w6Iy","properties":{"formattedCitation":"(Fuchs et al., 2001)","plainCitation":"(Fuchs et al., 2001)","noteIndex":0},"citationItems":[{"id":443,"uris":["http://zotero.org/users/local/k67tNDdX/items/T8BGDLNI"],"uri":["http://zotero.org/users/local/k67tNDdX/items/T8BGDLNI"],"itemData":{"id":443,"type":"article-journal","container-title":"American Journal of Cardiology","DOI":"10.1016/S0002-9149(01)01606-X","ISSN":"0002-9149, 1879-1913","issue":"2","journalAbbreviation":"American Journal of Cardiology","language":"English","note":"PMID: 11448408","page":"129-133","source":"www.ajconline.org","title":"Prognostic value of cardiac troponin I re-elevation following percutaneous coronary intervention in high-risk patients with acute coronary syndromes","volume":"88","author":[{"family":"Fuchs","given":"Shmuel"},{"family":"Gruberg","given":"Luis"},{"family":"Singh","given":"Sandeep"},{"family":"Stabile","given":"Eugenio"},{"family":"Duncan","given":"Charles"},{"family":"Wu","given":"Hongsheng"},{"family":"Waksman","given":"Ron"},{"family":"Satler","given":"Lowell F."},{"family":"Pichard","given":"Augusto D."},{"family":"Kent","given":"Kenneth M."},{"family":"Kornowski","given":"Ran"}],"issued":{"date-parts":[["2001",7,15]]}}}],"schema":"https://github.com/citation-style-language/schema/raw/master/csl-citation.json"}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(Fuchs et al., 2001)</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There appears to be two major type of infarction, namely proximal (type I) distal (type II). In proximal type infarctions, local occlusion of a side branch causes infarction at that local site, whereas type II infarction is caused by distal embolisation of thrombus, which can be seen on subsequent cardiac magnetic resonance imaging (MRI)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{"citationID":"ic2x8adq","properties":{"formattedCitation":"(Choi et al., 2004)","plainCitation":"(Choi et al., 2004)","noteIndex":0},"citationItems":[{"id":446,"uris":["http://zotero.org/users/local/k67tNDdX/items/LSMEREVX"],"uri":["http://zotero.org/users/local/k67tNDdX/items/LSMEREVX"],"itemData":{"id":446,"type":"article-journal","abstract":"Contrast-enhanced cardiac MRI (ceMRI) and TIMI myocardial perfusion grade analysis (TMPG) are proven methods for visualization of microinfarction and assessment of microvascular perfusion, respectively. To determine whether microvascular obstruction accounts for procedure-related myonecrosis, 14 poststent patients, 9 with procedural CK-MB elevation and 5 controls, underwent ceMRI and TMPG. All had TIMI 3 flow pre- and poststent. TMPG was normal in 12/14 pre- and 7/14 poststent. Those with poststent decline in TMPG had higher CK-MB (median, 41.0 vs. 7.4 ng/mL; P = 0.01) and larger infarct mass (median, 3.1 vs. 0.89 g; P = 0.04). More extensive myonecrosis (CK-MB &gt; 3 × normal; infarct mass &gt; 3 g) was observed more frequently if there was a poststent decline in TMPG (3/3, 100%, vs. 2/11, 18.2%; P = 0.03). These data support the theory that distal embolization and microvascular obstruction are associated with myonecrosis following otherwise successful coronary stent placement and provide further insight into its pathophysiology. Catheter Cardiovasc Interv 2004;61:472–476. © 2004 Wiley-Liss, Inc.","container-title":"Catheterization and Cardiovascular Interventions","DOI":"10.1002/ccd.20024","ISSN":"1522-726X","issue":"4","language":"en","page":"472-476","source":"Wiley Online Library","title":"Myonecrosis following stent placement: Association between impaired TIMI myocardial perfusion grade and MRI visualization of microinfarction","title-short":"Myonecrosis following stent placement","volume":"61","author":[{"family":"Choi","given":"James W."},{"family":"Gibson","given":"C. Michael"},{"family":"Murphy","given":"Sabina A."},{"family":"Davidson","given":"Charles J."},{"family":"Kim","given":"Raymond J."},{"family":"Ricciardi","given":"Mark J."}],"issued":{"date-parts":[["2004",4,1]]}}}],"schema":"https://github.com/citation-style-language/schema/raw/master/csl-citation.json"}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(Choi et al., 2004)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p>
    <w:p w14:paraId="2583C378" w14:textId="77777777" w:rsidR="00960536" w:rsidRPr="00EC6C19" w:rsidRDefault="00960536" w:rsidP="00960536">
      <w:pPr>
        <w:rPr>
          <w:rFonts w:ascii="Times New Roman" w:hAnsi="Times New Roman" w:cs="Times New Roman"/>
          <w:i/>
          <w:sz w:val="24"/>
          <w:szCs w:val="24"/>
        </w:rPr>
      </w:pPr>
    </w:p>
    <w:p w14:paraId="4AEE9880" w14:textId="77777777" w:rsidR="00960536" w:rsidRPr="00EC6C19" w:rsidRDefault="00960536" w:rsidP="00960536">
      <w:pPr>
        <w:rPr>
          <w:rFonts w:ascii="Times New Roman" w:hAnsi="Times New Roman" w:cs="Times New Roman"/>
          <w:i/>
          <w:sz w:val="24"/>
          <w:szCs w:val="24"/>
        </w:rPr>
      </w:pPr>
      <w:r w:rsidRPr="00EC6C19">
        <w:rPr>
          <w:rFonts w:ascii="Times New Roman" w:hAnsi="Times New Roman" w:cs="Times New Roman"/>
          <w:i/>
          <w:sz w:val="24"/>
          <w:szCs w:val="24"/>
        </w:rPr>
        <w:t>Stroke / Cerebrovascular Event</w:t>
      </w:r>
    </w:p>
    <w:p w14:paraId="3E5D5266" w14:textId="77777777" w:rsidR="00960536" w:rsidRPr="00EC6C19" w:rsidRDefault="00960536" w:rsidP="00960536">
      <w:pPr>
        <w:rPr>
          <w:rFonts w:ascii="Times New Roman" w:hAnsi="Times New Roman" w:cs="Times New Roman"/>
          <w:i/>
          <w:sz w:val="24"/>
          <w:szCs w:val="24"/>
        </w:rPr>
      </w:pPr>
    </w:p>
    <w:p w14:paraId="1D2EDC1D" w14:textId="77777777" w:rsidR="00960536" w:rsidRPr="00EC6C19" w:rsidRDefault="00960536" w:rsidP="0096053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Due to the nature of coronary intervention, the rate of stroke is higher when compared to diagnostic angiography. A large study of over twenty thousand patients demonstrated an incidence of 0.3% for cerebrovascular events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{"citationID":"biV6DRiz","properties":{"formattedCitation":"(Dukkipati et al., 2004)","plainCitation":"(Dukkipati et al., 2004)","noteIndex":0},"citationItems":[{"id":448,"uris":["http://zotero.org/users/local/k67tNDdX/items/I8ZSMCGZ"],"uri":["http://zotero.org/users/local/k67tNDdX/items/I8ZSMCGZ"],"itemData":{"id":448,"type":"article-journal","abstract":"OBJECTIVES: We sought to identify the incidence, predictors, and clinical implications of cerebrovascular accidents (CVAs) after percutaneous coronary interventions (PCIs).\nBACKGROUND: Cerebrovascular accidents after PCI, although rare, can be devastating. Limited information exists regarding the characterization of this complication.\nMETHODS: The study population comprised 20,679 patients who underwent PCI between September 1993 and April 2002. A CVA was defined as a composite of transient ischemic attack (TIA) and stroke. The characteristics of those who had a periprocedural CVA were compared with those who did not.\nRESULTS: A CVA occurred in 92 patients (0.30% of procedures). Of these, TIA occurred in 13 patients (0.04%) and stroke in 79 patients (0.25%). On multivariate analysis, patients with this complication more frequently had diabetes mellitus (adjusted odds ratio [OR] 1.8, 95% confidence interval [CI] 1.1 to 3.0; p = 0.013), hypertension (OR 1.9, 95% CI 1.1 to 3.3; p = 0.033), previous CVA (OR 2.3, 95% CI 1.3 to 4.0; p = 0.0059), and creatinine clearance &lt; or =40 ml/min (OR 3.1, 95% CI 1.8 to 5.2; p &lt; 0.0001). They underwent urgent or emergent procedures (OR 2.7, 95% CI 1.3 to 5.5; p = 0.0092) with more thrombolytic (OR 4.7, 95% CI 2.3 to 9.7; p &lt; 0.0001) and intravenous heparin (OR 1.9, 95% CI 1.1 to 3.4; p = 0.030) use before PCI, and they more often required emergent intra-aortic balloon pump placement (OR 2.2, 95% CI 1.1 to 4.3; p = 0.028). On multivariate analysis, CVA was independently associated with in-hospital death (OR 7.8, 95% CI 4.2 to 14.7; p &lt; 0.0001), acute renal failure (OR 2.8, 95% CI 1.4 to 5.7; p = 0.0042), and new dialysis (OR 3.73, 95% CI 1.01 to 13.8; p = 0.049) after PCI.\nCONCLUSIONS: Cerebrovascular accidents after PCI, although rare, are associated with high rates of in-hospital death and acute renal failure, often requiring dialysis.","container-title":"Journal of the American College of Cardiology","DOI":"10.1016/j.jacc.2003.11.033","ISSN":"0735-1097","issue":"7","journalAbbreviation":"J. Am. Coll. Cardiol.","language":"eng","note":"PMID: 15063423","page":"1161-1167","source":"PubMed","title":"Characteristics of cerebrovascular accidents after percutaneous coronary interventions","volume":"43","author":[{"family":"Dukkipati","given":"Srinivas"},{"family":"O'Neill","given":"William W."},{"family":"Harjai","given":"Kishore J."},{"family":"Sanders","given":"William P."},{"family":"Deo","given":"Datinder"},{"family":"Boura","given":"Judith A."},{"family":"Bartholomew","given":"Beth A."},{"family":"Yerkey","given":"Michael W."},{"family":"Sadeghi","given":"H. Mehrdad"},{"family":"Kahn","given":"Joel K."}],"issued":{"date-parts":[["2004",4,7]]}}}],"schema":"https://github.com/citation-style-language/schema/raw/master/csl-citation.json"}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(Dukkipati et al., 2004)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Patients were also more likely to suffer an event if they suffered from diabetes, hypertension or previous strokes. The cause of ischaemic stroke during catheterisation is thought to be due to micro-embolism propagating into the cerebral circulation.</w:t>
      </w:r>
    </w:p>
    <w:p w14:paraId="29BEFBD5" w14:textId="77777777" w:rsidR="00960536" w:rsidRPr="00EC6C19" w:rsidRDefault="00960536" w:rsidP="00960536">
      <w:pPr>
        <w:spacing w:line="360" w:lineRule="auto"/>
        <w:rPr>
          <w:rFonts w:ascii="Times New Roman" w:hAnsi="Times New Roman" w:cs="Times New Roman"/>
          <w:sz w:val="24"/>
          <w:szCs w:val="24"/>
        </w:rPr>
      </w:pPr>
    </w:p>
    <w:p w14:paraId="1ECFF62B" w14:textId="77777777" w:rsidR="00960536" w:rsidRPr="00EC6C19" w:rsidRDefault="00960536" w:rsidP="00960536">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Coronary Dissection and Perforation</w:t>
      </w:r>
    </w:p>
    <w:p w14:paraId="2B2396A8" w14:textId="77777777" w:rsidR="00960536" w:rsidRPr="00EC6C19" w:rsidRDefault="00960536" w:rsidP="00960536">
      <w:pPr>
        <w:spacing w:line="360" w:lineRule="auto"/>
        <w:rPr>
          <w:rFonts w:ascii="Times New Roman" w:hAnsi="Times New Roman" w:cs="Times New Roman"/>
          <w:sz w:val="24"/>
          <w:szCs w:val="24"/>
        </w:rPr>
      </w:pPr>
    </w:p>
    <w:p w14:paraId="0F576601" w14:textId="77777777" w:rsidR="00960536" w:rsidRPr="00EC6C19" w:rsidRDefault="00960536" w:rsidP="0096053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Coronary damage is rarely seen in diagnostic procedures, and is often caused by aggressive guide catheter selection or intubation. In PCI, this is still a possibility, but coronary dissection and perforation are more often due to instrumentation of the artery in question, either with coronary guidewires, or dilatations balloons and stents themselves. The reported incidence is around 2% after stent implantation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{"citationID":"0SCjPnhh","properties":{"formattedCitation":"(Biondi-Zoccai et al., 2006)","plainCitation":"(Biondi-Zoccai et al., 2006)","noteIndex":0},"citationItems":[{"id":452,"uris":["http://zotero.org/users/local/k67tNDdX/items/GG6ZRP8Z"],"uri":["http://zotero.org/users/local/k67tNDdX/items/GG6ZRP8Z"],"itemData":{"id":452,"type":"article-journal","abstract":"Aims Coronary dissections left untreated after percutaneous coronary intervention are associated with unfavourable outcomes. However, their role after drug-eluting stent (DES) implantation is still undescribed. We assessed incidence, predictors, and outcomes of residual dissections in DES-treated lesions.Methods and results Consecutive patients undergoing DES implantation were enrolled in four Italian centres, with baseline, procedural, and outcome data entered into a dedicated database. Residual dissections were classified according to the National Heart Lung and Blood Institute criteria. End-points of interest were in-hospital, 1-month, and 6-month major adverse cardiovascular events (MACE, i.e. death, myocardial infarction, or target vessel revascularization), and stent thrombosis (ST). Among the 2418 included patients (4630 lesions), a total of 77 (1.7%) final dissections occurred in 67 (2.8%) subjects. Dissections were more frequent in longer and complex lesions and in the left anterior descending, and were associated with increased rates of in-hospital (11.9 vs. 5.2%, P=0.017) and 1-month MACE (13.4 vs. 6.0%, P=0.013), with similar 6-month trends. Cumulative ST was also greater in patients with dissections (6.3 vs. 1.3%, P=0.011). Even non-obstructive dissections with thrombolysis in myocardial infarction 3 flow conferred a significantly worse prognosis.Conclusion This study, reporting for the first time on incidence, predictors, and outcomes of residual dissections in DES-treated coronary lesions, demonstrates their adverse clinical impact and supports the pursuit of a strategy of sealing dissection flaps with other DES.","container-title":"European Heart Journal","DOI":"10.1093/eurheartj/ehi618","ISSN":"0195-668X","issue":"5","journalAbbreviation":"Eur Heart J","language":"en","page":"540-546","source":"academic.oup.com","title":"Incidence, predictors, and outcomes of coronary dissections left untreated after drug-eluting stent implantation","volume":"27","author":[{"family":"Biondi-Zoccai","given":"Giuseppe G. L."},{"family":"Agostoni","given":"Pierfrancesco"},{"family":"Sangiorgi","given":"Giuseppe M."},{"family":"Airoldi","given":"Flavio"},{"family":"Cosgrave","given":"John"},{"family":"Chieffo","given":"Alaide"},{"family":"Barbagallo","given":"Rossella"},{"family":"Tamburino","given":"Corrado"},{"family":"Vittori","given":"Guido"},{"family":"Falchetti","given":"Elena"},{"family":"Margheri","given":"Massimo"},{"family":"Briguori","given":"Carlo"},{"family":"Remigi","given":"Enrico"},{"family":"Iakovou","given":"Ioannis"},{"family":"Colombo","given":"Antonio"}],"issued":{"date-parts":[["2006",3,1]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(Biondi-Zoccai et al.,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Left untreated, they were associated with higher in hospital and 1 month rates of major adverse cardiac events (MACE-  mortality, myocardial infarction or coronary revascularisation).</w:t>
      </w:r>
    </w:p>
    <w:p w14:paraId="26F0E5F8" w14:textId="77777777" w:rsidR="00960536" w:rsidRPr="00EC6C19" w:rsidRDefault="00960536" w:rsidP="0096053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Coronary artery perforation is a more serious complication, and often caused by guidewire perforation. Incidence in most studies is &lt;1% but can range up to 3%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{"citationID":"dYqUnWRh","properties":{"formattedCitation":"(Nair and Roguin, 2006)","plainCitation":"(Nair and Roguin, 2006)","noteIndex":0},"citationItems":[{"id":450,"uris":["http://zotero.org/users/local/k67tNDdX/items/CHC2ZRZF"],"uri":["http://zotero.org/users/local/k67tNDdX/items/CHC2ZRZF"],"itemData":{"id":450,"type":"article-journal","abstract":"Coronary artery perforation is a serious complication of percutaneous coronary intervention (PCI). This review summarises the aetiology, incidence, current existing therapeutic options and outcome of coronary perforations given the advance in interventional techniques, devices and use of glycoprotein inhibitors (GP IIb/IIIa). Perforations are classified as Type 1, 2, or 3, as previously defined. Type 1 and 2 perforations are predominately caused by hydrophilic and stiff wires and do not require pericardial drainage or surgical intervention. Type 3 perforations are more often associated with stent and device use and can be initially managed by percutaneous methods.","container-title":"EuroIntervention: Journal of EuroPCR in Collaboration with the Working Group on Interventional Cardiology of the European Society of Cardiology","ISSN":"1774-024X","issue":"3","journalAbbreviation":"EuroIntervention","language":"eng","note":"PMID: 19755314","page":"363-370","source":"PubMed","title":"Coronary perforations","volume":"2","author":[{"family":"Nair","given":"Prashant"},{"family":"Roguin","given":"Ariel"}],"issued":{"date-parts":[["2006",11]]}}}],"schema":"https://github.com/citation-style-language/schema/raw/master/csl-citation.json"}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(Nair and Roguin,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use of advanced guidewires, especially in treatment of chronic total occlusions (CTO), may lead to an increase in incidence. Studies have not shown an increase in the current interventional era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{"citationID":"8ovwR7j0","properties":{"formattedCitation":"(Kiernan et al., 2009)","plainCitation":"(Kiernan et al., 2009)","noteIndex":0},"citationItems":[{"id":455,"uris":["http://zotero.org/users/local/k67tNDdX/items/IKZCSQPL"],"uri":["http://zotero.org/users/local/k67tNDdX/items/IKZCSQPL"],"itemData":{"id":455,"type":"article-journal","abstract":"BACKGROUND: Coronary perforations represent a serious complication of percutaneous coronary intervention (PCI).\nMETHODS: We performed a retrospective analysis of documented coronary perforations at Massachusetts General Hospital from 2000 to 2008. Medical records review and detailed angiographic analysis were performed in all patients.\nRESULTS: Sixty-eight cases of coronary perforation were identified from a total of 14,281 PCIs from March 2000 to March 2008 representing an overall incidence of 0.48%. The study cohort was predominantly male (61.8%), mean age 71+/-11 years with 78% representing acute cases (unstable angina: 36.8%, NSTEMI: 30.9%, STEMI: 10.3%). Coronary artery perforation occurred as a complication of wire manipulation in 45 patients (66.2%) with 88.9% of this group being hydrophilic wires, of coronary stenting in 11 (16.2%), of angioplasty alone in 6 (8.8%), and of rotational atherectomy in 8 (11.8%). The perforation was sealed with an angioplasty balloon alone in 16 patients (23.5%), and with stents in 14 patients (20.6%) (covered stents: 11.8% and noncovered stents: 8.8%). Emergency CABG was performed in 2 patients (2.9%). Five patients (7.4%) developed periprocedural MI. The in-hospital mortality rate was 5.9% in the study cohort.\nCONCLUSION: Coronary artery perforation as a complication of PCI is still rare as demonstrated in our series with an incidence of 0.48%. The predominant cause of coronary perforations in the current era of PCI is wire injury.","container-title":"Journal of Interventional Cardiology","DOI":"10.1111/j.1540-8183.2009.00469.x","ISSN":"1540-8183","issue":"4","journalAbbreviation":"J Interv Cardiol","language":"eng","note":"PMID: 19453819","page":"350-353","source":"PubMed","title":"Coronary artery perforations in the contemporary interventional era","volume":"22","author":[{"family":"Kiernan","given":"T. J."},{"family":"Yan","given":"B. P."},{"family":"Ruggiero","given":"N."},{"family":"Eisenberg","given":"J. D."},{"family":"Bernal","given":"J."},{"family":"Cubeddu","given":"R. J."},{"family":"Witzke","given":"C."},{"family":"Don","given":"C."},{"family":"Cruz-Gonzalez","given":"I."},{"family":"Rosenfield","given":"K."},{"family":"Pomersantev","given":"E."},{"family":"Palacios","given":"I."}],"issued":{"date-parts":[["2009",8]]}}}],"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(Kiernan et al., 2009)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Treatment varies from conservative observation, to stenting of the area of perforation to seal the leak, and in extreme cases CABG. The chance of needing CABG following coronary perforation is approximately 0.3%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{"citationID":"OwloBDK6","properties":{"formattedCitation":"(Nair and Roguin, 2006)","plainCitation":"(Nair and Roguin, 2006)","noteIndex":0},"citationItems":[{"id":450,"uris":["http://zotero.org/users/local/k67tNDdX/items/CHC2ZRZF"],"uri":["http://zotero.org/users/local/k67tNDdX/items/CHC2ZRZF"],"itemData":{"id":450,"type":"article-journal","abstract":"Coronary artery perforation is a serious complication of percutaneous coronary intervention (PCI). This review summarises the aetiology, incidence, current existing therapeutic options and outcome of coronary perforations given the advance in interventional techniques, devices and use of glycoprotein inhibitors (GP IIb/IIIa). Perforations are classified as Type 1, 2, or 3, as previously defined. Type 1 and 2 perforations are predominately caused by hydrophilic and stiff wires and do not require pericardial drainage or surgical intervention. Type 3 perforations are more often associated with stent and device use and can be initially managed by percutaneous methods.","container-title":"EuroIntervention: Journal of EuroPCR in Collaboration with the Working Group on Interventional Cardiology of the European Society of Cardiology","ISSN":"1774-024X","issue":"3","journalAbbreviation":"EuroIntervention","language":"eng","note":"PMID: 19755314","page":"363-370","source":"PubMed","title":"Coronary perforations","volume":"2","author":[{"family":"Nair","given":"Prashant"},{"family":"Roguin","given":"Ariel"}],"issued":{"date-parts":[["2006",11]]}}}],"schema":"https://github.com/citation-style-language/schema/raw/master/csl-citation.json"}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(Nair and Roguin, 2006)</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Cardiac tamponade may ensue in minutes with large perforation, necessitating pericardiocentesis.</w:t>
      </w:r>
    </w:p>
    <w:p w14:paraId="02B31804" w14:textId="77777777" w:rsidR="00960536" w:rsidRPr="00EC6C19" w:rsidRDefault="00960536" w:rsidP="0096053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Perforation is divided into three types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{"citationID":"LTIALYKC","properties":{"formattedCitation":"(Al-Mukhaini et al., 2011)","plainCitation":"(Al-Mukhaini et al., 2011)","noteIndex":0},"citationItems":[{"id":491,"uris":["http://zotero.org/users/local/k67tNDdX/items/I335E488"],"uri":["http://zotero.org/users/local/k67tNDdX/items/I335E488"],"itemData":{"id":491,"type":"article-journal","abstract":"Coronary perforation is a rare complication of percutaneous coronary intervention. We present two different types of coronary intervention, but both ending with coronary perforation. However, these perforations were tackled successfully by covered stents. This article reviews the incidence, causes, presentation, and management of coronary perforation in the present era of aggressive interventional cardiology. Coronary perforations are classified as type I (extraluminal crater), II (myocardial or pericardial blushing), and III (contrast streaming or cavity spilling). Types I and II coronary perforations are caused by stiff or hydrophilic guidewires. Type I has a benign prognosis, whereas type II coronary perforations have the potential to progress to tamponade. Type III coronary perforations are caused by balloons, stents, or other intracoronary devices and commonly lead to cardiac tamponade necessitating pericardial drainage. However, type III perforations can be managed with covered stents without need for surgical intervention.","container-title":"Heart Views: The Official Journal of the Gulf Heart Association","DOI":"10.4103/1995-705X.86017","ISSN":"0976-5123","issue":"2","journalAbbreviation":"Heart Views","language":"eng","note":"PMID: 22121463\nPMCID: PMC3221194","page":"63-70","source":"PubMed","title":"Coronary perforation and covered stents: an update and review","title-short":"Coronary perforation and covered stents","volume":"12","author":[{"family":"Al-Mukhaini","given":"Mohammed"},{"family":"Panduranga","given":"Prashanth"},{"family":"Sulaiman","given":"Kadhim"},{"family":"Riyami","given":"Abdulla Amour"},{"family":"Deeb","given":"Mohammed"},{"family":"Riyami","given":"Mohamed Barkat"}],"issued":{"date-parts":[["2011",4]]}}}],"schema":"https://github.com/citation-style-language/schema/raw/master/csl-citation.json"}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(Al-Mukhaini et al., 2011)</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2BACF86B" w14:textId="77777777" w:rsidR="00960536" w:rsidRPr="00EC6C19" w:rsidRDefault="00960536" w:rsidP="00960536">
      <w:pPr>
        <w:pStyle w:val="ListParagraph"/>
        <w:numPr>
          <w:ilvl w:val="0"/>
          <w:numId w:val="5"/>
        </w:numPr>
        <w:spacing w:line="360" w:lineRule="auto"/>
        <w:rPr>
          <w:rFonts w:ascii="Times New Roman" w:hAnsi="Times New Roman" w:cs="Times New Roman"/>
          <w:sz w:val="24"/>
          <w:szCs w:val="24"/>
        </w:rPr>
      </w:pPr>
      <w:r w:rsidRPr="00EC6C19">
        <w:rPr>
          <w:rFonts w:ascii="Times New Roman" w:hAnsi="Times New Roman" w:cs="Times New Roman"/>
          <w:b/>
          <w:sz w:val="24"/>
          <w:szCs w:val="24"/>
        </w:rPr>
        <w:t>Type 1</w:t>
      </w:r>
      <w:r w:rsidRPr="00EC6C19">
        <w:rPr>
          <w:rFonts w:ascii="Times New Roman" w:hAnsi="Times New Roman" w:cs="Times New Roman"/>
          <w:sz w:val="24"/>
          <w:szCs w:val="24"/>
        </w:rPr>
        <w:t xml:space="preserve"> - Extra luminal perforation without extravasation into surrounding tissue</w:t>
      </w:r>
    </w:p>
    <w:p w14:paraId="25C2E5BC" w14:textId="77777777" w:rsidR="00960536" w:rsidRPr="00EC6C19" w:rsidRDefault="00960536" w:rsidP="00960536">
      <w:pPr>
        <w:pStyle w:val="ListParagraph"/>
        <w:numPr>
          <w:ilvl w:val="0"/>
          <w:numId w:val="5"/>
        </w:numPr>
        <w:spacing w:line="360" w:lineRule="auto"/>
        <w:rPr>
          <w:rFonts w:ascii="Times New Roman" w:hAnsi="Times New Roman" w:cs="Times New Roman"/>
          <w:sz w:val="24"/>
          <w:szCs w:val="24"/>
        </w:rPr>
      </w:pPr>
      <w:r w:rsidRPr="00EC6C19">
        <w:rPr>
          <w:rFonts w:ascii="Times New Roman" w:hAnsi="Times New Roman" w:cs="Times New Roman"/>
          <w:b/>
          <w:sz w:val="24"/>
          <w:szCs w:val="24"/>
        </w:rPr>
        <w:t>Type 2</w:t>
      </w:r>
      <w:r w:rsidRPr="00EC6C19">
        <w:rPr>
          <w:rFonts w:ascii="Times New Roman" w:hAnsi="Times New Roman" w:cs="Times New Roman"/>
          <w:sz w:val="24"/>
          <w:szCs w:val="24"/>
        </w:rPr>
        <w:t xml:space="preserve"> - Perforation into pericardium or myocardium</w:t>
      </w:r>
    </w:p>
    <w:p w14:paraId="40F42501" w14:textId="77777777" w:rsidR="00960536" w:rsidRPr="00EC6C19" w:rsidRDefault="00960536" w:rsidP="00960536">
      <w:pPr>
        <w:pStyle w:val="ListParagraph"/>
        <w:numPr>
          <w:ilvl w:val="0"/>
          <w:numId w:val="5"/>
        </w:numPr>
        <w:spacing w:line="360" w:lineRule="auto"/>
        <w:rPr>
          <w:rFonts w:ascii="Times New Roman" w:hAnsi="Times New Roman" w:cs="Times New Roman"/>
          <w:sz w:val="24"/>
          <w:szCs w:val="24"/>
        </w:rPr>
      </w:pPr>
      <w:r w:rsidRPr="00EC6C19">
        <w:rPr>
          <w:rFonts w:ascii="Times New Roman" w:hAnsi="Times New Roman" w:cs="Times New Roman"/>
          <w:b/>
          <w:sz w:val="24"/>
          <w:szCs w:val="24"/>
        </w:rPr>
        <w:t>Type 3</w:t>
      </w:r>
      <w:r w:rsidRPr="00EC6C19">
        <w:rPr>
          <w:rFonts w:ascii="Times New Roman" w:hAnsi="Times New Roman" w:cs="Times New Roman"/>
          <w:sz w:val="24"/>
          <w:szCs w:val="24"/>
        </w:rPr>
        <w:t xml:space="preserve"> - Extravasation through a frank perforation, sometimes into an adjacent coronary cavity</w:t>
      </w:r>
    </w:p>
    <w:p w14:paraId="713C6AAE" w14:textId="77777777" w:rsidR="00960536" w:rsidRPr="00EC6C19" w:rsidRDefault="00960536" w:rsidP="00960536">
      <w:pPr>
        <w:spacing w:line="360" w:lineRule="auto"/>
        <w:rPr>
          <w:rFonts w:ascii="Times New Roman" w:hAnsi="Times New Roman" w:cs="Times New Roman"/>
          <w:sz w:val="24"/>
          <w:szCs w:val="24"/>
        </w:rPr>
      </w:pPr>
      <w:r w:rsidRPr="00EC6C19">
        <w:rPr>
          <w:rFonts w:ascii="Times New Roman" w:hAnsi="Times New Roman" w:cs="Times New Roman"/>
          <w:noProof/>
          <w:sz w:val="24"/>
          <w:szCs w:val="24"/>
          <w:lang w:eastAsia="en-GB"/>
        </w:rPr>
        <w:drawing>
          <wp:inline distT="0" distB="0" distL="0" distR="0" wp14:anchorId="31EE81A5" wp14:editId="25F0677E">
            <wp:extent cx="5943600" cy="5819775"/>
            <wp:effectExtent l="1905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srcRect/>
                    <a:stretch>
                      <a:fillRect/>
                    </a:stretch>
                  </pic:blipFill>
                  <pic:spPr bwMode="auto">
                    <a:xfrm>
                      <a:off x="0" y="0"/>
                      <a:ext cx="5943600" cy="5819775"/>
                    </a:xfrm>
                    <a:prstGeom prst="rect">
                      <a:avLst/>
                    </a:prstGeom>
                    <a:noFill/>
                    <a:ln w="9525">
                      <a:noFill/>
                      <a:miter lim="800000"/>
                      <a:headEnd/>
                      <a:tailEnd/>
                    </a:ln>
                  </pic:spPr>
                </pic:pic>
              </a:graphicData>
            </a:graphic>
          </wp:inline>
        </w:drawing>
      </w:r>
    </w:p>
    <w:p w14:paraId="35D594D1" w14:textId="77777777" w:rsidR="00960536" w:rsidRPr="00EC6C19" w:rsidRDefault="00960536" w:rsidP="00960536">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 xml:space="preserve"> Coronary perforation and types. Type I - into the wall of the artery, type II - into surrounding myocardium or pericardium, and type III - frank extravasation or into an adjacent cardiac cavity</w:t>
      </w:r>
    </w:p>
    <w:p w14:paraId="5DBAD64A" w14:textId="77777777" w:rsidR="00960536" w:rsidRPr="00EC6C19" w:rsidRDefault="00960536" w:rsidP="00960536">
      <w:pPr>
        <w:spacing w:line="360" w:lineRule="auto"/>
        <w:rPr>
          <w:rFonts w:ascii="Times New Roman" w:hAnsi="Times New Roman" w:cs="Times New Roman"/>
          <w:sz w:val="24"/>
          <w:szCs w:val="24"/>
        </w:rPr>
      </w:pPr>
    </w:p>
    <w:p w14:paraId="63BBAFD8" w14:textId="77777777" w:rsidR="00960536" w:rsidRPr="00EC6C19" w:rsidRDefault="00960536" w:rsidP="00960536">
      <w:pPr>
        <w:spacing w:line="360" w:lineRule="auto"/>
        <w:rPr>
          <w:rFonts w:ascii="Times New Roman" w:hAnsi="Times New Roman" w:cs="Times New Roman"/>
          <w:i/>
          <w:sz w:val="24"/>
          <w:szCs w:val="24"/>
        </w:rPr>
      </w:pPr>
      <w:r w:rsidRPr="00EC6C19">
        <w:rPr>
          <w:rFonts w:ascii="Times New Roman" w:hAnsi="Times New Roman" w:cs="Times New Roman"/>
          <w:i/>
          <w:sz w:val="24"/>
          <w:szCs w:val="24"/>
        </w:rPr>
        <w:t>Stent Thrombosis</w:t>
      </w:r>
    </w:p>
    <w:p w14:paraId="3255DEF1" w14:textId="77777777" w:rsidR="00960536" w:rsidRPr="00EC6C19" w:rsidRDefault="00960536" w:rsidP="00960536">
      <w:pPr>
        <w:spacing w:line="360" w:lineRule="auto"/>
        <w:rPr>
          <w:rFonts w:ascii="Times New Roman" w:hAnsi="Times New Roman" w:cs="Times New Roman"/>
          <w:sz w:val="24"/>
          <w:szCs w:val="24"/>
        </w:rPr>
      </w:pPr>
      <w:r w:rsidRPr="00EC6C19">
        <w:rPr>
          <w:rFonts w:ascii="Times New Roman" w:hAnsi="Times New Roman" w:cs="Times New Roman"/>
          <w:sz w:val="24"/>
          <w:szCs w:val="24"/>
        </w:rPr>
        <w:br/>
        <w:t xml:space="preserve">Balloon angioplasty was plagued by acute vessel closure, leading to the implementation of stent technology. The early bare metal stents were then found to have a high rate of restenosis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{"citationID":"npbyTemt","properties":{"formattedCitation":"(Serruys et al., 1994)","plainCitation":"(Serruys et al., 1994)","dontUpdate":true,"noteIndex":0},"citationItems":[{"id":344,"uris":["http://zotero.org/users/local/k67tNDdX/items/ADWQ3CLZ"],"uri":["http://zotero.org/users/local/k67tNDdX/items/ADWQ3CLZ"],"itemData":{"id":344,"type":"article-journal","abstract":"BACKGROUND: Balloon-expandable coronary-artery stents were developed to prevent coronary restenosis after coronary angioplasty. These devices hold coronary vessels open at sites that have been dilated. However, it is unknown whether stenting improves long-term angiographic and clinical outcomes as compared with standard balloon angioplasty.\nMETHODS: A total of 520 patients with stable angina and a single coronary-artery lesion were randomly assigned to either stent implantation (262 patients) or standard balloon angioplasty (258 patients). The primary clinical end points were death, the occurrence of a cerebrovascular accident, myocardial infarction, the need for coronary-artery bypass surgery, or a second percutaneous intervention involving the previously treated lesion, either at the time of the initial procedure or during the subsequent seven months. The primary angiographic end point was the minimal luminal diameter at follow-up, as determined by quantitative coronary angiography.\nRESULTS: After exclusions, 52 patients in the stent group (20 percent) and 76 patients in the angioplasty group (30 percent) reached a primary clinical end point (relative risk, 0.68; 95 percent confidence interval, 0.50 to 0.92; P = 0.02). The difference in clinical-event rates was explained mainly by a reduced need for a second coronary angioplasty in the stent group (relative risk, 0.58; 95 percent confidence interval, 0.40 to 0.85; P = 0.005). The mean (+/- SD) minimal luminal diameters immediately after the procedure were 2.48 +/- 0.39 mm in the stent group and 2.05 +/- 0.33 mm in the angioplasty group; at follow-up, the diameters were 1.82 +/- 0.64 mm in the stent group and 1.73 +/- 0.55 mm in the angioplasty group (P = 0.09), which correspond to rates of restenosis (diameter of stenosis, &gt; or = 50 percent) of 22 and 32 percent, respectively (P = 0.02). Peripheral vascular complications necessitating surgery, blood transfusion, or both were more frequent after stenting than after balloon angioplasty (13.5 vs. 3.1 percent, P &lt; 0.001). The mean hospital stay was significantly longer in the stent group than in the angioplasty group (8.5 vs. 3.1 days, P &lt; 0.001).\nCONCLUSIONS: Over seven months of follow-up, the clinical and angiographic outcomes were better in patients who received a stent than in those who received standard coronary angioplasty. However, this benefit was achieved at the cost of a significantly higher risk of vascular complications at the access site and a longer hospital stay.","container-title":"The New England Journal of Medicine","DOI":"10.1056/NEJM199408253310801","ISSN":"0028-4793","issue":"8","journalAbbreviation":"N. Engl. J. Med.","language":"eng","note":"PMID: 8041413","page":"489-495","source":"PubMed","title":"A comparison of balloon-expandable-stent implantation with balloon angioplasty in patients with coronary artery disease. Benestent Study Group","volume":"331","author":[{"family":"Serruys","given":"P. W."},{"family":"Jaegere","given":"P.","non-dropping-particle":"de"},{"family":"Kiemeneij","given":"F."},{"family":"Macaya","given":"C."},{"family":"Rutsch","given":"W."},{"family":"Heyndrickx","given":"G."},{"family":"Emanuelsson","given":"H."},{"family":"Marco","given":"J."},{"family":"Legrand","given":"V."},{"family":"Materne","given":"P."}],"issued":{"date-parts":[["1994",8,25]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(Serruys et al., 1994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{"citationID":"PzE1vKj9","properties":{"formattedCitation":"(Fischman et al., 1994)","plainCitation":"(Fischman et al., 1994)","dontUpdate":true,"noteIndex":0},"citationItems":[{"id":352,"uris":["http://zotero.org/users/local/k67tNDdX/items/LHXT5TLU"],"uri":["http://zotero.org/users/local/k67tNDdX/items/LHXT5TLU"],"itemData":{"id":352,"type":"article-journal","abstract":"BACKGROUND: Coronary-stent placement is a new technique in which a balloon-expandable, stainless-steel, slotted tube is implanted at the site of a coronary stenosis. The purpose of this study was to compare the effects of stent placement and standard balloon angioplasty on angiographically detected restenosis and clinical outcomes.\nMETHODS: We randomly assigned 410 patients with symptomatic coronary disease to elective placement of a Palmaz-Schatz stent or to standard balloon angioplasty. Coronary angiography was performed at base line, immediately after the procedure, and six months later.\nRESULTS: The patients who underwent stenting had a higher rate of procedural success than those who underwent standard balloon angioplasty (96.1 percent vs. 89.6 percent, P = 0.011), a larger immediate increase in the diameter of the lumen (1.72 +/- 0.46 vs. 1.23 +/- 0.48 mm, P &lt; 0.001), and a larger luminal diameter immediately after the procedure (2.49 +/- 0.43 vs. 1.99 +/- 0.47 mm, P &lt; 0.001). At six months, the patients with stented lesions continued to have a larger luminal diameter (1.74 +/- 0.60 vs. 1.56 +/- 0.65 mm, P = 0.007) and a lower rate of restenosis (31.6 percent vs. 42.1 percent, P = 0.046) than those treated with balloon angioplasty. There were no coronary events (death; myocardial infarction; coronary-artery bypass surgery; vessel closure, including stent thrombosis; or repeated angioplasty) in 80.5 percent of the patients in the stent group and 76.2 percent of those in the angioplasty group (P = 0.16). Revascularization of the original target lesion because of recurrent myocardial ischemia was performed less frequently in the stent group than in the angioplasty group (10.2 percent vs. 15.4 percent, P = 0.06).\nCONCLUSIONS: In selected patients, placement of an intracoronary stent, as compared with balloon angioplasty, results in an improved rate of procedural success, a lower rate of angiographically detected restenosis, a similar rate of clinical events after six months, and a less frequent need for revascularization of the original coronary lesion.","container-title":"The New England Journal of Medicine","DOI":"10.1056/NEJM199408253310802","ISSN":"0028-4793","issue":"8","journalAbbreviation":"N. Engl. J. Med.","language":"eng","note":"PMID: 8041414","page":"496-501","source":"PubMed","title":"A randomized comparison of coronary-stent placement and balloon angioplasty in the treatment of coronary artery disease. Stent Restenosis Study Investigators","volume":"331","author":[{"family":"Fischman","given":"D. L."},{"family":"Leon","given":"M. B."},{"family":"Baim","given":"D. S."},{"family":"Schatz","given":"R. A."},{"family":"Savage","given":"M. P."},{"family":"Penn","given":"I."},{"family":"Detre","given":"K."},{"family":"Veltri","given":"L."},{"family":"Ricci","given":"D."},{"family":"Nobuyoshi","given":"M."}],"issued":{"date-parts":[["1994",8,25]]}}}],"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Fischman et al., 1994)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leading to the implementation of drug eluting stents, which inhibited smooth muscle cell proliferation, and growth of the intima over the stent. Delayed endothelialisation led to concern regarding increased rates of stent thrombosis. Definite stent thrombosis is defined as angiographic or pathological confirmation of partial or total thrombotic occlusion within the peri-stent region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{"citationID":"22rgEvnD","properties":{"formattedCitation":"(Cutlip et al., 2007)","plainCitation":"(Cutlip et al., 2007)","noteIndex":0},"citationItems":[{"id":464,"uris":["http://zotero.org/users/local/k67tNDdX/items/NZYA4HLX"],"uri":["http://zotero.org/users/local/k67tNDdX/items/NZYA4HLX"],"itemData":{"id":464,"type":"article-journal","abstract":"Background— Although most clinical trials of coronary stents have measured nominally identical safety and effectiveness end points, differences in definitions and timing of assessment have created confusion in interpretation.\nMethods and Results— The Academic Research Consortium is an informal collaboration between academic research organizations in the United States and Europe. Two meetings, in Washington, DC, in January 2006 and in Dublin, Ireland, in June 2006, sponsored by the Academic Research Consortium and including representatives of the US Food and Drug Administration and all device manufacturers who were working with the Food and Drug Administration on drug-eluting stent clinical trial programs, were focused on consensus end point definitions for drug-eluting stent evaluations. The effort was pursued with the objective to establish consistency among end point definitions and provide consensus recommendations. On the basis of considerations from historical legacy to key pathophysiological mechanisms and relevance to clinical interpretability, criteria for assessment of death, myocardial infarction, repeat revascularization, and stent thrombosis were developed. The broadly based consensus end point definitions in this document may be usefully applied or recognized for regulatory and clinical trial purposes.\nConclusion— Although consensus criteria will inevitably include certain arbitrary features, consensus criteria for clinical end points provide consistency across studies that can facilitate the evaluation of safety and effectiveness of these devices.","container-title":"Circulation","DOI":"10.1161/CIRCULATIONAHA.106.685313","ISSN":"0009-7322, 1524-4539","issue":"17","language":"en","note":"PMID: 17470709","page":"2344-2351","source":"circ.ahajournals.org","title":"Clinical End Points in Coronary Stent Trials: A Case for Standardized Definitions","title-short":"Clinical End Points in Coronary Stent Trials","volume":"115","author":[{"family":"Cutlip","given":"Donald E."},{"family":"Windecker","given":"Stephan"},{"family":"Mehran","given":"Roxana"},{"family":"Boam","given":"Ashley"},{"family":"Cohen","given":"David J."},{"family":"Es","given":"Gerrit-Anne","dropping-particle":"van"},{"family":"Steg","given":"P. Gabriel"},{"family":"Morel","given":"Marie-angèle"},{"family":"Mauri","given":"Laura"},{"family":"Vranckx","given":"Pascal"},{"family":"McFadden","given":"Eugene"},{"family":"Lansky","given":"Alexandra"},{"family":"Hamon","given":"Martial"},{"family":"Krucoff","given":"Mitchell W."},{"family":"Serruys","given":"Patrick W."}],"issued":{"date-parts":[["2007",5,1]]}}}],"schema":"https://github.com/citation-style-language/schema/raw/master/csl-citation.json"}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(Cutlip et al., 2007)</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Timing is also divided into;</w:t>
      </w:r>
    </w:p>
    <w:p w14:paraId="2356857D" w14:textId="77777777" w:rsidR="00960536" w:rsidRPr="00EC6C19" w:rsidRDefault="00960536" w:rsidP="00960536">
      <w:pPr>
        <w:pStyle w:val="ListParagraph"/>
        <w:numPr>
          <w:ilvl w:val="0"/>
          <w:numId w:val="3"/>
        </w:numPr>
        <w:spacing w:line="360" w:lineRule="auto"/>
        <w:rPr>
          <w:rFonts w:ascii="Times New Roman" w:hAnsi="Times New Roman" w:cs="Times New Roman"/>
          <w:sz w:val="24"/>
          <w:szCs w:val="24"/>
        </w:rPr>
      </w:pPr>
      <w:r w:rsidRPr="00EC6C19">
        <w:rPr>
          <w:rFonts w:ascii="Times New Roman" w:hAnsi="Times New Roman" w:cs="Times New Roman"/>
          <w:sz w:val="24"/>
          <w:szCs w:val="24"/>
        </w:rPr>
        <w:t>Acute  - within 24 hours.</w:t>
      </w:r>
    </w:p>
    <w:p w14:paraId="494BE041" w14:textId="77777777" w:rsidR="00960536" w:rsidRPr="00EC6C19" w:rsidRDefault="00960536" w:rsidP="00960536">
      <w:pPr>
        <w:pStyle w:val="ListParagraph"/>
        <w:numPr>
          <w:ilvl w:val="0"/>
          <w:numId w:val="3"/>
        </w:numPr>
        <w:spacing w:line="360" w:lineRule="auto"/>
        <w:rPr>
          <w:rFonts w:ascii="Times New Roman" w:hAnsi="Times New Roman" w:cs="Times New Roman"/>
          <w:sz w:val="24"/>
          <w:szCs w:val="24"/>
        </w:rPr>
      </w:pPr>
      <w:r w:rsidRPr="00EC6C19">
        <w:rPr>
          <w:rFonts w:ascii="Times New Roman" w:hAnsi="Times New Roman" w:cs="Times New Roman"/>
          <w:sz w:val="24"/>
          <w:szCs w:val="24"/>
        </w:rPr>
        <w:t>Subacute - between 24 hours and 30 days.</w:t>
      </w:r>
    </w:p>
    <w:p w14:paraId="7EE70144" w14:textId="77777777" w:rsidR="00960536" w:rsidRPr="00EC6C19" w:rsidRDefault="00960536" w:rsidP="00960536">
      <w:pPr>
        <w:pStyle w:val="ListParagraph"/>
        <w:numPr>
          <w:ilvl w:val="0"/>
          <w:numId w:val="3"/>
        </w:numPr>
        <w:spacing w:line="360" w:lineRule="auto"/>
        <w:rPr>
          <w:rFonts w:ascii="Times New Roman" w:hAnsi="Times New Roman" w:cs="Times New Roman"/>
          <w:sz w:val="24"/>
          <w:szCs w:val="24"/>
        </w:rPr>
      </w:pPr>
      <w:r w:rsidRPr="00EC6C19">
        <w:rPr>
          <w:rFonts w:ascii="Times New Roman" w:hAnsi="Times New Roman" w:cs="Times New Roman"/>
          <w:sz w:val="24"/>
          <w:szCs w:val="24"/>
        </w:rPr>
        <w:t>Late - 31 days to 1 year.</w:t>
      </w:r>
    </w:p>
    <w:p w14:paraId="7F287DDE" w14:textId="77777777" w:rsidR="00960536" w:rsidRPr="00EC6C19" w:rsidRDefault="00960536" w:rsidP="00960536">
      <w:pPr>
        <w:pStyle w:val="ListParagraph"/>
        <w:numPr>
          <w:ilvl w:val="0"/>
          <w:numId w:val="3"/>
        </w:numPr>
        <w:spacing w:line="360" w:lineRule="auto"/>
        <w:rPr>
          <w:rFonts w:ascii="Times New Roman" w:hAnsi="Times New Roman" w:cs="Times New Roman"/>
          <w:sz w:val="24"/>
          <w:szCs w:val="24"/>
        </w:rPr>
      </w:pPr>
      <w:r w:rsidRPr="00EC6C19">
        <w:rPr>
          <w:rFonts w:ascii="Times New Roman" w:hAnsi="Times New Roman" w:cs="Times New Roman"/>
          <w:sz w:val="24"/>
          <w:szCs w:val="24"/>
        </w:rPr>
        <w:t>Very late - over 1 year.</w:t>
      </w:r>
    </w:p>
    <w:p w14:paraId="4F71AAB4" w14:textId="77777777" w:rsidR="00960536" w:rsidRPr="00EC6C19" w:rsidRDefault="00960536" w:rsidP="00960536">
      <w:pPr>
        <w:spacing w:line="360" w:lineRule="auto"/>
        <w:rPr>
          <w:rFonts w:ascii="Times New Roman" w:hAnsi="Times New Roman" w:cs="Times New Roman"/>
          <w:sz w:val="24"/>
          <w:szCs w:val="24"/>
        </w:rPr>
      </w:pPr>
      <w:r w:rsidRPr="00EC6C19">
        <w:rPr>
          <w:rFonts w:ascii="Times New Roman" w:hAnsi="Times New Roman" w:cs="Times New Roman"/>
          <w:sz w:val="24"/>
          <w:szCs w:val="24"/>
        </w:rPr>
        <w:t xml:space="preserve">Early studies using bare metal stents and different anticoagulation regimes often quoted stent thrombosis rates of around 20%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{"citationID":"SGSEWQwO","properties":{"formattedCitation":"(Serruys et al., 1991)","plainCitation":"(Serruys et al., 1991)","dontUpdate":true,"noteIndex":0},"citationItems":[{"id":468,"uris":["http://zotero.org/users/local/k67tNDdX/items/2J2VNLMG"],"uri":["http://zotero.org/users/local/k67tNDdX/items/2J2VNLMG"],"itemData":{"id":468,"type":"article-journal","abstract":"TWO major limitations of coronary angioplasty are acute occlusion and late re-Stenosis. The concept of implanting an endoluminal stent in the coronary arteries after balloon dilation to circumvent these problems was first suggested in 1964.1 This procedure was successfully performed in patients in 1986.2 In May 1988, the five European centers testing this device agreed to set up a core laboratory for quantitative angiographic analysis to assess the results objectively. The early follow-up results reported by the core laboratory showed that immediately after stent implantation, there was an additional increase in the minimal luminal diameter of the vessel and a . . .","container-title":"New England Journal of Medicine","DOI":"10.1056/NEJM199101033240103","ISSN":"0028-4793","issue":"1","note":"PMID: 1984159","page":"13-17","source":"Taylor and Francis+NEJM","title":"Angiographic Follow-up after Placement of a Self-Expanding Coronary-Artery Stent","volume":"324","author":[{"family":"Serruys","given":"Patrick W."},{"family":"Strauss","given":"Bradley H."},{"family":"Beatt","given":"Kevin J."},{"family":"Bertrand","given":"Michel E."},{"family":"Puel","given":"Jacques"},{"family":"Rickards","given":"Anthony F."},{"family":"Meier","given":"Bernhard"},{"family":"Goy","given":"Jean-Jacques"},{"family":"Vogt","given":"Pierre"},{"family":"Kappenberger","given":"Lukas"},{"family":"Sigwart","given":"Ulrich"}],"issued":{"date-parts":[["1991",1,3]]}}}],"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(Serruys et al., 1991</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{"citationID":"FnvBRswg","properties":{"formattedCitation":"(Claessen et al., 2014)","plainCitation":"(Claessen et al., 2014)","dontUpdate":true,"noteIndex":0},"citationItems":[{"id":459,"uris":["http://zotero.org/users/local/k67tNDdX/items/XF6RFE25"],"uri":["http://zotero.org/users/local/k67tNDdX/items/XF6RFE25"],"itemData":{"id":459,"type":"article-journal","abstract":"The invention of intracoronary stents greatly increased the safety and applicability of percutaneous coronary interventions. At this time, &gt;1 million coronary stent implantations are performed each year in the United States. But together with the growing use of stents, stent thrombosis, the most feared complication after stent implantation, has emerged as an important entity to understand and prevent. Adjunct pharmacological therapy, stent design, and deployment technique have been adjusted ever since to reduce its occurrence. The current clinical overview of stent thrombosis ranges from its pathophysiology to current state-of-the-art technical and pharmacological recommendations to avoid this complication.","container-title":"JACC: Cardiovascular Interventions","DOI":"10.1016/j.jcin.2014.05.016","ISSN":"1936-8798","issue":"10","journalAbbreviation":"JACC: Cardiovascular Interventions","page":"1081-1092","source":"ScienceDirect","title":"Stent Thrombosis: A Clinical Perspective","title-short":"Stent Thrombosis","volume":"7","author":[{"family":"Claessen","given":"Bimmer E."},{"family":"Henriques","given":"José P. S."},{"family":"Jaffer","given":"Farouc A."},{"family":"Mehran","given":"Roxana"},{"family":"Piek","given":"Jan J."},{"family":"Dangas","given":"George D."}],"issued":{"date-parts":[["2014",10,1]]}}}],"schema":"https://github.com/citation-style-language/schema/raw/master/csl-citation.json"}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Claessen et al., 2014)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Thanks to dual antiplatelet therapy (DAPT) and adequate expansion of stents with high pressure balloons, rates of stent thrombosis up to 1 year range from 0.5 - 3%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{"citationID":"l8O0nQ2L","properties":{"formattedCitation":"(Kedhi et al., 2010)","plainCitation":"(Kedhi et al., 2010)","noteIndex":0},"citationItems":[{"id":471,"uris":["http://zotero.org/users/local/k67tNDdX/items/7PYYKWBA"],"uri":["http://zotero.org/users/local/k67tNDdX/items/7PYYKWBA"],"itemData":{"id":471,"type":"article-journal","abstract":"Summary\nBackground\nEverolimus-eluting and paclitaxel-eluting stents, compared with bare metal stents, reduced the risk of restenosis in clinical trials with strict inclusion and exclusion criteria. We compared the safety and efficacy of the second-generation everolimus-eluting and paclitaxel-eluting stents in real-life practice.\nMethods\nWe randomly assigned 1800 consecutive patients (aged 18–85 years) undergoing percutaneous coronary intervention at one centre to treatment with everolimus-eluting or paclitaxel-eluting stents. The primary endpoint was a composite of safety and efficacy (all-cause mortality, myocardial infarction, and target vessel revascularisation) within 12 months. Patients were not told which stent they had been allocated. Analysis was by intention to treat. The trial is registered with ClinicalTrials.gov, number NCT01016041.\nFindings\nFollow-up was completed in 1797 patients. The primary endpoint occurred in 56 (6%) of 897 patients in the everolimus-eluting stent group versus 82 (9%) of 903 in the paclitaxel-eluting stent group (relative risk 0·69 [95% CI 0·50–0·95], p value for superiority=0·02). The difference was attributable to a lower rate of stent thrombosis (6 [&lt;1%] vs 23 [3%], 0·26 [0·11–0–64], p=0·002), myocardial infarction (25 [3%] vs 48 [5%], 0·52 [0·33–0·84], p=0·007), and target vessel revascularisation (21 [2%] vs 54 [6%], 0·39 [0·24–0·64], p=0·0001). Cardiac death, non-fatal myocardial infarction, or target lesion revascularisation occurred in 44 [5%] patients in the everolimus-eluting stent group versus 74 [8%] patients in the paclitaxel-eluting stent group, p value for superiority was 0·005.\nInterpretation\nThe everolimus-eluting stent is better than the second generation paclitaxel-eluting stent in unselected patients in terms of safety and efficacy. On the basis of our results, we suggest that paclitaxel-eluting stents should no longer be used in everyday clinical practice.\nFunding\nUnrestricted grants from Abbott Vascular and Boston Scientific.","container-title":"The Lancet","DOI":"10.1016/S0140-6736(09)62127-9","ISSN":"0140-6736","issue":"9710","journalAbbreviation":"The Lancet","page":"201-209","source":"ScienceDirect","title":"Second-generation everolimus-eluting and paclitaxel-eluting stents in real-life practice (COMPARE): a randomised trial","title-short":"Second-generation everolimus-eluting and paclitaxel-eluting stents in real-life practice (COMPARE)","volume":"375","author":[{"family":"Kedhi","given":"Elvin"},{"family":"Joesoef","given":"Kaiyum Sheik"},{"family":"McFadden","given":"Eugene"},{"family":"Wassing","given":"Jochem"},{"family":"Mieghem","given":"Carlos","non-dropping-particle":"van"},{"family":"Goedhart","given":"Dick"},{"family":"Smits","given":"Pieter Cornelis"}],"issued":{"date-parts":[["2010",1,16]]}}}],"schema":"https://github.com/citation-style-language/schema/raw/master/csl-citation.json"}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(Kedhi et al., 2010)</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The incidence does not differ between bare metal and drug eluting stents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{"citationID":"rhICiuVx","properties":{"formattedCitation":"(Mauri et al., 2009)","plainCitation":"(Mauri et al., 2009)","noteIndex":0},"citationItems":[{"id":473,"uris":["http://zotero.org/users/local/k67tNDdX/items/J58VSP6C"],"uri":["http://zotero.org/users/local/k67tNDdX/items/J58VSP6C"],"itemData":{"id":473,"type":"webpage","abstract":"Original Article from The New England Journal of Medicine — Stent Thrombosis in Randomized Clinical Trials of Drug-Eluting Stents","container-title":"http://dx.doi.org/10.1056/NEJMoa067731","genre":"research-article","language":"EN","note":"DOI: 10.1056/NEJMoa067731","title":"Stent Thrombosis in Randomized Clinical Trials of Drug-Eluting Stents","URL":"https://www.nejm.org/doi/10.1056/NEJMoa067731","author":[{"family":"Mauri","given":"Laura"},{"family":"Hsieh","given":"Wen-hua"},{"family":"Massaro","given":"Joseph M."},{"family":"Ho","given":"Kalon K. L."},{"family":"D'Agostino","given":"Ralph"},{"family":"Cutlip","given":"Donald E."}],"accessed":{"date-parts":[["2018",5,2]]},"issued":{"date-parts":[["2009",10,9]]}}}],"schema":"https://github.com/citation-style-language/schema/raw/master/csl-citation.json"}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(Mauri et al., 2009)</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Early stent thrombosis is linked to suboptimal procedural results, whereas late stent thrombosis is linked to delayed endothelial coverage and on-going vessel inflammation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{"citationID":"YBphexD0","properties":{"formattedCitation":"(Claessen et al., 2014)","plainCitation":"(Claessen et al., 2014)","noteIndex":0},"citationItems":[{"id":459,"uris":["http://zotero.org/users/local/k67tNDdX/items/XF6RFE25"],"uri":["http://zotero.org/users/local/k67tNDdX/items/XF6RFE25"],"itemData":{"id":459,"type":"article-journal","abstract":"The invention of intracoronary stents greatly increased the safety and applicability of percutaneous coronary interventions. At this time, &gt;1 million coronary stent implantations are performed each year in the United States. But together with the growing use of stents, stent thrombosis, the most feared complication after stent implantation, has emerged as an important entity to understand and prevent. Adjunct pharmacological therapy, stent design, and deployment technique have been adjusted ever since to reduce its occurrence. The current clinical overview of stent thrombosis ranges from its pathophysiology to current state-of-the-art technical and pharmacological recommendations to avoid this complication.","container-title":"JACC: Cardiovascular Interventions","DOI":"10.1016/j.jcin.2014.05.016","ISSN":"1936-8798","issue":"10","journalAbbreviation":"JACC: Cardiovascular Interventions","page":"1081-1092","source":"ScienceDirect","title":"Stent Thrombosis: A Clinical Perspective","title-short":"Stent Thrombosis","volume":"7","author":[{"family":"Claessen","given":"Bimmer E."},{"family":"Henriques","given":"José P. S."},{"family":"Jaffer","given":"Farouc A."},{"family":"Mehran","given":"Roxana"},{"family":"Piek","given":"Jan J."},{"family":"Dangas","given":"George D."}],"issued":{"date-parts":[["2014",10,1]]}}}],"schema":"https://github.com/citation-style-language/schema/raw/master/csl-citation.json"}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(Claessen et al., 2014)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 xml:space="preserve">. Mortality after stent thrombosis ranges from 11-42% across multiple trials </w:t>
      </w:r>
      <w:r w:rsidR="00106A32" w:rsidRPr="00EC6C19">
        <w:rPr>
          <w:rFonts w:ascii="Times New Roman" w:hAnsi="Times New Roman" w:cs="Times New Roman"/>
          <w:sz w:val="24"/>
          <w:szCs w:val="24"/>
        </w:rPr>
        <w:fldChar w:fldCharType="begin"/>
      </w:r>
      <w:r w:rsidRPr="00EC6C19">
        <w:rPr>
          <w:rFonts w:ascii="Times New Roman" w:hAnsi="Times New Roman" w:cs="Times New Roman"/>
          <w:sz w:val="24"/>
          <w:szCs w:val="24"/>
        </w:rPr>
        <w:instrText xml:space="preserve"> ADDIN ZOTERO_ITEM CSL_CITATION {"citationID":"uykjIN8u","properties":{"formattedCitation":"(Claessen et al., 2014)","plainCitation":"(Claessen et al., 2014)","noteIndex":0},"citationItems":[{"id":459,"uris":["http://zotero.org/users/local/k67tNDdX/items/XF6RFE25"],"uri":["http://zotero.org/users/local/k67tNDdX/items/XF6RFE25"],"itemData":{"id":459,"type":"article-journal","abstract":"The invention of intracoronary stents greatly increased the safety and applicability of percutaneous coronary interventions. At this time, &gt;1 million coronary stent implantations are performed each year in the United States. But together with the growing use of stents, stent thrombosis, the most feared complication after stent implantation, has emerged as an important entity to understand and prevent. Adjunct pharmacological therapy, stent design, and deployment technique have been adjusted ever since to reduce its occurrence. The current clinical overview of stent thrombosis ranges from its pathophysiology to current state-of-the-art technical and pharmacological recommendations to avoid this complication.","container-title":"JACC: Cardiovascular Interventions","DOI":"10.1016/j.jcin.2014.05.016","ISSN":"1936-8798","issue":"10","journalAbbreviation":"JACC: Cardiovascular Interventions","page":"1081-1092","source":"ScienceDirect","title":"Stent Thrombosis: A Clinical Perspective","title-short":"Stent Thrombosis","volume":"7","author":[{"family":"Claessen","given":"Bimmer E."},{"family":"Henriques","given":"José P. S."},{"family":"Jaffer","given":"Farouc A."},{"family":"Mehran","given":"Roxana"},{"family":"Piek","given":"Jan J."},{"family":"Dangas","given":"George D."}],"issued":{"date-parts":[["2014",10,1]]}}}],"schema":"https://github.com/citation-style-language/schema/raw/master/csl-citation.json"} </w:instrText>
      </w:r>
      <w:r w:rsidR="00106A32" w:rsidRPr="00EC6C19">
        <w:rPr>
          <w:rFonts w:ascii="Times New Roman" w:hAnsi="Times New Roman" w:cs="Times New Roman"/>
          <w:sz w:val="24"/>
          <w:szCs w:val="24"/>
        </w:rPr>
        <w:fldChar w:fldCharType="separate"/>
      </w:r>
      <w:r w:rsidRPr="00EC6C19">
        <w:rPr>
          <w:rFonts w:ascii="Times New Roman" w:hAnsi="Times New Roman" w:cs="Times New Roman"/>
          <w:sz w:val="24"/>
          <w:szCs w:val="24"/>
        </w:rPr>
        <w:t>(Claessen et al., 2014)</w:t>
      </w:r>
      <w:r w:rsidR="00106A32" w:rsidRPr="00EC6C19">
        <w:rPr>
          <w:rFonts w:ascii="Times New Roman" w:hAnsi="Times New Roman" w:cs="Times New Roman"/>
          <w:sz w:val="24"/>
          <w:szCs w:val="24"/>
        </w:rPr>
        <w:fldChar w:fldCharType="end"/>
      </w:r>
      <w:r w:rsidRPr="00EC6C19">
        <w:rPr>
          <w:rFonts w:ascii="Times New Roman" w:hAnsi="Times New Roman" w:cs="Times New Roman"/>
          <w:sz w:val="24"/>
          <w:szCs w:val="24"/>
        </w:rPr>
        <w:t>.</w:t>
      </w:r>
    </w:p>
    <w:p w14:paraId="56AE9B5F" w14:textId="77777777" w:rsidR="00960536" w:rsidRPr="00EC6C19" w:rsidRDefault="00960536">
      <w:pPr>
        <w:rPr>
          <w:rFonts w:ascii="Times New Roman" w:hAnsi="Times New Roman" w:cs="Times New Roman"/>
          <w:b/>
          <w:sz w:val="24"/>
          <w:szCs w:val="24"/>
        </w:rPr>
      </w:pPr>
    </w:p>
    <w:p w14:paraId="038B7F81" w14:textId="77777777" w:rsidR="00960536" w:rsidRPr="00EC6C19" w:rsidRDefault="00960536">
      <w:pPr>
        <w:rPr>
          <w:rFonts w:ascii="Times New Roman" w:hAnsi="Times New Roman" w:cs="Times New Roman"/>
          <w:b/>
          <w:sz w:val="24"/>
          <w:szCs w:val="24"/>
        </w:rPr>
      </w:pPr>
    </w:p>
    <w:p w14:paraId="19A7323C" w14:textId="77777777" w:rsidR="00960536" w:rsidRPr="00EC6C19" w:rsidRDefault="00960536">
      <w:pPr>
        <w:rPr>
          <w:rFonts w:ascii="Times New Roman" w:hAnsi="Times New Roman" w:cs="Times New Roman"/>
          <w:b/>
          <w:sz w:val="24"/>
          <w:szCs w:val="24"/>
        </w:rPr>
      </w:pPr>
    </w:p>
    <w:p w14:paraId="3E3EEE61" w14:textId="77777777" w:rsidR="00960536" w:rsidRPr="00EC6C19" w:rsidRDefault="00960536">
      <w:pPr>
        <w:rPr>
          <w:rFonts w:ascii="Times New Roman" w:hAnsi="Times New Roman" w:cs="Times New Roman"/>
          <w:b/>
          <w:sz w:val="24"/>
          <w:szCs w:val="24"/>
        </w:rPr>
      </w:pPr>
    </w:p>
    <w:p w14:paraId="0F4BDD20" w14:textId="77777777" w:rsidR="00960536" w:rsidRPr="00EC6C19" w:rsidRDefault="00960536">
      <w:pPr>
        <w:rPr>
          <w:rFonts w:ascii="Times New Roman" w:hAnsi="Times New Roman" w:cs="Times New Roman"/>
          <w:b/>
          <w:sz w:val="24"/>
          <w:szCs w:val="24"/>
        </w:rPr>
      </w:pPr>
    </w:p>
    <w:p w14:paraId="6C6EDEF4" w14:textId="77777777" w:rsidR="00960536" w:rsidRPr="00EC6C19" w:rsidRDefault="00960536">
      <w:pPr>
        <w:rPr>
          <w:rFonts w:ascii="Times New Roman" w:hAnsi="Times New Roman" w:cs="Times New Roman"/>
          <w:b/>
          <w:sz w:val="24"/>
          <w:szCs w:val="24"/>
        </w:rPr>
      </w:pPr>
    </w:p>
    <w:p w14:paraId="746C17AB" w14:textId="77777777" w:rsidR="00960536" w:rsidRPr="00EC6C19" w:rsidRDefault="00960536">
      <w:pPr>
        <w:rPr>
          <w:rFonts w:ascii="Times New Roman" w:hAnsi="Times New Roman" w:cs="Times New Roman"/>
          <w:b/>
          <w:sz w:val="24"/>
          <w:szCs w:val="24"/>
        </w:rPr>
      </w:pPr>
    </w:p>
    <w:p w14:paraId="71D50403" w14:textId="77777777" w:rsidR="00C31D3B" w:rsidRPr="003F208B" w:rsidRDefault="00C31D3B" w:rsidP="003F208B">
      <w:pPr>
        <w:pStyle w:val="Heading1"/>
        <w:rPr>
          <w:rFonts w:ascii="Times New Roman" w:hAnsi="Times New Roman" w:cs="Times New Roman"/>
          <w:color w:val="auto"/>
          <w:sz w:val="24"/>
          <w:szCs w:val="24"/>
        </w:rPr>
      </w:pPr>
      <w:bookmarkStart w:id="257" w:name="_Toc80302306"/>
      <w:r w:rsidRPr="003F208B">
        <w:rPr>
          <w:rFonts w:ascii="Times New Roman" w:hAnsi="Times New Roman" w:cs="Times New Roman"/>
          <w:color w:val="auto"/>
          <w:sz w:val="24"/>
          <w:szCs w:val="24"/>
        </w:rPr>
        <w:t>Appendix C - Standard Angiography and Laboratory Set-up</w:t>
      </w:r>
      <w:bookmarkEnd w:id="257"/>
      <w:r w:rsidR="003F208B">
        <w:rPr>
          <w:rFonts w:ascii="Times New Roman" w:hAnsi="Times New Roman" w:cs="Times New Roman"/>
          <w:color w:val="auto"/>
          <w:sz w:val="24"/>
          <w:szCs w:val="24"/>
        </w:rPr>
        <w:br/>
      </w:r>
    </w:p>
    <w:p w14:paraId="1407E1E6" w14:textId="77777777" w:rsidR="00C31D3B" w:rsidRPr="00EC6C19" w:rsidRDefault="00C31D3B" w:rsidP="00C31D3B">
      <w:pPr>
        <w:spacing w:line="360" w:lineRule="auto"/>
        <w:rPr>
          <w:rFonts w:ascii="Times New Roman" w:hAnsi="Times New Roman" w:cs="Times New Roman"/>
          <w:b/>
          <w:sz w:val="24"/>
          <w:szCs w:val="24"/>
          <w:u w:val="single"/>
        </w:rPr>
      </w:pPr>
    </w:p>
    <w:p w14:paraId="0D72034F" w14:textId="77777777" w:rsidR="00C31D3B" w:rsidRPr="00EC6C19" w:rsidRDefault="00C31D3B" w:rsidP="00C31D3B">
      <w:pPr>
        <w:spacing w:line="360" w:lineRule="auto"/>
        <w:rPr>
          <w:rFonts w:ascii="Times New Roman" w:hAnsi="Times New Roman" w:cs="Times New Roman"/>
          <w:i/>
          <w:sz w:val="24"/>
          <w:szCs w:val="24"/>
          <w:u w:val="single"/>
        </w:rPr>
      </w:pPr>
      <w:r w:rsidRPr="00EC6C19">
        <w:rPr>
          <w:rFonts w:ascii="Times New Roman" w:hAnsi="Times New Roman" w:cs="Times New Roman"/>
          <w:sz w:val="24"/>
          <w:szCs w:val="24"/>
        </w:rPr>
        <w:t>Standard angiography uses the supine position and commonly access is gained through the right radial artery or right femoral artery. Left sided arteries are also used but less commonly. A guide catheter is placed into the coronary artery ostium and iodinated contrast media injected to outline the coronary artery of interest under fluoroscopy. To take physiological measurements, a physiology wire is advanced into the required position, and measurements taken. Infusion of adenosine is required to produce a hyperaemic steady state. Routinely, pressure measurements are used to assess coronary artery stenoses and guide clinical treatment, due to ease of use. Velocity or 'flow' measurements, are used in clinical practice less routinely, but have important uses in research studies. Velocity measurements take longer to obtain and results can be operator dependent. Pressure studies are more robust and reliable, hence their more common clinical use.</w:t>
      </w:r>
    </w:p>
    <w:p w14:paraId="69F59D80" w14:textId="77777777" w:rsidR="00C31D3B" w:rsidRPr="00EC6C19" w:rsidRDefault="00C31D3B" w:rsidP="00C31D3B">
      <w:pPr>
        <w:spacing w:line="360" w:lineRule="auto"/>
        <w:rPr>
          <w:rFonts w:ascii="Times New Roman" w:hAnsi="Times New Roman" w:cs="Times New Roman"/>
          <w:sz w:val="24"/>
          <w:szCs w:val="24"/>
        </w:rPr>
      </w:pPr>
      <w:r w:rsidRPr="00EC6C19">
        <w:rPr>
          <w:rFonts w:ascii="Times New Roman" w:hAnsi="Times New Roman" w:cs="Times New Roman"/>
          <w:sz w:val="24"/>
          <w:szCs w:val="24"/>
        </w:rPr>
        <w:t>A standard angiography laboratory or 'lab' in the UK has several standard components. Firstly, there are core members of staff enlisted to ensure safety and efficiency of the procedure for the patients and all others involved. These are outlined below;</w:t>
      </w:r>
    </w:p>
    <w:p w14:paraId="0EA8335C" w14:textId="77777777" w:rsidR="00C31D3B" w:rsidRPr="00EC6C19" w:rsidRDefault="00C31D3B" w:rsidP="00C31D3B">
      <w:pPr>
        <w:pStyle w:val="ListParagraph"/>
        <w:numPr>
          <w:ilvl w:val="0"/>
          <w:numId w:val="13"/>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Scrub Nurse - This nurse will assist the operator by donning surgical gowns and gloves. They will assist in preparing equipment, such as coronary catheters, coronary wires, medications, arterial access equipment, contrast injection equipment and maintaining all of this on a sterile trolley. They are trained in intra-arterial contrast injection, and will aid the operator when they are busy manipulating the catheter. Their role is vital, as although a single operator coronary angiogram is standard practice in other countries, it can add time and unneeded complexity to the procedure, as well as compromising safety.</w:t>
      </w:r>
    </w:p>
    <w:p w14:paraId="65C70D90" w14:textId="77777777" w:rsidR="00C31D3B" w:rsidRPr="00EC6C19" w:rsidRDefault="00C31D3B" w:rsidP="00C31D3B">
      <w:pPr>
        <w:pStyle w:val="ListParagraph"/>
        <w:spacing w:line="360" w:lineRule="auto"/>
        <w:rPr>
          <w:rFonts w:ascii="Times New Roman" w:hAnsi="Times New Roman" w:cs="Times New Roman"/>
          <w:sz w:val="24"/>
          <w:szCs w:val="24"/>
        </w:rPr>
      </w:pPr>
    </w:p>
    <w:p w14:paraId="20602F8C" w14:textId="77777777" w:rsidR="00C31D3B" w:rsidRPr="00EC6C19" w:rsidRDefault="00C31D3B" w:rsidP="00C31D3B">
      <w:pPr>
        <w:pStyle w:val="ListParagraph"/>
        <w:numPr>
          <w:ilvl w:val="0"/>
          <w:numId w:val="13"/>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Runner Nurse - This nurse is not in sterile surgical vestments and will aid the scrub nurse and operator with obtaining needed equipment. They will hand equipment from its outer packing in a sterile way to the operator and scrub nurse. Medication preparation and administration through intravenous cannulae is part of their role.  Any needs the patient has (such as oxygen, oral care and comfort issues) will also be tended to by the running nurse. If emergency medication needs to be administered (such as for hypotension or an allergic reaction), they will need to be swift and on hand to dispense this. They are also a key part the resuscitation team in the event of a cardiac arrest and are advanced life support (ALS) trained.</w:t>
      </w:r>
    </w:p>
    <w:p w14:paraId="250CC65B" w14:textId="77777777" w:rsidR="00C31D3B" w:rsidRPr="00EC6C19" w:rsidRDefault="00C31D3B" w:rsidP="00C31D3B">
      <w:pPr>
        <w:pStyle w:val="ListParagraph"/>
        <w:spacing w:line="360" w:lineRule="auto"/>
        <w:rPr>
          <w:rFonts w:ascii="Times New Roman" w:hAnsi="Times New Roman" w:cs="Times New Roman"/>
          <w:sz w:val="24"/>
          <w:szCs w:val="24"/>
        </w:rPr>
      </w:pPr>
    </w:p>
    <w:p w14:paraId="7622693F" w14:textId="77777777" w:rsidR="00C31D3B" w:rsidRPr="00EC6C19" w:rsidRDefault="00C31D3B" w:rsidP="00C31D3B">
      <w:pPr>
        <w:pStyle w:val="ListParagraph"/>
        <w:numPr>
          <w:ilvl w:val="0"/>
          <w:numId w:val="13"/>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Radiographer - The radiographers principle role is to manipulate the x-ray tube and table in order for the operator to acquire adequate pictures of the coronary artery. They will angulate the x-ray equipment and table based on prompts from the operator to achieve satisfactory acquisitions of the coronary vasculature. The radiographer is also in control of contrast medium use, and is bound to remind the operator if use is excessive, potentially risking renal injury in a patient. Furthermore, they are the advocate for radiation protection for the entire team and patient, trying to minimise radiation exposure. They must ensure radiation shielding equipment, from the lead skirt sitting underneath the table, to radiation glasses are being properly utilised. If a procedure exceeds preset radiation limits, they must document and report this.</w:t>
      </w:r>
    </w:p>
    <w:p w14:paraId="212C8E13" w14:textId="77777777" w:rsidR="00C31D3B" w:rsidRPr="00EC6C19" w:rsidRDefault="00C31D3B" w:rsidP="00C31D3B">
      <w:pPr>
        <w:pStyle w:val="ListParagraph"/>
        <w:spacing w:line="360" w:lineRule="auto"/>
        <w:rPr>
          <w:rFonts w:ascii="Times New Roman" w:hAnsi="Times New Roman" w:cs="Times New Roman"/>
          <w:sz w:val="24"/>
          <w:szCs w:val="24"/>
        </w:rPr>
      </w:pPr>
    </w:p>
    <w:p w14:paraId="45532FDD" w14:textId="77777777" w:rsidR="00C31D3B" w:rsidRPr="00EC6C19" w:rsidRDefault="00C31D3B" w:rsidP="00C31D3B">
      <w:pPr>
        <w:pStyle w:val="ListParagraph"/>
        <w:numPr>
          <w:ilvl w:val="0"/>
          <w:numId w:val="13"/>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Cardiac Physiologist - the role of the physiologist is to monitor haemodynamics and electrocardiogram outputs continuously from the patient. They must alert the operator of any significant changes in blood pressure and heart rate, as well as the onset of any arrhythmias. They log the procedure electronically on the relevant lab system. They are also responsible for using software required by physiology equipment, such as pressure wires, to obtain further information, useful to the operator. This again applies to intravascular imaging, such as intravascular ultrasound and optical coherence tomography. If needed urgently, the cardiac physiologist is often called on to provide an urgent echocardiogram whilst the patient is still on the table. In similar fashion, in cases where an intra-aortic balloon pump is needed, the cardiac physiologist is responsible for setting up and using this hardware initially (perfusionists are on-site who have further expertise should there be any problems).</w:t>
      </w:r>
    </w:p>
    <w:p w14:paraId="23601DA2" w14:textId="77777777" w:rsidR="00C31D3B" w:rsidRPr="00EC6C19" w:rsidRDefault="00C31D3B" w:rsidP="00C31D3B">
      <w:pPr>
        <w:pStyle w:val="ListParagraph"/>
        <w:spacing w:line="360" w:lineRule="auto"/>
        <w:rPr>
          <w:rFonts w:ascii="Times New Roman" w:hAnsi="Times New Roman" w:cs="Times New Roman"/>
          <w:sz w:val="24"/>
          <w:szCs w:val="24"/>
        </w:rPr>
      </w:pPr>
    </w:p>
    <w:p w14:paraId="395D9C5B" w14:textId="77777777" w:rsidR="00C31D3B" w:rsidRPr="00EC6C19" w:rsidRDefault="00C31D3B" w:rsidP="00C31D3B">
      <w:pPr>
        <w:pStyle w:val="ListParagraph"/>
        <w:numPr>
          <w:ilvl w:val="0"/>
          <w:numId w:val="13"/>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Cardiologist - The cardiologist is the primary operator for the procedure. They are responsible for gaining arterial access and passing catheters towards the coronary artery origins. They must manipulate the catheter to engage into the coronary ostium and acquire diagnostic pictures. In coronary intervention or physiology measurements, the appropriate wire must be passed into the coronary artery and 'steered' into the correct position. They are responsible for the overall safety of the patient, and responsible for dealing with complications should they arise. The cardiologist should lead the team and prompt necessary actions. The first operator is normally a cardiology consultant or senior cardiac registrar, with adequate previous experience (minimum of 300 previous cases). Decisions on treatment, medication administration and continuing care are made by the cardiologist.</w:t>
      </w:r>
    </w:p>
    <w:p w14:paraId="574413FE" w14:textId="77777777" w:rsidR="00C31D3B" w:rsidRPr="00EC6C19" w:rsidRDefault="00C31D3B" w:rsidP="00C31D3B">
      <w:pPr>
        <w:pStyle w:val="ListParagraph"/>
        <w:spacing w:line="360" w:lineRule="auto"/>
        <w:rPr>
          <w:rFonts w:ascii="Times New Roman" w:hAnsi="Times New Roman" w:cs="Times New Roman"/>
          <w:sz w:val="24"/>
          <w:szCs w:val="24"/>
        </w:rPr>
      </w:pPr>
    </w:p>
    <w:p w14:paraId="69BFD54E" w14:textId="77777777" w:rsidR="00C31D3B" w:rsidRPr="00EC6C19" w:rsidRDefault="00C31D3B" w:rsidP="00C31D3B">
      <w:pPr>
        <w:pStyle w:val="ListParagraph"/>
        <w:numPr>
          <w:ilvl w:val="0"/>
          <w:numId w:val="13"/>
        </w:numPr>
        <w:spacing w:after="0" w:line="360" w:lineRule="auto"/>
        <w:rPr>
          <w:rFonts w:ascii="Times New Roman" w:hAnsi="Times New Roman" w:cs="Times New Roman"/>
          <w:sz w:val="24"/>
          <w:szCs w:val="24"/>
        </w:rPr>
      </w:pPr>
      <w:r w:rsidRPr="00EC6C19">
        <w:rPr>
          <w:rFonts w:ascii="Times New Roman" w:hAnsi="Times New Roman" w:cs="Times New Roman"/>
          <w:sz w:val="24"/>
          <w:szCs w:val="24"/>
        </w:rPr>
        <w:t xml:space="preserve">Research Fellow / Registrar - My role in the procedure was to brief the whole team on how study protocol differed from routine practice and potentially train or introduce new techniques.  Whilst the cardiologist still led the case, I had to guide the procedure to ensure not only the safety of all involved, but also the collection of scientifically adequate, robust and quality data. The use of a specific research physiology wire meant that I operated the required equipment (see below) rather than the cardiac physiologist. I also was the patients advocate, and ensured their safety and comfort during the procedure. </w:t>
      </w:r>
    </w:p>
    <w:p w14:paraId="7F670FF6" w14:textId="77777777" w:rsidR="001F68B8" w:rsidRPr="00EC6C19" w:rsidRDefault="001F68B8" w:rsidP="001F68B8">
      <w:pPr>
        <w:pStyle w:val="ListParagraph"/>
        <w:spacing w:after="0" w:line="360" w:lineRule="auto"/>
        <w:rPr>
          <w:rFonts w:ascii="Times New Roman" w:hAnsi="Times New Roman" w:cs="Times New Roman"/>
          <w:sz w:val="24"/>
          <w:szCs w:val="24"/>
        </w:rPr>
      </w:pPr>
    </w:p>
    <w:p w14:paraId="2FDC4F86" w14:textId="77777777" w:rsidR="00C31D3B" w:rsidRDefault="00C31D3B" w:rsidP="00C31D3B">
      <w:pPr>
        <w:spacing w:after="0" w:line="360" w:lineRule="auto"/>
        <w:rPr>
          <w:rFonts w:ascii="Times New Roman" w:hAnsi="Times New Roman" w:cs="Times New Roman"/>
          <w:sz w:val="24"/>
          <w:szCs w:val="24"/>
        </w:rPr>
      </w:pPr>
    </w:p>
    <w:p w14:paraId="31E38499" w14:textId="77777777" w:rsidR="003F208B" w:rsidRDefault="003F208B" w:rsidP="00C31D3B">
      <w:pPr>
        <w:spacing w:after="0" w:line="360" w:lineRule="auto"/>
        <w:rPr>
          <w:rFonts w:ascii="Times New Roman" w:hAnsi="Times New Roman" w:cs="Times New Roman"/>
          <w:sz w:val="24"/>
          <w:szCs w:val="24"/>
        </w:rPr>
      </w:pPr>
    </w:p>
    <w:p w14:paraId="0062AEEA" w14:textId="77777777" w:rsidR="003F208B" w:rsidRDefault="003F208B" w:rsidP="00C31D3B">
      <w:pPr>
        <w:spacing w:after="0" w:line="360" w:lineRule="auto"/>
        <w:rPr>
          <w:rFonts w:ascii="Times New Roman" w:hAnsi="Times New Roman" w:cs="Times New Roman"/>
          <w:sz w:val="24"/>
          <w:szCs w:val="24"/>
        </w:rPr>
      </w:pPr>
    </w:p>
    <w:p w14:paraId="64DCE580" w14:textId="77777777" w:rsidR="003F208B" w:rsidRDefault="003F208B" w:rsidP="00C31D3B">
      <w:pPr>
        <w:spacing w:after="0" w:line="360" w:lineRule="auto"/>
        <w:rPr>
          <w:rFonts w:ascii="Times New Roman" w:hAnsi="Times New Roman" w:cs="Times New Roman"/>
          <w:sz w:val="24"/>
          <w:szCs w:val="24"/>
        </w:rPr>
      </w:pPr>
    </w:p>
    <w:p w14:paraId="095D5CEF" w14:textId="77777777" w:rsidR="003F208B" w:rsidRDefault="003F208B" w:rsidP="00C31D3B">
      <w:pPr>
        <w:spacing w:after="0" w:line="360" w:lineRule="auto"/>
        <w:rPr>
          <w:rFonts w:ascii="Times New Roman" w:hAnsi="Times New Roman" w:cs="Times New Roman"/>
          <w:sz w:val="24"/>
          <w:szCs w:val="24"/>
        </w:rPr>
      </w:pPr>
    </w:p>
    <w:p w14:paraId="5DC3013B" w14:textId="77777777" w:rsidR="003F208B" w:rsidRDefault="003F208B" w:rsidP="00C31D3B">
      <w:pPr>
        <w:spacing w:after="0" w:line="360" w:lineRule="auto"/>
        <w:rPr>
          <w:rFonts w:ascii="Times New Roman" w:hAnsi="Times New Roman" w:cs="Times New Roman"/>
          <w:sz w:val="24"/>
          <w:szCs w:val="24"/>
        </w:rPr>
      </w:pPr>
    </w:p>
    <w:p w14:paraId="1D132E6B" w14:textId="77777777" w:rsidR="003F208B" w:rsidRDefault="003F208B" w:rsidP="00C31D3B">
      <w:pPr>
        <w:spacing w:after="0" w:line="360" w:lineRule="auto"/>
        <w:rPr>
          <w:rFonts w:ascii="Times New Roman" w:hAnsi="Times New Roman" w:cs="Times New Roman"/>
          <w:sz w:val="24"/>
          <w:szCs w:val="24"/>
        </w:rPr>
      </w:pPr>
    </w:p>
    <w:p w14:paraId="03E88DA0" w14:textId="77777777" w:rsidR="00E66794" w:rsidRDefault="00E66794" w:rsidP="00C31D3B">
      <w:pPr>
        <w:spacing w:after="0" w:line="360" w:lineRule="auto"/>
        <w:rPr>
          <w:rFonts w:ascii="Times New Roman" w:hAnsi="Times New Roman" w:cs="Times New Roman"/>
          <w:sz w:val="24"/>
          <w:szCs w:val="24"/>
        </w:rPr>
      </w:pPr>
    </w:p>
    <w:p w14:paraId="0B8DE2EF" w14:textId="77777777" w:rsidR="00E66794" w:rsidRDefault="00E66794" w:rsidP="00C31D3B">
      <w:pPr>
        <w:spacing w:after="0" w:line="360" w:lineRule="auto"/>
        <w:rPr>
          <w:rFonts w:ascii="Times New Roman" w:hAnsi="Times New Roman" w:cs="Times New Roman"/>
          <w:sz w:val="24"/>
          <w:szCs w:val="24"/>
        </w:rPr>
      </w:pPr>
    </w:p>
    <w:p w14:paraId="5D4799F4" w14:textId="6DF22C47" w:rsidR="00E66794" w:rsidRDefault="00E66794" w:rsidP="00C31D3B">
      <w:pPr>
        <w:spacing w:after="0" w:line="360" w:lineRule="auto"/>
        <w:rPr>
          <w:rFonts w:ascii="Times New Roman" w:hAnsi="Times New Roman" w:cs="Times New Roman"/>
          <w:sz w:val="24"/>
          <w:szCs w:val="24"/>
        </w:rPr>
      </w:pPr>
    </w:p>
    <w:p w14:paraId="7E9994E7" w14:textId="64F25E86" w:rsidR="008C02FC" w:rsidRDefault="008C02FC" w:rsidP="00C31D3B">
      <w:pPr>
        <w:spacing w:after="0" w:line="360" w:lineRule="auto"/>
        <w:rPr>
          <w:rFonts w:ascii="Times New Roman" w:hAnsi="Times New Roman" w:cs="Times New Roman"/>
          <w:sz w:val="24"/>
          <w:szCs w:val="24"/>
        </w:rPr>
      </w:pPr>
    </w:p>
    <w:p w14:paraId="41211737" w14:textId="1034D180" w:rsidR="008C02FC" w:rsidRDefault="008C02FC" w:rsidP="00C31D3B">
      <w:pPr>
        <w:spacing w:after="0" w:line="360" w:lineRule="auto"/>
        <w:rPr>
          <w:rFonts w:ascii="Times New Roman" w:hAnsi="Times New Roman" w:cs="Times New Roman"/>
          <w:sz w:val="24"/>
          <w:szCs w:val="24"/>
        </w:rPr>
      </w:pPr>
    </w:p>
    <w:p w14:paraId="5555DB90" w14:textId="77777777" w:rsidR="008C02FC" w:rsidRPr="00EC6C19" w:rsidRDefault="008C02FC" w:rsidP="00C31D3B">
      <w:pPr>
        <w:spacing w:after="0" w:line="360" w:lineRule="auto"/>
        <w:rPr>
          <w:rFonts w:ascii="Times New Roman" w:hAnsi="Times New Roman" w:cs="Times New Roman"/>
          <w:sz w:val="24"/>
          <w:szCs w:val="24"/>
        </w:rPr>
      </w:pPr>
    </w:p>
    <w:p w14:paraId="1EEA0926" w14:textId="668A0C5F" w:rsidR="00C31D3B" w:rsidRPr="003F208B" w:rsidRDefault="00C31D3B" w:rsidP="003F208B">
      <w:pPr>
        <w:pStyle w:val="Heading1"/>
        <w:rPr>
          <w:rFonts w:ascii="Times New Roman" w:hAnsi="Times New Roman" w:cs="Times New Roman"/>
          <w:color w:val="auto"/>
          <w:sz w:val="24"/>
          <w:szCs w:val="24"/>
        </w:rPr>
      </w:pPr>
      <w:bookmarkStart w:id="258" w:name="_Toc80302307"/>
      <w:r w:rsidRPr="003F208B">
        <w:rPr>
          <w:rFonts w:ascii="Times New Roman" w:hAnsi="Times New Roman" w:cs="Times New Roman"/>
          <w:color w:val="auto"/>
          <w:sz w:val="24"/>
          <w:szCs w:val="24"/>
        </w:rPr>
        <w:t>Appendix D</w:t>
      </w:r>
      <w:r w:rsidR="003F208B" w:rsidRPr="003F208B">
        <w:rPr>
          <w:rFonts w:ascii="Times New Roman" w:hAnsi="Times New Roman" w:cs="Times New Roman"/>
          <w:color w:val="auto"/>
          <w:sz w:val="24"/>
          <w:szCs w:val="24"/>
        </w:rPr>
        <w:t xml:space="preserve"> - Turning Checklist</w:t>
      </w:r>
      <w:r w:rsidR="00C7675C">
        <w:rPr>
          <w:rFonts w:ascii="Times New Roman" w:hAnsi="Times New Roman" w:cs="Times New Roman"/>
          <w:color w:val="auto"/>
          <w:sz w:val="24"/>
          <w:szCs w:val="24"/>
        </w:rPr>
        <w:t xml:space="preserve"> and Description</w:t>
      </w:r>
      <w:bookmarkEnd w:id="258"/>
      <w:r w:rsidR="003F208B">
        <w:rPr>
          <w:rFonts w:ascii="Times New Roman" w:hAnsi="Times New Roman" w:cs="Times New Roman"/>
          <w:color w:val="auto"/>
          <w:sz w:val="24"/>
          <w:szCs w:val="24"/>
        </w:rPr>
        <w:br/>
      </w:r>
    </w:p>
    <w:p w14:paraId="136DB2AD" w14:textId="77777777" w:rsidR="00C31D3B" w:rsidRPr="00EC6C19" w:rsidRDefault="00C31D3B" w:rsidP="00C31D3B">
      <w:pPr>
        <w:spacing w:after="0" w:line="360" w:lineRule="auto"/>
        <w:rPr>
          <w:rFonts w:ascii="Times New Roman" w:hAnsi="Times New Roman" w:cs="Times New Roman"/>
          <w:b/>
          <w:sz w:val="24"/>
          <w:szCs w:val="24"/>
        </w:rPr>
      </w:pPr>
    </w:p>
    <w:p w14:paraId="726C4F57" w14:textId="77777777" w:rsidR="00C31D3B" w:rsidRPr="00EC6C19" w:rsidRDefault="00C31D3B" w:rsidP="00C31D3B">
      <w:pPr>
        <w:spacing w:line="360" w:lineRule="auto"/>
        <w:rPr>
          <w:rFonts w:ascii="Times New Roman" w:hAnsi="Times New Roman" w:cs="Times New Roman"/>
          <w:sz w:val="24"/>
          <w:szCs w:val="24"/>
        </w:rPr>
      </w:pPr>
      <w:r w:rsidRPr="00EC6C19">
        <w:rPr>
          <w:rFonts w:ascii="Times New Roman" w:hAnsi="Times New Roman" w:cs="Times New Roman"/>
          <w:sz w:val="24"/>
          <w:szCs w:val="24"/>
        </w:rPr>
        <w:t>Illustration of order of events / checklist when turning a patient prone during angiography.</w:t>
      </w:r>
    </w:p>
    <w:p w14:paraId="402CBB29" w14:textId="77777777" w:rsidR="00C31D3B" w:rsidRPr="00EC6C19" w:rsidRDefault="00C31D3B" w:rsidP="00C31D3B">
      <w:pPr>
        <w:spacing w:after="0" w:line="360" w:lineRule="auto"/>
        <w:rPr>
          <w:rFonts w:ascii="Times New Roman" w:hAnsi="Times New Roman" w:cs="Times New Roman"/>
          <w:b/>
          <w:sz w:val="24"/>
          <w:szCs w:val="24"/>
        </w:rPr>
      </w:pPr>
    </w:p>
    <w:tbl>
      <w:tblPr>
        <w:tblW w:w="0" w:type="auto"/>
        <w:tblLook w:val="04A0" w:firstRow="1" w:lastRow="0" w:firstColumn="1" w:lastColumn="0" w:noHBand="0" w:noVBand="1"/>
      </w:tblPr>
      <w:tblGrid>
        <w:gridCol w:w="4668"/>
        <w:gridCol w:w="4692"/>
      </w:tblGrid>
      <w:tr w:rsidR="00C31D3B" w:rsidRPr="00EC6C19" w14:paraId="5FAB8AC7" w14:textId="77777777" w:rsidTr="00C7675C">
        <w:tc>
          <w:tcPr>
            <w:tcW w:w="4668" w:type="dxa"/>
            <w:shd w:val="clear" w:color="auto" w:fill="F2F2F2" w:themeFill="background1" w:themeFillShade="F2"/>
          </w:tcPr>
          <w:p w14:paraId="0F14E5CB"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Order of Events / Checklist</w:t>
            </w:r>
          </w:p>
          <w:p w14:paraId="2FC064AE"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2F2F2" w:themeFill="background1" w:themeFillShade="F2"/>
          </w:tcPr>
          <w:p w14:paraId="02E32914"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Responsible Person</w:t>
            </w:r>
          </w:p>
        </w:tc>
      </w:tr>
      <w:tr w:rsidR="00C31D3B" w:rsidRPr="00EC6C19" w14:paraId="2FF8146A" w14:textId="77777777" w:rsidTr="00C7675C">
        <w:tc>
          <w:tcPr>
            <w:tcW w:w="4668" w:type="dxa"/>
            <w:shd w:val="clear" w:color="auto" w:fill="FFFFFF" w:themeFill="background1"/>
          </w:tcPr>
          <w:p w14:paraId="52F7DC12"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Only sheath left in situ</w:t>
            </w:r>
          </w:p>
          <w:p w14:paraId="09C27EFA"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058DE789"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Cardiologist</w:t>
            </w:r>
          </w:p>
        </w:tc>
      </w:tr>
      <w:tr w:rsidR="00C31D3B" w:rsidRPr="00EC6C19" w14:paraId="4726A776" w14:textId="77777777" w:rsidTr="00C7675C">
        <w:tc>
          <w:tcPr>
            <w:tcW w:w="4668" w:type="dxa"/>
            <w:shd w:val="clear" w:color="auto" w:fill="FFFFFF" w:themeFill="background1"/>
          </w:tcPr>
          <w:p w14:paraId="5B33EF56"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X-ray tube moved aside</w:t>
            </w:r>
          </w:p>
          <w:p w14:paraId="7271A55C"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0CE1A293"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Radiographer</w:t>
            </w:r>
          </w:p>
        </w:tc>
      </w:tr>
      <w:tr w:rsidR="00C31D3B" w:rsidRPr="00EC6C19" w14:paraId="4D2B04E6" w14:textId="77777777" w:rsidTr="00C7675C">
        <w:tc>
          <w:tcPr>
            <w:tcW w:w="4668" w:type="dxa"/>
            <w:shd w:val="clear" w:color="auto" w:fill="FFFFFF" w:themeFill="background1"/>
          </w:tcPr>
          <w:p w14:paraId="30F32D57"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Disconnect cannula</w:t>
            </w:r>
          </w:p>
          <w:p w14:paraId="7C1F236A"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519E9E48"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Nurse</w:t>
            </w:r>
          </w:p>
        </w:tc>
      </w:tr>
      <w:tr w:rsidR="00C31D3B" w:rsidRPr="00EC6C19" w14:paraId="5623DBCA" w14:textId="77777777" w:rsidTr="00C7675C">
        <w:tc>
          <w:tcPr>
            <w:tcW w:w="4668" w:type="dxa"/>
            <w:shd w:val="clear" w:color="auto" w:fill="FFFFFF" w:themeFill="background1"/>
          </w:tcPr>
          <w:p w14:paraId="0667D61B"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Two slide sheets on correct side</w:t>
            </w:r>
          </w:p>
          <w:p w14:paraId="588D8886"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48BB57CB"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Nurse / Radiographer / Physiologist</w:t>
            </w:r>
          </w:p>
        </w:tc>
      </w:tr>
      <w:tr w:rsidR="00C31D3B" w:rsidRPr="00EC6C19" w14:paraId="28852B8B" w14:textId="77777777" w:rsidTr="00C7675C">
        <w:tc>
          <w:tcPr>
            <w:tcW w:w="4668" w:type="dxa"/>
            <w:shd w:val="clear" w:color="auto" w:fill="FFFFFF" w:themeFill="background1"/>
          </w:tcPr>
          <w:p w14:paraId="38B3B471"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Two members of staff on each side of the table</w:t>
            </w:r>
          </w:p>
          <w:p w14:paraId="611E27A5"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5CE3C18D"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Nurse / Radiographer /Physiologist / Researcher</w:t>
            </w:r>
          </w:p>
        </w:tc>
      </w:tr>
      <w:tr w:rsidR="00C31D3B" w:rsidRPr="00EC6C19" w14:paraId="07061FB4" w14:textId="77777777" w:rsidTr="00C7675C">
        <w:tc>
          <w:tcPr>
            <w:tcW w:w="4668" w:type="dxa"/>
            <w:shd w:val="clear" w:color="auto" w:fill="FFFFFF" w:themeFill="background1"/>
          </w:tcPr>
          <w:p w14:paraId="17E44DDD"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Turn prone (pull slide sheets) and keep patient central on fluoroscopy table</w:t>
            </w:r>
          </w:p>
          <w:p w14:paraId="2C8BCD03"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0A44A8A3"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Nurse / Radiographer /Physiologist / Researcher</w:t>
            </w:r>
          </w:p>
        </w:tc>
      </w:tr>
      <w:tr w:rsidR="00C31D3B" w:rsidRPr="00EC6C19" w14:paraId="41F5C9EC" w14:textId="77777777" w:rsidTr="00C7675C">
        <w:tc>
          <w:tcPr>
            <w:tcW w:w="4668" w:type="dxa"/>
            <w:shd w:val="clear" w:color="auto" w:fill="FFFFFF" w:themeFill="background1"/>
          </w:tcPr>
          <w:p w14:paraId="10FAEF7F"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Reconnect cannula</w:t>
            </w:r>
          </w:p>
          <w:p w14:paraId="05C289F9"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1333B6BA"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Nurse</w:t>
            </w:r>
          </w:p>
        </w:tc>
      </w:tr>
      <w:tr w:rsidR="00C31D3B" w:rsidRPr="00EC6C19" w14:paraId="343CFC01" w14:textId="77777777" w:rsidTr="00C7675C">
        <w:tc>
          <w:tcPr>
            <w:tcW w:w="4668" w:type="dxa"/>
            <w:shd w:val="clear" w:color="auto" w:fill="FFFFFF" w:themeFill="background1"/>
          </w:tcPr>
          <w:p w14:paraId="0D504019"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Adjust ECG stickers if needed</w:t>
            </w:r>
          </w:p>
          <w:p w14:paraId="5AB7BEFF"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56271427"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Physiologist</w:t>
            </w:r>
          </w:p>
        </w:tc>
      </w:tr>
      <w:tr w:rsidR="00C31D3B" w:rsidRPr="00EC6C19" w14:paraId="509741D9" w14:textId="77777777" w:rsidTr="00C7675C">
        <w:tc>
          <w:tcPr>
            <w:tcW w:w="4668" w:type="dxa"/>
            <w:shd w:val="clear" w:color="auto" w:fill="FFFFFF" w:themeFill="background1"/>
          </w:tcPr>
          <w:p w14:paraId="229C720E"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Re-drape / resterilise</w:t>
            </w:r>
          </w:p>
          <w:p w14:paraId="66D045B2"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5F0EA9DC"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Nurse/Cardiologist</w:t>
            </w:r>
          </w:p>
        </w:tc>
      </w:tr>
      <w:tr w:rsidR="00C31D3B" w:rsidRPr="00EC6C19" w14:paraId="19ACFB83" w14:textId="77777777" w:rsidTr="00C7675C">
        <w:tc>
          <w:tcPr>
            <w:tcW w:w="4668" w:type="dxa"/>
            <w:shd w:val="clear" w:color="auto" w:fill="FFFFFF" w:themeFill="background1"/>
          </w:tcPr>
          <w:p w14:paraId="55C6155F"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Continue with procedure</w:t>
            </w:r>
          </w:p>
          <w:p w14:paraId="2B2EBACD" w14:textId="77777777" w:rsidR="00C31D3B" w:rsidRPr="00EC6C19" w:rsidRDefault="00C31D3B" w:rsidP="001F68B8">
            <w:pPr>
              <w:spacing w:line="360" w:lineRule="auto"/>
              <w:rPr>
                <w:rFonts w:ascii="Times New Roman" w:hAnsi="Times New Roman" w:cs="Times New Roman"/>
                <w:sz w:val="24"/>
                <w:szCs w:val="24"/>
              </w:rPr>
            </w:pPr>
          </w:p>
        </w:tc>
        <w:tc>
          <w:tcPr>
            <w:tcW w:w="4692" w:type="dxa"/>
            <w:shd w:val="clear" w:color="auto" w:fill="FFFFFF" w:themeFill="background1"/>
          </w:tcPr>
          <w:p w14:paraId="3AC1036B" w14:textId="77777777" w:rsidR="00C31D3B" w:rsidRPr="00EC6C19" w:rsidRDefault="00C31D3B"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Cardiologist</w:t>
            </w:r>
          </w:p>
        </w:tc>
      </w:tr>
    </w:tbl>
    <w:p w14:paraId="59098827" w14:textId="385DAFAB" w:rsidR="00C7675C" w:rsidRPr="00C7675C" w:rsidRDefault="00C7675C" w:rsidP="00C7675C">
      <w:pPr>
        <w:spacing w:line="360" w:lineRule="auto"/>
        <w:rPr>
          <w:rFonts w:ascii="Times New Roman" w:hAnsi="Times New Roman" w:cs="Times New Roman"/>
          <w:sz w:val="24"/>
          <w:szCs w:val="24"/>
        </w:rPr>
      </w:pPr>
      <w:r w:rsidRPr="00C7675C">
        <w:rPr>
          <w:rFonts w:ascii="Times New Roman" w:hAnsi="Times New Roman" w:cs="Times New Roman"/>
          <w:sz w:val="24"/>
          <w:szCs w:val="24"/>
        </w:rPr>
        <w:t>The physical movement of a supine patient to prone and vice versa was something the institution had experience of in the intensive care unit. The expertise from the intensive care unit was passed down to the catheter laboratory staff and incorporated into the study</w:t>
      </w:r>
      <w:r>
        <w:rPr>
          <w:rFonts w:ascii="Times New Roman" w:hAnsi="Times New Roman" w:cs="Times New Roman"/>
          <w:sz w:val="24"/>
          <w:szCs w:val="24"/>
        </w:rPr>
        <w:t>.</w:t>
      </w:r>
      <w:r w:rsidRPr="00C7675C">
        <w:rPr>
          <w:rFonts w:ascii="Times New Roman" w:hAnsi="Times New Roman" w:cs="Times New Roman"/>
          <w:sz w:val="24"/>
          <w:szCs w:val="24"/>
        </w:rPr>
        <w:t xml:space="preserve"> Patients were not sedated as on intensive care, the arterial sheath used during angiography is larger and less malleable than an arterial line, and the fluoroscopy table is also significantly narrower than a standard ICU bed. ECG monitoring and intravenous lines were another potential issue which we had to take into consideration. On turning, sterile drapes would need to be replaced.</w:t>
      </w:r>
    </w:p>
    <w:p w14:paraId="3B394142" w14:textId="77777777" w:rsidR="003C628E" w:rsidRDefault="00C7675C" w:rsidP="00C7675C">
      <w:pPr>
        <w:spacing w:line="360" w:lineRule="auto"/>
        <w:rPr>
          <w:rFonts w:ascii="Times New Roman" w:hAnsi="Times New Roman" w:cs="Times New Roman"/>
          <w:sz w:val="24"/>
          <w:szCs w:val="24"/>
        </w:rPr>
      </w:pPr>
      <w:r w:rsidRPr="00C7675C">
        <w:rPr>
          <w:rFonts w:ascii="Times New Roman" w:hAnsi="Times New Roman" w:cs="Times New Roman"/>
          <w:sz w:val="24"/>
          <w:szCs w:val="24"/>
        </w:rPr>
        <w:t>To prepare for the real situation, multiple 'dry runs' using volunteer members of staff were conducted, mimicking the turning procedure.</w:t>
      </w:r>
      <w:r w:rsidR="003C628E">
        <w:rPr>
          <w:rFonts w:ascii="Times New Roman" w:hAnsi="Times New Roman" w:cs="Times New Roman"/>
          <w:sz w:val="24"/>
          <w:szCs w:val="24"/>
        </w:rPr>
        <w:t xml:space="preserve"> On simulation of turning during these dry runs,</w:t>
      </w:r>
      <w:r w:rsidRPr="00C7675C">
        <w:rPr>
          <w:rFonts w:ascii="Times New Roman" w:hAnsi="Times New Roman" w:cs="Times New Roman"/>
          <w:sz w:val="24"/>
          <w:szCs w:val="24"/>
        </w:rPr>
        <w:t xml:space="preserve"> </w:t>
      </w:r>
      <w:r w:rsidR="003C628E">
        <w:rPr>
          <w:rFonts w:ascii="Times New Roman" w:hAnsi="Times New Roman" w:cs="Times New Roman"/>
          <w:sz w:val="24"/>
          <w:szCs w:val="24"/>
        </w:rPr>
        <w:t>a</w:t>
      </w:r>
      <w:r w:rsidRPr="00C7675C">
        <w:rPr>
          <w:rFonts w:ascii="Times New Roman" w:hAnsi="Times New Roman" w:cs="Times New Roman"/>
          <w:sz w:val="24"/>
          <w:szCs w:val="24"/>
        </w:rPr>
        <w:t xml:space="preserve">rterial sheaths and venous cannulae were taped onto the skin, and ECG stickers attached as on a real patient. Two members of staff from each catheter laboratory discipline were invited (two nurses, two physiologists, two radiographers and two cardiologists) as well a senior ICU nurse. The patient was treated as a 'sedated' patient and prompted not to assist or move the left arm (holding the radial sheath). Two slide sheets are inserted under the patient and pulled in the correct direction to assist proning. Two members of staff are situated on each side of the table to ensure the patient cannot fall off the table and a central position is maintained. </w:t>
      </w:r>
    </w:p>
    <w:p w14:paraId="6AF38C34" w14:textId="16FEC97F" w:rsidR="003C628E" w:rsidRDefault="003C628E" w:rsidP="00C7675C">
      <w:pPr>
        <w:spacing w:line="360" w:lineRule="auto"/>
        <w:rPr>
          <w:rFonts w:ascii="Times New Roman" w:hAnsi="Times New Roman" w:cs="Times New Roman"/>
          <w:sz w:val="24"/>
          <w:szCs w:val="24"/>
        </w:rPr>
      </w:pPr>
      <w:r>
        <w:rPr>
          <w:rFonts w:ascii="Times New Roman" w:hAnsi="Times New Roman" w:cs="Times New Roman"/>
          <w:sz w:val="24"/>
          <w:szCs w:val="24"/>
        </w:rPr>
        <w:t xml:space="preserve">In real situations, patients would start prone and would be turned supine. </w:t>
      </w:r>
      <w:r w:rsidR="00C7675C" w:rsidRPr="00C7675C">
        <w:rPr>
          <w:rFonts w:ascii="Times New Roman" w:hAnsi="Times New Roman" w:cs="Times New Roman"/>
          <w:sz w:val="24"/>
          <w:szCs w:val="24"/>
        </w:rPr>
        <w:t xml:space="preserve">Before </w:t>
      </w:r>
      <w:r>
        <w:rPr>
          <w:rFonts w:ascii="Times New Roman" w:hAnsi="Times New Roman" w:cs="Times New Roman"/>
          <w:sz w:val="24"/>
          <w:szCs w:val="24"/>
        </w:rPr>
        <w:t>turning</w:t>
      </w:r>
      <w:r w:rsidR="00C7675C" w:rsidRPr="00C7675C">
        <w:rPr>
          <w:rFonts w:ascii="Times New Roman" w:hAnsi="Times New Roman" w:cs="Times New Roman"/>
          <w:sz w:val="24"/>
          <w:szCs w:val="24"/>
        </w:rPr>
        <w:t xml:space="preserve">, all coronary catheters, physiology wires were removed from the patient. Cannulae </w:t>
      </w:r>
      <w:r>
        <w:rPr>
          <w:rFonts w:ascii="Times New Roman" w:hAnsi="Times New Roman" w:cs="Times New Roman"/>
          <w:sz w:val="24"/>
          <w:szCs w:val="24"/>
        </w:rPr>
        <w:t>were</w:t>
      </w:r>
      <w:r w:rsidR="00C7675C" w:rsidRPr="00C7675C">
        <w:rPr>
          <w:rFonts w:ascii="Times New Roman" w:hAnsi="Times New Roman" w:cs="Times New Roman"/>
          <w:sz w:val="24"/>
          <w:szCs w:val="24"/>
        </w:rPr>
        <w:t xml:space="preserve"> disconnected and reconnected once the manoeuvre had finished. ECG leads were not removed but could be adjusted if displaced during repositioning. The only invasive device left in situ, was the radial sheath itself. This was covered with an inflatable band or clear dressing, to help keep it in position during the turn. Displacement of the sheath was a possibility during turning, and the team had to be observant regarding this issue.</w:t>
      </w:r>
    </w:p>
    <w:p w14:paraId="5DB932BB" w14:textId="0F0B78F1" w:rsidR="00C7675C" w:rsidRPr="00B87536" w:rsidRDefault="003C628E" w:rsidP="00C7675C">
      <w:pPr>
        <w:spacing w:line="360" w:lineRule="auto"/>
        <w:rPr>
          <w:rFonts w:ascii="Arial" w:hAnsi="Arial" w:cs="Arial"/>
        </w:rPr>
      </w:pPr>
      <w:r>
        <w:rPr>
          <w:rFonts w:ascii="Times New Roman" w:hAnsi="Times New Roman" w:cs="Times New Roman"/>
          <w:sz w:val="24"/>
          <w:szCs w:val="24"/>
        </w:rPr>
        <w:t>Once two members of staff were on each side of the patient, the slide sheets were pulled to turn the patient over. The patient was positioned centrally on the table after turning. ECG stickers were checked to ensure adequate contact. Cannulae were reconnected and the procedure continued as in a normal supine patient via the left radial artery with the catheter and wire re-inserted.</w:t>
      </w:r>
      <w:r w:rsidR="00C7675C" w:rsidRPr="00C7675C">
        <w:rPr>
          <w:rFonts w:ascii="Times New Roman" w:hAnsi="Times New Roman" w:cs="Times New Roman"/>
          <w:sz w:val="24"/>
          <w:szCs w:val="24"/>
        </w:rPr>
        <w:t xml:space="preserve"> </w:t>
      </w:r>
    </w:p>
    <w:p w14:paraId="1C3989B0" w14:textId="22AA3F65" w:rsidR="00C31D3B" w:rsidRPr="003C628E" w:rsidRDefault="003C628E" w:rsidP="00C31D3B">
      <w:pPr>
        <w:spacing w:after="0" w:line="360" w:lineRule="auto"/>
        <w:rPr>
          <w:rFonts w:ascii="Times New Roman" w:hAnsi="Times New Roman" w:cs="Times New Roman"/>
          <w:bCs/>
          <w:sz w:val="24"/>
          <w:szCs w:val="24"/>
        </w:rPr>
      </w:pPr>
      <w:r>
        <w:rPr>
          <w:rFonts w:ascii="Times New Roman" w:hAnsi="Times New Roman" w:cs="Times New Roman"/>
          <w:bCs/>
          <w:sz w:val="24"/>
          <w:szCs w:val="24"/>
        </w:rPr>
        <w:t>It became clear after the first two patients, that most were able to turn themselves, with assistance and instructions regarding the arterial sheath. Slide sheets were no longer required, and often patients turned independently, without using the left arm to maintain the radial sheath and avoid damaging the radial artery.</w:t>
      </w:r>
    </w:p>
    <w:p w14:paraId="6663E825" w14:textId="77777777" w:rsidR="00C31D3B" w:rsidRDefault="00C31D3B" w:rsidP="00C31D3B">
      <w:pPr>
        <w:rPr>
          <w:rFonts w:ascii="Times New Roman" w:hAnsi="Times New Roman" w:cs="Times New Roman"/>
          <w:sz w:val="24"/>
          <w:szCs w:val="24"/>
        </w:rPr>
      </w:pPr>
    </w:p>
    <w:p w14:paraId="21CDD106" w14:textId="77777777" w:rsidR="00F20902" w:rsidRDefault="00F20902" w:rsidP="00C31D3B">
      <w:pPr>
        <w:rPr>
          <w:rFonts w:ascii="Times New Roman" w:hAnsi="Times New Roman" w:cs="Times New Roman"/>
          <w:sz w:val="24"/>
          <w:szCs w:val="24"/>
        </w:rPr>
      </w:pPr>
    </w:p>
    <w:p w14:paraId="6FD89723" w14:textId="77777777" w:rsidR="00F20902" w:rsidRDefault="00F20902" w:rsidP="00C31D3B">
      <w:pPr>
        <w:rPr>
          <w:rFonts w:ascii="Times New Roman" w:hAnsi="Times New Roman" w:cs="Times New Roman"/>
          <w:sz w:val="24"/>
          <w:szCs w:val="24"/>
        </w:rPr>
      </w:pPr>
    </w:p>
    <w:p w14:paraId="632B1040" w14:textId="77777777" w:rsidR="00F20902" w:rsidRDefault="00F20902" w:rsidP="00C31D3B">
      <w:pPr>
        <w:rPr>
          <w:rFonts w:ascii="Times New Roman" w:hAnsi="Times New Roman" w:cs="Times New Roman"/>
          <w:sz w:val="24"/>
          <w:szCs w:val="24"/>
        </w:rPr>
      </w:pPr>
    </w:p>
    <w:p w14:paraId="061B4EE1" w14:textId="77777777" w:rsidR="00F20902" w:rsidRDefault="00F20902" w:rsidP="00C31D3B">
      <w:pPr>
        <w:rPr>
          <w:rFonts w:ascii="Times New Roman" w:hAnsi="Times New Roman" w:cs="Times New Roman"/>
          <w:sz w:val="24"/>
          <w:szCs w:val="24"/>
        </w:rPr>
      </w:pPr>
    </w:p>
    <w:p w14:paraId="60ADC93B" w14:textId="77777777" w:rsidR="00F20902" w:rsidRDefault="00F20902" w:rsidP="00C31D3B">
      <w:pPr>
        <w:rPr>
          <w:rFonts w:ascii="Times New Roman" w:hAnsi="Times New Roman" w:cs="Times New Roman"/>
          <w:sz w:val="24"/>
          <w:szCs w:val="24"/>
        </w:rPr>
      </w:pPr>
    </w:p>
    <w:p w14:paraId="060DBED1" w14:textId="77777777" w:rsidR="00F20902" w:rsidRDefault="00F20902" w:rsidP="00C31D3B">
      <w:pPr>
        <w:rPr>
          <w:rFonts w:ascii="Times New Roman" w:hAnsi="Times New Roman" w:cs="Times New Roman"/>
          <w:sz w:val="24"/>
          <w:szCs w:val="24"/>
        </w:rPr>
      </w:pPr>
    </w:p>
    <w:p w14:paraId="585E1E5B" w14:textId="77777777" w:rsidR="00F20902" w:rsidRDefault="00F20902" w:rsidP="00C31D3B">
      <w:pPr>
        <w:rPr>
          <w:rFonts w:ascii="Times New Roman" w:hAnsi="Times New Roman" w:cs="Times New Roman"/>
          <w:sz w:val="24"/>
          <w:szCs w:val="24"/>
        </w:rPr>
      </w:pPr>
    </w:p>
    <w:p w14:paraId="2DBF7F5F" w14:textId="77777777" w:rsidR="00F20902" w:rsidRDefault="00F20902" w:rsidP="00C31D3B">
      <w:pPr>
        <w:rPr>
          <w:rFonts w:ascii="Times New Roman" w:hAnsi="Times New Roman" w:cs="Times New Roman"/>
          <w:sz w:val="24"/>
          <w:szCs w:val="24"/>
        </w:rPr>
      </w:pPr>
    </w:p>
    <w:p w14:paraId="26863216" w14:textId="77777777" w:rsidR="00F20902" w:rsidRDefault="00F20902" w:rsidP="00C31D3B">
      <w:pPr>
        <w:rPr>
          <w:rFonts w:ascii="Times New Roman" w:hAnsi="Times New Roman" w:cs="Times New Roman"/>
          <w:sz w:val="24"/>
          <w:szCs w:val="24"/>
        </w:rPr>
      </w:pPr>
    </w:p>
    <w:p w14:paraId="053C2FEA" w14:textId="77777777" w:rsidR="00F20902" w:rsidRDefault="00F20902" w:rsidP="00C31D3B">
      <w:pPr>
        <w:rPr>
          <w:rFonts w:ascii="Times New Roman" w:hAnsi="Times New Roman" w:cs="Times New Roman"/>
          <w:sz w:val="24"/>
          <w:szCs w:val="24"/>
        </w:rPr>
      </w:pPr>
    </w:p>
    <w:p w14:paraId="7106E724" w14:textId="77777777" w:rsidR="00F20902" w:rsidRDefault="00F20902" w:rsidP="00C31D3B">
      <w:pPr>
        <w:rPr>
          <w:rFonts w:ascii="Times New Roman" w:hAnsi="Times New Roman" w:cs="Times New Roman"/>
          <w:sz w:val="24"/>
          <w:szCs w:val="24"/>
        </w:rPr>
      </w:pPr>
    </w:p>
    <w:p w14:paraId="30DE46B1" w14:textId="77777777" w:rsidR="00F20902" w:rsidRDefault="00F20902" w:rsidP="00C31D3B">
      <w:pPr>
        <w:rPr>
          <w:rFonts w:ascii="Times New Roman" w:hAnsi="Times New Roman" w:cs="Times New Roman"/>
          <w:sz w:val="24"/>
          <w:szCs w:val="24"/>
        </w:rPr>
      </w:pPr>
    </w:p>
    <w:p w14:paraId="5A4ABC75" w14:textId="77777777" w:rsidR="00F20902" w:rsidRDefault="00F20902" w:rsidP="00C31D3B">
      <w:pPr>
        <w:rPr>
          <w:rFonts w:ascii="Times New Roman" w:hAnsi="Times New Roman" w:cs="Times New Roman"/>
          <w:sz w:val="24"/>
          <w:szCs w:val="24"/>
        </w:rPr>
      </w:pPr>
    </w:p>
    <w:p w14:paraId="002CAB46" w14:textId="77777777" w:rsidR="00F20902" w:rsidRDefault="00F20902" w:rsidP="00C31D3B">
      <w:pPr>
        <w:rPr>
          <w:rFonts w:ascii="Times New Roman" w:hAnsi="Times New Roman" w:cs="Times New Roman"/>
          <w:sz w:val="24"/>
          <w:szCs w:val="24"/>
        </w:rPr>
      </w:pPr>
    </w:p>
    <w:p w14:paraId="0A909965" w14:textId="77777777" w:rsidR="001F68B8" w:rsidRPr="003F208B" w:rsidRDefault="001F68B8" w:rsidP="003F208B">
      <w:pPr>
        <w:pStyle w:val="Heading1"/>
        <w:rPr>
          <w:rFonts w:ascii="Times New Roman" w:hAnsi="Times New Roman" w:cs="Times New Roman"/>
          <w:color w:val="auto"/>
          <w:sz w:val="24"/>
          <w:szCs w:val="24"/>
        </w:rPr>
      </w:pPr>
      <w:bookmarkStart w:id="259" w:name="_Toc80302308"/>
      <w:r w:rsidRPr="003F208B">
        <w:rPr>
          <w:rFonts w:ascii="Times New Roman" w:hAnsi="Times New Roman" w:cs="Times New Roman"/>
          <w:color w:val="auto"/>
          <w:sz w:val="24"/>
          <w:szCs w:val="24"/>
        </w:rPr>
        <w:t>Appendix E</w:t>
      </w:r>
      <w:r w:rsidR="003F208B" w:rsidRPr="003F208B">
        <w:rPr>
          <w:rFonts w:ascii="Times New Roman" w:hAnsi="Times New Roman" w:cs="Times New Roman"/>
          <w:color w:val="auto"/>
          <w:sz w:val="24"/>
          <w:szCs w:val="24"/>
        </w:rPr>
        <w:t xml:space="preserve"> - Image Acquisition During Angiography</w:t>
      </w:r>
      <w:bookmarkEnd w:id="259"/>
      <w:r w:rsidR="003F208B">
        <w:rPr>
          <w:rFonts w:ascii="Times New Roman" w:hAnsi="Times New Roman" w:cs="Times New Roman"/>
          <w:color w:val="auto"/>
          <w:sz w:val="24"/>
          <w:szCs w:val="24"/>
        </w:rPr>
        <w:br/>
      </w:r>
    </w:p>
    <w:p w14:paraId="68597594" w14:textId="77777777" w:rsidR="001F68B8" w:rsidRPr="00EC6C19" w:rsidRDefault="001F68B8" w:rsidP="00C31D3B">
      <w:pPr>
        <w:rPr>
          <w:rFonts w:ascii="Times New Roman" w:hAnsi="Times New Roman" w:cs="Times New Roman"/>
          <w:b/>
          <w:sz w:val="24"/>
          <w:szCs w:val="24"/>
        </w:rPr>
      </w:pPr>
    </w:p>
    <w:p w14:paraId="4B00B051"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Difference in viewing angles to achieve the same visualisation when comparing supine to prone imaging. AP - Anterioposterior, LAO - Left anterior oblique, RAO - right anterior oblique</w:t>
      </w:r>
    </w:p>
    <w:p w14:paraId="7478EF6F" w14:textId="77777777" w:rsidR="001F68B8" w:rsidRPr="00EC6C19" w:rsidRDefault="001F68B8" w:rsidP="00C31D3B">
      <w:pPr>
        <w:rPr>
          <w:rFonts w:ascii="Times New Roman" w:hAnsi="Times New Roman" w:cs="Times New Roman"/>
          <w:b/>
          <w:sz w:val="24"/>
          <w:szCs w:val="24"/>
        </w:rPr>
      </w:pPr>
    </w:p>
    <w:tbl>
      <w:tblPr>
        <w:tblW w:w="0" w:type="auto"/>
        <w:tblLook w:val="04A0" w:firstRow="1" w:lastRow="0" w:firstColumn="1" w:lastColumn="0" w:noHBand="0" w:noVBand="1"/>
      </w:tblPr>
      <w:tblGrid>
        <w:gridCol w:w="3120"/>
        <w:gridCol w:w="3120"/>
        <w:gridCol w:w="3120"/>
      </w:tblGrid>
      <w:tr w:rsidR="001F68B8" w:rsidRPr="00EC6C19" w14:paraId="3EA77173" w14:textId="77777777" w:rsidTr="001F68B8">
        <w:tc>
          <w:tcPr>
            <w:tcW w:w="3192" w:type="dxa"/>
            <w:shd w:val="clear" w:color="auto" w:fill="F2F2F2" w:themeFill="background1" w:themeFillShade="F2"/>
          </w:tcPr>
          <w:p w14:paraId="5E86779F"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Vessel Imaged</w:t>
            </w:r>
          </w:p>
          <w:p w14:paraId="67A80A2B" w14:textId="77777777" w:rsidR="001F68B8" w:rsidRPr="00EC6C19" w:rsidRDefault="001F68B8" w:rsidP="001F68B8">
            <w:pPr>
              <w:spacing w:line="360" w:lineRule="auto"/>
              <w:rPr>
                <w:rFonts w:ascii="Times New Roman" w:hAnsi="Times New Roman" w:cs="Times New Roman"/>
                <w:sz w:val="24"/>
                <w:szCs w:val="24"/>
              </w:rPr>
            </w:pPr>
          </w:p>
        </w:tc>
        <w:tc>
          <w:tcPr>
            <w:tcW w:w="3192" w:type="dxa"/>
            <w:shd w:val="clear" w:color="auto" w:fill="F2F2F2" w:themeFill="background1" w:themeFillShade="F2"/>
          </w:tcPr>
          <w:p w14:paraId="349AF3AE"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Supine X-ray view</w:t>
            </w:r>
          </w:p>
        </w:tc>
        <w:tc>
          <w:tcPr>
            <w:tcW w:w="3192" w:type="dxa"/>
            <w:shd w:val="clear" w:color="auto" w:fill="F2F2F2" w:themeFill="background1" w:themeFillShade="F2"/>
          </w:tcPr>
          <w:p w14:paraId="37832ECE"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Prone X-ray view</w:t>
            </w:r>
          </w:p>
        </w:tc>
      </w:tr>
      <w:tr w:rsidR="001F68B8" w:rsidRPr="00EC6C19" w14:paraId="710222B3" w14:textId="77777777" w:rsidTr="001F68B8">
        <w:tc>
          <w:tcPr>
            <w:tcW w:w="3192" w:type="dxa"/>
            <w:shd w:val="clear" w:color="auto" w:fill="FFFFFF" w:themeFill="background1"/>
          </w:tcPr>
          <w:p w14:paraId="38B80FBC"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LAD</w:t>
            </w:r>
          </w:p>
          <w:p w14:paraId="084079AA" w14:textId="77777777" w:rsidR="001F68B8" w:rsidRPr="00EC6C19" w:rsidRDefault="001F68B8" w:rsidP="001F68B8">
            <w:pPr>
              <w:spacing w:line="360" w:lineRule="auto"/>
              <w:rPr>
                <w:rFonts w:ascii="Times New Roman" w:hAnsi="Times New Roman" w:cs="Times New Roman"/>
                <w:sz w:val="24"/>
                <w:szCs w:val="24"/>
              </w:rPr>
            </w:pPr>
          </w:p>
        </w:tc>
        <w:tc>
          <w:tcPr>
            <w:tcW w:w="3192" w:type="dxa"/>
            <w:shd w:val="clear" w:color="auto" w:fill="FFFFFF" w:themeFill="background1"/>
          </w:tcPr>
          <w:p w14:paraId="2C88247C"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AP Cranial</w:t>
            </w:r>
          </w:p>
        </w:tc>
        <w:tc>
          <w:tcPr>
            <w:tcW w:w="3192" w:type="dxa"/>
            <w:shd w:val="clear" w:color="auto" w:fill="FFFFFF" w:themeFill="background1"/>
          </w:tcPr>
          <w:p w14:paraId="7DEC6596"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AP Caudal</w:t>
            </w:r>
          </w:p>
        </w:tc>
      </w:tr>
      <w:tr w:rsidR="001F68B8" w:rsidRPr="00EC6C19" w14:paraId="01B555A3" w14:textId="77777777" w:rsidTr="001F68B8">
        <w:tc>
          <w:tcPr>
            <w:tcW w:w="3192" w:type="dxa"/>
            <w:shd w:val="clear" w:color="auto" w:fill="FFFFFF" w:themeFill="background1"/>
          </w:tcPr>
          <w:p w14:paraId="79FA2CED"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LAD</w:t>
            </w:r>
          </w:p>
          <w:p w14:paraId="0D9A82B3" w14:textId="77777777" w:rsidR="001F68B8" w:rsidRPr="00EC6C19" w:rsidRDefault="001F68B8" w:rsidP="001F68B8">
            <w:pPr>
              <w:spacing w:line="360" w:lineRule="auto"/>
              <w:rPr>
                <w:rFonts w:ascii="Times New Roman" w:hAnsi="Times New Roman" w:cs="Times New Roman"/>
                <w:sz w:val="24"/>
                <w:szCs w:val="24"/>
              </w:rPr>
            </w:pPr>
          </w:p>
        </w:tc>
        <w:tc>
          <w:tcPr>
            <w:tcW w:w="3192" w:type="dxa"/>
            <w:shd w:val="clear" w:color="auto" w:fill="FFFFFF" w:themeFill="background1"/>
          </w:tcPr>
          <w:p w14:paraId="7B94D794"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LAO Cranial</w:t>
            </w:r>
          </w:p>
        </w:tc>
        <w:tc>
          <w:tcPr>
            <w:tcW w:w="3192" w:type="dxa"/>
            <w:shd w:val="clear" w:color="auto" w:fill="FFFFFF" w:themeFill="background1"/>
          </w:tcPr>
          <w:p w14:paraId="181F3EB5"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RAO Caudal</w:t>
            </w:r>
          </w:p>
        </w:tc>
      </w:tr>
      <w:tr w:rsidR="001F68B8" w:rsidRPr="00EC6C19" w14:paraId="6C25558C" w14:textId="77777777" w:rsidTr="001F68B8">
        <w:tc>
          <w:tcPr>
            <w:tcW w:w="3192" w:type="dxa"/>
            <w:shd w:val="clear" w:color="auto" w:fill="FFFFFF" w:themeFill="background1"/>
          </w:tcPr>
          <w:p w14:paraId="24A30451"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Cx</w:t>
            </w:r>
          </w:p>
          <w:p w14:paraId="1CE95073" w14:textId="77777777" w:rsidR="001F68B8" w:rsidRPr="00EC6C19" w:rsidRDefault="001F68B8" w:rsidP="001F68B8">
            <w:pPr>
              <w:spacing w:line="360" w:lineRule="auto"/>
              <w:rPr>
                <w:rFonts w:ascii="Times New Roman" w:hAnsi="Times New Roman" w:cs="Times New Roman"/>
                <w:sz w:val="24"/>
                <w:szCs w:val="24"/>
              </w:rPr>
            </w:pPr>
          </w:p>
        </w:tc>
        <w:tc>
          <w:tcPr>
            <w:tcW w:w="3192" w:type="dxa"/>
            <w:shd w:val="clear" w:color="auto" w:fill="FFFFFF" w:themeFill="background1"/>
          </w:tcPr>
          <w:p w14:paraId="3DC01F06"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AP Caudal</w:t>
            </w:r>
          </w:p>
        </w:tc>
        <w:tc>
          <w:tcPr>
            <w:tcW w:w="3192" w:type="dxa"/>
            <w:shd w:val="clear" w:color="auto" w:fill="FFFFFF" w:themeFill="background1"/>
          </w:tcPr>
          <w:p w14:paraId="0E72FB74"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AP Cranial</w:t>
            </w:r>
          </w:p>
        </w:tc>
      </w:tr>
      <w:tr w:rsidR="001F68B8" w:rsidRPr="00EC6C19" w14:paraId="7431FE2C" w14:textId="77777777" w:rsidTr="001F68B8">
        <w:tc>
          <w:tcPr>
            <w:tcW w:w="3192" w:type="dxa"/>
            <w:shd w:val="clear" w:color="auto" w:fill="FFFFFF" w:themeFill="background1"/>
          </w:tcPr>
          <w:p w14:paraId="6F4FD5D7"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Cx</w:t>
            </w:r>
          </w:p>
          <w:p w14:paraId="64CB8E37" w14:textId="77777777" w:rsidR="001F68B8" w:rsidRPr="00EC6C19" w:rsidRDefault="001F68B8" w:rsidP="001F68B8">
            <w:pPr>
              <w:spacing w:line="360" w:lineRule="auto"/>
              <w:rPr>
                <w:rFonts w:ascii="Times New Roman" w:hAnsi="Times New Roman" w:cs="Times New Roman"/>
                <w:sz w:val="24"/>
                <w:szCs w:val="24"/>
              </w:rPr>
            </w:pPr>
          </w:p>
        </w:tc>
        <w:tc>
          <w:tcPr>
            <w:tcW w:w="3192" w:type="dxa"/>
            <w:shd w:val="clear" w:color="auto" w:fill="FFFFFF" w:themeFill="background1"/>
          </w:tcPr>
          <w:p w14:paraId="701BD095"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LAO Caudal</w:t>
            </w:r>
          </w:p>
        </w:tc>
        <w:tc>
          <w:tcPr>
            <w:tcW w:w="3192" w:type="dxa"/>
            <w:shd w:val="clear" w:color="auto" w:fill="FFFFFF" w:themeFill="background1"/>
          </w:tcPr>
          <w:p w14:paraId="761DE6F3"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RAO Cranial</w:t>
            </w:r>
          </w:p>
        </w:tc>
      </w:tr>
      <w:tr w:rsidR="001F68B8" w:rsidRPr="00EC6C19" w14:paraId="49021714" w14:textId="77777777" w:rsidTr="001F68B8">
        <w:tc>
          <w:tcPr>
            <w:tcW w:w="3192" w:type="dxa"/>
            <w:shd w:val="clear" w:color="auto" w:fill="FFFFFF" w:themeFill="background1"/>
          </w:tcPr>
          <w:p w14:paraId="3CF0CE9A"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RCA</w:t>
            </w:r>
          </w:p>
          <w:p w14:paraId="7D32C415" w14:textId="77777777" w:rsidR="001F68B8" w:rsidRPr="00EC6C19" w:rsidRDefault="001F68B8" w:rsidP="001F68B8">
            <w:pPr>
              <w:spacing w:line="360" w:lineRule="auto"/>
              <w:rPr>
                <w:rFonts w:ascii="Times New Roman" w:hAnsi="Times New Roman" w:cs="Times New Roman"/>
                <w:sz w:val="24"/>
                <w:szCs w:val="24"/>
              </w:rPr>
            </w:pPr>
          </w:p>
        </w:tc>
        <w:tc>
          <w:tcPr>
            <w:tcW w:w="3192" w:type="dxa"/>
            <w:shd w:val="clear" w:color="auto" w:fill="FFFFFF" w:themeFill="background1"/>
          </w:tcPr>
          <w:p w14:paraId="1F99472D"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LAO</w:t>
            </w:r>
          </w:p>
        </w:tc>
        <w:tc>
          <w:tcPr>
            <w:tcW w:w="3192" w:type="dxa"/>
            <w:shd w:val="clear" w:color="auto" w:fill="FFFFFF" w:themeFill="background1"/>
          </w:tcPr>
          <w:p w14:paraId="564C5267" w14:textId="77777777" w:rsidR="001F68B8" w:rsidRPr="00EC6C19" w:rsidRDefault="001F68B8" w:rsidP="001F68B8">
            <w:pPr>
              <w:spacing w:line="360" w:lineRule="auto"/>
              <w:rPr>
                <w:rFonts w:ascii="Times New Roman" w:hAnsi="Times New Roman" w:cs="Times New Roman"/>
                <w:sz w:val="24"/>
                <w:szCs w:val="24"/>
              </w:rPr>
            </w:pPr>
            <w:r w:rsidRPr="00EC6C19">
              <w:rPr>
                <w:rFonts w:ascii="Times New Roman" w:hAnsi="Times New Roman" w:cs="Times New Roman"/>
                <w:sz w:val="24"/>
                <w:szCs w:val="24"/>
              </w:rPr>
              <w:t>RAO</w:t>
            </w:r>
          </w:p>
        </w:tc>
      </w:tr>
    </w:tbl>
    <w:p w14:paraId="703C360D" w14:textId="77777777" w:rsidR="001F68B8" w:rsidRPr="00EC6C19" w:rsidRDefault="001F68B8" w:rsidP="00C31D3B">
      <w:pPr>
        <w:rPr>
          <w:rFonts w:ascii="Times New Roman" w:hAnsi="Times New Roman" w:cs="Times New Roman"/>
          <w:b/>
          <w:sz w:val="24"/>
          <w:szCs w:val="24"/>
        </w:rPr>
      </w:pPr>
    </w:p>
    <w:p w14:paraId="50F27E1E" w14:textId="77777777" w:rsidR="001F68B8" w:rsidRDefault="001F68B8" w:rsidP="00C31D3B">
      <w:pPr>
        <w:rPr>
          <w:rFonts w:ascii="Times New Roman" w:hAnsi="Times New Roman" w:cs="Times New Roman"/>
          <w:sz w:val="24"/>
          <w:szCs w:val="24"/>
        </w:rPr>
      </w:pPr>
    </w:p>
    <w:p w14:paraId="01DD263C" w14:textId="77777777" w:rsidR="003F208B" w:rsidRDefault="003F208B" w:rsidP="00C31D3B">
      <w:pPr>
        <w:rPr>
          <w:rFonts w:ascii="Times New Roman" w:hAnsi="Times New Roman" w:cs="Times New Roman"/>
          <w:sz w:val="24"/>
          <w:szCs w:val="24"/>
        </w:rPr>
      </w:pPr>
    </w:p>
    <w:p w14:paraId="1C107D67" w14:textId="77777777" w:rsidR="003F208B" w:rsidRDefault="003F208B" w:rsidP="00C31D3B">
      <w:pPr>
        <w:rPr>
          <w:rFonts w:ascii="Times New Roman" w:hAnsi="Times New Roman" w:cs="Times New Roman"/>
          <w:sz w:val="24"/>
          <w:szCs w:val="24"/>
        </w:rPr>
      </w:pPr>
    </w:p>
    <w:p w14:paraId="3FA79556" w14:textId="77777777" w:rsidR="003F208B" w:rsidRDefault="003F208B" w:rsidP="00C31D3B">
      <w:pPr>
        <w:rPr>
          <w:rFonts w:ascii="Times New Roman" w:hAnsi="Times New Roman" w:cs="Times New Roman"/>
          <w:sz w:val="24"/>
          <w:szCs w:val="24"/>
        </w:rPr>
      </w:pPr>
    </w:p>
    <w:p w14:paraId="1B18E893" w14:textId="77777777" w:rsidR="003F208B" w:rsidRDefault="003F208B" w:rsidP="00C31D3B">
      <w:pPr>
        <w:rPr>
          <w:rFonts w:ascii="Times New Roman" w:hAnsi="Times New Roman" w:cs="Times New Roman"/>
          <w:sz w:val="24"/>
          <w:szCs w:val="24"/>
        </w:rPr>
      </w:pPr>
    </w:p>
    <w:p w14:paraId="53CCE447" w14:textId="0A90BEBE" w:rsidR="003F208B" w:rsidRDefault="003F208B" w:rsidP="008C02FC">
      <w:pPr>
        <w:pStyle w:val="Heading1"/>
        <w:rPr>
          <w:rFonts w:ascii="Times New Roman" w:hAnsi="Times New Roman" w:cs="Times New Roman"/>
          <w:color w:val="auto"/>
          <w:sz w:val="24"/>
          <w:szCs w:val="24"/>
        </w:rPr>
      </w:pPr>
      <w:bookmarkStart w:id="260" w:name="_Toc80302309"/>
      <w:r w:rsidRPr="003F208B">
        <w:rPr>
          <w:rFonts w:ascii="Times New Roman" w:hAnsi="Times New Roman" w:cs="Times New Roman"/>
          <w:color w:val="auto"/>
          <w:sz w:val="24"/>
          <w:szCs w:val="24"/>
        </w:rPr>
        <w:t>A</w:t>
      </w:r>
      <w:r w:rsidR="00D529E7">
        <w:rPr>
          <w:rFonts w:ascii="Times New Roman" w:hAnsi="Times New Roman" w:cs="Times New Roman"/>
          <w:color w:val="auto"/>
          <w:sz w:val="24"/>
          <w:szCs w:val="24"/>
        </w:rPr>
        <w:t>ppendix</w:t>
      </w:r>
      <w:r w:rsidRPr="003F208B">
        <w:rPr>
          <w:rFonts w:ascii="Times New Roman" w:hAnsi="Times New Roman" w:cs="Times New Roman"/>
          <w:color w:val="auto"/>
          <w:sz w:val="24"/>
          <w:szCs w:val="24"/>
        </w:rPr>
        <w:t xml:space="preserve"> </w:t>
      </w:r>
      <w:r w:rsidR="008C02FC">
        <w:rPr>
          <w:rFonts w:ascii="Times New Roman" w:hAnsi="Times New Roman" w:cs="Times New Roman"/>
          <w:color w:val="auto"/>
          <w:sz w:val="24"/>
          <w:szCs w:val="24"/>
        </w:rPr>
        <w:t>F</w:t>
      </w:r>
      <w:r w:rsidRPr="003F208B">
        <w:rPr>
          <w:rFonts w:ascii="Times New Roman" w:hAnsi="Times New Roman" w:cs="Times New Roman"/>
          <w:color w:val="auto"/>
          <w:sz w:val="24"/>
          <w:szCs w:val="24"/>
        </w:rPr>
        <w:t xml:space="preserve"> - Published CT Coronary Paper</w:t>
      </w:r>
      <w:r>
        <w:rPr>
          <w:rFonts w:ascii="Times New Roman" w:hAnsi="Times New Roman" w:cs="Times New Roman"/>
          <w:color w:val="auto"/>
          <w:sz w:val="24"/>
          <w:szCs w:val="24"/>
        </w:rPr>
        <w:t xml:space="preserve"> (Original Manuscript)</w:t>
      </w:r>
      <w:bookmarkEnd w:id="260"/>
    </w:p>
    <w:p w14:paraId="765E66C2" w14:textId="77777777" w:rsidR="003F208B" w:rsidRDefault="003F208B" w:rsidP="003F208B"/>
    <w:p w14:paraId="1E99210E" w14:textId="77777777" w:rsidR="003F208B" w:rsidRDefault="003F208B" w:rsidP="003F208B">
      <w:pPr>
        <w:rPr>
          <w:rFonts w:ascii="Segoe UI" w:hAnsi="Segoe UI" w:cs="Segoe UI"/>
          <w:color w:val="212121"/>
          <w:shd w:val="clear" w:color="auto" w:fill="FFFFFF"/>
        </w:rPr>
      </w:pPr>
      <w:r>
        <w:rPr>
          <w:rFonts w:ascii="Segoe UI" w:hAnsi="Segoe UI" w:cs="Segoe UI"/>
          <w:color w:val="212121"/>
          <w:shd w:val="clear" w:color="auto" w:fill="FFFFFF"/>
        </w:rPr>
        <w:t>Al-Janabi F, Karamasis G, Cook CM, et al. Coronary artery height differences and their effect on fractional flow reserve [published online ahead of print, 2019 Mar 26]. </w:t>
      </w:r>
      <w:r>
        <w:rPr>
          <w:rFonts w:ascii="Segoe UI" w:hAnsi="Segoe UI" w:cs="Segoe UI"/>
          <w:i/>
          <w:iCs/>
          <w:color w:val="212121"/>
          <w:shd w:val="clear" w:color="auto" w:fill="FFFFFF"/>
        </w:rPr>
        <w:t>Cardiol J</w:t>
      </w:r>
      <w:r>
        <w:rPr>
          <w:rFonts w:ascii="Segoe UI" w:hAnsi="Segoe UI" w:cs="Segoe UI"/>
          <w:color w:val="212121"/>
          <w:shd w:val="clear" w:color="auto" w:fill="FFFFFF"/>
        </w:rPr>
        <w:t>. 2019;10.5603/CJ.a2019.0031. doi:10.5603/CJ.a2019.0031</w:t>
      </w:r>
    </w:p>
    <w:p w14:paraId="7395E43C" w14:textId="77777777" w:rsidR="003F208B" w:rsidRDefault="003F208B" w:rsidP="003F208B">
      <w:pPr>
        <w:rPr>
          <w:rFonts w:ascii="Segoe UI" w:hAnsi="Segoe UI" w:cs="Segoe UI"/>
          <w:color w:val="212121"/>
          <w:shd w:val="clear" w:color="auto" w:fill="FFFFFF"/>
        </w:rPr>
      </w:pPr>
    </w:p>
    <w:p w14:paraId="5861BCF1" w14:textId="77777777" w:rsidR="003F208B" w:rsidRPr="00F906D4" w:rsidRDefault="003F208B" w:rsidP="003F208B">
      <w:pPr>
        <w:jc w:val="both"/>
        <w:rPr>
          <w:rFonts w:ascii="Times New Roman" w:hAnsi="Times New Roman" w:cs="Times New Roman"/>
          <w:b/>
          <w:sz w:val="24"/>
          <w:szCs w:val="24"/>
        </w:rPr>
      </w:pPr>
      <w:r w:rsidRPr="00F906D4">
        <w:rPr>
          <w:rFonts w:ascii="Times New Roman" w:hAnsi="Times New Roman" w:cs="Times New Roman"/>
          <w:b/>
          <w:sz w:val="24"/>
          <w:szCs w:val="24"/>
        </w:rPr>
        <w:t>Coronary artery height differences and their effect on fractional flow reserve</w:t>
      </w:r>
    </w:p>
    <w:p w14:paraId="389A602A" w14:textId="77777777" w:rsidR="003F208B" w:rsidRPr="00F906D4" w:rsidRDefault="003F208B" w:rsidP="003F208B">
      <w:pPr>
        <w:jc w:val="both"/>
        <w:rPr>
          <w:rFonts w:ascii="Times New Roman" w:hAnsi="Times New Roman" w:cs="Times New Roman"/>
          <w:b/>
          <w:sz w:val="24"/>
          <w:szCs w:val="24"/>
        </w:rPr>
      </w:pPr>
      <w:r w:rsidRPr="00F906D4">
        <w:rPr>
          <w:rFonts w:ascii="Times New Roman" w:hAnsi="Times New Roman" w:cs="Times New Roman"/>
          <w:b/>
          <w:sz w:val="24"/>
          <w:szCs w:val="24"/>
        </w:rPr>
        <w:t xml:space="preserve">Running Title: Hydrostatic pressure and FFR </w:t>
      </w:r>
    </w:p>
    <w:p w14:paraId="1567F357" w14:textId="77777777" w:rsidR="003F208B" w:rsidRPr="00F906D4" w:rsidRDefault="003F208B" w:rsidP="003F208B">
      <w:pPr>
        <w:rPr>
          <w:rFonts w:ascii="Times New Roman" w:hAnsi="Times New Roman" w:cs="Times New Roman"/>
          <w:sz w:val="24"/>
          <w:szCs w:val="24"/>
        </w:rPr>
      </w:pPr>
    </w:p>
    <w:p w14:paraId="4FEF2067" w14:textId="77777777" w:rsidR="003F208B" w:rsidRPr="00F906D4" w:rsidRDefault="003F208B" w:rsidP="003F208B">
      <w:pPr>
        <w:rPr>
          <w:rFonts w:ascii="Times New Roman" w:hAnsi="Times New Roman" w:cs="Times New Roman"/>
          <w:sz w:val="24"/>
          <w:szCs w:val="24"/>
        </w:rPr>
      </w:pPr>
      <w:r w:rsidRPr="00F906D4">
        <w:rPr>
          <w:rFonts w:ascii="Times New Roman" w:hAnsi="Times New Roman" w:cs="Times New Roman"/>
          <w:sz w:val="24"/>
          <w:szCs w:val="24"/>
        </w:rPr>
        <w:t>Firas Al-Janabi</w:t>
      </w:r>
      <w:r w:rsidRPr="00F906D4">
        <w:rPr>
          <w:rFonts w:ascii="Times New Roman" w:hAnsi="Times New Roman" w:cs="Times New Roman"/>
          <w:sz w:val="24"/>
          <w:szCs w:val="24"/>
          <w:vertAlign w:val="superscript"/>
        </w:rPr>
        <w:t>1,2</w:t>
      </w:r>
      <w:r w:rsidRPr="00F906D4">
        <w:rPr>
          <w:rFonts w:ascii="Times New Roman" w:hAnsi="Times New Roman" w:cs="Times New Roman"/>
          <w:sz w:val="24"/>
          <w:szCs w:val="24"/>
        </w:rPr>
        <w:t>, Grigoris Karamasis</w:t>
      </w:r>
      <w:r w:rsidRPr="00F906D4">
        <w:rPr>
          <w:rFonts w:ascii="Times New Roman" w:hAnsi="Times New Roman" w:cs="Times New Roman"/>
          <w:sz w:val="24"/>
          <w:szCs w:val="24"/>
          <w:vertAlign w:val="superscript"/>
        </w:rPr>
        <w:t>1,2</w:t>
      </w:r>
      <w:r w:rsidRPr="00F906D4">
        <w:rPr>
          <w:rFonts w:ascii="Times New Roman" w:hAnsi="Times New Roman" w:cs="Times New Roman"/>
          <w:sz w:val="24"/>
          <w:szCs w:val="24"/>
        </w:rPr>
        <w:t>, Christopher Cook</w:t>
      </w:r>
      <w:r>
        <w:rPr>
          <w:rFonts w:ascii="Times New Roman" w:hAnsi="Times New Roman" w:cs="Times New Roman"/>
          <w:sz w:val="24"/>
          <w:szCs w:val="24"/>
          <w:vertAlign w:val="superscript"/>
        </w:rPr>
        <w:t>3</w:t>
      </w:r>
      <w:r w:rsidRPr="00F906D4">
        <w:rPr>
          <w:rFonts w:ascii="Times New Roman" w:hAnsi="Times New Roman" w:cs="Times New Roman"/>
          <w:sz w:val="24"/>
          <w:szCs w:val="24"/>
        </w:rPr>
        <w:t>, Alamgir Kabir</w:t>
      </w:r>
      <w:r w:rsidRPr="00F906D4">
        <w:rPr>
          <w:rFonts w:ascii="Times New Roman" w:hAnsi="Times New Roman" w:cs="Times New Roman"/>
          <w:sz w:val="24"/>
          <w:szCs w:val="24"/>
          <w:vertAlign w:val="superscript"/>
        </w:rPr>
        <w:t>1</w:t>
      </w:r>
      <w:r w:rsidRPr="00F906D4">
        <w:rPr>
          <w:rFonts w:ascii="Times New Roman" w:hAnsi="Times New Roman" w:cs="Times New Roman"/>
          <w:sz w:val="24"/>
          <w:szCs w:val="24"/>
        </w:rPr>
        <w:t>, Rohan Jagathesan</w:t>
      </w:r>
      <w:r w:rsidRPr="00F906D4">
        <w:rPr>
          <w:rFonts w:ascii="Times New Roman" w:hAnsi="Times New Roman" w:cs="Times New Roman"/>
          <w:sz w:val="24"/>
          <w:szCs w:val="24"/>
          <w:vertAlign w:val="superscript"/>
        </w:rPr>
        <w:t>1</w:t>
      </w:r>
      <w:r w:rsidRPr="00F906D4">
        <w:rPr>
          <w:rFonts w:ascii="Times New Roman" w:hAnsi="Times New Roman" w:cs="Times New Roman"/>
          <w:sz w:val="24"/>
          <w:szCs w:val="24"/>
        </w:rPr>
        <w:t>, Nicholas Robinson</w:t>
      </w:r>
      <w:r w:rsidRPr="00F906D4">
        <w:rPr>
          <w:rFonts w:ascii="Times New Roman" w:hAnsi="Times New Roman" w:cs="Times New Roman"/>
          <w:sz w:val="24"/>
          <w:szCs w:val="24"/>
          <w:vertAlign w:val="superscript"/>
        </w:rPr>
        <w:t>1</w:t>
      </w:r>
      <w:r w:rsidRPr="00F906D4">
        <w:rPr>
          <w:rFonts w:ascii="Times New Roman" w:hAnsi="Times New Roman" w:cs="Times New Roman"/>
          <w:sz w:val="24"/>
          <w:szCs w:val="24"/>
        </w:rPr>
        <w:t>, Jeremy Sayer</w:t>
      </w:r>
      <w:r w:rsidRPr="00F906D4">
        <w:rPr>
          <w:rFonts w:ascii="Times New Roman" w:hAnsi="Times New Roman" w:cs="Times New Roman"/>
          <w:sz w:val="24"/>
          <w:szCs w:val="24"/>
          <w:vertAlign w:val="superscript"/>
        </w:rPr>
        <w:t>1</w:t>
      </w:r>
      <w:r w:rsidRPr="00F906D4">
        <w:rPr>
          <w:rFonts w:ascii="Times New Roman" w:hAnsi="Times New Roman" w:cs="Times New Roman"/>
          <w:sz w:val="24"/>
          <w:szCs w:val="24"/>
        </w:rPr>
        <w:t>, Rajesh Aggarwal</w:t>
      </w:r>
      <w:r w:rsidRPr="00F906D4">
        <w:rPr>
          <w:rFonts w:ascii="Times New Roman" w:hAnsi="Times New Roman" w:cs="Times New Roman"/>
          <w:sz w:val="24"/>
          <w:szCs w:val="24"/>
          <w:vertAlign w:val="superscript"/>
        </w:rPr>
        <w:t>1</w:t>
      </w:r>
      <w:r w:rsidRPr="00F906D4">
        <w:rPr>
          <w:rFonts w:ascii="Times New Roman" w:hAnsi="Times New Roman" w:cs="Times New Roman"/>
          <w:sz w:val="24"/>
          <w:szCs w:val="24"/>
        </w:rPr>
        <w:t>, Gerald Clesham</w:t>
      </w:r>
      <w:r w:rsidRPr="00F906D4">
        <w:rPr>
          <w:rFonts w:ascii="Times New Roman" w:hAnsi="Times New Roman" w:cs="Times New Roman"/>
          <w:sz w:val="24"/>
          <w:szCs w:val="24"/>
          <w:vertAlign w:val="superscript"/>
        </w:rPr>
        <w:t>1,2</w:t>
      </w:r>
      <w:r w:rsidRPr="00F906D4">
        <w:rPr>
          <w:rFonts w:ascii="Times New Roman" w:hAnsi="Times New Roman" w:cs="Times New Roman"/>
          <w:sz w:val="24"/>
          <w:szCs w:val="24"/>
        </w:rPr>
        <w:t>, Paul Kelly</w:t>
      </w:r>
      <w:r w:rsidRPr="00F906D4">
        <w:rPr>
          <w:rFonts w:ascii="Times New Roman" w:hAnsi="Times New Roman" w:cs="Times New Roman"/>
          <w:sz w:val="24"/>
          <w:szCs w:val="24"/>
          <w:vertAlign w:val="superscript"/>
        </w:rPr>
        <w:t>1</w:t>
      </w:r>
      <w:r w:rsidRPr="00F906D4">
        <w:rPr>
          <w:rFonts w:ascii="Times New Roman" w:hAnsi="Times New Roman" w:cs="Times New Roman"/>
          <w:sz w:val="24"/>
          <w:szCs w:val="24"/>
        </w:rPr>
        <w:t>, Reto Gamma</w:t>
      </w:r>
      <w:r w:rsidRPr="00F906D4">
        <w:rPr>
          <w:rFonts w:ascii="Times New Roman" w:hAnsi="Times New Roman" w:cs="Times New Roman"/>
          <w:sz w:val="24"/>
          <w:szCs w:val="24"/>
          <w:vertAlign w:val="superscript"/>
        </w:rPr>
        <w:t>1</w:t>
      </w:r>
      <w:r w:rsidRPr="00F906D4">
        <w:rPr>
          <w:rFonts w:ascii="Times New Roman" w:hAnsi="Times New Roman" w:cs="Times New Roman"/>
          <w:sz w:val="24"/>
          <w:szCs w:val="24"/>
        </w:rPr>
        <w:t>, Kare Tang</w:t>
      </w:r>
      <w:r w:rsidRPr="00F906D4">
        <w:rPr>
          <w:rFonts w:ascii="Times New Roman" w:hAnsi="Times New Roman" w:cs="Times New Roman"/>
          <w:sz w:val="24"/>
          <w:szCs w:val="24"/>
          <w:vertAlign w:val="superscript"/>
        </w:rPr>
        <w:t>1</w:t>
      </w:r>
      <w:r w:rsidRPr="00F906D4">
        <w:rPr>
          <w:rFonts w:ascii="Times New Roman" w:hAnsi="Times New Roman" w:cs="Times New Roman"/>
          <w:sz w:val="24"/>
          <w:szCs w:val="24"/>
        </w:rPr>
        <w:t>, Thomas Keeble</w:t>
      </w:r>
      <w:r w:rsidRPr="00F906D4">
        <w:rPr>
          <w:rFonts w:ascii="Times New Roman" w:hAnsi="Times New Roman" w:cs="Times New Roman"/>
          <w:sz w:val="24"/>
          <w:szCs w:val="24"/>
          <w:vertAlign w:val="superscript"/>
        </w:rPr>
        <w:t>1,2</w:t>
      </w:r>
      <w:r w:rsidRPr="00F906D4">
        <w:rPr>
          <w:rFonts w:ascii="Times New Roman" w:hAnsi="Times New Roman" w:cs="Times New Roman"/>
          <w:sz w:val="24"/>
          <w:szCs w:val="24"/>
        </w:rPr>
        <w:t>, John Davies</w:t>
      </w:r>
      <w:r w:rsidRPr="00F906D4">
        <w:rPr>
          <w:rFonts w:ascii="Times New Roman" w:hAnsi="Times New Roman" w:cs="Times New Roman"/>
          <w:sz w:val="24"/>
          <w:szCs w:val="24"/>
          <w:vertAlign w:val="superscript"/>
        </w:rPr>
        <w:t>1,2</w:t>
      </w:r>
      <w:r w:rsidRPr="00F906D4">
        <w:rPr>
          <w:rFonts w:ascii="Times New Roman" w:hAnsi="Times New Roman" w:cs="Times New Roman"/>
          <w:sz w:val="24"/>
          <w:szCs w:val="24"/>
        </w:rPr>
        <w:t xml:space="preserve">. </w:t>
      </w:r>
    </w:p>
    <w:p w14:paraId="23BAFA6B" w14:textId="77777777" w:rsidR="003F208B" w:rsidRPr="00F906D4" w:rsidRDefault="003F208B" w:rsidP="003F208B">
      <w:pPr>
        <w:rPr>
          <w:rFonts w:ascii="Times New Roman" w:hAnsi="Times New Roman" w:cs="Times New Roman"/>
          <w:sz w:val="24"/>
          <w:szCs w:val="24"/>
        </w:rPr>
      </w:pPr>
    </w:p>
    <w:p w14:paraId="57259D08" w14:textId="77777777" w:rsidR="003F208B" w:rsidRDefault="003F208B" w:rsidP="003F208B">
      <w:pPr>
        <w:rPr>
          <w:rFonts w:ascii="Times New Roman" w:hAnsi="Times New Roman" w:cs="Times New Roman"/>
          <w:sz w:val="24"/>
          <w:szCs w:val="24"/>
        </w:rPr>
      </w:pPr>
      <w:r w:rsidRPr="00F906D4">
        <w:rPr>
          <w:rFonts w:ascii="Times New Roman" w:hAnsi="Times New Roman" w:cs="Times New Roman"/>
          <w:sz w:val="24"/>
          <w:szCs w:val="24"/>
        </w:rPr>
        <w:t>1. Essex Cardiothoracic Centre, Nethermayne,  Basildon, Essex, United Kingdom, SS16 5NL.</w:t>
      </w:r>
    </w:p>
    <w:p w14:paraId="590624A8" w14:textId="77777777" w:rsidR="003F208B" w:rsidRPr="00F906D4" w:rsidRDefault="003F208B" w:rsidP="003F208B">
      <w:pPr>
        <w:rPr>
          <w:rFonts w:ascii="Times New Roman" w:hAnsi="Times New Roman" w:cs="Times New Roman"/>
          <w:sz w:val="24"/>
          <w:szCs w:val="24"/>
        </w:rPr>
      </w:pPr>
      <w:r>
        <w:rPr>
          <w:rFonts w:ascii="Times New Roman" w:hAnsi="Times New Roman" w:cs="Times New Roman"/>
          <w:sz w:val="24"/>
          <w:szCs w:val="24"/>
        </w:rPr>
        <w:t>2. Anglia Ruskin University, Bishop Hall Lane, Chelmsford, Essex, United Kingdom, CM1 1SQ</w:t>
      </w:r>
    </w:p>
    <w:p w14:paraId="5BB91852" w14:textId="77777777" w:rsidR="003F208B" w:rsidRPr="00F906D4" w:rsidRDefault="003F208B" w:rsidP="003F208B">
      <w:pPr>
        <w:rPr>
          <w:rFonts w:ascii="Times New Roman" w:hAnsi="Times New Roman" w:cs="Times New Roman"/>
          <w:sz w:val="24"/>
          <w:szCs w:val="24"/>
        </w:rPr>
      </w:pPr>
      <w:r>
        <w:rPr>
          <w:rFonts w:ascii="Times New Roman" w:hAnsi="Times New Roman" w:cs="Times New Roman"/>
          <w:sz w:val="24"/>
          <w:szCs w:val="24"/>
        </w:rPr>
        <w:t>3</w:t>
      </w:r>
      <w:r w:rsidRPr="00F906D4">
        <w:rPr>
          <w:rFonts w:ascii="Times New Roman" w:hAnsi="Times New Roman" w:cs="Times New Roman"/>
          <w:sz w:val="24"/>
          <w:szCs w:val="24"/>
        </w:rPr>
        <w:t>. National Heart and Lung Institute, Dovehouse Street, London, United Kingdom, SW3 6LR.</w:t>
      </w:r>
    </w:p>
    <w:p w14:paraId="66E6F314" w14:textId="77777777" w:rsidR="003F208B" w:rsidRPr="00F906D4" w:rsidRDefault="003F208B" w:rsidP="003F208B">
      <w:pPr>
        <w:rPr>
          <w:rFonts w:ascii="Times New Roman" w:hAnsi="Times New Roman" w:cs="Times New Roman"/>
          <w:sz w:val="24"/>
          <w:szCs w:val="24"/>
        </w:rPr>
      </w:pPr>
    </w:p>
    <w:p w14:paraId="450838AE" w14:textId="77777777" w:rsidR="003F208B" w:rsidRPr="00F906D4" w:rsidRDefault="003F208B" w:rsidP="003F208B">
      <w:pPr>
        <w:rPr>
          <w:rFonts w:ascii="Times New Roman" w:hAnsi="Times New Roman" w:cs="Times New Roman"/>
          <w:sz w:val="24"/>
          <w:szCs w:val="24"/>
        </w:rPr>
      </w:pPr>
      <w:r w:rsidRPr="00F906D4">
        <w:rPr>
          <w:rFonts w:ascii="Times New Roman" w:hAnsi="Times New Roman" w:cs="Times New Roman"/>
          <w:sz w:val="24"/>
          <w:szCs w:val="24"/>
        </w:rPr>
        <w:t xml:space="preserve">Corresponding Author: </w:t>
      </w:r>
    </w:p>
    <w:p w14:paraId="6773530F" w14:textId="77777777" w:rsidR="003F208B" w:rsidRDefault="003F208B" w:rsidP="003F208B">
      <w:pPr>
        <w:rPr>
          <w:rFonts w:ascii="Times New Roman" w:hAnsi="Times New Roman" w:cs="Times New Roman"/>
          <w:sz w:val="24"/>
          <w:szCs w:val="24"/>
        </w:rPr>
      </w:pPr>
      <w:r w:rsidRPr="00F906D4">
        <w:rPr>
          <w:rFonts w:ascii="Times New Roman" w:hAnsi="Times New Roman" w:cs="Times New Roman"/>
          <w:sz w:val="24"/>
          <w:szCs w:val="24"/>
        </w:rPr>
        <w:t>Firas Al-Janabi</w:t>
      </w:r>
      <w:r w:rsidRPr="00F906D4">
        <w:rPr>
          <w:rFonts w:ascii="Times New Roman" w:hAnsi="Times New Roman" w:cs="Times New Roman"/>
          <w:sz w:val="24"/>
          <w:szCs w:val="24"/>
        </w:rPr>
        <w:br/>
        <w:t>firas.aljanabi@btuh.nhs.uk</w:t>
      </w:r>
      <w:r w:rsidRPr="00F906D4">
        <w:rPr>
          <w:rFonts w:ascii="Times New Roman" w:hAnsi="Times New Roman" w:cs="Times New Roman"/>
          <w:sz w:val="24"/>
          <w:szCs w:val="24"/>
        </w:rPr>
        <w:br/>
        <w:t>Phone: +00441268 394155</w:t>
      </w:r>
    </w:p>
    <w:p w14:paraId="4E465D36" w14:textId="77777777" w:rsidR="003F208B" w:rsidRDefault="003F208B" w:rsidP="003F208B">
      <w:pPr>
        <w:rPr>
          <w:rFonts w:ascii="Times New Roman" w:hAnsi="Times New Roman" w:cs="Times New Roman"/>
          <w:sz w:val="24"/>
          <w:szCs w:val="24"/>
        </w:rPr>
      </w:pPr>
    </w:p>
    <w:p w14:paraId="7C72B6A2" w14:textId="77777777" w:rsidR="003F208B" w:rsidRPr="00F906D4" w:rsidRDefault="003F208B" w:rsidP="003F208B">
      <w:pPr>
        <w:rPr>
          <w:rFonts w:ascii="Times New Roman" w:hAnsi="Times New Roman" w:cs="Times New Roman"/>
          <w:sz w:val="24"/>
          <w:szCs w:val="24"/>
        </w:rPr>
      </w:pPr>
      <w:r>
        <w:rPr>
          <w:rFonts w:ascii="Times New Roman" w:hAnsi="Times New Roman" w:cs="Times New Roman"/>
          <w:sz w:val="24"/>
          <w:szCs w:val="24"/>
        </w:rPr>
        <w:t>Word Count: 2672</w:t>
      </w:r>
    </w:p>
    <w:p w14:paraId="57D552C5" w14:textId="77777777" w:rsidR="003F208B" w:rsidRDefault="003F208B" w:rsidP="003F208B"/>
    <w:p w14:paraId="2DD53B64" w14:textId="77777777" w:rsidR="003F208B" w:rsidRDefault="003F208B" w:rsidP="003F208B"/>
    <w:p w14:paraId="68542D6A" w14:textId="77777777" w:rsidR="003F208B" w:rsidRDefault="003F208B" w:rsidP="003F208B"/>
    <w:p w14:paraId="005F1D4B" w14:textId="77777777" w:rsidR="003F208B" w:rsidRDefault="003F208B" w:rsidP="003F208B"/>
    <w:p w14:paraId="5BF37B4B" w14:textId="77777777" w:rsidR="003F208B" w:rsidRDefault="003F208B" w:rsidP="003F208B"/>
    <w:p w14:paraId="26CDDD2B" w14:textId="77777777" w:rsidR="003F208B" w:rsidRPr="008E5E70" w:rsidRDefault="003F208B" w:rsidP="003F208B">
      <w:pPr>
        <w:rPr>
          <w:rFonts w:ascii="Times New Roman" w:hAnsi="Times New Roman" w:cs="Times New Roman"/>
          <w:b/>
          <w:sz w:val="24"/>
          <w:szCs w:val="24"/>
        </w:rPr>
      </w:pPr>
      <w:r w:rsidRPr="008E5E70">
        <w:rPr>
          <w:rFonts w:ascii="Times New Roman" w:hAnsi="Times New Roman" w:cs="Times New Roman"/>
          <w:b/>
          <w:sz w:val="24"/>
          <w:szCs w:val="24"/>
        </w:rPr>
        <w:t>Abstract</w:t>
      </w:r>
    </w:p>
    <w:p w14:paraId="42AA7238" w14:textId="77777777" w:rsidR="003F208B" w:rsidRPr="008E5E70" w:rsidRDefault="003F208B" w:rsidP="003F208B">
      <w:pPr>
        <w:spacing w:line="360" w:lineRule="auto"/>
        <w:jc w:val="both"/>
        <w:rPr>
          <w:rFonts w:ascii="Times New Roman" w:hAnsi="Times New Roman" w:cs="Times New Roman"/>
          <w:b/>
          <w:sz w:val="24"/>
          <w:szCs w:val="24"/>
        </w:rPr>
      </w:pPr>
      <w:r w:rsidRPr="00F906D4">
        <w:rPr>
          <w:rFonts w:ascii="Times New Roman" w:hAnsi="Times New Roman" w:cs="Times New Roman"/>
          <w:b/>
          <w:sz w:val="24"/>
          <w:szCs w:val="24"/>
        </w:rPr>
        <w:t>Background</w:t>
      </w:r>
      <w:r>
        <w:rPr>
          <w:rFonts w:ascii="Times New Roman" w:hAnsi="Times New Roman" w:cs="Times New Roman"/>
          <w:b/>
          <w:sz w:val="24"/>
          <w:szCs w:val="24"/>
        </w:rPr>
        <w:t xml:space="preserve">: </w:t>
      </w:r>
      <w:r w:rsidRPr="00F906D4">
        <w:rPr>
          <w:rFonts w:ascii="Times New Roman" w:hAnsi="Times New Roman" w:cs="Times New Roman"/>
          <w:sz w:val="24"/>
          <w:szCs w:val="24"/>
        </w:rPr>
        <w:t>Fractional flow reserve (FFR) uses pressure</w:t>
      </w:r>
      <w:r>
        <w:rPr>
          <w:rFonts w:ascii="Times New Roman" w:hAnsi="Times New Roman" w:cs="Times New Roman"/>
          <w:sz w:val="24"/>
          <w:szCs w:val="24"/>
        </w:rPr>
        <w:t>-</w:t>
      </w:r>
      <w:r w:rsidRPr="00F906D4">
        <w:rPr>
          <w:rFonts w:ascii="Times New Roman" w:hAnsi="Times New Roman" w:cs="Times New Roman"/>
          <w:sz w:val="24"/>
          <w:szCs w:val="24"/>
        </w:rPr>
        <w:t>based measurements to assess the severity of a coronary stenosis. Distal pressure (Pd) is often at a different vertical height to that of the proximal pressure (Pa). The difference in pressure between Pd and Pa due to hydrostatic pressure, may impact FFR calculation.</w:t>
      </w:r>
    </w:p>
    <w:p w14:paraId="1FEC9FA5" w14:textId="77777777" w:rsidR="003F208B" w:rsidRPr="008E5E70" w:rsidRDefault="003F208B" w:rsidP="003F208B">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Methods: </w:t>
      </w:r>
      <w:r>
        <w:rPr>
          <w:rFonts w:ascii="Times New Roman" w:hAnsi="Times New Roman" w:cs="Times New Roman"/>
          <w:sz w:val="24"/>
          <w:szCs w:val="24"/>
        </w:rPr>
        <w:t xml:space="preserve">One hundred </w:t>
      </w:r>
      <w:r w:rsidRPr="00F906D4">
        <w:rPr>
          <w:rFonts w:ascii="Times New Roman" w:hAnsi="Times New Roman" w:cs="Times New Roman"/>
          <w:sz w:val="24"/>
          <w:szCs w:val="24"/>
        </w:rPr>
        <w:t>CT coronary angiograph</w:t>
      </w:r>
      <w:r>
        <w:rPr>
          <w:rFonts w:ascii="Times New Roman" w:hAnsi="Times New Roman" w:cs="Times New Roman"/>
          <w:sz w:val="24"/>
          <w:szCs w:val="24"/>
        </w:rPr>
        <w:t>ies</w:t>
      </w:r>
      <w:r w:rsidRPr="00F906D4">
        <w:rPr>
          <w:rFonts w:ascii="Times New Roman" w:hAnsi="Times New Roman" w:cs="Times New Roman"/>
          <w:sz w:val="24"/>
          <w:szCs w:val="24"/>
        </w:rPr>
        <w:t xml:space="preserve"> were used to measure height differences between the coronary ostia</w:t>
      </w:r>
      <w:r>
        <w:rPr>
          <w:rFonts w:ascii="Times New Roman" w:hAnsi="Times New Roman" w:cs="Times New Roman"/>
          <w:sz w:val="24"/>
          <w:szCs w:val="24"/>
        </w:rPr>
        <w:t xml:space="preserve"> </w:t>
      </w:r>
      <w:r w:rsidRPr="00F906D4">
        <w:rPr>
          <w:rFonts w:ascii="Times New Roman" w:hAnsi="Times New Roman" w:cs="Times New Roman"/>
          <w:sz w:val="24"/>
          <w:szCs w:val="24"/>
        </w:rPr>
        <w:t>and  points in the coronary tree. Mean heights were used to calculate the hydrostatic pressure effect in each artery, using a correction factor of 0.8mmHg/cm. This was tested in a simulation of intermediate coronary stenosis to give the “corrected FFR” (cFFR) and percentage of values</w:t>
      </w:r>
      <w:r>
        <w:rPr>
          <w:rFonts w:ascii="Times New Roman" w:hAnsi="Times New Roman" w:cs="Times New Roman"/>
          <w:sz w:val="24"/>
          <w:szCs w:val="24"/>
        </w:rPr>
        <w:t>,</w:t>
      </w:r>
      <w:r w:rsidRPr="00F906D4">
        <w:rPr>
          <w:rFonts w:ascii="Times New Roman" w:hAnsi="Times New Roman" w:cs="Times New Roman"/>
          <w:sz w:val="24"/>
          <w:szCs w:val="24"/>
        </w:rPr>
        <w:t xml:space="preserve"> which crossed a threshold of 0.8.</w:t>
      </w:r>
    </w:p>
    <w:p w14:paraId="53B5337D" w14:textId="77777777" w:rsidR="003F208B" w:rsidRDefault="003F208B" w:rsidP="003F208B">
      <w:pPr>
        <w:spacing w:line="360" w:lineRule="auto"/>
        <w:jc w:val="both"/>
        <w:rPr>
          <w:rFonts w:ascii="Times New Roman" w:hAnsi="Times New Roman" w:cs="Times New Roman"/>
          <w:sz w:val="24"/>
          <w:szCs w:val="24"/>
        </w:rPr>
      </w:pPr>
      <w:r w:rsidRPr="00935EDF">
        <w:rPr>
          <w:rFonts w:ascii="Times New Roman" w:hAnsi="Times New Roman" w:cs="Times New Roman"/>
          <w:b/>
          <w:sz w:val="24"/>
          <w:szCs w:val="24"/>
        </w:rPr>
        <w:t>Results:</w:t>
      </w:r>
      <w:r w:rsidRPr="00F906D4">
        <w:rPr>
          <w:rFonts w:ascii="Times New Roman" w:hAnsi="Times New Roman" w:cs="Times New Roman"/>
          <w:sz w:val="24"/>
          <w:szCs w:val="24"/>
        </w:rPr>
        <w:t>The mean height from coronary ostium to distal LAD was +5.26cm, distal Cx -3.35cm, distal RCA-PLV -5.74cm and distal RCA-PDA +1.83cm.For the LAD, correction resulted in a mean change in FFR of +0.042, -0.027 in the Cx, -0.046 in the PLV and +0.015 in the PDA. Using 200 random FFR values between 0.75 and 0.85, the resulting cFFR crossed the clinical treatment threshold of 0.8 in 43% of LAD, 27% of Cx, 47% of PLV and 15% of PDA cases.</w:t>
      </w:r>
    </w:p>
    <w:p w14:paraId="6985253D" w14:textId="77777777" w:rsidR="003F208B" w:rsidRPr="008E5E70" w:rsidRDefault="003F208B" w:rsidP="003F208B">
      <w:pPr>
        <w:spacing w:line="360" w:lineRule="auto"/>
        <w:jc w:val="both"/>
        <w:rPr>
          <w:rFonts w:ascii="Times New Roman" w:hAnsi="Times New Roman" w:cs="Times New Roman"/>
          <w:b/>
          <w:sz w:val="24"/>
          <w:szCs w:val="24"/>
        </w:rPr>
      </w:pPr>
      <w:r w:rsidRPr="00F906D4">
        <w:rPr>
          <w:rFonts w:ascii="Times New Roman" w:hAnsi="Times New Roman" w:cs="Times New Roman"/>
          <w:b/>
          <w:sz w:val="24"/>
          <w:szCs w:val="24"/>
        </w:rPr>
        <w:t>Conclusion</w:t>
      </w:r>
      <w:r>
        <w:rPr>
          <w:rFonts w:ascii="Times New Roman" w:hAnsi="Times New Roman" w:cs="Times New Roman"/>
          <w:b/>
          <w:sz w:val="24"/>
          <w:szCs w:val="24"/>
        </w:rPr>
        <w:t xml:space="preserve">s: </w:t>
      </w:r>
      <w:r w:rsidRPr="00F906D4">
        <w:rPr>
          <w:rFonts w:ascii="Times New Roman" w:hAnsi="Times New Roman" w:cs="Times New Roman"/>
          <w:sz w:val="24"/>
          <w:szCs w:val="24"/>
        </w:rPr>
        <w:t>There are significant vertical height differences between the distal artery (Pd) and its point of normalisation (Pa). This is likely to have a modest effect on FFR calculation</w:t>
      </w:r>
      <w:r>
        <w:rPr>
          <w:rFonts w:ascii="Times New Roman" w:hAnsi="Times New Roman" w:cs="Times New Roman"/>
          <w:sz w:val="24"/>
          <w:szCs w:val="24"/>
        </w:rPr>
        <w:t xml:space="preserve"> and the</w:t>
      </w:r>
      <w:r w:rsidRPr="00F906D4">
        <w:rPr>
          <w:rFonts w:ascii="Times New Roman" w:hAnsi="Times New Roman" w:cs="Times New Roman"/>
          <w:sz w:val="24"/>
          <w:szCs w:val="24"/>
        </w:rPr>
        <w:t xml:space="preserve"> results in values crossing the treatment threshold. Operators should be mindful of this phenomenon when interpreting FFR values.</w:t>
      </w:r>
    </w:p>
    <w:p w14:paraId="33F28567" w14:textId="77777777" w:rsidR="003F208B" w:rsidRDefault="003F208B" w:rsidP="003F208B">
      <w:pPr>
        <w:spacing w:line="360" w:lineRule="auto"/>
        <w:jc w:val="both"/>
        <w:rPr>
          <w:rFonts w:ascii="Times New Roman" w:hAnsi="Times New Roman" w:cs="Times New Roman"/>
          <w:sz w:val="24"/>
          <w:szCs w:val="24"/>
        </w:rPr>
      </w:pPr>
    </w:p>
    <w:p w14:paraId="79F49E00" w14:textId="77777777" w:rsidR="003F208B" w:rsidRPr="00400015" w:rsidRDefault="003F208B" w:rsidP="003F208B">
      <w:pPr>
        <w:spacing w:line="360" w:lineRule="auto"/>
        <w:jc w:val="both"/>
        <w:rPr>
          <w:rFonts w:ascii="Times New Roman" w:hAnsi="Times New Roman" w:cs="Times New Roman"/>
          <w:sz w:val="24"/>
          <w:szCs w:val="24"/>
        </w:rPr>
      </w:pPr>
      <w:r w:rsidRPr="008E5E70">
        <w:rPr>
          <w:rFonts w:ascii="Times New Roman" w:hAnsi="Times New Roman" w:cs="Times New Roman"/>
          <w:b/>
          <w:sz w:val="24"/>
          <w:szCs w:val="24"/>
        </w:rPr>
        <w:t>Keywords:</w:t>
      </w:r>
      <w:r>
        <w:rPr>
          <w:rFonts w:ascii="Times New Roman" w:hAnsi="Times New Roman" w:cs="Times New Roman"/>
          <w:sz w:val="24"/>
          <w:szCs w:val="24"/>
        </w:rPr>
        <w:t xml:space="preserve"> Hydrostatic Pressure, CT Coronary Angiography, Coronary Stenosis</w:t>
      </w:r>
    </w:p>
    <w:p w14:paraId="385E612F" w14:textId="77777777" w:rsidR="003F208B" w:rsidRDefault="003F208B" w:rsidP="003F208B">
      <w:pPr>
        <w:rPr>
          <w:rFonts w:ascii="Times New Roman" w:hAnsi="Times New Roman" w:cs="Times New Roman"/>
          <w:b/>
          <w:sz w:val="24"/>
          <w:szCs w:val="24"/>
        </w:rPr>
      </w:pPr>
      <w:r>
        <w:rPr>
          <w:rFonts w:ascii="Times New Roman" w:hAnsi="Times New Roman" w:cs="Times New Roman"/>
          <w:b/>
          <w:sz w:val="24"/>
          <w:szCs w:val="24"/>
        </w:rPr>
        <w:br w:type="page"/>
      </w:r>
    </w:p>
    <w:p w14:paraId="17C3133B" w14:textId="77777777" w:rsidR="003F208B" w:rsidRPr="008E5E70" w:rsidRDefault="003F208B" w:rsidP="003F208B">
      <w:pPr>
        <w:spacing w:line="360" w:lineRule="auto"/>
        <w:jc w:val="both"/>
        <w:rPr>
          <w:rFonts w:ascii="Times New Roman" w:hAnsi="Times New Roman" w:cs="Times New Roman"/>
          <w:b/>
          <w:sz w:val="24"/>
          <w:szCs w:val="24"/>
        </w:rPr>
      </w:pPr>
      <w:r w:rsidRPr="008E5E70">
        <w:rPr>
          <w:rFonts w:ascii="Times New Roman" w:hAnsi="Times New Roman" w:cs="Times New Roman"/>
          <w:b/>
          <w:sz w:val="24"/>
          <w:szCs w:val="24"/>
        </w:rPr>
        <w:t>Introduction</w:t>
      </w:r>
    </w:p>
    <w:p w14:paraId="31C57907"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Fractional flow reserve</w:t>
      </w:r>
      <w:r>
        <w:rPr>
          <w:rFonts w:ascii="Times New Roman" w:hAnsi="Times New Roman" w:cs="Times New Roman"/>
          <w:sz w:val="24"/>
          <w:szCs w:val="24"/>
        </w:rPr>
        <w:t xml:space="preserve"> (FFR)</w:t>
      </w:r>
      <w:r w:rsidRPr="00AB327C">
        <w:rPr>
          <w:rFonts w:ascii="Times New Roman" w:hAnsi="Times New Roman" w:cs="Times New Roman"/>
          <w:sz w:val="24"/>
          <w:szCs w:val="24"/>
        </w:rPr>
        <w:t xml:space="preserve"> is the gold standard for invasive assessment of flow limitation caused by a coronary stenosis and it has been shown to improve clinical outcomes in randomised clinical trials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BXVj9q5s","properties":{"formattedCitation":"[1]","plainCitation":"[1]","dontUpdate":true,"noteIndex":0},"citationItems":[{"id":518,"uris":["http://zotero.org/users/local/k67tNDdX/items/7KFN43TE"],"uri":["http://zotero.org/users/local/k67tNDdX/items/7KFN43TE"],"itemData":{"id":518,"type":"article-journal","abstract":"AIMS: Stenting an angiographically intermediate but functionally non-significant stenosis is controversial. Nevertheless, it has been questioned if deferral of a functionally non-significant lesion on the basis of fractional flow reserve (FFR) measurement, is safe, especially on the long term. Five-year follow-up of the DEFER trial showed that outcome after deferral of percutaneous coronary intervention (PCI) of an intermediate coronary stenosis based on FFR ≥ 0.75 is excellent and was not improved by stenting. The aim of this study was to investigate the validity of this position on the very long term.\nMETHODS AND RESULTS: In 325 patients scheduled for PCI of an intermediate stenosis, FFR was measured just before the planned intervention. If FFR was ≥0.75, patients were randomly assigned to deferral (Defer group; n = 91) or performance (Perform group; n = 90) of PCI. If FFR was &lt;0.75, PCI was performed as planned (Reference group; n = 144). Clinical follow-up was 15 years. There were no differences in baseline clinical characteristics between the randomized groups. Complete 15-year follow-up was obtained in 92% of patients. After 15 years of follow-up, the rate of death was not different between the three groups: 33.0% in the Defer group, 31.1% in the Perform group, and 36.1% in the Reference group (Defer vs. Perform, RR 1.06, 95% CI: 0.69-1.62, P = 0.79). The rate of myocardial infarction was significantly lower in the Defer group (2.2%) compared with the Perform group (10.0%), RR 0.22, 95% CI: 0.05-0.99, P = 0.03.\nCONCLUSION: Deferral of PCI of a functionally non-significant stenosis is associated with a favourable very long-term follow-up without signs of late 'catch-up' phenomenon.","container-title":"European Heart Journal","DOI":"10.1093/eurheartj/ehv452","ISSN":"1522-9645","issue":"45","journalAbbreviation":"Eur. Heart J.","language":"eng","note":"PMID: 26400825","page":"3182-3188","source":"PubMed","title":"Deferral vs. performance of percutaneous coronary intervention of functionally non-significant coronary stenosis: 15-year follow-up of the DEFER trial","title-short":"Deferral vs. performance of percutaneous coronary intervention of functionally non-significant coronary stenosis","volume":"36","author":[{"family":"Zimmermann","given":"Frederik M."},{"family":"Ferrara","given":"Angela"},{"family":"Johnson","given":"Nils P."},{"family":"Nunen","given":"Lokien X.","non-dropping-particle":"van"},{"family":"Escaned","given":"Javier"},{"family":"Albertsson","given":"Per"},{"family":"Erbel","given":"Raimund"},{"family":"Legrand","given":"Victor"},{"family":"Gwon","given":"Hyeong-Cheol"},{"family":"Remkes","given":"Wouter S."},{"family":"Stella","given":"Pieter R."},{"family":"Schaardenburgh","given":"Pepijn","non-dropping-particle":"van"},{"family":"Bech","given":"G. Jan Willem"},{"family":"De Bruyne","given":"Bernard"},{"family":"Pijls","given":"Nico H. J."}],"issued":{"date-parts":[["2015",12,1]]}}}],"schema":"https://github.com/citation-style-language/schema/raw/master/csl-citation.json"} </w:instrText>
      </w:r>
      <w:r w:rsidR="00106A32" w:rsidRPr="00AB327C">
        <w:rPr>
          <w:rFonts w:ascii="Times New Roman" w:hAnsi="Times New Roman" w:cs="Times New Roman"/>
          <w:sz w:val="24"/>
          <w:szCs w:val="24"/>
        </w:rPr>
        <w:fldChar w:fldCharType="separate"/>
      </w:r>
      <w:r w:rsidRPr="00AB327C">
        <w:rPr>
          <w:rFonts w:ascii="Times New Roman" w:hAnsi="Times New Roman" w:cs="Times New Roman"/>
          <w:sz w:val="24"/>
          <w:szCs w:val="24"/>
        </w:rPr>
        <w:t>[1</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xml:space="preserve">,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hhfHfKp6","properties":{"formattedCitation":"[2]","plainCitation":"[2]","dontUpdate":true,"noteIndex":0},"citationItems":[{"id":7,"uris":["http://zotero.org/users/local/k67tNDdX/items/3NTBB5N2"],"uri":["http://zotero.org/users/local/k67tNDdX/items/3NTBB5N2"],"itemData":{"id":7,"type":"article-journal","abstract":"OBJECTIVES: The purpose of this study was to investigate the 2-year outcome of percutaneous coronary intervention (PCI) guided by fractional flow reserve (FFR) in patients with multivessel coronary artery disease (CAD).\nBACKGROUND: In patients with multivessel CAD undergoing PCI, coronary angiography is the standard method for guiding stent placement. The FAME (Fractional Flow Reserve Versus Angiography for Multivessel Evaluation) study showed that routine FFR in addition to angiography improves outcomes of PCI at 1 year. It is unknown if these favorable results are maintained at 2 years of follow-up.\nMETHODS: At 20 U.S. and European medical centers, 1,005 patients with multivessel CAD were randomly assigned to PCI with drug-eluting stents guided by angiography alone or guided by FFR measurements. Before randomization, lesions requiring PCI were identified based on their angiographic appearance. Patients randomized to angiography-guided PCI underwent stenting of all indicated lesions, whereas those randomized to FFR-guided PCI underwent stenting of indicated lesions only if the FFR was &lt;or=0.80.\nRESULTS: The number of indicated lesions was 2.7+/-0.9 in the angiography-guided group and 2.8+/-1.0 in the FFR-guided group (p=0.34). The number of stents used was 2.7+/-1.2 and 1.9+/-1.3, respectively (p&lt;0.001). The 2-year rates of mortality or myocardial infarction were 12.9% in the angiography-guided group and 8.4% in the FFR-guided group (p=0.02). Rates of PCI or coronary artery bypass surgery were 12.7% and 10.6%, respectively (p=0.30). Combined rates of death, nonfatal myocardial infarction, and revascularization were 22.4% and 17.9%, respectively (p=0.08). For lesions deferred on the basis of FFR&gt;0.80, the rate of myocardial infarction was 0.2% and the rate of revascularization was 3.2 % after 2 years.\nCONCLUSIONS: Routine measurement of FFR in patients with multivessel CAD undergoing PCI with drug-eluting stents significantly reduces mortality and myocardial infarction at 2 years when compared with standard angiography-guided PCI. (Fractional Flow Reserve Versus Angiography for Multivessel Evaluation [FAME]; NCT00267774).","container-title":"Journal of the American College of Cardiology","DOI":"10.1016/j.jacc.2010.04.012","ISSN":"1558-3597","issue":"3","journalAbbreviation":"J. Am. Coll. Cardiol.","language":"eng","note":"PMID: 20537493","page":"177-184","source":"PubMed","title":"Fractional flow reserve versus angiography for guiding percutaneous coronary intervention in patients with multivessel coronary artery disease: 2-year follow-up of the FAME (Fractional Flow Reserve Versus Angiography for Multivessel Evaluation) study","title-short":"Fractional flow reserve versus angiography for guiding percutaneous coronary intervention in patients with multivessel coronary artery disease","volume":"56","author":[{"family":"Pijls","given":"Nico H. J."},{"family":"Fearon","given":"William F."},{"family":"Tonino","given":"Pim A. L."},{"family":"Siebert","given":"Uwe"},{"family":"Ikeno","given":"Fumiaki"},{"family":"Bornschein","given":"Bernhard"},{"family":"Veer","given":"Marcel","non-dropping-particle":"van't"},{"family":"Klauss","given":"Volker"},{"family":"Manoharan","given":"Ganesh"},{"family":"Engstrøm","given":"Thomas"},{"family":"Oldroyd","given":"Keith G."},{"family":"Ver Lee","given":"Peter N."},{"family":"MacCarthy","given":"Philip A."},{"family":"De Bruyne","given":"Bernard"},{"literal":"FAME Study Investigators"}],"issued":{"date-parts":[["2010",7,13]]}}}],"schema":"https://github.com/citation-style-language/schema/raw/master/csl-citation.json"} </w:instrText>
      </w:r>
      <w:r w:rsidR="00106A32" w:rsidRPr="00AB327C">
        <w:rPr>
          <w:rFonts w:ascii="Times New Roman" w:hAnsi="Times New Roman" w:cs="Times New Roman"/>
          <w:sz w:val="24"/>
          <w:szCs w:val="24"/>
        </w:rPr>
        <w:fldChar w:fldCharType="separate"/>
      </w:r>
      <w:r w:rsidRPr="00AB327C">
        <w:rPr>
          <w:rFonts w:ascii="Times New Roman" w:hAnsi="Times New Roman" w:cs="Times New Roman"/>
          <w:sz w:val="24"/>
          <w:szCs w:val="24"/>
        </w:rPr>
        <w:t>2</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xml:space="preserve">,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0j8cmwP6","properties":{"formattedCitation":"[3]","plainCitation":"[3]","dontUpdate":true,"noteIndex":0},"citationItems":[{"id":520,"uris":["http://zotero.org/users/local/k67tNDdX/items/PF5LDZSG"],"uri":["http://zotero.org/users/local/k67tNDdX/items/PF5LDZSG"],"itemData":{"id":520,"type":"article-journal","abstract":"Background We hypothesized that fractional flow reserve (FFR)-guided percutaneous coronary intervention (PCI) would be superior to medical therapy as initial treatment in patients with stable coronary artery disease. Methods Among 1220 patients with angiographically significant stenoses, those in whom at least one stenosis was hemodynamically significant (FFR, ≤0.80) were randomly assigned to FFR-guided PCI plus medical therapy or to medical therapy alone. Patients in whom all stenoses had an FFR of more than 0.80 received medical therapy and were entered into a registry. The primary end point was a composite of death, myocardial infarction, or urgent revascularization. Results A total of 888 patients underwent randomization (447 patients in the PCI group and 441 in the medical-therapy group). At 5 years, the rate of the primary end point was lower in the PCI group than in the medical-therapy group (13.9% vs. 27.0%; hazard ratio, 0.46; 95% confidence interval [CI], 0.34 to 0.63; P&lt;0.001). The difference was driven by urgent revascularizations, which occurred in 6.3% of the patients in the PCI group as compared with 21.1% of those in the medical-therapy group (hazard ratio, 0.27; 95% CI, 0.18 to 0.41). There were no significant differences between the PCI group and the medical-therapy group in the rates of death (5.1% and 5.2%, respectively; hazard ratio, 0.98; 95% CI, 0.55 to 1.75) or myocardial infarction (8.1% and 12.0%; hazard ratio, 0.66; 95% CI, 0.43 to 1.00). There was no significant difference in the rate of the primary end point between the PCI group and the registry cohort (13.9% and 15.7%, respectively; hazard ratio, 0.88; 95% CI, 0.55 to 1.39). Relief from angina was more pronounced after PCI than after medical therapy. Conclusions In patients with stable coronary artery disease, an initial FFR-guided PCI strategy was associated with a significantly lower rate of the primary composite end point of death, myocardial infarction, or urgent revascularization at 5 years than medical therapy alone. Patients without hemodynamically significant stenoses had a favorable long-term outcome with medical therapy alone. (Funded by St. Jude Medical and others; FAME 2 ClinicalTrials.gov number, NCT01132495 .).","container-title":"The New England Journal of Medicine","DOI":"10.1056/NEJMoa1803538","ISSN":"1533-4406","journalAbbreviation":"N. Engl. J. Med.","language":"eng","note":"PMID: 29785878","source":"PubMed","title":"Five-Year Outcomes with PCI Guided by Fractional Flow Reserve","author":[{"family":"Xaplanteris","given":"Panagiotis"},{"family":"Fournier","given":"Stephane"},{"family":"Pijls","given":"Nico H. J."},{"family":"Fearon","given":"William F."},{"family":"Barbato","given":"Emanuele"},{"family":"Tonino","given":"Pim A. L."},{"family":"Engstrøm","given":"Thomas"},{"family":"Kääb","given":"Stefan"},{"family":"Dambrink","given":"Jan-Henk"},{"family":"Rioufol","given":"Gilles"},{"family":"Toth","given":"Gabor G."},{"family":"Piroth","given":"Zsolt"},{"family":"Witt","given":"Nils"},{"family":"Fröbert","given":"Ole"},{"family":"Kala","given":"Petr"},{"family":"Linke","given":"Axel"},{"family":"Jagic","given":"Nicola"},{"family":"Mates","given":"Martin"},{"family":"Mavromatis","given":"Kreton"},{"family":"Samady","given":"Habib"},{"family":"Irimpen","given":"Anand"},{"family":"Oldroyd","given":"Keith"},{"family":"Campo","given":"Gianluca"},{"family":"Rothenbühler","given":"Martina"},{"family":"Jüni","given":"Peter"},{"family":"De Bruyne","given":"Bernard"},{"literal":"FAME 2 Investigators"}],"issued":{"date-parts":[["2018",5,22]]}}}],"schema":"https://github.com/citation-style-language/schema/raw/master/csl-citation.json"} </w:instrText>
      </w:r>
      <w:r w:rsidR="00106A32" w:rsidRPr="00AB327C">
        <w:rPr>
          <w:rFonts w:ascii="Times New Roman" w:hAnsi="Times New Roman" w:cs="Times New Roman"/>
          <w:sz w:val="24"/>
          <w:szCs w:val="24"/>
        </w:rPr>
        <w:fldChar w:fldCharType="separate"/>
      </w:r>
      <w:r w:rsidRPr="00AB327C">
        <w:rPr>
          <w:rFonts w:ascii="Times New Roman" w:hAnsi="Times New Roman" w:cs="Times New Roman"/>
          <w:sz w:val="24"/>
          <w:szCs w:val="24"/>
        </w:rPr>
        <w:t>3]</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xml:space="preserve">. In practice, FFR is calculated as the ratio of the distal trans-stenotic pressure to the proximal coronary or aortic pressure during pharmacological hyperaemia. The hydrostatic consequences of the wire position </w:t>
      </w:r>
      <w:r>
        <w:rPr>
          <w:rFonts w:ascii="Times New Roman" w:hAnsi="Times New Roman" w:cs="Times New Roman"/>
          <w:sz w:val="24"/>
          <w:szCs w:val="24"/>
        </w:rPr>
        <w:t xml:space="preserve">are </w:t>
      </w:r>
      <w:r w:rsidRPr="00AB327C">
        <w:rPr>
          <w:rFonts w:ascii="Times New Roman" w:hAnsi="Times New Roman" w:cs="Times New Roman"/>
          <w:sz w:val="24"/>
          <w:szCs w:val="24"/>
        </w:rPr>
        <w:t xml:space="preserve">one </w:t>
      </w:r>
      <w:r>
        <w:rPr>
          <w:rFonts w:ascii="Times New Roman" w:hAnsi="Times New Roman" w:cs="Times New Roman"/>
          <w:sz w:val="24"/>
          <w:szCs w:val="24"/>
        </w:rPr>
        <w:t xml:space="preserve">of </w:t>
      </w:r>
      <w:r w:rsidRPr="00AB327C">
        <w:rPr>
          <w:rFonts w:ascii="Times New Roman" w:hAnsi="Times New Roman" w:cs="Times New Roman"/>
          <w:sz w:val="24"/>
          <w:szCs w:val="24"/>
        </w:rPr>
        <w:t>the recognised pitfalls when FFR measurements are performed. Coronary arteries lie in different vertical planes and height variations are part of normal anatomy. Thus</w:t>
      </w:r>
      <w:r>
        <w:rPr>
          <w:rFonts w:ascii="Times New Roman" w:hAnsi="Times New Roman" w:cs="Times New Roman"/>
          <w:sz w:val="24"/>
          <w:szCs w:val="24"/>
        </w:rPr>
        <w:t>,</w:t>
      </w:r>
      <w:r w:rsidRPr="00AB327C">
        <w:rPr>
          <w:rFonts w:ascii="Times New Roman" w:hAnsi="Times New Roman" w:cs="Times New Roman"/>
          <w:sz w:val="24"/>
          <w:szCs w:val="24"/>
        </w:rPr>
        <w:t xml:space="preserve"> the pressure wire sensor measuring distal pressure (Pd) is seldom at the same level with the coronary ostium where aortic pressure (Pa) is measured and where the Pd and Pa were previously equalised. This effect is present in any pressure based measurement, including </w:t>
      </w:r>
      <w:r>
        <w:rPr>
          <w:rFonts w:ascii="Times New Roman" w:hAnsi="Times New Roman" w:cs="Times New Roman"/>
          <w:sz w:val="24"/>
          <w:szCs w:val="24"/>
        </w:rPr>
        <w:t xml:space="preserve">the </w:t>
      </w:r>
      <w:r w:rsidRPr="00AB327C">
        <w:rPr>
          <w:rFonts w:ascii="Times New Roman" w:hAnsi="Times New Roman" w:cs="Times New Roman"/>
          <w:sz w:val="24"/>
          <w:szCs w:val="24"/>
        </w:rPr>
        <w:t xml:space="preserve">resting indices such as instantaneous wave free ratio (iFR)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{"citationID":"kdkd0zLL","properties":{"formattedCitation":"(Davies et al., 2017)","plainCitation":"(Davies et al., 2017)","noteIndex":0},"citationItems":[{"id":712,"uris":["http://zotero.org/users/local/k67tNDdX/items/4LTV4UQP"],"uri":["http://zotero.org/users/local/k67tNDdX/items/4LTV4UQP"],"itemData":{"id":712,"type":"article-journal","abstract":"BACKGROUND: Coronary revascularization guided by fractional flow reserve (FFR) is associated with better patient outcomes after the procedure than revascularization guided by angiography alone. It is unknown whether the instantaneous wave-free ratio (iFR), an alternative measure that does not require the administration of adenosine, will offer benefits similar to those of FFR.\nMETHODS: We randomly assigned 2492 patients with coronary artery disease, in a 1:1 ratio, to undergo either iFR-guided or FFR-guided coronary revascularization. The primary end point was the 1-year risk of major adverse cardiac events, which were a composite of death from any cause, nonfatal myocardial infarction, or unplanned revascularization. The trial was designed to show the noninferiority of iFR to FFR, with a margin of 3.4 percentage points for the difference in risk.\nRESULTS: At 1 year, the primary end point had occurred in 78 of 1148 patients (6.8%) in the iFR group and in 83 of 1182 patients (7.0%) in the FFR group (difference in risk, -0.2 percentage points; 95% confidence interval [CI], -2.3 to 1.8; P&lt;0.001 for noninferiority; hazard ratio, 0.95; 95% CI, 0.68 to 1.33; P=0.78). The risk of each component of the primary end point and of death from cardiovascular or noncardiovascular causes did not differ significantly between the groups. The number of patients who had adverse procedural symptoms and clinical signs was significantly lower in the iFR group than in the FFR group (39 patients [3.1%] vs. 385 patients [30.8%], P&lt;0.001), and the median procedural time was significantly shorter (40.5 minutes vs. 45.0 minutes, P=0.001).\nCONCLUSIONS: Coronary revascularization guided by iFR was noninferior to revascularization guided by FFR with respect to the risk of major adverse cardiac events at 1 year. The rate of adverse procedural signs and symptoms was lower and the procedural time was shorter with iFR than with FFR. (Funded by Philips Volcano; DEFINE-FLAIR ClinicalTrials.gov number, NCT02053038 .).","container-title":"The New England Journal of Medicine","DOI":"10.1056/NEJMoa1700445","ISSN":"1533-4406","issue":"19","journalAbbreviation":"N. Engl. J. Med.","language":"eng","note":"PMID: 28317458","page":"1824-1834","source":"PubMed","title":"Use of the Instantaneous Wave-free Ratio or Fractional Flow Reserve in PCI","volume":"376","author":[{"family":"Davies","given":"Justin E."},{"family":"Sen","given":"Sayan"},{"family":"Dehbi","given":"Hakim-Moulay"},{"family":"Al-Lamee","given":"Rasha"},{"family":"Petraco","given":"Ricardo"},{"family":"Nijjer","given":"Sukhjinder S."},{"family":"Bhindi","given":"Ravinay"},{"family":"Lehman","given":"Sam J."},{"family":"Walters","given":"Darren"},{"family":"Sapontis","given":"James"},{"family":"Janssens","given":"Luc"},{"family":"Vrints","given":"Christiaan J."},{"family":"Khashaba","given":"Ahmed"},{"family":"Laine","given":"Mika"},{"family":"Van Belle","given":"Eric"},{"family":"Krackhardt","given":"Florian"},{"family":"Bojara","given":"Waldemar"},{"family":"Going","given":"Olaf"},{"family":"Härle","given":"Tobias"},{"family":"Indolfi","given":"Ciro"},{"family":"Niccoli","given":"Giampaolo"},{"family":"Ribichini","given":"Flavo"},{"family":"Tanaka","given":"Nobuhiro"},{"family":"Yokoi","given":"Hiroyoshi"},{"family":"Takashima","given":"Hiroaki"},{"family":"Kikuta","given":"Yuetsu"},{"family":"Erglis","given":"Andrejs"},{"family":"Vinhas","given":"Hugo"},{"family":"Canas Silva","given":"Pedro"},{"family":"Baptista","given":"Sérgio B."},{"family":"Alghamdi","given":"Ali"},{"family":"Hellig","given":"Farrel"},{"family":"Koo","given":"Bon-Kwon"},{"family":"Nam","given":"Chang-Wook"},{"family":"Shin","given":"Eun-Seok"},{"family":"Doh","given":"Joon-Hyung"},{"family":"Brugaletta","given":"Salvatore"},{"family":"Alegria-Barrero","given":"Eduardo"},{"family":"Meuwissen","given":"Martijin"},{"family":"Piek","given":"Jan J."},{"family":"Royen","given":"Niels","non-dropping-particle":"van"},{"family":"Sezer","given":"Murat"},{"family":"Di Mario","given":"Carlo"},{"family":"Gerber","given":"Robert T."},{"family":"Malik","given":"Iqbal S."},{"family":"Sharp","given":"Andrew S. P."},{"family":"Talwar","given":"Suneel"},{"family":"Tang","given":"Kare"},{"family":"Samady","given":"Habib"},{"family":"Altman","given":"John"},{"family":"Seto","given":"Arnold H."},{"family":"Singh","given":"Jasvindar"},{"family":"Jeremias","given":"Allen"},{"family":"Matsuo","given":"Hitoshi"},{"family":"Kharbanda","given":"Rajesh K."},{"family":"Patel","given":"Manesh R."},{"family":"Serruys","given":"Patrick"},{"family":"Escaned","given":"Javier"}],"issued":{"date-parts":[["2017"]],"season":"11"}}}],"schema":"https://github.com/citation-style-language/schema/raw/master/csl-citation.json"} </w:instrText>
      </w:r>
      <w:r w:rsidR="00106A32" w:rsidRPr="00AB327C">
        <w:rPr>
          <w:rFonts w:ascii="Times New Roman" w:hAnsi="Times New Roman" w:cs="Times New Roman"/>
          <w:sz w:val="24"/>
          <w:szCs w:val="24"/>
        </w:rPr>
        <w:fldChar w:fldCharType="separate"/>
      </w:r>
      <w:r w:rsidR="004A32A5" w:rsidRPr="004A32A5">
        <w:rPr>
          <w:rFonts w:ascii="Times New Roman" w:hAnsi="Times New Roman" w:cs="Times New Roman"/>
          <w:sz w:val="24"/>
        </w:rPr>
        <w:t>(Davies et al., 2017)</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w:t>
      </w:r>
      <w:r>
        <w:rPr>
          <w:rFonts w:ascii="Times New Roman" w:hAnsi="Times New Roman" w:cs="Times New Roman"/>
          <w:sz w:val="24"/>
          <w:szCs w:val="24"/>
        </w:rPr>
        <w:t xml:space="preserve"> </w:t>
      </w:r>
      <w:r w:rsidRPr="003169B3">
        <w:rPr>
          <w:rFonts w:ascii="Times New Roman" w:hAnsi="Times New Roman" w:cs="Times New Roman"/>
          <w:color w:val="000000" w:themeColor="text1"/>
          <w:sz w:val="24"/>
          <w:szCs w:val="24"/>
        </w:rPr>
        <w:t xml:space="preserve">Despite strong evidence for its use, FFR remains underutilised </w:t>
      </w:r>
      <w:r w:rsidR="00106A32" w:rsidRPr="003169B3">
        <w:rPr>
          <w:rFonts w:ascii="Times New Roman" w:hAnsi="Times New Roman" w:cs="Times New Roman"/>
          <w:color w:val="000000" w:themeColor="text1"/>
          <w:sz w:val="24"/>
          <w:szCs w:val="24"/>
        </w:rPr>
        <w:fldChar w:fldCharType="begin"/>
      </w:r>
      <w:r w:rsidR="004A32A5">
        <w:rPr>
          <w:rFonts w:ascii="Times New Roman" w:hAnsi="Times New Roman" w:cs="Times New Roman"/>
          <w:color w:val="000000" w:themeColor="text1"/>
          <w:sz w:val="24"/>
          <w:szCs w:val="24"/>
        </w:rPr>
        <w:instrText xml:space="preserve"> ADDIN ZOTERO_ITEM CSL_CITATION {"citationID":"GMS0faqx","properties":{"formattedCitation":"(Tebaldi et al., 2018)","plainCitation":"(Tebaldi et al., 2018)","noteIndex":0},"citationItems":[{"id":732,"uris":["http://zotero.org/users/local/k67tNDdX/items/X2FJQ7VQ"],"uri":["http://zotero.org/users/local/k67tNDdX/items/X2FJQ7VQ"],"itemData":{"id":732,"type":"article-journal","abstract":"OBJECTIVES: The aims of the ERIS (Evolving Routine Standards of FFR Use) study are to describe the current use of invasive coronary physiology assessment and discern the reasons for its nonuse in daily practice.\nBACKGROUND: Adoption of coronary physiology guidance in the catheterization laboratory varies among countries, centers, and operators.\nMETHODS: ERIS is an investigator-driven, nationwide, prospective, cross-sectional study involving 76 Italian catheterization laboratories. Each center had a 60-day window to include consecutive cases that fulfilled the inclusion and exclusion criteria. Two pre-specified groups were enrolled: 1) patients who had operators apply fractional flow reserve or instantaneous wave-free ratio assessment (physiology assessment group); and 2) patients who had operators decide not to perform fractional flow reserve or instantaneous wave-free ratio assessment, although the patients met the inclusion and exclusion criteria (visual estimation group).\nRESULTS: Overall, 1,858 cases were included (physiology assessment group, n = 1,177; visual estimation group, n = 681). Physiology-based guidance was used in 7% and 13% of the total volume of angiographic and percutaneous coronary interventions, respectively. Its use was in line with European and American guidelines in 48% of the cases (n = 569). Physiology guidance was used in a consistent number of patients with acute coronary syndromes (n = 529 [45%]). The main reason for not using physiology guidance was the operator's confidence that clinical and angiographic data alone were sufficient.\nCONCLUSIONS: Use of coronary physiology assessment in daily practice meets the current guideline indications in approximately 50% of cases. The major limiting factor for the adoption of physiology guidance was the operator's confidence in visual assessment alone. (Evolving Routine Standards of FFR Use [ERIS]; NCT03082989).","container-title":"JACC. Cardiovascular interventions","DOI":"10.1016/j.jcin.2018.04.037","ISSN":"1876-7605","issue":"15","journalAbbreviation":"JACC Cardiovasc Interv","language":"eng","note":"PMID: 29803695","page":"1482-1491","source":"PubMed","title":"Evolving Routine Standards in Invasive Hemodynamic Assessment of Coronary Stenosis: The Nationwide Italian SICI-GISE Cross-Sectional ERIS Study","title-short":"Evolving Routine Standards in Invasive Hemodynamic Assessment of Coronary Stenosis","volume":"11","author":[{"family":"Tebaldi","given":"Matteo"},{"family":"Biscaglia","given":"Simone"},{"family":"Fineschi","given":"Massimo"},{"family":"Musumeci","given":"Giuseppe"},{"family":"Marchese","given":"Alfredo"},{"family":"Leone","given":"Antonio Maria"},{"family":"Rossi","given":"Marco Luciano"},{"family":"Stefanini","given":"Giulio"},{"family":"Maione","given":"Antongiulio"},{"family":"Menozzi","given":"Alberto"},{"family":"Tarantino","given":"Fabio"},{"family":"Lodolini","given":"Veronica"},{"family":"Gallo","given":"Francesco"},{"family":"Barbato","given":"Emanuele"},{"family":"Tarantini","given":"Giuseppe"},{"family":"Campo","given":"Gianluca"}],"issued":{"date-parts":[["2018",8,13]]}}}],"schema":"https://github.com/citation-style-language/schema/raw/master/csl-citation.json"} </w:instrText>
      </w:r>
      <w:r w:rsidR="00106A32" w:rsidRPr="003169B3">
        <w:rPr>
          <w:rFonts w:ascii="Times New Roman" w:hAnsi="Times New Roman" w:cs="Times New Roman"/>
          <w:color w:val="000000" w:themeColor="text1"/>
          <w:sz w:val="24"/>
          <w:szCs w:val="24"/>
        </w:rPr>
        <w:fldChar w:fldCharType="separate"/>
      </w:r>
      <w:r w:rsidR="004A32A5" w:rsidRPr="004A32A5">
        <w:rPr>
          <w:rFonts w:ascii="Times New Roman" w:hAnsi="Times New Roman" w:cs="Times New Roman"/>
          <w:sz w:val="24"/>
        </w:rPr>
        <w:t>(Tebaldi et al., 2018)</w:t>
      </w:r>
      <w:r w:rsidR="00106A32" w:rsidRPr="003169B3">
        <w:rPr>
          <w:rFonts w:ascii="Times New Roman" w:hAnsi="Times New Roman" w:cs="Times New Roman"/>
          <w:color w:val="000000" w:themeColor="text1"/>
          <w:sz w:val="24"/>
          <w:szCs w:val="24"/>
        </w:rPr>
        <w:fldChar w:fldCharType="end"/>
      </w:r>
      <w:r w:rsidRPr="003169B3">
        <w:rPr>
          <w:rFonts w:ascii="Times New Roman" w:hAnsi="Times New Roman" w:cs="Times New Roman"/>
          <w:color w:val="000000" w:themeColor="text1"/>
          <w:sz w:val="24"/>
          <w:szCs w:val="24"/>
        </w:rPr>
        <w:t>. Avoiding confounding factors when using pressure based indices is crucial in accurate stenosis assessment.</w:t>
      </w:r>
    </w:p>
    <w:p w14:paraId="7FC0DD07"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24EC4D6E"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 xml:space="preserve">In clinical practice </w:t>
      </w:r>
      <w:r>
        <w:rPr>
          <w:rFonts w:ascii="Times New Roman" w:hAnsi="Times New Roman" w:cs="Times New Roman"/>
          <w:sz w:val="24"/>
          <w:szCs w:val="24"/>
        </w:rPr>
        <w:t xml:space="preserve">hydrostatic effect </w:t>
      </w:r>
      <w:r w:rsidRPr="00AB327C">
        <w:rPr>
          <w:rFonts w:ascii="Times New Roman" w:hAnsi="Times New Roman" w:cs="Times New Roman"/>
          <w:sz w:val="24"/>
          <w:szCs w:val="24"/>
        </w:rPr>
        <w:t>produce</w:t>
      </w:r>
      <w:r>
        <w:rPr>
          <w:rFonts w:ascii="Times New Roman" w:hAnsi="Times New Roman" w:cs="Times New Roman"/>
          <w:sz w:val="24"/>
          <w:szCs w:val="24"/>
        </w:rPr>
        <w:t>s</w:t>
      </w:r>
      <w:r w:rsidRPr="00AB327C">
        <w:rPr>
          <w:rFonts w:ascii="Times New Roman" w:hAnsi="Times New Roman" w:cs="Times New Roman"/>
          <w:sz w:val="24"/>
          <w:szCs w:val="24"/>
        </w:rPr>
        <w:t xml:space="preserve"> FFR values higher than 1.00 in a non-diseased vessels, most commonly positioned posteriorly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{"citationID":"O6TcE3eW","properties":{"formattedCitation":"(Nijjer et al., 2016)","plainCitation":"(Nijjer et al., 2016)","noteIndex":0},"citationItems":[{"id":522,"uris":["http://zotero.org/users/local/k67tNDdX/items/6Y6IR4GQ"],"uri":["http://zotero.org/users/local/k67tNDdX/items/6Y6IR4GQ"],"itemData":{"id":522,"type":"article-journal","abstract":"BACKGROUND: Our understanding of human coronary physiological behaviour is derived from animal models. We sought to describe physiological behaviour across a large collection of invasive pressure and flow velocity measurements, to provide a better understanding of the relationships between these physiological parameters and to evaluate the rationale for resting stenosis assessment.\nMETHODS AND RESULTS: Five hundred and sixty-seven simultaneous intracoronary pressure and flow velocity assessments from 301 patients were analysed for coronary flow velocity, trans-stenotic pressure gradient (TG), and microvascular resistance (MVR). Measurements were made during baseline and hyperaemic conditions. The whole cardiac cycle and the diastolic wave-free period were assessed. Stenoses were assessed according to fractional flow reserve (FFR) and quantitative coronary angiography DS%. With progressive worsening of stenoses, from unobstructed angiographic normal vessels to those with FFR ≤ 0.50, hyperaemic flow falls significantly from 45 to 19 cm/s, Ptrend &lt; 0.001 in a curvilinear pattern. Resting flow was unaffected by stenosis severity and was consistent across all strata of stenosis (Ptrend &gt; 0.05 for all). Trans-stenotic pressure gradient rose with stenosis severity for both rest and hyperaemic measures (Ptrend &lt; 0.001 for both). Microvascular resistance declines with stenosis severity under resting conditions (Ptrend &lt; 0.001), but was unchanged at hyperaemia (2.3 ± 1.1 mmHg/cm/s; Ptrend = 0.19).\nCONCLUSIONS: With progressive stenosis severity, TG rises. However, while hyperaemic flow falls significantly, resting coronary flow is maintained by compensatory reduction of MVR, demonstrating coronary auto-regulation. These data support the translation of coronary physiological concepts derived from animals to patients with coronary artery disease and furthermore, suggest that resting pressure indices can be used to detect the haemodynamic significance of coronary artery stenoses.","container-title":"European Heart Journal","DOI":"10.1093/eurheartj/ehv626","ISSN":"1522-9645","issue":"26","journalAbbreviation":"Eur. Heart J.","language":"eng","note":"PMID: 26612582\nPMCID: PMC4940452","page":"2069-2080","source":"PubMed","title":"Coronary pressure and flow relationships in humans: phasic analysis of normal and pathological vessels and the implications for stenosis assessment: a report from the Iberian-Dutch-English (IDEAL) collaborators","title-short":"Coronary pressure and flow relationships in humans","volume":"37","author":[{"family":"Nijjer","given":"Sukhjinder S."},{"family":"Waard","given":"Guus A.","non-dropping-particle":"de"},{"family":"Sen","given":"Sayan"},{"family":"Hoef","given":"Tim P.","non-dropping-particle":"van de"},{"family":"Petraco","given":"Ricardo"},{"family":"Echavarría-Pinto","given":"Mauro"},{"family":"Lavieren","given":"Martijn A.","non-dropping-particle":"van"},{"family":"Meuwissen","given":"Martijn"},{"family":"Danad","given":"Ibrahim"},{"family":"Knaapen","given":"Paul"},{"family":"Escaned","given":"Javier"},{"family":"Piek","given":"Jan J."},{"family":"Davies","given":"Justin E."},{"family":"Royen","given":"Niels","non-dropping-particle":"van"}],"issued":{"date-parts":[["2016",7,7]]}}}],"schema":"https://github.com/citation-style-language/schema/raw/master/csl-citation.json"} </w:instrText>
      </w:r>
      <w:r w:rsidR="00106A32" w:rsidRPr="00AB327C">
        <w:rPr>
          <w:rFonts w:ascii="Times New Roman" w:hAnsi="Times New Roman" w:cs="Times New Roman"/>
          <w:sz w:val="24"/>
          <w:szCs w:val="24"/>
        </w:rPr>
        <w:fldChar w:fldCharType="separate"/>
      </w:r>
      <w:r w:rsidR="004A32A5" w:rsidRPr="004A32A5">
        <w:rPr>
          <w:rFonts w:ascii="Times New Roman" w:hAnsi="Times New Roman" w:cs="Times New Roman"/>
          <w:sz w:val="24"/>
        </w:rPr>
        <w:t>(Nijjer et al., 2016)</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xml:space="preserve">. A recent study documented coronary ostia and distal vessels height differences in an elderly patient cohort with aortic stenosis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{"citationID":"J23IDQEh","properties":{"formattedCitation":"(H\\uc0\\u228{}rle et al., 2017b)","plainCitation":"(Härle et al., 2017b)","noteIndex":0},"citationItems":[{"id":16,"uris":["http://zotero.org/users/local/k67tNDdX/items/I6GPSG9J"],"uri":["http://zotero.org/users/local/k67tNDdX/items/I6GPSG9J"],"itemData":{"id":16,"type":"article-journal","abstract":"OBJECTIVES: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AB327C">
        <w:rPr>
          <w:rFonts w:ascii="Times New Roman" w:hAnsi="Times New Roman" w:cs="Times New Roman"/>
          <w:sz w:val="24"/>
          <w:szCs w:val="24"/>
        </w:rPr>
        <w:fldChar w:fldCharType="separate"/>
      </w:r>
      <w:r w:rsidR="004A32A5" w:rsidRPr="004A32A5">
        <w:rPr>
          <w:rFonts w:ascii="Times New Roman" w:hAnsi="Times New Roman" w:cs="Times New Roman"/>
          <w:sz w:val="24"/>
          <w:szCs w:val="24"/>
        </w:rPr>
        <w:t>(Härle et al., 2017b)</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Furthermore</w:t>
      </w:r>
      <w:r>
        <w:rPr>
          <w:rFonts w:ascii="Times New Roman" w:hAnsi="Times New Roman" w:cs="Times New Roman"/>
          <w:sz w:val="24"/>
          <w:szCs w:val="24"/>
        </w:rPr>
        <w:t>,</w:t>
      </w:r>
      <w:r w:rsidRPr="00AB327C">
        <w:rPr>
          <w:rFonts w:ascii="Times New Roman" w:hAnsi="Times New Roman" w:cs="Times New Roman"/>
          <w:sz w:val="24"/>
          <w:szCs w:val="24"/>
        </w:rPr>
        <w:t xml:space="preserve"> the investigators used an </w:t>
      </w:r>
      <w:r w:rsidRPr="00EA62E2">
        <w:rPr>
          <w:rFonts w:ascii="Times New Roman" w:hAnsi="Times New Roman" w:cs="Times New Roman"/>
          <w:i/>
          <w:sz w:val="24"/>
          <w:szCs w:val="24"/>
        </w:rPr>
        <w:t>in vitro</w:t>
      </w:r>
      <w:r w:rsidRPr="00AB327C">
        <w:rPr>
          <w:rFonts w:ascii="Times New Roman" w:hAnsi="Times New Roman" w:cs="Times New Roman"/>
          <w:sz w:val="24"/>
          <w:szCs w:val="24"/>
        </w:rPr>
        <w:t xml:space="preserve"> model to calculate the impact of their observed height difference in pressure derived physiological indices. The observed changes were small meaning that it is unlikely to cause a significant change of FFR value in clinical practice. However, when using a binary cut</w:t>
      </w:r>
      <w:r>
        <w:rPr>
          <w:rFonts w:ascii="Times New Roman" w:hAnsi="Times New Roman" w:cs="Times New Roman"/>
          <w:sz w:val="24"/>
          <w:szCs w:val="24"/>
        </w:rPr>
        <w:t>-</w:t>
      </w:r>
      <w:r w:rsidRPr="00AB327C">
        <w:rPr>
          <w:rFonts w:ascii="Times New Roman" w:hAnsi="Times New Roman" w:cs="Times New Roman"/>
          <w:sz w:val="24"/>
          <w:szCs w:val="24"/>
        </w:rPr>
        <w:t xml:space="preserve">off for flow limitation for a given coronary stenosis, even a change of 0.02 can change the classification of FFR from ischaemic to non-ischaemic (FFR form 0.79 to 0.81). </w:t>
      </w:r>
    </w:p>
    <w:p w14:paraId="1863406B"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32AAF8FA"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In this study, we aimed to quantify the height differences between the distal coronary vessels and the corresponding coronary ostia in a supine position in a real life cohort of patients undergoing investigations for coronary artery disease. Based on these measurements, we tried to quantify the effect of coronary anatomical variations on FFR values around the ischaemic cut-off point of 0.80.</w:t>
      </w:r>
    </w:p>
    <w:p w14:paraId="641E59D2"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7B68C6AB"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7D9A9836" w14:textId="77777777" w:rsidR="003F208B" w:rsidRPr="008E5E70" w:rsidRDefault="003F208B" w:rsidP="003F208B">
      <w:pPr>
        <w:widowControl w:val="0"/>
        <w:autoSpaceDE w:val="0"/>
        <w:autoSpaceDN w:val="0"/>
        <w:adjustRightInd w:val="0"/>
        <w:spacing w:after="0" w:line="480" w:lineRule="auto"/>
        <w:jc w:val="both"/>
        <w:rPr>
          <w:rFonts w:ascii="Times New Roman" w:hAnsi="Times New Roman" w:cs="Times New Roman"/>
          <w:b/>
          <w:sz w:val="24"/>
          <w:szCs w:val="24"/>
        </w:rPr>
      </w:pPr>
      <w:r w:rsidRPr="008E5E70">
        <w:rPr>
          <w:rFonts w:ascii="Times New Roman" w:hAnsi="Times New Roman" w:cs="Times New Roman"/>
          <w:b/>
          <w:sz w:val="24"/>
          <w:szCs w:val="24"/>
        </w:rPr>
        <w:t>Methods</w:t>
      </w:r>
    </w:p>
    <w:p w14:paraId="2ECE46D4"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We conducted a retrospective analysis of 100 patients undergoing CT coronary angiograms from August 2016 to April 2017 for new onset chest pain suspected to be angina. Vertical coronary height measurements were recorded in all coronary arteries and then used to calculate the potential hydrostatic effect on that specific point in the artery.  The effect of the calculated pressure difference and hence effect on FFR was applied to a model of two hundred randomly generated FFR values. FFR was compared pre</w:t>
      </w:r>
      <w:r>
        <w:rPr>
          <w:rFonts w:ascii="Times New Roman" w:hAnsi="Times New Roman" w:cs="Times New Roman"/>
          <w:sz w:val="24"/>
          <w:szCs w:val="24"/>
        </w:rPr>
        <w:t>-</w:t>
      </w:r>
      <w:r w:rsidRPr="00AB327C">
        <w:rPr>
          <w:rFonts w:ascii="Times New Roman" w:hAnsi="Times New Roman" w:cs="Times New Roman"/>
          <w:sz w:val="24"/>
          <w:szCs w:val="24"/>
        </w:rPr>
        <w:t xml:space="preserve"> and post</w:t>
      </w:r>
      <w:r>
        <w:rPr>
          <w:rFonts w:ascii="Times New Roman" w:hAnsi="Times New Roman" w:cs="Times New Roman"/>
          <w:sz w:val="24"/>
          <w:szCs w:val="24"/>
        </w:rPr>
        <w:t>-</w:t>
      </w:r>
      <w:r w:rsidRPr="00AB327C">
        <w:rPr>
          <w:rFonts w:ascii="Times New Roman" w:hAnsi="Times New Roman" w:cs="Times New Roman"/>
          <w:sz w:val="24"/>
          <w:szCs w:val="24"/>
        </w:rPr>
        <w:t>correction for hydrostatic force.</w:t>
      </w:r>
    </w:p>
    <w:p w14:paraId="3A800C8E"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5D6E7FBF"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r w:rsidRPr="00AB327C">
        <w:rPr>
          <w:rFonts w:ascii="Times New Roman" w:hAnsi="Times New Roman" w:cs="Times New Roman"/>
          <w:i/>
          <w:sz w:val="24"/>
          <w:szCs w:val="24"/>
        </w:rPr>
        <w:t>Inclusion and Exclusion Criteria</w:t>
      </w:r>
    </w:p>
    <w:p w14:paraId="7327AC42"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All patients were elective outpatients under investigation for angina. Patients with previous bypass grafting or valve surgery were excluded. Scans</w:t>
      </w:r>
      <w:r>
        <w:rPr>
          <w:rFonts w:ascii="Times New Roman" w:hAnsi="Times New Roman" w:cs="Times New Roman"/>
          <w:sz w:val="24"/>
          <w:szCs w:val="24"/>
        </w:rPr>
        <w:t>,</w:t>
      </w:r>
      <w:r w:rsidRPr="00AB327C">
        <w:rPr>
          <w:rFonts w:ascii="Times New Roman" w:hAnsi="Times New Roman" w:cs="Times New Roman"/>
          <w:sz w:val="24"/>
          <w:szCs w:val="24"/>
        </w:rPr>
        <w:t xml:space="preserve"> which did not show the upper rim of the CT table could not be analysed (as this was the reference point for measurement). Coronary visualisations with poor contrast penetration, or significant artefact were excluded</w:t>
      </w:r>
      <w:r>
        <w:rPr>
          <w:rFonts w:ascii="Times New Roman" w:hAnsi="Times New Roman" w:cs="Times New Roman"/>
          <w:sz w:val="24"/>
          <w:szCs w:val="24"/>
        </w:rPr>
        <w:t>.</w:t>
      </w:r>
      <w:r w:rsidRPr="00AB327C">
        <w:rPr>
          <w:rFonts w:ascii="Times New Roman" w:hAnsi="Times New Roman" w:cs="Times New Roman"/>
          <w:sz w:val="24"/>
          <w:szCs w:val="24"/>
        </w:rPr>
        <w:t xml:space="preserve"> Finally, left dominant coronary circulations were not included in analysis.</w:t>
      </w:r>
    </w:p>
    <w:p w14:paraId="54085311"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5E678D03"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r w:rsidRPr="00AB327C">
        <w:rPr>
          <w:rFonts w:ascii="Times New Roman" w:hAnsi="Times New Roman" w:cs="Times New Roman"/>
          <w:i/>
          <w:sz w:val="24"/>
          <w:szCs w:val="24"/>
        </w:rPr>
        <w:t>CT Coronary Angiogram</w:t>
      </w:r>
    </w:p>
    <w:p w14:paraId="4599A420"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p>
    <w:p w14:paraId="323A3904"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CT coronary angiography was performed as per local criteria at our institution using a 64</w:t>
      </w:r>
      <w:r>
        <w:rPr>
          <w:rFonts w:ascii="Times New Roman" w:hAnsi="Times New Roman" w:cs="Times New Roman"/>
          <w:sz w:val="24"/>
          <w:szCs w:val="24"/>
        </w:rPr>
        <w:t>-</w:t>
      </w:r>
      <w:r w:rsidRPr="00AB327C">
        <w:rPr>
          <w:rFonts w:ascii="Times New Roman" w:hAnsi="Times New Roman" w:cs="Times New Roman"/>
          <w:sz w:val="24"/>
          <w:szCs w:val="24"/>
        </w:rPr>
        <w:t xml:space="preserve">slice CT scanner. A resting heart rate of less than 80 beats per minute was required. Intravenous metoprolol was administered for heart rate reduction if necessary. </w:t>
      </w:r>
    </w:p>
    <w:p w14:paraId="7EAA1CAD"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5F1B0AF6"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r w:rsidRPr="00AB327C">
        <w:rPr>
          <w:rFonts w:ascii="Times New Roman" w:hAnsi="Times New Roman" w:cs="Times New Roman"/>
          <w:i/>
          <w:sz w:val="24"/>
          <w:szCs w:val="24"/>
        </w:rPr>
        <w:t>Coronary Height Analysis</w:t>
      </w:r>
    </w:p>
    <w:p w14:paraId="2B8071C9"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Using an electronic radiology reporting program (Agfa IMPAX™) and a measuring calliper, distance from the upper rim of the CT table to multiple points in the coronary tree were obtained. Arterial measurement points included;</w:t>
      </w:r>
    </w:p>
    <w:p w14:paraId="7999ED81"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213964A0" w14:textId="77777777" w:rsidR="003F208B" w:rsidRPr="00AB327C" w:rsidRDefault="003F208B" w:rsidP="003F208B">
      <w:pPr>
        <w:pStyle w:val="ListParagraph"/>
        <w:widowControl w:val="0"/>
        <w:numPr>
          <w:ilvl w:val="0"/>
          <w:numId w:val="15"/>
        </w:numPr>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Left coronary ostium</w:t>
      </w:r>
    </w:p>
    <w:p w14:paraId="31D62438" w14:textId="77777777" w:rsidR="003F208B" w:rsidRPr="00AB327C" w:rsidRDefault="003F208B" w:rsidP="003F208B">
      <w:pPr>
        <w:pStyle w:val="ListParagraph"/>
        <w:widowControl w:val="0"/>
        <w:numPr>
          <w:ilvl w:val="0"/>
          <w:numId w:val="15"/>
        </w:numPr>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Right coronary ostium</w:t>
      </w:r>
    </w:p>
    <w:p w14:paraId="7F3846DD" w14:textId="77777777" w:rsidR="003F208B" w:rsidRPr="00AB327C" w:rsidRDefault="003F208B" w:rsidP="003F208B">
      <w:pPr>
        <w:pStyle w:val="ListParagraph"/>
        <w:widowControl w:val="0"/>
        <w:numPr>
          <w:ilvl w:val="0"/>
          <w:numId w:val="15"/>
        </w:numPr>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Ostial left anterior descending (LAD)</w:t>
      </w:r>
    </w:p>
    <w:p w14:paraId="2D039A47" w14:textId="77777777" w:rsidR="003F208B" w:rsidRPr="00AB327C" w:rsidRDefault="003F208B" w:rsidP="003F208B">
      <w:pPr>
        <w:pStyle w:val="ListParagraph"/>
        <w:widowControl w:val="0"/>
        <w:numPr>
          <w:ilvl w:val="0"/>
          <w:numId w:val="15"/>
        </w:numPr>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Distal LAD - at its highest point</w:t>
      </w:r>
    </w:p>
    <w:p w14:paraId="7E42515C" w14:textId="77777777" w:rsidR="003F208B" w:rsidRPr="00AB327C" w:rsidRDefault="003F208B" w:rsidP="003F208B">
      <w:pPr>
        <w:pStyle w:val="ListParagraph"/>
        <w:widowControl w:val="0"/>
        <w:numPr>
          <w:ilvl w:val="0"/>
          <w:numId w:val="15"/>
        </w:numPr>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Distal circumflex (Cx) - at its lowest point</w:t>
      </w:r>
    </w:p>
    <w:p w14:paraId="51381FC5" w14:textId="77777777" w:rsidR="003F208B" w:rsidRPr="00AB327C" w:rsidRDefault="003F208B" w:rsidP="003F208B">
      <w:pPr>
        <w:pStyle w:val="ListParagraph"/>
        <w:widowControl w:val="0"/>
        <w:numPr>
          <w:ilvl w:val="0"/>
          <w:numId w:val="15"/>
        </w:numPr>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Right coronary artery bifurcation</w:t>
      </w:r>
    </w:p>
    <w:p w14:paraId="7127B163" w14:textId="77777777" w:rsidR="003F208B" w:rsidRPr="00AB327C" w:rsidRDefault="003F208B" w:rsidP="003F208B">
      <w:pPr>
        <w:pStyle w:val="ListParagraph"/>
        <w:widowControl w:val="0"/>
        <w:numPr>
          <w:ilvl w:val="0"/>
          <w:numId w:val="15"/>
        </w:numPr>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Distal posterior descending artery (PDA) - at its highest point</w:t>
      </w:r>
    </w:p>
    <w:p w14:paraId="1ACD2797" w14:textId="77777777" w:rsidR="003F208B" w:rsidRPr="00AB327C" w:rsidRDefault="003F208B" w:rsidP="003F208B">
      <w:pPr>
        <w:pStyle w:val="ListParagraph"/>
        <w:widowControl w:val="0"/>
        <w:numPr>
          <w:ilvl w:val="0"/>
          <w:numId w:val="15"/>
        </w:numPr>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Distal posterior left ventricular artery (PLV) - at its lowest point</w:t>
      </w:r>
    </w:p>
    <w:p w14:paraId="4B7492D0"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p>
    <w:p w14:paraId="52310FED"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Measurements were in millimetres and taken at the furthest point of contrast penetration visible in the vessel.</w:t>
      </w:r>
    </w:p>
    <w:p w14:paraId="3F3CD32F"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1B7E94FB"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r w:rsidRPr="00AB327C">
        <w:rPr>
          <w:rFonts w:ascii="Times New Roman" w:hAnsi="Times New Roman" w:cs="Times New Roman"/>
          <w:i/>
          <w:sz w:val="24"/>
          <w:szCs w:val="24"/>
        </w:rPr>
        <w:t>FFR Impact Analysis</w:t>
      </w:r>
    </w:p>
    <w:p w14:paraId="62263208"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6E5A365E"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The difference in height between the coronary ostium and the measurement point in the artery is the calculated height difference.</w:t>
      </w:r>
      <w:r>
        <w:rPr>
          <w:rFonts w:ascii="Times New Roman" w:hAnsi="Times New Roman" w:cs="Times New Roman"/>
          <w:sz w:val="24"/>
          <w:szCs w:val="24"/>
        </w:rPr>
        <w:t xml:space="preserve"> </w:t>
      </w:r>
      <w:r w:rsidRPr="00AB327C">
        <w:rPr>
          <w:rFonts w:ascii="Times New Roman" w:hAnsi="Times New Roman" w:cs="Times New Roman"/>
          <w:sz w:val="24"/>
          <w:szCs w:val="24"/>
        </w:rPr>
        <w:t>This was multiplied by 0.8 (according to Pascal's Law and adjusting for blood density) to give a positive or negative change in pressure</w:t>
      </w:r>
      <w:r>
        <w:rPr>
          <w:rFonts w:ascii="Times New Roman" w:hAnsi="Times New Roman" w:cs="Times New Roman"/>
          <w:sz w:val="24"/>
          <w:szCs w:val="24"/>
        </w:rPr>
        <w:t xml:space="preserve"> -</w:t>
      </w:r>
      <w:r w:rsidRPr="00AB327C">
        <w:rPr>
          <w:rFonts w:ascii="Times New Roman" w:hAnsi="Times New Roman" w:cs="Times New Roman"/>
          <w:sz w:val="24"/>
          <w:szCs w:val="24"/>
        </w:rPr>
        <w:t xml:space="preserve"> in mmHg. This is the theoretical effect on Pd. The denominator (Pa) is assumed to be 100 in the following calculation model.  The resulting value was factored into 200 random computer generated FFR values between 0.75 and 0.85 to give a corrected FFR (cFFR) using Microsoft Excel™. Corrected FFR was compared with baseline FFR and the percentage of values that crossed the threshold of 0.8 (from positive to negative or vice versa) was calculated.</w:t>
      </w:r>
    </w:p>
    <w:p w14:paraId="15E4AFB5"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01357A77" w14:textId="77777777" w:rsidR="003F208B" w:rsidRPr="008E5E70"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r w:rsidRPr="00AB327C">
        <w:rPr>
          <w:rFonts w:ascii="Times New Roman" w:hAnsi="Times New Roman" w:cs="Times New Roman"/>
          <w:i/>
          <w:sz w:val="24"/>
          <w:szCs w:val="24"/>
        </w:rPr>
        <w:t>Statistical Analysis</w:t>
      </w:r>
    </w:p>
    <w:p w14:paraId="7BA7D42F"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 xml:space="preserve">Continuous variables are expressed as mean values plus or minus standard deviation. Categorical variables are described as numbers and percentages. Statistical significance of coronary height variations were calculated using the Student </w:t>
      </w:r>
      <w:r w:rsidRPr="004900D4">
        <w:rPr>
          <w:rFonts w:ascii="Times New Roman" w:hAnsi="Times New Roman" w:cs="Times New Roman"/>
          <w:i/>
          <w:sz w:val="24"/>
          <w:szCs w:val="24"/>
        </w:rPr>
        <w:t>t-test</w:t>
      </w:r>
      <w:r w:rsidRPr="00AB327C">
        <w:rPr>
          <w:rFonts w:ascii="Times New Roman" w:hAnsi="Times New Roman" w:cs="Times New Roman"/>
          <w:sz w:val="24"/>
          <w:szCs w:val="24"/>
        </w:rPr>
        <w:t>.</w:t>
      </w:r>
    </w:p>
    <w:p w14:paraId="70840EAD"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1533F51E" w14:textId="77777777" w:rsidR="003F208B" w:rsidRPr="008E5E70" w:rsidRDefault="003F208B" w:rsidP="003F208B">
      <w:pPr>
        <w:widowControl w:val="0"/>
        <w:autoSpaceDE w:val="0"/>
        <w:autoSpaceDN w:val="0"/>
        <w:adjustRightInd w:val="0"/>
        <w:spacing w:after="0" w:line="480" w:lineRule="auto"/>
        <w:jc w:val="both"/>
        <w:rPr>
          <w:rFonts w:ascii="Times New Roman" w:hAnsi="Times New Roman" w:cs="Times New Roman"/>
          <w:b/>
          <w:sz w:val="24"/>
          <w:szCs w:val="24"/>
        </w:rPr>
      </w:pPr>
      <w:r w:rsidRPr="008E5E70">
        <w:rPr>
          <w:rFonts w:ascii="Times New Roman" w:hAnsi="Times New Roman" w:cs="Times New Roman"/>
          <w:b/>
          <w:sz w:val="24"/>
          <w:szCs w:val="24"/>
        </w:rPr>
        <w:t>Results</w:t>
      </w:r>
    </w:p>
    <w:p w14:paraId="054F3387" w14:textId="77777777" w:rsidR="003F208B" w:rsidRPr="008E5E70"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r w:rsidRPr="00AB327C">
        <w:rPr>
          <w:rFonts w:ascii="Times New Roman" w:hAnsi="Times New Roman" w:cs="Times New Roman"/>
          <w:i/>
          <w:sz w:val="24"/>
          <w:szCs w:val="24"/>
        </w:rPr>
        <w:t>Study Population</w:t>
      </w:r>
    </w:p>
    <w:p w14:paraId="4A787B4A" w14:textId="77777777" w:rsidR="003F208B" w:rsidRPr="008E5E70"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 xml:space="preserve">Patient demographics are summarised in table 1. </w:t>
      </w:r>
    </w:p>
    <w:p w14:paraId="0B1E9709"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All patients had a resting heart rate below 80 beats per minute before scanning.</w:t>
      </w:r>
    </w:p>
    <w:p w14:paraId="2F94DCE2"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p>
    <w:p w14:paraId="7CEA8ECF"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r w:rsidRPr="00AB327C">
        <w:rPr>
          <w:rFonts w:ascii="Times New Roman" w:hAnsi="Times New Roman" w:cs="Times New Roman"/>
          <w:i/>
          <w:sz w:val="24"/>
          <w:szCs w:val="24"/>
        </w:rPr>
        <w:t>Coronary Height Data</w:t>
      </w:r>
    </w:p>
    <w:p w14:paraId="4D758AB1"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31568CEE" w14:textId="77777777" w:rsidR="003F208B" w:rsidRPr="008E5E70" w:rsidRDefault="003F208B" w:rsidP="003F208B">
      <w:pPr>
        <w:spacing w:line="480" w:lineRule="auto"/>
        <w:jc w:val="both"/>
        <w:rPr>
          <w:rFonts w:ascii="Times New Roman" w:hAnsi="Times New Roman" w:cs="Times New Roman"/>
          <w:sz w:val="24"/>
          <w:szCs w:val="24"/>
        </w:rPr>
      </w:pPr>
      <w:r w:rsidRPr="00AB327C">
        <w:rPr>
          <w:rFonts w:ascii="Times New Roman" w:hAnsi="Times New Roman" w:cs="Times New Roman"/>
          <w:sz w:val="24"/>
          <w:szCs w:val="24"/>
        </w:rPr>
        <w:t xml:space="preserve">Figure 1 shows an example of coronary height measurement. The measuring calliper in green calculates height from the upper rim of the CT table to the corresponding point in the coronary artery. In this particular example the calliper is measuring from ostial left main stem.   </w:t>
      </w:r>
    </w:p>
    <w:p w14:paraId="60695E20" w14:textId="77777777" w:rsidR="003F208B" w:rsidRPr="008E5E70"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 xml:space="preserve">Results are displayed below of all measurement points within the coronary tree (Table 2, Figure 2). Height measurement is taken from the upper rim of the CT table. </w:t>
      </w:r>
    </w:p>
    <w:p w14:paraId="454CDF65" w14:textId="77777777" w:rsidR="003F208B" w:rsidRPr="00AB327C" w:rsidRDefault="003F208B" w:rsidP="003F208B">
      <w:pPr>
        <w:spacing w:line="480" w:lineRule="auto"/>
        <w:jc w:val="both"/>
        <w:rPr>
          <w:rFonts w:ascii="Times New Roman" w:hAnsi="Times New Roman" w:cs="Times New Roman"/>
          <w:sz w:val="24"/>
          <w:szCs w:val="24"/>
        </w:rPr>
      </w:pPr>
      <w:r w:rsidRPr="00AB327C">
        <w:rPr>
          <w:rFonts w:ascii="Times New Roman" w:hAnsi="Times New Roman" w:cs="Times New Roman"/>
          <w:sz w:val="24"/>
          <w:szCs w:val="24"/>
        </w:rPr>
        <w:t>Table 3 summarises data points from each coronary artery with regard to their respective coronary ostia. The height difference between the coronary specific coronary ostium (Pa) and the vessel containing the height measurement point (Pd), is the value used to calculate effect on FFR and hence, the cFFR.</w:t>
      </w:r>
    </w:p>
    <w:p w14:paraId="31230381"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p>
    <w:p w14:paraId="274A2F3A"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r w:rsidRPr="00AB327C">
        <w:rPr>
          <w:rFonts w:ascii="Times New Roman" w:hAnsi="Times New Roman" w:cs="Times New Roman"/>
          <w:i/>
          <w:sz w:val="24"/>
          <w:szCs w:val="24"/>
        </w:rPr>
        <w:t>Hydrostatic effect and cFFR</w:t>
      </w:r>
    </w:p>
    <w:p w14:paraId="640282DC"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The corresponding hydrostatic effect of distal LAD, distal Cx, distal PDA and distal PLV were factored into the FFR equation to give the cFFR (Table 3). For anterior vessels, the FFR increased, for posterior vessels, it fell. Out of the 200randomly generated</w:t>
      </w:r>
      <w:r>
        <w:rPr>
          <w:rFonts w:ascii="Times New Roman" w:hAnsi="Times New Roman" w:cs="Times New Roman"/>
          <w:sz w:val="24"/>
          <w:szCs w:val="24"/>
        </w:rPr>
        <w:t xml:space="preserve"> </w:t>
      </w:r>
      <w:r w:rsidRPr="00AB327C">
        <w:rPr>
          <w:rFonts w:ascii="Times New Roman" w:hAnsi="Times New Roman" w:cs="Times New Roman"/>
          <w:sz w:val="24"/>
          <w:szCs w:val="24"/>
        </w:rPr>
        <w:t>FFR values, 45.5% were below 0.8 and 55.5% above. After correction and calculation of cFFR, these percentages changed substantially.</w:t>
      </w:r>
      <w:r>
        <w:rPr>
          <w:rFonts w:ascii="Times New Roman" w:hAnsi="Times New Roman" w:cs="Times New Roman"/>
          <w:sz w:val="24"/>
          <w:szCs w:val="24"/>
        </w:rPr>
        <w:t xml:space="preserve"> </w:t>
      </w:r>
      <w:r w:rsidRPr="00AB327C">
        <w:rPr>
          <w:rFonts w:ascii="Times New Roman" w:hAnsi="Times New Roman" w:cs="Times New Roman"/>
          <w:sz w:val="24"/>
          <w:szCs w:val="24"/>
        </w:rPr>
        <w:t>Those that crossed from positive to negative, or vice versa were calculated. Table 4 summarises the results.</w:t>
      </w:r>
    </w:p>
    <w:p w14:paraId="4F631401"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u w:val="single"/>
        </w:rPr>
      </w:pPr>
    </w:p>
    <w:p w14:paraId="27033B4A"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r w:rsidRPr="00AB327C">
        <w:rPr>
          <w:rFonts w:ascii="Times New Roman" w:hAnsi="Times New Roman" w:cs="Times New Roman"/>
          <w:i/>
          <w:sz w:val="24"/>
          <w:szCs w:val="24"/>
        </w:rPr>
        <w:t>Clinical Case Example</w:t>
      </w:r>
    </w:p>
    <w:p w14:paraId="42063FF4" w14:textId="72F2CCDD"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 xml:space="preserve">An </w:t>
      </w:r>
      <w:r w:rsidRPr="00EA62E2">
        <w:rPr>
          <w:rFonts w:ascii="Times New Roman" w:hAnsi="Times New Roman" w:cs="Times New Roman"/>
          <w:i/>
          <w:sz w:val="24"/>
          <w:szCs w:val="24"/>
        </w:rPr>
        <w:t>in vivo</w:t>
      </w:r>
      <w:r w:rsidRPr="00AB327C">
        <w:rPr>
          <w:rFonts w:ascii="Times New Roman" w:hAnsi="Times New Roman" w:cs="Times New Roman"/>
          <w:sz w:val="24"/>
          <w:szCs w:val="24"/>
        </w:rPr>
        <w:t xml:space="preserve"> example demonstrating the effect of wire position is presented of a 73</w:t>
      </w:r>
      <w:r>
        <w:rPr>
          <w:rFonts w:ascii="Times New Roman" w:hAnsi="Times New Roman" w:cs="Times New Roman"/>
          <w:sz w:val="24"/>
          <w:szCs w:val="24"/>
        </w:rPr>
        <w:t>-</w:t>
      </w:r>
      <w:r w:rsidRPr="00AB327C">
        <w:rPr>
          <w:rFonts w:ascii="Times New Roman" w:hAnsi="Times New Roman" w:cs="Times New Roman"/>
          <w:sz w:val="24"/>
          <w:szCs w:val="24"/>
        </w:rPr>
        <w:t>y</w:t>
      </w:r>
      <w:r>
        <w:rPr>
          <w:rFonts w:ascii="Times New Roman" w:hAnsi="Times New Roman" w:cs="Times New Roman"/>
          <w:sz w:val="24"/>
          <w:szCs w:val="24"/>
        </w:rPr>
        <w:t>ea</w:t>
      </w:r>
      <w:r w:rsidRPr="00AB327C">
        <w:rPr>
          <w:rFonts w:ascii="Times New Roman" w:hAnsi="Times New Roman" w:cs="Times New Roman"/>
          <w:sz w:val="24"/>
          <w:szCs w:val="24"/>
        </w:rPr>
        <w:t xml:space="preserve">r old male with a lesion in the mid right coronary artery (RCA) (figure 3). </w:t>
      </w:r>
      <w:r>
        <w:rPr>
          <w:rFonts w:ascii="Times New Roman" w:hAnsi="Times New Roman" w:cs="Times New Roman"/>
          <w:sz w:val="24"/>
          <w:szCs w:val="24"/>
        </w:rPr>
        <w:t xml:space="preserve">The patient presented </w:t>
      </w:r>
      <w:r w:rsidRPr="00AB327C">
        <w:rPr>
          <w:rFonts w:ascii="Times New Roman" w:hAnsi="Times New Roman" w:cs="Times New Roman"/>
          <w:sz w:val="24"/>
          <w:szCs w:val="24"/>
        </w:rPr>
        <w:t xml:space="preserve">with typical stable angina. There is a background history of inflammatory bowel disease, but no typical cardiac risk factors. Ejection fraction </w:t>
      </w:r>
      <w:r>
        <w:rPr>
          <w:rFonts w:ascii="Times New Roman" w:hAnsi="Times New Roman" w:cs="Times New Roman"/>
          <w:sz w:val="24"/>
          <w:szCs w:val="24"/>
        </w:rPr>
        <w:t xml:space="preserve">was </w:t>
      </w:r>
      <w:r w:rsidRPr="00AB327C">
        <w:rPr>
          <w:rFonts w:ascii="Times New Roman" w:hAnsi="Times New Roman" w:cs="Times New Roman"/>
          <w:sz w:val="24"/>
          <w:szCs w:val="24"/>
        </w:rPr>
        <w:t>normal. A combined pressure and velocity wire (Combowire, Volcano Corporation™</w:t>
      </w:r>
      <w:r>
        <w:rPr>
          <w:rFonts w:ascii="Times New Roman" w:hAnsi="Times New Roman" w:cs="Times New Roman"/>
          <w:sz w:val="24"/>
          <w:szCs w:val="24"/>
        </w:rPr>
        <w:t>, San Diego, California, USA</w:t>
      </w:r>
      <w:r w:rsidRPr="00AB327C">
        <w:rPr>
          <w:rFonts w:ascii="Times New Roman" w:hAnsi="Times New Roman" w:cs="Times New Roman"/>
          <w:sz w:val="24"/>
          <w:szCs w:val="24"/>
        </w:rPr>
        <w:t xml:space="preserve">) is passed through a 6F guiding catheter. The wire is passed beyond the lesion and FFR is measured firstly in the PDA (as distal as a clear velocity tracing allowed), followed by the PLV (distally as per PDA) and lastly placed 3 vessel diameters beyond the stenosis in the main mid RCA. 400 micrograms of intra-arterial nitrates </w:t>
      </w:r>
      <w:r>
        <w:rPr>
          <w:rFonts w:ascii="Times New Roman" w:hAnsi="Times New Roman" w:cs="Times New Roman"/>
          <w:sz w:val="24"/>
          <w:szCs w:val="24"/>
        </w:rPr>
        <w:t xml:space="preserve">were </w:t>
      </w:r>
      <w:r w:rsidRPr="00AB327C">
        <w:rPr>
          <w:rFonts w:ascii="Times New Roman" w:hAnsi="Times New Roman" w:cs="Times New Roman"/>
          <w:sz w:val="24"/>
          <w:szCs w:val="24"/>
        </w:rPr>
        <w:t xml:space="preserve">administered before FFR measurement. Intravenous adenosine at 140mcg/kg </w:t>
      </w:r>
      <w:r>
        <w:rPr>
          <w:rFonts w:ascii="Times New Roman" w:hAnsi="Times New Roman" w:cs="Times New Roman"/>
          <w:sz w:val="24"/>
          <w:szCs w:val="24"/>
        </w:rPr>
        <w:t xml:space="preserve">was </w:t>
      </w:r>
      <w:r w:rsidRPr="00AB327C">
        <w:rPr>
          <w:rFonts w:ascii="Times New Roman" w:hAnsi="Times New Roman" w:cs="Times New Roman"/>
          <w:sz w:val="24"/>
          <w:szCs w:val="24"/>
        </w:rPr>
        <w:t>used to induce a steady state of hyperaemia. There was no drift with any of the acquired measurements. Invasive measurements are presented in Table 5.</w:t>
      </w:r>
      <w:r w:rsidR="00AA7419">
        <w:rPr>
          <w:rFonts w:ascii="Times New Roman" w:hAnsi="Times New Roman" w:cs="Times New Roman"/>
          <w:noProof/>
          <w:sz w:val="24"/>
          <w:szCs w:val="24"/>
          <w:lang w:eastAsia="en-GB"/>
        </w:rPr>
        <mc:AlternateContent>
          <mc:Choice Requires="wps">
            <w:drawing>
              <wp:anchor distT="0" distB="0" distL="114300" distR="114300" simplePos="0" relativeHeight="251686912" behindDoc="0" locked="0" layoutInCell="1" allowOverlap="1" wp14:anchorId="39DF636C" wp14:editId="36D29F94">
                <wp:simplePos x="0" y="0"/>
                <wp:positionH relativeFrom="column">
                  <wp:posOffset>4360545</wp:posOffset>
                </wp:positionH>
                <wp:positionV relativeFrom="paragraph">
                  <wp:posOffset>4216400</wp:posOffset>
                </wp:positionV>
                <wp:extent cx="67310" cy="617855"/>
                <wp:effectExtent l="0" t="38100" r="46990" b="0"/>
                <wp:wrapNone/>
                <wp:docPr id="43" name="AutoShap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67310" cy="617855"/>
                        </a:xfrm>
                        <a:prstGeom prst="straightConnector1">
                          <a:avLst/>
                        </a:prstGeom>
                        <a:noFill/>
                        <a:ln w="9525">
                          <a:solidFill>
                            <a:schemeClr val="bg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FC0F9E" id="AutoShape 3" o:spid="_x0000_s1026" type="#_x0000_t32" alt="&quot;&quot;" style="position:absolute;margin-left:343.35pt;margin-top:332pt;width:5.3pt;height:48.6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" strokecolor="white [3212]">
                <v:stroke endarrow="block"/>
                <o:lock v:ext="edit" shapetype="f"/>
              </v:shape>
            </w:pict>
          </mc:Fallback>
        </mc:AlternateContent>
      </w:r>
      <w:r w:rsidR="00AA7419">
        <w:rPr>
          <w:rFonts w:ascii="Times New Roman" w:hAnsi="Times New Roman" w:cs="Times New Roman"/>
          <w:noProof/>
          <w:sz w:val="24"/>
          <w:szCs w:val="24"/>
          <w:lang w:eastAsia="en-GB"/>
        </w:rPr>
        <mc:AlternateContent>
          <mc:Choice Requires="wps">
            <w:drawing>
              <wp:anchor distT="0" distB="0" distL="114300" distR="114300" simplePos="0" relativeHeight="251687936" behindDoc="0" locked="0" layoutInCell="1" allowOverlap="1" wp14:anchorId="49F60325" wp14:editId="4940CFED">
                <wp:simplePos x="0" y="0"/>
                <wp:positionH relativeFrom="column">
                  <wp:posOffset>4656455</wp:posOffset>
                </wp:positionH>
                <wp:positionV relativeFrom="paragraph">
                  <wp:posOffset>2362200</wp:posOffset>
                </wp:positionV>
                <wp:extent cx="50800" cy="668655"/>
                <wp:effectExtent l="38100" t="0" r="25400" b="36195"/>
                <wp:wrapNone/>
                <wp:docPr id="41" name="AutoShap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50800" cy="668655"/>
                        </a:xfrm>
                        <a:prstGeom prst="straightConnector1">
                          <a:avLst/>
                        </a:prstGeom>
                        <a:noFill/>
                        <a:ln w="9525">
                          <a:solidFill>
                            <a:schemeClr val="bg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138051" id="AutoShape 2" o:spid="_x0000_s1026" type="#_x0000_t32" alt="&quot;&quot;" style="position:absolute;margin-left:366.65pt;margin-top:186pt;width:4pt;height:52.6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" strokecolor="white [3212]">
                <v:stroke endarrow="block"/>
                <o:lock v:ext="edit" shapetype="f"/>
              </v:shape>
            </w:pict>
          </mc:Fallback>
        </mc:AlternateContent>
      </w:r>
    </w:p>
    <w:p w14:paraId="04D044B8"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i/>
          <w:sz w:val="24"/>
          <w:szCs w:val="24"/>
        </w:rPr>
      </w:pPr>
    </w:p>
    <w:p w14:paraId="44E8E87D"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For the same lesion, placement of the wire in the PDA or PLV altered FFR by 0.05. Placing the wire 3 vessel diameters beyond the stenosis, gives an FFR of 0.79.  The small flow variations measured on each occasion are not significantly different, and within normal variations expected during doppler measurements</w:t>
      </w:r>
      <w:r>
        <w:rPr>
          <w:rFonts w:ascii="Times New Roman" w:hAnsi="Times New Roman" w:cs="Times New Roman"/>
          <w:sz w:val="24"/>
          <w:szCs w:val="24"/>
        </w:rPr>
        <w:t xml:space="preserve">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{"citationID":"ydfpaafu","properties":{"formattedCitation":"(Davies et al., 2006)","plainCitation":"(Davies et al., 2006)","noteIndex":0},"citationItems":[{"id":49,"uris":["http://zotero.org/users/local/k67tNDdX/items/CRHL2D67"],"uri":["http://zotero.org/users/local/k67tNDdX/items/CRHL2D67"],"itemData":{"id":49,"type":"article-journal","abstract":"BACKGROUND: Coronary blood flow peaks in diastole when aortic blood pressure has fallen. Current models fail to completely explain this phenomenon. We present a new approach-using wave intensity analysis-to explain this phenomenon in normal subjects and to evaluate the effects of left ventricular hypertrophy (LVH).\nMETHOD AND RESULTS: We measured simultaneous pressure and Doppler velocity with intracoronary wires in the left main stem, left anterior descending, and circumflex arteries of 20 subjects after a normal coronary arteriogram. Wave intensity analysis was used to identify and quantify individual pressure and velocity waves within the coronary artery circulation. A consistent pattern of 6 predominating waves was identified. Ninety-four percent of wave energy, accelerating blood forward along the coronary artery, came from 2 waves: first a pushing wave caused by left ventricular ejection-the dominant forward-traveling pushing wave; and later a suction wave caused by relief of myocardial microcirculatory compression-the dominant backward-traveling suction wave. The dominant backward-traveling suction wave (18.2+/-13.7 x 10(3) W m(-2)s(-1), 30%) was larger than the dominant forward-traveling pushing wave (14.3+/-17.6 x 10(3) W m(-2) s(-1), 22.3%, P =0.001) and was associated with a substantially larger increment in coronary blood flow velocity (0.51 versus 0.14 m/s, P &lt;0.001). In LVH, the dominant backward-traveling suction wave percentage was significantly decreased (33.1% versus 26.9%, P =0.01) and inversely correlated with left ventricular septal wall thickness (r =-0.52, P &lt;0.02).\nCONCLUSIONS: Six waves predominantly drive human coronary blood flow. Coronary flow peaks in diastole because of the dominance of a \"suction\" wave generated by myocardial microcirculatory decompression. This is significantly reduced in LVH.","container-title":"Circulation","DOI":"10.1161/CIRCULATIONAHA.105.603050","ISSN":"1524-4539","issue":"14","journalAbbreviation":"Circulation","language":"eng","note":"PMID: 16585389","page":"1768-1778","source":"PubMed","title":"Evidence of a dominant backward-propagating \"suction\" wave responsible for diastolic coronary filling in humans, attenuated in left ventricular hypertrophy","volume":"113","author":[{"family":"Davies","given":"Justin E."},{"family":"Whinnett","given":"Zachary I."},{"family":"Francis","given":"Darrel P."},{"family":"Manisty","given":"Charlotte H."},{"family":"Aguado-Sierra","given":"Jazmin"},{"family":"Willson","given":"Keith"},{"family":"Foale","given":"Rodney A."},{"family":"Malik","given":"Iqbal S."},{"family":"Hughes","given":"Alun D."},{"family":"Parker","given":"Kim H."},{"family":"Mayet","given":"Jamil"}],"issued":{"date-parts":[["2006",4,11]]}}}],"schema":"https://github.com/citation-style-language/schema/raw/master/csl-citation.json"} </w:instrText>
      </w:r>
      <w:r w:rsidR="00106A32" w:rsidRPr="00AB327C">
        <w:rPr>
          <w:rFonts w:ascii="Times New Roman" w:hAnsi="Times New Roman" w:cs="Times New Roman"/>
          <w:sz w:val="24"/>
          <w:szCs w:val="24"/>
        </w:rPr>
        <w:fldChar w:fldCharType="separate"/>
      </w:r>
      <w:r w:rsidR="004A32A5" w:rsidRPr="004A32A5">
        <w:rPr>
          <w:rFonts w:ascii="Times New Roman" w:hAnsi="Times New Roman" w:cs="Times New Roman"/>
          <w:sz w:val="24"/>
        </w:rPr>
        <w:t>(Davies et al., 2006)</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w:t>
      </w:r>
    </w:p>
    <w:p w14:paraId="362BCC3E"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49472F47" w14:textId="77777777" w:rsidR="003F208B" w:rsidRPr="008E5E70" w:rsidRDefault="003F208B" w:rsidP="003F208B">
      <w:pPr>
        <w:widowControl w:val="0"/>
        <w:autoSpaceDE w:val="0"/>
        <w:autoSpaceDN w:val="0"/>
        <w:adjustRightInd w:val="0"/>
        <w:spacing w:after="0" w:line="480" w:lineRule="auto"/>
        <w:jc w:val="both"/>
        <w:rPr>
          <w:rFonts w:ascii="Times New Roman" w:hAnsi="Times New Roman" w:cs="Times New Roman"/>
          <w:b/>
          <w:sz w:val="24"/>
          <w:szCs w:val="24"/>
        </w:rPr>
      </w:pPr>
      <w:r w:rsidRPr="008E5E70">
        <w:rPr>
          <w:rFonts w:ascii="Times New Roman" w:hAnsi="Times New Roman" w:cs="Times New Roman"/>
          <w:b/>
          <w:sz w:val="24"/>
          <w:szCs w:val="24"/>
        </w:rPr>
        <w:t>Discussion</w:t>
      </w:r>
    </w:p>
    <w:p w14:paraId="4AED9EF1" w14:textId="77777777" w:rsidR="003F208B" w:rsidRPr="00AB327C" w:rsidRDefault="003F208B" w:rsidP="003F208B">
      <w:pPr>
        <w:spacing w:line="480" w:lineRule="auto"/>
        <w:rPr>
          <w:rFonts w:ascii="Times New Roman" w:hAnsi="Times New Roman" w:cs="Times New Roman"/>
          <w:sz w:val="24"/>
          <w:szCs w:val="24"/>
        </w:rPr>
      </w:pPr>
      <w:r w:rsidRPr="00AB327C">
        <w:rPr>
          <w:rFonts w:ascii="Times New Roman" w:hAnsi="Times New Roman" w:cs="Times New Roman"/>
          <w:sz w:val="24"/>
          <w:szCs w:val="24"/>
        </w:rPr>
        <w:t>In summary, our findings show that</w:t>
      </w:r>
      <w:r>
        <w:rPr>
          <w:rFonts w:ascii="Times New Roman" w:hAnsi="Times New Roman" w:cs="Times New Roman"/>
          <w:sz w:val="24"/>
          <w:szCs w:val="24"/>
        </w:rPr>
        <w:t xml:space="preserve"> </w:t>
      </w:r>
      <w:r w:rsidRPr="00AB327C">
        <w:rPr>
          <w:rFonts w:ascii="Times New Roman" w:hAnsi="Times New Roman" w:cs="Times New Roman"/>
          <w:sz w:val="24"/>
          <w:szCs w:val="24"/>
        </w:rPr>
        <w:t>coronary anatomy results in statistically significant height variations between proximal (Pa) and distal vessel (Pd). There is a potential change in FFR of 0.02-0.05, causing a number of 'grey-zone' FFR results to cross a binary cut-off point.</w:t>
      </w:r>
    </w:p>
    <w:p w14:paraId="18F76FD3" w14:textId="77777777" w:rsidR="003F208B" w:rsidRPr="00AB327C" w:rsidRDefault="003F208B" w:rsidP="003F208B">
      <w:pPr>
        <w:spacing w:line="480" w:lineRule="auto"/>
        <w:rPr>
          <w:rFonts w:ascii="Times New Roman" w:hAnsi="Times New Roman" w:cs="Times New Roman"/>
          <w:sz w:val="24"/>
          <w:szCs w:val="24"/>
        </w:rPr>
      </w:pPr>
      <w:r w:rsidRPr="00AB327C">
        <w:rPr>
          <w:rFonts w:ascii="Times New Roman" w:hAnsi="Times New Roman" w:cs="Times New Roman"/>
          <w:sz w:val="24"/>
          <w:szCs w:val="24"/>
        </w:rPr>
        <w:t>In our cohort, the most superior points in a supine patient were the distal LAD, followed by distal PDA. The most inferior points were the distal</w:t>
      </w:r>
      <w:r>
        <w:rPr>
          <w:rFonts w:ascii="Times New Roman" w:hAnsi="Times New Roman" w:cs="Times New Roman"/>
          <w:sz w:val="24"/>
          <w:szCs w:val="24"/>
        </w:rPr>
        <w:t xml:space="preserve"> </w:t>
      </w:r>
      <w:r w:rsidRPr="00AB327C">
        <w:rPr>
          <w:rFonts w:ascii="Times New Roman" w:hAnsi="Times New Roman" w:cs="Times New Roman"/>
          <w:sz w:val="24"/>
          <w:szCs w:val="24"/>
        </w:rPr>
        <w:t>Cx and distal PLV. All measurements were statistically significant when compared to the respective ostium, apart from the ostial LAD. Even though the mean height of PLV and Cx were identical with reference to the CT table, when compared to their respective ostium (Pa), the PLV had a larger height difference, owing to the more superior position of the RCA ostium. In turn, the hydrostatic pressure effect was more pronounced in the PLV. More proximal points in a vessel, e.g</w:t>
      </w:r>
      <w:r>
        <w:rPr>
          <w:rFonts w:ascii="Times New Roman" w:hAnsi="Times New Roman" w:cs="Times New Roman"/>
          <w:sz w:val="24"/>
          <w:szCs w:val="24"/>
        </w:rPr>
        <w:t xml:space="preserve"> </w:t>
      </w:r>
      <w:r w:rsidRPr="00AB327C">
        <w:rPr>
          <w:rFonts w:ascii="Times New Roman" w:hAnsi="Times New Roman" w:cs="Times New Roman"/>
          <w:sz w:val="24"/>
          <w:szCs w:val="24"/>
        </w:rPr>
        <w:t xml:space="preserve">ostial LAD or RCA bifurcation had a smaller height variation when compared to their respective coronary artery ostium. In general there is a gradual change in height from proximal to distal vessel. Note however, that the most distal point in the vessel does not always have the greatest height variation. An example of this is in a 'wrap around' LAD, where the vessel height falls after reaching the apex. This occurs in over half of patients in one study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{"citationID":"LeRVieFZ","properties":{"formattedCitation":"(Kobayashi et al., 2015b)","plainCitation":"(Kobayashi et al., 2015b)","noteIndex":0},"citationItems":[{"id":45,"uris":["http://zotero.org/users/local/k67tNDdX/items/ZKUU49V9"],"uri":["http://zotero.org/users/local/k67tNDdX/items/ZKUU49V9"],"itemData":{"id":45,"type":"article-journal","abstract":"The association between anatomic features of the left anterior descending artery (LAD) and outcomes in patients with anterior ST-segment elevation myocardial infarction (STEMI) has not been fully investigated. We sought to clarify the impact of an LAD coronary artery wrapping around the left ventricular (LV) apex on clinical outcomes in patients with anterior STEMI. Harmonizing Outcomes with Revascularization and Stents in Acute Myocardial Infarction enrolled patients with STEMI presenting &lt;12 hours after symptom onset who underwent primary percutaneous coronary intervention. Patients with a culprit lesion in the LAD were categorized as (1) LAD wrapping around the LV apex (wrap-around LAD, n = 871) versus (2) LAD not wrapping around the LV apex (non-wrap-around LAD, n = 224). Killip class ≥II, dysrhythmia, and LV mural thrombi were more frequently observed in the wrap-around LAD group; LV ejection fraction was worse in the wrap-around LAD group (54.5% vs 58.7%, p = 0.006). At 3 years of follow-up, major adverse cardiac events (death, stroke, or stent thrombosis, 12.7% vs 5.4%, p = 0.002), death (6.6% vs 3.2%, p = 0.052), stroke (1.9% vs 0.5%, p = 0.12), stent thrombosis (5.6% vs 2.3%, p = 0.047), and severe heart failure (4.5% vs 1.4%, p = 0.03) were more common in patients with a wrap-around LAD versus those with a non-wrap-around LAD. Multivariate analysis indicated that a wrap-around LAD independently and significantly predicted major adverse cardiac events (hazard ratio 2.18, p = 0.02) and severe heart failure (odds ratio 3.31, p = 0.049) in patients with an anterior STEMI. In conclusion, a wrap-around LAD predicted adverse clinical outcomes at 3 years in patients with anterior STEMI who underwent primary percutaneous coronary intervention.","container-title":"The American Journal of Cardiology","DOI":"10.1016/j.amjcard.2015.09.004","ISSN":"1879-1913","issue":"11","journalAbbreviation":"Am. J. Cardiol.","language":"eng","note":"PMID: 26433272","page":"1658-1665","source":"PubMed","title":"Usefulness of the Left Anterior Descending Coronary Artery Wrapping Around the Left Ventricular Apex to Predict Adverse Clinical Outcomes in Patients With Anterior Wall ST-Segment Elevation Myocardial Infarction (from the Harmonizing Outcomes With Revascularization and Stents in Acute Myocardial Infarction Trial)","volume":"116","author":[{"family":"Kobayashi","given":"Nobuaki"},{"family":"Maehara","given":"Akiko"},{"family":"Brener","given":"Sorin J."},{"family":"Généreux","given":"Philippe"},{"family":"Witzenbichler","given":"Bernhard"},{"family":"Guagliumi","given":"Giulio"},{"family":"Peruga","given":"Jan Z."},{"family":"Mehran","given":"Roxana"},{"family":"Mintz","given":"Gary S."},{"family":"Stone","given":"Gregg W."}],"issued":{"date-parts":[["2015",12,1]]}}}],"schema":"https://github.com/citation-style-language/schema/raw/master/csl-citation.json"} </w:instrText>
      </w:r>
      <w:r w:rsidR="00106A32" w:rsidRPr="00AB327C">
        <w:rPr>
          <w:rFonts w:ascii="Times New Roman" w:hAnsi="Times New Roman" w:cs="Times New Roman"/>
          <w:sz w:val="24"/>
          <w:szCs w:val="24"/>
        </w:rPr>
        <w:fldChar w:fldCharType="separate"/>
      </w:r>
      <w:r w:rsidR="004A32A5" w:rsidRPr="004A32A5">
        <w:rPr>
          <w:rFonts w:ascii="Times New Roman" w:hAnsi="Times New Roman" w:cs="Times New Roman"/>
          <w:sz w:val="24"/>
        </w:rPr>
        <w:t>(Kobayashi et al., 2015b)</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xml:space="preserve">. </w:t>
      </w:r>
    </w:p>
    <w:p w14:paraId="6789B72F"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CT coronary angiography can accurately map the course of coronary vessels and their vertical heights.  Subsequently, the height of the distal vessel</w:t>
      </w:r>
      <w:r>
        <w:rPr>
          <w:rFonts w:ascii="Times New Roman" w:hAnsi="Times New Roman" w:cs="Times New Roman"/>
          <w:sz w:val="24"/>
          <w:szCs w:val="24"/>
        </w:rPr>
        <w:t xml:space="preserve"> </w:t>
      </w:r>
      <w:r w:rsidRPr="00AB327C">
        <w:rPr>
          <w:rFonts w:ascii="Times New Roman" w:hAnsi="Times New Roman" w:cs="Times New Roman"/>
          <w:sz w:val="24"/>
          <w:szCs w:val="24"/>
        </w:rPr>
        <w:t xml:space="preserve">(i.e the position of the pressure wire, or Pd) may be higher, or lower than its origin (Pa), depending on the course it takes. This may explain observed changes in groups of patients with 'moderate' coronary stenoses in which posterior vessels (those vertically lower when supine - Circumflex, Posterior left ventricular) have higher mean FFR values than anterior vessels (those that are vertically higher - left anterior descending, posterior descending)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{"citationID":"53qMSJNq","properties":{"formattedCitation":"(H\\uc0\\u228{}rle et al., 2017d)","plainCitation":"(Härle et al., 2017d)","noteIndex":0},"citationItems":[{"id":20,"uris":["http://zotero.org/users/local/k67tNDdX/items/257LTDMA"],"uri":["http://zotero.org/users/local/k67tNDdX/items/257LTDMA"],"itemData":{"id":20,"type":"article-journal","abstract":"INTRODUCTION: Intracoronary pressure measurements have improved assessment of angiographic intermediate coronary stenoses. Methodically, pressure equalization and actual measurements are frequently performed at different height levels, depending on the particular coronary territory analyzed. Considering a hypothetical influence of hydrostatic pressure and the supine position of the patient, differences in the results of intracoronary measurements between anterior and posterior vessels seem likely. The purpose of this study was to compare the results of intracoronary pressure measurements between anterior and posterior coronary territories.\nMETHODS: Intracoronary pressure measurements of 214 coronary stenoses in 158 patients were analyzed. Fractional flow reserve (FFR) was measured in all stenosis and instantaneous wave-free ratio (iFR) in 197 stenoses in 144 patients.\nRESULTS: Both FFR (0.79 vs. 0.87, p &lt; 0.001) and iFR values (0.86 vs. 0.94, p &lt; 0.001) were significantly higher in posterior compared to anterior coronary vessels. Patients with only anterior or posterior lesions did not differ regarding clinical or lesion characteristics, in particular coronary stenosis severity (62.5 vs. 61.6 %, p = 0.27).\nCONCLUSIONS: Results of intracoronary measurements were systematically higher in the posterior coronary vessels when compared with anterior vessels. This phenomenon was independent of coronary stenosis severity or any clinical characteristics in our study population.","container-title":"Herz","DOI":"10.1007/s00059-016-4471-z","ISSN":"1615-6692","issue":"4","journalAbbreviation":"Herz","language":"eng","note":"PMID: 27582367","page":"395-402","source":"PubMed","title":"Intracoronary pressure measurement differences between anter</w:instrText>
      </w:r>
      <w:r w:rsidR="004A32A5">
        <w:rPr>
          <w:rFonts w:ascii="Tahoma" w:hAnsi="Tahoma" w:cs="Tahoma"/>
          <w:sz w:val="24"/>
          <w:szCs w:val="24"/>
        </w:rPr>
        <w:instrText>﻿</w:instrText>
      </w:r>
      <w:r w:rsidR="004A32A5">
        <w:rPr>
          <w:rFonts w:ascii="Times New Roman" w:hAnsi="Times New Roman" w:cs="Times New Roman"/>
          <w:sz w:val="24"/>
          <w:szCs w:val="24"/>
        </w:rPr>
        <w:instrText xml:space="preserve">ior and posterior coronary territories","volume":"42","author":[{"family":"Härle","given":"T."},{"family":"Meyer","given":"S."},{"family":"Bojara","given":"W."},{"family":"Vahldiek","given":"F."},{"family":"Elsässer","given":"A."}],"issued":{"date-parts":[["2017",6]]}}}],"schema":"https://github.com/citation-style-language/schema/raw/master/csl-citation.json"} </w:instrText>
      </w:r>
      <w:r w:rsidR="00106A32" w:rsidRPr="00AB327C">
        <w:rPr>
          <w:rFonts w:ascii="Times New Roman" w:hAnsi="Times New Roman" w:cs="Times New Roman"/>
          <w:sz w:val="24"/>
          <w:szCs w:val="24"/>
        </w:rPr>
        <w:fldChar w:fldCharType="separate"/>
      </w:r>
      <w:r w:rsidR="004A32A5" w:rsidRPr="004A32A5">
        <w:rPr>
          <w:rFonts w:ascii="Times New Roman" w:hAnsi="Times New Roman" w:cs="Times New Roman"/>
          <w:sz w:val="24"/>
          <w:szCs w:val="24"/>
        </w:rPr>
        <w:t>(Härle et al., 2017d)</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xml:space="preserve">. Resting Pd/Pa can also often be seen above 1.0. Studies have identified this phenomenon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{"citationID":"UnytSJiw","properties":{"formattedCitation":"(Nijjer et al., 2016)","plainCitation":"(Nijjer et al., 2016)","noteIndex":0},"citationItems":[{"id":522,"uris":["http://zotero.org/users/local/k67tNDdX/items/6Y6IR4GQ"],"uri":["http://zotero.org/users/local/k67tNDdX/items/6Y6IR4GQ"],"itemData":{"id":522,"type":"article-journal","abstract":"BACKGROUND: Our understanding of human coronary physiological behaviour is derived from animal models. We sought to describe physiological behaviour across a large collection of invasive pressure and flow velocity measurements, to provide a better understanding of the relationships between these physiological parameters and to evaluate the rationale for resting stenosis assessment.\nMETHODS AND RESULTS: Five hundred and sixty-seven simultaneous intracoronary pressure and flow velocity assessments from 301 patients were analysed for coronary flow velocity, trans-stenotic pressure gradient (TG), and microvascular resistance (MVR). Measurements were made during baseline and hyperaemic conditions. The whole cardiac cycle and the diastolic wave-free period were assessed. Stenoses were assessed according to fractional flow reserve (FFR) and quantitative coronary angiography DS%. With progressive worsening of stenoses, from unobstructed angiographic normal vessels to those with FFR ≤ 0.50, hyperaemic flow falls significantly from 45 to 19 cm/s, Ptrend &lt; 0.001 in a curvilinear pattern. Resting flow was unaffected by stenosis severity and was consistent across all strata of stenosis (Ptrend &gt; 0.05 for all). Trans-stenotic pressure gradient rose with stenosis severity for both rest and hyperaemic measures (Ptrend &lt; 0.001 for both). Microvascular resistance declines with stenosis severity under resting conditions (Ptrend &lt; 0.001), but was unchanged at hyperaemia (2.3 ± 1.1 mmHg/cm/s; Ptrend = 0.19).\nCONCLUSIONS: With progressive stenosis severity, TG rises. However, while hyperaemic flow falls significantly, resting coronary flow is maintained by compensatory reduction of MVR, demonstrating coronary auto-regulation. These data support the translation of coronary physiological concepts derived from animals to patients with coronary artery disease and furthermore, suggest that resting pressure indices can be used to detect the haemodynamic significance of coronary artery stenoses.","container-title":"European Heart Journal","DOI":"10.1093/eurheartj/ehv626","ISSN":"1522-9645","issue":"26","journalAbbreviation":"Eur. Heart J.","language":"eng","note":"PMID: 26612582\nPMCID: PMC4940452","page":"2069-2080","source":"PubMed","title":"Coronary pressure and flow relationships in humans: phasic analysis of normal and pathological vessels and the implications for stenosis assessment: a report from the Iberian-Dutch-English (IDEAL) collaborators","title-short":"Coronary pressure and flow relationships in humans","volume":"37","author":[{"family":"Nijjer","given":"Sukhjinder S."},{"family":"Waard","given":"Guus A.","non-dropping-particle":"de"},{"family":"Sen","given":"Sayan"},{"family":"Hoef","given":"Tim P.","non-dropping-particle":"van de"},{"family":"Petraco","given":"Ricardo"},{"family":"Echavarría-Pinto","given":"Mauro"},{"family":"Lavieren","given":"Martijn A.","non-dropping-particle":"van"},{"family":"Meuwissen","given":"Martijn"},{"family":"Danad","given":"Ibrahim"},{"family":"Knaapen","given":"Paul"},{"family":"Escaned","given":"Javier"},{"family":"Piek","given":"Jan J."},{"family":"Davies","given":"Justin E."},{"family":"Royen","given":"Niels","non-dropping-particle":"van"}],"issued":{"date-parts":[["2016",7,7]]}}}],"schema":"https://github.com/citation-style-language/schema/raw/master/csl-citation.json"} </w:instrText>
      </w:r>
      <w:r w:rsidR="00106A32" w:rsidRPr="00AB327C">
        <w:rPr>
          <w:rFonts w:ascii="Times New Roman" w:hAnsi="Times New Roman" w:cs="Times New Roman"/>
          <w:sz w:val="24"/>
          <w:szCs w:val="24"/>
        </w:rPr>
        <w:fldChar w:fldCharType="separate"/>
      </w:r>
      <w:r w:rsidR="004A32A5" w:rsidRPr="004A32A5">
        <w:rPr>
          <w:rFonts w:ascii="Times New Roman" w:hAnsi="Times New Roman" w:cs="Times New Roman"/>
          <w:sz w:val="24"/>
        </w:rPr>
        <w:t>(Nijjer et al., 2016)</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xml:space="preserve"> and it is caused by the distal pressure sensor sitting vertically lower than the aortic pressure sensor (and original point of normalisation).</w:t>
      </w:r>
      <w:r>
        <w:rPr>
          <w:rFonts w:ascii="Times New Roman" w:hAnsi="Times New Roman" w:cs="Times New Roman"/>
          <w:sz w:val="24"/>
          <w:szCs w:val="24"/>
        </w:rPr>
        <w:t xml:space="preserve"> </w:t>
      </w:r>
      <w:r w:rsidRPr="00AB327C">
        <w:rPr>
          <w:rFonts w:ascii="Times New Roman" w:hAnsi="Times New Roman" w:cs="Times New Roman"/>
          <w:sz w:val="24"/>
          <w:szCs w:val="24"/>
        </w:rPr>
        <w:t>For a resting index to be above one, disease in the vessel is usually mild. While often attributed to drift, physical principles can predict this concept. It is useful to note this phenomenon rather than assume the physiology wire is at fault.</w:t>
      </w:r>
    </w:p>
    <w:p w14:paraId="2945757F"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A recent study assessing coronary artery height variations using CT coronary angiograms has been conducted recently in a group composed predominantly of</w:t>
      </w:r>
      <w:r>
        <w:rPr>
          <w:rFonts w:ascii="Times New Roman" w:hAnsi="Times New Roman" w:cs="Times New Roman"/>
          <w:sz w:val="24"/>
          <w:szCs w:val="24"/>
        </w:rPr>
        <w:t xml:space="preserve"> transcutaneous aortic valve implantation (</w:t>
      </w:r>
      <w:r w:rsidRPr="00AB327C">
        <w:rPr>
          <w:rFonts w:ascii="Times New Roman" w:hAnsi="Times New Roman" w:cs="Times New Roman"/>
          <w:sz w:val="24"/>
          <w:szCs w:val="24"/>
        </w:rPr>
        <w:t>TAVI</w:t>
      </w:r>
      <w:r>
        <w:rPr>
          <w:rFonts w:ascii="Times New Roman" w:hAnsi="Times New Roman" w:cs="Times New Roman"/>
          <w:sz w:val="24"/>
          <w:szCs w:val="24"/>
        </w:rPr>
        <w:t>)</w:t>
      </w:r>
      <w:r w:rsidRPr="00AB327C">
        <w:rPr>
          <w:rFonts w:ascii="Times New Roman" w:hAnsi="Times New Roman" w:cs="Times New Roman"/>
          <w:sz w:val="24"/>
          <w:szCs w:val="24"/>
        </w:rPr>
        <w:t xml:space="preserve"> patients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2hiluTpp","properties":{"formattedCitation":"[5]","plainCitation":"[5]","dontUpdate":true,"noteIndex":0},"citationItems":[{"id":16,"uris":["http://zotero.org/users/local/k67tNDdX/items/I6GPSG9J"],"uri":["http://zotero.org/users/local/k67tNDdX/items/I6GPSG9J"],"itemData":{"id":16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AB327C">
        <w:rPr>
          <w:rFonts w:ascii="Times New Roman" w:hAnsi="Times New Roman" w:cs="Times New Roman"/>
          <w:sz w:val="24"/>
          <w:szCs w:val="24"/>
        </w:rPr>
        <w:fldChar w:fldCharType="separate"/>
      </w:r>
      <w:r w:rsidRPr="00AB327C">
        <w:rPr>
          <w:rFonts w:ascii="Times New Roman" w:hAnsi="Times New Roman" w:cs="Times New Roman"/>
          <w:sz w:val="24"/>
          <w:szCs w:val="24"/>
        </w:rPr>
        <w:t>[5]</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xml:space="preserve">. Hydrostatic pressure effects were then confirmed using an </w:t>
      </w:r>
      <w:r w:rsidRPr="00EA62E2">
        <w:rPr>
          <w:rFonts w:ascii="Times New Roman" w:hAnsi="Times New Roman" w:cs="Times New Roman"/>
          <w:i/>
          <w:sz w:val="24"/>
          <w:szCs w:val="24"/>
        </w:rPr>
        <w:t>in vitro</w:t>
      </w:r>
      <w:r w:rsidRPr="00AB327C">
        <w:rPr>
          <w:rFonts w:ascii="Times New Roman" w:hAnsi="Times New Roman" w:cs="Times New Roman"/>
          <w:sz w:val="24"/>
          <w:szCs w:val="24"/>
        </w:rPr>
        <w:t xml:space="preserve"> model. The anatomy of these patients with severe aortic stenosis may slightly alter the anatomy of the coronary arteries themselves due to changes in the aortic root. Our assessment of coronary height variations in a more heterogeneous group of patients presenting with stable cardiac chest pain was thought to be a useful addition to current knowledge. In general</w:t>
      </w:r>
      <w:r>
        <w:rPr>
          <w:rFonts w:ascii="Times New Roman" w:hAnsi="Times New Roman" w:cs="Times New Roman"/>
          <w:sz w:val="24"/>
          <w:szCs w:val="24"/>
        </w:rPr>
        <w:t>,</w:t>
      </w:r>
      <w:r w:rsidRPr="00AB327C">
        <w:rPr>
          <w:rFonts w:ascii="Times New Roman" w:hAnsi="Times New Roman" w:cs="Times New Roman"/>
          <w:sz w:val="24"/>
          <w:szCs w:val="24"/>
        </w:rPr>
        <w:t xml:space="preserve"> our patients were younger females in keeping with the low to intermediate risk group initially assessed with CT coronary angiography at the time.</w:t>
      </w:r>
      <w:r>
        <w:rPr>
          <w:rFonts w:ascii="Times New Roman" w:hAnsi="Times New Roman" w:cs="Times New Roman"/>
          <w:sz w:val="24"/>
          <w:szCs w:val="24"/>
        </w:rPr>
        <w:t xml:space="preserve"> </w:t>
      </w:r>
      <w:r w:rsidRPr="00AB327C">
        <w:rPr>
          <w:rFonts w:ascii="Times New Roman" w:hAnsi="Times New Roman" w:cs="Times New Roman"/>
          <w:sz w:val="24"/>
          <w:szCs w:val="24"/>
        </w:rPr>
        <w:t>There were some differences in height measurements from CT scans between our study and Härle et al. Measurements from ostial left coronary artery to LAD and Cx were similar (5.3cm vs. 4.9 and 3.4 vs. 3.9 respectively). There were however more pronounced differences in the measurement of PLV and PDA from the right coronary ostium (5.7 vs. 2.6 and 1.8 vs. 3.8). There are potential explanations.</w:t>
      </w:r>
      <w:r>
        <w:rPr>
          <w:rFonts w:ascii="Times New Roman" w:hAnsi="Times New Roman" w:cs="Times New Roman"/>
          <w:sz w:val="24"/>
          <w:szCs w:val="24"/>
        </w:rPr>
        <w:t xml:space="preserve"> </w:t>
      </w:r>
      <w:r w:rsidRPr="00AB327C">
        <w:rPr>
          <w:rFonts w:ascii="Times New Roman" w:hAnsi="Times New Roman" w:cs="Times New Roman"/>
          <w:sz w:val="24"/>
          <w:szCs w:val="24"/>
        </w:rPr>
        <w:t>Observer variation between</w:t>
      </w:r>
      <w:r>
        <w:rPr>
          <w:rFonts w:ascii="Times New Roman" w:hAnsi="Times New Roman" w:cs="Times New Roman"/>
          <w:sz w:val="24"/>
          <w:szCs w:val="24"/>
        </w:rPr>
        <w:t xml:space="preserve"> </w:t>
      </w:r>
      <w:r w:rsidRPr="00AB327C">
        <w:rPr>
          <w:rFonts w:ascii="Times New Roman" w:hAnsi="Times New Roman" w:cs="Times New Roman"/>
          <w:sz w:val="24"/>
          <w:szCs w:val="24"/>
        </w:rPr>
        <w:t>two studies may account for some of the change. Contrast penetration into the distal vessel can significantly alter the measurement point within the artery, leading to error in measurements in both studies. Finally</w:t>
      </w:r>
      <w:r>
        <w:rPr>
          <w:rFonts w:ascii="Times New Roman" w:hAnsi="Times New Roman" w:cs="Times New Roman"/>
          <w:sz w:val="24"/>
          <w:szCs w:val="24"/>
        </w:rPr>
        <w:t>,</w:t>
      </w:r>
      <w:r w:rsidRPr="00AB327C">
        <w:rPr>
          <w:rFonts w:ascii="Times New Roman" w:hAnsi="Times New Roman" w:cs="Times New Roman"/>
          <w:sz w:val="24"/>
          <w:szCs w:val="24"/>
        </w:rPr>
        <w:t xml:space="preserve"> the patient cohort varies between the studies. One anticipates that coronary height measurements may vary between a predominantly older population with aortic stenosis, and a younger cohort without.</w:t>
      </w:r>
    </w:p>
    <w:p w14:paraId="68B9406F" w14:textId="77777777" w:rsidR="003F208B" w:rsidRDefault="003F208B" w:rsidP="003F208B">
      <w:pPr>
        <w:spacing w:line="480" w:lineRule="auto"/>
        <w:rPr>
          <w:rFonts w:ascii="Times New Roman" w:hAnsi="Times New Roman" w:cs="Times New Roman"/>
          <w:color w:val="FF0000"/>
          <w:sz w:val="24"/>
          <w:szCs w:val="24"/>
        </w:rPr>
      </w:pPr>
      <w:r w:rsidRPr="00AB327C">
        <w:rPr>
          <w:rFonts w:ascii="Times New Roman" w:hAnsi="Times New Roman" w:cs="Times New Roman"/>
          <w:sz w:val="24"/>
          <w:szCs w:val="24"/>
        </w:rPr>
        <w:t>Pressure based invasive physiology such as FFR, has been well validated over many years. However, pressure</w:t>
      </w:r>
      <w:r>
        <w:rPr>
          <w:rFonts w:ascii="Times New Roman" w:hAnsi="Times New Roman" w:cs="Times New Roman"/>
          <w:sz w:val="24"/>
          <w:szCs w:val="24"/>
        </w:rPr>
        <w:t>-</w:t>
      </w:r>
      <w:r w:rsidRPr="00AB327C">
        <w:rPr>
          <w:rFonts w:ascii="Times New Roman" w:hAnsi="Times New Roman" w:cs="Times New Roman"/>
          <w:sz w:val="24"/>
          <w:szCs w:val="24"/>
        </w:rPr>
        <w:t>based measurement</w:t>
      </w:r>
      <w:r>
        <w:rPr>
          <w:rFonts w:ascii="Times New Roman" w:hAnsi="Times New Roman" w:cs="Times New Roman"/>
          <w:sz w:val="24"/>
          <w:szCs w:val="24"/>
        </w:rPr>
        <w:t xml:space="preserve">s are </w:t>
      </w:r>
      <w:r w:rsidRPr="00AB327C">
        <w:rPr>
          <w:rFonts w:ascii="Times New Roman" w:hAnsi="Times New Roman" w:cs="Times New Roman"/>
          <w:sz w:val="24"/>
          <w:szCs w:val="24"/>
        </w:rPr>
        <w:t>subject to the potential effects of hydrostatic pressure. If hydrostatic forces alter distal pressure recordings FFR will in turn change. The change may be small (0.02 - 0.05) but useful to know in FFR values circling the cut-off point (0.75-0</w:t>
      </w:r>
      <w:r w:rsidRPr="00B442AC">
        <w:rPr>
          <w:rFonts w:ascii="Times New Roman" w:hAnsi="Times New Roman" w:cs="Times New Roman"/>
          <w:sz w:val="24"/>
          <w:szCs w:val="24"/>
        </w:rPr>
        <w:t xml:space="preserve">.85) </w:t>
      </w:r>
      <w:r w:rsidR="00106A32" w:rsidRPr="00B442A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{"citationID":"XCqGjTmQ","properties":{"formattedCitation":"(Petraco et al., 2013)","plainCitation":"(Petraco et al., 2013)","noteIndex":0},"citationItems":[{"id":28,"uris":["http://zotero.org/users/local/k67tNDdX/items/87STLDWU"],"uri":["http://zotero.org/users/local/k67tNDdX/items/87STLDWU"],"itemData":{"id":28,"type":"article-journal","abstract":"AIMS: To evaluate the classification agreement between instantaneous wave-free ratio (iFR) and fractional flow reserve (FFR) in patients with angiographic intermediate coronary stenoses.\nMETHODS AND RESULTS: Three hundred and twelve patients (339 stenoses) with angiographically intermediate stenoses were included in this international clinical registry. The iFR was calculated using fully automated algorithms. The receiver operating characteristic (ROC) curve was used to identify the iFR optimal cut-point corresponding to FFR 0.8. The classification agreement of coronary stenoses as significant or non-significant was established between iFR and FFR and between repeated FFR measurements for each 0.05 quantile of FFR values, from 0.2 to 1. Close agreement was observed between iFR and FFR (area under ROC curve= 86%). The optimal iFR cut-off (for an FFR of 0.80) was 0.89. After adjustment for the intrinsic variability of FFR, the classification agreement (accuracy) between iFR and FFR was 94%. Amongst the stenoses classified as non-significant by iFR (&gt;0.89) and as significant by FFR (≤0.8), 81% had associated FFR values located within the FFR \"grey-zone\" (0.75-0.8) and 41% within the 0.79-0.80 FFR range.\nCONCLUSIONS: In a population of intermediate coronary stenoses, the classification agreement between iFR and FFR is excellent and similar to that of repeated FFR measurements in the same sample. Vasodilator-independent assessment of intermediate stenosis seems applicable and may foster adoption of coronary physiology in the catheterisation laboratory.","container-title":"EuroIntervention: Journal of EuroPCR in Collaboration with the Working Group on Interventional Cardiology of the European Society of Cardiology","DOI":"10.4244/EIJV9I1A14","ISSN":"1969-6213","issue":"1","journalAbbreviation":"EuroIntervention","language":"eng","note":"PMID: 22917666","page":"91-101","source":"PubMed","title":"Classification performance of instantaneous wave-free ratio (iFR) and fractional flow reserve in a clinical population of intermediate coronary stenoses: results of the ADVISE registry","title-short":"Classification performance of instantaneous wave-free ratio (iFR) and fractional flow reserve in a clinical population of intermediate coronary stenoses","volume":"9","author":[{"family":"Petraco","given":"Ricardo"},{"family":"Escaned","given":"Javier"},{"family":"Sen","given":"Sayan"},{"family":"Nijjer","given":"Sukhjinder"},{"family":"Asrress","given":"Kaleab N."},{"family":"Echavarria-Pinto","given":"Mauro"},{"family":"Lockie","given":"Tim"},{"family":"Khawaja","given":"Muhammed Z."},{"family":"Cuevas","given":"Cecilia"},{"family":"Foin","given":"Nicolas"},{"family":"Broyd","given":"Christopher"},{"family":"Foale","given":"Rodney A."},{"family":"Hadjiloizou","given":"Nearchos"},{"family":"Malik","given":"Iqbal S."},{"family":"Mikhail","given":"Ghada W."},{"family":"Sethi","given":"Amarjit"},{"family":"Kaprielian","given":"Raffi"},{"family":"Baker","given":"Christopher S."},{"family":"Lefroy","given":"David"},{"family":"Bellamy","given":"Michael"},{"family":"Al-Bustami","given":"Mahmud"},{"family":"Khan","given":"Masood A."},{"family":"Hughes","given":"Alun D."},{"family":"Francis","given":"Darrel P."},{"family":"Mayet","given":"Jamil"},{"family":"Di Mario","given":"Carlo"},{"family":"Redwood","given":"Simon"},{"family":"Davies","given":"Justin E."}],"issued":{"date-parts":[["2013",5,20]]}}}],"schema":"https://github.com/citation-style-language/schema/raw/master/csl-citation.json"} </w:instrText>
      </w:r>
      <w:r w:rsidR="00106A32" w:rsidRPr="00B442AC">
        <w:rPr>
          <w:rFonts w:ascii="Times New Roman" w:hAnsi="Times New Roman" w:cs="Times New Roman"/>
          <w:sz w:val="24"/>
          <w:szCs w:val="24"/>
        </w:rPr>
        <w:fldChar w:fldCharType="separate"/>
      </w:r>
      <w:r w:rsidR="004A32A5" w:rsidRPr="004A32A5">
        <w:rPr>
          <w:rFonts w:ascii="Times New Roman" w:hAnsi="Times New Roman" w:cs="Times New Roman"/>
          <w:sz w:val="24"/>
        </w:rPr>
        <w:t>(Petraco et al., 2013)</w:t>
      </w:r>
      <w:r w:rsidR="00106A32" w:rsidRPr="00B442AC">
        <w:rPr>
          <w:rFonts w:ascii="Times New Roman" w:hAnsi="Times New Roman" w:cs="Times New Roman"/>
          <w:sz w:val="24"/>
          <w:szCs w:val="24"/>
        </w:rPr>
        <w:fldChar w:fldCharType="end"/>
      </w:r>
      <w:r w:rsidRPr="00B442AC">
        <w:rPr>
          <w:rFonts w:ascii="Times New Roman" w:hAnsi="Times New Roman" w:cs="Times New Roman"/>
          <w:sz w:val="24"/>
          <w:szCs w:val="24"/>
        </w:rPr>
        <w:t xml:space="preserve">. In theory, the addition of adenosine should not alter the physical hydrostatic pressure effect in a coronary vessel </w:t>
      </w:r>
      <w:r w:rsidRPr="00B442AC">
        <w:rPr>
          <w:rFonts w:ascii="Times New Roman" w:hAnsi="Times New Roman" w:cs="Times New Roman"/>
          <w:i/>
          <w:sz w:val="24"/>
          <w:szCs w:val="24"/>
        </w:rPr>
        <w:t>in vivo</w:t>
      </w:r>
      <w:r w:rsidRPr="00B442AC">
        <w:rPr>
          <w:rFonts w:ascii="Times New Roman" w:hAnsi="Times New Roman" w:cs="Times New Roman"/>
          <w:sz w:val="24"/>
          <w:szCs w:val="24"/>
        </w:rPr>
        <w:t>, as height, fluid density and gravitational effect have not changed. An important consideration is the hypotensive effect and hence reduction in Pa during adenosine infusion. Pa pressure may fall below 100mmHg during hyperaemia, meaning alterations in Pd have a larger effect on overall Pd/Pa. Hydrostatic effect is constant across resting and hyperaemic states. A change in Pd of 5mmHg is therefore of greater relative importance in resting indices (where a transtenotic gradient of 10mmHg is considered abnormal) compared to hyperaemic indices (where 20mmHg is considered abnormal)</w:t>
      </w:r>
    </w:p>
    <w:p w14:paraId="25E9BE1D" w14:textId="77777777" w:rsidR="003F208B" w:rsidRPr="00DE37BD" w:rsidRDefault="003F208B" w:rsidP="003F208B">
      <w:pPr>
        <w:spacing w:line="480" w:lineRule="auto"/>
        <w:jc w:val="both"/>
        <w:rPr>
          <w:rFonts w:ascii="Times New Roman" w:hAnsi="Times New Roman" w:cs="Times New Roman"/>
          <w:sz w:val="24"/>
          <w:szCs w:val="24"/>
        </w:rPr>
      </w:pPr>
      <w:r w:rsidRPr="00DE37BD">
        <w:rPr>
          <w:rFonts w:ascii="Times New Roman" w:hAnsi="Times New Roman" w:cs="Times New Roman"/>
          <w:sz w:val="24"/>
          <w:szCs w:val="24"/>
        </w:rPr>
        <w:t>Whilst the effect of hydrostatic pressure upon FFR is described, we believe that this novel data demonstrates that depending on the coronary artery in question and its anatomical course the physiological significance of a coronary stenosis can be both over or under-estimated. Treatment of intermediate coronary stenoses therefore must not be a binary decision, and the operator must exert clinical judgment when faced with grey zone physiology values.</w:t>
      </w:r>
    </w:p>
    <w:p w14:paraId="132F2592" w14:textId="77777777" w:rsidR="003F208B" w:rsidRPr="00DE37BD" w:rsidRDefault="003F208B" w:rsidP="003F208B">
      <w:pPr>
        <w:spacing w:line="480" w:lineRule="auto"/>
        <w:jc w:val="both"/>
        <w:rPr>
          <w:rFonts w:ascii="Times New Roman" w:hAnsi="Times New Roman" w:cs="Times New Roman"/>
          <w:sz w:val="24"/>
          <w:szCs w:val="24"/>
        </w:rPr>
      </w:pPr>
      <w:r w:rsidRPr="00DE37BD">
        <w:rPr>
          <w:rFonts w:ascii="Times New Roman" w:hAnsi="Times New Roman" w:cs="Times New Roman"/>
          <w:sz w:val="24"/>
          <w:szCs w:val="24"/>
        </w:rPr>
        <w:t>The exact position of the pressure sensor of the physiology wire is often not considered. Hydrostatic effect becomes more pronounced as the pressure sensor is positioned more distally. Avoiding an unnecessarily distal wire position will minimise the hydrostatic effect on obtained measurements by reducing the guide to pressure sensor distance.</w:t>
      </w:r>
    </w:p>
    <w:p w14:paraId="12C10D03" w14:textId="77777777" w:rsidR="003F208B" w:rsidRPr="00B442AC" w:rsidRDefault="003F208B" w:rsidP="003F208B">
      <w:pPr>
        <w:spacing w:line="480" w:lineRule="auto"/>
        <w:jc w:val="both"/>
        <w:rPr>
          <w:rFonts w:ascii="Times New Roman" w:hAnsi="Times New Roman" w:cs="Times New Roman"/>
          <w:color w:val="FF0000"/>
          <w:sz w:val="24"/>
          <w:szCs w:val="24"/>
        </w:rPr>
      </w:pPr>
    </w:p>
    <w:p w14:paraId="131CDDB2"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By changing patient position</w:t>
      </w:r>
      <w:r>
        <w:rPr>
          <w:rFonts w:ascii="Times New Roman" w:hAnsi="Times New Roman" w:cs="Times New Roman"/>
          <w:sz w:val="24"/>
          <w:szCs w:val="24"/>
        </w:rPr>
        <w:t xml:space="preserve"> during angiography</w:t>
      </w:r>
      <w:r w:rsidRPr="00AB327C">
        <w:rPr>
          <w:rFonts w:ascii="Times New Roman" w:hAnsi="Times New Roman" w:cs="Times New Roman"/>
          <w:sz w:val="24"/>
          <w:szCs w:val="24"/>
        </w:rPr>
        <w:t xml:space="preserve">, (i.e turning onto one side), and leaving the wire in exactly the same </w:t>
      </w:r>
      <w:r>
        <w:rPr>
          <w:rFonts w:ascii="Times New Roman" w:hAnsi="Times New Roman" w:cs="Times New Roman"/>
          <w:sz w:val="24"/>
          <w:szCs w:val="24"/>
        </w:rPr>
        <w:t xml:space="preserve">position </w:t>
      </w:r>
      <w:r w:rsidRPr="00AB327C">
        <w:rPr>
          <w:rFonts w:ascii="Times New Roman" w:hAnsi="Times New Roman" w:cs="Times New Roman"/>
          <w:sz w:val="24"/>
          <w:szCs w:val="24"/>
        </w:rPr>
        <w:t>in the artery</w:t>
      </w:r>
      <w:r>
        <w:rPr>
          <w:rFonts w:ascii="Times New Roman" w:hAnsi="Times New Roman" w:cs="Times New Roman"/>
          <w:sz w:val="24"/>
          <w:szCs w:val="24"/>
        </w:rPr>
        <w:t>,</w:t>
      </w:r>
      <w:r w:rsidRPr="00AB327C">
        <w:rPr>
          <w:rFonts w:ascii="Times New Roman" w:hAnsi="Times New Roman" w:cs="Times New Roman"/>
          <w:sz w:val="24"/>
          <w:szCs w:val="24"/>
        </w:rPr>
        <w:t xml:space="preserve"> FFR values</w:t>
      </w:r>
      <w:r>
        <w:rPr>
          <w:rFonts w:ascii="Times New Roman" w:hAnsi="Times New Roman" w:cs="Times New Roman"/>
          <w:sz w:val="24"/>
          <w:szCs w:val="24"/>
        </w:rPr>
        <w:t xml:space="preserve"> have been shown to</w:t>
      </w:r>
      <w:r w:rsidRPr="00AB327C">
        <w:rPr>
          <w:rFonts w:ascii="Times New Roman" w:hAnsi="Times New Roman" w:cs="Times New Roman"/>
          <w:sz w:val="24"/>
          <w:szCs w:val="24"/>
        </w:rPr>
        <w:t xml:space="preserve"> change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{"citationID":"BD2Oh8dS","properties":{"formattedCitation":"(H\\uc0\\u228{}rle et al., 2018)","plainCitation":"(Härle et al., 2018)","noteIndex":0},"citationItems":[{"id":622,"uris":["http://zotero.org/users/local/k67tNDdX/items/DLBTYZC8"],"uri":["http://zotero.org/users/local/k67tNDdX/items/DLBTYZC8"],"itemData":{"id":622,"type":"article-journal","abstract":"BACKGROUND: An influence of hydrostatic pressure on intracoronary indices of stenosis severity in vitro was recently reported. We sought to analyze the influence of hydrostatic pressure, caused by the height difference between the distal and proximal pressure sensor after guidewire positioning in the interrogated vessel, on intracoronary pressure measurements in vivo.\nMETHODS AND RESULTS: In 30 coronary stenoses, intracoronary pressure measurements were performed in supine, left, and right lateral patient position. Height differences between the distal and proximal pressure sensor were measured by blinded observers. Measurement results of the position with the highest (\"high\") and lowest height difference (\"low\") were compared. In group \"high\", all measured indices were higher: mean difference of fractional flow reserve (FFR) 0.045 (SD 0.033, 95% CI 0.033-0.057, p &lt; 0.0001), of instantaneous wave-free ratio (iFR) 0.043 (SD 0.04, 95% CI 0.029-0.057, p &lt; 0.0001), and of resting Pd/Pa 0.037 (SD 0.034, 95% CI 0.025-0.049, p &lt; 0.0001). Addition of the physically expectable hydrostatic pressure to the distal coronary pressures of the control group abolished the differences: corrected ∆FFR - 0.006 (SD 0.027, 95% CI - 0.015 to 0.004, p = 0.26), corrected ∆Pd/Pa - 0.008 (SD 0.03, 95% CI - 0.019 to 0.003, p = 0.18). Adjustment for hydrostatic pressure of FFR values in a standard supine position increased all values in anterior vessels and decreased all values in posterior vessels. The mean changes of FFR due to adjustment were: LAD - 0.048 (SD 0.016), CX 0.02 (SD 0.009), RCA 0.02 (SD 0.021). Dichotomous severity classification changed in 12.9% of stenoses.\nCONCLUSIONS: The study demonstrates a relevant influence of hydrostatic pressure on intracoronary indices of stenosis severity in vivo, caused by the height differences between distal and proximal pressure sensor.","container-title":"Clinical Research in Cardiology: Official Journal of the German Cardiac Society","DOI":"10.1007/s00392-017-1174-2","ISSN":"1861-0692","issue":"3","journalAbbreviation":"Clin Res Cardiol","language":"eng","note":"PMID: 29098379","page":"222-232","source":"PubMed","title":"Influence of hydrostatic pressure on intracoronary indices of stenosis severity in vivo","volume":"107","author":[{"family":"Härle","given":"Tobias"},{"family":"Luz","given":"Mareike"},{"family":"Meyer","given":"Sven"},{"family":"Vahldiek","given":"Felix"},{"family":"Harst","given":"Pim","non-dropping-particle":"van der"},{"family":"Dijk","given":"Randy","non-dropping-particle":"van"},{"family":"Ties","given":"Daan"},{"family":"Escaned","given":"Javier"},{"family":"Davies","given":"Justin"},{"family":"Elsässer","given":"Albrecht"}],"issued":{"date-parts":[["2018",3]]}}}],"schema":"https://github.com/citation-style-language/schema/raw/master/csl-citation.json"} </w:instrText>
      </w:r>
      <w:r w:rsidR="00106A32" w:rsidRPr="00AB327C">
        <w:rPr>
          <w:rFonts w:ascii="Times New Roman" w:hAnsi="Times New Roman" w:cs="Times New Roman"/>
          <w:sz w:val="24"/>
          <w:szCs w:val="24"/>
        </w:rPr>
        <w:fldChar w:fldCharType="separate"/>
      </w:r>
      <w:r w:rsidR="004A32A5" w:rsidRPr="004A32A5">
        <w:rPr>
          <w:rFonts w:ascii="Times New Roman" w:hAnsi="Times New Roman" w:cs="Times New Roman"/>
          <w:sz w:val="24"/>
          <w:szCs w:val="24"/>
        </w:rPr>
        <w:t>(Härle et al., 2018)</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Correcting for the presumed hydrostatic effect due to this position change (by using measured height difference</w:t>
      </w:r>
      <w:r>
        <w:rPr>
          <w:rFonts w:ascii="Times New Roman" w:hAnsi="Times New Roman" w:cs="Times New Roman"/>
          <w:sz w:val="24"/>
          <w:szCs w:val="24"/>
        </w:rPr>
        <w:t xml:space="preserve"> between guide and wire</w:t>
      </w:r>
      <w:r w:rsidRPr="00AB327C">
        <w:rPr>
          <w:rFonts w:ascii="Times New Roman" w:hAnsi="Times New Roman" w:cs="Times New Roman"/>
          <w:sz w:val="24"/>
          <w:szCs w:val="24"/>
        </w:rPr>
        <w:t xml:space="preserve">), abolished the difference between the two FFR recordings, seemingly explaining the difference. </w:t>
      </w:r>
    </w:p>
    <w:p w14:paraId="5571B294" w14:textId="77777777" w:rsidR="003F208B" w:rsidRPr="00B442AC" w:rsidRDefault="003F208B" w:rsidP="003F208B">
      <w:pPr>
        <w:spacing w:line="480" w:lineRule="auto"/>
        <w:rPr>
          <w:rFonts w:ascii="Times New Roman" w:hAnsi="Times New Roman" w:cs="Times New Roman"/>
          <w:color w:val="FF0000"/>
          <w:sz w:val="24"/>
          <w:szCs w:val="24"/>
        </w:rPr>
      </w:pPr>
      <w:r w:rsidRPr="00AB327C">
        <w:rPr>
          <w:rFonts w:ascii="Times New Roman" w:hAnsi="Times New Roman" w:cs="Times New Roman"/>
          <w:sz w:val="24"/>
          <w:szCs w:val="24"/>
        </w:rPr>
        <w:t xml:space="preserve">Another important observation is the pressure change along the longitudinal length of a coronary artery, which has been </w:t>
      </w:r>
      <w:r w:rsidRPr="00B442AC">
        <w:rPr>
          <w:rFonts w:ascii="Times New Roman" w:hAnsi="Times New Roman" w:cs="Times New Roman"/>
          <w:color w:val="000000" w:themeColor="text1"/>
          <w:sz w:val="24"/>
          <w:szCs w:val="24"/>
        </w:rPr>
        <w:t xml:space="preserve">attributed to diffuse atherosclerosis </w:t>
      </w:r>
      <w:r w:rsidR="00106A32" w:rsidRPr="00B442AC">
        <w:rPr>
          <w:rFonts w:ascii="Times New Roman" w:hAnsi="Times New Roman" w:cs="Times New Roman"/>
          <w:color w:val="000000" w:themeColor="text1"/>
          <w:sz w:val="24"/>
          <w:szCs w:val="24"/>
        </w:rPr>
        <w:fldChar w:fldCharType="begin"/>
      </w:r>
      <w:r w:rsidR="004A32A5">
        <w:rPr>
          <w:rFonts w:ascii="Times New Roman" w:hAnsi="Times New Roman" w:cs="Times New Roman"/>
          <w:color w:val="000000" w:themeColor="text1"/>
          <w:sz w:val="24"/>
          <w:szCs w:val="24"/>
        </w:rPr>
        <w:instrText xml:space="preserve"> ADDIN ZOTERO_ITEM CSL_CITATION {"citationID":"FsIpqpVq","properties":{"formattedCitation":"(Bruyne et al., 2001)","plainCitation":"(Bruyne et al., 2001)","noteIndex":0},"citationItems":[{"id":37,"uris":["http://zotero.org/users/local/k67tNDdX/items/PQPK3U2L"],"uri":["http://zotero.org/users/local/k67tNDdX/items/PQPK3U2L"],"itemData":{"id":37,"type":"article-journal","abstract":"Background Coronary arteries without focal stenosis at angiography are generally considered non–flow-limiting. However, atherosclerosis is a diffuse process that often remains invisible at angiography. Accordingly, we hypothesized that in patients with coronary artery disease, nonstenotic coronary arteries induce a decrease in pressure along their length due to diffuse coronary atherosclerosis.\nMethods and Results Coronary pressure and fractional flow reserve (FFR), as indices of coronary conductance, were obtained from 37 arteries in 10 individuals without atherosclerosis (group I) and from 106 nonstenotic arteries in 62 patients with arteriographic stenoses in another coronary artery (group II). In group I, the pressure gradient between aorta and distal coronary artery was minimal at rest (1±1 mm Hg) and during maximal hyperemia (3±3 mm Hg). Corresponding values were significantly larger in group II (5±4 mm Hg and 10±8 mm Hg, respectively; both P&lt;0.001). The FFR was near unity (0.97±0.02; range, 0.92 to 1) in group I, indicating no resistance to flow in truly normal coronary arteries, but it was significantly lower (0.89±0.08; range, 0.69 to 1) in group II, indicating a higher resistance to flow. In 57% of arteries in group II, FFR was lower than the lowest value in group I. In 8% of arteries in group II, FFR was &lt;0.75, the threshold for inducible ischemia.\nConclusion Diffuse coronary atherosclerosis without focal stenosis at angiography causes a graded, continuous pressure fall along arterial length. This resistance to flow contributes to myocardial ischemia and has consequences for decision-making during percutaneous coronary interventions.","container-title":"Circulation","DOI":"10.1161/hc4501.099316","ISSN":"0009-7322, 1524-4539","issue":"20","language":"en","note":"PMID: 11705815","page":"2401-2406","source":"circ.ahajournals.org","title":"Abnormal Epicardial Coronary Resistance in Patients With Diffuse Atherosclerosis but “Normal” Coronary Angiography","volume":"104","author":[{"family":"Bruyne","given":"Bernard De"},{"family":"Hersbach","given":"Ferry"},{"family":"Pijls","given":"Nico H. J."},{"family":"Bartunek","given":"Jozef"},{"family":"Bech","given":"Jan-Willem"},{"family":"Heyndrickx","given":"Guy R."},{"family":"Gould","given":"K. Lance"},{"family":"Wijns","given":"William"}],"issued":{"date-parts":[["2001",11,13]]}}}],"schema":"https://github.com/citation-style-language/schema/raw/master/csl-citation.json"} </w:instrText>
      </w:r>
      <w:r w:rsidR="00106A32" w:rsidRPr="00B442AC">
        <w:rPr>
          <w:rFonts w:ascii="Times New Roman" w:hAnsi="Times New Roman" w:cs="Times New Roman"/>
          <w:color w:val="000000" w:themeColor="text1"/>
          <w:sz w:val="24"/>
          <w:szCs w:val="24"/>
        </w:rPr>
        <w:fldChar w:fldCharType="separate"/>
      </w:r>
      <w:r w:rsidR="004A32A5" w:rsidRPr="004A32A5">
        <w:rPr>
          <w:rFonts w:ascii="Times New Roman" w:hAnsi="Times New Roman" w:cs="Times New Roman"/>
          <w:sz w:val="24"/>
        </w:rPr>
        <w:t>(Bruyne et al., 2001)</w:t>
      </w:r>
      <w:r w:rsidR="00106A32" w:rsidRPr="00B442AC">
        <w:rPr>
          <w:rFonts w:ascii="Times New Roman" w:hAnsi="Times New Roman" w:cs="Times New Roman"/>
          <w:color w:val="000000" w:themeColor="text1"/>
          <w:sz w:val="24"/>
          <w:szCs w:val="24"/>
        </w:rPr>
        <w:fldChar w:fldCharType="end"/>
      </w:r>
      <w:r w:rsidRPr="00B442AC">
        <w:rPr>
          <w:rFonts w:ascii="Times New Roman" w:hAnsi="Times New Roman" w:cs="Times New Roman"/>
          <w:color w:val="000000" w:themeColor="text1"/>
          <w:sz w:val="24"/>
          <w:szCs w:val="24"/>
        </w:rPr>
        <w:t>. The additive effect of hydrostatic pressure however cannot be excluded, as vertical height also gradually changes along the length of an artery. This along with other confounding factors,</w:t>
      </w:r>
      <w:r>
        <w:rPr>
          <w:rFonts w:ascii="Times New Roman" w:hAnsi="Times New Roman" w:cs="Times New Roman"/>
          <w:color w:val="000000" w:themeColor="text1"/>
          <w:sz w:val="24"/>
          <w:szCs w:val="24"/>
        </w:rPr>
        <w:t xml:space="preserve"> such</w:t>
      </w:r>
      <w:r w:rsidRPr="00B442AC">
        <w:rPr>
          <w:rFonts w:ascii="Times New Roman" w:hAnsi="Times New Roman" w:cs="Times New Roman"/>
          <w:color w:val="000000" w:themeColor="text1"/>
          <w:sz w:val="24"/>
          <w:szCs w:val="24"/>
        </w:rPr>
        <w:t xml:space="preserve"> chronic kidney disease </w:t>
      </w:r>
      <w:r w:rsidR="00106A32" w:rsidRPr="00B442AC">
        <w:rPr>
          <w:rFonts w:ascii="Times New Roman" w:hAnsi="Times New Roman" w:cs="Times New Roman"/>
          <w:color w:val="000000" w:themeColor="text1"/>
          <w:sz w:val="24"/>
          <w:szCs w:val="24"/>
        </w:rPr>
        <w:fldChar w:fldCharType="begin"/>
      </w:r>
      <w:r w:rsidR="004A32A5">
        <w:rPr>
          <w:rFonts w:ascii="Times New Roman" w:hAnsi="Times New Roman" w:cs="Times New Roman"/>
          <w:color w:val="000000" w:themeColor="text1"/>
          <w:sz w:val="24"/>
          <w:szCs w:val="24"/>
        </w:rPr>
        <w:instrText xml:space="preserve"> ADDIN ZOTERO_ITEM CSL_CITATION {"citationID":"kqpcRSbU","properties":{"formattedCitation":"(Tebaldi et al., 2016)","plainCitation":"(Tebaldi et al., 2016)","noteIndex":0},"citationItems":[{"id":730,"uris":["http://zotero.org/users/local/k67tNDdX/items/CQ8JHZDZ"],"uri":["http://zotero.org/users/local/k67tNDdX/items/CQ8JHZDZ"],"itemData":{"id":730,"type":"article-journal","abstract":"OBJECTIVES: To establish if the presence of chronic kidney disease (CKD) influences fractional flow reserve (FFR) value in patients with intermediate coronary stenosis.\nBACKGROUND: FFR-guided coronary revascularization reduces cardiac adverse events in patients with coronary artery disease. CKD impairs microcirculation and increases cardiovascular risk. Whether CKD presence may limit FFR accuracy is unknown.\nMETHODS: We used data from a multicenter prospective registry enrolling 1.004 patients undergoing FFR evaluation for intermediate stenosis. We assessed the relationship between clinical and angiographic variables and FFR measurement. CKD was defined as CrCl value ≤45 ml/min. FFR value was considered potentially flow-limiting, and therefore positive, if ≤0.80. The index of microcirculatory resistance (IMR) was calculated in 20 patients stratified according CrCl value (single-center substudy).\nRESULTS: FFR measurement was positive in 395 (39%) patients. Overall, 131 (13%) patients had CKD. Patients with CrCl ≤45 ml/min showed significantly higher FFR values as compared to the others (0.84 ± 0.07 vs. 0.81 ± 0.08, p &lt; 0.001). Positive FFR occurrence was lower in patients with CrCl ≤45 ml/min (27% vs. 41%, p &lt; 0.01). After multivariable analysis, diabetes (HR 1.07, 95%CI 1.008-1.13, p = 0.03), left anterior descending (HR 1.35, 95%CI 1.27-1.43, p &lt; 0.001) and CrCl ≤45 ml/min (HR 0.92, 95%CI 0.87-0.97, p = 0.005) emerged as independent predictors of FFR measurement. Accordingly, IMR values were higher in patients with CrCl ≤45 ml/min (32 U [28245] vs. 16 U [11220], p &lt; 0.01).\nCONCLUSIONS: FFR and IMR measurements differ between CKD patients and those with normal renal function. Flow-limiting FFR is less frequent in patients with CrCl ≤45 ml/min. © 2015 Wiley Periodicals, Inc.","container-title":"Catheterization and Cardiovascular Interventions: Official Journal of the Society for Cardiac Angiography &amp; Interventions","DOI":"10.1002/ccd.26364","ISSN":"1522-726X","issue":"4","journalAbbreviation":"Catheter Cardiovasc Interv","language":"eng","note":"PMID: 26717890","page":"555-562","source":"PubMed","title":"Fractional Flow Reserve Evaluation and Chronic Kidney Disease: Analysis From a Multicenter Italian Registry (the FREAK Study)","title-short":"Fractional Flow Reserve Evaluation and Chronic Kidney Disease","volume":"88","author":[{"family":"Tebaldi","given":"Matteo"},{"family":"Biscaglia","given":"Simone"},{"family":"Fineschi","given":"Massimo"},{"family":"Manari","given":"Antonio"},{"family":"Menozzi","given":"Mila"},{"family":"Secco","given":"Gioel Gabrio"},{"family":"Di Lorenzo","given":"Emilio"},{"family":"D'Ascenzo","given":"Fabrizio"},{"family":"Fabbian","given":"Fabio"},{"family":"Tumscitz","given":"Carlo"},{"family":"Ferrari","given":"Roberto"},{"family":"Campo","given":"Gianluca"}],"issued":{"date-parts":[["2016",10]]}}}],"schema":"https://github.com/citation-style-language/schema/raw/master/csl-citation.json"} </w:instrText>
      </w:r>
      <w:r w:rsidR="00106A32" w:rsidRPr="00B442AC">
        <w:rPr>
          <w:rFonts w:ascii="Times New Roman" w:hAnsi="Times New Roman" w:cs="Times New Roman"/>
          <w:color w:val="000000" w:themeColor="text1"/>
          <w:sz w:val="24"/>
          <w:szCs w:val="24"/>
        </w:rPr>
        <w:fldChar w:fldCharType="separate"/>
      </w:r>
      <w:r w:rsidR="004A32A5" w:rsidRPr="004A32A5">
        <w:rPr>
          <w:rFonts w:ascii="Times New Roman" w:hAnsi="Times New Roman" w:cs="Times New Roman"/>
          <w:sz w:val="24"/>
        </w:rPr>
        <w:t>(Tebaldi et al., 2016)</w:t>
      </w:r>
      <w:r w:rsidR="00106A32" w:rsidRPr="00B442AC">
        <w:rPr>
          <w:rFonts w:ascii="Times New Roman" w:hAnsi="Times New Roman" w:cs="Times New Roman"/>
          <w:color w:val="000000" w:themeColor="text1"/>
          <w:sz w:val="24"/>
          <w:szCs w:val="24"/>
        </w:rPr>
        <w:fldChar w:fldCharType="end"/>
      </w:r>
      <w:r w:rsidRPr="00B442AC">
        <w:rPr>
          <w:rFonts w:ascii="Times New Roman" w:hAnsi="Times New Roman" w:cs="Times New Roman"/>
          <w:color w:val="000000" w:themeColor="text1"/>
          <w:sz w:val="24"/>
          <w:szCs w:val="24"/>
        </w:rPr>
        <w:t xml:space="preserve"> may also impact stenosis assessment.  Finally, hydrostatic pressure effects may also contribute to measurements that use mean distal pressure, such as the</w:t>
      </w:r>
      <w:r w:rsidRPr="00AB327C">
        <w:rPr>
          <w:rFonts w:ascii="Times New Roman" w:hAnsi="Times New Roman" w:cs="Times New Roman"/>
          <w:sz w:val="24"/>
          <w:szCs w:val="24"/>
        </w:rPr>
        <w:t xml:space="preserve"> index of microvascular resistance (IMR) measured using thremodilution.</w:t>
      </w:r>
    </w:p>
    <w:p w14:paraId="05DCCB75"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In our clinical case example, wire placement altered FFR by 0.05 (PDA vs. PLV placement). Flow within the artery does not change in our case study</w:t>
      </w:r>
      <w:r>
        <w:rPr>
          <w:rFonts w:ascii="Times New Roman" w:hAnsi="Times New Roman" w:cs="Times New Roman"/>
          <w:sz w:val="24"/>
          <w:szCs w:val="24"/>
        </w:rPr>
        <w:t xml:space="preserve"> </w:t>
      </w:r>
      <w:r w:rsidRPr="00AB327C">
        <w:rPr>
          <w:rFonts w:ascii="Times New Roman" w:hAnsi="Times New Roman" w:cs="Times New Roman"/>
          <w:sz w:val="24"/>
          <w:szCs w:val="24"/>
        </w:rPr>
        <w:t xml:space="preserve">as coronary autoregulation maintains flow over a wide pressure range when these mechanisms are intact </w:t>
      </w:r>
      <w:r w:rsidR="00106A32">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{"citationID":"VZJEmfqk","properties":{"formattedCitation":"(Ramanathan and Skinner, 2005)","plainCitation":"(Ramanathan and Skinner, 2005)","noteIndex":0},"citationItems":[{"id":34,"uris":["http://zotero.org/users/local/k67tNDdX/items/745AJQN6"],"uri":["http://zotero.org/users/local/k67tNDdX/items/745AJQN6"],"itemData":{"id":34,"type":"article-journal","abstract":"The heart has the highest oxygen consumption per tissue mass of all human organs. The resting coronary blood flow is </w:instrText>
      </w:r>
      <w:r w:rsidR="004A32A5">
        <w:rPr>
          <w:rFonts w:ascii="Cambria Math" w:hAnsi="Cambria Math" w:cs="Cambria Math"/>
          <w:sz w:val="24"/>
          <w:szCs w:val="24"/>
        </w:rPr>
        <w:instrText>∼</w:instrText>
      </w:r>
      <w:r w:rsidR="004A32A5">
        <w:rPr>
          <w:rFonts w:ascii="Times New Roman" w:hAnsi="Times New Roman" w:cs="Times New Roman"/>
          <w:sz w:val="24"/>
          <w:szCs w:val="24"/>
        </w:rPr>
        <w:instrText xml:space="preserve">250 ml min−1 (0.8 ml min−1 g−1 of heart muscle); this represents 5% of cardiac output.1 Ischaemia results when oxygen demand outstrips supply.","container-title":"Continuing Education in Anaesthesia Critical Care &amp; Pain","DOI":"10.1093/bjaceaccp/mki012","ISSN":"1743-1816","issue":"2","journalAbbreviation":"Contin Educ Anaesth Crit Care Pain","language":"en","page":"61-64","source":"academic.oup.com","title":"Coronary blood flow","volume":"5","author":[{"family":"Ramanathan","given":"Tamilselvi"},{"family":"Skinner","given":"Henry"}],"issued":{"date-parts":[["2005",4,1]]}}}],"schema":"https://github.com/citation-style-language/schema/raw/master/csl-citation.json"} </w:instrText>
      </w:r>
      <w:r w:rsidR="00106A32">
        <w:rPr>
          <w:rFonts w:ascii="Times New Roman" w:hAnsi="Times New Roman" w:cs="Times New Roman"/>
          <w:sz w:val="24"/>
          <w:szCs w:val="24"/>
        </w:rPr>
        <w:fldChar w:fldCharType="separate"/>
      </w:r>
      <w:r w:rsidR="004A32A5" w:rsidRPr="004A32A5">
        <w:rPr>
          <w:rFonts w:ascii="Times New Roman" w:hAnsi="Times New Roman" w:cs="Times New Roman"/>
          <w:sz w:val="24"/>
        </w:rPr>
        <w:t>(Ramanathan and Skinner, 2005)</w:t>
      </w:r>
      <w:r w:rsidR="00106A32">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AB327C">
        <w:rPr>
          <w:rFonts w:ascii="Times New Roman" w:hAnsi="Times New Roman" w:cs="Times New Roman"/>
          <w:sz w:val="24"/>
          <w:szCs w:val="24"/>
        </w:rPr>
        <w:t xml:space="preserve">. Using our coronary CT data, the mean height difference between the PLV and PDA was 7.57cm, equating into a potential distal pressure difference (Pd) of 6.06mmHg. Therefore a change in FFR of up to 0.06 is possible on average. Of course this is a mean change, and patient factors such as height, play a role in individual FFR measurements </w:t>
      </w:r>
      <w:r w:rsidR="00106A32" w:rsidRPr="00AB327C">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{"citationID":"6z5QZPJy","properties":{"formattedCitation":"(H\\uc0\\u228{}rle et al., 2017b)","plainCitation":"(Härle et al., 2017b)","noteIndex":0},"citationItems":[{"id":16,"uris":["http://zotero.org/users/local/k67tNDdX/items/I6GPSG9J"],"uri":["http://zotero.org/users/local/k67tNDdX/items/I6GPSG9J"],"itemData":{"id":16,"type":"article-journal","abstract":"OBJECTIVES: The authors sought to analyze height differences within the coronary artery tree in patients in a supine position and to quantify the impact of hydrostatic pressure on intracoronary pressure measurements in vitro.\nBACKGROUND: Although pressure equalization of the pressure sensor and the systemic pressure at the catheter tip is mandatory in intracoronary pressure measurements, subsequent measurements may be influenced by hydrostatic pressure related to the coronary anatomy in the supine position. Outlining and quantifying this phenomenon is important to interpret routine and pullback pressure measurements within the coronary tree.\nMETHODS: Coronary anatomy was analyzed in computed tomography angiographies of 70 patients to calculate height differences between the catheter tip and different coronary segments in the supine position. Using a dynamic pressure simulator, the effect of the expected hydrostatic pressure resulting from such height differences on indices stenosis severity was assessed.\nRESULTS: In all patients, the left anterior and right posterior descending arteries are the highest points of the coronary tree with a mean height difference of -4.9 ± 1.6 cm and -3.8 ± 1.0 cm; whereas the circumflex artery and right posterolateral branches are the lowest points, with mean height differences of 3.9 ± 0.9 cm and 2.6 ± 1.6 cm compared with the according ostium. In vitro measurements demonstrated a correlation of the absolute pressure differences with height differences (r = 0.993; p &lt; 0.0001) and the slope was 0.77 mm Hg/cm. The Pd/Pa ratio and instantaneous wave-free ratio correlated also with the height difference (fractional flow reserve r = 0.98; p &lt; 0.0001; instantaneous wave-free ratio r = 0.97; p &lt; 0.0001), but both were influenced by the systemic pressure level.\nCONCLUSIONS: Hydrostatic pressure variations resulting from normal coronary anatomy in a supine position influence intracoronary pressure measurements and may affect their interpretation during stenosis severity assessment.","container-title":"JACC. Cardiovascular interventions","DOI":"10.1016/j.jcin.2016.12.024","ISSN":"1876-7605","issue":"8","journalAbbreviation":"JACC Cardiovasc Interv","language":"eng","note":"PMID: 28365266","page":"764-773","source":"PubMed","title":"Effect of Coronary Anatomy and Hydrostatic Pressure on Intracoronary Indices of Stenosis Severity","volume":"10","author":[{"family":"Härle","given":"Tobias"},{"family":"Luz","given":"Mareike"},{"family":"Meyer","given":"Sven"},{"family":"Kronberg","given":"Kay"},{"family":"Nickau","given":"Britta"},{"family":"Escaned","given":"Javier"},{"family":"Davies","given":"Justin"},{"family":"Elsässer","given":"Albrecht"}],"issued":{"date-parts":[["2017",4,24]]}}}],"schema":"https://github.com/citation-style-language/schema/raw/master/csl-citation.json"} </w:instrText>
      </w:r>
      <w:r w:rsidR="00106A32" w:rsidRPr="00AB327C">
        <w:rPr>
          <w:rFonts w:ascii="Times New Roman" w:hAnsi="Times New Roman" w:cs="Times New Roman"/>
          <w:sz w:val="24"/>
          <w:szCs w:val="24"/>
        </w:rPr>
        <w:fldChar w:fldCharType="separate"/>
      </w:r>
      <w:r w:rsidR="004A32A5" w:rsidRPr="004A32A5">
        <w:rPr>
          <w:rFonts w:ascii="Times New Roman" w:hAnsi="Times New Roman" w:cs="Times New Roman"/>
          <w:sz w:val="24"/>
          <w:szCs w:val="24"/>
        </w:rPr>
        <w:t>(Härle et al., 2017b)</w:t>
      </w:r>
      <w:r w:rsidR="00106A32" w:rsidRPr="00AB327C">
        <w:rPr>
          <w:rFonts w:ascii="Times New Roman" w:hAnsi="Times New Roman" w:cs="Times New Roman"/>
          <w:sz w:val="24"/>
          <w:szCs w:val="24"/>
        </w:rPr>
        <w:fldChar w:fldCharType="end"/>
      </w:r>
      <w:r w:rsidRPr="00AB327C">
        <w:rPr>
          <w:rFonts w:ascii="Times New Roman" w:hAnsi="Times New Roman" w:cs="Times New Roman"/>
          <w:sz w:val="24"/>
          <w:szCs w:val="24"/>
        </w:rPr>
        <w:t>. Although clinical decision</w:t>
      </w:r>
      <w:r>
        <w:rPr>
          <w:rFonts w:ascii="Times New Roman" w:hAnsi="Times New Roman" w:cs="Times New Roman"/>
          <w:sz w:val="24"/>
          <w:szCs w:val="24"/>
        </w:rPr>
        <w:t>-</w:t>
      </w:r>
      <w:r w:rsidRPr="00AB327C">
        <w:rPr>
          <w:rFonts w:ascii="Times New Roman" w:hAnsi="Times New Roman" w:cs="Times New Roman"/>
          <w:sz w:val="24"/>
          <w:szCs w:val="24"/>
        </w:rPr>
        <w:t>making takes into account multiple factors and is not a binary process revolving around a cut-off point, one should recognise the potential effects of wire position and hydrostatic pressure.</w:t>
      </w:r>
    </w:p>
    <w:p w14:paraId="02760C5E"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u w:val="single"/>
        </w:rPr>
      </w:pPr>
    </w:p>
    <w:p w14:paraId="05C522DB" w14:textId="77777777" w:rsidR="003F208B" w:rsidRPr="008E5E70" w:rsidRDefault="003F208B" w:rsidP="003F208B">
      <w:pPr>
        <w:widowControl w:val="0"/>
        <w:autoSpaceDE w:val="0"/>
        <w:autoSpaceDN w:val="0"/>
        <w:adjustRightInd w:val="0"/>
        <w:spacing w:after="0" w:line="480" w:lineRule="auto"/>
        <w:jc w:val="both"/>
        <w:rPr>
          <w:rFonts w:ascii="Times New Roman" w:hAnsi="Times New Roman" w:cs="Times New Roman"/>
          <w:b/>
          <w:sz w:val="24"/>
          <w:szCs w:val="24"/>
        </w:rPr>
      </w:pPr>
      <w:r w:rsidRPr="008E5E70">
        <w:rPr>
          <w:rFonts w:ascii="Times New Roman" w:hAnsi="Times New Roman" w:cs="Times New Roman"/>
          <w:b/>
          <w:sz w:val="24"/>
          <w:szCs w:val="24"/>
        </w:rPr>
        <w:t>Study Limitations</w:t>
      </w:r>
    </w:p>
    <w:p w14:paraId="76D6E195"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The study group consisted of low to intermediate risk patients, meaning the majority were younger females. This is not in keeping with a typical demographic</w:t>
      </w:r>
      <w:r>
        <w:rPr>
          <w:rFonts w:ascii="Times New Roman" w:hAnsi="Times New Roman" w:cs="Times New Roman"/>
          <w:sz w:val="24"/>
          <w:szCs w:val="24"/>
        </w:rPr>
        <w:t>s</w:t>
      </w:r>
      <w:r w:rsidRPr="00AB327C">
        <w:rPr>
          <w:rFonts w:ascii="Times New Roman" w:hAnsi="Times New Roman" w:cs="Times New Roman"/>
          <w:sz w:val="24"/>
          <w:szCs w:val="24"/>
        </w:rPr>
        <w:t xml:space="preserve"> of patients who require invasive treatment for coronary artery disease.</w:t>
      </w:r>
    </w:p>
    <w:p w14:paraId="2C99008A"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The visualisation of the coronary artery in question was limited by contrast penetration into the distal vessel. Some vessels were not completely opacified, meaning a potential underestimation of height measurements. This seemed especially prominent in the PDA where contrast did not penetrate to the distal vessel in 15% of cases. Measurements for these patients were excluded.</w:t>
      </w:r>
    </w:p>
    <w:p w14:paraId="04B67C96"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Height was measured at distal sections in the coronary artery, as this was the point of maximal height variation. In clinical practice the wire is often not positioned as far distal as these measurements were taken, meaning a potential overestimation of the hydrostatic effect.</w:t>
      </w:r>
    </w:p>
    <w:p w14:paraId="67D640C9"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With regards to the 200 random FFR results generated, it can be seen that 54.5% of FFR values generated were over 0.8. This was obviously a chance occurrence</w:t>
      </w:r>
      <w:r>
        <w:rPr>
          <w:rFonts w:ascii="Times New Roman" w:hAnsi="Times New Roman" w:cs="Times New Roman"/>
          <w:sz w:val="24"/>
          <w:szCs w:val="24"/>
        </w:rPr>
        <w:t>,</w:t>
      </w:r>
      <w:r w:rsidRPr="00AB327C">
        <w:rPr>
          <w:rFonts w:ascii="Times New Roman" w:hAnsi="Times New Roman" w:cs="Times New Roman"/>
          <w:sz w:val="24"/>
          <w:szCs w:val="24"/>
        </w:rPr>
        <w:t xml:space="preserve"> but the lack of a more linear 50/50 split of values will effect subsequent analysis.</w:t>
      </w:r>
    </w:p>
    <w:p w14:paraId="21804500"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The hydrostatic effect on FFR in this study takes into account a Pa pressure of 100</w:t>
      </w:r>
      <w:r>
        <w:rPr>
          <w:rFonts w:ascii="Times New Roman" w:hAnsi="Times New Roman" w:cs="Times New Roman"/>
          <w:sz w:val="24"/>
          <w:szCs w:val="24"/>
        </w:rPr>
        <w:t>mmHg</w:t>
      </w:r>
      <w:r w:rsidRPr="00AB327C">
        <w:rPr>
          <w:rFonts w:ascii="Times New Roman" w:hAnsi="Times New Roman" w:cs="Times New Roman"/>
          <w:sz w:val="24"/>
          <w:szCs w:val="24"/>
        </w:rPr>
        <w:t>.Further data on alterations in Pa and the subsequent impact on FFR may have been a useful addition.</w:t>
      </w:r>
    </w:p>
    <w:p w14:paraId="50E3CCA4"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sidRPr="00AB327C">
        <w:rPr>
          <w:rFonts w:ascii="Times New Roman" w:hAnsi="Times New Roman" w:cs="Times New Roman"/>
          <w:sz w:val="24"/>
          <w:szCs w:val="24"/>
        </w:rPr>
        <w:t xml:space="preserve">The calculated hydrostatic effect is theoretical, and needs further investigation </w:t>
      </w:r>
      <w:r w:rsidRPr="004900D4">
        <w:rPr>
          <w:rFonts w:ascii="Times New Roman" w:hAnsi="Times New Roman" w:cs="Times New Roman"/>
          <w:i/>
          <w:sz w:val="24"/>
          <w:szCs w:val="24"/>
        </w:rPr>
        <w:t>in vivo</w:t>
      </w:r>
      <w:r w:rsidRPr="00AB327C">
        <w:rPr>
          <w:rFonts w:ascii="Times New Roman" w:hAnsi="Times New Roman" w:cs="Times New Roman"/>
          <w:sz w:val="24"/>
          <w:szCs w:val="24"/>
        </w:rPr>
        <w:t xml:space="preserve">. Recent trials have upheld anticipated changes in pressure based measurements due to hydrostatic forces </w:t>
      </w:r>
      <w:r w:rsidR="00106A32">
        <w:rPr>
          <w:rFonts w:ascii="Times New Roman" w:hAnsi="Times New Roman" w:cs="Times New Roman"/>
          <w:sz w:val="24"/>
          <w:szCs w:val="24"/>
        </w:rPr>
        <w:fldChar w:fldCharType="begin"/>
      </w:r>
      <w:r w:rsidR="004A32A5">
        <w:rPr>
          <w:rFonts w:ascii="Times New Roman" w:hAnsi="Times New Roman" w:cs="Times New Roman"/>
          <w:sz w:val="24"/>
          <w:szCs w:val="24"/>
        </w:rPr>
        <w:instrText xml:space="preserve"> ADDIN ZOTERO_ITEM CSL_CITATION {"citationID":"J6Wr5nAB","properties":{"formattedCitation":"(H\\uc0\\u228{}rle et al., 2018)","plainCitation":"(Härle et al., 2018)","noteIndex":0},"citationItems":[{"id":622,"uris":["http://zotero.org/users/local/k67tNDdX/items/DLBTYZC8"],"uri":["http://zotero.org/users/local/k67tNDdX/items/DLBTYZC8"],"itemData":{"id":622,"type":"article-journal","abstract":"BACKGROUND: An influence of hydrostatic pressure on intracoronary indices of stenosis severity in vitro was recently reported. We sought to analyze the influence of hydrostatic pressure, caused by the height difference between the distal and proximal pressure sensor after guidewire positioning in the interrogated vessel, on intracoronary pressure measurements in vivo.\nMETHODS AND RESULTS: In 30 coronary stenoses, intracoronary pressure measurements were performed in supine, left, and right lateral patient position. Height differences between the distal and proximal pressure sensor were measured by blinded observers. Measurement results of the position with the highest (\"high\") and lowest height difference (\"low\") were compared. In group \"high\", all measured indices were higher: mean difference of fractional flow reserve (FFR) 0.045 (SD 0.033, 95% CI 0.033-0.057, p &lt; 0.0001), of instantaneous wave-free ratio (iFR) 0.043 (SD 0.04, 95% CI 0.029-0.057, p &lt; 0.0001), and of resting Pd/Pa 0.037 (SD 0.034, 95% CI 0.025-0.049, p &lt; 0.0001). Addition of the physically expectable hydrostatic pressure to the distal coronary pressures of the control group abolished the differences: corrected ∆FFR - 0.006 (SD 0.027, 95% CI - 0.015 to 0.004, p = 0.26), corrected ∆Pd/Pa - 0.008 (SD 0.03, 95% CI - 0.019 to 0.003, p = 0.18). Adjustment for hydrostatic pressure of FFR values in a standard supine position increased all values in anterior vessels and decreased all values in posterior vessels. The mean changes of FFR due to adjustment were: LAD - 0.048 (SD 0.016), CX 0.02 (SD 0.009), RCA 0.02 (SD 0.021). Dichotomous severity classification changed in 12.9% of stenoses.\nCONCLUSIONS: The study demonstrates a relevant influence of hydrostatic pressure on intracoronary indices of stenosis severity in vivo, caused by the height differences between distal and proximal pressure sensor.","container-title":"Clinical Research in Cardiology: Official Journal of the German Cardiac Society","DOI":"10.1007/s00392-017-1174-2","ISSN":"1861-0692","issue":"3","journalAbbreviation":"Clin Res Cardiol","language":"eng","note":"PMID: 29098379","page":"222-232","source":"PubMed","title":"Influence of hydrostatic pressure on intracoronary indices of stenosis severity in vivo","volume":"107","author":[{"family":"Härle","given":"Tobias"},{"family":"Luz","given":"Mareike"},{"family":"Meyer","given":"Sven"},{"family":"Vahldiek","given":"Felix"},{"family":"Harst","given":"Pim","non-dropping-particle":"van der"},{"family":"Dijk","given":"Randy","non-dropping-particle":"van"},{"family":"Ties","given":"Daan"},{"family":"Escaned","given":"Javier"},{"family":"Davies","given":"Justin"},{"family":"Elsässer","given":"Albrecht"}],"issued":{"date-parts":[["2018",3]]}}}],"schema":"https://github.com/citation-style-language/schema/raw/master/csl-citation.json"} </w:instrText>
      </w:r>
      <w:r w:rsidR="00106A32">
        <w:rPr>
          <w:rFonts w:ascii="Times New Roman" w:hAnsi="Times New Roman" w:cs="Times New Roman"/>
          <w:sz w:val="24"/>
          <w:szCs w:val="24"/>
        </w:rPr>
        <w:fldChar w:fldCharType="separate"/>
      </w:r>
      <w:r w:rsidR="004A32A5" w:rsidRPr="004A32A5">
        <w:rPr>
          <w:rFonts w:ascii="Times New Roman" w:hAnsi="Times New Roman" w:cs="Times New Roman"/>
          <w:sz w:val="24"/>
          <w:szCs w:val="24"/>
        </w:rPr>
        <w:t>(Härle et al., 2018)</w:t>
      </w:r>
      <w:r w:rsidR="00106A32">
        <w:rPr>
          <w:rFonts w:ascii="Times New Roman" w:hAnsi="Times New Roman" w:cs="Times New Roman"/>
          <w:sz w:val="24"/>
          <w:szCs w:val="24"/>
        </w:rPr>
        <w:fldChar w:fldCharType="end"/>
      </w:r>
      <w:r w:rsidRPr="00AB327C">
        <w:rPr>
          <w:rFonts w:ascii="Times New Roman" w:hAnsi="Times New Roman" w:cs="Times New Roman"/>
          <w:sz w:val="24"/>
          <w:szCs w:val="24"/>
        </w:rPr>
        <w:t>.</w:t>
      </w:r>
    </w:p>
    <w:p w14:paraId="4E2E9FE5" w14:textId="77777777" w:rsidR="003F208B" w:rsidRPr="00AB327C"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p>
    <w:p w14:paraId="6DB8F8BE" w14:textId="77777777" w:rsidR="003F208B" w:rsidRPr="008E5E70" w:rsidRDefault="003F208B" w:rsidP="003F208B">
      <w:pPr>
        <w:widowControl w:val="0"/>
        <w:autoSpaceDE w:val="0"/>
        <w:autoSpaceDN w:val="0"/>
        <w:adjustRightInd w:val="0"/>
        <w:spacing w:after="0" w:line="480" w:lineRule="auto"/>
        <w:jc w:val="both"/>
        <w:rPr>
          <w:rFonts w:ascii="Times New Roman" w:hAnsi="Times New Roman" w:cs="Times New Roman"/>
          <w:b/>
          <w:sz w:val="24"/>
          <w:szCs w:val="24"/>
        </w:rPr>
      </w:pPr>
      <w:r w:rsidRPr="008E5E70">
        <w:rPr>
          <w:rFonts w:ascii="Times New Roman" w:hAnsi="Times New Roman" w:cs="Times New Roman"/>
          <w:b/>
          <w:sz w:val="24"/>
          <w:szCs w:val="24"/>
        </w:rPr>
        <w:t>Conclusion</w:t>
      </w:r>
    </w:p>
    <w:p w14:paraId="6C2B8815" w14:textId="77777777" w:rsidR="003F208B" w:rsidRDefault="003F208B" w:rsidP="003F208B">
      <w:pPr>
        <w:spacing w:line="480" w:lineRule="auto"/>
        <w:jc w:val="both"/>
        <w:rPr>
          <w:rFonts w:ascii="Times New Roman" w:hAnsi="Times New Roman" w:cs="Times New Roman"/>
          <w:sz w:val="24"/>
          <w:szCs w:val="24"/>
        </w:rPr>
      </w:pPr>
      <w:r w:rsidRPr="00AB327C">
        <w:rPr>
          <w:rFonts w:ascii="Times New Roman" w:hAnsi="Times New Roman" w:cs="Times New Roman"/>
          <w:sz w:val="24"/>
          <w:szCs w:val="24"/>
        </w:rPr>
        <w:t>The anatomical path of coronary arteries results in a significant vertical height difference between the distal artery (Pd) and its point of normalisation (Pa). According to our hydrostatic pressure model, this is likely to have a modest effect on FFR calculation, which in turn could result in values crossing the treatment threshold. Operators should be mindful of this phenomenon when interpreting FFR values, particularly in the LAD and RCA-PLV.</w:t>
      </w:r>
    </w:p>
    <w:p w14:paraId="5D107F98" w14:textId="77777777" w:rsidR="003F208B" w:rsidRDefault="003F208B" w:rsidP="003F208B">
      <w:pPr>
        <w:spacing w:line="480" w:lineRule="auto"/>
        <w:jc w:val="both"/>
        <w:rPr>
          <w:rFonts w:ascii="Times New Roman" w:hAnsi="Times New Roman" w:cs="Times New Roman"/>
          <w:sz w:val="24"/>
          <w:szCs w:val="24"/>
        </w:rPr>
      </w:pPr>
    </w:p>
    <w:p w14:paraId="5CFBCEB2" w14:textId="77777777" w:rsidR="003F208B" w:rsidRPr="008E5E70" w:rsidRDefault="003F208B" w:rsidP="003F208B">
      <w:pPr>
        <w:spacing w:line="480" w:lineRule="auto"/>
        <w:jc w:val="both"/>
        <w:rPr>
          <w:rFonts w:ascii="Times New Roman" w:hAnsi="Times New Roman" w:cs="Times New Roman"/>
          <w:b/>
          <w:sz w:val="24"/>
          <w:szCs w:val="24"/>
        </w:rPr>
      </w:pPr>
      <w:r w:rsidRPr="008E5E70">
        <w:rPr>
          <w:rFonts w:ascii="Times New Roman" w:hAnsi="Times New Roman" w:cs="Times New Roman"/>
          <w:b/>
          <w:sz w:val="24"/>
          <w:szCs w:val="24"/>
        </w:rPr>
        <w:t>Acknowledgements</w:t>
      </w:r>
    </w:p>
    <w:p w14:paraId="433572C2" w14:textId="77777777" w:rsidR="003F208B" w:rsidRDefault="003F208B" w:rsidP="003F208B">
      <w:pPr>
        <w:spacing w:line="480" w:lineRule="auto"/>
        <w:jc w:val="both"/>
        <w:rPr>
          <w:rFonts w:ascii="Times New Roman" w:hAnsi="Times New Roman" w:cs="Times New Roman"/>
          <w:sz w:val="24"/>
          <w:szCs w:val="24"/>
        </w:rPr>
      </w:pPr>
      <w:r>
        <w:rPr>
          <w:rFonts w:ascii="Times New Roman" w:hAnsi="Times New Roman" w:cs="Times New Roman"/>
          <w:sz w:val="24"/>
          <w:szCs w:val="24"/>
        </w:rPr>
        <w:t>We thank the authors for their contribution in production of this manuscript.</w:t>
      </w:r>
    </w:p>
    <w:p w14:paraId="74804C1F" w14:textId="77777777" w:rsidR="003F208B" w:rsidRDefault="003F208B" w:rsidP="003F208B">
      <w:pPr>
        <w:spacing w:line="480" w:lineRule="auto"/>
        <w:jc w:val="both"/>
        <w:rPr>
          <w:rFonts w:ascii="Times New Roman" w:hAnsi="Times New Roman" w:cs="Times New Roman"/>
          <w:sz w:val="24"/>
          <w:szCs w:val="24"/>
        </w:rPr>
      </w:pPr>
    </w:p>
    <w:p w14:paraId="78F544AF" w14:textId="77777777" w:rsidR="003F208B" w:rsidRPr="008E5E70" w:rsidRDefault="003F208B" w:rsidP="003F208B">
      <w:pPr>
        <w:spacing w:line="480" w:lineRule="auto"/>
        <w:jc w:val="both"/>
        <w:rPr>
          <w:rFonts w:ascii="Times New Roman" w:hAnsi="Times New Roman" w:cs="Times New Roman"/>
          <w:b/>
          <w:sz w:val="24"/>
          <w:szCs w:val="24"/>
        </w:rPr>
      </w:pPr>
      <w:r w:rsidRPr="008E5E70">
        <w:rPr>
          <w:rFonts w:ascii="Times New Roman" w:hAnsi="Times New Roman" w:cs="Times New Roman"/>
          <w:b/>
          <w:sz w:val="24"/>
          <w:szCs w:val="24"/>
        </w:rPr>
        <w:t>Statement of Competing Interests</w:t>
      </w:r>
    </w:p>
    <w:p w14:paraId="7458DE7D" w14:textId="77777777" w:rsidR="003F208B" w:rsidRDefault="003F208B" w:rsidP="003F208B">
      <w:pPr>
        <w:spacing w:line="480" w:lineRule="auto"/>
        <w:jc w:val="both"/>
        <w:rPr>
          <w:rFonts w:ascii="Times New Roman" w:hAnsi="Times New Roman" w:cs="Times New Roman"/>
          <w:sz w:val="24"/>
          <w:szCs w:val="24"/>
        </w:rPr>
      </w:pPr>
      <w:r>
        <w:rPr>
          <w:rFonts w:ascii="Times New Roman" w:hAnsi="Times New Roman" w:cs="Times New Roman"/>
          <w:sz w:val="24"/>
          <w:szCs w:val="24"/>
        </w:rPr>
        <w:t>The authors report no competing interests</w:t>
      </w:r>
    </w:p>
    <w:p w14:paraId="105C576D" w14:textId="77777777" w:rsidR="003F208B" w:rsidRDefault="003F208B" w:rsidP="003F208B">
      <w:pPr>
        <w:spacing w:line="480" w:lineRule="auto"/>
        <w:jc w:val="both"/>
        <w:rPr>
          <w:rFonts w:ascii="Times New Roman" w:hAnsi="Times New Roman" w:cs="Times New Roman"/>
          <w:sz w:val="24"/>
          <w:szCs w:val="24"/>
        </w:rPr>
      </w:pPr>
    </w:p>
    <w:p w14:paraId="4192A75F" w14:textId="77777777" w:rsidR="003F208B" w:rsidRPr="008E5E70" w:rsidRDefault="003F208B" w:rsidP="003F208B">
      <w:pPr>
        <w:spacing w:line="480" w:lineRule="auto"/>
        <w:jc w:val="both"/>
        <w:rPr>
          <w:rFonts w:ascii="Times New Roman" w:hAnsi="Times New Roman" w:cs="Times New Roman"/>
          <w:b/>
          <w:sz w:val="24"/>
          <w:szCs w:val="24"/>
        </w:rPr>
      </w:pPr>
      <w:r w:rsidRPr="008E5E70">
        <w:rPr>
          <w:rFonts w:ascii="Times New Roman" w:hAnsi="Times New Roman" w:cs="Times New Roman"/>
          <w:b/>
          <w:sz w:val="24"/>
          <w:szCs w:val="24"/>
        </w:rPr>
        <w:t>List of Abbreviations</w:t>
      </w:r>
    </w:p>
    <w:p w14:paraId="322BB8E3" w14:textId="77777777" w:rsidR="003F208B" w:rsidRDefault="003F208B" w:rsidP="003F208B">
      <w:pPr>
        <w:spacing w:line="480" w:lineRule="auto"/>
        <w:jc w:val="both"/>
        <w:rPr>
          <w:rFonts w:ascii="Times New Roman" w:hAnsi="Times New Roman" w:cs="Times New Roman"/>
          <w:sz w:val="24"/>
          <w:szCs w:val="24"/>
        </w:rPr>
      </w:pPr>
      <w:r>
        <w:rPr>
          <w:rFonts w:ascii="Times New Roman" w:hAnsi="Times New Roman" w:cs="Times New Roman"/>
          <w:sz w:val="24"/>
          <w:szCs w:val="24"/>
        </w:rPr>
        <w:t>FFR - Fractional Flow Reserve</w:t>
      </w:r>
    </w:p>
    <w:p w14:paraId="526099FB" w14:textId="77777777" w:rsidR="003F208B" w:rsidRDefault="003F208B" w:rsidP="003F208B">
      <w:pPr>
        <w:spacing w:line="480" w:lineRule="auto"/>
        <w:jc w:val="both"/>
        <w:rPr>
          <w:rFonts w:ascii="Times New Roman" w:hAnsi="Times New Roman" w:cs="Times New Roman"/>
          <w:sz w:val="24"/>
          <w:szCs w:val="24"/>
        </w:rPr>
      </w:pPr>
      <w:r>
        <w:rPr>
          <w:rFonts w:ascii="Times New Roman" w:hAnsi="Times New Roman" w:cs="Times New Roman"/>
          <w:sz w:val="24"/>
          <w:szCs w:val="24"/>
        </w:rPr>
        <w:t>Pd - Distal Pressure</w:t>
      </w:r>
    </w:p>
    <w:p w14:paraId="5F0010E4" w14:textId="77777777" w:rsidR="003F208B" w:rsidRDefault="003F208B" w:rsidP="003F208B">
      <w:pPr>
        <w:spacing w:line="480" w:lineRule="auto"/>
        <w:jc w:val="both"/>
        <w:rPr>
          <w:rFonts w:ascii="Times New Roman" w:hAnsi="Times New Roman" w:cs="Times New Roman"/>
          <w:sz w:val="24"/>
          <w:szCs w:val="24"/>
        </w:rPr>
      </w:pPr>
      <w:r>
        <w:rPr>
          <w:rFonts w:ascii="Times New Roman" w:hAnsi="Times New Roman" w:cs="Times New Roman"/>
          <w:sz w:val="24"/>
          <w:szCs w:val="24"/>
        </w:rPr>
        <w:t>Pa - Proximal Pressure</w:t>
      </w:r>
    </w:p>
    <w:p w14:paraId="2094EB73" w14:textId="77777777" w:rsidR="003F208B" w:rsidRDefault="003F208B" w:rsidP="003F208B">
      <w:pPr>
        <w:spacing w:line="480" w:lineRule="auto"/>
        <w:jc w:val="both"/>
        <w:rPr>
          <w:rFonts w:ascii="Times New Roman" w:hAnsi="Times New Roman" w:cs="Times New Roman"/>
          <w:sz w:val="24"/>
          <w:szCs w:val="24"/>
        </w:rPr>
      </w:pPr>
      <w:r>
        <w:rPr>
          <w:rFonts w:ascii="Times New Roman" w:hAnsi="Times New Roman" w:cs="Times New Roman"/>
          <w:sz w:val="24"/>
          <w:szCs w:val="24"/>
        </w:rPr>
        <w:t>cFFR - corrected FFR</w:t>
      </w:r>
    </w:p>
    <w:p w14:paraId="0C194E7B" w14:textId="77777777" w:rsidR="003F208B" w:rsidRDefault="003F208B" w:rsidP="003F208B">
      <w:pPr>
        <w:spacing w:line="480" w:lineRule="auto"/>
        <w:jc w:val="both"/>
        <w:rPr>
          <w:rFonts w:ascii="Times New Roman" w:hAnsi="Times New Roman" w:cs="Times New Roman"/>
          <w:sz w:val="24"/>
          <w:szCs w:val="24"/>
        </w:rPr>
      </w:pPr>
      <w:r>
        <w:rPr>
          <w:rFonts w:ascii="Times New Roman" w:hAnsi="Times New Roman" w:cs="Times New Roman"/>
          <w:sz w:val="24"/>
          <w:szCs w:val="24"/>
        </w:rPr>
        <w:t>iFR - instantaneous wave free ratio</w:t>
      </w:r>
    </w:p>
    <w:p w14:paraId="41E484E6" w14:textId="77777777" w:rsidR="003F208B" w:rsidRDefault="003F208B" w:rsidP="003F208B">
      <w:pPr>
        <w:spacing w:line="480" w:lineRule="auto"/>
        <w:jc w:val="both"/>
        <w:rPr>
          <w:rFonts w:ascii="Times New Roman" w:hAnsi="Times New Roman" w:cs="Times New Roman"/>
          <w:sz w:val="24"/>
          <w:szCs w:val="24"/>
        </w:rPr>
      </w:pPr>
      <w:r>
        <w:rPr>
          <w:rFonts w:ascii="Times New Roman" w:hAnsi="Times New Roman" w:cs="Times New Roman"/>
          <w:sz w:val="24"/>
          <w:szCs w:val="24"/>
        </w:rPr>
        <w:t>TAVI - transcutaneous aortic valve implantation</w:t>
      </w:r>
    </w:p>
    <w:p w14:paraId="76CB3894" w14:textId="77777777" w:rsidR="003F208B" w:rsidRPr="006B2659" w:rsidRDefault="003F208B" w:rsidP="003F208B">
      <w:pPr>
        <w:spacing w:line="480" w:lineRule="auto"/>
        <w:jc w:val="both"/>
        <w:rPr>
          <w:rFonts w:ascii="Times New Roman" w:hAnsi="Times New Roman" w:cs="Times New Roman"/>
          <w:sz w:val="24"/>
          <w:szCs w:val="24"/>
        </w:rPr>
      </w:pPr>
    </w:p>
    <w:p w14:paraId="6D467B7A" w14:textId="77777777" w:rsidR="003F208B" w:rsidRDefault="003F208B" w:rsidP="003F208B">
      <w:pPr>
        <w:spacing w:line="480" w:lineRule="auto"/>
        <w:jc w:val="both"/>
        <w:rPr>
          <w:rFonts w:ascii="Times New Roman" w:hAnsi="Times New Roman" w:cs="Times New Roman"/>
          <w:sz w:val="24"/>
          <w:szCs w:val="24"/>
        </w:rPr>
      </w:pPr>
    </w:p>
    <w:p w14:paraId="43FBDEF2" w14:textId="77777777" w:rsidR="003F208B" w:rsidRPr="008E5E70" w:rsidRDefault="003F208B" w:rsidP="003F208B">
      <w:pPr>
        <w:rPr>
          <w:rFonts w:ascii="Times New Roman" w:hAnsi="Times New Roman" w:cs="Times New Roman"/>
          <w:b/>
          <w:sz w:val="24"/>
          <w:szCs w:val="24"/>
        </w:rPr>
      </w:pPr>
      <w:r>
        <w:rPr>
          <w:rFonts w:ascii="Times New Roman" w:hAnsi="Times New Roman" w:cs="Times New Roman"/>
          <w:b/>
          <w:sz w:val="24"/>
          <w:szCs w:val="24"/>
        </w:rPr>
        <w:br w:type="page"/>
      </w:r>
      <w:r w:rsidRPr="008E5E70">
        <w:rPr>
          <w:rFonts w:ascii="Times New Roman" w:hAnsi="Times New Roman" w:cs="Times New Roman"/>
          <w:b/>
          <w:sz w:val="24"/>
          <w:szCs w:val="24"/>
        </w:rPr>
        <w:t>Figure Legend</w:t>
      </w:r>
    </w:p>
    <w:p w14:paraId="30A4CBD9" w14:textId="77777777" w:rsidR="003F208B" w:rsidRDefault="003F208B" w:rsidP="003F208B">
      <w:pPr>
        <w:rPr>
          <w:rFonts w:ascii="Times New Roman" w:hAnsi="Times New Roman" w:cs="Times New Roman"/>
          <w:sz w:val="24"/>
          <w:szCs w:val="24"/>
          <w:u w:val="single"/>
        </w:rPr>
      </w:pPr>
    </w:p>
    <w:p w14:paraId="3D2D06D2" w14:textId="77777777" w:rsidR="003F208B" w:rsidRDefault="003F208B" w:rsidP="003F208B">
      <w:pPr>
        <w:rPr>
          <w:rFonts w:ascii="Times New Roman" w:hAnsi="Times New Roman" w:cs="Times New Roman"/>
          <w:sz w:val="24"/>
          <w:szCs w:val="24"/>
        </w:rPr>
      </w:pPr>
      <w:r>
        <w:rPr>
          <w:rFonts w:ascii="Times New Roman" w:hAnsi="Times New Roman" w:cs="Times New Roman"/>
          <w:sz w:val="24"/>
          <w:szCs w:val="24"/>
        </w:rPr>
        <w:t xml:space="preserve">Figure 1 </w:t>
      </w:r>
    </w:p>
    <w:p w14:paraId="036B689B" w14:textId="77777777" w:rsidR="003F208B" w:rsidRDefault="003F208B" w:rsidP="003F208B">
      <w:pPr>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7DE38545" wp14:editId="1C7C9850">
            <wp:extent cx="5943600" cy="4418768"/>
            <wp:effectExtent l="19050" t="0" r="0" b="0"/>
            <wp:docPr id="48" name="Picture 1" descr="C:\Users\Administrator\Documents\Cardiology\GRAVITY\CT Paper\CT measurement illu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Cardiology\GRAVITY\CT Paper\CT measurement illustration.png"/>
                    <pic:cNvPicPr>
                      <a:picLocks noChangeAspect="1" noChangeArrowheads="1"/>
                    </pic:cNvPicPr>
                  </pic:nvPicPr>
                  <pic:blipFill>
                    <a:blip r:embed="rId75"/>
                    <a:srcRect/>
                    <a:stretch>
                      <a:fillRect/>
                    </a:stretch>
                  </pic:blipFill>
                  <pic:spPr bwMode="auto">
                    <a:xfrm>
                      <a:off x="0" y="0"/>
                      <a:ext cx="5943600" cy="4418768"/>
                    </a:xfrm>
                    <a:prstGeom prst="rect">
                      <a:avLst/>
                    </a:prstGeom>
                    <a:noFill/>
                    <a:ln w="9525">
                      <a:noFill/>
                      <a:miter lim="800000"/>
                      <a:headEnd/>
                      <a:tailEnd/>
                    </a:ln>
                  </pic:spPr>
                </pic:pic>
              </a:graphicData>
            </a:graphic>
          </wp:inline>
        </w:drawing>
      </w:r>
    </w:p>
    <w:p w14:paraId="4A98AC45" w14:textId="77777777" w:rsidR="003F208B" w:rsidRDefault="003F208B" w:rsidP="003F208B">
      <w:pPr>
        <w:rPr>
          <w:rFonts w:ascii="Times New Roman" w:hAnsi="Times New Roman" w:cs="Times New Roman"/>
          <w:sz w:val="24"/>
          <w:szCs w:val="24"/>
        </w:rPr>
      </w:pPr>
      <w:r>
        <w:rPr>
          <w:rFonts w:ascii="Times New Roman" w:hAnsi="Times New Roman" w:cs="Times New Roman"/>
          <w:sz w:val="24"/>
          <w:szCs w:val="24"/>
        </w:rPr>
        <w:t>Vessel height measurement illustration on coronary CT</w:t>
      </w:r>
      <w:r>
        <w:rPr>
          <w:rFonts w:ascii="Times New Roman" w:hAnsi="Times New Roman" w:cs="Times New Roman"/>
          <w:sz w:val="24"/>
          <w:szCs w:val="24"/>
        </w:rPr>
        <w:br/>
        <w:t>The image demonstrates the measurement calliper from the left main stem ostium, to the upper rim of the CT table</w:t>
      </w:r>
    </w:p>
    <w:p w14:paraId="5E15A21D" w14:textId="77777777" w:rsidR="003F208B" w:rsidRDefault="003F208B" w:rsidP="003F208B">
      <w:pPr>
        <w:rPr>
          <w:rFonts w:ascii="Times New Roman" w:hAnsi="Times New Roman" w:cs="Times New Roman"/>
          <w:sz w:val="24"/>
          <w:szCs w:val="24"/>
        </w:rPr>
      </w:pPr>
    </w:p>
    <w:p w14:paraId="7EF92493" w14:textId="77777777" w:rsidR="003F208B" w:rsidRDefault="003F208B" w:rsidP="003F208B">
      <w:pPr>
        <w:rPr>
          <w:rFonts w:ascii="Times New Roman" w:hAnsi="Times New Roman" w:cs="Times New Roman"/>
          <w:sz w:val="24"/>
          <w:szCs w:val="24"/>
        </w:rPr>
      </w:pPr>
    </w:p>
    <w:p w14:paraId="36FD06C7" w14:textId="77777777" w:rsidR="003F208B" w:rsidRDefault="003F208B" w:rsidP="003F208B">
      <w:pPr>
        <w:rPr>
          <w:rFonts w:ascii="Times New Roman" w:hAnsi="Times New Roman" w:cs="Times New Roman"/>
          <w:sz w:val="24"/>
          <w:szCs w:val="24"/>
        </w:rPr>
      </w:pPr>
    </w:p>
    <w:p w14:paraId="23F9BF03" w14:textId="77777777" w:rsidR="003F208B" w:rsidRDefault="003F208B" w:rsidP="003F208B">
      <w:pPr>
        <w:rPr>
          <w:rFonts w:ascii="Times New Roman" w:hAnsi="Times New Roman" w:cs="Times New Roman"/>
          <w:sz w:val="24"/>
          <w:szCs w:val="24"/>
        </w:rPr>
      </w:pPr>
    </w:p>
    <w:p w14:paraId="3F218AD7" w14:textId="77777777" w:rsidR="003F208B" w:rsidRDefault="003F208B" w:rsidP="003F208B">
      <w:pPr>
        <w:rPr>
          <w:rFonts w:ascii="Times New Roman" w:hAnsi="Times New Roman" w:cs="Times New Roman"/>
          <w:sz w:val="24"/>
          <w:szCs w:val="24"/>
        </w:rPr>
      </w:pPr>
    </w:p>
    <w:p w14:paraId="04D82F27" w14:textId="77777777" w:rsidR="003F208B" w:rsidRDefault="003F208B" w:rsidP="003F208B">
      <w:pPr>
        <w:rPr>
          <w:rFonts w:ascii="Times New Roman" w:hAnsi="Times New Roman" w:cs="Times New Roman"/>
          <w:sz w:val="24"/>
          <w:szCs w:val="24"/>
        </w:rPr>
      </w:pPr>
    </w:p>
    <w:p w14:paraId="7495A4DC" w14:textId="77777777" w:rsidR="003F208B" w:rsidRDefault="003F208B" w:rsidP="003F208B">
      <w:pPr>
        <w:rPr>
          <w:rFonts w:ascii="Times New Roman" w:hAnsi="Times New Roman" w:cs="Times New Roman"/>
          <w:sz w:val="24"/>
          <w:szCs w:val="24"/>
        </w:rPr>
      </w:pPr>
    </w:p>
    <w:p w14:paraId="2BE286E1" w14:textId="77777777" w:rsidR="003F208B" w:rsidRDefault="003F208B" w:rsidP="003F208B">
      <w:pPr>
        <w:rPr>
          <w:rFonts w:ascii="Times New Roman" w:hAnsi="Times New Roman" w:cs="Times New Roman"/>
          <w:sz w:val="24"/>
          <w:szCs w:val="24"/>
        </w:rPr>
      </w:pPr>
      <w:r>
        <w:rPr>
          <w:rFonts w:ascii="Times New Roman" w:hAnsi="Times New Roman" w:cs="Times New Roman"/>
          <w:sz w:val="24"/>
          <w:szCs w:val="24"/>
        </w:rPr>
        <w:t>Figure 2</w:t>
      </w:r>
    </w:p>
    <w:p w14:paraId="2C5D426D" w14:textId="77777777" w:rsidR="003F208B" w:rsidRDefault="003F208B" w:rsidP="003F208B">
      <w:pPr>
        <w:rPr>
          <w:rFonts w:ascii="Times New Roman" w:hAnsi="Times New Roman" w:cs="Times New Roman"/>
          <w:sz w:val="24"/>
          <w:szCs w:val="24"/>
        </w:rPr>
      </w:pPr>
    </w:p>
    <w:p w14:paraId="10CA1D87" w14:textId="77777777" w:rsidR="003F208B" w:rsidRDefault="003F208B" w:rsidP="003F208B">
      <w:pPr>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72EBEC6F" wp14:editId="5FDA4114">
            <wp:extent cx="5943600" cy="4156982"/>
            <wp:effectExtent l="19050" t="0" r="19050" b="0"/>
            <wp:docPr id="4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Pr>
          <w:rFonts w:ascii="Times New Roman" w:hAnsi="Times New Roman" w:cs="Times New Roman"/>
          <w:sz w:val="24"/>
          <w:szCs w:val="24"/>
        </w:rPr>
        <w:br/>
        <w:t>Coronary height variation from their respective ostium</w:t>
      </w:r>
      <w:r>
        <w:rPr>
          <w:rFonts w:ascii="Times New Roman" w:hAnsi="Times New Roman" w:cs="Times New Roman"/>
          <w:sz w:val="24"/>
          <w:szCs w:val="24"/>
        </w:rPr>
        <w:br/>
        <w:t>Figure 2 demonstrates the height variation of the distal vessel from its respective ostium. ** These measurements were statistically significant.</w:t>
      </w:r>
    </w:p>
    <w:p w14:paraId="34DB73EC" w14:textId="77777777" w:rsidR="003F208B" w:rsidRDefault="003F208B" w:rsidP="003F208B">
      <w:pPr>
        <w:rPr>
          <w:rFonts w:ascii="Times New Roman" w:hAnsi="Times New Roman" w:cs="Times New Roman"/>
          <w:sz w:val="24"/>
          <w:szCs w:val="24"/>
        </w:rPr>
      </w:pPr>
    </w:p>
    <w:p w14:paraId="61FB0132" w14:textId="77777777" w:rsidR="003F208B" w:rsidRDefault="003F208B" w:rsidP="003F208B">
      <w:pPr>
        <w:rPr>
          <w:rFonts w:ascii="Times New Roman" w:hAnsi="Times New Roman" w:cs="Times New Roman"/>
          <w:sz w:val="24"/>
          <w:szCs w:val="24"/>
        </w:rPr>
      </w:pPr>
    </w:p>
    <w:p w14:paraId="7569BA8B" w14:textId="77777777" w:rsidR="003F208B" w:rsidRDefault="003F208B" w:rsidP="003F208B">
      <w:pPr>
        <w:rPr>
          <w:rFonts w:ascii="Times New Roman" w:hAnsi="Times New Roman" w:cs="Times New Roman"/>
          <w:sz w:val="24"/>
          <w:szCs w:val="24"/>
        </w:rPr>
      </w:pPr>
    </w:p>
    <w:p w14:paraId="74266F76" w14:textId="77777777" w:rsidR="003F208B" w:rsidRDefault="003F208B" w:rsidP="003F208B">
      <w:pPr>
        <w:rPr>
          <w:rFonts w:ascii="Times New Roman" w:hAnsi="Times New Roman" w:cs="Times New Roman"/>
          <w:sz w:val="24"/>
          <w:szCs w:val="24"/>
        </w:rPr>
      </w:pPr>
    </w:p>
    <w:p w14:paraId="018F0392" w14:textId="77777777" w:rsidR="003F208B" w:rsidRDefault="003F208B" w:rsidP="003F208B">
      <w:pPr>
        <w:rPr>
          <w:rFonts w:ascii="Times New Roman" w:hAnsi="Times New Roman" w:cs="Times New Roman"/>
          <w:sz w:val="24"/>
          <w:szCs w:val="24"/>
        </w:rPr>
      </w:pPr>
    </w:p>
    <w:p w14:paraId="6688BBB3" w14:textId="77777777" w:rsidR="003F208B" w:rsidRDefault="003F208B" w:rsidP="003F208B">
      <w:pPr>
        <w:rPr>
          <w:rFonts w:ascii="Times New Roman" w:hAnsi="Times New Roman" w:cs="Times New Roman"/>
          <w:sz w:val="24"/>
          <w:szCs w:val="24"/>
        </w:rPr>
      </w:pPr>
    </w:p>
    <w:p w14:paraId="26959CB2" w14:textId="77777777" w:rsidR="003F208B" w:rsidRDefault="003F208B" w:rsidP="003F208B">
      <w:pPr>
        <w:rPr>
          <w:rFonts w:ascii="Times New Roman" w:hAnsi="Times New Roman" w:cs="Times New Roman"/>
          <w:sz w:val="24"/>
          <w:szCs w:val="24"/>
        </w:rPr>
      </w:pPr>
      <w:r>
        <w:rPr>
          <w:rFonts w:ascii="Times New Roman" w:hAnsi="Times New Roman" w:cs="Times New Roman"/>
          <w:sz w:val="24"/>
          <w:szCs w:val="24"/>
        </w:rPr>
        <w:t>Figure 3</w:t>
      </w:r>
    </w:p>
    <w:p w14:paraId="54A90F5C" w14:textId="77777777" w:rsidR="003F208B" w:rsidRDefault="003F208B" w:rsidP="003F208B">
      <w:pPr>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52FF85B0" wp14:editId="2FB8A095">
            <wp:extent cx="5943600" cy="5734050"/>
            <wp:effectExtent l="1905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srcRect/>
                    <a:stretch>
                      <a:fillRect/>
                    </a:stretch>
                  </pic:blipFill>
                  <pic:spPr bwMode="auto">
                    <a:xfrm>
                      <a:off x="0" y="0"/>
                      <a:ext cx="5943600" cy="5734050"/>
                    </a:xfrm>
                    <a:prstGeom prst="rect">
                      <a:avLst/>
                    </a:prstGeom>
                    <a:noFill/>
                    <a:ln w="9525">
                      <a:noFill/>
                      <a:miter lim="800000"/>
                      <a:headEnd/>
                      <a:tailEnd/>
                    </a:ln>
                  </pic:spPr>
                </pic:pic>
              </a:graphicData>
            </a:graphic>
          </wp:inline>
        </w:drawing>
      </w:r>
    </w:p>
    <w:p w14:paraId="74BF2D30" w14:textId="77777777" w:rsidR="003F208B" w:rsidRDefault="003F208B" w:rsidP="003F208B">
      <w:pPr>
        <w:rPr>
          <w:rFonts w:ascii="Times New Roman" w:hAnsi="Times New Roman" w:cs="Times New Roman"/>
          <w:sz w:val="24"/>
          <w:szCs w:val="24"/>
        </w:rPr>
      </w:pPr>
      <w:r>
        <w:rPr>
          <w:rFonts w:ascii="Times New Roman" w:hAnsi="Times New Roman" w:cs="Times New Roman"/>
          <w:sz w:val="24"/>
          <w:szCs w:val="24"/>
        </w:rPr>
        <w:t>Mid right coronary artery stenosis</w:t>
      </w:r>
      <w:r>
        <w:rPr>
          <w:rFonts w:ascii="Times New Roman" w:hAnsi="Times New Roman" w:cs="Times New Roman"/>
          <w:sz w:val="24"/>
          <w:szCs w:val="24"/>
        </w:rPr>
        <w:br/>
        <w:t xml:space="preserve">The stenosis is shown in the mid right coronary artery, with arrows indicating the PLV and PDA. </w:t>
      </w:r>
      <w:r>
        <w:rPr>
          <w:rFonts w:ascii="Times New Roman" w:hAnsi="Times New Roman" w:cs="Times New Roman"/>
          <w:sz w:val="24"/>
          <w:szCs w:val="24"/>
        </w:rPr>
        <w:br/>
      </w:r>
    </w:p>
    <w:p w14:paraId="65357270" w14:textId="77777777" w:rsidR="003F208B" w:rsidRDefault="003F208B" w:rsidP="003F208B">
      <w:pPr>
        <w:rPr>
          <w:rFonts w:ascii="Times New Roman" w:hAnsi="Times New Roman" w:cs="Times New Roman"/>
          <w:sz w:val="24"/>
          <w:szCs w:val="24"/>
        </w:rPr>
      </w:pPr>
    </w:p>
    <w:p w14:paraId="4E741106" w14:textId="77777777" w:rsidR="003F208B" w:rsidRDefault="003F208B" w:rsidP="003F208B">
      <w:pPr>
        <w:rPr>
          <w:rFonts w:ascii="Times New Roman" w:hAnsi="Times New Roman" w:cs="Times New Roman"/>
          <w:sz w:val="24"/>
          <w:szCs w:val="24"/>
        </w:rPr>
      </w:pPr>
    </w:p>
    <w:p w14:paraId="55BDE0F4" w14:textId="77777777" w:rsidR="003F208B" w:rsidRDefault="003F208B" w:rsidP="003F208B">
      <w:pPr>
        <w:rPr>
          <w:rFonts w:ascii="Times New Roman" w:hAnsi="Times New Roman" w:cs="Times New Roman"/>
          <w:sz w:val="24"/>
          <w:szCs w:val="24"/>
        </w:rPr>
      </w:pPr>
    </w:p>
    <w:p w14:paraId="706BDF4F" w14:textId="77777777" w:rsidR="003F208B" w:rsidRPr="006B2659" w:rsidRDefault="003F208B" w:rsidP="003F208B">
      <w:pPr>
        <w:rPr>
          <w:rFonts w:ascii="Times New Roman" w:hAnsi="Times New Roman" w:cs="Times New Roman"/>
          <w:sz w:val="24"/>
          <w:szCs w:val="24"/>
        </w:rPr>
      </w:pPr>
    </w:p>
    <w:p w14:paraId="7562BE66" w14:textId="77777777" w:rsidR="003F208B" w:rsidRPr="001903C3" w:rsidRDefault="003F208B" w:rsidP="003F208B">
      <w:pPr>
        <w:widowControl w:val="0"/>
        <w:autoSpaceDE w:val="0"/>
        <w:autoSpaceDN w:val="0"/>
        <w:adjustRightInd w:val="0"/>
        <w:spacing w:after="0" w:line="480" w:lineRule="auto"/>
        <w:jc w:val="both"/>
        <w:rPr>
          <w:rFonts w:ascii="Times New Roman" w:hAnsi="Times New Roman" w:cs="Times New Roman"/>
          <w:b/>
          <w:sz w:val="24"/>
          <w:szCs w:val="24"/>
        </w:rPr>
      </w:pPr>
      <w:r w:rsidRPr="008E5E70">
        <w:rPr>
          <w:rFonts w:ascii="Times New Roman" w:hAnsi="Times New Roman" w:cs="Times New Roman"/>
          <w:b/>
          <w:sz w:val="24"/>
          <w:szCs w:val="24"/>
        </w:rPr>
        <w:t>Table Legend</w:t>
      </w:r>
    </w:p>
    <w:p w14:paraId="682F540D" w14:textId="77777777" w:rsidR="003F208B" w:rsidRDefault="003F208B" w:rsidP="003F208B">
      <w:pPr>
        <w:widowControl w:val="0"/>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Table 1</w:t>
      </w:r>
    </w:p>
    <w:tbl>
      <w:tblPr>
        <w:tblStyle w:val="TableGrid"/>
        <w:tblW w:w="0" w:type="auto"/>
        <w:tblLook w:val="04A0" w:firstRow="1" w:lastRow="0" w:firstColumn="1" w:lastColumn="0" w:noHBand="0" w:noVBand="1"/>
      </w:tblPr>
      <w:tblGrid>
        <w:gridCol w:w="4699"/>
        <w:gridCol w:w="4651"/>
      </w:tblGrid>
      <w:tr w:rsidR="003F208B" w14:paraId="1C9F7925" w14:textId="77777777" w:rsidTr="000B3BC7">
        <w:tc>
          <w:tcPr>
            <w:tcW w:w="4788" w:type="dxa"/>
          </w:tcPr>
          <w:p w14:paraId="7AB86071"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Characteristic</w:t>
            </w:r>
          </w:p>
          <w:p w14:paraId="0E58DA9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sz w:val="20"/>
                <w:szCs w:val="20"/>
              </w:rPr>
            </w:pPr>
          </w:p>
        </w:tc>
        <w:tc>
          <w:tcPr>
            <w:tcW w:w="4788" w:type="dxa"/>
          </w:tcPr>
          <w:p w14:paraId="01C5CEE9"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Number  (also % as n=100)</w:t>
            </w:r>
          </w:p>
        </w:tc>
      </w:tr>
      <w:tr w:rsidR="003F208B" w14:paraId="1C23EF2A" w14:textId="77777777" w:rsidTr="000B3BC7">
        <w:tc>
          <w:tcPr>
            <w:tcW w:w="4788" w:type="dxa"/>
          </w:tcPr>
          <w:p w14:paraId="2CF73246"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Age</w:t>
            </w:r>
          </w:p>
          <w:p w14:paraId="225069E5"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4788" w:type="dxa"/>
          </w:tcPr>
          <w:p w14:paraId="01FB2E18"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55.9</w:t>
            </w:r>
          </w:p>
        </w:tc>
      </w:tr>
      <w:tr w:rsidR="003F208B" w14:paraId="50B7843A" w14:textId="77777777" w:rsidTr="000B3BC7">
        <w:tc>
          <w:tcPr>
            <w:tcW w:w="4788" w:type="dxa"/>
          </w:tcPr>
          <w:p w14:paraId="299AEAB0"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Female</w:t>
            </w:r>
          </w:p>
          <w:p w14:paraId="372A36E8"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4788" w:type="dxa"/>
          </w:tcPr>
          <w:p w14:paraId="69893B5E"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68</w:t>
            </w:r>
          </w:p>
        </w:tc>
      </w:tr>
      <w:tr w:rsidR="003F208B" w14:paraId="41A2C4B7" w14:textId="77777777" w:rsidTr="000B3BC7">
        <w:tc>
          <w:tcPr>
            <w:tcW w:w="4788" w:type="dxa"/>
          </w:tcPr>
          <w:p w14:paraId="2B58814F"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Current smoker</w:t>
            </w:r>
          </w:p>
          <w:p w14:paraId="7D657E2D"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4788" w:type="dxa"/>
          </w:tcPr>
          <w:p w14:paraId="39A67351"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12</w:t>
            </w:r>
          </w:p>
        </w:tc>
      </w:tr>
      <w:tr w:rsidR="003F208B" w14:paraId="6572F26D" w14:textId="77777777" w:rsidTr="000B3BC7">
        <w:tc>
          <w:tcPr>
            <w:tcW w:w="4788" w:type="dxa"/>
          </w:tcPr>
          <w:p w14:paraId="1C61759A"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Ex-smoker</w:t>
            </w:r>
          </w:p>
          <w:p w14:paraId="61E9559B"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4788" w:type="dxa"/>
          </w:tcPr>
          <w:p w14:paraId="4F861225"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19</w:t>
            </w:r>
          </w:p>
        </w:tc>
      </w:tr>
      <w:tr w:rsidR="003F208B" w14:paraId="14D2F5FB" w14:textId="77777777" w:rsidTr="000B3BC7">
        <w:tc>
          <w:tcPr>
            <w:tcW w:w="4788" w:type="dxa"/>
          </w:tcPr>
          <w:p w14:paraId="05CB2966"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Hypertension</w:t>
            </w:r>
          </w:p>
          <w:p w14:paraId="5DFFF3D0"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4788" w:type="dxa"/>
          </w:tcPr>
          <w:p w14:paraId="3F395086"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33</w:t>
            </w:r>
          </w:p>
        </w:tc>
      </w:tr>
      <w:tr w:rsidR="003F208B" w14:paraId="1C809416" w14:textId="77777777" w:rsidTr="000B3BC7">
        <w:tc>
          <w:tcPr>
            <w:tcW w:w="4788" w:type="dxa"/>
          </w:tcPr>
          <w:p w14:paraId="7C3354BA"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Hypercholesterolaemia</w:t>
            </w:r>
          </w:p>
          <w:p w14:paraId="58466CC3"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4788" w:type="dxa"/>
          </w:tcPr>
          <w:p w14:paraId="20C76529"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25</w:t>
            </w:r>
          </w:p>
        </w:tc>
      </w:tr>
      <w:tr w:rsidR="003F208B" w14:paraId="13C1FC07" w14:textId="77777777" w:rsidTr="000B3BC7">
        <w:tc>
          <w:tcPr>
            <w:tcW w:w="4788" w:type="dxa"/>
          </w:tcPr>
          <w:p w14:paraId="0BBDE0B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Family History</w:t>
            </w:r>
          </w:p>
          <w:p w14:paraId="0E61B1D5"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4788" w:type="dxa"/>
          </w:tcPr>
          <w:p w14:paraId="54EFEF73"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24</w:t>
            </w:r>
          </w:p>
        </w:tc>
      </w:tr>
      <w:tr w:rsidR="003F208B" w14:paraId="2DB4AE43" w14:textId="77777777" w:rsidTr="000B3BC7">
        <w:tc>
          <w:tcPr>
            <w:tcW w:w="4788" w:type="dxa"/>
          </w:tcPr>
          <w:p w14:paraId="13EE4594"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Ejection Fraction</w:t>
            </w:r>
          </w:p>
          <w:p w14:paraId="36EFF89C"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4788" w:type="dxa"/>
          </w:tcPr>
          <w:p w14:paraId="2F215B34"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54.8%</w:t>
            </w:r>
          </w:p>
        </w:tc>
      </w:tr>
    </w:tbl>
    <w:p w14:paraId="078E080D"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Patient Demographics</w:t>
      </w:r>
    </w:p>
    <w:p w14:paraId="6ED787AD"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Demographics of 100 study patients</w:t>
      </w:r>
    </w:p>
    <w:p w14:paraId="5D7CF773"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1E2DDD82"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Table 2</w:t>
      </w:r>
    </w:p>
    <w:tbl>
      <w:tblPr>
        <w:tblStyle w:val="TableGrid"/>
        <w:tblW w:w="0" w:type="auto"/>
        <w:tblLook w:val="04A0" w:firstRow="1" w:lastRow="0" w:firstColumn="1" w:lastColumn="0" w:noHBand="0" w:noVBand="1"/>
      </w:tblPr>
      <w:tblGrid>
        <w:gridCol w:w="3350"/>
        <w:gridCol w:w="4077"/>
        <w:gridCol w:w="1923"/>
      </w:tblGrid>
      <w:tr w:rsidR="003F208B" w14:paraId="01131331" w14:textId="77777777" w:rsidTr="000B3BC7">
        <w:tc>
          <w:tcPr>
            <w:tcW w:w="3425" w:type="dxa"/>
            <w:tcBorders>
              <w:top w:val="single" w:sz="4" w:space="0" w:color="548DD4" w:themeColor="text2" w:themeTint="99"/>
              <w:bottom w:val="single" w:sz="4" w:space="0" w:color="548DD4" w:themeColor="text2" w:themeTint="99"/>
            </w:tcBorders>
          </w:tcPr>
          <w:p w14:paraId="609778D3"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Measurement Point</w:t>
            </w:r>
          </w:p>
          <w:p w14:paraId="2E032420"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sz w:val="20"/>
                <w:szCs w:val="20"/>
              </w:rPr>
            </w:pPr>
          </w:p>
        </w:tc>
        <w:tc>
          <w:tcPr>
            <w:tcW w:w="4196" w:type="dxa"/>
            <w:tcBorders>
              <w:top w:val="single" w:sz="4" w:space="0" w:color="548DD4" w:themeColor="text2" w:themeTint="99"/>
              <w:bottom w:val="single" w:sz="4" w:space="0" w:color="548DD4" w:themeColor="text2" w:themeTint="99"/>
            </w:tcBorders>
          </w:tcPr>
          <w:p w14:paraId="498DA190"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Mean height from Upper Rim of CT Table (mm) (Standard Deviation in mm)</w:t>
            </w:r>
          </w:p>
        </w:tc>
        <w:tc>
          <w:tcPr>
            <w:tcW w:w="1955" w:type="dxa"/>
            <w:tcBorders>
              <w:top w:val="single" w:sz="4" w:space="0" w:color="548DD4" w:themeColor="text2" w:themeTint="99"/>
              <w:bottom w:val="single" w:sz="4" w:space="0" w:color="548DD4" w:themeColor="text2" w:themeTint="99"/>
            </w:tcBorders>
          </w:tcPr>
          <w:p w14:paraId="597BE528" w14:textId="77777777" w:rsidR="003F208B" w:rsidRDefault="003F208B" w:rsidP="000B3BC7">
            <w:pPr>
              <w:widowControl w:val="0"/>
              <w:autoSpaceDE w:val="0"/>
              <w:autoSpaceDN w:val="0"/>
              <w:adjustRightInd w:val="0"/>
              <w:jc w:val="both"/>
            </w:pPr>
            <w:r>
              <w:t>P Value compared to vessel ostium</w:t>
            </w:r>
          </w:p>
        </w:tc>
      </w:tr>
      <w:tr w:rsidR="003F208B" w14:paraId="48D902F9" w14:textId="77777777" w:rsidTr="000B3BC7">
        <w:tc>
          <w:tcPr>
            <w:tcW w:w="3425" w:type="dxa"/>
            <w:tcBorders>
              <w:top w:val="single" w:sz="4" w:space="0" w:color="548DD4" w:themeColor="text2" w:themeTint="99"/>
              <w:bottom w:val="nil"/>
            </w:tcBorders>
          </w:tcPr>
          <w:p w14:paraId="53D3E23E"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i/>
                <w:color w:val="404040" w:themeColor="text1" w:themeTint="BF"/>
                <w:sz w:val="24"/>
                <w:szCs w:val="24"/>
                <w:u w:val="single"/>
              </w:rPr>
            </w:pPr>
            <w:r w:rsidRPr="00341B15">
              <w:rPr>
                <w:i/>
                <w:sz w:val="24"/>
                <w:szCs w:val="24"/>
                <w:u w:val="single"/>
              </w:rPr>
              <w:t>Left Coronary Circulation</w:t>
            </w:r>
          </w:p>
          <w:p w14:paraId="029B3B25"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single" w:sz="4" w:space="0" w:color="548DD4" w:themeColor="text2" w:themeTint="99"/>
              <w:bottom w:val="nil"/>
            </w:tcBorders>
          </w:tcPr>
          <w:p w14:paraId="1838B87C"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1955" w:type="dxa"/>
            <w:tcBorders>
              <w:top w:val="single" w:sz="4" w:space="0" w:color="548DD4" w:themeColor="text2" w:themeTint="99"/>
              <w:bottom w:val="nil"/>
            </w:tcBorders>
          </w:tcPr>
          <w:p w14:paraId="530A2FCF"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r>
      <w:tr w:rsidR="003F208B" w14:paraId="1706711F" w14:textId="77777777" w:rsidTr="000B3BC7">
        <w:tc>
          <w:tcPr>
            <w:tcW w:w="3425" w:type="dxa"/>
            <w:tcBorders>
              <w:top w:val="nil"/>
              <w:bottom w:val="nil"/>
            </w:tcBorders>
          </w:tcPr>
          <w:p w14:paraId="4853DE14"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04040" w:themeColor="text1" w:themeTint="BF"/>
                <w:sz w:val="20"/>
                <w:szCs w:val="20"/>
              </w:rPr>
            </w:pPr>
            <w:r>
              <w:t>LCA Ostium</w:t>
            </w:r>
          </w:p>
          <w:p w14:paraId="547B7404"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nil"/>
              <w:bottom w:val="nil"/>
            </w:tcBorders>
          </w:tcPr>
          <w:p w14:paraId="1F1E939F" w14:textId="0490983F" w:rsidR="003F208B" w:rsidRDefault="003F208B" w:rsidP="000B3BC7">
            <w:pPr>
              <w:widowControl w:val="0"/>
              <w:autoSpaceDE w:val="0"/>
              <w:autoSpaceDN w:val="0"/>
              <w:adjustRightInd w:val="0"/>
              <w:jc w:val="center"/>
              <w:rPr>
                <w:rFonts w:asciiTheme="majorHAnsi" w:eastAsiaTheme="majorEastAsia" w:hAnsiTheme="majorHAnsi" w:cstheme="majorBidi"/>
                <w:color w:val="404040" w:themeColor="text1" w:themeTint="BF"/>
                <w:sz w:val="20"/>
                <w:szCs w:val="20"/>
              </w:rPr>
            </w:pPr>
            <w:r>
              <w:t>170.0    (</w:t>
            </w:r>
            <w:r w:rsidR="00D97E85">
              <w:rPr>
                <w:rFonts w:ascii="Times New Roman" w:hAnsi="Times New Roman" w:cs="Times New Roman"/>
                <w:sz w:val="24"/>
                <w:szCs w:val="24"/>
              </w:rPr>
              <w:t>±</w:t>
            </w:r>
            <w:r>
              <w:t xml:space="preserve"> 19.6)</w:t>
            </w:r>
          </w:p>
        </w:tc>
        <w:tc>
          <w:tcPr>
            <w:tcW w:w="1955" w:type="dxa"/>
            <w:tcBorders>
              <w:top w:val="nil"/>
              <w:bottom w:val="nil"/>
            </w:tcBorders>
          </w:tcPr>
          <w:p w14:paraId="73121041" w14:textId="77777777" w:rsidR="003F208B" w:rsidRDefault="003F208B" w:rsidP="000B3BC7">
            <w:pPr>
              <w:widowControl w:val="0"/>
              <w:autoSpaceDE w:val="0"/>
              <w:autoSpaceDN w:val="0"/>
              <w:adjustRightInd w:val="0"/>
              <w:jc w:val="both"/>
            </w:pPr>
            <w:r>
              <w:t>N/A</w:t>
            </w:r>
          </w:p>
        </w:tc>
      </w:tr>
      <w:tr w:rsidR="003F208B" w14:paraId="7F2F761B" w14:textId="77777777" w:rsidTr="000B3BC7">
        <w:tc>
          <w:tcPr>
            <w:tcW w:w="3425" w:type="dxa"/>
            <w:tcBorders>
              <w:top w:val="nil"/>
              <w:bottom w:val="nil"/>
            </w:tcBorders>
          </w:tcPr>
          <w:p w14:paraId="6D2E6E21"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04040" w:themeColor="text1" w:themeTint="BF"/>
                <w:sz w:val="20"/>
                <w:szCs w:val="20"/>
              </w:rPr>
            </w:pPr>
            <w:r>
              <w:t>LAD Ostium</w:t>
            </w:r>
          </w:p>
          <w:p w14:paraId="2943C6D9"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nil"/>
              <w:bottom w:val="nil"/>
            </w:tcBorders>
          </w:tcPr>
          <w:p w14:paraId="28304B2D" w14:textId="038E8365" w:rsidR="003F208B" w:rsidRDefault="003F208B" w:rsidP="000B3BC7">
            <w:pPr>
              <w:widowControl w:val="0"/>
              <w:autoSpaceDE w:val="0"/>
              <w:autoSpaceDN w:val="0"/>
              <w:adjustRightInd w:val="0"/>
              <w:jc w:val="center"/>
              <w:rPr>
                <w:rFonts w:asciiTheme="majorHAnsi" w:eastAsiaTheme="majorEastAsia" w:hAnsiTheme="majorHAnsi" w:cstheme="majorBidi"/>
                <w:color w:val="404040" w:themeColor="text1" w:themeTint="BF"/>
                <w:sz w:val="20"/>
                <w:szCs w:val="20"/>
              </w:rPr>
            </w:pPr>
            <w:r>
              <w:t>167.9    (</w:t>
            </w:r>
            <w:r w:rsidR="00D97E85">
              <w:rPr>
                <w:rFonts w:ascii="Times New Roman" w:hAnsi="Times New Roman" w:cs="Times New Roman"/>
                <w:sz w:val="24"/>
                <w:szCs w:val="24"/>
              </w:rPr>
              <w:t>±</w:t>
            </w:r>
            <w:r>
              <w:t>19.6)</w:t>
            </w:r>
          </w:p>
        </w:tc>
        <w:tc>
          <w:tcPr>
            <w:tcW w:w="1955" w:type="dxa"/>
            <w:tcBorders>
              <w:top w:val="nil"/>
              <w:bottom w:val="nil"/>
            </w:tcBorders>
          </w:tcPr>
          <w:p w14:paraId="5FC0B6BE" w14:textId="77777777" w:rsidR="003F208B" w:rsidRDefault="003F208B" w:rsidP="000B3BC7">
            <w:pPr>
              <w:widowControl w:val="0"/>
              <w:autoSpaceDE w:val="0"/>
              <w:autoSpaceDN w:val="0"/>
              <w:adjustRightInd w:val="0"/>
              <w:jc w:val="both"/>
            </w:pPr>
            <w:r>
              <w:t>0.06</w:t>
            </w:r>
          </w:p>
        </w:tc>
      </w:tr>
      <w:tr w:rsidR="003F208B" w14:paraId="1256090E" w14:textId="77777777" w:rsidTr="000B3BC7">
        <w:tc>
          <w:tcPr>
            <w:tcW w:w="3425" w:type="dxa"/>
            <w:tcBorders>
              <w:top w:val="nil"/>
              <w:bottom w:val="nil"/>
            </w:tcBorders>
          </w:tcPr>
          <w:p w14:paraId="5AD2D6E7"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04040" w:themeColor="text1" w:themeTint="BF"/>
                <w:sz w:val="20"/>
                <w:szCs w:val="20"/>
              </w:rPr>
            </w:pPr>
            <w:r>
              <w:t>Distal LAD</w:t>
            </w:r>
          </w:p>
          <w:p w14:paraId="658B47BD"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nil"/>
              <w:bottom w:val="nil"/>
            </w:tcBorders>
          </w:tcPr>
          <w:p w14:paraId="2B4C061D" w14:textId="63783714" w:rsidR="003F208B" w:rsidRDefault="003F208B" w:rsidP="000B3BC7">
            <w:pPr>
              <w:widowControl w:val="0"/>
              <w:autoSpaceDE w:val="0"/>
              <w:autoSpaceDN w:val="0"/>
              <w:adjustRightInd w:val="0"/>
              <w:jc w:val="center"/>
              <w:rPr>
                <w:rFonts w:asciiTheme="majorHAnsi" w:eastAsiaTheme="majorEastAsia" w:hAnsiTheme="majorHAnsi" w:cstheme="majorBidi"/>
                <w:color w:val="404040" w:themeColor="text1" w:themeTint="BF"/>
                <w:sz w:val="20"/>
                <w:szCs w:val="20"/>
              </w:rPr>
            </w:pPr>
            <w:r>
              <w:t>222.5    (</w:t>
            </w:r>
            <w:r w:rsidR="00D97E85">
              <w:rPr>
                <w:rFonts w:ascii="Times New Roman" w:hAnsi="Times New Roman" w:cs="Times New Roman"/>
                <w:sz w:val="24"/>
                <w:szCs w:val="24"/>
              </w:rPr>
              <w:t>±</w:t>
            </w:r>
            <w:r>
              <w:t xml:space="preserve"> 28.3)</w:t>
            </w:r>
          </w:p>
        </w:tc>
        <w:tc>
          <w:tcPr>
            <w:tcW w:w="1955" w:type="dxa"/>
            <w:tcBorders>
              <w:top w:val="nil"/>
              <w:bottom w:val="nil"/>
            </w:tcBorders>
          </w:tcPr>
          <w:p w14:paraId="1E9341F5" w14:textId="77777777" w:rsidR="003F208B" w:rsidRDefault="003F208B" w:rsidP="000B3BC7">
            <w:pPr>
              <w:widowControl w:val="0"/>
              <w:autoSpaceDE w:val="0"/>
              <w:autoSpaceDN w:val="0"/>
              <w:adjustRightInd w:val="0"/>
              <w:jc w:val="both"/>
            </w:pPr>
            <w:r>
              <w:t>&lt;0.0001</w:t>
            </w:r>
          </w:p>
        </w:tc>
      </w:tr>
      <w:tr w:rsidR="003F208B" w14:paraId="457CB2E9" w14:textId="77777777" w:rsidTr="000B3BC7">
        <w:tc>
          <w:tcPr>
            <w:tcW w:w="3425" w:type="dxa"/>
            <w:tcBorders>
              <w:top w:val="nil"/>
              <w:bottom w:val="single" w:sz="4" w:space="0" w:color="548DD4" w:themeColor="text2" w:themeTint="99"/>
            </w:tcBorders>
          </w:tcPr>
          <w:p w14:paraId="09A628A5"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04040" w:themeColor="text1" w:themeTint="BF"/>
                <w:sz w:val="20"/>
                <w:szCs w:val="20"/>
              </w:rPr>
            </w:pPr>
            <w:r>
              <w:t>Distal Cx</w:t>
            </w:r>
          </w:p>
          <w:p w14:paraId="4671EB27"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nil"/>
              <w:bottom w:val="single" w:sz="4" w:space="0" w:color="548DD4" w:themeColor="text2" w:themeTint="99"/>
            </w:tcBorders>
          </w:tcPr>
          <w:p w14:paraId="1B570D43" w14:textId="2B4C2B3F" w:rsidR="003F208B" w:rsidRDefault="003F208B" w:rsidP="000B3BC7">
            <w:pPr>
              <w:widowControl w:val="0"/>
              <w:autoSpaceDE w:val="0"/>
              <w:autoSpaceDN w:val="0"/>
              <w:adjustRightInd w:val="0"/>
              <w:jc w:val="center"/>
              <w:rPr>
                <w:rFonts w:asciiTheme="majorHAnsi" w:eastAsiaTheme="majorEastAsia" w:hAnsiTheme="majorHAnsi" w:cstheme="majorBidi"/>
                <w:color w:val="404040" w:themeColor="text1" w:themeTint="BF"/>
                <w:sz w:val="20"/>
                <w:szCs w:val="20"/>
              </w:rPr>
            </w:pPr>
            <w:r>
              <w:t>136.4    (</w:t>
            </w:r>
            <w:r w:rsidR="00D97E85">
              <w:rPr>
                <w:rFonts w:ascii="Times New Roman" w:hAnsi="Times New Roman" w:cs="Times New Roman"/>
                <w:sz w:val="24"/>
                <w:szCs w:val="24"/>
              </w:rPr>
              <w:t>±</w:t>
            </w:r>
            <w:r>
              <w:t xml:space="preserve"> 20.4)</w:t>
            </w:r>
          </w:p>
        </w:tc>
        <w:tc>
          <w:tcPr>
            <w:tcW w:w="1955" w:type="dxa"/>
            <w:tcBorders>
              <w:top w:val="nil"/>
              <w:bottom w:val="single" w:sz="4" w:space="0" w:color="548DD4" w:themeColor="text2" w:themeTint="99"/>
            </w:tcBorders>
          </w:tcPr>
          <w:p w14:paraId="75A491DD" w14:textId="77777777" w:rsidR="003F208B" w:rsidRDefault="003F208B" w:rsidP="000B3BC7">
            <w:pPr>
              <w:widowControl w:val="0"/>
              <w:autoSpaceDE w:val="0"/>
              <w:autoSpaceDN w:val="0"/>
              <w:adjustRightInd w:val="0"/>
              <w:jc w:val="both"/>
            </w:pPr>
            <w:r>
              <w:t>&lt;0.0001</w:t>
            </w:r>
          </w:p>
        </w:tc>
      </w:tr>
      <w:tr w:rsidR="003F208B" w14:paraId="26E54F93" w14:textId="77777777" w:rsidTr="000B3BC7">
        <w:tc>
          <w:tcPr>
            <w:tcW w:w="3425" w:type="dxa"/>
            <w:tcBorders>
              <w:top w:val="single" w:sz="4" w:space="0" w:color="548DD4" w:themeColor="text2" w:themeTint="99"/>
              <w:bottom w:val="nil"/>
            </w:tcBorders>
          </w:tcPr>
          <w:p w14:paraId="5BE87693"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i/>
                <w:color w:val="404040" w:themeColor="text1" w:themeTint="BF"/>
                <w:sz w:val="24"/>
                <w:szCs w:val="24"/>
                <w:u w:val="single"/>
              </w:rPr>
            </w:pPr>
            <w:r w:rsidRPr="00341B15">
              <w:rPr>
                <w:i/>
                <w:sz w:val="24"/>
                <w:szCs w:val="24"/>
                <w:u w:val="single"/>
              </w:rPr>
              <w:t>Right Coronary Circulation</w:t>
            </w:r>
          </w:p>
          <w:p w14:paraId="0019CEC1"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single" w:sz="4" w:space="0" w:color="548DD4" w:themeColor="text2" w:themeTint="99"/>
              <w:bottom w:val="nil"/>
            </w:tcBorders>
          </w:tcPr>
          <w:p w14:paraId="791D846C"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1955" w:type="dxa"/>
            <w:tcBorders>
              <w:top w:val="single" w:sz="4" w:space="0" w:color="548DD4" w:themeColor="text2" w:themeTint="99"/>
              <w:bottom w:val="nil"/>
            </w:tcBorders>
          </w:tcPr>
          <w:p w14:paraId="7C6E19EB"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r>
      <w:tr w:rsidR="003F208B" w14:paraId="796518B8" w14:textId="77777777" w:rsidTr="000B3BC7">
        <w:tc>
          <w:tcPr>
            <w:tcW w:w="3425" w:type="dxa"/>
            <w:tcBorders>
              <w:top w:val="nil"/>
              <w:bottom w:val="nil"/>
            </w:tcBorders>
          </w:tcPr>
          <w:p w14:paraId="462A6FFA"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04040" w:themeColor="text1" w:themeTint="BF"/>
                <w:sz w:val="20"/>
                <w:szCs w:val="20"/>
              </w:rPr>
            </w:pPr>
            <w:r>
              <w:t>RCA Ostium</w:t>
            </w:r>
          </w:p>
          <w:p w14:paraId="65169EC9"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nil"/>
              <w:bottom w:val="nil"/>
            </w:tcBorders>
          </w:tcPr>
          <w:p w14:paraId="2FD68479" w14:textId="00037E2C" w:rsidR="003F208B" w:rsidRDefault="003F208B" w:rsidP="000B3BC7">
            <w:pPr>
              <w:widowControl w:val="0"/>
              <w:autoSpaceDE w:val="0"/>
              <w:autoSpaceDN w:val="0"/>
              <w:adjustRightInd w:val="0"/>
              <w:jc w:val="center"/>
              <w:rPr>
                <w:rFonts w:asciiTheme="majorHAnsi" w:eastAsiaTheme="majorEastAsia" w:hAnsiTheme="majorHAnsi" w:cstheme="majorBidi"/>
                <w:color w:val="404040" w:themeColor="text1" w:themeTint="BF"/>
                <w:sz w:val="20"/>
                <w:szCs w:val="20"/>
              </w:rPr>
            </w:pPr>
            <w:r>
              <w:t>193.8    (</w:t>
            </w:r>
            <w:r w:rsidR="00D97E85">
              <w:rPr>
                <w:rFonts w:ascii="Times New Roman" w:hAnsi="Times New Roman" w:cs="Times New Roman"/>
                <w:sz w:val="24"/>
                <w:szCs w:val="24"/>
              </w:rPr>
              <w:t>±</w:t>
            </w:r>
            <w:r>
              <w:t xml:space="preserve"> 21.1)</w:t>
            </w:r>
          </w:p>
        </w:tc>
        <w:tc>
          <w:tcPr>
            <w:tcW w:w="1955" w:type="dxa"/>
            <w:tcBorders>
              <w:top w:val="nil"/>
              <w:bottom w:val="nil"/>
            </w:tcBorders>
          </w:tcPr>
          <w:p w14:paraId="53A4EEAC" w14:textId="77777777" w:rsidR="003F208B" w:rsidRDefault="003F208B" w:rsidP="000B3BC7">
            <w:pPr>
              <w:widowControl w:val="0"/>
              <w:autoSpaceDE w:val="0"/>
              <w:autoSpaceDN w:val="0"/>
              <w:adjustRightInd w:val="0"/>
              <w:jc w:val="both"/>
            </w:pPr>
            <w:r>
              <w:t>N/A</w:t>
            </w:r>
          </w:p>
        </w:tc>
      </w:tr>
      <w:tr w:rsidR="003F208B" w14:paraId="4F219141" w14:textId="77777777" w:rsidTr="000B3BC7">
        <w:tc>
          <w:tcPr>
            <w:tcW w:w="3425" w:type="dxa"/>
            <w:tcBorders>
              <w:top w:val="nil"/>
              <w:bottom w:val="nil"/>
            </w:tcBorders>
          </w:tcPr>
          <w:p w14:paraId="36723BB0"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04040" w:themeColor="text1" w:themeTint="BF"/>
                <w:sz w:val="20"/>
                <w:szCs w:val="20"/>
              </w:rPr>
            </w:pPr>
            <w:r>
              <w:t>RCA bifurcation</w:t>
            </w:r>
          </w:p>
          <w:p w14:paraId="576897B1"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nil"/>
              <w:bottom w:val="nil"/>
            </w:tcBorders>
          </w:tcPr>
          <w:p w14:paraId="62904973" w14:textId="2C820872" w:rsidR="003F208B" w:rsidRDefault="003F208B" w:rsidP="000B3BC7">
            <w:pPr>
              <w:widowControl w:val="0"/>
              <w:autoSpaceDE w:val="0"/>
              <w:autoSpaceDN w:val="0"/>
              <w:adjustRightInd w:val="0"/>
              <w:jc w:val="center"/>
              <w:rPr>
                <w:rFonts w:asciiTheme="majorHAnsi" w:eastAsiaTheme="majorEastAsia" w:hAnsiTheme="majorHAnsi" w:cstheme="majorBidi"/>
                <w:color w:val="404040" w:themeColor="text1" w:themeTint="BF"/>
                <w:sz w:val="20"/>
                <w:szCs w:val="20"/>
              </w:rPr>
            </w:pPr>
            <w:r>
              <w:t>175.6    (</w:t>
            </w:r>
            <w:r w:rsidR="00D97E85">
              <w:rPr>
                <w:rFonts w:ascii="Times New Roman" w:hAnsi="Times New Roman" w:cs="Times New Roman"/>
                <w:sz w:val="24"/>
                <w:szCs w:val="24"/>
              </w:rPr>
              <w:t>±</w:t>
            </w:r>
            <w:r>
              <w:t xml:space="preserve"> 28.3)</w:t>
            </w:r>
          </w:p>
        </w:tc>
        <w:tc>
          <w:tcPr>
            <w:tcW w:w="1955" w:type="dxa"/>
            <w:tcBorders>
              <w:top w:val="nil"/>
              <w:bottom w:val="nil"/>
            </w:tcBorders>
          </w:tcPr>
          <w:p w14:paraId="545EAD0C" w14:textId="77777777" w:rsidR="003F208B" w:rsidRDefault="003F208B" w:rsidP="000B3BC7">
            <w:pPr>
              <w:widowControl w:val="0"/>
              <w:autoSpaceDE w:val="0"/>
              <w:autoSpaceDN w:val="0"/>
              <w:adjustRightInd w:val="0"/>
              <w:jc w:val="both"/>
            </w:pPr>
            <w:r>
              <w:t>&lt;0.0001</w:t>
            </w:r>
          </w:p>
        </w:tc>
      </w:tr>
      <w:tr w:rsidR="003F208B" w14:paraId="48B727AC" w14:textId="77777777" w:rsidTr="000B3BC7">
        <w:tc>
          <w:tcPr>
            <w:tcW w:w="3425" w:type="dxa"/>
            <w:tcBorders>
              <w:top w:val="nil"/>
              <w:bottom w:val="nil"/>
            </w:tcBorders>
          </w:tcPr>
          <w:p w14:paraId="55CE5A08"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04040" w:themeColor="text1" w:themeTint="BF"/>
                <w:sz w:val="20"/>
                <w:szCs w:val="20"/>
              </w:rPr>
            </w:pPr>
            <w:r>
              <w:t>Distal PDA</w:t>
            </w:r>
          </w:p>
          <w:p w14:paraId="6860C291"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nil"/>
              <w:bottom w:val="nil"/>
            </w:tcBorders>
          </w:tcPr>
          <w:p w14:paraId="63151076" w14:textId="5221826A" w:rsidR="003F208B" w:rsidRDefault="003F208B" w:rsidP="000B3BC7">
            <w:pPr>
              <w:widowControl w:val="0"/>
              <w:autoSpaceDE w:val="0"/>
              <w:autoSpaceDN w:val="0"/>
              <w:adjustRightInd w:val="0"/>
              <w:jc w:val="center"/>
              <w:rPr>
                <w:rFonts w:asciiTheme="majorHAnsi" w:eastAsiaTheme="majorEastAsia" w:hAnsiTheme="majorHAnsi" w:cstheme="majorBidi"/>
                <w:color w:val="404040" w:themeColor="text1" w:themeTint="BF"/>
                <w:sz w:val="20"/>
                <w:szCs w:val="20"/>
              </w:rPr>
            </w:pPr>
            <w:r>
              <w:t>212.1    (</w:t>
            </w:r>
            <w:r w:rsidR="00D97E85">
              <w:rPr>
                <w:rFonts w:ascii="Times New Roman" w:hAnsi="Times New Roman" w:cs="Times New Roman"/>
                <w:sz w:val="24"/>
                <w:szCs w:val="24"/>
              </w:rPr>
              <w:t>±</w:t>
            </w:r>
            <w:r>
              <w:t>30.7)</w:t>
            </w:r>
          </w:p>
        </w:tc>
        <w:tc>
          <w:tcPr>
            <w:tcW w:w="1955" w:type="dxa"/>
            <w:tcBorders>
              <w:top w:val="nil"/>
              <w:bottom w:val="nil"/>
            </w:tcBorders>
          </w:tcPr>
          <w:p w14:paraId="3A256C43" w14:textId="77777777" w:rsidR="003F208B" w:rsidRDefault="003F208B" w:rsidP="000B3BC7">
            <w:pPr>
              <w:widowControl w:val="0"/>
              <w:autoSpaceDE w:val="0"/>
              <w:autoSpaceDN w:val="0"/>
              <w:adjustRightInd w:val="0"/>
              <w:jc w:val="both"/>
            </w:pPr>
            <w:r>
              <w:t>&lt;0.0001</w:t>
            </w:r>
          </w:p>
        </w:tc>
      </w:tr>
      <w:tr w:rsidR="003F208B" w14:paraId="7FBCAA3B" w14:textId="77777777" w:rsidTr="000B3BC7">
        <w:tc>
          <w:tcPr>
            <w:tcW w:w="3425" w:type="dxa"/>
            <w:tcBorders>
              <w:top w:val="nil"/>
            </w:tcBorders>
          </w:tcPr>
          <w:p w14:paraId="3579C973"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04040" w:themeColor="text1" w:themeTint="BF"/>
                <w:sz w:val="20"/>
                <w:szCs w:val="20"/>
              </w:rPr>
            </w:pPr>
            <w:r>
              <w:t>Distal PLV</w:t>
            </w:r>
          </w:p>
          <w:p w14:paraId="1C32240F" w14:textId="77777777" w:rsidR="003F208B" w:rsidRDefault="003F208B" w:rsidP="000B3BC7">
            <w:pPr>
              <w:widowControl w:val="0"/>
              <w:autoSpaceDE w:val="0"/>
              <w:autoSpaceDN w:val="0"/>
              <w:adjustRightInd w:val="0"/>
              <w:jc w:val="center"/>
              <w:rPr>
                <w:rFonts w:asciiTheme="majorHAnsi" w:eastAsiaTheme="majorEastAsia" w:hAnsiTheme="majorHAnsi" w:cstheme="majorBidi"/>
                <w:b/>
                <w:bCs/>
                <w:color w:val="4F81BD" w:themeColor="accent1"/>
                <w:sz w:val="20"/>
                <w:szCs w:val="20"/>
              </w:rPr>
            </w:pPr>
          </w:p>
        </w:tc>
        <w:tc>
          <w:tcPr>
            <w:tcW w:w="4196" w:type="dxa"/>
            <w:tcBorders>
              <w:top w:val="nil"/>
            </w:tcBorders>
          </w:tcPr>
          <w:p w14:paraId="4A9E20C6" w14:textId="157004D1" w:rsidR="003F208B" w:rsidRDefault="003F208B" w:rsidP="000B3BC7">
            <w:pPr>
              <w:widowControl w:val="0"/>
              <w:autoSpaceDE w:val="0"/>
              <w:autoSpaceDN w:val="0"/>
              <w:adjustRightInd w:val="0"/>
              <w:jc w:val="center"/>
              <w:rPr>
                <w:rFonts w:asciiTheme="majorHAnsi" w:eastAsiaTheme="majorEastAsia" w:hAnsiTheme="majorHAnsi" w:cstheme="majorBidi"/>
                <w:color w:val="404040" w:themeColor="text1" w:themeTint="BF"/>
                <w:sz w:val="20"/>
                <w:szCs w:val="20"/>
              </w:rPr>
            </w:pPr>
            <w:r>
              <w:t>136.4    (</w:t>
            </w:r>
            <w:r w:rsidR="00D97E85">
              <w:rPr>
                <w:rFonts w:ascii="Times New Roman" w:hAnsi="Times New Roman" w:cs="Times New Roman"/>
                <w:sz w:val="24"/>
                <w:szCs w:val="24"/>
              </w:rPr>
              <w:t>±</w:t>
            </w:r>
            <w:r>
              <w:t>26.1)</w:t>
            </w:r>
          </w:p>
        </w:tc>
        <w:tc>
          <w:tcPr>
            <w:tcW w:w="1955" w:type="dxa"/>
            <w:tcBorders>
              <w:top w:val="nil"/>
            </w:tcBorders>
          </w:tcPr>
          <w:p w14:paraId="2F5C3727" w14:textId="77777777" w:rsidR="003F208B" w:rsidRDefault="003F208B" w:rsidP="000B3BC7">
            <w:pPr>
              <w:widowControl w:val="0"/>
              <w:autoSpaceDE w:val="0"/>
              <w:autoSpaceDN w:val="0"/>
              <w:adjustRightInd w:val="0"/>
              <w:jc w:val="both"/>
            </w:pPr>
            <w:r>
              <w:t>&lt;0.0001</w:t>
            </w:r>
          </w:p>
        </w:tc>
      </w:tr>
    </w:tbl>
    <w:p w14:paraId="03DB9C30"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1B038F91"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72A77501"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CT Height measurements</w:t>
      </w:r>
    </w:p>
    <w:p w14:paraId="1D40A492"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 xml:space="preserve">The vertical height measurements are shown from the upper rim of the CT table. P values are calculated for each point to the respective vessel ostium. </w:t>
      </w:r>
    </w:p>
    <w:p w14:paraId="53F63C98"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287F7EF8"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Table 3</w:t>
      </w:r>
    </w:p>
    <w:p w14:paraId="3E36AB36"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2732"/>
        <w:gridCol w:w="2427"/>
        <w:gridCol w:w="2219"/>
        <w:gridCol w:w="1972"/>
      </w:tblGrid>
      <w:tr w:rsidR="003F208B" w14:paraId="012E3143" w14:textId="77777777" w:rsidTr="000B3BC7">
        <w:tc>
          <w:tcPr>
            <w:tcW w:w="2793" w:type="dxa"/>
            <w:tcBorders>
              <w:top w:val="single" w:sz="4" w:space="0" w:color="548DD4" w:themeColor="text2" w:themeTint="99"/>
              <w:bottom w:val="single" w:sz="4" w:space="0" w:color="548DD4" w:themeColor="text2" w:themeTint="99"/>
            </w:tcBorders>
          </w:tcPr>
          <w:p w14:paraId="52531C85"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Measurement Point</w:t>
            </w:r>
          </w:p>
          <w:p w14:paraId="5979F55A"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sz w:val="20"/>
                <w:szCs w:val="20"/>
              </w:rPr>
            </w:pPr>
          </w:p>
        </w:tc>
        <w:tc>
          <w:tcPr>
            <w:tcW w:w="2491" w:type="dxa"/>
            <w:tcBorders>
              <w:top w:val="single" w:sz="4" w:space="0" w:color="548DD4" w:themeColor="text2" w:themeTint="99"/>
              <w:bottom w:val="single" w:sz="4" w:space="0" w:color="548DD4" w:themeColor="text2" w:themeTint="99"/>
            </w:tcBorders>
          </w:tcPr>
          <w:p w14:paraId="36C6722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Height from respective coronary ostium (mm)</w:t>
            </w:r>
          </w:p>
        </w:tc>
        <w:tc>
          <w:tcPr>
            <w:tcW w:w="2280" w:type="dxa"/>
            <w:tcBorders>
              <w:top w:val="single" w:sz="4" w:space="0" w:color="548DD4" w:themeColor="text2" w:themeTint="99"/>
              <w:bottom w:val="single" w:sz="4" w:space="0" w:color="548DD4" w:themeColor="text2" w:themeTint="99"/>
            </w:tcBorders>
          </w:tcPr>
          <w:p w14:paraId="76156687"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Height effect on distal pressure (Pd) - mmHg</w:t>
            </w:r>
          </w:p>
        </w:tc>
        <w:tc>
          <w:tcPr>
            <w:tcW w:w="2012" w:type="dxa"/>
            <w:tcBorders>
              <w:top w:val="single" w:sz="4" w:space="0" w:color="548DD4" w:themeColor="text2" w:themeTint="99"/>
              <w:bottom w:val="single" w:sz="4" w:space="0" w:color="548DD4" w:themeColor="text2" w:themeTint="99"/>
            </w:tcBorders>
          </w:tcPr>
          <w:p w14:paraId="2E0B43A1"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FFR Correction factor</w:t>
            </w:r>
          </w:p>
        </w:tc>
      </w:tr>
      <w:tr w:rsidR="003F208B" w14:paraId="4DFBF4C0" w14:textId="77777777" w:rsidTr="000B3BC7">
        <w:tc>
          <w:tcPr>
            <w:tcW w:w="2793" w:type="dxa"/>
            <w:tcBorders>
              <w:top w:val="single" w:sz="4" w:space="0" w:color="548DD4" w:themeColor="text2" w:themeTint="99"/>
              <w:bottom w:val="nil"/>
            </w:tcBorders>
          </w:tcPr>
          <w:p w14:paraId="64248C89"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i/>
                <w:color w:val="404040" w:themeColor="text1" w:themeTint="BF"/>
                <w:sz w:val="24"/>
                <w:szCs w:val="24"/>
                <w:u w:val="single"/>
              </w:rPr>
            </w:pPr>
            <w:r>
              <w:rPr>
                <w:i/>
                <w:sz w:val="24"/>
                <w:szCs w:val="24"/>
                <w:u w:val="single"/>
              </w:rPr>
              <w:t>Height from Left Coronary Ostium</w:t>
            </w:r>
          </w:p>
          <w:p w14:paraId="6930629F"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491" w:type="dxa"/>
            <w:tcBorders>
              <w:top w:val="single" w:sz="4" w:space="0" w:color="548DD4" w:themeColor="text2" w:themeTint="99"/>
              <w:bottom w:val="nil"/>
            </w:tcBorders>
          </w:tcPr>
          <w:p w14:paraId="004466ED"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280" w:type="dxa"/>
            <w:tcBorders>
              <w:top w:val="single" w:sz="4" w:space="0" w:color="548DD4" w:themeColor="text2" w:themeTint="99"/>
              <w:bottom w:val="nil"/>
            </w:tcBorders>
          </w:tcPr>
          <w:p w14:paraId="5B2D3A8F"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012" w:type="dxa"/>
            <w:tcBorders>
              <w:top w:val="single" w:sz="4" w:space="0" w:color="548DD4" w:themeColor="text2" w:themeTint="99"/>
              <w:bottom w:val="nil"/>
            </w:tcBorders>
          </w:tcPr>
          <w:p w14:paraId="712C5D15"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r>
      <w:tr w:rsidR="003F208B" w14:paraId="291AAD51" w14:textId="77777777" w:rsidTr="000B3BC7">
        <w:tc>
          <w:tcPr>
            <w:tcW w:w="2793" w:type="dxa"/>
            <w:tcBorders>
              <w:top w:val="nil"/>
              <w:bottom w:val="nil"/>
            </w:tcBorders>
          </w:tcPr>
          <w:p w14:paraId="55E948FC"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LAD Ostium</w:t>
            </w:r>
          </w:p>
          <w:p w14:paraId="71A1C037"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491" w:type="dxa"/>
            <w:tcBorders>
              <w:top w:val="nil"/>
              <w:bottom w:val="nil"/>
            </w:tcBorders>
          </w:tcPr>
          <w:p w14:paraId="6557E18F"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+2.1</w:t>
            </w:r>
          </w:p>
          <w:p w14:paraId="77751438"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280" w:type="dxa"/>
            <w:tcBorders>
              <w:top w:val="nil"/>
              <w:bottom w:val="nil"/>
            </w:tcBorders>
          </w:tcPr>
          <w:p w14:paraId="6195B069"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-0.2</w:t>
            </w:r>
          </w:p>
        </w:tc>
        <w:tc>
          <w:tcPr>
            <w:tcW w:w="2012" w:type="dxa"/>
            <w:tcBorders>
              <w:top w:val="nil"/>
              <w:bottom w:val="nil"/>
            </w:tcBorders>
          </w:tcPr>
          <w:p w14:paraId="469DA6F4" w14:textId="77777777" w:rsidR="003F208B" w:rsidRPr="00D46AC7" w:rsidRDefault="003F208B" w:rsidP="000B3BC7">
            <w:pPr>
              <w:widowControl w:val="0"/>
              <w:autoSpaceDE w:val="0"/>
              <w:autoSpaceDN w:val="0"/>
              <w:adjustRightInd w:val="0"/>
              <w:jc w:val="both"/>
              <w:rPr>
                <w:rFonts w:asciiTheme="majorHAnsi" w:eastAsiaTheme="majorEastAsia" w:hAnsiTheme="majorHAnsi" w:cstheme="majorBidi"/>
                <w:b/>
                <w:color w:val="FF0000"/>
                <w:sz w:val="20"/>
                <w:szCs w:val="20"/>
              </w:rPr>
            </w:pPr>
            <w:r w:rsidRPr="00D46AC7">
              <w:rPr>
                <w:b/>
                <w:color w:val="FF0000"/>
              </w:rPr>
              <w:t>+0.0</w:t>
            </w:r>
            <w:r>
              <w:rPr>
                <w:b/>
                <w:color w:val="FF0000"/>
              </w:rPr>
              <w:t>0</w:t>
            </w:r>
            <w:r w:rsidRPr="00D46AC7">
              <w:rPr>
                <w:b/>
                <w:color w:val="FF0000"/>
              </w:rPr>
              <w:t>2</w:t>
            </w:r>
          </w:p>
        </w:tc>
      </w:tr>
      <w:tr w:rsidR="003F208B" w14:paraId="1E26253F" w14:textId="77777777" w:rsidTr="000B3BC7">
        <w:tc>
          <w:tcPr>
            <w:tcW w:w="2793" w:type="dxa"/>
            <w:tcBorders>
              <w:top w:val="nil"/>
              <w:bottom w:val="nil"/>
            </w:tcBorders>
          </w:tcPr>
          <w:p w14:paraId="7F77CB9F"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Distal LAD</w:t>
            </w:r>
          </w:p>
          <w:p w14:paraId="31CB92BE"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491" w:type="dxa"/>
            <w:tcBorders>
              <w:top w:val="nil"/>
              <w:bottom w:val="nil"/>
            </w:tcBorders>
          </w:tcPr>
          <w:p w14:paraId="69C93FCA"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+52.5</w:t>
            </w:r>
          </w:p>
        </w:tc>
        <w:tc>
          <w:tcPr>
            <w:tcW w:w="2280" w:type="dxa"/>
            <w:tcBorders>
              <w:top w:val="nil"/>
              <w:bottom w:val="nil"/>
            </w:tcBorders>
          </w:tcPr>
          <w:p w14:paraId="68A10E22"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+4.2</w:t>
            </w:r>
          </w:p>
        </w:tc>
        <w:tc>
          <w:tcPr>
            <w:tcW w:w="2012" w:type="dxa"/>
            <w:tcBorders>
              <w:top w:val="nil"/>
              <w:bottom w:val="nil"/>
            </w:tcBorders>
          </w:tcPr>
          <w:p w14:paraId="05A821D2" w14:textId="77777777" w:rsidR="003F208B" w:rsidRPr="00D46AC7" w:rsidRDefault="003F208B" w:rsidP="000B3BC7">
            <w:pPr>
              <w:widowControl w:val="0"/>
              <w:autoSpaceDE w:val="0"/>
              <w:autoSpaceDN w:val="0"/>
              <w:adjustRightInd w:val="0"/>
              <w:jc w:val="both"/>
              <w:rPr>
                <w:rFonts w:asciiTheme="majorHAnsi" w:eastAsiaTheme="majorEastAsia" w:hAnsiTheme="majorHAnsi" w:cstheme="majorBidi"/>
                <w:b/>
                <w:color w:val="FF0000"/>
                <w:sz w:val="20"/>
                <w:szCs w:val="20"/>
              </w:rPr>
            </w:pPr>
            <w:r w:rsidRPr="00D46AC7">
              <w:rPr>
                <w:b/>
                <w:color w:val="FF0000"/>
              </w:rPr>
              <w:t>+0.04</w:t>
            </w:r>
          </w:p>
        </w:tc>
      </w:tr>
      <w:tr w:rsidR="003F208B" w14:paraId="63B0FC20" w14:textId="77777777" w:rsidTr="000B3BC7">
        <w:tc>
          <w:tcPr>
            <w:tcW w:w="2793" w:type="dxa"/>
            <w:tcBorders>
              <w:top w:val="nil"/>
              <w:bottom w:val="single" w:sz="4" w:space="0" w:color="548DD4" w:themeColor="text2" w:themeTint="99"/>
            </w:tcBorders>
          </w:tcPr>
          <w:p w14:paraId="386F9EF4"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Distal Cx</w:t>
            </w:r>
          </w:p>
          <w:p w14:paraId="2D31D1E8"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491" w:type="dxa"/>
            <w:tcBorders>
              <w:top w:val="nil"/>
              <w:bottom w:val="single" w:sz="4" w:space="0" w:color="548DD4" w:themeColor="text2" w:themeTint="99"/>
            </w:tcBorders>
          </w:tcPr>
          <w:p w14:paraId="6B4E6DE5"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-33.6</w:t>
            </w:r>
          </w:p>
        </w:tc>
        <w:tc>
          <w:tcPr>
            <w:tcW w:w="2280" w:type="dxa"/>
            <w:tcBorders>
              <w:top w:val="nil"/>
              <w:bottom w:val="single" w:sz="4" w:space="0" w:color="548DD4" w:themeColor="text2" w:themeTint="99"/>
            </w:tcBorders>
          </w:tcPr>
          <w:p w14:paraId="3ADAE85F"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-2.7</w:t>
            </w:r>
          </w:p>
        </w:tc>
        <w:tc>
          <w:tcPr>
            <w:tcW w:w="2012" w:type="dxa"/>
            <w:tcBorders>
              <w:top w:val="nil"/>
              <w:bottom w:val="single" w:sz="4" w:space="0" w:color="548DD4" w:themeColor="text2" w:themeTint="99"/>
            </w:tcBorders>
          </w:tcPr>
          <w:p w14:paraId="7B1159DA" w14:textId="77777777" w:rsidR="003F208B" w:rsidRPr="00D46AC7" w:rsidRDefault="003F208B" w:rsidP="000B3BC7">
            <w:pPr>
              <w:widowControl w:val="0"/>
              <w:autoSpaceDE w:val="0"/>
              <w:autoSpaceDN w:val="0"/>
              <w:adjustRightInd w:val="0"/>
              <w:jc w:val="both"/>
              <w:rPr>
                <w:rFonts w:asciiTheme="majorHAnsi" w:eastAsiaTheme="majorEastAsia" w:hAnsiTheme="majorHAnsi" w:cstheme="majorBidi"/>
                <w:b/>
                <w:color w:val="FF0000"/>
                <w:sz w:val="20"/>
                <w:szCs w:val="20"/>
              </w:rPr>
            </w:pPr>
            <w:r w:rsidRPr="00D46AC7">
              <w:rPr>
                <w:b/>
                <w:color w:val="FF0000"/>
              </w:rPr>
              <w:t>-0.03</w:t>
            </w:r>
          </w:p>
        </w:tc>
      </w:tr>
      <w:tr w:rsidR="003F208B" w14:paraId="5E9AAF37" w14:textId="77777777" w:rsidTr="000B3BC7">
        <w:tc>
          <w:tcPr>
            <w:tcW w:w="2793" w:type="dxa"/>
            <w:tcBorders>
              <w:top w:val="single" w:sz="4" w:space="0" w:color="548DD4" w:themeColor="text2" w:themeTint="99"/>
              <w:bottom w:val="nil"/>
            </w:tcBorders>
          </w:tcPr>
          <w:p w14:paraId="17C54240"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i/>
                <w:color w:val="404040" w:themeColor="text1" w:themeTint="BF"/>
                <w:sz w:val="24"/>
                <w:szCs w:val="24"/>
                <w:u w:val="single"/>
              </w:rPr>
            </w:pPr>
            <w:r>
              <w:rPr>
                <w:i/>
                <w:sz w:val="24"/>
                <w:szCs w:val="24"/>
                <w:u w:val="single"/>
              </w:rPr>
              <w:t>Height from Right Coronary Ostium</w:t>
            </w:r>
          </w:p>
          <w:p w14:paraId="058B56F0"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491" w:type="dxa"/>
            <w:tcBorders>
              <w:top w:val="single" w:sz="4" w:space="0" w:color="548DD4" w:themeColor="text2" w:themeTint="99"/>
              <w:bottom w:val="nil"/>
            </w:tcBorders>
          </w:tcPr>
          <w:p w14:paraId="4D92E5D1"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280" w:type="dxa"/>
            <w:tcBorders>
              <w:top w:val="single" w:sz="4" w:space="0" w:color="548DD4" w:themeColor="text2" w:themeTint="99"/>
              <w:bottom w:val="nil"/>
            </w:tcBorders>
          </w:tcPr>
          <w:p w14:paraId="17875859"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012" w:type="dxa"/>
            <w:tcBorders>
              <w:top w:val="single" w:sz="4" w:space="0" w:color="548DD4" w:themeColor="text2" w:themeTint="99"/>
              <w:bottom w:val="nil"/>
            </w:tcBorders>
          </w:tcPr>
          <w:p w14:paraId="3E550481" w14:textId="77777777" w:rsidR="003F208B" w:rsidRPr="00D46AC7" w:rsidRDefault="003F208B" w:rsidP="000B3BC7">
            <w:pPr>
              <w:widowControl w:val="0"/>
              <w:autoSpaceDE w:val="0"/>
              <w:autoSpaceDN w:val="0"/>
              <w:adjustRightInd w:val="0"/>
              <w:jc w:val="both"/>
              <w:rPr>
                <w:rFonts w:asciiTheme="majorHAnsi" w:eastAsiaTheme="majorEastAsia" w:hAnsiTheme="majorHAnsi" w:cstheme="majorBidi"/>
                <w:b/>
                <w:bCs/>
                <w:color w:val="FF0000"/>
                <w:sz w:val="20"/>
                <w:szCs w:val="20"/>
              </w:rPr>
            </w:pPr>
          </w:p>
        </w:tc>
      </w:tr>
      <w:tr w:rsidR="003F208B" w14:paraId="4F2C85B1" w14:textId="77777777" w:rsidTr="000B3BC7">
        <w:tc>
          <w:tcPr>
            <w:tcW w:w="2793" w:type="dxa"/>
            <w:tcBorders>
              <w:top w:val="nil"/>
              <w:bottom w:val="nil"/>
            </w:tcBorders>
          </w:tcPr>
          <w:p w14:paraId="6F40AF76"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RCA bifurcation</w:t>
            </w:r>
          </w:p>
          <w:p w14:paraId="1F9843F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491" w:type="dxa"/>
            <w:tcBorders>
              <w:top w:val="nil"/>
              <w:bottom w:val="nil"/>
            </w:tcBorders>
          </w:tcPr>
          <w:p w14:paraId="2F735AFB"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-18.2</w:t>
            </w:r>
          </w:p>
        </w:tc>
        <w:tc>
          <w:tcPr>
            <w:tcW w:w="2280" w:type="dxa"/>
            <w:tcBorders>
              <w:top w:val="nil"/>
              <w:bottom w:val="nil"/>
            </w:tcBorders>
          </w:tcPr>
          <w:p w14:paraId="77760E45"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-1.5</w:t>
            </w:r>
          </w:p>
        </w:tc>
        <w:tc>
          <w:tcPr>
            <w:tcW w:w="2012" w:type="dxa"/>
            <w:tcBorders>
              <w:top w:val="nil"/>
              <w:bottom w:val="nil"/>
            </w:tcBorders>
          </w:tcPr>
          <w:p w14:paraId="070E6B06" w14:textId="77777777" w:rsidR="003F208B" w:rsidRPr="00D46AC7" w:rsidRDefault="003F208B" w:rsidP="000B3BC7">
            <w:pPr>
              <w:widowControl w:val="0"/>
              <w:autoSpaceDE w:val="0"/>
              <w:autoSpaceDN w:val="0"/>
              <w:adjustRightInd w:val="0"/>
              <w:jc w:val="both"/>
              <w:rPr>
                <w:rFonts w:asciiTheme="majorHAnsi" w:eastAsiaTheme="majorEastAsia" w:hAnsiTheme="majorHAnsi" w:cstheme="majorBidi"/>
                <w:b/>
                <w:color w:val="FF0000"/>
                <w:sz w:val="20"/>
                <w:szCs w:val="20"/>
              </w:rPr>
            </w:pPr>
            <w:r w:rsidRPr="00D46AC7">
              <w:rPr>
                <w:b/>
                <w:color w:val="FF0000"/>
              </w:rPr>
              <w:t>-0.02</w:t>
            </w:r>
          </w:p>
        </w:tc>
      </w:tr>
      <w:tr w:rsidR="003F208B" w14:paraId="43E23BBB" w14:textId="77777777" w:rsidTr="000B3BC7">
        <w:tc>
          <w:tcPr>
            <w:tcW w:w="2793" w:type="dxa"/>
            <w:tcBorders>
              <w:top w:val="nil"/>
              <w:bottom w:val="nil"/>
            </w:tcBorders>
          </w:tcPr>
          <w:p w14:paraId="7A11C03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Distal PDA</w:t>
            </w:r>
          </w:p>
          <w:p w14:paraId="160749C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2491" w:type="dxa"/>
            <w:tcBorders>
              <w:top w:val="nil"/>
              <w:bottom w:val="nil"/>
            </w:tcBorders>
          </w:tcPr>
          <w:p w14:paraId="30A55A3D"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+18.3</w:t>
            </w:r>
          </w:p>
        </w:tc>
        <w:tc>
          <w:tcPr>
            <w:tcW w:w="2280" w:type="dxa"/>
            <w:tcBorders>
              <w:top w:val="nil"/>
              <w:bottom w:val="nil"/>
            </w:tcBorders>
          </w:tcPr>
          <w:p w14:paraId="5283A9EE"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+1.5</w:t>
            </w:r>
          </w:p>
        </w:tc>
        <w:tc>
          <w:tcPr>
            <w:tcW w:w="2012" w:type="dxa"/>
            <w:tcBorders>
              <w:top w:val="nil"/>
              <w:bottom w:val="nil"/>
            </w:tcBorders>
          </w:tcPr>
          <w:p w14:paraId="201AEC26" w14:textId="77777777" w:rsidR="003F208B" w:rsidRPr="00D46AC7" w:rsidRDefault="003F208B" w:rsidP="000B3BC7">
            <w:pPr>
              <w:widowControl w:val="0"/>
              <w:autoSpaceDE w:val="0"/>
              <w:autoSpaceDN w:val="0"/>
              <w:adjustRightInd w:val="0"/>
              <w:jc w:val="both"/>
              <w:rPr>
                <w:rFonts w:asciiTheme="majorHAnsi" w:eastAsiaTheme="majorEastAsia" w:hAnsiTheme="majorHAnsi" w:cstheme="majorBidi"/>
                <w:b/>
                <w:color w:val="FF0000"/>
                <w:sz w:val="20"/>
                <w:szCs w:val="20"/>
              </w:rPr>
            </w:pPr>
            <w:r w:rsidRPr="00D46AC7">
              <w:rPr>
                <w:b/>
                <w:color w:val="FF0000"/>
              </w:rPr>
              <w:t>+0.02</w:t>
            </w:r>
          </w:p>
        </w:tc>
      </w:tr>
      <w:tr w:rsidR="003F208B" w14:paraId="0217E6A3" w14:textId="77777777" w:rsidTr="000B3BC7">
        <w:tc>
          <w:tcPr>
            <w:tcW w:w="2793" w:type="dxa"/>
            <w:tcBorders>
              <w:top w:val="nil"/>
              <w:left w:val="single" w:sz="4" w:space="0" w:color="548DD4" w:themeColor="text2" w:themeTint="99"/>
              <w:bottom w:val="single" w:sz="4" w:space="0" w:color="548DD4" w:themeColor="text2" w:themeTint="99"/>
              <w:right w:val="nil"/>
            </w:tcBorders>
          </w:tcPr>
          <w:p w14:paraId="591A4B2D"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Distal PLV</w:t>
            </w:r>
          </w:p>
        </w:tc>
        <w:tc>
          <w:tcPr>
            <w:tcW w:w="2491" w:type="dxa"/>
            <w:tcBorders>
              <w:top w:val="nil"/>
              <w:left w:val="nil"/>
              <w:bottom w:val="single" w:sz="4" w:space="0" w:color="548DD4" w:themeColor="text2" w:themeTint="99"/>
              <w:right w:val="nil"/>
            </w:tcBorders>
          </w:tcPr>
          <w:p w14:paraId="60C2D9CF"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-57.4</w:t>
            </w:r>
          </w:p>
        </w:tc>
        <w:tc>
          <w:tcPr>
            <w:tcW w:w="2280" w:type="dxa"/>
            <w:tcBorders>
              <w:top w:val="nil"/>
              <w:left w:val="nil"/>
              <w:bottom w:val="single" w:sz="4" w:space="0" w:color="548DD4" w:themeColor="text2" w:themeTint="99"/>
              <w:right w:val="nil"/>
            </w:tcBorders>
          </w:tcPr>
          <w:p w14:paraId="2E2AB996"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-4.6</w:t>
            </w:r>
          </w:p>
        </w:tc>
        <w:tc>
          <w:tcPr>
            <w:tcW w:w="2012" w:type="dxa"/>
            <w:tcBorders>
              <w:top w:val="nil"/>
              <w:left w:val="nil"/>
              <w:bottom w:val="single" w:sz="4" w:space="0" w:color="548DD4" w:themeColor="text2" w:themeTint="99"/>
              <w:right w:val="single" w:sz="4" w:space="0" w:color="548DD4" w:themeColor="text2" w:themeTint="99"/>
            </w:tcBorders>
          </w:tcPr>
          <w:p w14:paraId="381E6BBC" w14:textId="77777777" w:rsidR="003F208B" w:rsidRPr="00D46AC7" w:rsidRDefault="003F208B" w:rsidP="000B3BC7">
            <w:pPr>
              <w:widowControl w:val="0"/>
              <w:autoSpaceDE w:val="0"/>
              <w:autoSpaceDN w:val="0"/>
              <w:adjustRightInd w:val="0"/>
              <w:jc w:val="both"/>
              <w:rPr>
                <w:rFonts w:asciiTheme="majorHAnsi" w:eastAsiaTheme="majorEastAsia" w:hAnsiTheme="majorHAnsi" w:cstheme="majorBidi"/>
                <w:b/>
                <w:color w:val="FF0000"/>
                <w:sz w:val="20"/>
                <w:szCs w:val="20"/>
              </w:rPr>
            </w:pPr>
            <w:r w:rsidRPr="00D46AC7">
              <w:rPr>
                <w:b/>
                <w:color w:val="FF0000"/>
              </w:rPr>
              <w:t>-0.05</w:t>
            </w:r>
          </w:p>
        </w:tc>
      </w:tr>
    </w:tbl>
    <w:p w14:paraId="69F7BECC"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605F922B"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4D776857"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FFR effect</w:t>
      </w:r>
    </w:p>
    <w:p w14:paraId="78EAC0F2"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The height variations have been converted into pressure effect in mmHg. The impact on FFR with a Pa of 100 is shown in the far right column.</w:t>
      </w:r>
      <w:r>
        <w:rPr>
          <w:rFonts w:ascii="Times New Roman" w:hAnsi="Times New Roman" w:cs="Times New Roman"/>
          <w:sz w:val="24"/>
          <w:szCs w:val="24"/>
        </w:rPr>
        <w:br/>
      </w:r>
      <w:r>
        <w:rPr>
          <w:rFonts w:ascii="Times New Roman" w:hAnsi="Times New Roman" w:cs="Times New Roman"/>
          <w:sz w:val="24"/>
          <w:szCs w:val="24"/>
        </w:rPr>
        <w:br/>
        <w:t>Table 4</w:t>
      </w:r>
    </w:p>
    <w:p w14:paraId="60F900F8"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1688"/>
        <w:gridCol w:w="1681"/>
        <w:gridCol w:w="1679"/>
        <w:gridCol w:w="1473"/>
        <w:gridCol w:w="1471"/>
        <w:gridCol w:w="1358"/>
      </w:tblGrid>
      <w:tr w:rsidR="003F208B" w14:paraId="17802FE5" w14:textId="77777777" w:rsidTr="000B3BC7">
        <w:tc>
          <w:tcPr>
            <w:tcW w:w="1721" w:type="dxa"/>
          </w:tcPr>
          <w:p w14:paraId="4BA70A14"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Vessel point</w:t>
            </w:r>
          </w:p>
          <w:p w14:paraId="623A6EE4"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(+change in Pd pressure)</w:t>
            </w:r>
          </w:p>
        </w:tc>
        <w:tc>
          <w:tcPr>
            <w:tcW w:w="1729" w:type="dxa"/>
            <w:tcBorders>
              <w:bottom w:val="single" w:sz="8" w:space="0" w:color="4F81BD" w:themeColor="accent1"/>
            </w:tcBorders>
          </w:tcPr>
          <w:p w14:paraId="76BD018F"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 FFR below 0.8</w:t>
            </w:r>
          </w:p>
        </w:tc>
        <w:tc>
          <w:tcPr>
            <w:tcW w:w="1728" w:type="dxa"/>
            <w:tcBorders>
              <w:bottom w:val="single" w:sz="8" w:space="0" w:color="4F81BD" w:themeColor="accent1"/>
            </w:tcBorders>
          </w:tcPr>
          <w:p w14:paraId="4BF1B7E5"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 FFR  above 0.8</w:t>
            </w:r>
          </w:p>
        </w:tc>
        <w:tc>
          <w:tcPr>
            <w:tcW w:w="1510" w:type="dxa"/>
          </w:tcPr>
          <w:p w14:paraId="1328AA3B"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 cFFR below 0.8</w:t>
            </w:r>
          </w:p>
        </w:tc>
        <w:tc>
          <w:tcPr>
            <w:tcW w:w="1509" w:type="dxa"/>
          </w:tcPr>
          <w:p w14:paraId="1A174B57"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 cFFR above 0.8</w:t>
            </w:r>
          </w:p>
        </w:tc>
        <w:tc>
          <w:tcPr>
            <w:tcW w:w="1379" w:type="dxa"/>
          </w:tcPr>
          <w:p w14:paraId="0AB1FB09"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 Crossing 0.8</w:t>
            </w:r>
          </w:p>
          <w:p w14:paraId="68F8451C"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sz w:val="20"/>
                <w:szCs w:val="20"/>
              </w:rPr>
            </w:pPr>
          </w:p>
        </w:tc>
      </w:tr>
      <w:tr w:rsidR="003F208B" w14:paraId="34BCD297" w14:textId="77777777" w:rsidTr="000B3BC7">
        <w:tc>
          <w:tcPr>
            <w:tcW w:w="1721" w:type="dxa"/>
            <w:tcBorders>
              <w:right w:val="single" w:sz="4" w:space="0" w:color="548DD4" w:themeColor="text2" w:themeTint="99"/>
            </w:tcBorders>
          </w:tcPr>
          <w:p w14:paraId="2BBA2D2C"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Distal LAD</w:t>
            </w:r>
          </w:p>
          <w:p w14:paraId="2063C7AE"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(-0.04)</w:t>
            </w:r>
          </w:p>
          <w:p w14:paraId="2EF017C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729" w:type="dxa"/>
            <w:vMerge w:val="restart"/>
            <w:tcBorders>
              <w:left w:val="single" w:sz="4" w:space="0" w:color="548DD4" w:themeColor="text2" w:themeTint="99"/>
            </w:tcBorders>
          </w:tcPr>
          <w:p w14:paraId="4BCC342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73F8E134"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2DE47477"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3054B45A"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3C97A03C"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1FEAF8D6"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45.5</w:t>
            </w:r>
          </w:p>
        </w:tc>
        <w:tc>
          <w:tcPr>
            <w:tcW w:w="1728" w:type="dxa"/>
            <w:vMerge w:val="restart"/>
            <w:tcBorders>
              <w:right w:val="single" w:sz="4" w:space="0" w:color="548DD4" w:themeColor="text2" w:themeTint="99"/>
            </w:tcBorders>
          </w:tcPr>
          <w:p w14:paraId="1458F7D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3427F11B"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7B596D06"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30B885AD"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31ED197C"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p w14:paraId="6FF78981"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54.5</w:t>
            </w:r>
          </w:p>
        </w:tc>
        <w:tc>
          <w:tcPr>
            <w:tcW w:w="1510" w:type="dxa"/>
            <w:tcBorders>
              <w:left w:val="single" w:sz="4" w:space="0" w:color="548DD4" w:themeColor="text2" w:themeTint="99"/>
            </w:tcBorders>
          </w:tcPr>
          <w:p w14:paraId="06630371"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6</w:t>
            </w:r>
          </w:p>
        </w:tc>
        <w:tc>
          <w:tcPr>
            <w:tcW w:w="1509" w:type="dxa"/>
          </w:tcPr>
          <w:p w14:paraId="1F87B6FB"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94</w:t>
            </w:r>
          </w:p>
        </w:tc>
        <w:tc>
          <w:tcPr>
            <w:tcW w:w="1379" w:type="dxa"/>
          </w:tcPr>
          <w:p w14:paraId="3483861D"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42.5</w:t>
            </w:r>
          </w:p>
        </w:tc>
      </w:tr>
      <w:tr w:rsidR="003F208B" w14:paraId="2056C373" w14:textId="77777777" w:rsidTr="000B3BC7">
        <w:tc>
          <w:tcPr>
            <w:tcW w:w="1721" w:type="dxa"/>
            <w:tcBorders>
              <w:right w:val="single" w:sz="4" w:space="0" w:color="548DD4" w:themeColor="text2" w:themeTint="99"/>
            </w:tcBorders>
          </w:tcPr>
          <w:p w14:paraId="4AE7AC58"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Distal Cx</w:t>
            </w:r>
          </w:p>
          <w:p w14:paraId="34CB7C5E"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(+0.03)</w:t>
            </w:r>
          </w:p>
          <w:p w14:paraId="7D6EF82A"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729" w:type="dxa"/>
            <w:vMerge/>
            <w:tcBorders>
              <w:top w:val="nil"/>
              <w:left w:val="single" w:sz="4" w:space="0" w:color="548DD4" w:themeColor="text2" w:themeTint="99"/>
              <w:bottom w:val="single" w:sz="8" w:space="0" w:color="4F81BD" w:themeColor="accent1"/>
            </w:tcBorders>
          </w:tcPr>
          <w:p w14:paraId="2533512E"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728" w:type="dxa"/>
            <w:vMerge/>
            <w:tcBorders>
              <w:top w:val="nil"/>
              <w:bottom w:val="single" w:sz="8" w:space="0" w:color="4F81BD" w:themeColor="accent1"/>
              <w:right w:val="single" w:sz="4" w:space="0" w:color="548DD4" w:themeColor="text2" w:themeTint="99"/>
            </w:tcBorders>
          </w:tcPr>
          <w:p w14:paraId="3CBE172C"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510" w:type="dxa"/>
            <w:tcBorders>
              <w:left w:val="single" w:sz="4" w:space="0" w:color="548DD4" w:themeColor="text2" w:themeTint="99"/>
            </w:tcBorders>
          </w:tcPr>
          <w:p w14:paraId="638BB512"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72</w:t>
            </w:r>
          </w:p>
        </w:tc>
        <w:tc>
          <w:tcPr>
            <w:tcW w:w="1509" w:type="dxa"/>
          </w:tcPr>
          <w:p w14:paraId="01AE5553"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28</w:t>
            </w:r>
          </w:p>
        </w:tc>
        <w:tc>
          <w:tcPr>
            <w:tcW w:w="1379" w:type="dxa"/>
          </w:tcPr>
          <w:p w14:paraId="180C0634"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26.5</w:t>
            </w:r>
          </w:p>
        </w:tc>
      </w:tr>
      <w:tr w:rsidR="003F208B" w14:paraId="672BE4EF" w14:textId="77777777" w:rsidTr="000B3BC7">
        <w:tc>
          <w:tcPr>
            <w:tcW w:w="1721" w:type="dxa"/>
            <w:tcBorders>
              <w:right w:val="single" w:sz="4" w:space="0" w:color="548DD4" w:themeColor="text2" w:themeTint="99"/>
            </w:tcBorders>
          </w:tcPr>
          <w:p w14:paraId="3B94D2FE"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Distal PLV</w:t>
            </w:r>
          </w:p>
          <w:p w14:paraId="576F274C"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(+0.05)</w:t>
            </w:r>
          </w:p>
          <w:p w14:paraId="5E43845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729" w:type="dxa"/>
            <w:vMerge/>
            <w:tcBorders>
              <w:top w:val="nil"/>
              <w:left w:val="single" w:sz="4" w:space="0" w:color="548DD4" w:themeColor="text2" w:themeTint="99"/>
            </w:tcBorders>
          </w:tcPr>
          <w:p w14:paraId="5F382557"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728" w:type="dxa"/>
            <w:vMerge/>
            <w:tcBorders>
              <w:top w:val="nil"/>
              <w:right w:val="single" w:sz="4" w:space="0" w:color="548DD4" w:themeColor="text2" w:themeTint="99"/>
            </w:tcBorders>
          </w:tcPr>
          <w:p w14:paraId="07FD557F"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510" w:type="dxa"/>
            <w:tcBorders>
              <w:left w:val="single" w:sz="4" w:space="0" w:color="548DD4" w:themeColor="text2" w:themeTint="99"/>
            </w:tcBorders>
          </w:tcPr>
          <w:p w14:paraId="1CC5A947"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92</w:t>
            </w:r>
          </w:p>
        </w:tc>
        <w:tc>
          <w:tcPr>
            <w:tcW w:w="1509" w:type="dxa"/>
          </w:tcPr>
          <w:p w14:paraId="65FBCED9"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8</w:t>
            </w:r>
          </w:p>
        </w:tc>
        <w:tc>
          <w:tcPr>
            <w:tcW w:w="1379" w:type="dxa"/>
          </w:tcPr>
          <w:p w14:paraId="083B54AB"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46.5</w:t>
            </w:r>
          </w:p>
        </w:tc>
      </w:tr>
      <w:tr w:rsidR="003F208B" w14:paraId="0CB09F02" w14:textId="77777777" w:rsidTr="000B3BC7">
        <w:tc>
          <w:tcPr>
            <w:tcW w:w="1721" w:type="dxa"/>
            <w:tcBorders>
              <w:right w:val="single" w:sz="4" w:space="0" w:color="548DD4" w:themeColor="text2" w:themeTint="99"/>
            </w:tcBorders>
          </w:tcPr>
          <w:p w14:paraId="19FA833D"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Distal PDA</w:t>
            </w:r>
          </w:p>
          <w:p w14:paraId="3A89698B"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(-0.02)</w:t>
            </w:r>
          </w:p>
          <w:p w14:paraId="44A2BDAE"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729" w:type="dxa"/>
            <w:vMerge/>
            <w:tcBorders>
              <w:top w:val="nil"/>
              <w:left w:val="single" w:sz="4" w:space="0" w:color="548DD4" w:themeColor="text2" w:themeTint="99"/>
              <w:bottom w:val="single" w:sz="8" w:space="0" w:color="4F81BD" w:themeColor="accent1"/>
            </w:tcBorders>
          </w:tcPr>
          <w:p w14:paraId="3253A14A"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728" w:type="dxa"/>
            <w:vMerge/>
            <w:tcBorders>
              <w:top w:val="nil"/>
              <w:bottom w:val="single" w:sz="8" w:space="0" w:color="4F81BD" w:themeColor="accent1"/>
              <w:right w:val="single" w:sz="4" w:space="0" w:color="548DD4" w:themeColor="text2" w:themeTint="99"/>
            </w:tcBorders>
          </w:tcPr>
          <w:p w14:paraId="4D5F6EFF"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1510" w:type="dxa"/>
            <w:tcBorders>
              <w:left w:val="single" w:sz="4" w:space="0" w:color="548DD4" w:themeColor="text2" w:themeTint="99"/>
            </w:tcBorders>
          </w:tcPr>
          <w:p w14:paraId="613201AE"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30.5</w:t>
            </w:r>
          </w:p>
        </w:tc>
        <w:tc>
          <w:tcPr>
            <w:tcW w:w="1509" w:type="dxa"/>
          </w:tcPr>
          <w:p w14:paraId="56775045"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69.5</w:t>
            </w:r>
          </w:p>
        </w:tc>
        <w:tc>
          <w:tcPr>
            <w:tcW w:w="1379" w:type="dxa"/>
          </w:tcPr>
          <w:p w14:paraId="3A4F3BA9"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15</w:t>
            </w:r>
          </w:p>
        </w:tc>
      </w:tr>
    </w:tbl>
    <w:p w14:paraId="6ED0D6AE"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5CC8D1F0"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1F2AC06D"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Effect on FFR measurements between 0.75 and 0.85</w:t>
      </w:r>
      <w:r>
        <w:rPr>
          <w:rFonts w:ascii="Times New Roman" w:hAnsi="Times New Roman" w:cs="Times New Roman"/>
          <w:sz w:val="24"/>
          <w:szCs w:val="24"/>
        </w:rPr>
        <w:br/>
        <w:t>The effect on 200 randomly generated FFR measurements is shown for each vessel point. % values crossing a threshold of 0.8 is shown in the far right column</w:t>
      </w:r>
    </w:p>
    <w:p w14:paraId="4624E014"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0FB527E0"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Table 5</w:t>
      </w:r>
    </w:p>
    <w:p w14:paraId="33C7703A"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3134"/>
        <w:gridCol w:w="3105"/>
        <w:gridCol w:w="3111"/>
      </w:tblGrid>
      <w:tr w:rsidR="003F208B" w14:paraId="0D4DE85C" w14:textId="77777777" w:rsidTr="000B3BC7">
        <w:tc>
          <w:tcPr>
            <w:tcW w:w="3192" w:type="dxa"/>
          </w:tcPr>
          <w:p w14:paraId="05292F39"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Measurement point</w:t>
            </w:r>
          </w:p>
          <w:p w14:paraId="1805627E"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sz w:val="20"/>
                <w:szCs w:val="20"/>
              </w:rPr>
            </w:pPr>
          </w:p>
        </w:tc>
        <w:tc>
          <w:tcPr>
            <w:tcW w:w="3192" w:type="dxa"/>
          </w:tcPr>
          <w:p w14:paraId="21A04BE0"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FFR</w:t>
            </w:r>
          </w:p>
        </w:tc>
        <w:tc>
          <w:tcPr>
            <w:tcW w:w="3192" w:type="dxa"/>
          </w:tcPr>
          <w:p w14:paraId="1D8B8A86"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Flow (cm/s)</w:t>
            </w:r>
          </w:p>
        </w:tc>
      </w:tr>
      <w:tr w:rsidR="003F208B" w14:paraId="6DC7825D" w14:textId="77777777" w:rsidTr="000B3BC7">
        <w:tc>
          <w:tcPr>
            <w:tcW w:w="3192" w:type="dxa"/>
          </w:tcPr>
          <w:p w14:paraId="00D7D550"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PDA</w:t>
            </w:r>
          </w:p>
          <w:p w14:paraId="731F00E7"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3192" w:type="dxa"/>
          </w:tcPr>
          <w:p w14:paraId="07728985"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0.75</w:t>
            </w:r>
          </w:p>
        </w:tc>
        <w:tc>
          <w:tcPr>
            <w:tcW w:w="3192" w:type="dxa"/>
          </w:tcPr>
          <w:p w14:paraId="50126C09"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17.1</w:t>
            </w:r>
          </w:p>
        </w:tc>
      </w:tr>
      <w:tr w:rsidR="003F208B" w14:paraId="47999CE7" w14:textId="77777777" w:rsidTr="000B3BC7">
        <w:tc>
          <w:tcPr>
            <w:tcW w:w="3192" w:type="dxa"/>
          </w:tcPr>
          <w:p w14:paraId="19E1159C"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PLV</w:t>
            </w:r>
          </w:p>
          <w:p w14:paraId="6B06C3D5"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F81BD" w:themeColor="accent1"/>
                <w:sz w:val="20"/>
                <w:szCs w:val="20"/>
              </w:rPr>
            </w:pPr>
          </w:p>
        </w:tc>
        <w:tc>
          <w:tcPr>
            <w:tcW w:w="3192" w:type="dxa"/>
          </w:tcPr>
          <w:p w14:paraId="7D93AB20"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0.8</w:t>
            </w:r>
          </w:p>
        </w:tc>
        <w:tc>
          <w:tcPr>
            <w:tcW w:w="3192" w:type="dxa"/>
          </w:tcPr>
          <w:p w14:paraId="2518E86E"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19.1</w:t>
            </w:r>
          </w:p>
        </w:tc>
      </w:tr>
      <w:tr w:rsidR="003F208B" w14:paraId="6BD46580" w14:textId="77777777" w:rsidTr="000B3BC7">
        <w:tc>
          <w:tcPr>
            <w:tcW w:w="3192" w:type="dxa"/>
          </w:tcPr>
          <w:p w14:paraId="6B2514B2" w14:textId="77777777" w:rsidR="003F208B" w:rsidRDefault="003F208B" w:rsidP="000B3BC7">
            <w:pPr>
              <w:widowControl w:val="0"/>
              <w:autoSpaceDE w:val="0"/>
              <w:autoSpaceDN w:val="0"/>
              <w:adjustRightInd w:val="0"/>
              <w:jc w:val="both"/>
              <w:rPr>
                <w:rFonts w:asciiTheme="majorHAnsi" w:eastAsiaTheme="majorEastAsia" w:hAnsiTheme="majorHAnsi" w:cstheme="majorBidi"/>
                <w:b/>
                <w:bCs/>
                <w:color w:val="404040" w:themeColor="text1" w:themeTint="BF"/>
                <w:sz w:val="20"/>
                <w:szCs w:val="20"/>
              </w:rPr>
            </w:pPr>
            <w:r>
              <w:t>3 vessel diameters beyond stenosis (mid RCA)</w:t>
            </w:r>
          </w:p>
        </w:tc>
        <w:tc>
          <w:tcPr>
            <w:tcW w:w="3192" w:type="dxa"/>
          </w:tcPr>
          <w:p w14:paraId="0897D526"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0.79</w:t>
            </w:r>
          </w:p>
        </w:tc>
        <w:tc>
          <w:tcPr>
            <w:tcW w:w="3192" w:type="dxa"/>
          </w:tcPr>
          <w:p w14:paraId="43D8B63F" w14:textId="77777777" w:rsidR="003F208B" w:rsidRDefault="003F208B" w:rsidP="000B3BC7">
            <w:pPr>
              <w:widowControl w:val="0"/>
              <w:autoSpaceDE w:val="0"/>
              <w:autoSpaceDN w:val="0"/>
              <w:adjustRightInd w:val="0"/>
              <w:jc w:val="both"/>
              <w:rPr>
                <w:rFonts w:asciiTheme="majorHAnsi" w:eastAsiaTheme="majorEastAsia" w:hAnsiTheme="majorHAnsi" w:cstheme="majorBidi"/>
                <w:color w:val="404040" w:themeColor="text1" w:themeTint="BF"/>
                <w:sz w:val="20"/>
                <w:szCs w:val="20"/>
              </w:rPr>
            </w:pPr>
            <w:r>
              <w:t>18.6</w:t>
            </w:r>
          </w:p>
        </w:tc>
      </w:tr>
    </w:tbl>
    <w:p w14:paraId="4E46DECD"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0FDE4FB1"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p>
    <w:p w14:paraId="5EA3FE62" w14:textId="77777777" w:rsidR="003F208B"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Clinical case data</w:t>
      </w:r>
    </w:p>
    <w:p w14:paraId="5462E193" w14:textId="77777777" w:rsidR="003F208B" w:rsidRPr="006D2678" w:rsidRDefault="003F208B" w:rsidP="003F208B">
      <w:pPr>
        <w:widowControl w:val="0"/>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 xml:space="preserve">The data from the clinical case described is shown in table 5. FFR measurement varied by 0.05 between PLV and PDA. Velocity measurements did not vary significantly. This is due to the vertical height differences in both vessels and  in turn the hydrostatic effect. </w:t>
      </w:r>
    </w:p>
    <w:p w14:paraId="7074946C" w14:textId="77777777" w:rsidR="003F208B" w:rsidRPr="00AB327C" w:rsidRDefault="003F208B" w:rsidP="003F208B">
      <w:pPr>
        <w:spacing w:line="480" w:lineRule="auto"/>
        <w:jc w:val="both"/>
        <w:rPr>
          <w:rFonts w:ascii="Times New Roman" w:hAnsi="Times New Roman" w:cs="Times New Roman"/>
          <w:sz w:val="24"/>
          <w:szCs w:val="24"/>
        </w:rPr>
      </w:pPr>
    </w:p>
    <w:p w14:paraId="436EF323" w14:textId="77777777" w:rsidR="003F208B" w:rsidRPr="00AB327C" w:rsidRDefault="003F208B" w:rsidP="003F208B">
      <w:pPr>
        <w:spacing w:line="480" w:lineRule="auto"/>
        <w:rPr>
          <w:rFonts w:ascii="Times New Roman" w:hAnsi="Times New Roman" w:cs="Times New Roman"/>
          <w:sz w:val="24"/>
          <w:szCs w:val="24"/>
        </w:rPr>
      </w:pPr>
    </w:p>
    <w:p w14:paraId="127261F4" w14:textId="77777777" w:rsidR="003F208B" w:rsidRDefault="003F208B" w:rsidP="003F208B"/>
    <w:p w14:paraId="4924981E" w14:textId="77777777" w:rsidR="003F208B" w:rsidRPr="003F208B" w:rsidRDefault="003F208B" w:rsidP="003F208B"/>
    <w:p w14:paraId="1BECA5DF" w14:textId="77777777" w:rsidR="003F208B" w:rsidRDefault="003F208B" w:rsidP="003F208B"/>
    <w:p w14:paraId="60A40FDC" w14:textId="77777777" w:rsidR="003F208B" w:rsidRPr="003F208B" w:rsidRDefault="003F208B" w:rsidP="003F208B"/>
    <w:sectPr w:rsidR="003F208B" w:rsidRPr="003F208B" w:rsidSect="00D35073">
      <w:pgSz w:w="12240" w:h="15840"/>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FE01A9" w14:textId="77777777" w:rsidR="00D35073" w:rsidRDefault="00D35073" w:rsidP="00E67973">
      <w:pPr>
        <w:spacing w:after="0" w:line="240" w:lineRule="auto"/>
      </w:pPr>
      <w:r>
        <w:separator/>
      </w:r>
    </w:p>
  </w:endnote>
  <w:endnote w:type="continuationSeparator" w:id="0">
    <w:p w14:paraId="02CD436F" w14:textId="77777777" w:rsidR="00D35073" w:rsidRDefault="00D35073" w:rsidP="00E679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4349512"/>
      <w:docPartObj>
        <w:docPartGallery w:val="Page Numbers (Bottom of Page)"/>
        <w:docPartUnique/>
      </w:docPartObj>
    </w:sdtPr>
    <w:sdtEndPr/>
    <w:sdtContent>
      <w:p w14:paraId="2B46AE31" w14:textId="77777777" w:rsidR="00D35073" w:rsidRDefault="00D35073">
        <w:pPr>
          <w:pStyle w:val="Footer"/>
          <w:jc w:val="right"/>
        </w:pPr>
        <w:r>
          <w:fldChar w:fldCharType="begin"/>
        </w:r>
        <w:r>
          <w:instrText xml:space="preserve"> PAGE   \* MERGEFORMAT </w:instrText>
        </w:r>
        <w:r>
          <w:fldChar w:fldCharType="separate"/>
        </w:r>
        <w:r w:rsidR="00597EC2">
          <w:rPr>
            <w:noProof/>
          </w:rPr>
          <w:t>xiv</w:t>
        </w:r>
        <w:r>
          <w:rPr>
            <w:noProof/>
          </w:rPr>
          <w:fldChar w:fldCharType="end"/>
        </w:r>
      </w:p>
    </w:sdtContent>
  </w:sdt>
  <w:p w14:paraId="5195483E" w14:textId="77777777" w:rsidR="00D35073" w:rsidRDefault="00D350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3B074" w14:textId="77777777" w:rsidR="00D35073" w:rsidRDefault="00D35073">
    <w:pPr>
      <w:pStyle w:val="Footer"/>
      <w:jc w:val="right"/>
    </w:pPr>
  </w:p>
  <w:p w14:paraId="5D551CD8" w14:textId="77777777" w:rsidR="00D35073" w:rsidRDefault="00D3507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1024929"/>
      <w:docPartObj>
        <w:docPartGallery w:val="Page Numbers (Bottom of Page)"/>
        <w:docPartUnique/>
      </w:docPartObj>
    </w:sdtPr>
    <w:sdtEndPr/>
    <w:sdtContent>
      <w:p w14:paraId="43231C12" w14:textId="77777777" w:rsidR="00D35073" w:rsidRDefault="00D35073">
        <w:pPr>
          <w:pStyle w:val="Footer"/>
          <w:jc w:val="right"/>
        </w:pPr>
        <w:r>
          <w:fldChar w:fldCharType="begin"/>
        </w:r>
        <w:r>
          <w:instrText xml:space="preserve"> PAGE   \* MERGEFORMAT </w:instrText>
        </w:r>
        <w:r>
          <w:fldChar w:fldCharType="separate"/>
        </w:r>
        <w:r w:rsidR="00597EC2">
          <w:rPr>
            <w:noProof/>
          </w:rPr>
          <w:t>i</w:t>
        </w:r>
        <w:r>
          <w:rPr>
            <w:noProof/>
          </w:rPr>
          <w:fldChar w:fldCharType="end"/>
        </w:r>
      </w:p>
    </w:sdtContent>
  </w:sdt>
  <w:p w14:paraId="34F8C6D7" w14:textId="77777777" w:rsidR="00D35073" w:rsidRDefault="00D3507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672533"/>
      <w:docPartObj>
        <w:docPartGallery w:val="Page Numbers (Bottom of Page)"/>
        <w:docPartUnique/>
      </w:docPartObj>
    </w:sdtPr>
    <w:sdtEndPr/>
    <w:sdtContent>
      <w:p w14:paraId="5581054C" w14:textId="77777777" w:rsidR="00D35073" w:rsidRDefault="00D35073">
        <w:pPr>
          <w:pStyle w:val="Footer"/>
          <w:jc w:val="right"/>
        </w:pPr>
        <w:r>
          <w:fldChar w:fldCharType="begin"/>
        </w:r>
        <w:r>
          <w:instrText xml:space="preserve"> PAGE   \* MERGEFORMAT </w:instrText>
        </w:r>
        <w:r>
          <w:fldChar w:fldCharType="separate"/>
        </w:r>
        <w:r w:rsidR="00597EC2">
          <w:rPr>
            <w:noProof/>
          </w:rPr>
          <w:t>142</w:t>
        </w:r>
        <w:r>
          <w:rPr>
            <w:noProof/>
          </w:rPr>
          <w:fldChar w:fldCharType="end"/>
        </w:r>
      </w:p>
    </w:sdtContent>
  </w:sdt>
  <w:p w14:paraId="51B505AE" w14:textId="77777777" w:rsidR="00D35073" w:rsidRDefault="00D350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8F1860" w14:textId="77777777" w:rsidR="00D35073" w:rsidRDefault="00D35073" w:rsidP="00E67973">
      <w:pPr>
        <w:spacing w:after="0" w:line="240" w:lineRule="auto"/>
      </w:pPr>
      <w:r>
        <w:separator/>
      </w:r>
    </w:p>
  </w:footnote>
  <w:footnote w:type="continuationSeparator" w:id="0">
    <w:p w14:paraId="0762DE05" w14:textId="77777777" w:rsidR="00D35073" w:rsidRDefault="00D35073" w:rsidP="00E6797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B8AF88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12922C0"/>
    <w:multiLevelType w:val="hybridMultilevel"/>
    <w:tmpl w:val="C39E2FC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E60748"/>
    <w:multiLevelType w:val="hybridMultilevel"/>
    <w:tmpl w:val="FB601E2E"/>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 w15:restartNumberingAfterBreak="0">
    <w:nsid w:val="029D755E"/>
    <w:multiLevelType w:val="hybridMultilevel"/>
    <w:tmpl w:val="E3B4F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867671"/>
    <w:multiLevelType w:val="hybridMultilevel"/>
    <w:tmpl w:val="256610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F04E73"/>
    <w:multiLevelType w:val="hybridMultilevel"/>
    <w:tmpl w:val="4768E5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0C0DE8"/>
    <w:multiLevelType w:val="hybridMultilevel"/>
    <w:tmpl w:val="96A825B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F8A451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0803D98"/>
    <w:multiLevelType w:val="hybridMultilevel"/>
    <w:tmpl w:val="6BB8DC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98118A"/>
    <w:multiLevelType w:val="hybridMultilevel"/>
    <w:tmpl w:val="20CC78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326E54"/>
    <w:multiLevelType w:val="hybridMultilevel"/>
    <w:tmpl w:val="B08207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17235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7369FB"/>
    <w:multiLevelType w:val="hybridMultilevel"/>
    <w:tmpl w:val="345AEBA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16A90D72"/>
    <w:multiLevelType w:val="hybridMultilevel"/>
    <w:tmpl w:val="016874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06766D"/>
    <w:multiLevelType w:val="hybridMultilevel"/>
    <w:tmpl w:val="22F80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B23EC2"/>
    <w:multiLevelType w:val="hybridMultilevel"/>
    <w:tmpl w:val="92CAC5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FB302B"/>
    <w:multiLevelType w:val="multilevel"/>
    <w:tmpl w:val="3A74CD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AC70AE1"/>
    <w:multiLevelType w:val="hybridMultilevel"/>
    <w:tmpl w:val="014E7B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F2A45EE"/>
    <w:multiLevelType w:val="hybridMultilevel"/>
    <w:tmpl w:val="1E2E19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FD44D6"/>
    <w:multiLevelType w:val="hybridMultilevel"/>
    <w:tmpl w:val="92F2F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055698"/>
    <w:multiLevelType w:val="hybridMultilevel"/>
    <w:tmpl w:val="BF06BC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8C5B1A"/>
    <w:multiLevelType w:val="hybridMultilevel"/>
    <w:tmpl w:val="95D0C1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35C15AC4"/>
    <w:multiLevelType w:val="hybridMultilevel"/>
    <w:tmpl w:val="9C6E9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6BC0585"/>
    <w:multiLevelType w:val="hybridMultilevel"/>
    <w:tmpl w:val="761A63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AC4D42"/>
    <w:multiLevelType w:val="hybridMultilevel"/>
    <w:tmpl w:val="5DA4B5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DF763D"/>
    <w:multiLevelType w:val="hybridMultilevel"/>
    <w:tmpl w:val="8968CD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675874"/>
    <w:multiLevelType w:val="hybridMultilevel"/>
    <w:tmpl w:val="7D6AD5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5D42508"/>
    <w:multiLevelType w:val="hybridMultilevel"/>
    <w:tmpl w:val="1E2E19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5D6543B"/>
    <w:multiLevelType w:val="hybridMultilevel"/>
    <w:tmpl w:val="579EB5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BFA786F"/>
    <w:multiLevelType w:val="multilevel"/>
    <w:tmpl w:val="D4D80498"/>
    <w:lvl w:ilvl="0">
      <w:start w:val="1"/>
      <w:numFmt w:val="decimal"/>
      <w:lvlText w:val="%1."/>
      <w:lvlJc w:val="left"/>
      <w:pPr>
        <w:ind w:left="360" w:hanging="360"/>
      </w:pPr>
      <w:rPr>
        <w:rFonts w:hint="default"/>
      </w:rPr>
    </w:lvl>
    <w:lvl w:ilvl="1">
      <w:start w:val="1"/>
      <w:numFmt w:val="lowerLetter"/>
      <w:lvlText w:val="%1.%2."/>
      <w:lvlJc w:val="left"/>
      <w:pPr>
        <w:ind w:left="792" w:hanging="432"/>
      </w:pPr>
      <w:rPr>
        <w:rFonts w:hint="default"/>
      </w:rPr>
    </w:lvl>
    <w:lvl w:ilvl="2">
      <w:start w:val="1"/>
      <w:numFmt w:val="lowerRoman"/>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EAB3CA5"/>
    <w:multiLevelType w:val="hybridMultilevel"/>
    <w:tmpl w:val="7D6AD5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0B3F0C"/>
    <w:multiLevelType w:val="hybridMultilevel"/>
    <w:tmpl w:val="00E0F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6A713CB"/>
    <w:multiLevelType w:val="multilevel"/>
    <w:tmpl w:val="3C867548"/>
    <w:lvl w:ilvl="0">
      <w:start w:val="1"/>
      <w:numFmt w:val="decimal"/>
      <w:lvlText w:val="%1."/>
      <w:lvlJc w:val="left"/>
      <w:pPr>
        <w:ind w:left="360" w:hanging="360"/>
      </w:pPr>
      <w:rPr>
        <w:rFonts w:hint="default"/>
      </w:rPr>
    </w:lvl>
    <w:lvl w:ilvl="1">
      <w:start w:val="1"/>
      <w:numFmt w:val="lowerLetter"/>
      <w:lvlText w:val="%1.%2."/>
      <w:lvlJc w:val="left"/>
      <w:pPr>
        <w:ind w:left="792" w:hanging="432"/>
      </w:pPr>
      <w:rPr>
        <w:rFonts w:hint="default"/>
      </w:rPr>
    </w:lvl>
    <w:lvl w:ilvl="2">
      <w:start w:val="1"/>
      <w:numFmt w:val="lowerRoman"/>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B2B4C64"/>
    <w:multiLevelType w:val="hybridMultilevel"/>
    <w:tmpl w:val="9F66BC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6494402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CAB2075"/>
    <w:multiLevelType w:val="hybridMultilevel"/>
    <w:tmpl w:val="B3D81D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8A6BBB"/>
    <w:multiLevelType w:val="hybridMultilevel"/>
    <w:tmpl w:val="4DE0E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422E3F"/>
    <w:multiLevelType w:val="multilevel"/>
    <w:tmpl w:val="38DCA100"/>
    <w:lvl w:ilvl="0">
      <w:start w:val="1"/>
      <w:numFmt w:val="decimal"/>
      <w:lvlText w:val="%1."/>
      <w:lvlJc w:val="left"/>
      <w:pPr>
        <w:ind w:left="720" w:hanging="360"/>
      </w:pPr>
    </w:lvl>
    <w:lvl w:ilvl="1">
      <w:start w:val="16"/>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72DE11A4"/>
    <w:multiLevelType w:val="hybridMultilevel"/>
    <w:tmpl w:val="C63A47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2F08E1"/>
    <w:multiLevelType w:val="hybridMultilevel"/>
    <w:tmpl w:val="B866C8C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5AC0FE6"/>
    <w:multiLevelType w:val="hybridMultilevel"/>
    <w:tmpl w:val="4768E5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E719A9"/>
    <w:multiLevelType w:val="multilevel"/>
    <w:tmpl w:val="D4D80498"/>
    <w:lvl w:ilvl="0">
      <w:start w:val="1"/>
      <w:numFmt w:val="decimal"/>
      <w:lvlText w:val="%1."/>
      <w:lvlJc w:val="left"/>
      <w:pPr>
        <w:ind w:left="360" w:hanging="360"/>
      </w:pPr>
      <w:rPr>
        <w:rFonts w:hint="default"/>
      </w:rPr>
    </w:lvl>
    <w:lvl w:ilvl="1">
      <w:start w:val="1"/>
      <w:numFmt w:val="lowerLetter"/>
      <w:lvlText w:val="%1.%2."/>
      <w:lvlJc w:val="left"/>
      <w:pPr>
        <w:ind w:left="792" w:hanging="432"/>
      </w:pPr>
      <w:rPr>
        <w:rFonts w:hint="default"/>
      </w:rPr>
    </w:lvl>
    <w:lvl w:ilvl="2">
      <w:start w:val="1"/>
      <w:numFmt w:val="lowerRoman"/>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D5E4086"/>
    <w:multiLevelType w:val="hybridMultilevel"/>
    <w:tmpl w:val="20AA7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E80E27"/>
    <w:multiLevelType w:val="hybridMultilevel"/>
    <w:tmpl w:val="54EE8E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ED80A65"/>
    <w:multiLevelType w:val="hybridMultilevel"/>
    <w:tmpl w:val="E68E6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CE5C83"/>
    <w:multiLevelType w:val="hybridMultilevel"/>
    <w:tmpl w:val="9E6037E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6"/>
  </w:num>
  <w:num w:numId="2">
    <w:abstractNumId w:val="30"/>
  </w:num>
  <w:num w:numId="3">
    <w:abstractNumId w:val="2"/>
  </w:num>
  <w:num w:numId="4">
    <w:abstractNumId w:val="22"/>
  </w:num>
  <w:num w:numId="5">
    <w:abstractNumId w:val="1"/>
  </w:num>
  <w:num w:numId="6">
    <w:abstractNumId w:val="36"/>
  </w:num>
  <w:num w:numId="7">
    <w:abstractNumId w:val="14"/>
  </w:num>
  <w:num w:numId="8">
    <w:abstractNumId w:val="3"/>
  </w:num>
  <w:num w:numId="9">
    <w:abstractNumId w:val="42"/>
  </w:num>
  <w:num w:numId="10">
    <w:abstractNumId w:val="45"/>
  </w:num>
  <w:num w:numId="11">
    <w:abstractNumId w:val="33"/>
  </w:num>
  <w:num w:numId="12">
    <w:abstractNumId w:val="38"/>
  </w:num>
  <w:num w:numId="13">
    <w:abstractNumId w:val="8"/>
  </w:num>
  <w:num w:numId="14">
    <w:abstractNumId w:val="19"/>
  </w:num>
  <w:num w:numId="15">
    <w:abstractNumId w:val="4"/>
  </w:num>
  <w:num w:numId="16">
    <w:abstractNumId w:val="21"/>
  </w:num>
  <w:num w:numId="17">
    <w:abstractNumId w:val="7"/>
  </w:num>
  <w:num w:numId="18">
    <w:abstractNumId w:val="16"/>
  </w:num>
  <w:num w:numId="19">
    <w:abstractNumId w:val="11"/>
  </w:num>
  <w:num w:numId="20">
    <w:abstractNumId w:val="34"/>
  </w:num>
  <w:num w:numId="21">
    <w:abstractNumId w:val="32"/>
  </w:num>
  <w:num w:numId="22">
    <w:abstractNumId w:val="29"/>
  </w:num>
  <w:num w:numId="23">
    <w:abstractNumId w:val="41"/>
  </w:num>
  <w:num w:numId="24">
    <w:abstractNumId w:val="15"/>
  </w:num>
  <w:num w:numId="25">
    <w:abstractNumId w:val="44"/>
  </w:num>
  <w:num w:numId="26">
    <w:abstractNumId w:val="43"/>
  </w:num>
  <w:num w:numId="27">
    <w:abstractNumId w:val="18"/>
  </w:num>
  <w:num w:numId="28">
    <w:abstractNumId w:val="31"/>
  </w:num>
  <w:num w:numId="29">
    <w:abstractNumId w:val="35"/>
  </w:num>
  <w:num w:numId="30">
    <w:abstractNumId w:val="27"/>
  </w:num>
  <w:num w:numId="31">
    <w:abstractNumId w:val="13"/>
  </w:num>
  <w:num w:numId="32">
    <w:abstractNumId w:val="40"/>
  </w:num>
  <w:num w:numId="33">
    <w:abstractNumId w:val="5"/>
  </w:num>
  <w:num w:numId="34">
    <w:abstractNumId w:val="9"/>
  </w:num>
  <w:num w:numId="35">
    <w:abstractNumId w:val="17"/>
  </w:num>
  <w:num w:numId="36">
    <w:abstractNumId w:val="6"/>
  </w:num>
  <w:num w:numId="37">
    <w:abstractNumId w:val="24"/>
  </w:num>
  <w:num w:numId="38">
    <w:abstractNumId w:val="37"/>
  </w:num>
  <w:num w:numId="39">
    <w:abstractNumId w:val="23"/>
  </w:num>
  <w:num w:numId="40">
    <w:abstractNumId w:val="28"/>
  </w:num>
  <w:num w:numId="41">
    <w:abstractNumId w:val="10"/>
  </w:num>
  <w:num w:numId="42">
    <w:abstractNumId w:val="12"/>
  </w:num>
  <w:num w:numId="43">
    <w:abstractNumId w:val="25"/>
  </w:num>
  <w:num w:numId="44">
    <w:abstractNumId w:val="0"/>
  </w:num>
  <w:num w:numId="45">
    <w:abstractNumId w:val="20"/>
  </w:num>
  <w:num w:numId="46">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110C"/>
    <w:rsid w:val="000002DB"/>
    <w:rsid w:val="000012F6"/>
    <w:rsid w:val="00003288"/>
    <w:rsid w:val="000037A2"/>
    <w:rsid w:val="00003E63"/>
    <w:rsid w:val="000062AD"/>
    <w:rsid w:val="000074E2"/>
    <w:rsid w:val="0001323E"/>
    <w:rsid w:val="00013548"/>
    <w:rsid w:val="00015369"/>
    <w:rsid w:val="0001596F"/>
    <w:rsid w:val="00015A8B"/>
    <w:rsid w:val="00017C1E"/>
    <w:rsid w:val="0002135D"/>
    <w:rsid w:val="00022E92"/>
    <w:rsid w:val="0002361B"/>
    <w:rsid w:val="00023AD2"/>
    <w:rsid w:val="00023DA3"/>
    <w:rsid w:val="00024776"/>
    <w:rsid w:val="000265D0"/>
    <w:rsid w:val="00027313"/>
    <w:rsid w:val="00027594"/>
    <w:rsid w:val="00027E22"/>
    <w:rsid w:val="00031B2E"/>
    <w:rsid w:val="00031F4F"/>
    <w:rsid w:val="0003343C"/>
    <w:rsid w:val="000359A8"/>
    <w:rsid w:val="0003628A"/>
    <w:rsid w:val="0003692F"/>
    <w:rsid w:val="00037BC9"/>
    <w:rsid w:val="000404AF"/>
    <w:rsid w:val="00040971"/>
    <w:rsid w:val="000409E4"/>
    <w:rsid w:val="0004110C"/>
    <w:rsid w:val="0004275A"/>
    <w:rsid w:val="000427CD"/>
    <w:rsid w:val="00042A14"/>
    <w:rsid w:val="00043DD5"/>
    <w:rsid w:val="00045EC7"/>
    <w:rsid w:val="000506DB"/>
    <w:rsid w:val="000516B4"/>
    <w:rsid w:val="00051BE0"/>
    <w:rsid w:val="00052D3C"/>
    <w:rsid w:val="00052F81"/>
    <w:rsid w:val="0005334A"/>
    <w:rsid w:val="000536EC"/>
    <w:rsid w:val="00053B9C"/>
    <w:rsid w:val="00055929"/>
    <w:rsid w:val="000560BC"/>
    <w:rsid w:val="0005614D"/>
    <w:rsid w:val="0005672A"/>
    <w:rsid w:val="0005725C"/>
    <w:rsid w:val="00061D99"/>
    <w:rsid w:val="00063D24"/>
    <w:rsid w:val="000641A6"/>
    <w:rsid w:val="00064B3B"/>
    <w:rsid w:val="0006524C"/>
    <w:rsid w:val="0006539A"/>
    <w:rsid w:val="00070D1D"/>
    <w:rsid w:val="00070DDD"/>
    <w:rsid w:val="00070F09"/>
    <w:rsid w:val="0007226A"/>
    <w:rsid w:val="0007303C"/>
    <w:rsid w:val="00073900"/>
    <w:rsid w:val="00073EEB"/>
    <w:rsid w:val="00076EB6"/>
    <w:rsid w:val="0007756E"/>
    <w:rsid w:val="00080627"/>
    <w:rsid w:val="00081877"/>
    <w:rsid w:val="000837FA"/>
    <w:rsid w:val="00083ABA"/>
    <w:rsid w:val="00085610"/>
    <w:rsid w:val="00085C0A"/>
    <w:rsid w:val="0008679E"/>
    <w:rsid w:val="00086C3E"/>
    <w:rsid w:val="00086D4F"/>
    <w:rsid w:val="00087AB9"/>
    <w:rsid w:val="0009171F"/>
    <w:rsid w:val="000925DE"/>
    <w:rsid w:val="00093026"/>
    <w:rsid w:val="00094D4F"/>
    <w:rsid w:val="00094E44"/>
    <w:rsid w:val="000954FE"/>
    <w:rsid w:val="00096278"/>
    <w:rsid w:val="0009703F"/>
    <w:rsid w:val="00097412"/>
    <w:rsid w:val="000A09D6"/>
    <w:rsid w:val="000A0B01"/>
    <w:rsid w:val="000A221A"/>
    <w:rsid w:val="000A2287"/>
    <w:rsid w:val="000A26AA"/>
    <w:rsid w:val="000A557D"/>
    <w:rsid w:val="000A5AB5"/>
    <w:rsid w:val="000A5EFF"/>
    <w:rsid w:val="000A7B91"/>
    <w:rsid w:val="000B0720"/>
    <w:rsid w:val="000B1191"/>
    <w:rsid w:val="000B3A27"/>
    <w:rsid w:val="000B3BC7"/>
    <w:rsid w:val="000B4057"/>
    <w:rsid w:val="000B5BA3"/>
    <w:rsid w:val="000B71DA"/>
    <w:rsid w:val="000C1860"/>
    <w:rsid w:val="000C1DBA"/>
    <w:rsid w:val="000C3E86"/>
    <w:rsid w:val="000D0A00"/>
    <w:rsid w:val="000D0D7F"/>
    <w:rsid w:val="000D183A"/>
    <w:rsid w:val="000D29E9"/>
    <w:rsid w:val="000D3401"/>
    <w:rsid w:val="000E0447"/>
    <w:rsid w:val="000E201E"/>
    <w:rsid w:val="000E3C07"/>
    <w:rsid w:val="000E4EA1"/>
    <w:rsid w:val="000E4F98"/>
    <w:rsid w:val="000E62A5"/>
    <w:rsid w:val="000E7233"/>
    <w:rsid w:val="000E78A7"/>
    <w:rsid w:val="000F0CA7"/>
    <w:rsid w:val="000F666C"/>
    <w:rsid w:val="000F6A8E"/>
    <w:rsid w:val="000F71FC"/>
    <w:rsid w:val="000F7E7D"/>
    <w:rsid w:val="001000E7"/>
    <w:rsid w:val="001051D4"/>
    <w:rsid w:val="00105428"/>
    <w:rsid w:val="001054BE"/>
    <w:rsid w:val="00105A8E"/>
    <w:rsid w:val="00106183"/>
    <w:rsid w:val="00106A32"/>
    <w:rsid w:val="00107486"/>
    <w:rsid w:val="001074F7"/>
    <w:rsid w:val="001074FB"/>
    <w:rsid w:val="0010754F"/>
    <w:rsid w:val="00107625"/>
    <w:rsid w:val="00111E5C"/>
    <w:rsid w:val="00115CAC"/>
    <w:rsid w:val="001167B7"/>
    <w:rsid w:val="00116D42"/>
    <w:rsid w:val="00116D91"/>
    <w:rsid w:val="00117537"/>
    <w:rsid w:val="00117DF3"/>
    <w:rsid w:val="00122091"/>
    <w:rsid w:val="00122258"/>
    <w:rsid w:val="00122F0E"/>
    <w:rsid w:val="00122F76"/>
    <w:rsid w:val="00123F8C"/>
    <w:rsid w:val="0012520C"/>
    <w:rsid w:val="00126ADF"/>
    <w:rsid w:val="00127EE1"/>
    <w:rsid w:val="00130D03"/>
    <w:rsid w:val="00131982"/>
    <w:rsid w:val="00131A37"/>
    <w:rsid w:val="00131BB0"/>
    <w:rsid w:val="001327CA"/>
    <w:rsid w:val="00133EBA"/>
    <w:rsid w:val="001372E5"/>
    <w:rsid w:val="0014221D"/>
    <w:rsid w:val="00143D26"/>
    <w:rsid w:val="001472B9"/>
    <w:rsid w:val="00147FD1"/>
    <w:rsid w:val="001502C8"/>
    <w:rsid w:val="00150B51"/>
    <w:rsid w:val="00150E17"/>
    <w:rsid w:val="001514CA"/>
    <w:rsid w:val="00151AE1"/>
    <w:rsid w:val="00151DDB"/>
    <w:rsid w:val="00152E95"/>
    <w:rsid w:val="00153392"/>
    <w:rsid w:val="00153541"/>
    <w:rsid w:val="00154DE6"/>
    <w:rsid w:val="001551C3"/>
    <w:rsid w:val="00157265"/>
    <w:rsid w:val="00157709"/>
    <w:rsid w:val="001577FA"/>
    <w:rsid w:val="001621F9"/>
    <w:rsid w:val="00162DAF"/>
    <w:rsid w:val="00163E4E"/>
    <w:rsid w:val="00167105"/>
    <w:rsid w:val="00171B48"/>
    <w:rsid w:val="00172426"/>
    <w:rsid w:val="00172466"/>
    <w:rsid w:val="0017259E"/>
    <w:rsid w:val="001728A2"/>
    <w:rsid w:val="001742C2"/>
    <w:rsid w:val="0017543A"/>
    <w:rsid w:val="00175C9D"/>
    <w:rsid w:val="00176003"/>
    <w:rsid w:val="001760AF"/>
    <w:rsid w:val="00176693"/>
    <w:rsid w:val="00176D25"/>
    <w:rsid w:val="001773C8"/>
    <w:rsid w:val="00180B9A"/>
    <w:rsid w:val="001810C2"/>
    <w:rsid w:val="001815DF"/>
    <w:rsid w:val="00182C09"/>
    <w:rsid w:val="00183ADF"/>
    <w:rsid w:val="001840E9"/>
    <w:rsid w:val="00185202"/>
    <w:rsid w:val="00185F3E"/>
    <w:rsid w:val="00190490"/>
    <w:rsid w:val="00190C9B"/>
    <w:rsid w:val="00190DD2"/>
    <w:rsid w:val="001914E3"/>
    <w:rsid w:val="001918E5"/>
    <w:rsid w:val="00194298"/>
    <w:rsid w:val="001957D6"/>
    <w:rsid w:val="00195CB2"/>
    <w:rsid w:val="00195D97"/>
    <w:rsid w:val="00195E20"/>
    <w:rsid w:val="0019652D"/>
    <w:rsid w:val="001972C2"/>
    <w:rsid w:val="001A1CC7"/>
    <w:rsid w:val="001A24B8"/>
    <w:rsid w:val="001A4C2E"/>
    <w:rsid w:val="001A61EB"/>
    <w:rsid w:val="001B07E1"/>
    <w:rsid w:val="001B09DC"/>
    <w:rsid w:val="001B0DC8"/>
    <w:rsid w:val="001B2FD7"/>
    <w:rsid w:val="001B3734"/>
    <w:rsid w:val="001B3963"/>
    <w:rsid w:val="001B490C"/>
    <w:rsid w:val="001B5106"/>
    <w:rsid w:val="001B53BC"/>
    <w:rsid w:val="001B5781"/>
    <w:rsid w:val="001B5A80"/>
    <w:rsid w:val="001B72F5"/>
    <w:rsid w:val="001B761E"/>
    <w:rsid w:val="001B78D7"/>
    <w:rsid w:val="001C0BBF"/>
    <w:rsid w:val="001C14A0"/>
    <w:rsid w:val="001C1ACB"/>
    <w:rsid w:val="001C1C39"/>
    <w:rsid w:val="001C28FD"/>
    <w:rsid w:val="001C3102"/>
    <w:rsid w:val="001C3429"/>
    <w:rsid w:val="001C369E"/>
    <w:rsid w:val="001C4ED1"/>
    <w:rsid w:val="001C6A7A"/>
    <w:rsid w:val="001C6C0E"/>
    <w:rsid w:val="001C7E42"/>
    <w:rsid w:val="001D0220"/>
    <w:rsid w:val="001D0D24"/>
    <w:rsid w:val="001D2126"/>
    <w:rsid w:val="001D2395"/>
    <w:rsid w:val="001D28B5"/>
    <w:rsid w:val="001D685D"/>
    <w:rsid w:val="001D76BC"/>
    <w:rsid w:val="001E2882"/>
    <w:rsid w:val="001E2E10"/>
    <w:rsid w:val="001E4691"/>
    <w:rsid w:val="001E5F92"/>
    <w:rsid w:val="001E707A"/>
    <w:rsid w:val="001F012E"/>
    <w:rsid w:val="001F0921"/>
    <w:rsid w:val="001F0B91"/>
    <w:rsid w:val="001F1983"/>
    <w:rsid w:val="001F2508"/>
    <w:rsid w:val="001F27F0"/>
    <w:rsid w:val="001F2FE2"/>
    <w:rsid w:val="001F391A"/>
    <w:rsid w:val="001F453A"/>
    <w:rsid w:val="001F68B8"/>
    <w:rsid w:val="0020004E"/>
    <w:rsid w:val="00201988"/>
    <w:rsid w:val="00201C71"/>
    <w:rsid w:val="00202654"/>
    <w:rsid w:val="002029DE"/>
    <w:rsid w:val="00203BB5"/>
    <w:rsid w:val="00204590"/>
    <w:rsid w:val="00204905"/>
    <w:rsid w:val="00204AF9"/>
    <w:rsid w:val="002053EF"/>
    <w:rsid w:val="0020596E"/>
    <w:rsid w:val="00205B12"/>
    <w:rsid w:val="00207BE4"/>
    <w:rsid w:val="00207D93"/>
    <w:rsid w:val="00210230"/>
    <w:rsid w:val="002103B3"/>
    <w:rsid w:val="002107EE"/>
    <w:rsid w:val="00210FD8"/>
    <w:rsid w:val="002111F7"/>
    <w:rsid w:val="0021157D"/>
    <w:rsid w:val="00211D94"/>
    <w:rsid w:val="00213601"/>
    <w:rsid w:val="00213A54"/>
    <w:rsid w:val="002146FC"/>
    <w:rsid w:val="002147CF"/>
    <w:rsid w:val="00215B2F"/>
    <w:rsid w:val="002210F2"/>
    <w:rsid w:val="0022110B"/>
    <w:rsid w:val="00221939"/>
    <w:rsid w:val="00221ECB"/>
    <w:rsid w:val="002230AC"/>
    <w:rsid w:val="00223591"/>
    <w:rsid w:val="00223998"/>
    <w:rsid w:val="00225BD3"/>
    <w:rsid w:val="00225BE3"/>
    <w:rsid w:val="00225FD8"/>
    <w:rsid w:val="002303EE"/>
    <w:rsid w:val="00230C98"/>
    <w:rsid w:val="00231475"/>
    <w:rsid w:val="00232079"/>
    <w:rsid w:val="002320A8"/>
    <w:rsid w:val="002321A8"/>
    <w:rsid w:val="00233B02"/>
    <w:rsid w:val="002340D8"/>
    <w:rsid w:val="00234719"/>
    <w:rsid w:val="002357D7"/>
    <w:rsid w:val="00235977"/>
    <w:rsid w:val="00235F95"/>
    <w:rsid w:val="002409C2"/>
    <w:rsid w:val="00241D61"/>
    <w:rsid w:val="00243EBD"/>
    <w:rsid w:val="0024561F"/>
    <w:rsid w:val="00245E05"/>
    <w:rsid w:val="00246ACC"/>
    <w:rsid w:val="00252905"/>
    <w:rsid w:val="00252C73"/>
    <w:rsid w:val="00254A24"/>
    <w:rsid w:val="002551CE"/>
    <w:rsid w:val="00255CF9"/>
    <w:rsid w:val="00256547"/>
    <w:rsid w:val="00261746"/>
    <w:rsid w:val="0026223E"/>
    <w:rsid w:val="00263506"/>
    <w:rsid w:val="00264146"/>
    <w:rsid w:val="002650E1"/>
    <w:rsid w:val="0026539C"/>
    <w:rsid w:val="00267060"/>
    <w:rsid w:val="00267278"/>
    <w:rsid w:val="00267C74"/>
    <w:rsid w:val="00272A36"/>
    <w:rsid w:val="00272E48"/>
    <w:rsid w:val="00272F8D"/>
    <w:rsid w:val="00273942"/>
    <w:rsid w:val="00273A34"/>
    <w:rsid w:val="002744EB"/>
    <w:rsid w:val="00274B9B"/>
    <w:rsid w:val="00275950"/>
    <w:rsid w:val="00275E42"/>
    <w:rsid w:val="00276C72"/>
    <w:rsid w:val="002778F7"/>
    <w:rsid w:val="00277F2E"/>
    <w:rsid w:val="0028021A"/>
    <w:rsid w:val="002806DC"/>
    <w:rsid w:val="00280807"/>
    <w:rsid w:val="00280BDA"/>
    <w:rsid w:val="00281310"/>
    <w:rsid w:val="002822FA"/>
    <w:rsid w:val="002825D6"/>
    <w:rsid w:val="00283434"/>
    <w:rsid w:val="002839B9"/>
    <w:rsid w:val="00283A56"/>
    <w:rsid w:val="00284FBD"/>
    <w:rsid w:val="00286C7A"/>
    <w:rsid w:val="0028769B"/>
    <w:rsid w:val="0028778E"/>
    <w:rsid w:val="00292D8F"/>
    <w:rsid w:val="00293BE9"/>
    <w:rsid w:val="00297061"/>
    <w:rsid w:val="002A0A0E"/>
    <w:rsid w:val="002A1137"/>
    <w:rsid w:val="002A1E79"/>
    <w:rsid w:val="002A601C"/>
    <w:rsid w:val="002B08F3"/>
    <w:rsid w:val="002B08FC"/>
    <w:rsid w:val="002B1641"/>
    <w:rsid w:val="002B335C"/>
    <w:rsid w:val="002B5FC8"/>
    <w:rsid w:val="002B6591"/>
    <w:rsid w:val="002B6F51"/>
    <w:rsid w:val="002B6FC1"/>
    <w:rsid w:val="002C0937"/>
    <w:rsid w:val="002C1E1F"/>
    <w:rsid w:val="002C2590"/>
    <w:rsid w:val="002C2B01"/>
    <w:rsid w:val="002C567F"/>
    <w:rsid w:val="002C5EA9"/>
    <w:rsid w:val="002C5EE7"/>
    <w:rsid w:val="002C62EF"/>
    <w:rsid w:val="002C7259"/>
    <w:rsid w:val="002D05D8"/>
    <w:rsid w:val="002D12F9"/>
    <w:rsid w:val="002D138E"/>
    <w:rsid w:val="002D232F"/>
    <w:rsid w:val="002D5346"/>
    <w:rsid w:val="002D7571"/>
    <w:rsid w:val="002D7692"/>
    <w:rsid w:val="002D7E00"/>
    <w:rsid w:val="002E02A7"/>
    <w:rsid w:val="002E1054"/>
    <w:rsid w:val="002E12B9"/>
    <w:rsid w:val="002E1F52"/>
    <w:rsid w:val="002E2400"/>
    <w:rsid w:val="002E2A97"/>
    <w:rsid w:val="002E67B8"/>
    <w:rsid w:val="002E76DE"/>
    <w:rsid w:val="002F075A"/>
    <w:rsid w:val="002F12E3"/>
    <w:rsid w:val="002F255D"/>
    <w:rsid w:val="002F2871"/>
    <w:rsid w:val="002F31E6"/>
    <w:rsid w:val="002F324E"/>
    <w:rsid w:val="002F3C75"/>
    <w:rsid w:val="002F4CE2"/>
    <w:rsid w:val="002F5D38"/>
    <w:rsid w:val="00301847"/>
    <w:rsid w:val="00301D70"/>
    <w:rsid w:val="00302349"/>
    <w:rsid w:val="003028CD"/>
    <w:rsid w:val="00306912"/>
    <w:rsid w:val="00306A99"/>
    <w:rsid w:val="00306B49"/>
    <w:rsid w:val="0031090F"/>
    <w:rsid w:val="00310E59"/>
    <w:rsid w:val="00310EAB"/>
    <w:rsid w:val="00311479"/>
    <w:rsid w:val="003138C8"/>
    <w:rsid w:val="00314B51"/>
    <w:rsid w:val="00315AFB"/>
    <w:rsid w:val="0032186A"/>
    <w:rsid w:val="0032236D"/>
    <w:rsid w:val="00323248"/>
    <w:rsid w:val="003245DC"/>
    <w:rsid w:val="00324E2B"/>
    <w:rsid w:val="00324E70"/>
    <w:rsid w:val="003267E7"/>
    <w:rsid w:val="00330D02"/>
    <w:rsid w:val="003313EB"/>
    <w:rsid w:val="003336F9"/>
    <w:rsid w:val="00335E9A"/>
    <w:rsid w:val="00337385"/>
    <w:rsid w:val="00337986"/>
    <w:rsid w:val="003402FC"/>
    <w:rsid w:val="0034151B"/>
    <w:rsid w:val="00341C88"/>
    <w:rsid w:val="00342B56"/>
    <w:rsid w:val="00343365"/>
    <w:rsid w:val="00346B22"/>
    <w:rsid w:val="0035034C"/>
    <w:rsid w:val="00351B7D"/>
    <w:rsid w:val="00351D2F"/>
    <w:rsid w:val="00353448"/>
    <w:rsid w:val="00353456"/>
    <w:rsid w:val="00354170"/>
    <w:rsid w:val="003542A4"/>
    <w:rsid w:val="00355F3C"/>
    <w:rsid w:val="0035684C"/>
    <w:rsid w:val="0035694F"/>
    <w:rsid w:val="00357600"/>
    <w:rsid w:val="00357833"/>
    <w:rsid w:val="00361FA5"/>
    <w:rsid w:val="003664A1"/>
    <w:rsid w:val="003757F2"/>
    <w:rsid w:val="00375E19"/>
    <w:rsid w:val="00375E7D"/>
    <w:rsid w:val="00376885"/>
    <w:rsid w:val="00380849"/>
    <w:rsid w:val="00380B8C"/>
    <w:rsid w:val="00381183"/>
    <w:rsid w:val="003814DD"/>
    <w:rsid w:val="003815B8"/>
    <w:rsid w:val="00382DFA"/>
    <w:rsid w:val="00383CA4"/>
    <w:rsid w:val="00384D89"/>
    <w:rsid w:val="0038608D"/>
    <w:rsid w:val="0038722A"/>
    <w:rsid w:val="00387279"/>
    <w:rsid w:val="00390CB0"/>
    <w:rsid w:val="00391C34"/>
    <w:rsid w:val="0039209B"/>
    <w:rsid w:val="003930FC"/>
    <w:rsid w:val="003934DA"/>
    <w:rsid w:val="00393790"/>
    <w:rsid w:val="0039517A"/>
    <w:rsid w:val="0039539A"/>
    <w:rsid w:val="00395D20"/>
    <w:rsid w:val="003964AA"/>
    <w:rsid w:val="00396766"/>
    <w:rsid w:val="003A220D"/>
    <w:rsid w:val="003A24B8"/>
    <w:rsid w:val="003A346C"/>
    <w:rsid w:val="003A3DCB"/>
    <w:rsid w:val="003A549C"/>
    <w:rsid w:val="003A5B3F"/>
    <w:rsid w:val="003A6427"/>
    <w:rsid w:val="003B2E9F"/>
    <w:rsid w:val="003B36BA"/>
    <w:rsid w:val="003B3DA7"/>
    <w:rsid w:val="003B4BE4"/>
    <w:rsid w:val="003B4C4A"/>
    <w:rsid w:val="003B4D5A"/>
    <w:rsid w:val="003B50AD"/>
    <w:rsid w:val="003B54E4"/>
    <w:rsid w:val="003B688C"/>
    <w:rsid w:val="003B779E"/>
    <w:rsid w:val="003C04C6"/>
    <w:rsid w:val="003C1416"/>
    <w:rsid w:val="003C1AB8"/>
    <w:rsid w:val="003C1C9F"/>
    <w:rsid w:val="003C20CA"/>
    <w:rsid w:val="003C291B"/>
    <w:rsid w:val="003C2C27"/>
    <w:rsid w:val="003C3F4A"/>
    <w:rsid w:val="003C3FAC"/>
    <w:rsid w:val="003C4BB6"/>
    <w:rsid w:val="003C536F"/>
    <w:rsid w:val="003C5E78"/>
    <w:rsid w:val="003C628E"/>
    <w:rsid w:val="003C644B"/>
    <w:rsid w:val="003C6B7D"/>
    <w:rsid w:val="003C6EC5"/>
    <w:rsid w:val="003C7B07"/>
    <w:rsid w:val="003D0808"/>
    <w:rsid w:val="003D0DD4"/>
    <w:rsid w:val="003D0E90"/>
    <w:rsid w:val="003D1537"/>
    <w:rsid w:val="003D1808"/>
    <w:rsid w:val="003D1F61"/>
    <w:rsid w:val="003D35F9"/>
    <w:rsid w:val="003D3B95"/>
    <w:rsid w:val="003D3DC9"/>
    <w:rsid w:val="003D3F1B"/>
    <w:rsid w:val="003D4EE8"/>
    <w:rsid w:val="003D5B3E"/>
    <w:rsid w:val="003D731F"/>
    <w:rsid w:val="003E012B"/>
    <w:rsid w:val="003E090F"/>
    <w:rsid w:val="003E20FF"/>
    <w:rsid w:val="003E28A5"/>
    <w:rsid w:val="003E2AD3"/>
    <w:rsid w:val="003E43EC"/>
    <w:rsid w:val="003E6610"/>
    <w:rsid w:val="003F1145"/>
    <w:rsid w:val="003F140C"/>
    <w:rsid w:val="003F1563"/>
    <w:rsid w:val="003F208B"/>
    <w:rsid w:val="003F27F4"/>
    <w:rsid w:val="003F367F"/>
    <w:rsid w:val="003F4294"/>
    <w:rsid w:val="003F4440"/>
    <w:rsid w:val="003F48FB"/>
    <w:rsid w:val="003F4F05"/>
    <w:rsid w:val="003F582F"/>
    <w:rsid w:val="003F6835"/>
    <w:rsid w:val="003F75A4"/>
    <w:rsid w:val="004009F1"/>
    <w:rsid w:val="004012C8"/>
    <w:rsid w:val="0040213C"/>
    <w:rsid w:val="004034CE"/>
    <w:rsid w:val="0040423D"/>
    <w:rsid w:val="004044ED"/>
    <w:rsid w:val="00405D0C"/>
    <w:rsid w:val="00411470"/>
    <w:rsid w:val="00414755"/>
    <w:rsid w:val="00416EAC"/>
    <w:rsid w:val="0041761C"/>
    <w:rsid w:val="004177FC"/>
    <w:rsid w:val="004209DA"/>
    <w:rsid w:val="00420CF9"/>
    <w:rsid w:val="00420E39"/>
    <w:rsid w:val="00420F8D"/>
    <w:rsid w:val="00421460"/>
    <w:rsid w:val="0042192C"/>
    <w:rsid w:val="00421AD4"/>
    <w:rsid w:val="00422A2A"/>
    <w:rsid w:val="00423D11"/>
    <w:rsid w:val="0042402A"/>
    <w:rsid w:val="00424E54"/>
    <w:rsid w:val="0042502D"/>
    <w:rsid w:val="00425BED"/>
    <w:rsid w:val="00425F71"/>
    <w:rsid w:val="00427095"/>
    <w:rsid w:val="004313F7"/>
    <w:rsid w:val="004319A7"/>
    <w:rsid w:val="00431EDB"/>
    <w:rsid w:val="004334BB"/>
    <w:rsid w:val="00433EC0"/>
    <w:rsid w:val="004348BE"/>
    <w:rsid w:val="00435DBC"/>
    <w:rsid w:val="00440470"/>
    <w:rsid w:val="00441E93"/>
    <w:rsid w:val="00442068"/>
    <w:rsid w:val="00443739"/>
    <w:rsid w:val="00444251"/>
    <w:rsid w:val="0044493B"/>
    <w:rsid w:val="00444CC8"/>
    <w:rsid w:val="00444D62"/>
    <w:rsid w:val="00445CF2"/>
    <w:rsid w:val="004464F5"/>
    <w:rsid w:val="004477E3"/>
    <w:rsid w:val="00447FA9"/>
    <w:rsid w:val="004510FB"/>
    <w:rsid w:val="00451198"/>
    <w:rsid w:val="00451499"/>
    <w:rsid w:val="0045277C"/>
    <w:rsid w:val="00452834"/>
    <w:rsid w:val="00454130"/>
    <w:rsid w:val="00454291"/>
    <w:rsid w:val="004546F4"/>
    <w:rsid w:val="00454967"/>
    <w:rsid w:val="004560C9"/>
    <w:rsid w:val="00456CA0"/>
    <w:rsid w:val="00456DAF"/>
    <w:rsid w:val="00457AC9"/>
    <w:rsid w:val="00457BCC"/>
    <w:rsid w:val="004632B4"/>
    <w:rsid w:val="00463AC5"/>
    <w:rsid w:val="0046411D"/>
    <w:rsid w:val="004641ED"/>
    <w:rsid w:val="004657DE"/>
    <w:rsid w:val="0046645F"/>
    <w:rsid w:val="00467529"/>
    <w:rsid w:val="00472016"/>
    <w:rsid w:val="00472561"/>
    <w:rsid w:val="00473B4B"/>
    <w:rsid w:val="00474770"/>
    <w:rsid w:val="004751B8"/>
    <w:rsid w:val="00476457"/>
    <w:rsid w:val="004772E5"/>
    <w:rsid w:val="0048114E"/>
    <w:rsid w:val="004826B9"/>
    <w:rsid w:val="0048277A"/>
    <w:rsid w:val="00484D88"/>
    <w:rsid w:val="00484FF5"/>
    <w:rsid w:val="00486727"/>
    <w:rsid w:val="00486BAE"/>
    <w:rsid w:val="004870EE"/>
    <w:rsid w:val="004871D9"/>
    <w:rsid w:val="004873E5"/>
    <w:rsid w:val="00487DCB"/>
    <w:rsid w:val="00491504"/>
    <w:rsid w:val="0049166F"/>
    <w:rsid w:val="00491991"/>
    <w:rsid w:val="00491C1C"/>
    <w:rsid w:val="00492003"/>
    <w:rsid w:val="004924CF"/>
    <w:rsid w:val="00492536"/>
    <w:rsid w:val="0049274E"/>
    <w:rsid w:val="004930E8"/>
    <w:rsid w:val="0049314A"/>
    <w:rsid w:val="00494EC5"/>
    <w:rsid w:val="00495B14"/>
    <w:rsid w:val="0049609E"/>
    <w:rsid w:val="00496977"/>
    <w:rsid w:val="004A0742"/>
    <w:rsid w:val="004A0B00"/>
    <w:rsid w:val="004A0F25"/>
    <w:rsid w:val="004A271C"/>
    <w:rsid w:val="004A32A5"/>
    <w:rsid w:val="004A5893"/>
    <w:rsid w:val="004A7AE9"/>
    <w:rsid w:val="004B1E1F"/>
    <w:rsid w:val="004B2859"/>
    <w:rsid w:val="004B28C5"/>
    <w:rsid w:val="004B4222"/>
    <w:rsid w:val="004B5E94"/>
    <w:rsid w:val="004C0F5B"/>
    <w:rsid w:val="004C22D0"/>
    <w:rsid w:val="004C2478"/>
    <w:rsid w:val="004C346D"/>
    <w:rsid w:val="004C4E3D"/>
    <w:rsid w:val="004C64D6"/>
    <w:rsid w:val="004C6713"/>
    <w:rsid w:val="004C7CAF"/>
    <w:rsid w:val="004D0BFB"/>
    <w:rsid w:val="004D4341"/>
    <w:rsid w:val="004D6E48"/>
    <w:rsid w:val="004E28C0"/>
    <w:rsid w:val="004E39FF"/>
    <w:rsid w:val="004E416B"/>
    <w:rsid w:val="004E4ABF"/>
    <w:rsid w:val="004E587D"/>
    <w:rsid w:val="004E7C3C"/>
    <w:rsid w:val="004F067F"/>
    <w:rsid w:val="004F32AD"/>
    <w:rsid w:val="004F41D2"/>
    <w:rsid w:val="004F5727"/>
    <w:rsid w:val="004F5DEE"/>
    <w:rsid w:val="00500771"/>
    <w:rsid w:val="00502728"/>
    <w:rsid w:val="005074D7"/>
    <w:rsid w:val="00507B68"/>
    <w:rsid w:val="005119FF"/>
    <w:rsid w:val="00512391"/>
    <w:rsid w:val="005125F7"/>
    <w:rsid w:val="005126E1"/>
    <w:rsid w:val="00512792"/>
    <w:rsid w:val="00517CD5"/>
    <w:rsid w:val="005211D6"/>
    <w:rsid w:val="00521F70"/>
    <w:rsid w:val="0052331B"/>
    <w:rsid w:val="005245F8"/>
    <w:rsid w:val="00526400"/>
    <w:rsid w:val="00526481"/>
    <w:rsid w:val="005264BD"/>
    <w:rsid w:val="00526F42"/>
    <w:rsid w:val="00531A77"/>
    <w:rsid w:val="00532293"/>
    <w:rsid w:val="005328B0"/>
    <w:rsid w:val="00537AC4"/>
    <w:rsid w:val="0054002D"/>
    <w:rsid w:val="0054043C"/>
    <w:rsid w:val="00541D6E"/>
    <w:rsid w:val="00541FAC"/>
    <w:rsid w:val="00542F42"/>
    <w:rsid w:val="00543B67"/>
    <w:rsid w:val="00543C7D"/>
    <w:rsid w:val="00544BD7"/>
    <w:rsid w:val="00545547"/>
    <w:rsid w:val="00545BD7"/>
    <w:rsid w:val="00545BDC"/>
    <w:rsid w:val="00546114"/>
    <w:rsid w:val="00546167"/>
    <w:rsid w:val="00546BE2"/>
    <w:rsid w:val="00546FE2"/>
    <w:rsid w:val="00547492"/>
    <w:rsid w:val="005477FF"/>
    <w:rsid w:val="005478F5"/>
    <w:rsid w:val="00550669"/>
    <w:rsid w:val="00551DF2"/>
    <w:rsid w:val="0055353C"/>
    <w:rsid w:val="00554543"/>
    <w:rsid w:val="005553A0"/>
    <w:rsid w:val="0055738A"/>
    <w:rsid w:val="00557BA6"/>
    <w:rsid w:val="00557F86"/>
    <w:rsid w:val="005600DA"/>
    <w:rsid w:val="005606AB"/>
    <w:rsid w:val="00560BB6"/>
    <w:rsid w:val="0056138A"/>
    <w:rsid w:val="005623C1"/>
    <w:rsid w:val="005624FE"/>
    <w:rsid w:val="00562F91"/>
    <w:rsid w:val="00564C9E"/>
    <w:rsid w:val="00564E9C"/>
    <w:rsid w:val="00564F93"/>
    <w:rsid w:val="00564FDF"/>
    <w:rsid w:val="00565AD0"/>
    <w:rsid w:val="00565B03"/>
    <w:rsid w:val="005666AA"/>
    <w:rsid w:val="00566CCD"/>
    <w:rsid w:val="005673C0"/>
    <w:rsid w:val="005675CD"/>
    <w:rsid w:val="00570720"/>
    <w:rsid w:val="0057087D"/>
    <w:rsid w:val="0057133C"/>
    <w:rsid w:val="00572790"/>
    <w:rsid w:val="005751C9"/>
    <w:rsid w:val="00576A2C"/>
    <w:rsid w:val="0057727C"/>
    <w:rsid w:val="00581416"/>
    <w:rsid w:val="00583C26"/>
    <w:rsid w:val="005841DA"/>
    <w:rsid w:val="00585A00"/>
    <w:rsid w:val="00586518"/>
    <w:rsid w:val="00587338"/>
    <w:rsid w:val="00590ACB"/>
    <w:rsid w:val="0059143E"/>
    <w:rsid w:val="005918A8"/>
    <w:rsid w:val="005922D6"/>
    <w:rsid w:val="005929CA"/>
    <w:rsid w:val="00595D2F"/>
    <w:rsid w:val="00596591"/>
    <w:rsid w:val="005965C8"/>
    <w:rsid w:val="00596B9E"/>
    <w:rsid w:val="00597AE3"/>
    <w:rsid w:val="00597EC2"/>
    <w:rsid w:val="005A0965"/>
    <w:rsid w:val="005A0CF4"/>
    <w:rsid w:val="005A3B9A"/>
    <w:rsid w:val="005A3F4C"/>
    <w:rsid w:val="005A40B9"/>
    <w:rsid w:val="005A47C5"/>
    <w:rsid w:val="005A5448"/>
    <w:rsid w:val="005A5CF7"/>
    <w:rsid w:val="005A6C37"/>
    <w:rsid w:val="005A79F1"/>
    <w:rsid w:val="005B093E"/>
    <w:rsid w:val="005B1014"/>
    <w:rsid w:val="005B13C6"/>
    <w:rsid w:val="005B29C4"/>
    <w:rsid w:val="005B3F08"/>
    <w:rsid w:val="005B4283"/>
    <w:rsid w:val="005B578C"/>
    <w:rsid w:val="005C3907"/>
    <w:rsid w:val="005C5C5E"/>
    <w:rsid w:val="005C63B1"/>
    <w:rsid w:val="005C7025"/>
    <w:rsid w:val="005C7F6D"/>
    <w:rsid w:val="005D0BA4"/>
    <w:rsid w:val="005D16CB"/>
    <w:rsid w:val="005D22CD"/>
    <w:rsid w:val="005D2E6C"/>
    <w:rsid w:val="005D34FE"/>
    <w:rsid w:val="005D3C54"/>
    <w:rsid w:val="005D3F8F"/>
    <w:rsid w:val="005D50E2"/>
    <w:rsid w:val="005D5213"/>
    <w:rsid w:val="005D5234"/>
    <w:rsid w:val="005D5435"/>
    <w:rsid w:val="005E01AD"/>
    <w:rsid w:val="005E0675"/>
    <w:rsid w:val="005E08FD"/>
    <w:rsid w:val="005E104E"/>
    <w:rsid w:val="005E1A77"/>
    <w:rsid w:val="005E255D"/>
    <w:rsid w:val="005E35AD"/>
    <w:rsid w:val="005E3DEE"/>
    <w:rsid w:val="005E53AB"/>
    <w:rsid w:val="005E6779"/>
    <w:rsid w:val="005E744A"/>
    <w:rsid w:val="005E79E0"/>
    <w:rsid w:val="005E7A08"/>
    <w:rsid w:val="005F0D00"/>
    <w:rsid w:val="005F1CE3"/>
    <w:rsid w:val="005F1FFE"/>
    <w:rsid w:val="005F2A35"/>
    <w:rsid w:val="005F65F2"/>
    <w:rsid w:val="00600A1C"/>
    <w:rsid w:val="00600B6F"/>
    <w:rsid w:val="00601408"/>
    <w:rsid w:val="0060210E"/>
    <w:rsid w:val="00605A09"/>
    <w:rsid w:val="006064F0"/>
    <w:rsid w:val="0061168F"/>
    <w:rsid w:val="00612112"/>
    <w:rsid w:val="006129D5"/>
    <w:rsid w:val="0061464E"/>
    <w:rsid w:val="00614AAC"/>
    <w:rsid w:val="00614D9C"/>
    <w:rsid w:val="00620062"/>
    <w:rsid w:val="0062011C"/>
    <w:rsid w:val="006206E3"/>
    <w:rsid w:val="0062071C"/>
    <w:rsid w:val="00621794"/>
    <w:rsid w:val="0062191A"/>
    <w:rsid w:val="00621E47"/>
    <w:rsid w:val="00622A28"/>
    <w:rsid w:val="00622DA2"/>
    <w:rsid w:val="0062769D"/>
    <w:rsid w:val="00630A5A"/>
    <w:rsid w:val="0063113B"/>
    <w:rsid w:val="00635192"/>
    <w:rsid w:val="0063565B"/>
    <w:rsid w:val="00636492"/>
    <w:rsid w:val="006372A4"/>
    <w:rsid w:val="006373C7"/>
    <w:rsid w:val="006410DB"/>
    <w:rsid w:val="006470EE"/>
    <w:rsid w:val="00647D16"/>
    <w:rsid w:val="00652A08"/>
    <w:rsid w:val="00654272"/>
    <w:rsid w:val="006544C8"/>
    <w:rsid w:val="006549CF"/>
    <w:rsid w:val="006561C2"/>
    <w:rsid w:val="006565A1"/>
    <w:rsid w:val="006577A6"/>
    <w:rsid w:val="00657B86"/>
    <w:rsid w:val="00660688"/>
    <w:rsid w:val="00660D8D"/>
    <w:rsid w:val="00660FED"/>
    <w:rsid w:val="0066104C"/>
    <w:rsid w:val="006623C1"/>
    <w:rsid w:val="00662639"/>
    <w:rsid w:val="0066382E"/>
    <w:rsid w:val="0066634B"/>
    <w:rsid w:val="0066656C"/>
    <w:rsid w:val="006667B9"/>
    <w:rsid w:val="00670CCC"/>
    <w:rsid w:val="00670E73"/>
    <w:rsid w:val="006723C5"/>
    <w:rsid w:val="0067298A"/>
    <w:rsid w:val="00675BAF"/>
    <w:rsid w:val="00680543"/>
    <w:rsid w:val="0068085E"/>
    <w:rsid w:val="00681314"/>
    <w:rsid w:val="00681AFD"/>
    <w:rsid w:val="00681CFC"/>
    <w:rsid w:val="006838B0"/>
    <w:rsid w:val="00684709"/>
    <w:rsid w:val="006848D2"/>
    <w:rsid w:val="00684B84"/>
    <w:rsid w:val="00684FF5"/>
    <w:rsid w:val="0068514C"/>
    <w:rsid w:val="006856C3"/>
    <w:rsid w:val="00686FFE"/>
    <w:rsid w:val="00691A94"/>
    <w:rsid w:val="0069202A"/>
    <w:rsid w:val="0069481C"/>
    <w:rsid w:val="006951B7"/>
    <w:rsid w:val="00695903"/>
    <w:rsid w:val="006A1CAD"/>
    <w:rsid w:val="006A1CF2"/>
    <w:rsid w:val="006A26C1"/>
    <w:rsid w:val="006A2D67"/>
    <w:rsid w:val="006A3022"/>
    <w:rsid w:val="006A361A"/>
    <w:rsid w:val="006A551F"/>
    <w:rsid w:val="006A5BCB"/>
    <w:rsid w:val="006A641B"/>
    <w:rsid w:val="006A7120"/>
    <w:rsid w:val="006B133F"/>
    <w:rsid w:val="006B1BBE"/>
    <w:rsid w:val="006B26E9"/>
    <w:rsid w:val="006B35BA"/>
    <w:rsid w:val="006B36AF"/>
    <w:rsid w:val="006B72EE"/>
    <w:rsid w:val="006C02B5"/>
    <w:rsid w:val="006C0ED3"/>
    <w:rsid w:val="006C1A70"/>
    <w:rsid w:val="006C64C1"/>
    <w:rsid w:val="006D0144"/>
    <w:rsid w:val="006D0568"/>
    <w:rsid w:val="006D06A5"/>
    <w:rsid w:val="006D0DE7"/>
    <w:rsid w:val="006D1B0F"/>
    <w:rsid w:val="006D2049"/>
    <w:rsid w:val="006D2BB5"/>
    <w:rsid w:val="006D331D"/>
    <w:rsid w:val="006E04BF"/>
    <w:rsid w:val="006E07D3"/>
    <w:rsid w:val="006E23F9"/>
    <w:rsid w:val="006E2497"/>
    <w:rsid w:val="006E26DD"/>
    <w:rsid w:val="006E35B1"/>
    <w:rsid w:val="006E4C12"/>
    <w:rsid w:val="006E5283"/>
    <w:rsid w:val="006E7B9B"/>
    <w:rsid w:val="006F0345"/>
    <w:rsid w:val="006F5774"/>
    <w:rsid w:val="006F6B44"/>
    <w:rsid w:val="006F7929"/>
    <w:rsid w:val="00700137"/>
    <w:rsid w:val="007008D7"/>
    <w:rsid w:val="0070090A"/>
    <w:rsid w:val="00705793"/>
    <w:rsid w:val="007065BE"/>
    <w:rsid w:val="00706D9B"/>
    <w:rsid w:val="007071F4"/>
    <w:rsid w:val="0071081D"/>
    <w:rsid w:val="007117B6"/>
    <w:rsid w:val="0071256D"/>
    <w:rsid w:val="007125F8"/>
    <w:rsid w:val="00712C3F"/>
    <w:rsid w:val="0071334B"/>
    <w:rsid w:val="00713A6F"/>
    <w:rsid w:val="007164EA"/>
    <w:rsid w:val="00717D17"/>
    <w:rsid w:val="00722031"/>
    <w:rsid w:val="0072257F"/>
    <w:rsid w:val="0072485B"/>
    <w:rsid w:val="00724948"/>
    <w:rsid w:val="0072700E"/>
    <w:rsid w:val="00730A4B"/>
    <w:rsid w:val="00731833"/>
    <w:rsid w:val="00731EC4"/>
    <w:rsid w:val="0073383E"/>
    <w:rsid w:val="007350C3"/>
    <w:rsid w:val="00735A22"/>
    <w:rsid w:val="00735BB1"/>
    <w:rsid w:val="00737A1E"/>
    <w:rsid w:val="00741785"/>
    <w:rsid w:val="0074298E"/>
    <w:rsid w:val="007435AF"/>
    <w:rsid w:val="0074445C"/>
    <w:rsid w:val="00745952"/>
    <w:rsid w:val="00745FD9"/>
    <w:rsid w:val="00746232"/>
    <w:rsid w:val="00747B97"/>
    <w:rsid w:val="0075003A"/>
    <w:rsid w:val="007502D4"/>
    <w:rsid w:val="007518F1"/>
    <w:rsid w:val="00751D9E"/>
    <w:rsid w:val="0075277B"/>
    <w:rsid w:val="00753D83"/>
    <w:rsid w:val="007540EE"/>
    <w:rsid w:val="00754E2C"/>
    <w:rsid w:val="007553B1"/>
    <w:rsid w:val="007555C2"/>
    <w:rsid w:val="00755F2F"/>
    <w:rsid w:val="007564CA"/>
    <w:rsid w:val="00756A5E"/>
    <w:rsid w:val="00756A67"/>
    <w:rsid w:val="00757993"/>
    <w:rsid w:val="00760184"/>
    <w:rsid w:val="00760B40"/>
    <w:rsid w:val="007643C9"/>
    <w:rsid w:val="007648C0"/>
    <w:rsid w:val="00764EA7"/>
    <w:rsid w:val="00765B51"/>
    <w:rsid w:val="00766A5A"/>
    <w:rsid w:val="00766A64"/>
    <w:rsid w:val="007673A5"/>
    <w:rsid w:val="007678DE"/>
    <w:rsid w:val="00770DF3"/>
    <w:rsid w:val="00772D8B"/>
    <w:rsid w:val="00773472"/>
    <w:rsid w:val="00775061"/>
    <w:rsid w:val="00775F08"/>
    <w:rsid w:val="00776A4B"/>
    <w:rsid w:val="00780102"/>
    <w:rsid w:val="00780DBC"/>
    <w:rsid w:val="0078253B"/>
    <w:rsid w:val="0078397A"/>
    <w:rsid w:val="00783DC5"/>
    <w:rsid w:val="007846B1"/>
    <w:rsid w:val="007865CB"/>
    <w:rsid w:val="00786FE5"/>
    <w:rsid w:val="00787AFC"/>
    <w:rsid w:val="00787B9F"/>
    <w:rsid w:val="0079065D"/>
    <w:rsid w:val="00790718"/>
    <w:rsid w:val="0079101B"/>
    <w:rsid w:val="00791BFF"/>
    <w:rsid w:val="00791F58"/>
    <w:rsid w:val="00792483"/>
    <w:rsid w:val="00792CFB"/>
    <w:rsid w:val="007942D1"/>
    <w:rsid w:val="00794905"/>
    <w:rsid w:val="00795832"/>
    <w:rsid w:val="007969DC"/>
    <w:rsid w:val="00796E52"/>
    <w:rsid w:val="00797813"/>
    <w:rsid w:val="007A003E"/>
    <w:rsid w:val="007A11E6"/>
    <w:rsid w:val="007A12C6"/>
    <w:rsid w:val="007A202F"/>
    <w:rsid w:val="007A4AED"/>
    <w:rsid w:val="007A51DB"/>
    <w:rsid w:val="007A6EC7"/>
    <w:rsid w:val="007A71C8"/>
    <w:rsid w:val="007A796E"/>
    <w:rsid w:val="007A7F0D"/>
    <w:rsid w:val="007B0834"/>
    <w:rsid w:val="007B194A"/>
    <w:rsid w:val="007B4068"/>
    <w:rsid w:val="007B60DC"/>
    <w:rsid w:val="007B77C9"/>
    <w:rsid w:val="007C06E1"/>
    <w:rsid w:val="007C0B62"/>
    <w:rsid w:val="007C281E"/>
    <w:rsid w:val="007C2EF7"/>
    <w:rsid w:val="007C3EB4"/>
    <w:rsid w:val="007C4465"/>
    <w:rsid w:val="007C603B"/>
    <w:rsid w:val="007C61AB"/>
    <w:rsid w:val="007C6563"/>
    <w:rsid w:val="007C7D90"/>
    <w:rsid w:val="007D41FB"/>
    <w:rsid w:val="007D44C5"/>
    <w:rsid w:val="007D55C4"/>
    <w:rsid w:val="007D5BA5"/>
    <w:rsid w:val="007D641A"/>
    <w:rsid w:val="007D6C8C"/>
    <w:rsid w:val="007D7E03"/>
    <w:rsid w:val="007E010C"/>
    <w:rsid w:val="007E09F6"/>
    <w:rsid w:val="007E0E10"/>
    <w:rsid w:val="007E257F"/>
    <w:rsid w:val="007E34FC"/>
    <w:rsid w:val="007E61C2"/>
    <w:rsid w:val="007E70A0"/>
    <w:rsid w:val="007E7C62"/>
    <w:rsid w:val="007F1334"/>
    <w:rsid w:val="007F21AD"/>
    <w:rsid w:val="007F2D19"/>
    <w:rsid w:val="007F2E5D"/>
    <w:rsid w:val="007F2F5D"/>
    <w:rsid w:val="007F2FD6"/>
    <w:rsid w:val="007F3C96"/>
    <w:rsid w:val="007F4C16"/>
    <w:rsid w:val="007F523E"/>
    <w:rsid w:val="007F53A1"/>
    <w:rsid w:val="008002D7"/>
    <w:rsid w:val="00802060"/>
    <w:rsid w:val="00804EBA"/>
    <w:rsid w:val="00805322"/>
    <w:rsid w:val="00805691"/>
    <w:rsid w:val="00805F76"/>
    <w:rsid w:val="008061E7"/>
    <w:rsid w:val="0080650C"/>
    <w:rsid w:val="008065E7"/>
    <w:rsid w:val="008076C5"/>
    <w:rsid w:val="00807A3F"/>
    <w:rsid w:val="0081114B"/>
    <w:rsid w:val="0081313C"/>
    <w:rsid w:val="00813D3B"/>
    <w:rsid w:val="00816506"/>
    <w:rsid w:val="0082063B"/>
    <w:rsid w:val="00821E0D"/>
    <w:rsid w:val="00825316"/>
    <w:rsid w:val="008262C3"/>
    <w:rsid w:val="008267B2"/>
    <w:rsid w:val="00826DC1"/>
    <w:rsid w:val="00826E7E"/>
    <w:rsid w:val="00827912"/>
    <w:rsid w:val="00827A02"/>
    <w:rsid w:val="00827E14"/>
    <w:rsid w:val="00830FAC"/>
    <w:rsid w:val="008310D4"/>
    <w:rsid w:val="008322CC"/>
    <w:rsid w:val="00832680"/>
    <w:rsid w:val="00832E53"/>
    <w:rsid w:val="00833414"/>
    <w:rsid w:val="00833997"/>
    <w:rsid w:val="0083555D"/>
    <w:rsid w:val="0083580A"/>
    <w:rsid w:val="00835908"/>
    <w:rsid w:val="00835EE7"/>
    <w:rsid w:val="008375DE"/>
    <w:rsid w:val="00841A65"/>
    <w:rsid w:val="00842F2E"/>
    <w:rsid w:val="00844DC4"/>
    <w:rsid w:val="00845066"/>
    <w:rsid w:val="00845323"/>
    <w:rsid w:val="0084538F"/>
    <w:rsid w:val="0084626E"/>
    <w:rsid w:val="00847109"/>
    <w:rsid w:val="00851B9C"/>
    <w:rsid w:val="00851FA7"/>
    <w:rsid w:val="00852FFD"/>
    <w:rsid w:val="00853408"/>
    <w:rsid w:val="008534C6"/>
    <w:rsid w:val="00853B1B"/>
    <w:rsid w:val="00855E18"/>
    <w:rsid w:val="00856598"/>
    <w:rsid w:val="00857042"/>
    <w:rsid w:val="00860681"/>
    <w:rsid w:val="00860B84"/>
    <w:rsid w:val="00861F59"/>
    <w:rsid w:val="00862739"/>
    <w:rsid w:val="008630EC"/>
    <w:rsid w:val="00863316"/>
    <w:rsid w:val="00863799"/>
    <w:rsid w:val="00864990"/>
    <w:rsid w:val="0086529F"/>
    <w:rsid w:val="00866190"/>
    <w:rsid w:val="00866300"/>
    <w:rsid w:val="0086776B"/>
    <w:rsid w:val="00867CF3"/>
    <w:rsid w:val="00870AA2"/>
    <w:rsid w:val="008720DB"/>
    <w:rsid w:val="008724E5"/>
    <w:rsid w:val="00872C29"/>
    <w:rsid w:val="008758E7"/>
    <w:rsid w:val="00880DB3"/>
    <w:rsid w:val="00882DD6"/>
    <w:rsid w:val="008835FA"/>
    <w:rsid w:val="00883DC6"/>
    <w:rsid w:val="00884D9E"/>
    <w:rsid w:val="00885902"/>
    <w:rsid w:val="00885B62"/>
    <w:rsid w:val="00886179"/>
    <w:rsid w:val="0088675E"/>
    <w:rsid w:val="00890444"/>
    <w:rsid w:val="008908C8"/>
    <w:rsid w:val="008931B9"/>
    <w:rsid w:val="00897A42"/>
    <w:rsid w:val="008A0306"/>
    <w:rsid w:val="008A2840"/>
    <w:rsid w:val="008A46DA"/>
    <w:rsid w:val="008A7432"/>
    <w:rsid w:val="008B01F3"/>
    <w:rsid w:val="008B054A"/>
    <w:rsid w:val="008B177F"/>
    <w:rsid w:val="008B2FE9"/>
    <w:rsid w:val="008B33E9"/>
    <w:rsid w:val="008B3B16"/>
    <w:rsid w:val="008B4E20"/>
    <w:rsid w:val="008B6C37"/>
    <w:rsid w:val="008B6E92"/>
    <w:rsid w:val="008B7154"/>
    <w:rsid w:val="008C0091"/>
    <w:rsid w:val="008C02FC"/>
    <w:rsid w:val="008C13E1"/>
    <w:rsid w:val="008C1855"/>
    <w:rsid w:val="008C23F5"/>
    <w:rsid w:val="008C2509"/>
    <w:rsid w:val="008C2DA5"/>
    <w:rsid w:val="008C3156"/>
    <w:rsid w:val="008C35BB"/>
    <w:rsid w:val="008C488E"/>
    <w:rsid w:val="008C70D3"/>
    <w:rsid w:val="008D1C68"/>
    <w:rsid w:val="008D3593"/>
    <w:rsid w:val="008D369E"/>
    <w:rsid w:val="008D4830"/>
    <w:rsid w:val="008D6A74"/>
    <w:rsid w:val="008D748C"/>
    <w:rsid w:val="008D7BFB"/>
    <w:rsid w:val="008E00C7"/>
    <w:rsid w:val="008E0E7C"/>
    <w:rsid w:val="008E2738"/>
    <w:rsid w:val="008E437F"/>
    <w:rsid w:val="008E6B92"/>
    <w:rsid w:val="008F0CD5"/>
    <w:rsid w:val="008F0E03"/>
    <w:rsid w:val="008F0FFD"/>
    <w:rsid w:val="008F11F2"/>
    <w:rsid w:val="008F197C"/>
    <w:rsid w:val="008F2A61"/>
    <w:rsid w:val="008F6675"/>
    <w:rsid w:val="008F6E2E"/>
    <w:rsid w:val="008F6EA3"/>
    <w:rsid w:val="008F7698"/>
    <w:rsid w:val="008F76BC"/>
    <w:rsid w:val="008F7F37"/>
    <w:rsid w:val="00900D9A"/>
    <w:rsid w:val="009021F7"/>
    <w:rsid w:val="00903B47"/>
    <w:rsid w:val="0090517E"/>
    <w:rsid w:val="00907D41"/>
    <w:rsid w:val="009100C2"/>
    <w:rsid w:val="0091036C"/>
    <w:rsid w:val="0091073F"/>
    <w:rsid w:val="00910FB1"/>
    <w:rsid w:val="00911818"/>
    <w:rsid w:val="00912A2A"/>
    <w:rsid w:val="00912F2F"/>
    <w:rsid w:val="00913E33"/>
    <w:rsid w:val="00914AFC"/>
    <w:rsid w:val="00914EAD"/>
    <w:rsid w:val="00914EC8"/>
    <w:rsid w:val="00914FF4"/>
    <w:rsid w:val="00915276"/>
    <w:rsid w:val="009179C1"/>
    <w:rsid w:val="0092032F"/>
    <w:rsid w:val="00920FA3"/>
    <w:rsid w:val="009222FE"/>
    <w:rsid w:val="00922F0D"/>
    <w:rsid w:val="0092462A"/>
    <w:rsid w:val="00924722"/>
    <w:rsid w:val="00926C43"/>
    <w:rsid w:val="009314F4"/>
    <w:rsid w:val="00931FD3"/>
    <w:rsid w:val="00935A4C"/>
    <w:rsid w:val="00936B2D"/>
    <w:rsid w:val="0093754A"/>
    <w:rsid w:val="0093795E"/>
    <w:rsid w:val="009402BA"/>
    <w:rsid w:val="009413B5"/>
    <w:rsid w:val="00941C1F"/>
    <w:rsid w:val="00942C20"/>
    <w:rsid w:val="00945499"/>
    <w:rsid w:val="00945AA5"/>
    <w:rsid w:val="009461FF"/>
    <w:rsid w:val="00947050"/>
    <w:rsid w:val="009502CD"/>
    <w:rsid w:val="00952771"/>
    <w:rsid w:val="009531B7"/>
    <w:rsid w:val="00953557"/>
    <w:rsid w:val="00953E8A"/>
    <w:rsid w:val="00953E9B"/>
    <w:rsid w:val="009548F7"/>
    <w:rsid w:val="009554B5"/>
    <w:rsid w:val="009555B2"/>
    <w:rsid w:val="00956006"/>
    <w:rsid w:val="00956C85"/>
    <w:rsid w:val="00956F33"/>
    <w:rsid w:val="0095706C"/>
    <w:rsid w:val="00957A4B"/>
    <w:rsid w:val="009600A1"/>
    <w:rsid w:val="009600C7"/>
    <w:rsid w:val="00960536"/>
    <w:rsid w:val="00960B2A"/>
    <w:rsid w:val="00960EB7"/>
    <w:rsid w:val="0096291B"/>
    <w:rsid w:val="00966C68"/>
    <w:rsid w:val="00967994"/>
    <w:rsid w:val="00967A13"/>
    <w:rsid w:val="00967D9E"/>
    <w:rsid w:val="00967E6B"/>
    <w:rsid w:val="00970952"/>
    <w:rsid w:val="009726D8"/>
    <w:rsid w:val="00972974"/>
    <w:rsid w:val="00973A3A"/>
    <w:rsid w:val="009744E5"/>
    <w:rsid w:val="009747DD"/>
    <w:rsid w:val="00977227"/>
    <w:rsid w:val="00977CA6"/>
    <w:rsid w:val="00980FCB"/>
    <w:rsid w:val="009815F1"/>
    <w:rsid w:val="00983361"/>
    <w:rsid w:val="00983901"/>
    <w:rsid w:val="0098433C"/>
    <w:rsid w:val="00985E7D"/>
    <w:rsid w:val="00990C6B"/>
    <w:rsid w:val="00991E00"/>
    <w:rsid w:val="00992754"/>
    <w:rsid w:val="00992FF3"/>
    <w:rsid w:val="009935AD"/>
    <w:rsid w:val="009946E8"/>
    <w:rsid w:val="00994ED4"/>
    <w:rsid w:val="00994FFE"/>
    <w:rsid w:val="0099544C"/>
    <w:rsid w:val="009962AA"/>
    <w:rsid w:val="00996B1C"/>
    <w:rsid w:val="009A0473"/>
    <w:rsid w:val="009A0AD3"/>
    <w:rsid w:val="009A1482"/>
    <w:rsid w:val="009A1BA6"/>
    <w:rsid w:val="009A36BE"/>
    <w:rsid w:val="009A67D5"/>
    <w:rsid w:val="009A7DBC"/>
    <w:rsid w:val="009B16C0"/>
    <w:rsid w:val="009B1E26"/>
    <w:rsid w:val="009B2EB4"/>
    <w:rsid w:val="009B3371"/>
    <w:rsid w:val="009B6772"/>
    <w:rsid w:val="009B6B04"/>
    <w:rsid w:val="009B6FF1"/>
    <w:rsid w:val="009B7520"/>
    <w:rsid w:val="009C03AB"/>
    <w:rsid w:val="009C1B2D"/>
    <w:rsid w:val="009C2BD2"/>
    <w:rsid w:val="009C4D77"/>
    <w:rsid w:val="009C7903"/>
    <w:rsid w:val="009C7B28"/>
    <w:rsid w:val="009D00D7"/>
    <w:rsid w:val="009D25C2"/>
    <w:rsid w:val="009D3784"/>
    <w:rsid w:val="009D4854"/>
    <w:rsid w:val="009D5F5C"/>
    <w:rsid w:val="009D76B4"/>
    <w:rsid w:val="009E0E0A"/>
    <w:rsid w:val="009E0E31"/>
    <w:rsid w:val="009E2C47"/>
    <w:rsid w:val="009E2C6F"/>
    <w:rsid w:val="009E45A6"/>
    <w:rsid w:val="009E56C5"/>
    <w:rsid w:val="009E5B91"/>
    <w:rsid w:val="009E6098"/>
    <w:rsid w:val="009E730B"/>
    <w:rsid w:val="009F118D"/>
    <w:rsid w:val="009F221A"/>
    <w:rsid w:val="009F2F9D"/>
    <w:rsid w:val="009F39D0"/>
    <w:rsid w:val="009F46A2"/>
    <w:rsid w:val="009F46DA"/>
    <w:rsid w:val="009F4F88"/>
    <w:rsid w:val="009F7709"/>
    <w:rsid w:val="009F7AF6"/>
    <w:rsid w:val="009F7DA1"/>
    <w:rsid w:val="009F7EAF"/>
    <w:rsid w:val="00A00967"/>
    <w:rsid w:val="00A00D25"/>
    <w:rsid w:val="00A0111F"/>
    <w:rsid w:val="00A0307C"/>
    <w:rsid w:val="00A03101"/>
    <w:rsid w:val="00A04978"/>
    <w:rsid w:val="00A05BAE"/>
    <w:rsid w:val="00A06D1D"/>
    <w:rsid w:val="00A07789"/>
    <w:rsid w:val="00A1050E"/>
    <w:rsid w:val="00A1082F"/>
    <w:rsid w:val="00A10BBA"/>
    <w:rsid w:val="00A10F97"/>
    <w:rsid w:val="00A114E3"/>
    <w:rsid w:val="00A118E5"/>
    <w:rsid w:val="00A11D58"/>
    <w:rsid w:val="00A11D78"/>
    <w:rsid w:val="00A1294B"/>
    <w:rsid w:val="00A12F39"/>
    <w:rsid w:val="00A1303E"/>
    <w:rsid w:val="00A14398"/>
    <w:rsid w:val="00A14A85"/>
    <w:rsid w:val="00A14F0E"/>
    <w:rsid w:val="00A15535"/>
    <w:rsid w:val="00A22670"/>
    <w:rsid w:val="00A23015"/>
    <w:rsid w:val="00A2309F"/>
    <w:rsid w:val="00A25F07"/>
    <w:rsid w:val="00A3034B"/>
    <w:rsid w:val="00A31DD6"/>
    <w:rsid w:val="00A344CF"/>
    <w:rsid w:val="00A358D1"/>
    <w:rsid w:val="00A37C60"/>
    <w:rsid w:val="00A40BE1"/>
    <w:rsid w:val="00A43105"/>
    <w:rsid w:val="00A477B8"/>
    <w:rsid w:val="00A500AF"/>
    <w:rsid w:val="00A52565"/>
    <w:rsid w:val="00A539BD"/>
    <w:rsid w:val="00A542B2"/>
    <w:rsid w:val="00A54E33"/>
    <w:rsid w:val="00A56D8E"/>
    <w:rsid w:val="00A60EED"/>
    <w:rsid w:val="00A62776"/>
    <w:rsid w:val="00A62DD5"/>
    <w:rsid w:val="00A63454"/>
    <w:rsid w:val="00A63E36"/>
    <w:rsid w:val="00A64FC1"/>
    <w:rsid w:val="00A6674F"/>
    <w:rsid w:val="00A6759B"/>
    <w:rsid w:val="00A7009B"/>
    <w:rsid w:val="00A7041A"/>
    <w:rsid w:val="00A73CC0"/>
    <w:rsid w:val="00A754D0"/>
    <w:rsid w:val="00A755E8"/>
    <w:rsid w:val="00A76515"/>
    <w:rsid w:val="00A76562"/>
    <w:rsid w:val="00A769B9"/>
    <w:rsid w:val="00A80127"/>
    <w:rsid w:val="00A80430"/>
    <w:rsid w:val="00A80A45"/>
    <w:rsid w:val="00A80D85"/>
    <w:rsid w:val="00A811B3"/>
    <w:rsid w:val="00A81561"/>
    <w:rsid w:val="00A85703"/>
    <w:rsid w:val="00A860AA"/>
    <w:rsid w:val="00A86D44"/>
    <w:rsid w:val="00A92CF6"/>
    <w:rsid w:val="00A941D6"/>
    <w:rsid w:val="00A95768"/>
    <w:rsid w:val="00A95F80"/>
    <w:rsid w:val="00A97A17"/>
    <w:rsid w:val="00A97BC1"/>
    <w:rsid w:val="00A97CFB"/>
    <w:rsid w:val="00AA0348"/>
    <w:rsid w:val="00AA0BEC"/>
    <w:rsid w:val="00AA1E90"/>
    <w:rsid w:val="00AA1EAA"/>
    <w:rsid w:val="00AA325B"/>
    <w:rsid w:val="00AA50B2"/>
    <w:rsid w:val="00AA5B86"/>
    <w:rsid w:val="00AA6527"/>
    <w:rsid w:val="00AA67A5"/>
    <w:rsid w:val="00AA7419"/>
    <w:rsid w:val="00AB01F2"/>
    <w:rsid w:val="00AB0CC9"/>
    <w:rsid w:val="00AB1398"/>
    <w:rsid w:val="00AB2419"/>
    <w:rsid w:val="00AB3BB1"/>
    <w:rsid w:val="00AB50CE"/>
    <w:rsid w:val="00AB52F5"/>
    <w:rsid w:val="00AB66F7"/>
    <w:rsid w:val="00AC11DF"/>
    <w:rsid w:val="00AC1E4B"/>
    <w:rsid w:val="00AC3CA6"/>
    <w:rsid w:val="00AC40AC"/>
    <w:rsid w:val="00AD18EC"/>
    <w:rsid w:val="00AD218D"/>
    <w:rsid w:val="00AD2F80"/>
    <w:rsid w:val="00AD38B7"/>
    <w:rsid w:val="00AD4011"/>
    <w:rsid w:val="00AD6C54"/>
    <w:rsid w:val="00AD7B90"/>
    <w:rsid w:val="00AE3B9A"/>
    <w:rsid w:val="00AE42A5"/>
    <w:rsid w:val="00AE516C"/>
    <w:rsid w:val="00AE5C3C"/>
    <w:rsid w:val="00AE6BB8"/>
    <w:rsid w:val="00AE7803"/>
    <w:rsid w:val="00AF1B99"/>
    <w:rsid w:val="00AF1D36"/>
    <w:rsid w:val="00AF2E71"/>
    <w:rsid w:val="00AF3591"/>
    <w:rsid w:val="00AF4416"/>
    <w:rsid w:val="00AF4729"/>
    <w:rsid w:val="00AF659A"/>
    <w:rsid w:val="00AF6A0B"/>
    <w:rsid w:val="00B00F64"/>
    <w:rsid w:val="00B012DC"/>
    <w:rsid w:val="00B01A70"/>
    <w:rsid w:val="00B01EFD"/>
    <w:rsid w:val="00B024C3"/>
    <w:rsid w:val="00B05972"/>
    <w:rsid w:val="00B06439"/>
    <w:rsid w:val="00B127AD"/>
    <w:rsid w:val="00B13A79"/>
    <w:rsid w:val="00B14289"/>
    <w:rsid w:val="00B159A9"/>
    <w:rsid w:val="00B15CB5"/>
    <w:rsid w:val="00B16605"/>
    <w:rsid w:val="00B16783"/>
    <w:rsid w:val="00B1734E"/>
    <w:rsid w:val="00B200E6"/>
    <w:rsid w:val="00B22321"/>
    <w:rsid w:val="00B2489C"/>
    <w:rsid w:val="00B25002"/>
    <w:rsid w:val="00B25346"/>
    <w:rsid w:val="00B265A0"/>
    <w:rsid w:val="00B2719C"/>
    <w:rsid w:val="00B2742B"/>
    <w:rsid w:val="00B27445"/>
    <w:rsid w:val="00B27D73"/>
    <w:rsid w:val="00B31C7C"/>
    <w:rsid w:val="00B31F07"/>
    <w:rsid w:val="00B32D59"/>
    <w:rsid w:val="00B34EB4"/>
    <w:rsid w:val="00B35810"/>
    <w:rsid w:val="00B35A6A"/>
    <w:rsid w:val="00B36145"/>
    <w:rsid w:val="00B3749B"/>
    <w:rsid w:val="00B409FE"/>
    <w:rsid w:val="00B416FA"/>
    <w:rsid w:val="00B429EC"/>
    <w:rsid w:val="00B43F9E"/>
    <w:rsid w:val="00B44090"/>
    <w:rsid w:val="00B44C35"/>
    <w:rsid w:val="00B450F3"/>
    <w:rsid w:val="00B46271"/>
    <w:rsid w:val="00B464B0"/>
    <w:rsid w:val="00B472C3"/>
    <w:rsid w:val="00B47CE3"/>
    <w:rsid w:val="00B50C4F"/>
    <w:rsid w:val="00B5142F"/>
    <w:rsid w:val="00B51A0B"/>
    <w:rsid w:val="00B60115"/>
    <w:rsid w:val="00B60ECC"/>
    <w:rsid w:val="00B62624"/>
    <w:rsid w:val="00B62C24"/>
    <w:rsid w:val="00B631F1"/>
    <w:rsid w:val="00B63496"/>
    <w:rsid w:val="00B64F9B"/>
    <w:rsid w:val="00B652E0"/>
    <w:rsid w:val="00B65308"/>
    <w:rsid w:val="00B65E32"/>
    <w:rsid w:val="00B66061"/>
    <w:rsid w:val="00B66782"/>
    <w:rsid w:val="00B732D5"/>
    <w:rsid w:val="00B73F7E"/>
    <w:rsid w:val="00B757BD"/>
    <w:rsid w:val="00B76178"/>
    <w:rsid w:val="00B768CA"/>
    <w:rsid w:val="00B801E4"/>
    <w:rsid w:val="00B80566"/>
    <w:rsid w:val="00B80C5C"/>
    <w:rsid w:val="00B83381"/>
    <w:rsid w:val="00B840B0"/>
    <w:rsid w:val="00B842B0"/>
    <w:rsid w:val="00B861EB"/>
    <w:rsid w:val="00B86AC3"/>
    <w:rsid w:val="00B87D07"/>
    <w:rsid w:val="00B87EF8"/>
    <w:rsid w:val="00B90FC2"/>
    <w:rsid w:val="00B911CC"/>
    <w:rsid w:val="00B927CD"/>
    <w:rsid w:val="00B92DFA"/>
    <w:rsid w:val="00B9331F"/>
    <w:rsid w:val="00B94A48"/>
    <w:rsid w:val="00B95A58"/>
    <w:rsid w:val="00B96020"/>
    <w:rsid w:val="00B963EF"/>
    <w:rsid w:val="00B9672C"/>
    <w:rsid w:val="00B96EDF"/>
    <w:rsid w:val="00B976FF"/>
    <w:rsid w:val="00BA05BE"/>
    <w:rsid w:val="00BA253A"/>
    <w:rsid w:val="00BA2640"/>
    <w:rsid w:val="00BA28AA"/>
    <w:rsid w:val="00BA31A0"/>
    <w:rsid w:val="00BA34A2"/>
    <w:rsid w:val="00BA4388"/>
    <w:rsid w:val="00BA5CC2"/>
    <w:rsid w:val="00BA69E3"/>
    <w:rsid w:val="00BA6B7E"/>
    <w:rsid w:val="00BA7B06"/>
    <w:rsid w:val="00BB1472"/>
    <w:rsid w:val="00BB14C5"/>
    <w:rsid w:val="00BB15DF"/>
    <w:rsid w:val="00BB3C3D"/>
    <w:rsid w:val="00BB4477"/>
    <w:rsid w:val="00BB493A"/>
    <w:rsid w:val="00BB4BA6"/>
    <w:rsid w:val="00BC1822"/>
    <w:rsid w:val="00BC1915"/>
    <w:rsid w:val="00BC2D3C"/>
    <w:rsid w:val="00BC4421"/>
    <w:rsid w:val="00BC4E30"/>
    <w:rsid w:val="00BC5024"/>
    <w:rsid w:val="00BC56EB"/>
    <w:rsid w:val="00BC58B8"/>
    <w:rsid w:val="00BC5B03"/>
    <w:rsid w:val="00BC69E6"/>
    <w:rsid w:val="00BC6B08"/>
    <w:rsid w:val="00BC6C48"/>
    <w:rsid w:val="00BC7059"/>
    <w:rsid w:val="00BC7A77"/>
    <w:rsid w:val="00BD0685"/>
    <w:rsid w:val="00BD0A49"/>
    <w:rsid w:val="00BD3EEC"/>
    <w:rsid w:val="00BD4279"/>
    <w:rsid w:val="00BD466C"/>
    <w:rsid w:val="00BD4A26"/>
    <w:rsid w:val="00BD65B4"/>
    <w:rsid w:val="00BD6FCF"/>
    <w:rsid w:val="00BD72A0"/>
    <w:rsid w:val="00BE02AD"/>
    <w:rsid w:val="00BE054D"/>
    <w:rsid w:val="00BE0D5F"/>
    <w:rsid w:val="00BE0DC0"/>
    <w:rsid w:val="00BE2BBA"/>
    <w:rsid w:val="00BE42E1"/>
    <w:rsid w:val="00BE4C87"/>
    <w:rsid w:val="00BF0D0B"/>
    <w:rsid w:val="00BF354A"/>
    <w:rsid w:val="00BF5232"/>
    <w:rsid w:val="00BF5333"/>
    <w:rsid w:val="00C00F8B"/>
    <w:rsid w:val="00C029C6"/>
    <w:rsid w:val="00C02C26"/>
    <w:rsid w:val="00C03F78"/>
    <w:rsid w:val="00C052F8"/>
    <w:rsid w:val="00C07F4B"/>
    <w:rsid w:val="00C109D3"/>
    <w:rsid w:val="00C10F43"/>
    <w:rsid w:val="00C1164E"/>
    <w:rsid w:val="00C13E53"/>
    <w:rsid w:val="00C13EF5"/>
    <w:rsid w:val="00C162C7"/>
    <w:rsid w:val="00C16E5E"/>
    <w:rsid w:val="00C17825"/>
    <w:rsid w:val="00C209D9"/>
    <w:rsid w:val="00C2168F"/>
    <w:rsid w:val="00C21725"/>
    <w:rsid w:val="00C22612"/>
    <w:rsid w:val="00C246F3"/>
    <w:rsid w:val="00C250A9"/>
    <w:rsid w:val="00C25709"/>
    <w:rsid w:val="00C264EA"/>
    <w:rsid w:val="00C27420"/>
    <w:rsid w:val="00C2762E"/>
    <w:rsid w:val="00C3048F"/>
    <w:rsid w:val="00C31412"/>
    <w:rsid w:val="00C31D3B"/>
    <w:rsid w:val="00C34F4A"/>
    <w:rsid w:val="00C37B57"/>
    <w:rsid w:val="00C37D55"/>
    <w:rsid w:val="00C42B79"/>
    <w:rsid w:val="00C43821"/>
    <w:rsid w:val="00C43CC6"/>
    <w:rsid w:val="00C4709E"/>
    <w:rsid w:val="00C5021F"/>
    <w:rsid w:val="00C5141C"/>
    <w:rsid w:val="00C51A0A"/>
    <w:rsid w:val="00C51D96"/>
    <w:rsid w:val="00C52618"/>
    <w:rsid w:val="00C527E4"/>
    <w:rsid w:val="00C52AFD"/>
    <w:rsid w:val="00C52B44"/>
    <w:rsid w:val="00C52BE2"/>
    <w:rsid w:val="00C5324F"/>
    <w:rsid w:val="00C539EE"/>
    <w:rsid w:val="00C546F6"/>
    <w:rsid w:val="00C54823"/>
    <w:rsid w:val="00C57AF3"/>
    <w:rsid w:val="00C6086F"/>
    <w:rsid w:val="00C62F6A"/>
    <w:rsid w:val="00C63BFE"/>
    <w:rsid w:val="00C63ED5"/>
    <w:rsid w:val="00C64CF9"/>
    <w:rsid w:val="00C64F77"/>
    <w:rsid w:val="00C67591"/>
    <w:rsid w:val="00C67BF2"/>
    <w:rsid w:val="00C7061E"/>
    <w:rsid w:val="00C7180F"/>
    <w:rsid w:val="00C71DDC"/>
    <w:rsid w:val="00C726DE"/>
    <w:rsid w:val="00C73DAD"/>
    <w:rsid w:val="00C73DB4"/>
    <w:rsid w:val="00C74769"/>
    <w:rsid w:val="00C74996"/>
    <w:rsid w:val="00C752AC"/>
    <w:rsid w:val="00C7675C"/>
    <w:rsid w:val="00C80184"/>
    <w:rsid w:val="00C80E2C"/>
    <w:rsid w:val="00C813B4"/>
    <w:rsid w:val="00C81DA1"/>
    <w:rsid w:val="00C823C2"/>
    <w:rsid w:val="00C82B9F"/>
    <w:rsid w:val="00C85EF6"/>
    <w:rsid w:val="00C90D22"/>
    <w:rsid w:val="00C91662"/>
    <w:rsid w:val="00C92693"/>
    <w:rsid w:val="00C9393A"/>
    <w:rsid w:val="00C955BB"/>
    <w:rsid w:val="00C95692"/>
    <w:rsid w:val="00C956A7"/>
    <w:rsid w:val="00C963F0"/>
    <w:rsid w:val="00C97165"/>
    <w:rsid w:val="00CA0313"/>
    <w:rsid w:val="00CA1AE1"/>
    <w:rsid w:val="00CA1BDD"/>
    <w:rsid w:val="00CA2686"/>
    <w:rsid w:val="00CA3B03"/>
    <w:rsid w:val="00CA3DF2"/>
    <w:rsid w:val="00CA514B"/>
    <w:rsid w:val="00CA5D03"/>
    <w:rsid w:val="00CA6395"/>
    <w:rsid w:val="00CA6BD1"/>
    <w:rsid w:val="00CB4A5B"/>
    <w:rsid w:val="00CB5985"/>
    <w:rsid w:val="00CB5B2F"/>
    <w:rsid w:val="00CB7115"/>
    <w:rsid w:val="00CB72B2"/>
    <w:rsid w:val="00CC0940"/>
    <w:rsid w:val="00CC2F37"/>
    <w:rsid w:val="00CC3651"/>
    <w:rsid w:val="00CC5566"/>
    <w:rsid w:val="00CC6631"/>
    <w:rsid w:val="00CC67C4"/>
    <w:rsid w:val="00CC7254"/>
    <w:rsid w:val="00CD2F90"/>
    <w:rsid w:val="00CD3474"/>
    <w:rsid w:val="00CD42F7"/>
    <w:rsid w:val="00CD6258"/>
    <w:rsid w:val="00CD64AE"/>
    <w:rsid w:val="00CD66E6"/>
    <w:rsid w:val="00CD686E"/>
    <w:rsid w:val="00CD6EB2"/>
    <w:rsid w:val="00CE002A"/>
    <w:rsid w:val="00CE1DFB"/>
    <w:rsid w:val="00CE274E"/>
    <w:rsid w:val="00CE292A"/>
    <w:rsid w:val="00CE3200"/>
    <w:rsid w:val="00CE46EE"/>
    <w:rsid w:val="00CE74C8"/>
    <w:rsid w:val="00CF128C"/>
    <w:rsid w:val="00CF154F"/>
    <w:rsid w:val="00CF1765"/>
    <w:rsid w:val="00CF1B73"/>
    <w:rsid w:val="00CF249E"/>
    <w:rsid w:val="00CF4536"/>
    <w:rsid w:val="00CF46BF"/>
    <w:rsid w:val="00CF53B1"/>
    <w:rsid w:val="00CF6AE8"/>
    <w:rsid w:val="00CF6C86"/>
    <w:rsid w:val="00CF6D6E"/>
    <w:rsid w:val="00D003B6"/>
    <w:rsid w:val="00D00EE3"/>
    <w:rsid w:val="00D04F0E"/>
    <w:rsid w:val="00D07228"/>
    <w:rsid w:val="00D07AB5"/>
    <w:rsid w:val="00D07D74"/>
    <w:rsid w:val="00D12E20"/>
    <w:rsid w:val="00D13085"/>
    <w:rsid w:val="00D136D7"/>
    <w:rsid w:val="00D14034"/>
    <w:rsid w:val="00D1484C"/>
    <w:rsid w:val="00D15AC5"/>
    <w:rsid w:val="00D164ED"/>
    <w:rsid w:val="00D171E4"/>
    <w:rsid w:val="00D21247"/>
    <w:rsid w:val="00D212BB"/>
    <w:rsid w:val="00D21BB6"/>
    <w:rsid w:val="00D239B3"/>
    <w:rsid w:val="00D24C63"/>
    <w:rsid w:val="00D25690"/>
    <w:rsid w:val="00D260F6"/>
    <w:rsid w:val="00D265B3"/>
    <w:rsid w:val="00D27B51"/>
    <w:rsid w:val="00D27FFB"/>
    <w:rsid w:val="00D30076"/>
    <w:rsid w:val="00D30436"/>
    <w:rsid w:val="00D304A6"/>
    <w:rsid w:val="00D32585"/>
    <w:rsid w:val="00D32C89"/>
    <w:rsid w:val="00D32D80"/>
    <w:rsid w:val="00D35073"/>
    <w:rsid w:val="00D3611E"/>
    <w:rsid w:val="00D3645A"/>
    <w:rsid w:val="00D36CAC"/>
    <w:rsid w:val="00D3721C"/>
    <w:rsid w:val="00D40C34"/>
    <w:rsid w:val="00D4156F"/>
    <w:rsid w:val="00D415C3"/>
    <w:rsid w:val="00D43074"/>
    <w:rsid w:val="00D43691"/>
    <w:rsid w:val="00D4430A"/>
    <w:rsid w:val="00D44E9D"/>
    <w:rsid w:val="00D45C75"/>
    <w:rsid w:val="00D469A2"/>
    <w:rsid w:val="00D478C8"/>
    <w:rsid w:val="00D501BC"/>
    <w:rsid w:val="00D51B81"/>
    <w:rsid w:val="00D51BD8"/>
    <w:rsid w:val="00D51EA4"/>
    <w:rsid w:val="00D529E7"/>
    <w:rsid w:val="00D52A69"/>
    <w:rsid w:val="00D53117"/>
    <w:rsid w:val="00D53D2F"/>
    <w:rsid w:val="00D553E8"/>
    <w:rsid w:val="00D570A2"/>
    <w:rsid w:val="00D57F81"/>
    <w:rsid w:val="00D604F3"/>
    <w:rsid w:val="00D60514"/>
    <w:rsid w:val="00D620CF"/>
    <w:rsid w:val="00D64046"/>
    <w:rsid w:val="00D645C5"/>
    <w:rsid w:val="00D6560C"/>
    <w:rsid w:val="00D65CDB"/>
    <w:rsid w:val="00D65F0D"/>
    <w:rsid w:val="00D66705"/>
    <w:rsid w:val="00D67772"/>
    <w:rsid w:val="00D705AF"/>
    <w:rsid w:val="00D71557"/>
    <w:rsid w:val="00D7215A"/>
    <w:rsid w:val="00D72D37"/>
    <w:rsid w:val="00D73EC1"/>
    <w:rsid w:val="00D7454F"/>
    <w:rsid w:val="00D753DF"/>
    <w:rsid w:val="00D76AD8"/>
    <w:rsid w:val="00D77111"/>
    <w:rsid w:val="00D77D83"/>
    <w:rsid w:val="00D80394"/>
    <w:rsid w:val="00D80EAC"/>
    <w:rsid w:val="00D80F70"/>
    <w:rsid w:val="00D82223"/>
    <w:rsid w:val="00D82578"/>
    <w:rsid w:val="00D82A05"/>
    <w:rsid w:val="00D841A3"/>
    <w:rsid w:val="00D852FC"/>
    <w:rsid w:val="00D85316"/>
    <w:rsid w:val="00D85DBC"/>
    <w:rsid w:val="00D85E35"/>
    <w:rsid w:val="00D86090"/>
    <w:rsid w:val="00D86C1D"/>
    <w:rsid w:val="00D87916"/>
    <w:rsid w:val="00D910AA"/>
    <w:rsid w:val="00D91A50"/>
    <w:rsid w:val="00D9292D"/>
    <w:rsid w:val="00D930B1"/>
    <w:rsid w:val="00D94B5D"/>
    <w:rsid w:val="00D94D3B"/>
    <w:rsid w:val="00D94FE0"/>
    <w:rsid w:val="00D967C3"/>
    <w:rsid w:val="00D96B0E"/>
    <w:rsid w:val="00D97E85"/>
    <w:rsid w:val="00DA1AD3"/>
    <w:rsid w:val="00DA1C73"/>
    <w:rsid w:val="00DA23DC"/>
    <w:rsid w:val="00DA254C"/>
    <w:rsid w:val="00DA2E41"/>
    <w:rsid w:val="00DA41CC"/>
    <w:rsid w:val="00DA4E86"/>
    <w:rsid w:val="00DA4F04"/>
    <w:rsid w:val="00DA50F0"/>
    <w:rsid w:val="00DA52FF"/>
    <w:rsid w:val="00DA5BA9"/>
    <w:rsid w:val="00DA7569"/>
    <w:rsid w:val="00DB0E04"/>
    <w:rsid w:val="00DB1202"/>
    <w:rsid w:val="00DB1605"/>
    <w:rsid w:val="00DB1737"/>
    <w:rsid w:val="00DB23BC"/>
    <w:rsid w:val="00DB2938"/>
    <w:rsid w:val="00DB2C7E"/>
    <w:rsid w:val="00DB3BE4"/>
    <w:rsid w:val="00DB4B83"/>
    <w:rsid w:val="00DB6498"/>
    <w:rsid w:val="00DB6662"/>
    <w:rsid w:val="00DB7635"/>
    <w:rsid w:val="00DB76C6"/>
    <w:rsid w:val="00DB7AF9"/>
    <w:rsid w:val="00DB7E59"/>
    <w:rsid w:val="00DC00F9"/>
    <w:rsid w:val="00DC11A0"/>
    <w:rsid w:val="00DC3DDB"/>
    <w:rsid w:val="00DC4A2F"/>
    <w:rsid w:val="00DC4C78"/>
    <w:rsid w:val="00DC728E"/>
    <w:rsid w:val="00DC7CC1"/>
    <w:rsid w:val="00DD14FF"/>
    <w:rsid w:val="00DD1F13"/>
    <w:rsid w:val="00DD38A5"/>
    <w:rsid w:val="00DD5B5A"/>
    <w:rsid w:val="00DD61D4"/>
    <w:rsid w:val="00DD6785"/>
    <w:rsid w:val="00DD7773"/>
    <w:rsid w:val="00DD77D6"/>
    <w:rsid w:val="00DD791C"/>
    <w:rsid w:val="00DE2365"/>
    <w:rsid w:val="00DE28BF"/>
    <w:rsid w:val="00DE2A59"/>
    <w:rsid w:val="00DE3018"/>
    <w:rsid w:val="00DE3AEE"/>
    <w:rsid w:val="00DE4006"/>
    <w:rsid w:val="00DE4118"/>
    <w:rsid w:val="00DE41FC"/>
    <w:rsid w:val="00DE5A27"/>
    <w:rsid w:val="00DE7318"/>
    <w:rsid w:val="00DE7347"/>
    <w:rsid w:val="00DF0B63"/>
    <w:rsid w:val="00DF1CD5"/>
    <w:rsid w:val="00DF1D59"/>
    <w:rsid w:val="00DF2680"/>
    <w:rsid w:val="00DF6113"/>
    <w:rsid w:val="00E00612"/>
    <w:rsid w:val="00E01241"/>
    <w:rsid w:val="00E021B9"/>
    <w:rsid w:val="00E022BF"/>
    <w:rsid w:val="00E03542"/>
    <w:rsid w:val="00E03BE7"/>
    <w:rsid w:val="00E04620"/>
    <w:rsid w:val="00E04954"/>
    <w:rsid w:val="00E05259"/>
    <w:rsid w:val="00E05E29"/>
    <w:rsid w:val="00E06C3F"/>
    <w:rsid w:val="00E06E4D"/>
    <w:rsid w:val="00E06FA2"/>
    <w:rsid w:val="00E07AB2"/>
    <w:rsid w:val="00E114B3"/>
    <w:rsid w:val="00E1240D"/>
    <w:rsid w:val="00E13999"/>
    <w:rsid w:val="00E16A01"/>
    <w:rsid w:val="00E1738C"/>
    <w:rsid w:val="00E176D9"/>
    <w:rsid w:val="00E206BB"/>
    <w:rsid w:val="00E209F2"/>
    <w:rsid w:val="00E21253"/>
    <w:rsid w:val="00E218FC"/>
    <w:rsid w:val="00E21C7A"/>
    <w:rsid w:val="00E23897"/>
    <w:rsid w:val="00E2577E"/>
    <w:rsid w:val="00E25C3B"/>
    <w:rsid w:val="00E27269"/>
    <w:rsid w:val="00E34299"/>
    <w:rsid w:val="00E35EAB"/>
    <w:rsid w:val="00E36A8C"/>
    <w:rsid w:val="00E36B25"/>
    <w:rsid w:val="00E402D8"/>
    <w:rsid w:val="00E403BE"/>
    <w:rsid w:val="00E404AE"/>
    <w:rsid w:val="00E41D4B"/>
    <w:rsid w:val="00E421BD"/>
    <w:rsid w:val="00E423DD"/>
    <w:rsid w:val="00E43066"/>
    <w:rsid w:val="00E441C5"/>
    <w:rsid w:val="00E4420D"/>
    <w:rsid w:val="00E450F8"/>
    <w:rsid w:val="00E4621B"/>
    <w:rsid w:val="00E507D5"/>
    <w:rsid w:val="00E50AC7"/>
    <w:rsid w:val="00E5167E"/>
    <w:rsid w:val="00E51D95"/>
    <w:rsid w:val="00E5295E"/>
    <w:rsid w:val="00E546CF"/>
    <w:rsid w:val="00E54A7E"/>
    <w:rsid w:val="00E5520D"/>
    <w:rsid w:val="00E55B35"/>
    <w:rsid w:val="00E56DE4"/>
    <w:rsid w:val="00E57680"/>
    <w:rsid w:val="00E57BB8"/>
    <w:rsid w:val="00E6062C"/>
    <w:rsid w:val="00E6111D"/>
    <w:rsid w:val="00E6147A"/>
    <w:rsid w:val="00E61D6E"/>
    <w:rsid w:val="00E625F3"/>
    <w:rsid w:val="00E639E8"/>
    <w:rsid w:val="00E642C3"/>
    <w:rsid w:val="00E64FF6"/>
    <w:rsid w:val="00E65F51"/>
    <w:rsid w:val="00E66232"/>
    <w:rsid w:val="00E66794"/>
    <w:rsid w:val="00E67973"/>
    <w:rsid w:val="00E70AE2"/>
    <w:rsid w:val="00E70F84"/>
    <w:rsid w:val="00E72611"/>
    <w:rsid w:val="00E7264D"/>
    <w:rsid w:val="00E72817"/>
    <w:rsid w:val="00E73B72"/>
    <w:rsid w:val="00E73CA2"/>
    <w:rsid w:val="00E744CB"/>
    <w:rsid w:val="00E74532"/>
    <w:rsid w:val="00E75798"/>
    <w:rsid w:val="00E75F5F"/>
    <w:rsid w:val="00E80F29"/>
    <w:rsid w:val="00E82287"/>
    <w:rsid w:val="00E841E0"/>
    <w:rsid w:val="00E84B08"/>
    <w:rsid w:val="00E850A8"/>
    <w:rsid w:val="00E8676C"/>
    <w:rsid w:val="00E9093D"/>
    <w:rsid w:val="00E91C58"/>
    <w:rsid w:val="00E927E6"/>
    <w:rsid w:val="00E93B6F"/>
    <w:rsid w:val="00E93E34"/>
    <w:rsid w:val="00E93E67"/>
    <w:rsid w:val="00E959DB"/>
    <w:rsid w:val="00E97C19"/>
    <w:rsid w:val="00EA01C2"/>
    <w:rsid w:val="00EA04CA"/>
    <w:rsid w:val="00EA1572"/>
    <w:rsid w:val="00EA1853"/>
    <w:rsid w:val="00EA2430"/>
    <w:rsid w:val="00EA2AC5"/>
    <w:rsid w:val="00EA3FF8"/>
    <w:rsid w:val="00EA4E85"/>
    <w:rsid w:val="00EA6EE9"/>
    <w:rsid w:val="00EA7887"/>
    <w:rsid w:val="00EB0C47"/>
    <w:rsid w:val="00EB16FB"/>
    <w:rsid w:val="00EB26F8"/>
    <w:rsid w:val="00EB2795"/>
    <w:rsid w:val="00EB32DE"/>
    <w:rsid w:val="00EB536C"/>
    <w:rsid w:val="00EC0152"/>
    <w:rsid w:val="00EC5FDC"/>
    <w:rsid w:val="00EC6C19"/>
    <w:rsid w:val="00EC78AE"/>
    <w:rsid w:val="00ED02BA"/>
    <w:rsid w:val="00ED250D"/>
    <w:rsid w:val="00ED2AE5"/>
    <w:rsid w:val="00ED39BE"/>
    <w:rsid w:val="00ED4188"/>
    <w:rsid w:val="00ED41BC"/>
    <w:rsid w:val="00ED59AE"/>
    <w:rsid w:val="00ED6E86"/>
    <w:rsid w:val="00EE0859"/>
    <w:rsid w:val="00EE2E36"/>
    <w:rsid w:val="00EE3ACC"/>
    <w:rsid w:val="00EE3F2E"/>
    <w:rsid w:val="00EE4BC9"/>
    <w:rsid w:val="00EE56BD"/>
    <w:rsid w:val="00EE6639"/>
    <w:rsid w:val="00EE7968"/>
    <w:rsid w:val="00EF118C"/>
    <w:rsid w:val="00EF270D"/>
    <w:rsid w:val="00EF2F11"/>
    <w:rsid w:val="00EF3134"/>
    <w:rsid w:val="00EF7AED"/>
    <w:rsid w:val="00F00781"/>
    <w:rsid w:val="00F01B88"/>
    <w:rsid w:val="00F04497"/>
    <w:rsid w:val="00F0465F"/>
    <w:rsid w:val="00F04921"/>
    <w:rsid w:val="00F04FED"/>
    <w:rsid w:val="00F05016"/>
    <w:rsid w:val="00F06AE8"/>
    <w:rsid w:val="00F06C1A"/>
    <w:rsid w:val="00F07CF8"/>
    <w:rsid w:val="00F100D7"/>
    <w:rsid w:val="00F11877"/>
    <w:rsid w:val="00F11E8F"/>
    <w:rsid w:val="00F11ED5"/>
    <w:rsid w:val="00F120A6"/>
    <w:rsid w:val="00F12566"/>
    <w:rsid w:val="00F127C2"/>
    <w:rsid w:val="00F134B3"/>
    <w:rsid w:val="00F151F9"/>
    <w:rsid w:val="00F15A82"/>
    <w:rsid w:val="00F15BB4"/>
    <w:rsid w:val="00F16E05"/>
    <w:rsid w:val="00F17FC0"/>
    <w:rsid w:val="00F20902"/>
    <w:rsid w:val="00F215E2"/>
    <w:rsid w:val="00F21954"/>
    <w:rsid w:val="00F248C8"/>
    <w:rsid w:val="00F260E4"/>
    <w:rsid w:val="00F26419"/>
    <w:rsid w:val="00F27A64"/>
    <w:rsid w:val="00F3164A"/>
    <w:rsid w:val="00F31D6C"/>
    <w:rsid w:val="00F3250D"/>
    <w:rsid w:val="00F34181"/>
    <w:rsid w:val="00F35952"/>
    <w:rsid w:val="00F36DC2"/>
    <w:rsid w:val="00F37451"/>
    <w:rsid w:val="00F37C97"/>
    <w:rsid w:val="00F40E8E"/>
    <w:rsid w:val="00F41F03"/>
    <w:rsid w:val="00F43A1B"/>
    <w:rsid w:val="00F46445"/>
    <w:rsid w:val="00F4770D"/>
    <w:rsid w:val="00F502F2"/>
    <w:rsid w:val="00F534CC"/>
    <w:rsid w:val="00F54C29"/>
    <w:rsid w:val="00F55F3E"/>
    <w:rsid w:val="00F5642F"/>
    <w:rsid w:val="00F56D06"/>
    <w:rsid w:val="00F56E58"/>
    <w:rsid w:val="00F60F6D"/>
    <w:rsid w:val="00F61085"/>
    <w:rsid w:val="00F62485"/>
    <w:rsid w:val="00F627EE"/>
    <w:rsid w:val="00F65994"/>
    <w:rsid w:val="00F65DE1"/>
    <w:rsid w:val="00F66617"/>
    <w:rsid w:val="00F66956"/>
    <w:rsid w:val="00F6731E"/>
    <w:rsid w:val="00F72488"/>
    <w:rsid w:val="00F729B3"/>
    <w:rsid w:val="00F729B6"/>
    <w:rsid w:val="00F73C1A"/>
    <w:rsid w:val="00F74DBB"/>
    <w:rsid w:val="00F76CA5"/>
    <w:rsid w:val="00F80B24"/>
    <w:rsid w:val="00F81052"/>
    <w:rsid w:val="00F82072"/>
    <w:rsid w:val="00F84691"/>
    <w:rsid w:val="00F848FC"/>
    <w:rsid w:val="00F857C9"/>
    <w:rsid w:val="00F871F8"/>
    <w:rsid w:val="00F876DD"/>
    <w:rsid w:val="00F877D0"/>
    <w:rsid w:val="00F8785C"/>
    <w:rsid w:val="00F90268"/>
    <w:rsid w:val="00F91530"/>
    <w:rsid w:val="00F91A46"/>
    <w:rsid w:val="00F91CCF"/>
    <w:rsid w:val="00F940F8"/>
    <w:rsid w:val="00F94A02"/>
    <w:rsid w:val="00F9668D"/>
    <w:rsid w:val="00F96AAA"/>
    <w:rsid w:val="00F96B98"/>
    <w:rsid w:val="00F97A3A"/>
    <w:rsid w:val="00FA0605"/>
    <w:rsid w:val="00FA11B8"/>
    <w:rsid w:val="00FA300F"/>
    <w:rsid w:val="00FA3F3A"/>
    <w:rsid w:val="00FA433C"/>
    <w:rsid w:val="00FA5AC2"/>
    <w:rsid w:val="00FB06F4"/>
    <w:rsid w:val="00FB4543"/>
    <w:rsid w:val="00FB5ED8"/>
    <w:rsid w:val="00FB6BFC"/>
    <w:rsid w:val="00FC1074"/>
    <w:rsid w:val="00FC18BE"/>
    <w:rsid w:val="00FC19E3"/>
    <w:rsid w:val="00FC2A85"/>
    <w:rsid w:val="00FC2E02"/>
    <w:rsid w:val="00FC3890"/>
    <w:rsid w:val="00FC4967"/>
    <w:rsid w:val="00FC4FA1"/>
    <w:rsid w:val="00FC6B9D"/>
    <w:rsid w:val="00FC74A5"/>
    <w:rsid w:val="00FD0BE0"/>
    <w:rsid w:val="00FD0E8F"/>
    <w:rsid w:val="00FD1592"/>
    <w:rsid w:val="00FD347F"/>
    <w:rsid w:val="00FD36C7"/>
    <w:rsid w:val="00FD6DDC"/>
    <w:rsid w:val="00FD773F"/>
    <w:rsid w:val="00FE022A"/>
    <w:rsid w:val="00FE21B7"/>
    <w:rsid w:val="00FE2C88"/>
    <w:rsid w:val="00FE30E4"/>
    <w:rsid w:val="00FE3F9D"/>
    <w:rsid w:val="00FE49EE"/>
    <w:rsid w:val="00FE5243"/>
    <w:rsid w:val="00FE527F"/>
    <w:rsid w:val="00FE52EA"/>
    <w:rsid w:val="00FE5797"/>
    <w:rsid w:val="00FE7A97"/>
    <w:rsid w:val="00FF0110"/>
    <w:rsid w:val="00FF0118"/>
    <w:rsid w:val="00FF0C59"/>
    <w:rsid w:val="00FF3178"/>
    <w:rsid w:val="00FF3A24"/>
    <w:rsid w:val="00FF489E"/>
    <w:rsid w:val="00FF6095"/>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4AA243C"/>
  <w15:docId w15:val="{D400B22A-7CC4-4105-AFFD-516D527F8C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5B62"/>
    <w:rPr>
      <w:lang w:val="en-GB"/>
    </w:rPr>
  </w:style>
  <w:style w:type="paragraph" w:styleId="Heading1">
    <w:name w:val="heading 1"/>
    <w:basedOn w:val="Normal"/>
    <w:next w:val="Normal"/>
    <w:link w:val="Heading1Char"/>
    <w:uiPriority w:val="9"/>
    <w:qFormat/>
    <w:rsid w:val="00DB2C7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B2C7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DB2C7E"/>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2C7E"/>
    <w:rPr>
      <w:rFonts w:asciiTheme="majorHAnsi" w:eastAsiaTheme="majorEastAsia" w:hAnsiTheme="majorHAnsi" w:cstheme="majorBidi"/>
      <w:b/>
      <w:bCs/>
      <w:color w:val="365F91" w:themeColor="accent1" w:themeShade="BF"/>
      <w:sz w:val="28"/>
      <w:szCs w:val="28"/>
      <w:lang w:val="en-GB"/>
    </w:rPr>
  </w:style>
  <w:style w:type="character" w:customStyle="1" w:styleId="Heading2Char">
    <w:name w:val="Heading 2 Char"/>
    <w:basedOn w:val="DefaultParagraphFont"/>
    <w:link w:val="Heading2"/>
    <w:uiPriority w:val="9"/>
    <w:rsid w:val="00DB2C7E"/>
    <w:rPr>
      <w:rFonts w:asciiTheme="majorHAnsi" w:eastAsiaTheme="majorEastAsia" w:hAnsiTheme="majorHAnsi" w:cstheme="majorBidi"/>
      <w:b/>
      <w:bCs/>
      <w:color w:val="4F81BD" w:themeColor="accent1"/>
      <w:sz w:val="26"/>
      <w:szCs w:val="26"/>
      <w:lang w:val="en-GB"/>
    </w:rPr>
  </w:style>
  <w:style w:type="character" w:customStyle="1" w:styleId="Heading3Char">
    <w:name w:val="Heading 3 Char"/>
    <w:basedOn w:val="DefaultParagraphFont"/>
    <w:link w:val="Heading3"/>
    <w:uiPriority w:val="9"/>
    <w:rsid w:val="00DB2C7E"/>
    <w:rPr>
      <w:rFonts w:asciiTheme="majorHAnsi" w:eastAsiaTheme="majorEastAsia" w:hAnsiTheme="majorHAnsi" w:cstheme="majorBidi"/>
      <w:b/>
      <w:bCs/>
      <w:color w:val="4F81BD" w:themeColor="accent1"/>
      <w:lang w:val="en-GB"/>
    </w:rPr>
  </w:style>
  <w:style w:type="paragraph" w:styleId="Bibliography">
    <w:name w:val="Bibliography"/>
    <w:basedOn w:val="Normal"/>
    <w:next w:val="Normal"/>
    <w:uiPriority w:val="37"/>
    <w:unhideWhenUsed/>
    <w:rsid w:val="00EE2E36"/>
    <w:pPr>
      <w:spacing w:after="240" w:line="240" w:lineRule="auto"/>
    </w:pPr>
  </w:style>
  <w:style w:type="paragraph" w:styleId="BalloonText">
    <w:name w:val="Balloon Text"/>
    <w:basedOn w:val="Normal"/>
    <w:link w:val="BalloonTextChar"/>
    <w:uiPriority w:val="99"/>
    <w:semiHidden/>
    <w:unhideWhenUsed/>
    <w:rsid w:val="002230A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30AC"/>
    <w:rPr>
      <w:rFonts w:ascii="Tahoma" w:hAnsi="Tahoma" w:cs="Tahoma"/>
      <w:sz w:val="16"/>
      <w:szCs w:val="16"/>
      <w:lang w:val="en-GB"/>
    </w:rPr>
  </w:style>
  <w:style w:type="paragraph" w:styleId="ListParagraph">
    <w:name w:val="List Paragraph"/>
    <w:basedOn w:val="Normal"/>
    <w:uiPriority w:val="34"/>
    <w:qFormat/>
    <w:rsid w:val="00272E48"/>
    <w:pPr>
      <w:ind w:left="720"/>
      <w:contextualSpacing/>
    </w:pPr>
  </w:style>
  <w:style w:type="paragraph" w:styleId="NormalWeb">
    <w:name w:val="Normal (Web)"/>
    <w:basedOn w:val="Normal"/>
    <w:uiPriority w:val="99"/>
    <w:unhideWhenUsed/>
    <w:rsid w:val="00BA34A2"/>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Header">
    <w:name w:val="header"/>
    <w:basedOn w:val="Normal"/>
    <w:link w:val="HeaderChar"/>
    <w:uiPriority w:val="99"/>
    <w:unhideWhenUsed/>
    <w:rsid w:val="00E67973"/>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7973"/>
    <w:rPr>
      <w:lang w:val="en-GB"/>
    </w:rPr>
  </w:style>
  <w:style w:type="paragraph" w:styleId="Footer">
    <w:name w:val="footer"/>
    <w:basedOn w:val="Normal"/>
    <w:link w:val="FooterChar"/>
    <w:uiPriority w:val="99"/>
    <w:unhideWhenUsed/>
    <w:rsid w:val="00E67973"/>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7973"/>
    <w:rPr>
      <w:lang w:val="en-GB"/>
    </w:rPr>
  </w:style>
  <w:style w:type="character" w:styleId="Hyperlink">
    <w:name w:val="Hyperlink"/>
    <w:basedOn w:val="DefaultParagraphFont"/>
    <w:uiPriority w:val="99"/>
    <w:unhideWhenUsed/>
    <w:rsid w:val="0093754A"/>
    <w:rPr>
      <w:color w:val="0000FF"/>
      <w:u w:val="single"/>
    </w:rPr>
  </w:style>
  <w:style w:type="character" w:styleId="Strong">
    <w:name w:val="Strong"/>
    <w:basedOn w:val="DefaultParagraphFont"/>
    <w:uiPriority w:val="22"/>
    <w:qFormat/>
    <w:rsid w:val="008322CC"/>
    <w:rPr>
      <w:b/>
      <w:bCs/>
    </w:rPr>
  </w:style>
  <w:style w:type="table" w:styleId="TableGrid">
    <w:name w:val="Table Grid"/>
    <w:basedOn w:val="TableNormal"/>
    <w:uiPriority w:val="59"/>
    <w:rsid w:val="008322C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1">
    <w:name w:val="Light Shading1"/>
    <w:basedOn w:val="TableNormal"/>
    <w:uiPriority w:val="60"/>
    <w:rsid w:val="008322C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8322CC"/>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List-Accent11">
    <w:name w:val="Light List - Accent 11"/>
    <w:basedOn w:val="TableNormal"/>
    <w:uiPriority w:val="61"/>
    <w:rsid w:val="008322C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List-Accent111">
    <w:name w:val="Light List - Accent 111"/>
    <w:basedOn w:val="TableNormal"/>
    <w:uiPriority w:val="61"/>
    <w:rsid w:val="00835EE7"/>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Caption">
    <w:name w:val="caption"/>
    <w:basedOn w:val="Normal"/>
    <w:next w:val="Normal"/>
    <w:uiPriority w:val="35"/>
    <w:unhideWhenUsed/>
    <w:qFormat/>
    <w:rsid w:val="00754E2C"/>
    <w:pPr>
      <w:spacing w:line="240" w:lineRule="auto"/>
    </w:pPr>
    <w:rPr>
      <w:b/>
      <w:bCs/>
      <w:color w:val="4F81BD" w:themeColor="accent1"/>
      <w:sz w:val="18"/>
      <w:szCs w:val="18"/>
    </w:rPr>
  </w:style>
  <w:style w:type="character" w:styleId="CommentReference">
    <w:name w:val="annotation reference"/>
    <w:basedOn w:val="DefaultParagraphFont"/>
    <w:uiPriority w:val="99"/>
    <w:semiHidden/>
    <w:unhideWhenUsed/>
    <w:rsid w:val="0005725C"/>
    <w:rPr>
      <w:sz w:val="16"/>
      <w:szCs w:val="16"/>
    </w:rPr>
  </w:style>
  <w:style w:type="paragraph" w:styleId="CommentText">
    <w:name w:val="annotation text"/>
    <w:basedOn w:val="Normal"/>
    <w:link w:val="CommentTextChar"/>
    <w:uiPriority w:val="99"/>
    <w:semiHidden/>
    <w:unhideWhenUsed/>
    <w:rsid w:val="0005725C"/>
    <w:pPr>
      <w:spacing w:line="240" w:lineRule="auto"/>
    </w:pPr>
    <w:rPr>
      <w:sz w:val="20"/>
      <w:szCs w:val="20"/>
    </w:rPr>
  </w:style>
  <w:style w:type="character" w:customStyle="1" w:styleId="CommentTextChar">
    <w:name w:val="Comment Text Char"/>
    <w:basedOn w:val="DefaultParagraphFont"/>
    <w:link w:val="CommentText"/>
    <w:uiPriority w:val="99"/>
    <w:semiHidden/>
    <w:rsid w:val="0005725C"/>
    <w:rPr>
      <w:sz w:val="20"/>
      <w:szCs w:val="20"/>
      <w:lang w:val="en-GB"/>
    </w:rPr>
  </w:style>
  <w:style w:type="paragraph" w:styleId="CommentSubject">
    <w:name w:val="annotation subject"/>
    <w:basedOn w:val="CommentText"/>
    <w:next w:val="CommentText"/>
    <w:link w:val="CommentSubjectChar"/>
    <w:uiPriority w:val="99"/>
    <w:semiHidden/>
    <w:unhideWhenUsed/>
    <w:rsid w:val="0005725C"/>
    <w:rPr>
      <w:b/>
      <w:bCs/>
    </w:rPr>
  </w:style>
  <w:style w:type="character" w:customStyle="1" w:styleId="CommentSubjectChar">
    <w:name w:val="Comment Subject Char"/>
    <w:basedOn w:val="CommentTextChar"/>
    <w:link w:val="CommentSubject"/>
    <w:uiPriority w:val="99"/>
    <w:semiHidden/>
    <w:rsid w:val="0005725C"/>
    <w:rPr>
      <w:b/>
      <w:bCs/>
      <w:sz w:val="20"/>
      <w:szCs w:val="20"/>
      <w:lang w:val="en-GB"/>
    </w:rPr>
  </w:style>
  <w:style w:type="paragraph" w:styleId="Revision">
    <w:name w:val="Revision"/>
    <w:hidden/>
    <w:uiPriority w:val="99"/>
    <w:semiHidden/>
    <w:rsid w:val="0082063B"/>
    <w:pPr>
      <w:spacing w:after="0" w:line="240" w:lineRule="auto"/>
    </w:pPr>
    <w:rPr>
      <w:lang w:val="en-GB"/>
    </w:rPr>
  </w:style>
  <w:style w:type="table" w:customStyle="1" w:styleId="MediumList21">
    <w:name w:val="Medium List 21"/>
    <w:basedOn w:val="TableNormal"/>
    <w:uiPriority w:val="66"/>
    <w:rsid w:val="006565A1"/>
    <w:pPr>
      <w:spacing w:after="0" w:line="240" w:lineRule="auto"/>
    </w:pPr>
    <w:rPr>
      <w:rFonts w:asciiTheme="majorHAnsi" w:eastAsiaTheme="majorEastAsia" w:hAnsiTheme="majorHAnsi" w:cstheme="majorBidi"/>
      <w:color w:val="000000" w:themeColor="text1"/>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itle1">
    <w:name w:val="Title1"/>
    <w:basedOn w:val="Normal"/>
    <w:rsid w:val="00C52AFD"/>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desc">
    <w:name w:val="desc"/>
    <w:basedOn w:val="Normal"/>
    <w:rsid w:val="00C52AFD"/>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details">
    <w:name w:val="details"/>
    <w:basedOn w:val="Normal"/>
    <w:rsid w:val="00C52AFD"/>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jrnl">
    <w:name w:val="jrnl"/>
    <w:basedOn w:val="DefaultParagraphFont"/>
    <w:rsid w:val="00C52AFD"/>
  </w:style>
  <w:style w:type="table" w:customStyle="1" w:styleId="LightList1">
    <w:name w:val="Light List1"/>
    <w:basedOn w:val="TableNormal"/>
    <w:uiPriority w:val="61"/>
    <w:rsid w:val="0028131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List11">
    <w:name w:val="Medium List 11"/>
    <w:basedOn w:val="TableNormal"/>
    <w:uiPriority w:val="65"/>
    <w:rsid w:val="00281310"/>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LightShading2">
    <w:name w:val="Light Shading2"/>
    <w:basedOn w:val="TableNormal"/>
    <w:uiPriority w:val="60"/>
    <w:rsid w:val="0078397A"/>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2">
    <w:name w:val="Light Shading - Accent 12"/>
    <w:basedOn w:val="TableNormal"/>
    <w:uiPriority w:val="60"/>
    <w:rsid w:val="0080650C"/>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Bullet">
    <w:name w:val="List Bullet"/>
    <w:basedOn w:val="Normal"/>
    <w:uiPriority w:val="99"/>
    <w:unhideWhenUsed/>
    <w:rsid w:val="00126ADF"/>
    <w:pPr>
      <w:tabs>
        <w:tab w:val="num" w:pos="360"/>
      </w:tabs>
      <w:ind w:left="360" w:hanging="360"/>
      <w:contextualSpacing/>
    </w:pPr>
  </w:style>
  <w:style w:type="paragraph" w:styleId="TOCHeading">
    <w:name w:val="TOC Heading"/>
    <w:basedOn w:val="Heading1"/>
    <w:next w:val="Normal"/>
    <w:uiPriority w:val="39"/>
    <w:semiHidden/>
    <w:unhideWhenUsed/>
    <w:qFormat/>
    <w:rsid w:val="00DB2C7E"/>
    <w:pPr>
      <w:outlineLvl w:val="9"/>
    </w:pPr>
    <w:rPr>
      <w:lang w:val="en-US"/>
    </w:rPr>
  </w:style>
  <w:style w:type="paragraph" w:styleId="TOC1">
    <w:name w:val="toc 1"/>
    <w:basedOn w:val="Normal"/>
    <w:next w:val="Normal"/>
    <w:autoRedefine/>
    <w:uiPriority w:val="39"/>
    <w:unhideWhenUsed/>
    <w:rsid w:val="00DD77D6"/>
    <w:pPr>
      <w:tabs>
        <w:tab w:val="right" w:leader="dot" w:pos="9350"/>
      </w:tabs>
      <w:spacing w:after="100"/>
    </w:pPr>
    <w:rPr>
      <w:rFonts w:ascii="Times New Roman" w:hAnsi="Times New Roman" w:cs="Times New Roman"/>
      <w:noProof/>
    </w:rPr>
  </w:style>
  <w:style w:type="paragraph" w:styleId="TOC2">
    <w:name w:val="toc 2"/>
    <w:basedOn w:val="Normal"/>
    <w:next w:val="Normal"/>
    <w:autoRedefine/>
    <w:uiPriority w:val="39"/>
    <w:unhideWhenUsed/>
    <w:rsid w:val="00292D8F"/>
    <w:pPr>
      <w:tabs>
        <w:tab w:val="right" w:leader="dot" w:pos="9350"/>
      </w:tabs>
      <w:spacing w:after="100"/>
      <w:ind w:left="220"/>
    </w:pPr>
    <w:rPr>
      <w:rFonts w:ascii="Times New Roman" w:hAnsi="Times New Roman" w:cs="Times New Roman"/>
      <w:noProof/>
    </w:rPr>
  </w:style>
  <w:style w:type="paragraph" w:styleId="TOC3">
    <w:name w:val="toc 3"/>
    <w:basedOn w:val="Normal"/>
    <w:next w:val="Normal"/>
    <w:autoRedefine/>
    <w:uiPriority w:val="39"/>
    <w:unhideWhenUsed/>
    <w:rsid w:val="00DB2C7E"/>
    <w:pPr>
      <w:spacing w:after="100"/>
      <w:ind w:left="440"/>
    </w:pPr>
  </w:style>
  <w:style w:type="paragraph" w:styleId="TableofFigures">
    <w:name w:val="table of figures"/>
    <w:basedOn w:val="Normal"/>
    <w:next w:val="Normal"/>
    <w:uiPriority w:val="99"/>
    <w:unhideWhenUsed/>
    <w:rsid w:val="000B3BC7"/>
    <w:pPr>
      <w:spacing w:after="0"/>
    </w:pPr>
  </w:style>
  <w:style w:type="paragraph" w:styleId="TOC4">
    <w:name w:val="toc 4"/>
    <w:basedOn w:val="Normal"/>
    <w:next w:val="Normal"/>
    <w:autoRedefine/>
    <w:uiPriority w:val="39"/>
    <w:unhideWhenUsed/>
    <w:rsid w:val="006C02B5"/>
    <w:pPr>
      <w:spacing w:after="100"/>
      <w:ind w:left="660"/>
    </w:pPr>
    <w:rPr>
      <w:rFonts w:eastAsiaTheme="minorEastAsia"/>
      <w:lang w:val="en-US"/>
    </w:rPr>
  </w:style>
  <w:style w:type="paragraph" w:styleId="TOC5">
    <w:name w:val="toc 5"/>
    <w:basedOn w:val="Normal"/>
    <w:next w:val="Normal"/>
    <w:autoRedefine/>
    <w:uiPriority w:val="39"/>
    <w:unhideWhenUsed/>
    <w:rsid w:val="006C02B5"/>
    <w:pPr>
      <w:spacing w:after="100"/>
      <w:ind w:left="880"/>
    </w:pPr>
    <w:rPr>
      <w:rFonts w:eastAsiaTheme="minorEastAsia"/>
      <w:lang w:val="en-US"/>
    </w:rPr>
  </w:style>
  <w:style w:type="paragraph" w:styleId="TOC6">
    <w:name w:val="toc 6"/>
    <w:basedOn w:val="Normal"/>
    <w:next w:val="Normal"/>
    <w:autoRedefine/>
    <w:uiPriority w:val="39"/>
    <w:unhideWhenUsed/>
    <w:rsid w:val="006C02B5"/>
    <w:pPr>
      <w:spacing w:after="100"/>
      <w:ind w:left="1100"/>
    </w:pPr>
    <w:rPr>
      <w:rFonts w:eastAsiaTheme="minorEastAsia"/>
      <w:lang w:val="en-US"/>
    </w:rPr>
  </w:style>
  <w:style w:type="paragraph" w:styleId="TOC7">
    <w:name w:val="toc 7"/>
    <w:basedOn w:val="Normal"/>
    <w:next w:val="Normal"/>
    <w:autoRedefine/>
    <w:uiPriority w:val="39"/>
    <w:unhideWhenUsed/>
    <w:rsid w:val="006C02B5"/>
    <w:pPr>
      <w:spacing w:after="100"/>
      <w:ind w:left="1320"/>
    </w:pPr>
    <w:rPr>
      <w:rFonts w:eastAsiaTheme="minorEastAsia"/>
      <w:lang w:val="en-US"/>
    </w:rPr>
  </w:style>
  <w:style w:type="paragraph" w:styleId="TOC8">
    <w:name w:val="toc 8"/>
    <w:basedOn w:val="Normal"/>
    <w:next w:val="Normal"/>
    <w:autoRedefine/>
    <w:uiPriority w:val="39"/>
    <w:unhideWhenUsed/>
    <w:rsid w:val="006C02B5"/>
    <w:pPr>
      <w:spacing w:after="100"/>
      <w:ind w:left="1540"/>
    </w:pPr>
    <w:rPr>
      <w:rFonts w:eastAsiaTheme="minorEastAsia"/>
      <w:lang w:val="en-US"/>
    </w:rPr>
  </w:style>
  <w:style w:type="paragraph" w:styleId="TOC9">
    <w:name w:val="toc 9"/>
    <w:basedOn w:val="Normal"/>
    <w:next w:val="Normal"/>
    <w:autoRedefine/>
    <w:uiPriority w:val="39"/>
    <w:unhideWhenUsed/>
    <w:rsid w:val="006C02B5"/>
    <w:pPr>
      <w:spacing w:after="100"/>
      <w:ind w:left="1760"/>
    </w:pPr>
    <w:rPr>
      <w:rFonts w:eastAsiaTheme="minorEastAsia"/>
      <w:lang w:val="en-US"/>
    </w:rPr>
  </w:style>
  <w:style w:type="character" w:customStyle="1" w:styleId="UnresolvedMention1">
    <w:name w:val="Unresolved Mention1"/>
    <w:basedOn w:val="DefaultParagraphFont"/>
    <w:uiPriority w:val="99"/>
    <w:semiHidden/>
    <w:unhideWhenUsed/>
    <w:rsid w:val="00E639E8"/>
    <w:rPr>
      <w:color w:val="605E5C"/>
      <w:shd w:val="clear" w:color="auto" w:fill="E1DFDD"/>
    </w:rPr>
  </w:style>
  <w:style w:type="character" w:styleId="LineNumber">
    <w:name w:val="line number"/>
    <w:basedOn w:val="DefaultParagraphFont"/>
    <w:uiPriority w:val="99"/>
    <w:semiHidden/>
    <w:unhideWhenUsed/>
    <w:rsid w:val="00AB0C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891456">
      <w:bodyDiv w:val="1"/>
      <w:marLeft w:val="0"/>
      <w:marRight w:val="0"/>
      <w:marTop w:val="0"/>
      <w:marBottom w:val="0"/>
      <w:divBdr>
        <w:top w:val="none" w:sz="0" w:space="0" w:color="auto"/>
        <w:left w:val="none" w:sz="0" w:space="0" w:color="auto"/>
        <w:bottom w:val="none" w:sz="0" w:space="0" w:color="auto"/>
        <w:right w:val="none" w:sz="0" w:space="0" w:color="auto"/>
      </w:divBdr>
    </w:div>
    <w:div w:id="299269456">
      <w:bodyDiv w:val="1"/>
      <w:marLeft w:val="0"/>
      <w:marRight w:val="0"/>
      <w:marTop w:val="0"/>
      <w:marBottom w:val="0"/>
      <w:divBdr>
        <w:top w:val="none" w:sz="0" w:space="0" w:color="auto"/>
        <w:left w:val="none" w:sz="0" w:space="0" w:color="auto"/>
        <w:bottom w:val="none" w:sz="0" w:space="0" w:color="auto"/>
        <w:right w:val="none" w:sz="0" w:space="0" w:color="auto"/>
      </w:divBdr>
    </w:div>
    <w:div w:id="638338529">
      <w:bodyDiv w:val="1"/>
      <w:marLeft w:val="0"/>
      <w:marRight w:val="0"/>
      <w:marTop w:val="0"/>
      <w:marBottom w:val="0"/>
      <w:divBdr>
        <w:top w:val="none" w:sz="0" w:space="0" w:color="auto"/>
        <w:left w:val="none" w:sz="0" w:space="0" w:color="auto"/>
        <w:bottom w:val="none" w:sz="0" w:space="0" w:color="auto"/>
        <w:right w:val="none" w:sz="0" w:space="0" w:color="auto"/>
      </w:divBdr>
    </w:div>
    <w:div w:id="712340347">
      <w:bodyDiv w:val="1"/>
      <w:marLeft w:val="0"/>
      <w:marRight w:val="0"/>
      <w:marTop w:val="0"/>
      <w:marBottom w:val="0"/>
      <w:divBdr>
        <w:top w:val="none" w:sz="0" w:space="0" w:color="auto"/>
        <w:left w:val="none" w:sz="0" w:space="0" w:color="auto"/>
        <w:bottom w:val="none" w:sz="0" w:space="0" w:color="auto"/>
        <w:right w:val="none" w:sz="0" w:space="0" w:color="auto"/>
      </w:divBdr>
    </w:div>
    <w:div w:id="761607588">
      <w:bodyDiv w:val="1"/>
      <w:marLeft w:val="0"/>
      <w:marRight w:val="0"/>
      <w:marTop w:val="0"/>
      <w:marBottom w:val="0"/>
      <w:divBdr>
        <w:top w:val="none" w:sz="0" w:space="0" w:color="auto"/>
        <w:left w:val="none" w:sz="0" w:space="0" w:color="auto"/>
        <w:bottom w:val="none" w:sz="0" w:space="0" w:color="auto"/>
        <w:right w:val="none" w:sz="0" w:space="0" w:color="auto"/>
      </w:divBdr>
      <w:divsChild>
        <w:div w:id="1305744837">
          <w:marLeft w:val="0"/>
          <w:marRight w:val="0"/>
          <w:marTop w:val="34"/>
          <w:marBottom w:val="34"/>
          <w:divBdr>
            <w:top w:val="none" w:sz="0" w:space="0" w:color="auto"/>
            <w:left w:val="none" w:sz="0" w:space="0" w:color="auto"/>
            <w:bottom w:val="none" w:sz="0" w:space="0" w:color="auto"/>
            <w:right w:val="none" w:sz="0" w:space="0" w:color="auto"/>
          </w:divBdr>
        </w:div>
      </w:divsChild>
    </w:div>
    <w:div w:id="947929559">
      <w:bodyDiv w:val="1"/>
      <w:marLeft w:val="0"/>
      <w:marRight w:val="0"/>
      <w:marTop w:val="0"/>
      <w:marBottom w:val="0"/>
      <w:divBdr>
        <w:top w:val="none" w:sz="0" w:space="0" w:color="auto"/>
        <w:left w:val="none" w:sz="0" w:space="0" w:color="auto"/>
        <w:bottom w:val="none" w:sz="0" w:space="0" w:color="auto"/>
        <w:right w:val="none" w:sz="0" w:space="0" w:color="auto"/>
      </w:divBdr>
    </w:div>
    <w:div w:id="1149399905">
      <w:bodyDiv w:val="1"/>
      <w:marLeft w:val="0"/>
      <w:marRight w:val="0"/>
      <w:marTop w:val="0"/>
      <w:marBottom w:val="0"/>
      <w:divBdr>
        <w:top w:val="none" w:sz="0" w:space="0" w:color="auto"/>
        <w:left w:val="none" w:sz="0" w:space="0" w:color="auto"/>
        <w:bottom w:val="none" w:sz="0" w:space="0" w:color="auto"/>
        <w:right w:val="none" w:sz="0" w:space="0" w:color="auto"/>
      </w:divBdr>
    </w:div>
    <w:div w:id="1700079988">
      <w:bodyDiv w:val="1"/>
      <w:marLeft w:val="0"/>
      <w:marRight w:val="0"/>
      <w:marTop w:val="0"/>
      <w:marBottom w:val="0"/>
      <w:divBdr>
        <w:top w:val="none" w:sz="0" w:space="0" w:color="auto"/>
        <w:left w:val="none" w:sz="0" w:space="0" w:color="auto"/>
        <w:bottom w:val="none" w:sz="0" w:space="0" w:color="auto"/>
        <w:right w:val="none" w:sz="0" w:space="0" w:color="auto"/>
      </w:divBdr>
    </w:div>
    <w:div w:id="1763379111">
      <w:bodyDiv w:val="1"/>
      <w:marLeft w:val="0"/>
      <w:marRight w:val="0"/>
      <w:marTop w:val="0"/>
      <w:marBottom w:val="0"/>
      <w:divBdr>
        <w:top w:val="none" w:sz="0" w:space="0" w:color="auto"/>
        <w:left w:val="none" w:sz="0" w:space="0" w:color="auto"/>
        <w:bottom w:val="none" w:sz="0" w:space="0" w:color="auto"/>
        <w:right w:val="none" w:sz="0" w:space="0" w:color="auto"/>
      </w:divBdr>
      <w:divsChild>
        <w:div w:id="316424271">
          <w:marLeft w:val="0"/>
          <w:marRight w:val="0"/>
          <w:marTop w:val="0"/>
          <w:marBottom w:val="0"/>
          <w:divBdr>
            <w:top w:val="none" w:sz="0" w:space="0" w:color="auto"/>
            <w:left w:val="none" w:sz="0" w:space="0" w:color="auto"/>
            <w:bottom w:val="none" w:sz="0" w:space="0" w:color="auto"/>
            <w:right w:val="none" w:sz="0" w:space="0" w:color="auto"/>
          </w:divBdr>
        </w:div>
        <w:div w:id="527180718">
          <w:marLeft w:val="0"/>
          <w:marRight w:val="0"/>
          <w:marTop w:val="0"/>
          <w:marBottom w:val="0"/>
          <w:divBdr>
            <w:top w:val="none" w:sz="0" w:space="0" w:color="auto"/>
            <w:left w:val="none" w:sz="0" w:space="0" w:color="auto"/>
            <w:bottom w:val="none" w:sz="0" w:space="0" w:color="auto"/>
            <w:right w:val="none" w:sz="0" w:space="0" w:color="auto"/>
          </w:divBdr>
        </w:div>
      </w:divsChild>
    </w:div>
    <w:div w:id="1812357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hyperlink" Target="https://www.google.co.uk/search?q=Milpitas+California&amp;stick=H4sIAAAAAAAAAOPgE-LSz9U3MIq3MDZOUeIAsYvMLKu0tLKTrfTzi9IT8zKrEksy8_NQOFYZqYkphaWJRSWpRcUA5nsHkEQAAAA&amp;sa=X&amp;ved=0ahUKEwjQ2-7UpeLaAhUJD8AKHTJ9DoQQmxMI3QEoATAO" TargetMode="External"/><Relationship Id="rId42" Type="http://schemas.openxmlformats.org/officeDocument/2006/relationships/image" Target="media/image23.jpeg"/><Relationship Id="rId47" Type="http://schemas.openxmlformats.org/officeDocument/2006/relationships/image" Target="media/image27.png"/><Relationship Id="rId63" Type="http://schemas.openxmlformats.org/officeDocument/2006/relationships/chart" Target="charts/chart15.xml"/><Relationship Id="rId68" Type="http://schemas.openxmlformats.org/officeDocument/2006/relationships/image" Target="media/image32.png"/><Relationship Id="rId16" Type="http://schemas.openxmlformats.org/officeDocument/2006/relationships/image" Target="media/image1.jpeg"/><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5.png"/><Relationship Id="rId53" Type="http://schemas.openxmlformats.org/officeDocument/2006/relationships/chart" Target="charts/chart5.xml"/><Relationship Id="rId58" Type="http://schemas.openxmlformats.org/officeDocument/2006/relationships/chart" Target="charts/chart10.xml"/><Relationship Id="rId66" Type="http://schemas.openxmlformats.org/officeDocument/2006/relationships/image" Target="media/image30.png"/><Relationship Id="rId74" Type="http://schemas.openxmlformats.org/officeDocument/2006/relationships/image" Target="media/image38.png"/><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chart" Target="charts/chart13.xml"/><Relationship Id="rId19" Type="http://schemas.openxmlformats.org/officeDocument/2006/relationships/image" Target="media/image4.png"/><Relationship Id="rId14" Type="http://schemas.openxmlformats.org/officeDocument/2006/relationships/footer" Target="footer3.xml"/><Relationship Id="rId22" Type="http://schemas.openxmlformats.org/officeDocument/2006/relationships/hyperlink" Target="https://www.google.co.uk/search?q=Marlborough+Massachusetts&amp;stick=H4sIAAAAAAAAAOPgE-LUz9U3MCk2yzBQ4gAxS-JN8rS0spOt9POL0hPzMqsSSzLz81A4VhmpiSmFpYlFJalFxQBS1vyNQwAAAA&amp;sa=X&amp;ved=0ahUKEwi-gP76peLaAhUGLMAKHTWeBbsQmxMIzwEoATAY" TargetMode="External"/><Relationship Id="rId27" Type="http://schemas.openxmlformats.org/officeDocument/2006/relationships/image" Target="media/image10.png"/><Relationship Id="rId30" Type="http://schemas.openxmlformats.org/officeDocument/2006/relationships/hyperlink" Target="https://commons.wikimedia.org/w/index.php?title=User:Sukhjinder.nijjer&amp;action=edit&amp;redlink=1" TargetMode="External"/><Relationship Id="rId35" Type="http://schemas.openxmlformats.org/officeDocument/2006/relationships/image" Target="media/image17.jpeg"/><Relationship Id="rId43" Type="http://schemas.openxmlformats.org/officeDocument/2006/relationships/image" Target="media/image24.jpeg"/><Relationship Id="rId48" Type="http://schemas.openxmlformats.org/officeDocument/2006/relationships/image" Target="media/image28.png"/><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image" Target="media/image33.jpeg"/><Relationship Id="rId77" Type="http://schemas.openxmlformats.org/officeDocument/2006/relationships/image" Target="media/image40.jpeg"/><Relationship Id="rId8" Type="http://schemas.openxmlformats.org/officeDocument/2006/relationships/webSettings" Target="webSettings.xml"/><Relationship Id="rId51" Type="http://schemas.openxmlformats.org/officeDocument/2006/relationships/chart" Target="charts/chart3.xml"/><Relationship Id="rId72"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19.jpeg"/><Relationship Id="rId46" Type="http://schemas.openxmlformats.org/officeDocument/2006/relationships/image" Target="media/image26.png"/><Relationship Id="rId59" Type="http://schemas.openxmlformats.org/officeDocument/2006/relationships/chart" Target="charts/chart11.xml"/><Relationship Id="rId67" Type="http://schemas.openxmlformats.org/officeDocument/2006/relationships/image" Target="media/image31.png"/><Relationship Id="rId20" Type="http://schemas.openxmlformats.org/officeDocument/2006/relationships/image" Target="media/image5.png"/><Relationship Id="rId41" Type="http://schemas.openxmlformats.org/officeDocument/2006/relationships/image" Target="media/image22.jpe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image" Target="media/image34.png"/><Relationship Id="rId75"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4.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chart" Target="charts/chart1.xml"/><Relationship Id="rId49" Type="http://schemas.openxmlformats.org/officeDocument/2006/relationships/image" Target="media/image29.jpeg"/><Relationship Id="rId57" Type="http://schemas.openxmlformats.org/officeDocument/2006/relationships/chart" Target="charts/chart9.xml"/><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hyperlink" Target="https://www.google.co.uk/search?q=San+Diego&amp;stick=H4sIAAAAAAAAAOPgE-LSz9U3MC4wzjAsUuIAsc0Ny4q0tLKTrfTzi9IT8zKrEksy8_NQOFYZqYkphaWJRSWpRcUA_X9-4kQAAAA&amp;sa=X&amp;ved=0ahUKEwjW6Jb17cLWAhVPZVAKHcPcBOMQmxMIkQEoATAN" TargetMode="External"/><Relationship Id="rId52" Type="http://schemas.openxmlformats.org/officeDocument/2006/relationships/chart" Target="charts/chart4.xml"/><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image" Target="media/image37.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ncbi.nlm.nih.gov/pubmed/30912578" TargetMode="External"/><Relationship Id="rId18" Type="http://schemas.openxmlformats.org/officeDocument/2006/relationships/image" Target="media/image3.jpeg"/><Relationship Id="rId39" Type="http://schemas.openxmlformats.org/officeDocument/2006/relationships/image" Target="media/image20.png"/><Relationship Id="rId34" Type="http://schemas.openxmlformats.org/officeDocument/2006/relationships/image" Target="media/image16.png"/><Relationship Id="rId50" Type="http://schemas.openxmlformats.org/officeDocument/2006/relationships/chart" Target="charts/chart2.xml"/><Relationship Id="rId55" Type="http://schemas.openxmlformats.org/officeDocument/2006/relationships/chart" Target="charts/chart7.xml"/><Relationship Id="rId76" Type="http://schemas.openxmlformats.org/officeDocument/2006/relationships/chart" Target="charts/chart18.xml"/><Relationship Id="rId7" Type="http://schemas.openxmlformats.org/officeDocument/2006/relationships/settings" Target="settings.xml"/><Relationship Id="rId71" Type="http://schemas.openxmlformats.org/officeDocument/2006/relationships/image" Target="media/image35.png"/><Relationship Id="rId2" Type="http://schemas.openxmlformats.org/officeDocument/2006/relationships/customXml" Target="../customXml/item2.xml"/><Relationship Id="rId29" Type="http://schemas.openxmlformats.org/officeDocument/2006/relationships/image" Target="media/image12.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5.xlsx"/><Relationship Id="rId1" Type="http://schemas.openxmlformats.org/officeDocument/2006/relationships/themeOverride" Target="../theme/themeOverride2.xm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GB" sz="1200"/>
            </a:pPr>
            <a:r>
              <a:rPr lang="en-US" sz="1200" dirty="0"/>
              <a:t>Distance  in mm from respective LCA/RCA </a:t>
            </a:r>
            <a:r>
              <a:rPr lang="en-US" sz="1200" dirty="0" err="1"/>
              <a:t>Ostium</a:t>
            </a:r>
            <a:endParaRPr lang="en-US" sz="1200" dirty="0"/>
          </a:p>
          <a:p>
            <a:pPr>
              <a:defRPr lang="en-GB" sz="1200"/>
            </a:pPr>
            <a:r>
              <a:rPr lang="en-US" sz="1200" dirty="0"/>
              <a:t>** = p</a:t>
            </a:r>
            <a:r>
              <a:rPr lang="en-US" sz="1200" baseline="0" dirty="0"/>
              <a:t> &lt;0.05</a:t>
            </a:r>
            <a:endParaRPr lang="en-US" sz="1200" dirty="0"/>
          </a:p>
        </c:rich>
      </c:tx>
      <c:layout>
        <c:manualLayout>
          <c:xMode val="edge"/>
          <c:yMode val="edge"/>
          <c:x val="0.44776900554029675"/>
          <c:y val="2.3483847227406065E-2"/>
        </c:manualLayout>
      </c:layout>
      <c:overlay val="0"/>
    </c:title>
    <c:autoTitleDeleted val="0"/>
    <c:plotArea>
      <c:layout>
        <c:manualLayout>
          <c:layoutTarget val="inner"/>
          <c:xMode val="edge"/>
          <c:yMode val="edge"/>
          <c:x val="9.9753462232019044E-2"/>
          <c:y val="0.13030622844328438"/>
          <c:w val="0.85800797241586313"/>
          <c:h val="0.80511319168132756"/>
        </c:manualLayout>
      </c:layout>
      <c:barChart>
        <c:barDir val="col"/>
        <c:grouping val="clustered"/>
        <c:varyColors val="0"/>
        <c:ser>
          <c:idx val="0"/>
          <c:order val="0"/>
          <c:tx>
            <c:strRef>
              <c:f>Sheet1!$B$1</c:f>
              <c:strCache>
                <c:ptCount val="1"/>
                <c:pt idx="0">
                  <c:v>Distance from LCA/RCA Ostium</c:v>
                </c:pt>
              </c:strCache>
            </c:strRef>
          </c:tx>
          <c:spPr>
            <a:solidFill>
              <a:schemeClr val="bg1">
                <a:lumMod val="75000"/>
              </a:schemeClr>
            </a:solidFill>
          </c:spPr>
          <c:invertIfNegative val="0"/>
          <c:dLbls>
            <c:dLbl>
              <c:idx val="1"/>
              <c:layout>
                <c:manualLayout>
                  <c:x val="0"/>
                  <c:y val="-4.0543501832097012E-2"/>
                </c:manualLayout>
              </c:layout>
              <c:tx>
                <c:rich>
                  <a:bodyPr/>
                  <a:lstStyle/>
                  <a:p>
                    <a:r>
                      <a:rPr lang="en-US" sz="1200"/>
                      <a:t>52.5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FBDE-0342-8E39-EDE2C3977056}"/>
                </c:ext>
              </c:extLst>
            </c:dLbl>
            <c:dLbl>
              <c:idx val="2"/>
              <c:layout>
                <c:manualLayout>
                  <c:x val="2.136752136752137E-3"/>
                  <c:y val="-1.1583857666314574E-2"/>
                </c:manualLayout>
              </c:layout>
              <c:tx>
                <c:rich>
                  <a:bodyPr/>
                  <a:lstStyle/>
                  <a:p>
                    <a:r>
                      <a:rPr lang="en-US" sz="1200"/>
                      <a:t>-33.6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BDE-0342-8E39-EDE2C3977056}"/>
                </c:ext>
              </c:extLst>
            </c:dLbl>
            <c:dLbl>
              <c:idx val="3"/>
              <c:layout>
                <c:manualLayout>
                  <c:x val="6.4102564102564534E-3"/>
                  <c:y val="-3.1855608582364102E-2"/>
                </c:manualLayout>
              </c:layout>
              <c:tx>
                <c:rich>
                  <a:bodyPr/>
                  <a:lstStyle/>
                  <a:p>
                    <a:r>
                      <a:rPr lang="en-US" sz="1200"/>
                      <a:t>-18.2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FBDE-0342-8E39-EDE2C3977056}"/>
                </c:ext>
              </c:extLst>
            </c:dLbl>
            <c:dLbl>
              <c:idx val="4"/>
              <c:layout>
                <c:manualLayout>
                  <c:x val="6.4100881620566914E-3"/>
                  <c:y val="-5.7919288331566503E-2"/>
                </c:manualLayout>
              </c:layout>
              <c:tx>
                <c:rich>
                  <a:bodyPr/>
                  <a:lstStyle/>
                  <a:p>
                    <a:r>
                      <a:rPr lang="en-US" sz="1200"/>
                      <a:t>18.3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BDE-0342-8E39-EDE2C3977056}"/>
                </c:ext>
              </c:extLst>
            </c:dLbl>
            <c:dLbl>
              <c:idx val="5"/>
              <c:layout>
                <c:manualLayout>
                  <c:x val="2.136752136752137E-3"/>
                  <c:y val="-4.3439466248674868E-2"/>
                </c:manualLayout>
              </c:layout>
              <c:tx>
                <c:rich>
                  <a:bodyPr/>
                  <a:lstStyle/>
                  <a:p>
                    <a:r>
                      <a:rPr lang="en-US" sz="1200"/>
                      <a:t>-57.4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FBDE-0342-8E39-EDE2C3977056}"/>
                </c:ext>
              </c:extLst>
            </c:dLbl>
            <c:spPr>
              <a:noFill/>
              <a:ln>
                <a:noFill/>
              </a:ln>
              <a:effectLst/>
            </c:spPr>
            <c:txPr>
              <a:bodyPr/>
              <a:lstStyle/>
              <a:p>
                <a:pPr>
                  <a:defRPr lang="en-GB" sz="12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Sheet1!$C$2:$C$7</c:f>
                <c:numCache>
                  <c:formatCode>General</c:formatCode>
                  <c:ptCount val="6"/>
                  <c:pt idx="0">
                    <c:v>3.8</c:v>
                  </c:pt>
                  <c:pt idx="1">
                    <c:v>12.5</c:v>
                  </c:pt>
                  <c:pt idx="2">
                    <c:v>7.5</c:v>
                  </c:pt>
                  <c:pt idx="3">
                    <c:v>11.6</c:v>
                  </c:pt>
                  <c:pt idx="4">
                    <c:v>15</c:v>
                  </c:pt>
                  <c:pt idx="5">
                    <c:v>12.1</c:v>
                  </c:pt>
                </c:numCache>
              </c:numRef>
            </c:plus>
            <c:minus>
              <c:numRef>
                <c:f>Sheet1!$C$2:$C$7</c:f>
                <c:numCache>
                  <c:formatCode>General</c:formatCode>
                  <c:ptCount val="6"/>
                  <c:pt idx="0">
                    <c:v>3.8</c:v>
                  </c:pt>
                  <c:pt idx="1">
                    <c:v>12.5</c:v>
                  </c:pt>
                  <c:pt idx="2">
                    <c:v>7.5</c:v>
                  </c:pt>
                  <c:pt idx="3">
                    <c:v>11.6</c:v>
                  </c:pt>
                  <c:pt idx="4">
                    <c:v>15</c:v>
                  </c:pt>
                  <c:pt idx="5">
                    <c:v>12.1</c:v>
                  </c:pt>
                </c:numCache>
              </c:numRef>
            </c:minus>
            <c:spPr>
              <a:ln w="15875">
                <a:solidFill>
                  <a:schemeClr val="tx2">
                    <a:lumMod val="75000"/>
                  </a:schemeClr>
                </a:solidFill>
              </a:ln>
            </c:spPr>
          </c:errBars>
          <c:cat>
            <c:strRef>
              <c:f>Sheet1!$A$2:$A$7</c:f>
              <c:strCache>
                <c:ptCount val="6"/>
                <c:pt idx="0">
                  <c:v>LAD Ostium</c:v>
                </c:pt>
                <c:pt idx="1">
                  <c:v>Distal LAD</c:v>
                </c:pt>
                <c:pt idx="2">
                  <c:v>Distal Cx</c:v>
                </c:pt>
                <c:pt idx="3">
                  <c:v>RCA Bifurcation</c:v>
                </c:pt>
                <c:pt idx="4">
                  <c:v>Distal PDA</c:v>
                </c:pt>
                <c:pt idx="5">
                  <c:v>Distal PLV</c:v>
                </c:pt>
              </c:strCache>
            </c:strRef>
          </c:cat>
          <c:val>
            <c:numRef>
              <c:f>Sheet1!$B$2:$B$7</c:f>
              <c:numCache>
                <c:formatCode>General</c:formatCode>
                <c:ptCount val="6"/>
                <c:pt idx="0">
                  <c:v>-2.1</c:v>
                </c:pt>
                <c:pt idx="1">
                  <c:v>52.5</c:v>
                </c:pt>
                <c:pt idx="2">
                  <c:v>-33.6</c:v>
                </c:pt>
                <c:pt idx="3">
                  <c:v>-18.2</c:v>
                </c:pt>
                <c:pt idx="4">
                  <c:v>18.3</c:v>
                </c:pt>
                <c:pt idx="5">
                  <c:v>-57.4</c:v>
                </c:pt>
              </c:numCache>
            </c:numRef>
          </c:val>
          <c:extLst>
            <c:ext xmlns:c16="http://schemas.microsoft.com/office/drawing/2014/chart" uri="{C3380CC4-5D6E-409C-BE32-E72D297353CC}">
              <c16:uniqueId val="{00000005-FBDE-0342-8E39-EDE2C3977056}"/>
            </c:ext>
          </c:extLst>
        </c:ser>
        <c:dLbls>
          <c:showLegendKey val="0"/>
          <c:showVal val="0"/>
          <c:showCatName val="0"/>
          <c:showSerName val="0"/>
          <c:showPercent val="0"/>
          <c:showBubbleSize val="0"/>
        </c:dLbls>
        <c:gapWidth val="150"/>
        <c:axId val="196711936"/>
        <c:axId val="196713472"/>
      </c:barChart>
      <c:catAx>
        <c:axId val="196711936"/>
        <c:scaling>
          <c:orientation val="minMax"/>
        </c:scaling>
        <c:delete val="0"/>
        <c:axPos val="b"/>
        <c:numFmt formatCode="General" sourceLinked="0"/>
        <c:majorTickMark val="out"/>
        <c:minorTickMark val="none"/>
        <c:tickLblPos val="low"/>
        <c:txPr>
          <a:bodyPr rot="0" vert="horz" anchor="t" anchorCtr="0"/>
          <a:lstStyle/>
          <a:p>
            <a:pPr>
              <a:defRPr lang="en-GB" sz="1200" b="1"/>
            </a:pPr>
            <a:endParaRPr lang="en-US"/>
          </a:p>
        </c:txPr>
        <c:crossAx val="196713472"/>
        <c:crosses val="autoZero"/>
        <c:auto val="1"/>
        <c:lblAlgn val="ctr"/>
        <c:lblOffset val="100"/>
        <c:noMultiLvlLbl val="0"/>
      </c:catAx>
      <c:valAx>
        <c:axId val="196713472"/>
        <c:scaling>
          <c:orientation val="minMax"/>
        </c:scaling>
        <c:delete val="0"/>
        <c:axPos val="l"/>
        <c:numFmt formatCode="General" sourceLinked="1"/>
        <c:majorTickMark val="out"/>
        <c:minorTickMark val="none"/>
        <c:tickLblPos val="nextTo"/>
        <c:txPr>
          <a:bodyPr/>
          <a:lstStyle/>
          <a:p>
            <a:pPr>
              <a:defRPr lang="en-GB" sz="1200" b="1" baseline="0"/>
            </a:pPr>
            <a:endParaRPr lang="en-US"/>
          </a:p>
        </c:txPr>
        <c:crossAx val="196711936"/>
        <c:crosses val="autoZero"/>
        <c:crossBetween val="between"/>
      </c:valAx>
    </c:plotArea>
    <c:plotVisOnly val="1"/>
    <c:dispBlanksAs val="gap"/>
    <c:showDLblsOverMax val="0"/>
  </c:chart>
  <c:spPr>
    <a:ln>
      <a:noFill/>
    </a:ln>
  </c:spPr>
  <c:txPr>
    <a:bodyPr/>
    <a:lstStyle/>
    <a:p>
      <a:pPr>
        <a:defRPr sz="1800"/>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200">
                <a:latin typeface="Times New Roman" pitchFamily="18" charset="0"/>
                <a:cs typeface="Times New Roman" pitchFamily="18" charset="0"/>
              </a:defRPr>
            </a:pPr>
            <a:r>
              <a:rPr lang="en-US" sz="1200">
                <a:latin typeface="Times New Roman" pitchFamily="18" charset="0"/>
                <a:cs typeface="Times New Roman" pitchFamily="18" charset="0"/>
              </a:rPr>
              <a:t>Right Coronary Artery - iFR</a:t>
            </a:r>
          </a:p>
        </c:rich>
      </c:tx>
      <c:overlay val="1"/>
    </c:title>
    <c:autoTitleDeleted val="0"/>
    <c:plotArea>
      <c:layout>
        <c:manualLayout>
          <c:layoutTarget val="inner"/>
          <c:xMode val="edge"/>
          <c:yMode val="edge"/>
          <c:x val="9.3206810687125663E-2"/>
          <c:y val="0.13553812888618449"/>
          <c:w val="0.83727387441955481"/>
          <c:h val="0.7483717693779095"/>
        </c:manualLayout>
      </c:layout>
      <c:lineChart>
        <c:grouping val="standard"/>
        <c:varyColors val="0"/>
        <c:ser>
          <c:idx val="0"/>
          <c:order val="0"/>
          <c:tx>
            <c:strRef>
              <c:f>Sheet1!$B$1</c:f>
              <c:strCache>
                <c:ptCount val="1"/>
                <c:pt idx="0">
                  <c:v>Case 12</c:v>
                </c:pt>
              </c:strCache>
            </c:strRef>
          </c:tx>
          <c:spPr>
            <a:ln>
              <a:solidFill>
                <a:schemeClr val="tx1"/>
              </a:solidFill>
            </a:ln>
          </c:spPr>
          <c:marker>
            <c:spPr>
              <a:solidFill>
                <a:schemeClr val="tx1"/>
              </a:solidFill>
              <a:ln>
                <a:solidFill>
                  <a:schemeClr val="tx1"/>
                </a:solidFill>
              </a:ln>
            </c:spPr>
          </c:marker>
          <c:dLbls>
            <c:dLbl>
              <c:idx val="1"/>
              <c:layout>
                <c:manualLayout>
                  <c:x val="7.2649572649572655E-2"/>
                  <c:y val="-3.081288764796261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E2-4BEA-9315-260D058B1DA6}"/>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Sheet1!$B$2:$B$3</c:f>
              <c:numCache>
                <c:formatCode>General</c:formatCode>
                <c:ptCount val="2"/>
                <c:pt idx="0">
                  <c:v>0.97000000000000064</c:v>
                </c:pt>
                <c:pt idx="1">
                  <c:v>0.99</c:v>
                </c:pt>
              </c:numCache>
            </c:numRef>
          </c:val>
          <c:smooth val="0"/>
          <c:extLst>
            <c:ext xmlns:c16="http://schemas.microsoft.com/office/drawing/2014/chart" uri="{C3380CC4-5D6E-409C-BE32-E72D297353CC}">
              <c16:uniqueId val="{00000000-5CEE-7B4C-829E-C618F556BBBD}"/>
            </c:ext>
          </c:extLst>
        </c:ser>
        <c:ser>
          <c:idx val="1"/>
          <c:order val="1"/>
          <c:tx>
            <c:strRef>
              <c:f>Sheet1!$C$1</c:f>
              <c:strCache>
                <c:ptCount val="1"/>
                <c:pt idx="0">
                  <c:v>Case 13</c:v>
                </c:pt>
              </c:strCache>
            </c:strRef>
          </c:tx>
          <c:spPr>
            <a:ln>
              <a:solidFill>
                <a:schemeClr val="tx1"/>
              </a:solidFill>
            </a:ln>
          </c:spPr>
          <c:marker>
            <c:spPr>
              <a:solidFill>
                <a:schemeClr val="tx1"/>
              </a:solidFill>
              <a:ln>
                <a:solidFill>
                  <a:schemeClr val="tx1"/>
                </a:solidFill>
              </a:ln>
            </c:spPr>
          </c:marker>
          <c:cat>
            <c:strRef>
              <c:f>Sheet1!$A$2:$A$3</c:f>
              <c:strCache>
                <c:ptCount val="2"/>
                <c:pt idx="0">
                  <c:v>Prone</c:v>
                </c:pt>
                <c:pt idx="1">
                  <c:v>Supine</c:v>
                </c:pt>
              </c:strCache>
            </c:strRef>
          </c:cat>
          <c:val>
            <c:numRef>
              <c:f>Sheet1!$C$2:$C$3</c:f>
              <c:numCache>
                <c:formatCode>General</c:formatCode>
                <c:ptCount val="2"/>
                <c:pt idx="0">
                  <c:v>0.77000000000000979</c:v>
                </c:pt>
                <c:pt idx="1">
                  <c:v>0.92</c:v>
                </c:pt>
              </c:numCache>
            </c:numRef>
          </c:val>
          <c:smooth val="0"/>
          <c:extLst>
            <c:ext xmlns:c16="http://schemas.microsoft.com/office/drawing/2014/chart" uri="{C3380CC4-5D6E-409C-BE32-E72D297353CC}">
              <c16:uniqueId val="{00000001-5CEE-7B4C-829E-C618F556BBBD}"/>
            </c:ext>
          </c:extLst>
        </c:ser>
        <c:ser>
          <c:idx val="2"/>
          <c:order val="2"/>
          <c:tx>
            <c:strRef>
              <c:f>Sheet1!$D$1</c:f>
              <c:strCache>
                <c:ptCount val="1"/>
                <c:pt idx="0">
                  <c:v>Case 19</c:v>
                </c:pt>
              </c:strCache>
            </c:strRef>
          </c:tx>
          <c:spPr>
            <a:ln>
              <a:solidFill>
                <a:schemeClr val="tx1"/>
              </a:solidFill>
            </a:ln>
          </c:spPr>
          <c:marker>
            <c:spPr>
              <a:solidFill>
                <a:schemeClr val="tx1"/>
              </a:solidFill>
              <a:ln>
                <a:solidFill>
                  <a:schemeClr val="tx1"/>
                </a:solidFill>
              </a:ln>
            </c:spPr>
          </c:marker>
          <c:dLbls>
            <c:dLbl>
              <c:idx val="1"/>
              <c:layout>
                <c:manualLayout>
                  <c:x val="7.6923076923076927E-2"/>
                  <c:y val="9.2438662943888066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E2-4BEA-9315-260D058B1DA6}"/>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Sheet1!$D$2:$D$3</c:f>
              <c:numCache>
                <c:formatCode>General</c:formatCode>
                <c:ptCount val="2"/>
                <c:pt idx="0">
                  <c:v>0.87000000000000866</c:v>
                </c:pt>
                <c:pt idx="1">
                  <c:v>0.91</c:v>
                </c:pt>
              </c:numCache>
            </c:numRef>
          </c:val>
          <c:smooth val="0"/>
          <c:extLst>
            <c:ext xmlns:c16="http://schemas.microsoft.com/office/drawing/2014/chart" uri="{C3380CC4-5D6E-409C-BE32-E72D297353CC}">
              <c16:uniqueId val="{00000000-3D43-F74E-A089-F8C8D27A55E2}"/>
            </c:ext>
          </c:extLst>
        </c:ser>
        <c:ser>
          <c:idx val="3"/>
          <c:order val="3"/>
          <c:tx>
            <c:strRef>
              <c:f>Sheet1!$E$1</c:f>
              <c:strCache>
                <c:ptCount val="1"/>
                <c:pt idx="0">
                  <c:v>Case 5</c:v>
                </c:pt>
              </c:strCache>
            </c:strRef>
          </c:tx>
          <c:spPr>
            <a:ln>
              <a:solidFill>
                <a:srgbClr val="00B050"/>
              </a:solidFill>
            </a:ln>
          </c:spPr>
          <c:marker>
            <c:symbol val="circle"/>
            <c:size val="7"/>
            <c:spPr>
              <a:solidFill>
                <a:srgbClr val="00B050"/>
              </a:solidFill>
              <a:ln>
                <a:noFill/>
              </a:ln>
            </c:spPr>
          </c:marker>
          <c:dLbls>
            <c:dLbl>
              <c:idx val="1"/>
              <c:layout>
                <c:manualLayout>
                  <c:x val="7.0512820512820512E-2"/>
                  <c:y val="6.1625775295925025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E2-4BEA-9315-260D058B1DA6}"/>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Sheet1!$E$2:$E$3</c:f>
              <c:numCache>
                <c:formatCode>General</c:formatCode>
                <c:ptCount val="2"/>
                <c:pt idx="0">
                  <c:v>0.79</c:v>
                </c:pt>
                <c:pt idx="1">
                  <c:v>0.77000000000000979</c:v>
                </c:pt>
              </c:numCache>
            </c:numRef>
          </c:val>
          <c:smooth val="0"/>
          <c:extLst>
            <c:ext xmlns:c16="http://schemas.microsoft.com/office/drawing/2014/chart" uri="{C3380CC4-5D6E-409C-BE32-E72D297353CC}">
              <c16:uniqueId val="{00000003-ADE2-4BEA-9315-260D058B1DA6}"/>
            </c:ext>
          </c:extLst>
        </c:ser>
        <c:ser>
          <c:idx val="4"/>
          <c:order val="4"/>
          <c:tx>
            <c:strRef>
              <c:f>Sheet1!$F$1</c:f>
              <c:strCache>
                <c:ptCount val="1"/>
                <c:pt idx="0">
                  <c:v>PDA</c:v>
                </c:pt>
              </c:strCache>
            </c:strRef>
          </c:tx>
          <c:spPr>
            <a:ln>
              <a:solidFill>
                <a:srgbClr val="00B050"/>
              </a:solidFill>
            </a:ln>
          </c:spPr>
          <c:marker>
            <c:symbol val="circle"/>
            <c:size val="7"/>
            <c:spPr>
              <a:solidFill>
                <a:srgbClr val="00B050"/>
              </a:solidFill>
              <a:ln>
                <a:noFill/>
              </a:ln>
            </c:spPr>
          </c:marker>
          <c:dLbls>
            <c:dLbl>
              <c:idx val="1"/>
              <c:layout>
                <c:manualLayout>
                  <c:x val="7.6923076923076927E-2"/>
                  <c:y val="9.2438662943888066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E2-4BEA-9315-260D058B1DA6}"/>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Sheet1!$F$2:$F$3</c:f>
              <c:numCache>
                <c:formatCode>General</c:formatCode>
                <c:ptCount val="2"/>
                <c:pt idx="0">
                  <c:v>0.92</c:v>
                </c:pt>
                <c:pt idx="1">
                  <c:v>0.93</c:v>
                </c:pt>
              </c:numCache>
            </c:numRef>
          </c:val>
          <c:smooth val="0"/>
          <c:extLst>
            <c:ext xmlns:c16="http://schemas.microsoft.com/office/drawing/2014/chart" uri="{C3380CC4-5D6E-409C-BE32-E72D297353CC}">
              <c16:uniqueId val="{00000005-ADE2-4BEA-9315-260D058B1DA6}"/>
            </c:ext>
          </c:extLst>
        </c:ser>
        <c:dLbls>
          <c:showLegendKey val="0"/>
          <c:showVal val="0"/>
          <c:showCatName val="0"/>
          <c:showSerName val="0"/>
          <c:showPercent val="0"/>
          <c:showBubbleSize val="0"/>
        </c:dLbls>
        <c:marker val="1"/>
        <c:smooth val="0"/>
        <c:axId val="220668672"/>
        <c:axId val="220670208"/>
      </c:lineChart>
      <c:catAx>
        <c:axId val="220668672"/>
        <c:scaling>
          <c:orientation val="minMax"/>
        </c:scaling>
        <c:delete val="0"/>
        <c:axPos val="b"/>
        <c:numFmt formatCode="General" sourceLinked="0"/>
        <c:majorTickMark val="out"/>
        <c:minorTickMark val="none"/>
        <c:tickLblPos val="nextTo"/>
        <c:crossAx val="220670208"/>
        <c:crosses val="autoZero"/>
        <c:auto val="1"/>
        <c:lblAlgn val="ctr"/>
        <c:lblOffset val="100"/>
        <c:noMultiLvlLbl val="0"/>
      </c:catAx>
      <c:valAx>
        <c:axId val="220670208"/>
        <c:scaling>
          <c:orientation val="minMax"/>
          <c:min val="0.70000000000000062"/>
        </c:scaling>
        <c:delete val="0"/>
        <c:axPos val="l"/>
        <c:numFmt formatCode="General" sourceLinked="1"/>
        <c:majorTickMark val="out"/>
        <c:minorTickMark val="none"/>
        <c:tickLblPos val="nextTo"/>
        <c:crossAx val="220668672"/>
        <c:crosses val="autoZero"/>
        <c:crossBetween val="between"/>
      </c:valAx>
    </c:plotArea>
    <c:legend>
      <c:legendPos val="r"/>
      <c:legendEntry>
        <c:idx val="0"/>
        <c:delete val="1"/>
      </c:legendEntry>
      <c:legendEntry>
        <c:idx val="1"/>
        <c:delete val="1"/>
      </c:legendEntry>
      <c:legendEntry>
        <c:idx val="2"/>
        <c:delete val="1"/>
      </c:legendEntry>
      <c:legendEntry>
        <c:idx val="3"/>
        <c:delete val="1"/>
      </c:legendEntry>
      <c:layout>
        <c:manualLayout>
          <c:xMode val="edge"/>
          <c:yMode val="edge"/>
          <c:x val="0.81602564102564101"/>
          <c:y val="0.48138440605854937"/>
          <c:w val="0.10064102564102564"/>
          <c:h val="5.5718677850534123E-2"/>
        </c:manualLayout>
      </c:layout>
      <c:overlay val="0"/>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200"/>
            </a:pPr>
            <a:r>
              <a:rPr lang="en-US" sz="1200"/>
              <a:t>FFR - superior vs. inferior artery position</a:t>
            </a:r>
          </a:p>
        </c:rich>
      </c:tx>
      <c:overlay val="1"/>
    </c:title>
    <c:autoTitleDeleted val="0"/>
    <c:plotArea>
      <c:layout>
        <c:manualLayout>
          <c:layoutTarget val="inner"/>
          <c:xMode val="edge"/>
          <c:yMode val="edge"/>
          <c:x val="0.12739484487515984"/>
          <c:y val="0.12013168506220627"/>
          <c:w val="0.83941062655629584"/>
          <c:h val="0.72680274802433587"/>
        </c:manualLayout>
      </c:layout>
      <c:lineChart>
        <c:grouping val="standard"/>
        <c:varyColors val="0"/>
        <c:ser>
          <c:idx val="0"/>
          <c:order val="0"/>
          <c:tx>
            <c:strRef>
              <c:f>Sheet1!$B$1</c:f>
              <c:strCache>
                <c:ptCount val="1"/>
                <c:pt idx="0">
                  <c:v>Case 1</c:v>
                </c:pt>
              </c:strCache>
            </c:strRef>
          </c:tx>
          <c:spPr>
            <a:ln>
              <a:solidFill>
                <a:schemeClr val="tx1"/>
              </a:solidFill>
            </a:ln>
          </c:spPr>
          <c:marker>
            <c:spPr>
              <a:solidFill>
                <a:schemeClr val="tx1"/>
              </a:solidFill>
              <a:ln>
                <a:solidFill>
                  <a:schemeClr val="tx1"/>
                </a:solidFill>
              </a:ln>
            </c:spPr>
          </c:marker>
          <c:dLbls>
            <c:dLbl>
              <c:idx val="2"/>
              <c:layout>
                <c:manualLayout>
                  <c:x val="7.9059829059829084E-2"/>
                  <c:y val="9.2436236732261687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Sheet1!$B$2:$B$5</c:f>
              <c:numCache>
                <c:formatCode>General</c:formatCode>
                <c:ptCount val="4"/>
                <c:pt idx="1">
                  <c:v>0.94000000000000061</c:v>
                </c:pt>
                <c:pt idx="2">
                  <c:v>0.92</c:v>
                </c:pt>
              </c:numCache>
            </c:numRef>
          </c:val>
          <c:smooth val="0"/>
          <c:extLst>
            <c:ext xmlns:c16="http://schemas.microsoft.com/office/drawing/2014/chart" uri="{C3380CC4-5D6E-409C-BE32-E72D297353CC}">
              <c16:uniqueId val="{00000000-5CEE-7B4C-829E-C618F556BBBD}"/>
            </c:ext>
          </c:extLst>
        </c:ser>
        <c:ser>
          <c:idx val="1"/>
          <c:order val="1"/>
          <c:tx>
            <c:strRef>
              <c:f>Sheet1!$C$1</c:f>
              <c:strCache>
                <c:ptCount val="1"/>
                <c:pt idx="0">
                  <c:v>Case 2</c:v>
                </c:pt>
              </c:strCache>
            </c:strRef>
          </c:tx>
          <c:spPr>
            <a:ln>
              <a:solidFill>
                <a:schemeClr val="tx1"/>
              </a:solidFill>
            </a:ln>
          </c:spPr>
          <c:marker>
            <c:spPr>
              <a:solidFill>
                <a:schemeClr val="tx1"/>
              </a:solidFill>
              <a:ln>
                <a:solidFill>
                  <a:schemeClr val="tx1"/>
                </a:solidFill>
              </a:ln>
            </c:spPr>
          </c:marker>
          <c:dLbls>
            <c:dLbl>
              <c:idx val="2"/>
              <c:delete val="1"/>
              <c:extLst>
                <c:ext xmlns:c15="http://schemas.microsoft.com/office/drawing/2012/chart" uri="{CE6537A1-D6FC-4f65-9D91-7224C49458BB}"/>
                <c:ext xmlns:c16="http://schemas.microsoft.com/office/drawing/2014/chart" uri="{C3380CC4-5D6E-409C-BE32-E72D297353CC}">
                  <c16:uniqueId val="{00000001-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Sheet1!$C$2:$C$5</c:f>
              <c:numCache>
                <c:formatCode>General</c:formatCode>
                <c:ptCount val="4"/>
                <c:pt idx="1">
                  <c:v>0.79</c:v>
                </c:pt>
                <c:pt idx="2">
                  <c:v>0.86000000000000065</c:v>
                </c:pt>
              </c:numCache>
            </c:numRef>
          </c:val>
          <c:smooth val="0"/>
          <c:extLst>
            <c:ext xmlns:c16="http://schemas.microsoft.com/office/drawing/2014/chart" uri="{C3380CC4-5D6E-409C-BE32-E72D297353CC}">
              <c16:uniqueId val="{00000001-5CEE-7B4C-829E-C618F556BBBD}"/>
            </c:ext>
          </c:extLst>
        </c:ser>
        <c:ser>
          <c:idx val="2"/>
          <c:order val="2"/>
          <c:tx>
            <c:strRef>
              <c:f>Sheet1!$D$1</c:f>
              <c:strCache>
                <c:ptCount val="1"/>
                <c:pt idx="0">
                  <c:v>Case 3</c:v>
                </c:pt>
              </c:strCache>
            </c:strRef>
          </c:tx>
          <c:spPr>
            <a:ln>
              <a:solidFill>
                <a:schemeClr val="tx1"/>
              </a:solidFill>
            </a:ln>
          </c:spPr>
          <c:marker>
            <c:spPr>
              <a:solidFill>
                <a:schemeClr val="tx1"/>
              </a:solidFill>
              <a:ln>
                <a:solidFill>
                  <a:schemeClr val="tx1"/>
                </a:solidFill>
              </a:ln>
            </c:spPr>
          </c:marker>
          <c:dLbls>
            <c:dLbl>
              <c:idx val="2"/>
              <c:layout>
                <c:manualLayout>
                  <c:x val="7.9059829059829084E-2"/>
                  <c:y val="-6.1625775295925025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Sheet1!$D$2:$D$5</c:f>
              <c:numCache>
                <c:formatCode>General</c:formatCode>
                <c:ptCount val="4"/>
                <c:pt idx="1">
                  <c:v>0.85000000000000064</c:v>
                </c:pt>
                <c:pt idx="2">
                  <c:v>0.84000000000000064</c:v>
                </c:pt>
              </c:numCache>
            </c:numRef>
          </c:val>
          <c:smooth val="0"/>
          <c:extLst>
            <c:ext xmlns:c16="http://schemas.microsoft.com/office/drawing/2014/chart" uri="{C3380CC4-5D6E-409C-BE32-E72D297353CC}">
              <c16:uniqueId val="{00000002-5CEE-7B4C-829E-C618F556BBBD}"/>
            </c:ext>
          </c:extLst>
        </c:ser>
        <c:ser>
          <c:idx val="3"/>
          <c:order val="3"/>
          <c:tx>
            <c:strRef>
              <c:f>Sheet1!$E$1</c:f>
              <c:strCache>
                <c:ptCount val="1"/>
                <c:pt idx="0">
                  <c:v>Case 4</c:v>
                </c:pt>
              </c:strCache>
            </c:strRef>
          </c:tx>
          <c:spPr>
            <a:ln>
              <a:solidFill>
                <a:schemeClr val="tx1"/>
              </a:solidFill>
            </a:ln>
          </c:spPr>
          <c:marker>
            <c:spPr>
              <a:solidFill>
                <a:schemeClr val="tx1"/>
              </a:solidFill>
              <a:ln>
                <a:solidFill>
                  <a:schemeClr val="tx1"/>
                </a:solidFill>
              </a:ln>
            </c:spPr>
          </c:marker>
          <c:dLbls>
            <c:dLbl>
              <c:idx val="2"/>
              <c:layout>
                <c:manualLayout>
                  <c:x val="8.11965811965812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Sheet1!$E$2:$E$5</c:f>
              <c:numCache>
                <c:formatCode>General</c:formatCode>
                <c:ptCount val="4"/>
                <c:pt idx="1">
                  <c:v>0.72000000000000064</c:v>
                </c:pt>
                <c:pt idx="2">
                  <c:v>0.86000000000000065</c:v>
                </c:pt>
              </c:numCache>
            </c:numRef>
          </c:val>
          <c:smooth val="0"/>
          <c:extLst>
            <c:ext xmlns:c16="http://schemas.microsoft.com/office/drawing/2014/chart" uri="{C3380CC4-5D6E-409C-BE32-E72D297353CC}">
              <c16:uniqueId val="{00000003-5CEE-7B4C-829E-C618F556BBBD}"/>
            </c:ext>
          </c:extLst>
        </c:ser>
        <c:ser>
          <c:idx val="4"/>
          <c:order val="4"/>
          <c:tx>
            <c:strRef>
              <c:f>Sheet1!$F$1</c:f>
              <c:strCache>
                <c:ptCount val="1"/>
                <c:pt idx="0">
                  <c:v>Case 5</c:v>
                </c:pt>
              </c:strCache>
            </c:strRef>
          </c:tx>
          <c:spPr>
            <a:ln>
              <a:solidFill>
                <a:schemeClr val="tx1"/>
              </a:solidFill>
            </a:ln>
          </c:spPr>
          <c:marker>
            <c:spPr>
              <a:solidFill>
                <a:schemeClr val="tx1"/>
              </a:solidFill>
              <a:ln>
                <a:solidFill>
                  <a:schemeClr val="tx1"/>
                </a:solidFill>
              </a:ln>
            </c:spPr>
          </c:marker>
          <c:dLbls>
            <c:dLbl>
              <c:idx val="2"/>
              <c:layout>
                <c:manualLayout>
                  <c:x val="7.2649572649572655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Sheet1!$F$2:$F$5</c:f>
              <c:numCache>
                <c:formatCode>General</c:formatCode>
                <c:ptCount val="4"/>
                <c:pt idx="1">
                  <c:v>0.62000000000000799</c:v>
                </c:pt>
                <c:pt idx="2">
                  <c:v>0.68</c:v>
                </c:pt>
              </c:numCache>
            </c:numRef>
          </c:val>
          <c:smooth val="0"/>
          <c:extLst>
            <c:ext xmlns:c16="http://schemas.microsoft.com/office/drawing/2014/chart" uri="{C3380CC4-5D6E-409C-BE32-E72D297353CC}">
              <c16:uniqueId val="{00000004-5CEE-7B4C-829E-C618F556BBBD}"/>
            </c:ext>
          </c:extLst>
        </c:ser>
        <c:ser>
          <c:idx val="5"/>
          <c:order val="5"/>
          <c:tx>
            <c:strRef>
              <c:f>Sheet1!$G$1</c:f>
              <c:strCache>
                <c:ptCount val="1"/>
                <c:pt idx="0">
                  <c:v>Case 6</c:v>
                </c:pt>
              </c:strCache>
            </c:strRef>
          </c:tx>
          <c:spPr>
            <a:ln>
              <a:solidFill>
                <a:schemeClr val="tx1"/>
              </a:solidFill>
            </a:ln>
          </c:spPr>
          <c:marker>
            <c:spPr>
              <a:solidFill>
                <a:schemeClr val="tx1"/>
              </a:solidFill>
              <a:ln>
                <a:solidFill>
                  <a:schemeClr val="tx1"/>
                </a:solidFill>
              </a:ln>
            </c:spPr>
          </c:marker>
          <c:dLbls>
            <c:delete val="1"/>
          </c:dLbls>
          <c:cat>
            <c:strRef>
              <c:f>Sheet1!$A$2:$A$5</c:f>
              <c:strCache>
                <c:ptCount val="3"/>
                <c:pt idx="1">
                  <c:v>Superior</c:v>
                </c:pt>
                <c:pt idx="2">
                  <c:v>Inferior</c:v>
                </c:pt>
              </c:strCache>
            </c:strRef>
          </c:cat>
          <c:val>
            <c:numRef>
              <c:f>Sheet1!$G$2:$G$5</c:f>
              <c:numCache>
                <c:formatCode>General</c:formatCode>
                <c:ptCount val="4"/>
                <c:pt idx="1">
                  <c:v>0.87000000000000799</c:v>
                </c:pt>
                <c:pt idx="2">
                  <c:v>0.91</c:v>
                </c:pt>
              </c:numCache>
            </c:numRef>
          </c:val>
          <c:smooth val="0"/>
          <c:extLst>
            <c:ext xmlns:c16="http://schemas.microsoft.com/office/drawing/2014/chart" uri="{C3380CC4-5D6E-409C-BE32-E72D297353CC}">
              <c16:uniqueId val="{00000005-5CEE-7B4C-829E-C618F556BBBD}"/>
            </c:ext>
          </c:extLst>
        </c:ser>
        <c:ser>
          <c:idx val="6"/>
          <c:order val="6"/>
          <c:tx>
            <c:strRef>
              <c:f>Sheet1!$H$1</c:f>
              <c:strCache>
                <c:ptCount val="1"/>
                <c:pt idx="0">
                  <c:v>Case 7</c:v>
                </c:pt>
              </c:strCache>
            </c:strRef>
          </c:tx>
          <c:spPr>
            <a:ln>
              <a:solidFill>
                <a:schemeClr val="tx1"/>
              </a:solidFill>
            </a:ln>
          </c:spPr>
          <c:marker>
            <c:spPr>
              <a:solidFill>
                <a:schemeClr val="tx1"/>
              </a:solidFill>
              <a:ln>
                <a:solidFill>
                  <a:schemeClr val="tx1"/>
                </a:solidFill>
              </a:ln>
            </c:spPr>
          </c:marker>
          <c:dLbls>
            <c:dLbl>
              <c:idx val="2"/>
              <c:delete val="1"/>
              <c:extLst>
                <c:ext xmlns:c15="http://schemas.microsoft.com/office/drawing/2012/chart" uri="{CE6537A1-D6FC-4f65-9D91-7224C49458BB}"/>
                <c:ext xmlns:c16="http://schemas.microsoft.com/office/drawing/2014/chart" uri="{C3380CC4-5D6E-409C-BE32-E72D297353CC}">
                  <c16:uniqueId val="{00000005-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Sheet1!$H$2:$H$5</c:f>
              <c:numCache>
                <c:formatCode>General</c:formatCode>
                <c:ptCount val="4"/>
                <c:pt idx="1">
                  <c:v>0.64000000000000901</c:v>
                </c:pt>
                <c:pt idx="2">
                  <c:v>0.82000000000000062</c:v>
                </c:pt>
              </c:numCache>
            </c:numRef>
          </c:val>
          <c:smooth val="0"/>
          <c:extLst>
            <c:ext xmlns:c16="http://schemas.microsoft.com/office/drawing/2014/chart" uri="{C3380CC4-5D6E-409C-BE32-E72D297353CC}">
              <c16:uniqueId val="{00000006-5CEE-7B4C-829E-C618F556BBBD}"/>
            </c:ext>
          </c:extLst>
        </c:ser>
        <c:ser>
          <c:idx val="7"/>
          <c:order val="7"/>
          <c:tx>
            <c:strRef>
              <c:f>Sheet1!$I$1</c:f>
              <c:strCache>
                <c:ptCount val="1"/>
                <c:pt idx="0">
                  <c:v>Case 8</c:v>
                </c:pt>
              </c:strCache>
            </c:strRef>
          </c:tx>
          <c:spPr>
            <a:ln>
              <a:solidFill>
                <a:schemeClr val="tx1"/>
              </a:solidFill>
            </a:ln>
          </c:spPr>
          <c:marker>
            <c:spPr>
              <a:solidFill>
                <a:schemeClr val="tx1"/>
              </a:solidFill>
              <a:ln>
                <a:solidFill>
                  <a:schemeClr val="tx1"/>
                </a:solidFill>
              </a:ln>
            </c:spPr>
          </c:marker>
          <c:dLbls>
            <c:delete val="1"/>
          </c:dLbls>
          <c:cat>
            <c:strRef>
              <c:f>Sheet1!$A$2:$A$5</c:f>
              <c:strCache>
                <c:ptCount val="3"/>
                <c:pt idx="1">
                  <c:v>Superior</c:v>
                </c:pt>
                <c:pt idx="2">
                  <c:v>Inferior</c:v>
                </c:pt>
              </c:strCache>
            </c:strRef>
          </c:cat>
          <c:val>
            <c:numRef>
              <c:f>Sheet1!$I$2:$I$5</c:f>
              <c:numCache>
                <c:formatCode>General</c:formatCode>
                <c:ptCount val="4"/>
                <c:pt idx="1">
                  <c:v>0.86000000000000065</c:v>
                </c:pt>
                <c:pt idx="2">
                  <c:v>0.91</c:v>
                </c:pt>
              </c:numCache>
            </c:numRef>
          </c:val>
          <c:smooth val="0"/>
          <c:extLst>
            <c:ext xmlns:c16="http://schemas.microsoft.com/office/drawing/2014/chart" uri="{C3380CC4-5D6E-409C-BE32-E72D297353CC}">
              <c16:uniqueId val="{00000006-ED2B-45F0-815C-03730B84642A}"/>
            </c:ext>
          </c:extLst>
        </c:ser>
        <c:ser>
          <c:idx val="8"/>
          <c:order val="8"/>
          <c:tx>
            <c:strRef>
              <c:f>Sheet1!$J$1</c:f>
              <c:strCache>
                <c:ptCount val="1"/>
                <c:pt idx="0">
                  <c:v>Case 9</c:v>
                </c:pt>
              </c:strCache>
            </c:strRef>
          </c:tx>
          <c:spPr>
            <a:ln>
              <a:solidFill>
                <a:schemeClr val="tx1"/>
              </a:solidFill>
            </a:ln>
          </c:spPr>
          <c:marker>
            <c:spPr>
              <a:solidFill>
                <a:schemeClr val="tx1"/>
              </a:solidFill>
              <a:ln>
                <a:solidFill>
                  <a:schemeClr val="tx1"/>
                </a:solidFill>
              </a:ln>
            </c:spPr>
          </c:marker>
          <c:dLbls>
            <c:dLbl>
              <c:idx val="2"/>
              <c:layout>
                <c:manualLayout>
                  <c:x val="7.2649572649572655E-2"/>
                  <c:y val="-2.4650310118370634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Sheet1!$J$2:$J$5</c:f>
              <c:numCache>
                <c:formatCode>General</c:formatCode>
                <c:ptCount val="4"/>
                <c:pt idx="1">
                  <c:v>0.84000000000000064</c:v>
                </c:pt>
                <c:pt idx="2">
                  <c:v>0.97000000000000064</c:v>
                </c:pt>
              </c:numCache>
            </c:numRef>
          </c:val>
          <c:smooth val="0"/>
          <c:extLst>
            <c:ext xmlns:c16="http://schemas.microsoft.com/office/drawing/2014/chart" uri="{C3380CC4-5D6E-409C-BE32-E72D297353CC}">
              <c16:uniqueId val="{00000008-ED2B-45F0-815C-03730B84642A}"/>
            </c:ext>
          </c:extLst>
        </c:ser>
        <c:ser>
          <c:idx val="9"/>
          <c:order val="9"/>
          <c:tx>
            <c:strRef>
              <c:f>Sheet1!$K$1</c:f>
              <c:strCache>
                <c:ptCount val="1"/>
                <c:pt idx="0">
                  <c:v>Case 10</c:v>
                </c:pt>
              </c:strCache>
            </c:strRef>
          </c:tx>
          <c:spPr>
            <a:ln>
              <a:solidFill>
                <a:schemeClr val="tx1"/>
              </a:solidFill>
            </a:ln>
          </c:spPr>
          <c:marker>
            <c:spPr>
              <a:solidFill>
                <a:schemeClr val="tx1"/>
              </a:solidFill>
              <a:ln>
                <a:solidFill>
                  <a:schemeClr val="tx1"/>
                </a:solidFill>
              </a:ln>
            </c:spPr>
          </c:marker>
          <c:dLbls>
            <c:dLbl>
              <c:idx val="1"/>
              <c:layout>
                <c:manualLayout>
                  <c:x val="4.2735042735042739E-3"/>
                  <c:y val="-1.8487732588777509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D2B-45F0-815C-03730B84642A}"/>
                </c:ext>
              </c:extLst>
            </c:dLbl>
            <c:dLbl>
              <c:idx val="2"/>
              <c:layout>
                <c:manualLayout>
                  <c:x val="7.4786324786324923E-2"/>
                  <c:y val="-3.081288764796261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Sheet1!$K$2:$K$5</c:f>
              <c:numCache>
                <c:formatCode>General</c:formatCode>
                <c:ptCount val="4"/>
                <c:pt idx="1">
                  <c:v>0.85000000000000064</c:v>
                </c:pt>
                <c:pt idx="2">
                  <c:v>0.95000000000000062</c:v>
                </c:pt>
              </c:numCache>
            </c:numRef>
          </c:val>
          <c:smooth val="0"/>
          <c:extLst>
            <c:ext xmlns:c16="http://schemas.microsoft.com/office/drawing/2014/chart" uri="{C3380CC4-5D6E-409C-BE32-E72D297353CC}">
              <c16:uniqueId val="{0000000B-ED2B-45F0-815C-03730B84642A}"/>
            </c:ext>
          </c:extLst>
        </c:ser>
        <c:ser>
          <c:idx val="10"/>
          <c:order val="10"/>
          <c:tx>
            <c:strRef>
              <c:f>Sheet1!$L$1</c:f>
              <c:strCache>
                <c:ptCount val="1"/>
                <c:pt idx="0">
                  <c:v>Case 11</c:v>
                </c:pt>
              </c:strCache>
            </c:strRef>
          </c:tx>
          <c:spPr>
            <a:ln>
              <a:solidFill>
                <a:schemeClr val="tx1"/>
              </a:solidFill>
            </a:ln>
          </c:spPr>
          <c:marker>
            <c:spPr>
              <a:solidFill>
                <a:schemeClr val="tx1"/>
              </a:solidFill>
              <a:ln>
                <a:solidFill>
                  <a:schemeClr val="tx1"/>
                </a:solidFill>
              </a:ln>
            </c:spPr>
          </c:marker>
          <c:dLbls>
            <c:delete val="1"/>
          </c:dLbls>
          <c:cat>
            <c:strRef>
              <c:f>Sheet1!$A$2:$A$5</c:f>
              <c:strCache>
                <c:ptCount val="3"/>
                <c:pt idx="1">
                  <c:v>Superior</c:v>
                </c:pt>
                <c:pt idx="2">
                  <c:v>Inferior</c:v>
                </c:pt>
              </c:strCache>
            </c:strRef>
          </c:cat>
          <c:val>
            <c:numRef>
              <c:f>Sheet1!$L$2:$L$5</c:f>
              <c:numCache>
                <c:formatCode>General</c:formatCode>
                <c:ptCount val="4"/>
                <c:pt idx="1">
                  <c:v>0.91</c:v>
                </c:pt>
                <c:pt idx="2">
                  <c:v>0.97000000000000064</c:v>
                </c:pt>
              </c:numCache>
            </c:numRef>
          </c:val>
          <c:smooth val="0"/>
          <c:extLst>
            <c:ext xmlns:c16="http://schemas.microsoft.com/office/drawing/2014/chart" uri="{C3380CC4-5D6E-409C-BE32-E72D297353CC}">
              <c16:uniqueId val="{0000000C-ED2B-45F0-815C-03730B84642A}"/>
            </c:ext>
          </c:extLst>
        </c:ser>
        <c:ser>
          <c:idx val="11"/>
          <c:order val="11"/>
          <c:tx>
            <c:strRef>
              <c:f>Sheet1!$M$1</c:f>
              <c:strCache>
                <c:ptCount val="1"/>
                <c:pt idx="0">
                  <c:v>Case 12</c:v>
                </c:pt>
              </c:strCache>
            </c:strRef>
          </c:tx>
          <c:spPr>
            <a:ln>
              <a:solidFill>
                <a:schemeClr val="tx1"/>
              </a:solidFill>
            </a:ln>
          </c:spPr>
          <c:marker>
            <c:spPr>
              <a:solidFill>
                <a:schemeClr val="tx1"/>
              </a:solidFill>
              <a:ln>
                <a:solidFill>
                  <a:schemeClr val="tx1"/>
                </a:solidFill>
              </a:ln>
            </c:spPr>
          </c:marker>
          <c:dLbls>
            <c:dLbl>
              <c:idx val="2"/>
              <c:layout>
                <c:manualLayout>
                  <c:x val="8.3333333333333343E-2"/>
                  <c:y val="2.7731598883166848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Sheet1!$M$2:$M$5</c:f>
              <c:numCache>
                <c:formatCode>General</c:formatCode>
                <c:ptCount val="4"/>
                <c:pt idx="1">
                  <c:v>0.89</c:v>
                </c:pt>
                <c:pt idx="2">
                  <c:v>0.91</c:v>
                </c:pt>
              </c:numCache>
            </c:numRef>
          </c:val>
          <c:smooth val="0"/>
          <c:extLst>
            <c:ext xmlns:c16="http://schemas.microsoft.com/office/drawing/2014/chart" uri="{C3380CC4-5D6E-409C-BE32-E72D297353CC}">
              <c16:uniqueId val="{0000000E-ED2B-45F0-815C-03730B84642A}"/>
            </c:ext>
          </c:extLst>
        </c:ser>
        <c:ser>
          <c:idx val="12"/>
          <c:order val="12"/>
          <c:tx>
            <c:strRef>
              <c:f>Sheet1!$N$1</c:f>
              <c:strCache>
                <c:ptCount val="1"/>
                <c:pt idx="0">
                  <c:v>Case 13</c:v>
                </c:pt>
              </c:strCache>
            </c:strRef>
          </c:tx>
          <c:spPr>
            <a:ln>
              <a:solidFill>
                <a:schemeClr val="tx1"/>
              </a:solidFill>
            </a:ln>
          </c:spPr>
          <c:marker>
            <c:spPr>
              <a:solidFill>
                <a:schemeClr val="tx1"/>
              </a:solidFill>
              <a:ln>
                <a:solidFill>
                  <a:schemeClr val="tx1"/>
                </a:solidFill>
              </a:ln>
            </c:spPr>
          </c:marker>
          <c:dLbls>
            <c:dLbl>
              <c:idx val="2"/>
              <c:layout>
                <c:manualLayout>
                  <c:x val="7.4786324786324923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Sheet1!$N$2:$N$5</c:f>
              <c:numCache>
                <c:formatCode>General</c:formatCode>
                <c:ptCount val="4"/>
                <c:pt idx="1">
                  <c:v>0.74000000000000365</c:v>
                </c:pt>
                <c:pt idx="2">
                  <c:v>0.8</c:v>
                </c:pt>
              </c:numCache>
            </c:numRef>
          </c:val>
          <c:smooth val="0"/>
          <c:extLst>
            <c:ext xmlns:c16="http://schemas.microsoft.com/office/drawing/2014/chart" uri="{C3380CC4-5D6E-409C-BE32-E72D297353CC}">
              <c16:uniqueId val="{00000010-ED2B-45F0-815C-03730B84642A}"/>
            </c:ext>
          </c:extLst>
        </c:ser>
        <c:ser>
          <c:idx val="13"/>
          <c:order val="13"/>
          <c:tx>
            <c:strRef>
              <c:f>Sheet1!$O$1</c:f>
              <c:strCache>
                <c:ptCount val="1"/>
                <c:pt idx="0">
                  <c:v>Case 14</c:v>
                </c:pt>
              </c:strCache>
            </c:strRef>
          </c:tx>
          <c:spPr>
            <a:ln>
              <a:solidFill>
                <a:schemeClr val="tx1"/>
              </a:solidFill>
            </a:ln>
          </c:spPr>
          <c:marker>
            <c:spPr>
              <a:solidFill>
                <a:schemeClr val="tx1"/>
              </a:solidFill>
              <a:ln>
                <a:solidFill>
                  <a:schemeClr val="tx1"/>
                </a:solidFill>
              </a:ln>
            </c:spPr>
          </c:marker>
          <c:dLbls>
            <c:dLbl>
              <c:idx val="2"/>
              <c:layout>
                <c:manualLayout>
                  <c:x val="7.9059829059829084E-2"/>
                  <c:y val="1.5406443823981259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Sheet1!$O$2:$O$5</c:f>
              <c:numCache>
                <c:formatCode>General</c:formatCode>
                <c:ptCount val="4"/>
                <c:pt idx="1">
                  <c:v>0.7500000000000081</c:v>
                </c:pt>
                <c:pt idx="2">
                  <c:v>0.82000000000000062</c:v>
                </c:pt>
              </c:numCache>
            </c:numRef>
          </c:val>
          <c:smooth val="0"/>
          <c:extLst>
            <c:ext xmlns:c16="http://schemas.microsoft.com/office/drawing/2014/chart" uri="{C3380CC4-5D6E-409C-BE32-E72D297353CC}">
              <c16:uniqueId val="{00000012-ED2B-45F0-815C-03730B84642A}"/>
            </c:ext>
          </c:extLst>
        </c:ser>
        <c:ser>
          <c:idx val="14"/>
          <c:order val="14"/>
          <c:tx>
            <c:strRef>
              <c:f>Sheet1!$P$1</c:f>
              <c:strCache>
                <c:ptCount val="1"/>
                <c:pt idx="0">
                  <c:v>Case 15</c:v>
                </c:pt>
              </c:strCache>
            </c:strRef>
          </c:tx>
          <c:spPr>
            <a:ln>
              <a:solidFill>
                <a:schemeClr val="tx1"/>
              </a:solidFill>
            </a:ln>
          </c:spPr>
          <c:marker>
            <c:spPr>
              <a:solidFill>
                <a:schemeClr val="tx1"/>
              </a:solidFill>
              <a:ln>
                <a:solidFill>
                  <a:schemeClr val="tx1"/>
                </a:solidFill>
              </a:ln>
            </c:spPr>
          </c:marker>
          <c:dLbls>
            <c:dLbl>
              <c:idx val="2"/>
              <c:layout>
                <c:manualLayout>
                  <c:x val="7.4786324786324923E-2"/>
                  <c:y val="-1.8487732588777509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Sheet1!$P$2:$P$5</c:f>
              <c:numCache>
                <c:formatCode>General</c:formatCode>
                <c:ptCount val="4"/>
                <c:pt idx="1">
                  <c:v>0.7500000000000081</c:v>
                </c:pt>
                <c:pt idx="2">
                  <c:v>0.72000000000000064</c:v>
                </c:pt>
              </c:numCache>
            </c:numRef>
          </c:val>
          <c:smooth val="0"/>
          <c:extLst>
            <c:ext xmlns:c16="http://schemas.microsoft.com/office/drawing/2014/chart" uri="{C3380CC4-5D6E-409C-BE32-E72D297353CC}">
              <c16:uniqueId val="{00000014-ED2B-45F0-815C-03730B84642A}"/>
            </c:ext>
          </c:extLst>
        </c:ser>
        <c:ser>
          <c:idx val="15"/>
          <c:order val="15"/>
          <c:tx>
            <c:strRef>
              <c:f>Sheet1!$Q$1</c:f>
              <c:strCache>
                <c:ptCount val="1"/>
                <c:pt idx="0">
                  <c:v>Case 16</c:v>
                </c:pt>
              </c:strCache>
            </c:strRef>
          </c:tx>
          <c:spPr>
            <a:ln>
              <a:solidFill>
                <a:schemeClr val="tx1"/>
              </a:solidFill>
            </a:ln>
          </c:spPr>
          <c:marker>
            <c:spPr>
              <a:solidFill>
                <a:schemeClr val="tx1"/>
              </a:solidFill>
              <a:ln>
                <a:solidFill>
                  <a:schemeClr val="tx1"/>
                </a:solidFill>
              </a:ln>
            </c:spPr>
          </c:marker>
          <c:dLbls>
            <c:dLbl>
              <c:idx val="2"/>
              <c:delete val="1"/>
              <c:extLst>
                <c:ext xmlns:c15="http://schemas.microsoft.com/office/drawing/2012/chart" uri="{CE6537A1-D6FC-4f65-9D91-7224C49458BB}"/>
                <c:ext xmlns:c16="http://schemas.microsoft.com/office/drawing/2014/chart" uri="{C3380CC4-5D6E-409C-BE32-E72D297353CC}">
                  <c16:uniqueId val="{00000015-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Sheet1!$Q$2:$Q$5</c:f>
              <c:numCache>
                <c:formatCode>General</c:formatCode>
                <c:ptCount val="4"/>
                <c:pt idx="1">
                  <c:v>0.89</c:v>
                </c:pt>
                <c:pt idx="2">
                  <c:v>0.97000000000000064</c:v>
                </c:pt>
              </c:numCache>
            </c:numRef>
          </c:val>
          <c:smooth val="0"/>
          <c:extLst>
            <c:ext xmlns:c16="http://schemas.microsoft.com/office/drawing/2014/chart" uri="{C3380CC4-5D6E-409C-BE32-E72D297353CC}">
              <c16:uniqueId val="{00000016-ED2B-45F0-815C-03730B84642A}"/>
            </c:ext>
          </c:extLst>
        </c:ser>
        <c:ser>
          <c:idx val="16"/>
          <c:order val="16"/>
          <c:tx>
            <c:strRef>
              <c:f>Sheet1!$R$1</c:f>
              <c:strCache>
                <c:ptCount val="1"/>
                <c:pt idx="0">
                  <c:v>Case 17</c:v>
                </c:pt>
              </c:strCache>
            </c:strRef>
          </c:tx>
          <c:spPr>
            <a:ln>
              <a:solidFill>
                <a:schemeClr val="tx1"/>
              </a:solidFill>
            </a:ln>
          </c:spPr>
          <c:marker>
            <c:spPr>
              <a:solidFill>
                <a:schemeClr val="tx1"/>
              </a:solidFill>
              <a:ln>
                <a:solidFill>
                  <a:schemeClr val="tx1"/>
                </a:solidFill>
              </a:ln>
            </c:spPr>
          </c:marker>
          <c:dLbls>
            <c:dLbl>
              <c:idx val="2"/>
              <c:layout>
                <c:manualLayout>
                  <c:x val="7.2649572649572655E-2"/>
                  <c:y val="1.5406443823981259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Sheet1!$R$2:$R$5</c:f>
              <c:numCache>
                <c:formatCode>General</c:formatCode>
                <c:ptCount val="4"/>
                <c:pt idx="1">
                  <c:v>0.54</c:v>
                </c:pt>
                <c:pt idx="2">
                  <c:v>0.66000000000001025</c:v>
                </c:pt>
              </c:numCache>
            </c:numRef>
          </c:val>
          <c:smooth val="0"/>
          <c:extLst>
            <c:ext xmlns:c16="http://schemas.microsoft.com/office/drawing/2014/chart" uri="{C3380CC4-5D6E-409C-BE32-E72D297353CC}">
              <c16:uniqueId val="{00000018-ED2B-45F0-815C-03730B84642A}"/>
            </c:ext>
          </c:extLst>
        </c:ser>
        <c:ser>
          <c:idx val="17"/>
          <c:order val="17"/>
          <c:tx>
            <c:strRef>
              <c:f>Sheet1!$S$1</c:f>
              <c:strCache>
                <c:ptCount val="1"/>
                <c:pt idx="0">
                  <c:v>Case 18</c:v>
                </c:pt>
              </c:strCache>
            </c:strRef>
          </c:tx>
          <c:spPr>
            <a:ln>
              <a:solidFill>
                <a:schemeClr val="tx1"/>
              </a:solidFill>
            </a:ln>
          </c:spPr>
          <c:marker>
            <c:spPr>
              <a:solidFill>
                <a:schemeClr val="tx1"/>
              </a:solidFill>
              <a:ln>
                <a:solidFill>
                  <a:schemeClr val="tx1"/>
                </a:solidFill>
              </a:ln>
            </c:spPr>
          </c:marker>
          <c:dLbls>
            <c:dLbl>
              <c:idx val="2"/>
              <c:layout>
                <c:manualLayout>
                  <c:x val="7.6923076923076927E-2"/>
                  <c:y val="3.081288764796261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Sheet1!$S$2:$S$5</c:f>
              <c:numCache>
                <c:formatCode>General</c:formatCode>
                <c:ptCount val="4"/>
                <c:pt idx="1">
                  <c:v>0.63000000000000866</c:v>
                </c:pt>
                <c:pt idx="2">
                  <c:v>0.78</c:v>
                </c:pt>
              </c:numCache>
            </c:numRef>
          </c:val>
          <c:smooth val="0"/>
          <c:extLst>
            <c:ext xmlns:c16="http://schemas.microsoft.com/office/drawing/2014/chart" uri="{C3380CC4-5D6E-409C-BE32-E72D297353CC}">
              <c16:uniqueId val="{0000001A-ED2B-45F0-815C-03730B84642A}"/>
            </c:ext>
          </c:extLst>
        </c:ser>
        <c:ser>
          <c:idx val="18"/>
          <c:order val="18"/>
          <c:tx>
            <c:strRef>
              <c:f>Sheet1!$T$1</c:f>
              <c:strCache>
                <c:ptCount val="1"/>
                <c:pt idx="0">
                  <c:v>Case 19</c:v>
                </c:pt>
              </c:strCache>
            </c:strRef>
          </c:tx>
          <c:spPr>
            <a:ln>
              <a:solidFill>
                <a:schemeClr val="tx1"/>
              </a:solidFill>
            </a:ln>
          </c:spPr>
          <c:marker>
            <c:spPr>
              <a:solidFill>
                <a:schemeClr val="tx1"/>
              </a:solidFill>
              <a:ln>
                <a:solidFill>
                  <a:schemeClr val="tx1"/>
                </a:solidFill>
              </a:ln>
            </c:spPr>
          </c:marker>
          <c:dLbls>
            <c:dLbl>
              <c:idx val="2"/>
              <c:layout>
                <c:manualLayout>
                  <c:x val="7.6923076923076927E-2"/>
                  <c:y val="1.8487732588777565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Sheet1!$T$2:$T$5</c:f>
              <c:numCache>
                <c:formatCode>General</c:formatCode>
                <c:ptCount val="4"/>
                <c:pt idx="1">
                  <c:v>0.73000000000000065</c:v>
                </c:pt>
                <c:pt idx="2">
                  <c:v>0.77000000000000901</c:v>
                </c:pt>
              </c:numCache>
            </c:numRef>
          </c:val>
          <c:smooth val="0"/>
          <c:extLst>
            <c:ext xmlns:c16="http://schemas.microsoft.com/office/drawing/2014/chart" uri="{C3380CC4-5D6E-409C-BE32-E72D297353CC}">
              <c16:uniqueId val="{0000001C-ED2B-45F0-815C-03730B84642A}"/>
            </c:ext>
          </c:extLst>
        </c:ser>
        <c:ser>
          <c:idx val="19"/>
          <c:order val="19"/>
          <c:tx>
            <c:strRef>
              <c:f>Sheet1!$U$1</c:f>
              <c:strCache>
                <c:ptCount val="1"/>
                <c:pt idx="0">
                  <c:v>Case 20</c:v>
                </c:pt>
              </c:strCache>
            </c:strRef>
          </c:tx>
          <c:spPr>
            <a:ln>
              <a:solidFill>
                <a:schemeClr val="tx1"/>
              </a:solidFill>
            </a:ln>
          </c:spPr>
          <c:marker>
            <c:spPr>
              <a:solidFill>
                <a:schemeClr val="tx1"/>
              </a:solidFill>
              <a:ln>
                <a:solidFill>
                  <a:schemeClr val="tx1"/>
                </a:solidFill>
              </a:ln>
            </c:spPr>
          </c:marker>
          <c:dLbls>
            <c:dLbl>
              <c:idx val="2"/>
              <c:layout>
                <c:manualLayout>
                  <c:x val="7.2649572649572655E-2"/>
                  <c:y val="-9.2438662943888066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Sheet1!$U$2:$U$5</c:f>
              <c:numCache>
                <c:formatCode>General</c:formatCode>
                <c:ptCount val="4"/>
                <c:pt idx="1">
                  <c:v>0.68</c:v>
                </c:pt>
                <c:pt idx="2">
                  <c:v>0.70000000000000062</c:v>
                </c:pt>
              </c:numCache>
            </c:numRef>
          </c:val>
          <c:smooth val="0"/>
          <c:extLst>
            <c:ext xmlns:c16="http://schemas.microsoft.com/office/drawing/2014/chart" uri="{C3380CC4-5D6E-409C-BE32-E72D297353CC}">
              <c16:uniqueId val="{0000001E-ED2B-45F0-815C-03730B84642A}"/>
            </c:ext>
          </c:extLst>
        </c:ser>
        <c:ser>
          <c:idx val="20"/>
          <c:order val="20"/>
          <c:tx>
            <c:strRef>
              <c:f>Sheet1!$V$1</c:f>
              <c:strCache>
                <c:ptCount val="1"/>
                <c:pt idx="0">
                  <c:v>Case 21</c:v>
                </c:pt>
              </c:strCache>
            </c:strRef>
          </c:tx>
          <c:spPr>
            <a:ln>
              <a:solidFill>
                <a:schemeClr val="tx1"/>
              </a:solidFill>
            </a:ln>
          </c:spPr>
          <c:marker>
            <c:spPr>
              <a:solidFill>
                <a:schemeClr val="tx1"/>
              </a:solidFill>
              <a:ln>
                <a:solidFill>
                  <a:schemeClr val="tx1"/>
                </a:solidFill>
              </a:ln>
            </c:spPr>
          </c:marker>
          <c:dLbls>
            <c:dLbl>
              <c:idx val="2"/>
              <c:layout>
                <c:manualLayout>
                  <c:x val="8.3333333333333343E-2"/>
                  <c:y val="3.081288764796261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Sheet1!$V$2:$V$5</c:f>
              <c:numCache>
                <c:formatCode>General</c:formatCode>
                <c:ptCount val="4"/>
                <c:pt idx="1">
                  <c:v>0.77000000000000901</c:v>
                </c:pt>
                <c:pt idx="2">
                  <c:v>0.83000000000000063</c:v>
                </c:pt>
              </c:numCache>
            </c:numRef>
          </c:val>
          <c:smooth val="0"/>
          <c:extLst>
            <c:ext xmlns:c16="http://schemas.microsoft.com/office/drawing/2014/chart" uri="{C3380CC4-5D6E-409C-BE32-E72D297353CC}">
              <c16:uniqueId val="{00000020-ED2B-45F0-815C-03730B84642A}"/>
            </c:ext>
          </c:extLst>
        </c:ser>
        <c:ser>
          <c:idx val="21"/>
          <c:order val="21"/>
          <c:tx>
            <c:strRef>
              <c:f>Sheet1!$W$1</c:f>
              <c:strCache>
                <c:ptCount val="1"/>
                <c:pt idx="0">
                  <c:v>Case 22</c:v>
                </c:pt>
              </c:strCache>
            </c:strRef>
          </c:tx>
          <c:spPr>
            <a:ln>
              <a:solidFill>
                <a:schemeClr val="tx1"/>
              </a:solidFill>
            </a:ln>
          </c:spPr>
          <c:marker>
            <c:spPr>
              <a:solidFill>
                <a:schemeClr val="tx1"/>
              </a:solidFill>
              <a:ln>
                <a:solidFill>
                  <a:schemeClr val="tx1"/>
                </a:solidFill>
              </a:ln>
            </c:spPr>
          </c:marker>
          <c:dLbls>
            <c:dLbl>
              <c:idx val="2"/>
              <c:delete val="1"/>
              <c:extLst>
                <c:ext xmlns:c15="http://schemas.microsoft.com/office/drawing/2012/chart" uri="{CE6537A1-D6FC-4f65-9D91-7224C49458BB}"/>
                <c:ext xmlns:c16="http://schemas.microsoft.com/office/drawing/2014/chart" uri="{C3380CC4-5D6E-409C-BE32-E72D297353CC}">
                  <c16:uniqueId val="{00000021-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Sheet1!$W$2:$W$5</c:f>
              <c:numCache>
                <c:formatCode>General</c:formatCode>
                <c:ptCount val="4"/>
                <c:pt idx="1">
                  <c:v>0.73000000000000065</c:v>
                </c:pt>
                <c:pt idx="2">
                  <c:v>0.760000000000009</c:v>
                </c:pt>
              </c:numCache>
            </c:numRef>
          </c:val>
          <c:smooth val="0"/>
          <c:extLst>
            <c:ext xmlns:c16="http://schemas.microsoft.com/office/drawing/2014/chart" uri="{C3380CC4-5D6E-409C-BE32-E72D297353CC}">
              <c16:uniqueId val="{00000022-ED2B-45F0-815C-03730B84642A}"/>
            </c:ext>
          </c:extLst>
        </c:ser>
        <c:ser>
          <c:idx val="22"/>
          <c:order val="22"/>
          <c:tx>
            <c:strRef>
              <c:f>Sheet1!$X$1</c:f>
              <c:strCache>
                <c:ptCount val="1"/>
                <c:pt idx="0">
                  <c:v>Case 23</c:v>
                </c:pt>
              </c:strCache>
            </c:strRef>
          </c:tx>
          <c:spPr>
            <a:ln>
              <a:solidFill>
                <a:schemeClr val="tx1"/>
              </a:solidFill>
            </a:ln>
          </c:spPr>
          <c:marker>
            <c:spPr>
              <a:solidFill>
                <a:schemeClr val="tx1"/>
              </a:solidFill>
              <a:ln>
                <a:solidFill>
                  <a:schemeClr val="tx1"/>
                </a:solidFill>
              </a:ln>
            </c:spPr>
          </c:marker>
          <c:dLbls>
            <c:dLbl>
              <c:idx val="2"/>
              <c:layout>
                <c:manualLayout>
                  <c:x val="7.9059829059829084E-2"/>
                  <c:y val="-6.1625775295925025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ED2B-45F0-815C-03730B84642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c:v>
                </c:pt>
                <c:pt idx="2">
                  <c:v>Inferior</c:v>
                </c:pt>
              </c:strCache>
            </c:strRef>
          </c:cat>
          <c:val>
            <c:numRef>
              <c:f>Sheet1!$X$2:$X$5</c:f>
              <c:numCache>
                <c:formatCode>General</c:formatCode>
                <c:ptCount val="4"/>
                <c:pt idx="1">
                  <c:v>0.9</c:v>
                </c:pt>
                <c:pt idx="2">
                  <c:v>0.93</c:v>
                </c:pt>
              </c:numCache>
            </c:numRef>
          </c:val>
          <c:smooth val="0"/>
          <c:extLst>
            <c:ext xmlns:c16="http://schemas.microsoft.com/office/drawing/2014/chart" uri="{C3380CC4-5D6E-409C-BE32-E72D297353CC}">
              <c16:uniqueId val="{00000024-ED2B-45F0-815C-03730B84642A}"/>
            </c:ext>
          </c:extLst>
        </c:ser>
        <c:ser>
          <c:idx val="23"/>
          <c:order val="23"/>
          <c:tx>
            <c:strRef>
              <c:f>Sheet1!$Y$1</c:f>
              <c:strCache>
                <c:ptCount val="1"/>
                <c:pt idx="0">
                  <c:v>Average</c:v>
                </c:pt>
              </c:strCache>
            </c:strRef>
          </c:tx>
          <c:spPr>
            <a:ln w="31750">
              <a:solidFill>
                <a:srgbClr val="FF0000"/>
              </a:solidFill>
            </a:ln>
          </c:spPr>
          <c:marker>
            <c:symbol val="circle"/>
            <c:size val="10"/>
            <c:spPr>
              <a:solidFill>
                <a:srgbClr val="FF0000"/>
              </a:solidFill>
            </c:spPr>
          </c:marker>
          <c:dLbls>
            <c:dLbl>
              <c:idx val="0"/>
              <c:layout>
                <c:manualLayout>
                  <c:x val="8.5470085470085472E-2"/>
                  <c:y val="-0.20644658986251463"/>
                </c:manualLayout>
              </c:layout>
              <c:tx>
                <c:rich>
                  <a:bodyPr/>
                  <a:lstStyle/>
                  <a:p>
                    <a:r>
                      <a:rPr lang="en-US" sz="1200" b="1">
                        <a:solidFill>
                          <a:srgbClr val="FF0000"/>
                        </a:solidFill>
                      </a:rPr>
                      <a:t>0.78 +/- 0.11</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ED2B-45F0-815C-03730B84642A}"/>
                </c:ext>
              </c:extLst>
            </c:dLbl>
            <c:dLbl>
              <c:idx val="3"/>
              <c:layout>
                <c:manualLayout>
                  <c:x val="8.974358974358973E-2"/>
                  <c:y val="-0.19103990341737037"/>
                </c:manualLayout>
              </c:layout>
              <c:tx>
                <c:rich>
                  <a:bodyPr/>
                  <a:lstStyle/>
                  <a:p>
                    <a:r>
                      <a:rPr lang="en-US" sz="1200" b="1">
                        <a:solidFill>
                          <a:srgbClr val="FF0000"/>
                        </a:solidFill>
                      </a:rPr>
                      <a:t>0.84 +/- 0.10</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6-ED2B-45F0-815C-03730B84642A}"/>
                </c:ext>
              </c:extLst>
            </c:dLbl>
            <c:spPr>
              <a:noFill/>
              <a:ln>
                <a:noFill/>
              </a:ln>
              <a:effectLst/>
            </c:spPr>
            <c:txPr>
              <a:bodyPr/>
              <a:lstStyle/>
              <a:p>
                <a:pPr>
                  <a:defRPr sz="1200"/>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Sheet1!$Z$2:$Z$5</c:f>
                <c:numCache>
                  <c:formatCode>General</c:formatCode>
                  <c:ptCount val="4"/>
                  <c:pt idx="0">
                    <c:v>0.11</c:v>
                  </c:pt>
                  <c:pt idx="3">
                    <c:v>0.1</c:v>
                  </c:pt>
                </c:numCache>
              </c:numRef>
            </c:plus>
            <c:minus>
              <c:numRef>
                <c:f>Sheet1!$Z$2:$Z$5</c:f>
                <c:numCache>
                  <c:formatCode>General</c:formatCode>
                  <c:ptCount val="4"/>
                  <c:pt idx="0">
                    <c:v>0.11</c:v>
                  </c:pt>
                  <c:pt idx="3">
                    <c:v>0.1</c:v>
                  </c:pt>
                </c:numCache>
              </c:numRef>
            </c:minus>
            <c:spPr>
              <a:ln w="15875">
                <a:solidFill>
                  <a:srgbClr val="FF0000"/>
                </a:solidFill>
              </a:ln>
            </c:spPr>
          </c:errBars>
          <c:cat>
            <c:strRef>
              <c:f>Sheet1!$A$2:$A$5</c:f>
              <c:strCache>
                <c:ptCount val="3"/>
                <c:pt idx="1">
                  <c:v>Superior</c:v>
                </c:pt>
                <c:pt idx="2">
                  <c:v>Inferior</c:v>
                </c:pt>
              </c:strCache>
            </c:strRef>
          </c:cat>
          <c:val>
            <c:numRef>
              <c:f>Sheet1!$Y$2:$Y$5</c:f>
              <c:numCache>
                <c:formatCode>General</c:formatCode>
                <c:ptCount val="4"/>
                <c:pt idx="0">
                  <c:v>0.78</c:v>
                </c:pt>
                <c:pt idx="3">
                  <c:v>0.84000000000000064</c:v>
                </c:pt>
              </c:numCache>
            </c:numRef>
          </c:val>
          <c:smooth val="0"/>
          <c:extLst>
            <c:ext xmlns:c16="http://schemas.microsoft.com/office/drawing/2014/chart" uri="{C3380CC4-5D6E-409C-BE32-E72D297353CC}">
              <c16:uniqueId val="{00000028-ED2B-45F0-815C-03730B84642A}"/>
            </c:ext>
          </c:extLst>
        </c:ser>
        <c:dLbls>
          <c:showLegendKey val="0"/>
          <c:showVal val="1"/>
          <c:showCatName val="0"/>
          <c:showSerName val="0"/>
          <c:showPercent val="0"/>
          <c:showBubbleSize val="0"/>
        </c:dLbls>
        <c:marker val="1"/>
        <c:smooth val="0"/>
        <c:axId val="221035520"/>
        <c:axId val="221074176"/>
      </c:lineChart>
      <c:catAx>
        <c:axId val="221035520"/>
        <c:scaling>
          <c:orientation val="minMax"/>
        </c:scaling>
        <c:delete val="0"/>
        <c:axPos val="b"/>
        <c:numFmt formatCode="General" sourceLinked="0"/>
        <c:majorTickMark val="out"/>
        <c:minorTickMark val="none"/>
        <c:tickLblPos val="nextTo"/>
        <c:crossAx val="221074176"/>
        <c:crosses val="autoZero"/>
        <c:auto val="1"/>
        <c:lblAlgn val="ctr"/>
        <c:lblOffset val="100"/>
        <c:noMultiLvlLbl val="0"/>
      </c:catAx>
      <c:valAx>
        <c:axId val="221074176"/>
        <c:scaling>
          <c:orientation val="minMax"/>
          <c:min val="0.5"/>
        </c:scaling>
        <c:delete val="0"/>
        <c:axPos val="l"/>
        <c:numFmt formatCode="General" sourceLinked="1"/>
        <c:majorTickMark val="out"/>
        <c:minorTickMark val="none"/>
        <c:tickLblPos val="nextTo"/>
        <c:crossAx val="221035520"/>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200">
                <a:latin typeface="Times New Roman" pitchFamily="18" charset="0"/>
                <a:cs typeface="Times New Roman" pitchFamily="18" charset="0"/>
              </a:defRPr>
            </a:pPr>
            <a:r>
              <a:rPr lang="en-US" sz="1200">
                <a:latin typeface="Times New Roman" pitchFamily="18" charset="0"/>
                <a:cs typeface="Times New Roman" pitchFamily="18" charset="0"/>
              </a:rPr>
              <a:t>Left Anterior Descending Artery - FFR</a:t>
            </a:r>
          </a:p>
        </c:rich>
      </c:tx>
      <c:overlay val="1"/>
    </c:title>
    <c:autoTitleDeleted val="0"/>
    <c:plotArea>
      <c:layout>
        <c:manualLayout>
          <c:layoutTarget val="inner"/>
          <c:xMode val="edge"/>
          <c:yMode val="edge"/>
          <c:x val="0.10855701370662002"/>
          <c:y val="9.0633280839895011E-2"/>
          <c:w val="0.86822995042287443"/>
          <c:h val="0.77689784776905035"/>
        </c:manualLayout>
      </c:layout>
      <c:lineChart>
        <c:grouping val="standard"/>
        <c:varyColors val="0"/>
        <c:ser>
          <c:idx val="0"/>
          <c:order val="0"/>
          <c:tx>
            <c:strRef>
              <c:f>Sheet1!$B$1</c:f>
              <c:strCache>
                <c:ptCount val="1"/>
                <c:pt idx="0">
                  <c:v>Case 1</c:v>
                </c:pt>
              </c:strCache>
            </c:strRef>
          </c:tx>
          <c:spPr>
            <a:ln>
              <a:solidFill>
                <a:schemeClr val="tx1"/>
              </a:solidFill>
            </a:ln>
          </c:spPr>
          <c:marker>
            <c:spPr>
              <a:solidFill>
                <a:schemeClr val="tx1"/>
              </a:solidFill>
              <a:ln>
                <a:solidFill>
                  <a:schemeClr val="tx1"/>
                </a:solidFill>
              </a:ln>
            </c:spPr>
          </c:marker>
          <c:dLbls>
            <c:dLbl>
              <c:idx val="2"/>
              <c:layout>
                <c:manualLayout>
                  <c:x val="6.1111111111111123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Sheet1!$B$2:$B$5</c:f>
              <c:numCache>
                <c:formatCode>General</c:formatCode>
                <c:ptCount val="4"/>
                <c:pt idx="1">
                  <c:v>0.92</c:v>
                </c:pt>
                <c:pt idx="2">
                  <c:v>0.94000000000000061</c:v>
                </c:pt>
              </c:numCache>
            </c:numRef>
          </c:val>
          <c:smooth val="0"/>
          <c:extLst>
            <c:ext xmlns:c16="http://schemas.microsoft.com/office/drawing/2014/chart" uri="{C3380CC4-5D6E-409C-BE32-E72D297353CC}">
              <c16:uniqueId val="{00000000-ACD6-ED4D-AC60-70368369DA71}"/>
            </c:ext>
          </c:extLst>
        </c:ser>
        <c:ser>
          <c:idx val="1"/>
          <c:order val="1"/>
          <c:tx>
            <c:strRef>
              <c:f>Sheet1!$C$1</c:f>
              <c:strCache>
                <c:ptCount val="1"/>
                <c:pt idx="0">
                  <c:v>Case 4</c:v>
                </c:pt>
              </c:strCache>
            </c:strRef>
          </c:tx>
          <c:spPr>
            <a:ln>
              <a:solidFill>
                <a:schemeClr val="tx1"/>
              </a:solidFill>
            </a:ln>
          </c:spPr>
          <c:marker>
            <c:spPr>
              <a:solidFill>
                <a:schemeClr val="tx1"/>
              </a:solidFill>
              <a:ln>
                <a:solidFill>
                  <a:schemeClr val="tx1"/>
                </a:solidFill>
              </a:ln>
            </c:spPr>
          </c:marker>
          <c:dLbls>
            <c:dLbl>
              <c:idx val="2"/>
              <c:layout>
                <c:manualLayout>
                  <c:x val="6.4814814814816032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Sheet1!$C$2:$C$5</c:f>
              <c:numCache>
                <c:formatCode>General</c:formatCode>
                <c:ptCount val="4"/>
                <c:pt idx="1">
                  <c:v>0.86000000000000065</c:v>
                </c:pt>
                <c:pt idx="2">
                  <c:v>0.72000000000000064</c:v>
                </c:pt>
              </c:numCache>
            </c:numRef>
          </c:val>
          <c:smooth val="0"/>
          <c:extLst>
            <c:ext xmlns:c16="http://schemas.microsoft.com/office/drawing/2014/chart" uri="{C3380CC4-5D6E-409C-BE32-E72D297353CC}">
              <c16:uniqueId val="{00000001-ACD6-ED4D-AC60-70368369DA71}"/>
            </c:ext>
          </c:extLst>
        </c:ser>
        <c:ser>
          <c:idx val="2"/>
          <c:order val="2"/>
          <c:tx>
            <c:strRef>
              <c:f>Sheet1!$D$1</c:f>
              <c:strCache>
                <c:ptCount val="1"/>
                <c:pt idx="0">
                  <c:v> Case 7</c:v>
                </c:pt>
              </c:strCache>
            </c:strRef>
          </c:tx>
          <c:spPr>
            <a:ln>
              <a:solidFill>
                <a:schemeClr val="tx1"/>
              </a:solidFill>
            </a:ln>
          </c:spPr>
          <c:marker>
            <c:spPr>
              <a:solidFill>
                <a:schemeClr val="tx1"/>
              </a:solidFill>
              <a:ln>
                <a:solidFill>
                  <a:schemeClr val="tx1"/>
                </a:solidFill>
              </a:ln>
            </c:spPr>
          </c:marker>
          <c:dLbls>
            <c:dLbl>
              <c:idx val="2"/>
              <c:layout>
                <c:manualLayout>
                  <c:x val="5.7407407407407594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Sheet1!$D$2:$D$5</c:f>
              <c:numCache>
                <c:formatCode>General</c:formatCode>
                <c:ptCount val="4"/>
                <c:pt idx="1">
                  <c:v>0.82000000000000062</c:v>
                </c:pt>
                <c:pt idx="2">
                  <c:v>0.64000000000000901</c:v>
                </c:pt>
              </c:numCache>
            </c:numRef>
          </c:val>
          <c:smooth val="0"/>
          <c:extLst>
            <c:ext xmlns:c16="http://schemas.microsoft.com/office/drawing/2014/chart" uri="{C3380CC4-5D6E-409C-BE32-E72D297353CC}">
              <c16:uniqueId val="{00000002-ACD6-ED4D-AC60-70368369DA71}"/>
            </c:ext>
          </c:extLst>
        </c:ser>
        <c:ser>
          <c:idx val="3"/>
          <c:order val="3"/>
          <c:tx>
            <c:strRef>
              <c:f>Sheet1!$E$1</c:f>
              <c:strCache>
                <c:ptCount val="1"/>
                <c:pt idx="0">
                  <c:v>Case 9</c:v>
                </c:pt>
              </c:strCache>
            </c:strRef>
          </c:tx>
          <c:dLbls>
            <c:dLbl>
              <c:idx val="2"/>
              <c:layout>
                <c:manualLayout>
                  <c:x val="6.1111111111111123E-2"/>
                  <c:y val="2.666666666666669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Sheet1!$E$2:$E$5</c:f>
              <c:numCache>
                <c:formatCode>General</c:formatCode>
                <c:ptCount val="4"/>
                <c:pt idx="1">
                  <c:v>0.97000000000000064</c:v>
                </c:pt>
                <c:pt idx="2">
                  <c:v>0.84000000000000064</c:v>
                </c:pt>
              </c:numCache>
            </c:numRef>
          </c:val>
          <c:smooth val="0"/>
          <c:extLst>
            <c:ext xmlns:c16="http://schemas.microsoft.com/office/drawing/2014/chart" uri="{C3380CC4-5D6E-409C-BE32-E72D297353CC}">
              <c16:uniqueId val="{00000003-ACD6-ED4D-AC60-70368369DA71}"/>
            </c:ext>
          </c:extLst>
        </c:ser>
        <c:ser>
          <c:idx val="4"/>
          <c:order val="4"/>
          <c:tx>
            <c:strRef>
              <c:f>Sheet1!$F$1</c:f>
              <c:strCache>
                <c:ptCount val="1"/>
                <c:pt idx="0">
                  <c:v>Case 10</c:v>
                </c:pt>
              </c:strCache>
            </c:strRef>
          </c:tx>
          <c:spPr>
            <a:ln>
              <a:solidFill>
                <a:schemeClr val="tx1"/>
              </a:solidFill>
            </a:ln>
          </c:spPr>
          <c:marker>
            <c:spPr>
              <a:solidFill>
                <a:schemeClr val="tx1"/>
              </a:solidFill>
              <a:ln>
                <a:solidFill>
                  <a:schemeClr val="tx1"/>
                </a:solidFill>
              </a:ln>
            </c:spPr>
          </c:marker>
          <c:dLbls>
            <c:dLbl>
              <c:idx val="2"/>
              <c:layout>
                <c:manualLayout>
                  <c:x val="5.5555555555555455E-2"/>
                  <c:y val="-8.0000000000000227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Sheet1!$F$2:$F$5</c:f>
              <c:numCache>
                <c:formatCode>General</c:formatCode>
                <c:ptCount val="4"/>
                <c:pt idx="1">
                  <c:v>0.95000000000000062</c:v>
                </c:pt>
                <c:pt idx="2">
                  <c:v>0.85000000000000064</c:v>
                </c:pt>
              </c:numCache>
            </c:numRef>
          </c:val>
          <c:smooth val="0"/>
          <c:extLst>
            <c:ext xmlns:c16="http://schemas.microsoft.com/office/drawing/2014/chart" uri="{C3380CC4-5D6E-409C-BE32-E72D297353CC}">
              <c16:uniqueId val="{00000004-ACD6-ED4D-AC60-70368369DA71}"/>
            </c:ext>
          </c:extLst>
        </c:ser>
        <c:ser>
          <c:idx val="5"/>
          <c:order val="5"/>
          <c:tx>
            <c:strRef>
              <c:f>Sheet1!$G$1</c:f>
              <c:strCache>
                <c:ptCount val="1"/>
                <c:pt idx="0">
                  <c:v>Case 11</c:v>
                </c:pt>
              </c:strCache>
            </c:strRef>
          </c:tx>
          <c:spPr>
            <a:ln>
              <a:solidFill>
                <a:schemeClr val="tx1"/>
              </a:solidFill>
            </a:ln>
          </c:spPr>
          <c:marker>
            <c:spPr>
              <a:solidFill>
                <a:schemeClr val="tx1"/>
              </a:solidFill>
              <a:ln>
                <a:solidFill>
                  <a:schemeClr val="tx1"/>
                </a:solidFill>
              </a:ln>
            </c:spPr>
          </c:marker>
          <c:dLbls>
            <c:dLbl>
              <c:idx val="2"/>
              <c:layout>
                <c:manualLayout>
                  <c:x val="6.1111111111111123E-2"/>
                  <c:y val="2.4444162063399819E-17"/>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Sheet1!$G$2:$G$5</c:f>
              <c:numCache>
                <c:formatCode>General</c:formatCode>
                <c:ptCount val="4"/>
                <c:pt idx="1">
                  <c:v>0.97000000000000064</c:v>
                </c:pt>
                <c:pt idx="2">
                  <c:v>0.91</c:v>
                </c:pt>
              </c:numCache>
            </c:numRef>
          </c:val>
          <c:smooth val="0"/>
          <c:extLst>
            <c:ext xmlns:c16="http://schemas.microsoft.com/office/drawing/2014/chart" uri="{C3380CC4-5D6E-409C-BE32-E72D297353CC}">
              <c16:uniqueId val="{00000005-ACD6-ED4D-AC60-70368369DA71}"/>
            </c:ext>
          </c:extLst>
        </c:ser>
        <c:ser>
          <c:idx val="6"/>
          <c:order val="6"/>
          <c:tx>
            <c:strRef>
              <c:f>Sheet1!$H$1</c:f>
              <c:strCache>
                <c:ptCount val="1"/>
                <c:pt idx="0">
                  <c:v>Case 15</c:v>
                </c:pt>
              </c:strCache>
            </c:strRef>
          </c:tx>
          <c:spPr>
            <a:ln>
              <a:solidFill>
                <a:schemeClr val="tx1"/>
              </a:solidFill>
            </a:ln>
          </c:spPr>
          <c:marker>
            <c:spPr>
              <a:solidFill>
                <a:schemeClr val="tx1"/>
              </a:solidFill>
              <a:ln>
                <a:solidFill>
                  <a:schemeClr val="tx1"/>
                </a:solidFill>
              </a:ln>
            </c:spPr>
          </c:marker>
          <c:dLbls>
            <c:dLbl>
              <c:idx val="2"/>
              <c:layout>
                <c:manualLayout>
                  <c:x val="5.9259259259259262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Sheet1!$H$2:$H$5</c:f>
              <c:numCache>
                <c:formatCode>General</c:formatCode>
                <c:ptCount val="4"/>
                <c:pt idx="1">
                  <c:v>0.72000000000000064</c:v>
                </c:pt>
                <c:pt idx="2">
                  <c:v>0.7500000000000081</c:v>
                </c:pt>
              </c:numCache>
            </c:numRef>
          </c:val>
          <c:smooth val="0"/>
          <c:extLst>
            <c:ext xmlns:c16="http://schemas.microsoft.com/office/drawing/2014/chart" uri="{C3380CC4-5D6E-409C-BE32-E72D297353CC}">
              <c16:uniqueId val="{00000006-ACD6-ED4D-AC60-70368369DA71}"/>
            </c:ext>
          </c:extLst>
        </c:ser>
        <c:ser>
          <c:idx val="7"/>
          <c:order val="7"/>
          <c:tx>
            <c:strRef>
              <c:f>Sheet1!$I$1</c:f>
              <c:strCache>
                <c:ptCount val="1"/>
                <c:pt idx="0">
                  <c:v>Case 16</c:v>
                </c:pt>
              </c:strCache>
            </c:strRef>
          </c:tx>
          <c:spPr>
            <a:ln>
              <a:solidFill>
                <a:schemeClr val="tx1"/>
              </a:solidFill>
            </a:ln>
          </c:spPr>
          <c:marker>
            <c:spPr>
              <a:solidFill>
                <a:schemeClr val="tx1"/>
              </a:solidFill>
              <a:ln>
                <a:solidFill>
                  <a:schemeClr val="tx1"/>
                </a:solidFill>
              </a:ln>
            </c:spPr>
          </c:marker>
          <c:dLbls>
            <c:dLbl>
              <c:idx val="2"/>
              <c:layout>
                <c:manualLayout>
                  <c:x val="6.2962962962962971E-2"/>
                  <c:y val="5.3333333333334346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Sheet1!$I$2:$I$5</c:f>
              <c:numCache>
                <c:formatCode>General</c:formatCode>
                <c:ptCount val="4"/>
                <c:pt idx="1">
                  <c:v>0.97000000000000064</c:v>
                </c:pt>
                <c:pt idx="2">
                  <c:v>0.89</c:v>
                </c:pt>
              </c:numCache>
            </c:numRef>
          </c:val>
          <c:smooth val="0"/>
          <c:extLst>
            <c:ext xmlns:c16="http://schemas.microsoft.com/office/drawing/2014/chart" uri="{C3380CC4-5D6E-409C-BE32-E72D297353CC}">
              <c16:uniqueId val="{00000007-ACD6-ED4D-AC60-70368369DA71}"/>
            </c:ext>
          </c:extLst>
        </c:ser>
        <c:ser>
          <c:idx val="8"/>
          <c:order val="8"/>
          <c:tx>
            <c:strRef>
              <c:f>Sheet1!$J$1</c:f>
              <c:strCache>
                <c:ptCount val="1"/>
                <c:pt idx="0">
                  <c:v>Case 17</c:v>
                </c:pt>
              </c:strCache>
            </c:strRef>
          </c:tx>
          <c:spPr>
            <a:ln>
              <a:solidFill>
                <a:schemeClr val="tx1"/>
              </a:solidFill>
            </a:ln>
          </c:spPr>
          <c:marker>
            <c:spPr>
              <a:solidFill>
                <a:schemeClr val="tx1"/>
              </a:solidFill>
              <a:ln>
                <a:solidFill>
                  <a:schemeClr val="tx1"/>
                </a:solidFill>
              </a:ln>
            </c:spPr>
          </c:marker>
          <c:dLbls>
            <c:dLbl>
              <c:idx val="2"/>
              <c:layout>
                <c:manualLayout>
                  <c:x val="5.3703703703703733E-2"/>
                  <c:y val="-2.666666666666669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Sheet1!$J$2:$J$5</c:f>
              <c:numCache>
                <c:formatCode>General</c:formatCode>
                <c:ptCount val="4"/>
                <c:pt idx="1">
                  <c:v>0.66000000000001025</c:v>
                </c:pt>
                <c:pt idx="2">
                  <c:v>0.54</c:v>
                </c:pt>
              </c:numCache>
            </c:numRef>
          </c:val>
          <c:smooth val="0"/>
          <c:extLst>
            <c:ext xmlns:c16="http://schemas.microsoft.com/office/drawing/2014/chart" uri="{C3380CC4-5D6E-409C-BE32-E72D297353CC}">
              <c16:uniqueId val="{00000008-ACD6-ED4D-AC60-70368369DA71}"/>
            </c:ext>
          </c:extLst>
        </c:ser>
        <c:ser>
          <c:idx val="9"/>
          <c:order val="9"/>
          <c:tx>
            <c:strRef>
              <c:f>Sheet1!$K$1</c:f>
              <c:strCache>
                <c:ptCount val="1"/>
                <c:pt idx="0">
                  <c:v>Case 18</c:v>
                </c:pt>
              </c:strCache>
            </c:strRef>
          </c:tx>
          <c:spPr>
            <a:ln>
              <a:solidFill>
                <a:schemeClr val="tx1"/>
              </a:solidFill>
            </a:ln>
          </c:spPr>
          <c:marker>
            <c:spPr>
              <a:solidFill>
                <a:schemeClr val="tx1"/>
              </a:solidFill>
              <a:ln>
                <a:solidFill>
                  <a:schemeClr val="tx1"/>
                </a:solidFill>
              </a:ln>
            </c:spPr>
          </c:marker>
          <c:dLbls>
            <c:dLbl>
              <c:idx val="2"/>
              <c:layout>
                <c:manualLayout>
                  <c:x val="5.5555555555555455E-2"/>
                  <c:y val="8.0000000000000227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Sheet1!$K$2:$K$5</c:f>
              <c:numCache>
                <c:formatCode>General</c:formatCode>
                <c:ptCount val="4"/>
                <c:pt idx="1">
                  <c:v>0.78</c:v>
                </c:pt>
                <c:pt idx="2">
                  <c:v>0.63000000000000866</c:v>
                </c:pt>
              </c:numCache>
            </c:numRef>
          </c:val>
          <c:smooth val="0"/>
          <c:extLst>
            <c:ext xmlns:c16="http://schemas.microsoft.com/office/drawing/2014/chart" uri="{C3380CC4-5D6E-409C-BE32-E72D297353CC}">
              <c16:uniqueId val="{00000009-ACD6-ED4D-AC60-70368369DA71}"/>
            </c:ext>
          </c:extLst>
        </c:ser>
        <c:ser>
          <c:idx val="10"/>
          <c:order val="10"/>
          <c:tx>
            <c:strRef>
              <c:f>Sheet1!$L$1</c:f>
              <c:strCache>
                <c:ptCount val="1"/>
                <c:pt idx="0">
                  <c:v>Average</c:v>
                </c:pt>
              </c:strCache>
            </c:strRef>
          </c:tx>
          <c:spPr>
            <a:ln>
              <a:noFill/>
            </a:ln>
          </c:spPr>
          <c:marker>
            <c:symbol val="circle"/>
            <c:size val="10"/>
            <c:spPr>
              <a:solidFill>
                <a:srgbClr val="FF0000"/>
              </a:solidFill>
            </c:spPr>
          </c:marker>
          <c:dLbls>
            <c:dLbl>
              <c:idx val="0"/>
              <c:layout>
                <c:manualLayout>
                  <c:x val="7.037022455526401E-2"/>
                  <c:y val="-0.20533333333333575"/>
                </c:manualLayout>
              </c:layout>
              <c:tx>
                <c:rich>
                  <a:bodyPr/>
                  <a:lstStyle/>
                  <a:p>
                    <a:r>
                      <a:rPr lang="en-US" sz="1200" b="1">
                        <a:solidFill>
                          <a:srgbClr val="FF0000"/>
                        </a:solidFill>
                        <a:latin typeface="Times New Roman" pitchFamily="18" charset="0"/>
                        <a:cs typeface="Times New Roman" pitchFamily="18" charset="0"/>
                      </a:rPr>
                      <a:t>0.86 +/- 0.11</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5393-454B-89F1-C28722E2DD77}"/>
                </c:ext>
              </c:extLst>
            </c:dLbl>
            <c:dLbl>
              <c:idx val="3"/>
              <c:layout>
                <c:manualLayout>
                  <c:x val="6.666666666666668E-2"/>
                  <c:y val="-0.26666666666666738"/>
                </c:manualLayout>
              </c:layout>
              <c:tx>
                <c:rich>
                  <a:bodyPr/>
                  <a:lstStyle/>
                  <a:p>
                    <a:r>
                      <a:rPr lang="en-US" sz="1200" b="1">
                        <a:solidFill>
                          <a:srgbClr val="FF0000"/>
                        </a:solidFill>
                        <a:latin typeface="Times New Roman" pitchFamily="18" charset="0"/>
                        <a:cs typeface="Times New Roman" pitchFamily="18" charset="0"/>
                      </a:rPr>
                      <a:t>0.77 +/-</a:t>
                    </a:r>
                    <a:r>
                      <a:rPr lang="en-US" sz="1200" b="1" baseline="0">
                        <a:solidFill>
                          <a:srgbClr val="FF0000"/>
                        </a:solidFill>
                        <a:latin typeface="Times New Roman" pitchFamily="18" charset="0"/>
                        <a:cs typeface="Times New Roman" pitchFamily="18" charset="0"/>
                      </a:rPr>
                      <a:t> 0.14</a:t>
                    </a:r>
                    <a:endParaRPr lang="en-US" sz="1200" b="1">
                      <a:solidFill>
                        <a:srgbClr val="FF0000"/>
                      </a:solidFill>
                      <a:latin typeface="Times New Roman" pitchFamily="18" charset="0"/>
                      <a:cs typeface="Times New Roman" pitchFamily="18" charset="0"/>
                    </a:endParaRP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5393-454B-89F1-C28722E2DD77}"/>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Sheet1!$N$2:$N$5</c:f>
                <c:numCache>
                  <c:formatCode>General</c:formatCode>
                  <c:ptCount val="4"/>
                  <c:pt idx="0">
                    <c:v>0.11</c:v>
                  </c:pt>
                  <c:pt idx="3">
                    <c:v>0.14000000000000001</c:v>
                  </c:pt>
                </c:numCache>
              </c:numRef>
            </c:plus>
            <c:minus>
              <c:numRef>
                <c:f>Sheet1!$N$2:$N$5</c:f>
                <c:numCache>
                  <c:formatCode>General</c:formatCode>
                  <c:ptCount val="4"/>
                  <c:pt idx="0">
                    <c:v>0.11</c:v>
                  </c:pt>
                  <c:pt idx="3">
                    <c:v>0.14000000000000001</c:v>
                  </c:pt>
                </c:numCache>
              </c:numRef>
            </c:minus>
            <c:spPr>
              <a:ln w="15875">
                <a:solidFill>
                  <a:srgbClr val="FF0000"/>
                </a:solidFill>
              </a:ln>
            </c:spPr>
          </c:errBars>
          <c:cat>
            <c:strRef>
              <c:f>Sheet1!$A$2:$A$5</c:f>
              <c:strCache>
                <c:ptCount val="3"/>
                <c:pt idx="1">
                  <c:v>Prone</c:v>
                </c:pt>
                <c:pt idx="2">
                  <c:v>Supine</c:v>
                </c:pt>
              </c:strCache>
            </c:strRef>
          </c:cat>
          <c:val>
            <c:numRef>
              <c:f>Sheet1!$L$2:$L$5</c:f>
              <c:numCache>
                <c:formatCode>General</c:formatCode>
                <c:ptCount val="4"/>
                <c:pt idx="0">
                  <c:v>0.86000000000000065</c:v>
                </c:pt>
                <c:pt idx="3">
                  <c:v>0.77000000000000901</c:v>
                </c:pt>
              </c:numCache>
            </c:numRef>
          </c:val>
          <c:smooth val="0"/>
          <c:extLst>
            <c:ext xmlns:c16="http://schemas.microsoft.com/office/drawing/2014/chart" uri="{C3380CC4-5D6E-409C-BE32-E72D297353CC}">
              <c16:uniqueId val="{0000000D-5393-454B-89F1-C28722E2DD77}"/>
            </c:ext>
          </c:extLst>
        </c:ser>
        <c:dLbls>
          <c:showLegendKey val="0"/>
          <c:showVal val="1"/>
          <c:showCatName val="0"/>
          <c:showSerName val="0"/>
          <c:showPercent val="0"/>
          <c:showBubbleSize val="0"/>
        </c:dLbls>
        <c:marker val="1"/>
        <c:smooth val="0"/>
        <c:axId val="221248512"/>
        <c:axId val="221139712"/>
      </c:lineChart>
      <c:catAx>
        <c:axId val="221248512"/>
        <c:scaling>
          <c:orientation val="minMax"/>
        </c:scaling>
        <c:delete val="0"/>
        <c:axPos val="b"/>
        <c:numFmt formatCode="General" sourceLinked="0"/>
        <c:majorTickMark val="out"/>
        <c:minorTickMark val="none"/>
        <c:tickLblPos val="nextTo"/>
        <c:crossAx val="221139712"/>
        <c:crosses val="autoZero"/>
        <c:auto val="1"/>
        <c:lblAlgn val="ctr"/>
        <c:lblOffset val="100"/>
        <c:noMultiLvlLbl val="0"/>
      </c:catAx>
      <c:valAx>
        <c:axId val="221139712"/>
        <c:scaling>
          <c:orientation val="minMax"/>
          <c:max val="1"/>
          <c:min val="0.5"/>
        </c:scaling>
        <c:delete val="0"/>
        <c:axPos val="l"/>
        <c:numFmt formatCode="General" sourceLinked="1"/>
        <c:majorTickMark val="out"/>
        <c:minorTickMark val="none"/>
        <c:tickLblPos val="nextTo"/>
        <c:crossAx val="221248512"/>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200">
                <a:latin typeface="Times New Roman" pitchFamily="18" charset="0"/>
                <a:cs typeface="Times New Roman" pitchFamily="18" charset="0"/>
              </a:defRPr>
            </a:pPr>
            <a:r>
              <a:rPr lang="en-US" sz="1200">
                <a:latin typeface="Times New Roman" pitchFamily="18" charset="0"/>
                <a:cs typeface="Times New Roman" pitchFamily="18" charset="0"/>
              </a:rPr>
              <a:t>Circumflex Artery - FFR</a:t>
            </a:r>
          </a:p>
        </c:rich>
      </c:tx>
      <c:overlay val="1"/>
    </c:title>
    <c:autoTitleDeleted val="0"/>
    <c:plotArea>
      <c:layout>
        <c:manualLayout>
          <c:layoutTarget val="inner"/>
          <c:xMode val="edge"/>
          <c:yMode val="edge"/>
          <c:x val="0.10663048474872849"/>
          <c:y val="9.4641631334544715E-2"/>
          <c:w val="0.84339768969556772"/>
          <c:h val="0.77471845605101308"/>
        </c:manualLayout>
      </c:layout>
      <c:lineChart>
        <c:grouping val="standard"/>
        <c:varyColors val="0"/>
        <c:ser>
          <c:idx val="0"/>
          <c:order val="0"/>
          <c:tx>
            <c:strRef>
              <c:f>Sheet1!$B$1</c:f>
              <c:strCache>
                <c:ptCount val="1"/>
                <c:pt idx="0">
                  <c:v>Case 2</c:v>
                </c:pt>
              </c:strCache>
            </c:strRef>
          </c:tx>
          <c:spPr>
            <a:ln>
              <a:solidFill>
                <a:schemeClr val="tx1"/>
              </a:solidFill>
            </a:ln>
          </c:spPr>
          <c:marker>
            <c:spPr>
              <a:solidFill>
                <a:schemeClr val="tx1"/>
              </a:solidFill>
              <a:ln>
                <a:solidFill>
                  <a:schemeClr val="tx1"/>
                </a:solidFill>
              </a:ln>
            </c:spPr>
          </c:marker>
          <c:dLbls>
            <c:dLbl>
              <c:idx val="2"/>
              <c:layout>
                <c:manualLayout>
                  <c:x val="6.2146892655367263E-2"/>
                  <c:y val="-5.2596975673898814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64-49C1-ADAD-6ED554F51C1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Sheet1!$B$2:$B$5</c:f>
              <c:numCache>
                <c:formatCode>General</c:formatCode>
                <c:ptCount val="4"/>
                <c:pt idx="1">
                  <c:v>0.79</c:v>
                </c:pt>
                <c:pt idx="2">
                  <c:v>0.86000000000000065</c:v>
                </c:pt>
              </c:numCache>
            </c:numRef>
          </c:val>
          <c:smooth val="0"/>
          <c:extLst>
            <c:ext xmlns:c16="http://schemas.microsoft.com/office/drawing/2014/chart" uri="{C3380CC4-5D6E-409C-BE32-E72D297353CC}">
              <c16:uniqueId val="{00000000-D834-5E49-B558-09B545BD0AA5}"/>
            </c:ext>
          </c:extLst>
        </c:ser>
        <c:ser>
          <c:idx val="1"/>
          <c:order val="1"/>
          <c:tx>
            <c:strRef>
              <c:f>Sheet1!$C$1</c:f>
              <c:strCache>
                <c:ptCount val="1"/>
                <c:pt idx="0">
                  <c:v>Case 3</c:v>
                </c:pt>
              </c:strCache>
            </c:strRef>
          </c:tx>
          <c:spPr>
            <a:ln>
              <a:solidFill>
                <a:schemeClr val="tx1"/>
              </a:solidFill>
            </a:ln>
          </c:spPr>
          <c:marker>
            <c:spPr>
              <a:solidFill>
                <a:schemeClr val="tx1"/>
              </a:solidFill>
              <a:ln>
                <a:solidFill>
                  <a:schemeClr val="tx1"/>
                </a:solidFill>
              </a:ln>
            </c:spPr>
          </c:marker>
          <c:dLbls>
            <c:dLbl>
              <c:idx val="2"/>
              <c:layout>
                <c:manualLayout>
                  <c:x val="6.4030131826743483E-2"/>
                  <c:y val="-4.8213337403155067E-17"/>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64-49C1-ADAD-6ED554F51C1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Sheet1!$C$2:$C$5</c:f>
              <c:numCache>
                <c:formatCode>General</c:formatCode>
                <c:ptCount val="4"/>
                <c:pt idx="1">
                  <c:v>0.85000000000000064</c:v>
                </c:pt>
                <c:pt idx="2">
                  <c:v>0.84000000000000064</c:v>
                </c:pt>
              </c:numCache>
            </c:numRef>
          </c:val>
          <c:smooth val="0"/>
          <c:extLst>
            <c:ext xmlns:c16="http://schemas.microsoft.com/office/drawing/2014/chart" uri="{C3380CC4-5D6E-409C-BE32-E72D297353CC}">
              <c16:uniqueId val="{00000001-D834-5E49-B558-09B545BD0AA5}"/>
            </c:ext>
          </c:extLst>
        </c:ser>
        <c:ser>
          <c:idx val="2"/>
          <c:order val="2"/>
          <c:tx>
            <c:strRef>
              <c:f>Sheet1!$D$1</c:f>
              <c:strCache>
                <c:ptCount val="1"/>
                <c:pt idx="0">
                  <c:v> Case 6</c:v>
                </c:pt>
              </c:strCache>
            </c:strRef>
          </c:tx>
          <c:spPr>
            <a:ln>
              <a:solidFill>
                <a:schemeClr val="tx1"/>
              </a:solidFill>
            </a:ln>
          </c:spPr>
          <c:marker>
            <c:spPr>
              <a:solidFill>
                <a:schemeClr val="tx1"/>
              </a:solidFill>
              <a:ln>
                <a:solidFill>
                  <a:schemeClr val="tx1"/>
                </a:solidFill>
              </a:ln>
            </c:spPr>
          </c:marker>
          <c:dLbls>
            <c:dLbl>
              <c:idx val="2"/>
              <c:delete val="1"/>
              <c:extLst>
                <c:ext xmlns:c15="http://schemas.microsoft.com/office/drawing/2012/chart" uri="{CE6537A1-D6FC-4f65-9D91-7224C49458BB}"/>
                <c:ext xmlns:c16="http://schemas.microsoft.com/office/drawing/2014/chart" uri="{C3380CC4-5D6E-409C-BE32-E72D297353CC}">
                  <c16:uniqueId val="{00000002-9D64-49C1-ADAD-6ED554F51C1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Sheet1!$D$2:$D$5</c:f>
              <c:numCache>
                <c:formatCode>General</c:formatCode>
                <c:ptCount val="4"/>
                <c:pt idx="1">
                  <c:v>0.87000000000000799</c:v>
                </c:pt>
                <c:pt idx="2">
                  <c:v>0.91</c:v>
                </c:pt>
              </c:numCache>
            </c:numRef>
          </c:val>
          <c:smooth val="0"/>
          <c:extLst>
            <c:ext xmlns:c16="http://schemas.microsoft.com/office/drawing/2014/chart" uri="{C3380CC4-5D6E-409C-BE32-E72D297353CC}">
              <c16:uniqueId val="{00000002-D834-5E49-B558-09B545BD0AA5}"/>
            </c:ext>
          </c:extLst>
        </c:ser>
        <c:ser>
          <c:idx val="3"/>
          <c:order val="3"/>
          <c:tx>
            <c:strRef>
              <c:f>Sheet1!$E$1</c:f>
              <c:strCache>
                <c:ptCount val="1"/>
                <c:pt idx="0">
                  <c:v>Case 8</c:v>
                </c:pt>
              </c:strCache>
            </c:strRef>
          </c:tx>
          <c:spPr>
            <a:ln>
              <a:solidFill>
                <a:schemeClr val="tx1"/>
              </a:solidFill>
            </a:ln>
          </c:spPr>
          <c:marker>
            <c:spPr>
              <a:solidFill>
                <a:schemeClr val="tx1"/>
              </a:solidFill>
              <a:ln>
                <a:solidFill>
                  <a:schemeClr val="tx1"/>
                </a:solidFill>
              </a:ln>
            </c:spPr>
          </c:marker>
          <c:dLbls>
            <c:dLbl>
              <c:idx val="2"/>
              <c:layout>
                <c:manualLayout>
                  <c:x val="6.5913370998117032E-2"/>
                  <c:y val="-2.6298487836949381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64-49C1-ADAD-6ED554F51C1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Sheet1!$E$2:$E$5</c:f>
              <c:numCache>
                <c:formatCode>General</c:formatCode>
                <c:ptCount val="4"/>
                <c:pt idx="1">
                  <c:v>0.86000000000000065</c:v>
                </c:pt>
                <c:pt idx="2">
                  <c:v>0.91</c:v>
                </c:pt>
              </c:numCache>
            </c:numRef>
          </c:val>
          <c:smooth val="0"/>
          <c:extLst>
            <c:ext xmlns:c16="http://schemas.microsoft.com/office/drawing/2014/chart" uri="{C3380CC4-5D6E-409C-BE32-E72D297353CC}">
              <c16:uniqueId val="{00000003-D834-5E49-B558-09B545BD0AA5}"/>
            </c:ext>
          </c:extLst>
        </c:ser>
        <c:ser>
          <c:idx val="4"/>
          <c:order val="4"/>
          <c:tx>
            <c:strRef>
              <c:f>Sheet1!$F$1</c:f>
              <c:strCache>
                <c:ptCount val="1"/>
                <c:pt idx="0">
                  <c:v>Case 21</c:v>
                </c:pt>
              </c:strCache>
            </c:strRef>
          </c:tx>
          <c:spPr>
            <a:ln>
              <a:solidFill>
                <a:schemeClr val="tx1"/>
              </a:solidFill>
            </a:ln>
          </c:spPr>
          <c:marker>
            <c:spPr>
              <a:solidFill>
                <a:schemeClr val="tx1"/>
              </a:solidFill>
              <a:ln>
                <a:solidFill>
                  <a:schemeClr val="tx1"/>
                </a:solidFill>
              </a:ln>
            </c:spPr>
          </c:marker>
          <c:dLbls>
            <c:dLbl>
              <c:idx val="2"/>
              <c:layout>
                <c:manualLayout>
                  <c:x val="6.2146892655367263E-2"/>
                  <c:y val="7.889546351084903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64-49C1-ADAD-6ED554F51C1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Sheet1!$F$2:$F$5</c:f>
              <c:numCache>
                <c:formatCode>General</c:formatCode>
                <c:ptCount val="4"/>
                <c:pt idx="1">
                  <c:v>0.77000000000000901</c:v>
                </c:pt>
                <c:pt idx="2">
                  <c:v>0.83000000000000063</c:v>
                </c:pt>
              </c:numCache>
            </c:numRef>
          </c:val>
          <c:smooth val="0"/>
          <c:extLst>
            <c:ext xmlns:c16="http://schemas.microsoft.com/office/drawing/2014/chart" uri="{C3380CC4-5D6E-409C-BE32-E72D297353CC}">
              <c16:uniqueId val="{00000004-D834-5E49-B558-09B545BD0AA5}"/>
            </c:ext>
          </c:extLst>
        </c:ser>
        <c:ser>
          <c:idx val="5"/>
          <c:order val="5"/>
          <c:tx>
            <c:strRef>
              <c:f>Sheet1!$G$1</c:f>
              <c:strCache>
                <c:ptCount val="1"/>
                <c:pt idx="0">
                  <c:v>Case 22</c:v>
                </c:pt>
              </c:strCache>
            </c:strRef>
          </c:tx>
          <c:spPr>
            <a:ln>
              <a:solidFill>
                <a:schemeClr val="tx1"/>
              </a:solidFill>
            </a:ln>
          </c:spPr>
          <c:marker>
            <c:spPr>
              <a:solidFill>
                <a:schemeClr val="tx1"/>
              </a:solidFill>
              <a:ln>
                <a:solidFill>
                  <a:schemeClr val="tx1"/>
                </a:solidFill>
              </a:ln>
            </c:spPr>
          </c:marker>
          <c:dLbls>
            <c:dLbl>
              <c:idx val="2"/>
              <c:layout>
                <c:manualLayout>
                  <c:x val="6.2146892655367263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D64-49C1-ADAD-6ED554F51C1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Sheet1!$G$2:$G$5</c:f>
              <c:numCache>
                <c:formatCode>General</c:formatCode>
                <c:ptCount val="4"/>
                <c:pt idx="1">
                  <c:v>0.73000000000000065</c:v>
                </c:pt>
                <c:pt idx="2">
                  <c:v>0.760000000000009</c:v>
                </c:pt>
              </c:numCache>
            </c:numRef>
          </c:val>
          <c:smooth val="0"/>
          <c:extLst>
            <c:ext xmlns:c16="http://schemas.microsoft.com/office/drawing/2014/chart" uri="{C3380CC4-5D6E-409C-BE32-E72D297353CC}">
              <c16:uniqueId val="{00000005-D834-5E49-B558-09B545BD0AA5}"/>
            </c:ext>
          </c:extLst>
        </c:ser>
        <c:ser>
          <c:idx val="6"/>
          <c:order val="6"/>
          <c:tx>
            <c:strRef>
              <c:f>Sheet1!$H$1</c:f>
              <c:strCache>
                <c:ptCount val="1"/>
                <c:pt idx="0">
                  <c:v>Case 23</c:v>
                </c:pt>
              </c:strCache>
            </c:strRef>
          </c:tx>
          <c:spPr>
            <a:ln>
              <a:solidFill>
                <a:schemeClr val="tx1"/>
              </a:solidFill>
            </a:ln>
          </c:spPr>
          <c:marker>
            <c:spPr>
              <a:solidFill>
                <a:schemeClr val="tx1"/>
              </a:solidFill>
              <a:ln>
                <a:solidFill>
                  <a:schemeClr val="tx1"/>
                </a:solidFill>
              </a:ln>
            </c:spPr>
          </c:marker>
          <c:dLbls>
            <c:dLbl>
              <c:idx val="2"/>
              <c:layout>
                <c:manualLayout>
                  <c:x val="6.2146892655367263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64-49C1-ADAD-6ED554F51C1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Sheet1!$H$2:$H$5</c:f>
              <c:numCache>
                <c:formatCode>General</c:formatCode>
                <c:ptCount val="4"/>
                <c:pt idx="1">
                  <c:v>0.9</c:v>
                </c:pt>
                <c:pt idx="2">
                  <c:v>0.96000000000000063</c:v>
                </c:pt>
              </c:numCache>
            </c:numRef>
          </c:val>
          <c:smooth val="0"/>
          <c:extLst>
            <c:ext xmlns:c16="http://schemas.microsoft.com/office/drawing/2014/chart" uri="{C3380CC4-5D6E-409C-BE32-E72D297353CC}">
              <c16:uniqueId val="{00000006-D834-5E49-B558-09B545BD0AA5}"/>
            </c:ext>
          </c:extLst>
        </c:ser>
        <c:ser>
          <c:idx val="7"/>
          <c:order val="7"/>
          <c:tx>
            <c:strRef>
              <c:f>Sheet1!$I$1</c:f>
              <c:strCache>
                <c:ptCount val="1"/>
                <c:pt idx="0">
                  <c:v>Averag</c:v>
                </c:pt>
              </c:strCache>
            </c:strRef>
          </c:tx>
          <c:spPr>
            <a:ln>
              <a:noFill/>
            </a:ln>
          </c:spPr>
          <c:marker>
            <c:symbol val="circle"/>
            <c:size val="10"/>
            <c:spPr>
              <a:solidFill>
                <a:srgbClr val="FF0000"/>
              </a:solidFill>
            </c:spPr>
          </c:marker>
          <c:dLbls>
            <c:dLbl>
              <c:idx val="0"/>
              <c:layout>
                <c:manualLayout>
                  <c:x val="7.1563088512241094E-2"/>
                  <c:y val="-0.14727153188691691"/>
                </c:manualLayout>
              </c:layout>
              <c:tx>
                <c:rich>
                  <a:bodyPr/>
                  <a:lstStyle/>
                  <a:p>
                    <a:r>
                      <a:rPr lang="en-US" sz="1200" b="1">
                        <a:solidFill>
                          <a:srgbClr val="FF0000"/>
                        </a:solidFill>
                        <a:latin typeface="Times New Roman" pitchFamily="18" charset="0"/>
                        <a:cs typeface="Times New Roman" pitchFamily="18" charset="0"/>
                      </a:rPr>
                      <a:t>0.82 +/- 0.06</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9D64-49C1-ADAD-6ED554F51C1F}"/>
                </c:ext>
              </c:extLst>
            </c:dLbl>
            <c:dLbl>
              <c:idx val="3"/>
              <c:layout>
                <c:manualLayout>
                  <c:x val="6.7796610169492996E-2"/>
                  <c:y val="-0.17357001972386588"/>
                </c:manualLayout>
              </c:layout>
              <c:tx>
                <c:rich>
                  <a:bodyPr/>
                  <a:lstStyle/>
                  <a:p>
                    <a:r>
                      <a:rPr lang="en-US" sz="1200" b="1">
                        <a:solidFill>
                          <a:srgbClr val="FF0000"/>
                        </a:solidFill>
                        <a:latin typeface="Times New Roman" pitchFamily="18" charset="0"/>
                        <a:cs typeface="Times New Roman" pitchFamily="18" charset="0"/>
                      </a:rPr>
                      <a:t>0.87 +/-0.07</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D64-49C1-ADAD-6ED554F51C1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Sheet1!$K$2:$K$5</c:f>
                <c:numCache>
                  <c:formatCode>General</c:formatCode>
                  <c:ptCount val="4"/>
                  <c:pt idx="0">
                    <c:v>6.0000000000000032E-2</c:v>
                  </c:pt>
                  <c:pt idx="3">
                    <c:v>7.0000000000000021E-2</c:v>
                  </c:pt>
                </c:numCache>
              </c:numRef>
            </c:plus>
            <c:minus>
              <c:numRef>
                <c:f>Sheet1!$K$2:$K$5</c:f>
                <c:numCache>
                  <c:formatCode>General</c:formatCode>
                  <c:ptCount val="4"/>
                  <c:pt idx="0">
                    <c:v>6.0000000000000032E-2</c:v>
                  </c:pt>
                  <c:pt idx="3">
                    <c:v>7.0000000000000021E-2</c:v>
                  </c:pt>
                </c:numCache>
              </c:numRef>
            </c:minus>
            <c:spPr>
              <a:ln w="15875">
                <a:solidFill>
                  <a:srgbClr val="FF0000"/>
                </a:solidFill>
              </a:ln>
            </c:spPr>
          </c:errBars>
          <c:cat>
            <c:strRef>
              <c:f>Sheet1!$A$2:$A$5</c:f>
              <c:strCache>
                <c:ptCount val="3"/>
                <c:pt idx="1">
                  <c:v>Prone</c:v>
                </c:pt>
                <c:pt idx="2">
                  <c:v>Supine</c:v>
                </c:pt>
              </c:strCache>
            </c:strRef>
          </c:cat>
          <c:val>
            <c:numRef>
              <c:f>Sheet1!$I$2:$I$5</c:f>
              <c:numCache>
                <c:formatCode>General</c:formatCode>
                <c:ptCount val="4"/>
                <c:pt idx="0">
                  <c:v>0.82000000000000062</c:v>
                </c:pt>
                <c:pt idx="3">
                  <c:v>0.87000000000000799</c:v>
                </c:pt>
              </c:numCache>
            </c:numRef>
          </c:val>
          <c:smooth val="0"/>
          <c:extLst>
            <c:ext xmlns:c16="http://schemas.microsoft.com/office/drawing/2014/chart" uri="{C3380CC4-5D6E-409C-BE32-E72D297353CC}">
              <c16:uniqueId val="{0000000A-9D64-49C1-ADAD-6ED554F51C1F}"/>
            </c:ext>
          </c:extLst>
        </c:ser>
        <c:dLbls>
          <c:showLegendKey val="0"/>
          <c:showVal val="1"/>
          <c:showCatName val="0"/>
          <c:showSerName val="0"/>
          <c:showPercent val="0"/>
          <c:showBubbleSize val="0"/>
        </c:dLbls>
        <c:marker val="1"/>
        <c:smooth val="0"/>
        <c:axId val="221316224"/>
        <c:axId val="221317760"/>
      </c:lineChart>
      <c:catAx>
        <c:axId val="221316224"/>
        <c:scaling>
          <c:orientation val="minMax"/>
        </c:scaling>
        <c:delete val="0"/>
        <c:axPos val="b"/>
        <c:numFmt formatCode="General" sourceLinked="0"/>
        <c:majorTickMark val="out"/>
        <c:minorTickMark val="none"/>
        <c:tickLblPos val="nextTo"/>
        <c:crossAx val="221317760"/>
        <c:crosses val="autoZero"/>
        <c:auto val="1"/>
        <c:lblAlgn val="ctr"/>
        <c:lblOffset val="100"/>
        <c:noMultiLvlLbl val="0"/>
      </c:catAx>
      <c:valAx>
        <c:axId val="221317760"/>
        <c:scaling>
          <c:orientation val="minMax"/>
          <c:max val="1"/>
          <c:min val="0.60000000000000064"/>
        </c:scaling>
        <c:delete val="0"/>
        <c:axPos val="l"/>
        <c:numFmt formatCode="General" sourceLinked="1"/>
        <c:majorTickMark val="out"/>
        <c:minorTickMark val="none"/>
        <c:tickLblPos val="nextTo"/>
        <c:crossAx val="221316224"/>
        <c:crosses val="autoZero"/>
        <c:crossBetween val="between"/>
      </c:valAx>
    </c:plotArea>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100">
                <a:latin typeface="Times New Roman" pitchFamily="18" charset="0"/>
                <a:cs typeface="Times New Roman" pitchFamily="18" charset="0"/>
              </a:defRPr>
            </a:pPr>
            <a:r>
              <a:rPr lang="en-US" sz="1100">
                <a:latin typeface="Times New Roman" pitchFamily="18" charset="0"/>
                <a:cs typeface="Times New Roman" pitchFamily="18" charset="0"/>
              </a:rPr>
              <a:t>Right Coronary Artery - FFR</a:t>
            </a:r>
          </a:p>
        </c:rich>
      </c:tx>
      <c:overlay val="1"/>
    </c:title>
    <c:autoTitleDeleted val="0"/>
    <c:plotArea>
      <c:layout>
        <c:manualLayout>
          <c:layoutTarget val="inner"/>
          <c:xMode val="edge"/>
          <c:yMode val="edge"/>
          <c:x val="0.12329609961545512"/>
          <c:y val="0.16803215774498775"/>
          <c:w val="0.83109335896966352"/>
          <c:h val="0.69281986810472262"/>
        </c:manualLayout>
      </c:layout>
      <c:lineChart>
        <c:grouping val="standard"/>
        <c:varyColors val="0"/>
        <c:ser>
          <c:idx val="0"/>
          <c:order val="0"/>
          <c:tx>
            <c:strRef>
              <c:f>Sheet1!$B$1</c:f>
              <c:strCache>
                <c:ptCount val="1"/>
                <c:pt idx="0">
                  <c:v>Case 12</c:v>
                </c:pt>
              </c:strCache>
            </c:strRef>
          </c:tx>
          <c:spPr>
            <a:ln>
              <a:solidFill>
                <a:schemeClr val="tx1"/>
              </a:solidFill>
            </a:ln>
          </c:spPr>
          <c:marker>
            <c:spPr>
              <a:solidFill>
                <a:schemeClr val="tx1"/>
              </a:solidFill>
              <a:ln>
                <a:solidFill>
                  <a:schemeClr val="tx1"/>
                </a:solidFill>
              </a:ln>
            </c:spPr>
          </c:marker>
          <c:dLbls>
            <c:dLbl>
              <c:idx val="1"/>
              <c:layout>
                <c:manualLayout>
                  <c:x val="6.3953488372093026E-2"/>
                  <c:y val="2.5676640822899005E-17"/>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E03-4766-8E3E-D56AEEFD928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Sheet1!$B$2:$B$3</c:f>
              <c:numCache>
                <c:formatCode>General</c:formatCode>
                <c:ptCount val="2"/>
                <c:pt idx="0">
                  <c:v>0.89</c:v>
                </c:pt>
                <c:pt idx="1">
                  <c:v>0.91</c:v>
                </c:pt>
              </c:numCache>
            </c:numRef>
          </c:val>
          <c:smooth val="0"/>
          <c:extLst>
            <c:ext xmlns:c16="http://schemas.microsoft.com/office/drawing/2014/chart" uri="{C3380CC4-5D6E-409C-BE32-E72D297353CC}">
              <c16:uniqueId val="{00000000-BC9C-5E47-AC7D-DD9F4F95FD8F}"/>
            </c:ext>
          </c:extLst>
        </c:ser>
        <c:ser>
          <c:idx val="1"/>
          <c:order val="1"/>
          <c:tx>
            <c:strRef>
              <c:f>Sheet1!$C$1</c:f>
              <c:strCache>
                <c:ptCount val="1"/>
                <c:pt idx="0">
                  <c:v>Case 13</c:v>
                </c:pt>
              </c:strCache>
            </c:strRef>
          </c:tx>
          <c:spPr>
            <a:ln>
              <a:solidFill>
                <a:schemeClr val="tx1"/>
              </a:solidFill>
            </a:ln>
          </c:spPr>
          <c:marker>
            <c:spPr>
              <a:solidFill>
                <a:schemeClr val="tx1"/>
              </a:solidFill>
              <a:ln>
                <a:solidFill>
                  <a:schemeClr val="tx1"/>
                </a:solidFill>
              </a:ln>
            </c:spPr>
          </c:marker>
          <c:dLbls>
            <c:dLbl>
              <c:idx val="1"/>
              <c:layout>
                <c:manualLayout>
                  <c:x val="6.3953488372093026E-2"/>
                  <c:y val="-2.801120448179285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E03-4766-8E3E-D56AEEFD928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Sheet1!$C$2:$C$3</c:f>
              <c:numCache>
                <c:formatCode>General</c:formatCode>
                <c:ptCount val="2"/>
                <c:pt idx="0">
                  <c:v>0.74000000000000365</c:v>
                </c:pt>
                <c:pt idx="1">
                  <c:v>0.8</c:v>
                </c:pt>
              </c:numCache>
            </c:numRef>
          </c:val>
          <c:smooth val="0"/>
          <c:extLst>
            <c:ext xmlns:c16="http://schemas.microsoft.com/office/drawing/2014/chart" uri="{C3380CC4-5D6E-409C-BE32-E72D297353CC}">
              <c16:uniqueId val="{00000001-BC9C-5E47-AC7D-DD9F4F95FD8F}"/>
            </c:ext>
          </c:extLst>
        </c:ser>
        <c:ser>
          <c:idx val="2"/>
          <c:order val="2"/>
          <c:tx>
            <c:strRef>
              <c:f>Sheet1!$D$1</c:f>
              <c:strCache>
                <c:ptCount val="1"/>
                <c:pt idx="0">
                  <c:v>Case 19</c:v>
                </c:pt>
              </c:strCache>
            </c:strRef>
          </c:tx>
          <c:spPr>
            <a:ln>
              <a:solidFill>
                <a:schemeClr val="tx1"/>
              </a:solidFill>
            </a:ln>
          </c:spPr>
          <c:marker>
            <c:spPr>
              <a:solidFill>
                <a:schemeClr val="tx1"/>
              </a:solidFill>
              <a:ln>
                <a:solidFill>
                  <a:schemeClr val="tx1"/>
                </a:solidFill>
              </a:ln>
            </c:spPr>
          </c:marker>
          <c:dLbls>
            <c:dLbl>
              <c:idx val="1"/>
              <c:layout>
                <c:manualLayout>
                  <c:x val="6.2015503875968991E-2"/>
                  <c:y val="5.1353281645798232E-17"/>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03-4766-8E3E-D56AEEFD928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Sheet1!$D$2:$D$3</c:f>
              <c:numCache>
                <c:formatCode>General</c:formatCode>
                <c:ptCount val="2"/>
                <c:pt idx="0">
                  <c:v>0.73000000000000065</c:v>
                </c:pt>
                <c:pt idx="1">
                  <c:v>0.77000000000000879</c:v>
                </c:pt>
              </c:numCache>
            </c:numRef>
          </c:val>
          <c:smooth val="0"/>
          <c:extLst>
            <c:ext xmlns:c16="http://schemas.microsoft.com/office/drawing/2014/chart" uri="{C3380CC4-5D6E-409C-BE32-E72D297353CC}">
              <c16:uniqueId val="{00000002-BC9C-5E47-AC7D-DD9F4F95FD8F}"/>
            </c:ext>
          </c:extLst>
        </c:ser>
        <c:ser>
          <c:idx val="3"/>
          <c:order val="3"/>
          <c:tx>
            <c:strRef>
              <c:f>Sheet1!$E$1</c:f>
              <c:strCache>
                <c:ptCount val="1"/>
                <c:pt idx="0">
                  <c:v>Case 20</c:v>
                </c:pt>
              </c:strCache>
            </c:strRef>
          </c:tx>
          <c:dLbls>
            <c:dLbl>
              <c:idx val="1"/>
              <c:layout>
                <c:manualLayout>
                  <c:x val="5.813953488372172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E03-4766-8E3E-D56AEEFD928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Sheet1!$E$2:$E$3</c:f>
              <c:numCache>
                <c:formatCode>General</c:formatCode>
                <c:ptCount val="2"/>
                <c:pt idx="0">
                  <c:v>0.68</c:v>
                </c:pt>
                <c:pt idx="1">
                  <c:v>0.70000000000000062</c:v>
                </c:pt>
              </c:numCache>
            </c:numRef>
          </c:val>
          <c:smooth val="0"/>
          <c:extLst>
            <c:ext xmlns:c16="http://schemas.microsoft.com/office/drawing/2014/chart" uri="{C3380CC4-5D6E-409C-BE32-E72D297353CC}">
              <c16:uniqueId val="{00000003-BC9C-5E47-AC7D-DD9F4F95FD8F}"/>
            </c:ext>
          </c:extLst>
        </c:ser>
        <c:ser>
          <c:idx val="4"/>
          <c:order val="4"/>
          <c:tx>
            <c:strRef>
              <c:f>Sheet1!$F$1</c:f>
              <c:strCache>
                <c:ptCount val="1"/>
                <c:pt idx="0">
                  <c:v>Case 5</c:v>
                </c:pt>
              </c:strCache>
            </c:strRef>
          </c:tx>
          <c:spPr>
            <a:ln>
              <a:solidFill>
                <a:srgbClr val="00B050"/>
              </a:solidFill>
            </a:ln>
          </c:spPr>
          <c:marker>
            <c:symbol val="circle"/>
            <c:size val="7"/>
            <c:spPr>
              <a:solidFill>
                <a:srgbClr val="00B050"/>
              </a:solidFill>
            </c:spPr>
          </c:marker>
          <c:dLbls>
            <c:dLbl>
              <c:idx val="1"/>
              <c:layout>
                <c:manualLayout>
                  <c:x val="6.3953488372093026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E03-4766-8E3E-D56AEEFD928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Sheet1!$F$2:$F$3</c:f>
              <c:numCache>
                <c:formatCode>General</c:formatCode>
                <c:ptCount val="2"/>
                <c:pt idx="0">
                  <c:v>0.68</c:v>
                </c:pt>
                <c:pt idx="1">
                  <c:v>0.62000000000000777</c:v>
                </c:pt>
              </c:numCache>
            </c:numRef>
          </c:val>
          <c:smooth val="0"/>
          <c:extLst>
            <c:ext xmlns:c16="http://schemas.microsoft.com/office/drawing/2014/chart" uri="{C3380CC4-5D6E-409C-BE32-E72D297353CC}">
              <c16:uniqueId val="{00000005-8E03-4766-8E3E-D56AEEFD928A}"/>
            </c:ext>
          </c:extLst>
        </c:ser>
        <c:ser>
          <c:idx val="5"/>
          <c:order val="5"/>
          <c:tx>
            <c:strRef>
              <c:f>Sheet1!$G$1</c:f>
              <c:strCache>
                <c:ptCount val="1"/>
                <c:pt idx="0">
                  <c:v>PDA</c:v>
                </c:pt>
              </c:strCache>
            </c:strRef>
          </c:tx>
          <c:spPr>
            <a:ln>
              <a:solidFill>
                <a:srgbClr val="00B050"/>
              </a:solidFill>
            </a:ln>
          </c:spPr>
          <c:marker>
            <c:symbol val="circle"/>
            <c:size val="7"/>
            <c:spPr>
              <a:solidFill>
                <a:srgbClr val="00B050"/>
              </a:solidFill>
            </c:spPr>
          </c:marker>
          <c:dLbls>
            <c:dLbl>
              <c:idx val="1"/>
              <c:layout>
                <c:manualLayout>
                  <c:x val="6.3953488372093026E-2"/>
                  <c:y val="-2.801120448179285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E03-4766-8E3E-D56AEEFD928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Sheet1!$G$2:$G$3</c:f>
              <c:numCache>
                <c:formatCode>General</c:formatCode>
                <c:ptCount val="2"/>
                <c:pt idx="0">
                  <c:v>0.82000000000000062</c:v>
                </c:pt>
                <c:pt idx="1">
                  <c:v>0.75000000000000788</c:v>
                </c:pt>
              </c:numCache>
            </c:numRef>
          </c:val>
          <c:smooth val="0"/>
          <c:extLst>
            <c:ext xmlns:c16="http://schemas.microsoft.com/office/drawing/2014/chart" uri="{C3380CC4-5D6E-409C-BE32-E72D297353CC}">
              <c16:uniqueId val="{00000007-8E03-4766-8E3E-D56AEEFD928A}"/>
            </c:ext>
          </c:extLst>
        </c:ser>
        <c:dLbls>
          <c:showLegendKey val="0"/>
          <c:showVal val="0"/>
          <c:showCatName val="0"/>
          <c:showSerName val="0"/>
          <c:showPercent val="0"/>
          <c:showBubbleSize val="0"/>
        </c:dLbls>
        <c:marker val="1"/>
        <c:smooth val="0"/>
        <c:axId val="221459968"/>
        <c:axId val="221461504"/>
      </c:lineChart>
      <c:catAx>
        <c:axId val="221459968"/>
        <c:scaling>
          <c:orientation val="minMax"/>
        </c:scaling>
        <c:delete val="0"/>
        <c:axPos val="b"/>
        <c:numFmt formatCode="General" sourceLinked="0"/>
        <c:majorTickMark val="out"/>
        <c:minorTickMark val="none"/>
        <c:tickLblPos val="nextTo"/>
        <c:crossAx val="221461504"/>
        <c:crosses val="autoZero"/>
        <c:auto val="1"/>
        <c:lblAlgn val="ctr"/>
        <c:lblOffset val="100"/>
        <c:noMultiLvlLbl val="0"/>
      </c:catAx>
      <c:valAx>
        <c:axId val="221461504"/>
        <c:scaling>
          <c:orientation val="minMax"/>
          <c:min val="0.55000000000000004"/>
        </c:scaling>
        <c:delete val="0"/>
        <c:axPos val="l"/>
        <c:numFmt formatCode="General" sourceLinked="1"/>
        <c:majorTickMark val="out"/>
        <c:minorTickMark val="none"/>
        <c:tickLblPos val="nextTo"/>
        <c:crossAx val="221459968"/>
        <c:crosses val="autoZero"/>
        <c:crossBetween val="between"/>
      </c:valAx>
    </c:plotArea>
    <c:legend>
      <c:legendPos val="r"/>
      <c:legendEntry>
        <c:idx val="0"/>
        <c:delete val="1"/>
      </c:legendEntry>
      <c:legendEntry>
        <c:idx val="1"/>
        <c:delete val="1"/>
      </c:legendEntry>
      <c:legendEntry>
        <c:idx val="2"/>
        <c:delete val="1"/>
      </c:legendEntry>
      <c:legendEntry>
        <c:idx val="3"/>
        <c:delete val="1"/>
      </c:legendEntry>
      <c:legendEntry>
        <c:idx val="4"/>
        <c:delete val="1"/>
      </c:legendEntry>
      <c:overlay val="0"/>
    </c:legend>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100">
                <a:latin typeface="Times New Roman" pitchFamily="18" charset="0"/>
                <a:cs typeface="Times New Roman" pitchFamily="18" charset="0"/>
              </a:defRPr>
            </a:pPr>
            <a:r>
              <a:rPr lang="en-US" sz="1100">
                <a:latin typeface="Times New Roman" pitchFamily="18" charset="0"/>
                <a:cs typeface="Times New Roman" pitchFamily="18" charset="0"/>
              </a:rPr>
              <a:t>Left Anterior Descending Artery - Clinical Measurement Point FFR</a:t>
            </a:r>
          </a:p>
        </c:rich>
      </c:tx>
      <c:overlay val="1"/>
    </c:title>
    <c:autoTitleDeleted val="0"/>
    <c:plotArea>
      <c:layout>
        <c:manualLayout>
          <c:layoutTarget val="inner"/>
          <c:xMode val="edge"/>
          <c:yMode val="edge"/>
          <c:x val="0.10504266033889702"/>
          <c:y val="0.11299053020343276"/>
          <c:w val="0.83199998392316366"/>
          <c:h val="0.75940729833702125"/>
        </c:manualLayout>
      </c:layout>
      <c:lineChart>
        <c:grouping val="standard"/>
        <c:varyColors val="0"/>
        <c:ser>
          <c:idx val="0"/>
          <c:order val="0"/>
          <c:tx>
            <c:strRef>
              <c:f>Sheet1!$B$1</c:f>
              <c:strCache>
                <c:ptCount val="1"/>
                <c:pt idx="0">
                  <c:v>Case 1</c:v>
                </c:pt>
              </c:strCache>
            </c:strRef>
          </c:tx>
          <c:spPr>
            <a:ln>
              <a:solidFill>
                <a:schemeClr val="tx1"/>
              </a:solidFill>
            </a:ln>
          </c:spPr>
          <c:marker>
            <c:spPr>
              <a:solidFill>
                <a:schemeClr val="tx1"/>
              </a:solidFill>
              <a:ln>
                <a:solidFill>
                  <a:schemeClr val="tx1"/>
                </a:solidFill>
              </a:ln>
            </c:spPr>
          </c:marker>
          <c:dLbls>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Sheet1!$B$2:$B$5</c:f>
              <c:numCache>
                <c:formatCode>General</c:formatCode>
                <c:ptCount val="4"/>
                <c:pt idx="1">
                  <c:v>1</c:v>
                </c:pt>
                <c:pt idx="2">
                  <c:v>0.93</c:v>
                </c:pt>
              </c:numCache>
            </c:numRef>
          </c:val>
          <c:smooth val="0"/>
          <c:extLst>
            <c:ext xmlns:c16="http://schemas.microsoft.com/office/drawing/2014/chart" uri="{C3380CC4-5D6E-409C-BE32-E72D297353CC}">
              <c16:uniqueId val="{00000000-CB10-9343-B578-3A523394EDFC}"/>
            </c:ext>
          </c:extLst>
        </c:ser>
        <c:ser>
          <c:idx val="1"/>
          <c:order val="1"/>
          <c:tx>
            <c:strRef>
              <c:f>Sheet1!$C$1</c:f>
              <c:strCache>
                <c:ptCount val="1"/>
                <c:pt idx="0">
                  <c:v>Case 10</c:v>
                </c:pt>
              </c:strCache>
            </c:strRef>
          </c:tx>
          <c:spPr>
            <a:ln>
              <a:solidFill>
                <a:schemeClr val="tx1"/>
              </a:solidFill>
            </a:ln>
          </c:spPr>
          <c:marker>
            <c:spPr>
              <a:solidFill>
                <a:schemeClr val="tx1"/>
              </a:solidFill>
              <a:ln>
                <a:solidFill>
                  <a:schemeClr val="tx1"/>
                </a:solidFill>
              </a:ln>
            </c:spPr>
          </c:marker>
          <c:dLbls>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Sheet1!$C$2:$C$5</c:f>
              <c:numCache>
                <c:formatCode>General</c:formatCode>
                <c:ptCount val="4"/>
                <c:pt idx="1">
                  <c:v>0.98</c:v>
                </c:pt>
                <c:pt idx="2">
                  <c:v>0.93</c:v>
                </c:pt>
              </c:numCache>
            </c:numRef>
          </c:val>
          <c:smooth val="0"/>
          <c:extLst>
            <c:ext xmlns:c16="http://schemas.microsoft.com/office/drawing/2014/chart" uri="{C3380CC4-5D6E-409C-BE32-E72D297353CC}">
              <c16:uniqueId val="{00000001-CB10-9343-B578-3A523394EDFC}"/>
            </c:ext>
          </c:extLst>
        </c:ser>
        <c:ser>
          <c:idx val="2"/>
          <c:order val="2"/>
          <c:tx>
            <c:strRef>
              <c:f>Sheet1!$D$1</c:f>
              <c:strCache>
                <c:ptCount val="1"/>
                <c:pt idx="0">
                  <c:v>Case 11</c:v>
                </c:pt>
              </c:strCache>
            </c:strRef>
          </c:tx>
          <c:spPr>
            <a:ln>
              <a:solidFill>
                <a:schemeClr val="tx1"/>
              </a:solidFill>
            </a:ln>
          </c:spPr>
          <c:marker>
            <c:spPr>
              <a:solidFill>
                <a:schemeClr val="tx1"/>
              </a:solidFill>
              <a:ln>
                <a:solidFill>
                  <a:schemeClr val="tx1"/>
                </a:solidFill>
              </a:ln>
            </c:spPr>
          </c:marker>
          <c:dLbls>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Sheet1!$D$2:$D$5</c:f>
              <c:numCache>
                <c:formatCode>General</c:formatCode>
                <c:ptCount val="4"/>
                <c:pt idx="1">
                  <c:v>0.95000000000000062</c:v>
                </c:pt>
                <c:pt idx="2">
                  <c:v>0.91</c:v>
                </c:pt>
              </c:numCache>
            </c:numRef>
          </c:val>
          <c:smooth val="0"/>
          <c:extLst>
            <c:ext xmlns:c16="http://schemas.microsoft.com/office/drawing/2014/chart" uri="{C3380CC4-5D6E-409C-BE32-E72D297353CC}">
              <c16:uniqueId val="{00000002-CB10-9343-B578-3A523394EDFC}"/>
            </c:ext>
          </c:extLst>
        </c:ser>
        <c:ser>
          <c:idx val="3"/>
          <c:order val="3"/>
          <c:tx>
            <c:strRef>
              <c:f>Sheet1!$E$1</c:f>
              <c:strCache>
                <c:ptCount val="1"/>
                <c:pt idx="0">
                  <c:v>Case 15</c:v>
                </c:pt>
              </c:strCache>
            </c:strRef>
          </c:tx>
          <c:spPr>
            <a:ln>
              <a:solidFill>
                <a:schemeClr val="tx1"/>
              </a:solidFill>
            </a:ln>
          </c:spPr>
          <c:marker>
            <c:spPr>
              <a:solidFill>
                <a:schemeClr val="tx1"/>
              </a:solidFill>
              <a:ln>
                <a:solidFill>
                  <a:schemeClr val="tx1"/>
                </a:solidFill>
              </a:ln>
            </c:spPr>
          </c:marker>
          <c:dLbls>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Sheet1!$E$2:$E$5</c:f>
              <c:numCache>
                <c:formatCode>General</c:formatCode>
                <c:ptCount val="4"/>
                <c:pt idx="1">
                  <c:v>0.89</c:v>
                </c:pt>
                <c:pt idx="2">
                  <c:v>0.86000000000000065</c:v>
                </c:pt>
              </c:numCache>
            </c:numRef>
          </c:val>
          <c:smooth val="0"/>
          <c:extLst>
            <c:ext xmlns:c16="http://schemas.microsoft.com/office/drawing/2014/chart" uri="{C3380CC4-5D6E-409C-BE32-E72D297353CC}">
              <c16:uniqueId val="{00000003-CB10-9343-B578-3A523394EDFC}"/>
            </c:ext>
          </c:extLst>
        </c:ser>
        <c:ser>
          <c:idx val="4"/>
          <c:order val="4"/>
          <c:tx>
            <c:strRef>
              <c:f>Sheet1!$F$1</c:f>
              <c:strCache>
                <c:ptCount val="1"/>
                <c:pt idx="0">
                  <c:v>Case 16</c:v>
                </c:pt>
              </c:strCache>
            </c:strRef>
          </c:tx>
          <c:spPr>
            <a:ln>
              <a:solidFill>
                <a:schemeClr val="tx1"/>
              </a:solidFill>
            </a:ln>
          </c:spPr>
          <c:marker>
            <c:spPr>
              <a:solidFill>
                <a:schemeClr val="tx1"/>
              </a:solidFill>
              <a:ln>
                <a:solidFill>
                  <a:schemeClr val="tx1"/>
                </a:solidFill>
              </a:ln>
            </c:spPr>
          </c:marker>
          <c:dLbls>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Sheet1!$F$2:$F$5</c:f>
              <c:numCache>
                <c:formatCode>General</c:formatCode>
                <c:ptCount val="4"/>
                <c:pt idx="1">
                  <c:v>0.97000000000000064</c:v>
                </c:pt>
                <c:pt idx="2">
                  <c:v>0.89</c:v>
                </c:pt>
              </c:numCache>
            </c:numRef>
          </c:val>
          <c:smooth val="0"/>
          <c:extLst>
            <c:ext xmlns:c16="http://schemas.microsoft.com/office/drawing/2014/chart" uri="{C3380CC4-5D6E-409C-BE32-E72D297353CC}">
              <c16:uniqueId val="{00000004-CB10-9343-B578-3A523394EDFC}"/>
            </c:ext>
          </c:extLst>
        </c:ser>
        <c:ser>
          <c:idx val="5"/>
          <c:order val="5"/>
          <c:tx>
            <c:strRef>
              <c:f>Sheet1!$G$1</c:f>
              <c:strCache>
                <c:ptCount val="1"/>
                <c:pt idx="0">
                  <c:v>Case 17</c:v>
                </c:pt>
              </c:strCache>
            </c:strRef>
          </c:tx>
          <c:spPr>
            <a:ln>
              <a:solidFill>
                <a:schemeClr val="tx1"/>
              </a:solidFill>
            </a:ln>
          </c:spPr>
          <c:marker>
            <c:spPr>
              <a:solidFill>
                <a:schemeClr val="tx1"/>
              </a:solidFill>
              <a:ln>
                <a:solidFill>
                  <a:schemeClr val="tx1"/>
                </a:solidFill>
              </a:ln>
            </c:spPr>
          </c:marker>
          <c:dLbls>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Sheet1!$G$2:$G$5</c:f>
              <c:numCache>
                <c:formatCode>General</c:formatCode>
                <c:ptCount val="4"/>
                <c:pt idx="1">
                  <c:v>0.66000000000001025</c:v>
                </c:pt>
                <c:pt idx="2">
                  <c:v>0.54</c:v>
                </c:pt>
              </c:numCache>
            </c:numRef>
          </c:val>
          <c:smooth val="0"/>
          <c:extLst>
            <c:ext xmlns:c16="http://schemas.microsoft.com/office/drawing/2014/chart" uri="{C3380CC4-5D6E-409C-BE32-E72D297353CC}">
              <c16:uniqueId val="{00000005-CB10-9343-B578-3A523394EDFC}"/>
            </c:ext>
          </c:extLst>
        </c:ser>
        <c:ser>
          <c:idx val="6"/>
          <c:order val="6"/>
          <c:tx>
            <c:strRef>
              <c:f>Sheet1!$H$1</c:f>
              <c:strCache>
                <c:ptCount val="1"/>
                <c:pt idx="0">
                  <c:v>Case 18</c:v>
                </c:pt>
              </c:strCache>
            </c:strRef>
          </c:tx>
          <c:spPr>
            <a:ln>
              <a:solidFill>
                <a:schemeClr val="tx1"/>
              </a:solidFill>
            </a:ln>
          </c:spPr>
          <c:marker>
            <c:spPr>
              <a:solidFill>
                <a:schemeClr val="tx1"/>
              </a:solidFill>
              <a:ln>
                <a:solidFill>
                  <a:schemeClr val="tx1"/>
                </a:solidFill>
              </a:ln>
            </c:spPr>
          </c:marker>
          <c:dLbls>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Sheet1!$H$2:$H$5</c:f>
              <c:numCache>
                <c:formatCode>General</c:formatCode>
                <c:ptCount val="4"/>
                <c:pt idx="1">
                  <c:v>0.92</c:v>
                </c:pt>
                <c:pt idx="2">
                  <c:v>0.89</c:v>
                </c:pt>
              </c:numCache>
            </c:numRef>
          </c:val>
          <c:smooth val="0"/>
          <c:extLst>
            <c:ext xmlns:c16="http://schemas.microsoft.com/office/drawing/2014/chart" uri="{C3380CC4-5D6E-409C-BE32-E72D297353CC}">
              <c16:uniqueId val="{00000006-CB10-9343-B578-3A523394EDFC}"/>
            </c:ext>
          </c:extLst>
        </c:ser>
        <c:ser>
          <c:idx val="7"/>
          <c:order val="7"/>
          <c:tx>
            <c:strRef>
              <c:f>Sheet1!$I$1</c:f>
              <c:strCache>
                <c:ptCount val="1"/>
                <c:pt idx="0">
                  <c:v>Average</c:v>
                </c:pt>
              </c:strCache>
            </c:strRef>
          </c:tx>
          <c:spPr>
            <a:ln>
              <a:solidFill>
                <a:srgbClr val="FF0000"/>
              </a:solidFill>
            </a:ln>
          </c:spPr>
          <c:marker>
            <c:symbol val="circle"/>
            <c:size val="10"/>
            <c:spPr>
              <a:solidFill>
                <a:srgbClr val="FF0000"/>
              </a:solidFill>
            </c:spPr>
          </c:marker>
          <c:dLbls>
            <c:dLbl>
              <c:idx val="0"/>
              <c:layout>
                <c:manualLayout>
                  <c:x val="7.4742975028784034E-2"/>
                  <c:y val="-0.18751491664880041"/>
                </c:manualLayout>
              </c:layout>
              <c:tx>
                <c:rich>
                  <a:bodyPr/>
                  <a:lstStyle/>
                  <a:p>
                    <a:r>
                      <a:rPr lang="en-US" sz="1200" b="1">
                        <a:solidFill>
                          <a:srgbClr val="FF0000"/>
                        </a:solidFill>
                        <a:latin typeface="Times New Roman" pitchFamily="18" charset="0"/>
                        <a:cs typeface="Times New Roman" pitchFamily="18" charset="0"/>
                      </a:rPr>
                      <a:t>0.91 +/- 0.12</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68C-4604-BD6F-900573CA369B}"/>
                </c:ext>
              </c:extLst>
            </c:dLbl>
            <c:dLbl>
              <c:idx val="3"/>
              <c:layout>
                <c:manualLayout>
                  <c:x val="7.8388973810677082E-2"/>
                  <c:y val="-0.21577058902053747"/>
                </c:manualLayout>
              </c:layout>
              <c:tx>
                <c:rich>
                  <a:bodyPr/>
                  <a:lstStyle/>
                  <a:p>
                    <a:r>
                      <a:rPr lang="en-US" sz="1200" b="1">
                        <a:solidFill>
                          <a:srgbClr val="FF0000"/>
                        </a:solidFill>
                        <a:latin typeface="Times New Roman" pitchFamily="18" charset="0"/>
                        <a:cs typeface="Times New Roman" pitchFamily="18" charset="0"/>
                      </a:rPr>
                      <a:t>0.85 +/- 0.14</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A68C-4604-BD6F-900573CA369B}"/>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Sheet1!$K$2:$K$5</c:f>
                <c:numCache>
                  <c:formatCode>General</c:formatCode>
                  <c:ptCount val="4"/>
                  <c:pt idx="0">
                    <c:v>0.12000000000000002</c:v>
                  </c:pt>
                  <c:pt idx="3">
                    <c:v>0.14000000000000001</c:v>
                  </c:pt>
                </c:numCache>
              </c:numRef>
            </c:plus>
            <c:minus>
              <c:numRef>
                <c:f>Sheet1!$K$2:$K$5</c:f>
                <c:numCache>
                  <c:formatCode>General</c:formatCode>
                  <c:ptCount val="4"/>
                  <c:pt idx="0">
                    <c:v>0.12000000000000002</c:v>
                  </c:pt>
                  <c:pt idx="3">
                    <c:v>0.14000000000000001</c:v>
                  </c:pt>
                </c:numCache>
              </c:numRef>
            </c:minus>
            <c:spPr>
              <a:ln w="15875">
                <a:solidFill>
                  <a:srgbClr val="FF0000"/>
                </a:solidFill>
              </a:ln>
            </c:spPr>
          </c:errBars>
          <c:cat>
            <c:strRef>
              <c:f>Sheet1!$A$2:$A$5</c:f>
              <c:strCache>
                <c:ptCount val="3"/>
                <c:pt idx="1">
                  <c:v>Prone</c:v>
                </c:pt>
                <c:pt idx="2">
                  <c:v>Supine</c:v>
                </c:pt>
              </c:strCache>
            </c:strRef>
          </c:cat>
          <c:val>
            <c:numRef>
              <c:f>Sheet1!$I$2:$I$5</c:f>
              <c:numCache>
                <c:formatCode>General</c:formatCode>
                <c:ptCount val="4"/>
                <c:pt idx="0">
                  <c:v>0.91</c:v>
                </c:pt>
                <c:pt idx="3">
                  <c:v>0.85000000000000064</c:v>
                </c:pt>
              </c:numCache>
            </c:numRef>
          </c:val>
          <c:smooth val="0"/>
          <c:extLst>
            <c:ext xmlns:c16="http://schemas.microsoft.com/office/drawing/2014/chart" uri="{C3380CC4-5D6E-409C-BE32-E72D297353CC}">
              <c16:uniqueId val="{00000003-A68C-4604-BD6F-900573CA369B}"/>
            </c:ext>
          </c:extLst>
        </c:ser>
        <c:dLbls>
          <c:showLegendKey val="0"/>
          <c:showVal val="0"/>
          <c:showCatName val="0"/>
          <c:showSerName val="0"/>
          <c:showPercent val="0"/>
          <c:showBubbleSize val="0"/>
        </c:dLbls>
        <c:marker val="1"/>
        <c:smooth val="0"/>
        <c:axId val="221973504"/>
        <c:axId val="221983488"/>
      </c:lineChart>
      <c:catAx>
        <c:axId val="221973504"/>
        <c:scaling>
          <c:orientation val="minMax"/>
        </c:scaling>
        <c:delete val="0"/>
        <c:axPos val="b"/>
        <c:numFmt formatCode="General" sourceLinked="0"/>
        <c:majorTickMark val="out"/>
        <c:minorTickMark val="none"/>
        <c:tickLblPos val="nextTo"/>
        <c:crossAx val="221983488"/>
        <c:crosses val="autoZero"/>
        <c:auto val="1"/>
        <c:lblAlgn val="ctr"/>
        <c:lblOffset val="100"/>
        <c:noMultiLvlLbl val="0"/>
      </c:catAx>
      <c:valAx>
        <c:axId val="221983488"/>
        <c:scaling>
          <c:orientation val="minMax"/>
          <c:min val="0.5"/>
        </c:scaling>
        <c:delete val="0"/>
        <c:axPos val="l"/>
        <c:numFmt formatCode="General" sourceLinked="1"/>
        <c:majorTickMark val="out"/>
        <c:minorTickMark val="none"/>
        <c:tickLblPos val="nextTo"/>
        <c:crossAx val="221973504"/>
        <c:crosses val="autoZero"/>
        <c:crossBetween val="between"/>
      </c:valAx>
    </c:plotArea>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3"/>
    </mc:Choice>
    <mc:Fallback>
      <c:style val="33"/>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en-US" sz="1200">
                <a:latin typeface="Times New Roman" pitchFamily="18" charset="0"/>
                <a:cs typeface="Times New Roman" pitchFamily="18" charset="0"/>
              </a:rPr>
              <a:t>Doppler flow in all Coronary Arteries</a:t>
            </a:r>
          </a:p>
        </c:rich>
      </c:tx>
      <c:overlay val="1"/>
    </c:title>
    <c:autoTitleDeleted val="0"/>
    <c:plotArea>
      <c:layout>
        <c:manualLayout>
          <c:layoutTarget val="inner"/>
          <c:xMode val="edge"/>
          <c:yMode val="edge"/>
          <c:x val="8.7630055858402528E-2"/>
          <c:y val="0.12429971457422663"/>
          <c:w val="0.87945319335083161"/>
          <c:h val="0.76673223482351138"/>
        </c:manualLayout>
      </c:layout>
      <c:lineChart>
        <c:grouping val="standard"/>
        <c:varyColors val="0"/>
        <c:ser>
          <c:idx val="0"/>
          <c:order val="0"/>
          <c:tx>
            <c:strRef>
              <c:f>Sheet1!$B$1</c:f>
              <c:strCache>
                <c:ptCount val="1"/>
                <c:pt idx="0">
                  <c:v>Case 1</c:v>
                </c:pt>
              </c:strCache>
            </c:strRef>
          </c:tx>
          <c:spPr>
            <a:ln w="19050">
              <a:solidFill>
                <a:sysClr val="windowText" lastClr="000000"/>
              </a:solidFill>
            </a:ln>
          </c:spPr>
          <c:marker>
            <c:symbol val="square"/>
            <c:size val="6"/>
            <c:spPr>
              <a:solidFill>
                <a:sysClr val="windowText" lastClr="000000"/>
              </a:solidFill>
            </c:spPr>
          </c:marker>
          <c:cat>
            <c:strRef>
              <c:f>Sheet1!$A$2:$A$10</c:f>
              <c:strCache>
                <c:ptCount val="8"/>
                <c:pt idx="1">
                  <c:v>Rest Superior</c:v>
                </c:pt>
                <c:pt idx="2">
                  <c:v>Rest Inferior</c:v>
                </c:pt>
                <c:pt idx="6">
                  <c:v>Hyp Superior</c:v>
                </c:pt>
                <c:pt idx="7">
                  <c:v>Hyp Inferior</c:v>
                </c:pt>
              </c:strCache>
            </c:strRef>
          </c:cat>
          <c:val>
            <c:numRef>
              <c:f>Sheet1!$B$2:$B$10</c:f>
              <c:numCache>
                <c:formatCode>General</c:formatCode>
                <c:ptCount val="9"/>
                <c:pt idx="1">
                  <c:v>9</c:v>
                </c:pt>
                <c:pt idx="2">
                  <c:v>7</c:v>
                </c:pt>
                <c:pt idx="6">
                  <c:v>20.5</c:v>
                </c:pt>
                <c:pt idx="7">
                  <c:v>46.7</c:v>
                </c:pt>
              </c:numCache>
            </c:numRef>
          </c:val>
          <c:smooth val="0"/>
          <c:extLst>
            <c:ext xmlns:c16="http://schemas.microsoft.com/office/drawing/2014/chart" uri="{C3380CC4-5D6E-409C-BE32-E72D297353CC}">
              <c16:uniqueId val="{00000000-13A5-D843-950B-15AF74E35F44}"/>
            </c:ext>
          </c:extLst>
        </c:ser>
        <c:ser>
          <c:idx val="1"/>
          <c:order val="1"/>
          <c:tx>
            <c:strRef>
              <c:f>Sheet1!$C$1</c:f>
              <c:strCache>
                <c:ptCount val="1"/>
                <c:pt idx="0">
                  <c:v>Case 2</c:v>
                </c:pt>
              </c:strCache>
            </c:strRef>
          </c:tx>
          <c:spPr>
            <a:ln w="19050">
              <a:solidFill>
                <a:sysClr val="windowText" lastClr="000000"/>
              </a:solidFill>
            </a:ln>
          </c:spPr>
          <c:marker>
            <c:symbol val="square"/>
            <c:size val="6"/>
            <c:spPr>
              <a:solidFill>
                <a:sysClr val="windowText" lastClr="000000"/>
              </a:solidFill>
              <a:ln w="0">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Sheet1!$C$2:$C$10</c:f>
              <c:numCache>
                <c:formatCode>General</c:formatCode>
                <c:ptCount val="9"/>
                <c:pt idx="1">
                  <c:v>15</c:v>
                </c:pt>
                <c:pt idx="2">
                  <c:v>16</c:v>
                </c:pt>
                <c:pt idx="6">
                  <c:v>39</c:v>
                </c:pt>
                <c:pt idx="7">
                  <c:v>41.3</c:v>
                </c:pt>
              </c:numCache>
            </c:numRef>
          </c:val>
          <c:smooth val="0"/>
          <c:extLst>
            <c:ext xmlns:c16="http://schemas.microsoft.com/office/drawing/2014/chart" uri="{C3380CC4-5D6E-409C-BE32-E72D297353CC}">
              <c16:uniqueId val="{00000001-13A5-D843-950B-15AF74E35F44}"/>
            </c:ext>
          </c:extLst>
        </c:ser>
        <c:ser>
          <c:idx val="2"/>
          <c:order val="2"/>
          <c:tx>
            <c:strRef>
              <c:f>Sheet1!$D$1</c:f>
              <c:strCache>
                <c:ptCount val="1"/>
                <c:pt idx="0">
                  <c:v>Case 3</c:v>
                </c:pt>
              </c:strCache>
            </c:strRef>
          </c:tx>
          <c:spPr>
            <a:ln w="19050">
              <a:noFill/>
            </a:ln>
          </c:spPr>
          <c:marker>
            <c:symbol val="square"/>
            <c:size val="6"/>
            <c:spPr>
              <a:solidFill>
                <a:sysClr val="windowText" lastClr="000000"/>
              </a:solidFill>
              <a:ln w="19050">
                <a:noFill/>
              </a:ln>
            </c:spPr>
          </c:marker>
          <c:cat>
            <c:strRef>
              <c:f>Sheet1!$A$2:$A$10</c:f>
              <c:strCache>
                <c:ptCount val="8"/>
                <c:pt idx="1">
                  <c:v>Rest Superior</c:v>
                </c:pt>
                <c:pt idx="2">
                  <c:v>Rest Inferior</c:v>
                </c:pt>
                <c:pt idx="6">
                  <c:v>Hyp Superior</c:v>
                </c:pt>
                <c:pt idx="7">
                  <c:v>Hyp Inferior</c:v>
                </c:pt>
              </c:strCache>
            </c:strRef>
          </c:cat>
          <c:val>
            <c:numRef>
              <c:f>Sheet1!$D$2:$D$10</c:f>
              <c:numCache>
                <c:formatCode>General</c:formatCode>
                <c:ptCount val="9"/>
                <c:pt idx="1">
                  <c:v>22.6</c:v>
                </c:pt>
                <c:pt idx="2">
                  <c:v>13.2</c:v>
                </c:pt>
                <c:pt idx="6">
                  <c:v>35.300000000000004</c:v>
                </c:pt>
                <c:pt idx="7">
                  <c:v>35.800000000000004</c:v>
                </c:pt>
              </c:numCache>
            </c:numRef>
          </c:val>
          <c:smooth val="0"/>
          <c:extLst>
            <c:ext xmlns:c16="http://schemas.microsoft.com/office/drawing/2014/chart" uri="{C3380CC4-5D6E-409C-BE32-E72D297353CC}">
              <c16:uniqueId val="{00000002-13A5-D843-950B-15AF74E35F44}"/>
            </c:ext>
          </c:extLst>
        </c:ser>
        <c:ser>
          <c:idx val="3"/>
          <c:order val="3"/>
          <c:tx>
            <c:strRef>
              <c:f>Sheet1!$E$1</c:f>
              <c:strCache>
                <c:ptCount val="1"/>
                <c:pt idx="0">
                  <c:v>Case 4</c:v>
                </c:pt>
              </c:strCache>
            </c:strRef>
          </c:tx>
          <c:spPr>
            <a:ln w="19050">
              <a:solidFill>
                <a:sysClr val="windowText" lastClr="000000">
                  <a:tint val="92000"/>
                  <a:shade val="58000"/>
                  <a:shade val="95000"/>
                  <a:satMod val="105000"/>
                </a:sysClr>
              </a:solidFill>
            </a:ln>
          </c:spPr>
          <c:marker>
            <c:symbol val="square"/>
            <c:size val="6"/>
            <c:spPr>
              <a:solidFill>
                <a:sysClr val="windowText" lastClr="000000"/>
              </a:solidFill>
              <a:ln w="19050">
                <a:solidFill>
                  <a:sysClr val="windowText" lastClr="000000">
                    <a:tint val="92000"/>
                    <a:shade val="58000"/>
                    <a:shade val="95000"/>
                    <a:satMod val="105000"/>
                  </a:sysClr>
                </a:solidFill>
              </a:ln>
            </c:spPr>
          </c:marker>
          <c:cat>
            <c:strRef>
              <c:f>Sheet1!$A$2:$A$10</c:f>
              <c:strCache>
                <c:ptCount val="8"/>
                <c:pt idx="1">
                  <c:v>Rest Superior</c:v>
                </c:pt>
                <c:pt idx="2">
                  <c:v>Rest Inferior</c:v>
                </c:pt>
                <c:pt idx="6">
                  <c:v>Hyp Superior</c:v>
                </c:pt>
                <c:pt idx="7">
                  <c:v>Hyp Inferior</c:v>
                </c:pt>
              </c:strCache>
            </c:strRef>
          </c:cat>
          <c:val>
            <c:numRef>
              <c:f>Sheet1!$E$2:$E$10</c:f>
              <c:numCache>
                <c:formatCode>General</c:formatCode>
                <c:ptCount val="9"/>
                <c:pt idx="1">
                  <c:v>16.2</c:v>
                </c:pt>
                <c:pt idx="2">
                  <c:v>16.7</c:v>
                </c:pt>
                <c:pt idx="6">
                  <c:v>26.9</c:v>
                </c:pt>
                <c:pt idx="7">
                  <c:v>29.7</c:v>
                </c:pt>
              </c:numCache>
            </c:numRef>
          </c:val>
          <c:smooth val="0"/>
          <c:extLst>
            <c:ext xmlns:c16="http://schemas.microsoft.com/office/drawing/2014/chart" uri="{C3380CC4-5D6E-409C-BE32-E72D297353CC}">
              <c16:uniqueId val="{00000003-13A5-D843-950B-15AF74E35F44}"/>
            </c:ext>
          </c:extLst>
        </c:ser>
        <c:ser>
          <c:idx val="4"/>
          <c:order val="4"/>
          <c:tx>
            <c:strRef>
              <c:f>Sheet1!$F$1</c:f>
              <c:strCache>
                <c:ptCount val="1"/>
                <c:pt idx="0">
                  <c:v>Case 5</c:v>
                </c:pt>
              </c:strCache>
            </c:strRef>
          </c:tx>
          <c:spPr>
            <a:ln w="19050">
              <a:solidFill>
                <a:schemeClr val="tx1"/>
              </a:solidFill>
            </a:ln>
            <a:effectLst>
              <a:outerShdw blurRad="50800" dist="50800" dir="5400000" algn="ctr" rotWithShape="0">
                <a:schemeClr val="bg1"/>
              </a:outerShdw>
            </a:effectLst>
          </c:spPr>
          <c:marker>
            <c:symbol val="square"/>
            <c:size val="6"/>
            <c:spPr>
              <a:solidFill>
                <a:sysClr val="windowText" lastClr="000000"/>
              </a:solidFill>
              <a:ln w="19050">
                <a:noFill/>
              </a:ln>
              <a:effectLst>
                <a:outerShdw blurRad="50800" dist="50800" dir="5400000" algn="ctr" rotWithShape="0">
                  <a:schemeClr val="bg1"/>
                </a:outerShdw>
              </a:effectLst>
            </c:spPr>
          </c:marker>
          <c:cat>
            <c:strRef>
              <c:f>Sheet1!$A$2:$A$10</c:f>
              <c:strCache>
                <c:ptCount val="8"/>
                <c:pt idx="1">
                  <c:v>Rest Superior</c:v>
                </c:pt>
                <c:pt idx="2">
                  <c:v>Rest Inferior</c:v>
                </c:pt>
                <c:pt idx="6">
                  <c:v>Hyp Superior</c:v>
                </c:pt>
                <c:pt idx="7">
                  <c:v>Hyp Inferior</c:v>
                </c:pt>
              </c:strCache>
            </c:strRef>
          </c:cat>
          <c:val>
            <c:numRef>
              <c:f>Sheet1!$F$2:$F$10</c:f>
              <c:numCache>
                <c:formatCode>General</c:formatCode>
                <c:ptCount val="9"/>
                <c:pt idx="1">
                  <c:v>13.8</c:v>
                </c:pt>
                <c:pt idx="2">
                  <c:v>16.2</c:v>
                </c:pt>
                <c:pt idx="6">
                  <c:v>23.9</c:v>
                </c:pt>
                <c:pt idx="7">
                  <c:v>24.8</c:v>
                </c:pt>
              </c:numCache>
            </c:numRef>
          </c:val>
          <c:smooth val="0"/>
          <c:extLst>
            <c:ext xmlns:c16="http://schemas.microsoft.com/office/drawing/2014/chart" uri="{C3380CC4-5D6E-409C-BE32-E72D297353CC}">
              <c16:uniqueId val="{00000004-13A5-D843-950B-15AF74E35F44}"/>
            </c:ext>
          </c:extLst>
        </c:ser>
        <c:ser>
          <c:idx val="5"/>
          <c:order val="5"/>
          <c:tx>
            <c:strRef>
              <c:f>Sheet1!$G$1</c:f>
              <c:strCache>
                <c:ptCount val="1"/>
                <c:pt idx="0">
                  <c:v>Case 6</c:v>
                </c:pt>
              </c:strCache>
            </c:strRef>
          </c:tx>
          <c:spPr>
            <a:ln w="19050">
              <a:solidFill>
                <a:sysClr val="windowText" lastClr="000000"/>
              </a:solidFill>
            </a:ln>
            <a:effectLst/>
          </c:spPr>
          <c:marker>
            <c:symbol val="square"/>
            <c:size val="6"/>
            <c:spPr>
              <a:solidFill>
                <a:sysClr val="windowText" lastClr="000000"/>
              </a:solidFill>
              <a:ln w="12700">
                <a:noFill/>
              </a:ln>
              <a:effectLst/>
            </c:spPr>
          </c:marker>
          <c:cat>
            <c:strRef>
              <c:f>Sheet1!$A$2:$A$10</c:f>
              <c:strCache>
                <c:ptCount val="8"/>
                <c:pt idx="1">
                  <c:v>Rest Superior</c:v>
                </c:pt>
                <c:pt idx="2">
                  <c:v>Rest Inferior</c:v>
                </c:pt>
                <c:pt idx="6">
                  <c:v>Hyp Superior</c:v>
                </c:pt>
                <c:pt idx="7">
                  <c:v>Hyp Inferior</c:v>
                </c:pt>
              </c:strCache>
            </c:strRef>
          </c:cat>
          <c:val>
            <c:numRef>
              <c:f>Sheet1!$G$2:$G$10</c:f>
              <c:numCache>
                <c:formatCode>General</c:formatCode>
                <c:ptCount val="9"/>
                <c:pt idx="1">
                  <c:v>18.3</c:v>
                </c:pt>
                <c:pt idx="2">
                  <c:v>15.8</c:v>
                </c:pt>
                <c:pt idx="6">
                  <c:v>29.9</c:v>
                </c:pt>
                <c:pt idx="7">
                  <c:v>31.3</c:v>
                </c:pt>
              </c:numCache>
            </c:numRef>
          </c:val>
          <c:smooth val="0"/>
          <c:extLst>
            <c:ext xmlns:c16="http://schemas.microsoft.com/office/drawing/2014/chart" uri="{C3380CC4-5D6E-409C-BE32-E72D297353CC}">
              <c16:uniqueId val="{00000005-13A5-D843-950B-15AF74E35F44}"/>
            </c:ext>
          </c:extLst>
        </c:ser>
        <c:ser>
          <c:idx val="6"/>
          <c:order val="6"/>
          <c:tx>
            <c:strRef>
              <c:f>Sheet1!$H$1</c:f>
              <c:strCache>
                <c:ptCount val="1"/>
                <c:pt idx="0">
                  <c:v>Case 7</c:v>
                </c:pt>
              </c:strCache>
            </c:strRef>
          </c:tx>
          <c:spPr>
            <a:ln w="19050">
              <a:solidFill>
                <a:schemeClr val="tx1"/>
              </a:solidFill>
            </a:ln>
          </c:spPr>
          <c:marker>
            <c:symbol val="square"/>
            <c:size val="5"/>
            <c:spPr>
              <a:solidFill>
                <a:sysClr val="windowText" lastClr="000000"/>
              </a:solidFill>
              <a:ln w="19050">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Sheet1!$H$2:$H$10</c:f>
              <c:numCache>
                <c:formatCode>General</c:formatCode>
                <c:ptCount val="9"/>
                <c:pt idx="1">
                  <c:v>14</c:v>
                </c:pt>
                <c:pt idx="2">
                  <c:v>16.2</c:v>
                </c:pt>
                <c:pt idx="6">
                  <c:v>18.5</c:v>
                </c:pt>
                <c:pt idx="7">
                  <c:v>41.7</c:v>
                </c:pt>
              </c:numCache>
            </c:numRef>
          </c:val>
          <c:smooth val="0"/>
          <c:extLst>
            <c:ext xmlns:c16="http://schemas.microsoft.com/office/drawing/2014/chart" uri="{C3380CC4-5D6E-409C-BE32-E72D297353CC}">
              <c16:uniqueId val="{00000006-13A5-D843-950B-15AF74E35F44}"/>
            </c:ext>
          </c:extLst>
        </c:ser>
        <c:ser>
          <c:idx val="7"/>
          <c:order val="7"/>
          <c:tx>
            <c:strRef>
              <c:f>Sheet1!$I$1</c:f>
              <c:strCache>
                <c:ptCount val="1"/>
                <c:pt idx="0">
                  <c:v>Case 8</c:v>
                </c:pt>
              </c:strCache>
            </c:strRef>
          </c:tx>
          <c:spPr>
            <a:ln w="19050">
              <a:solidFill>
                <a:schemeClr val="tx1"/>
              </a:solidFill>
            </a:ln>
          </c:spPr>
          <c:marker>
            <c:symbol val="square"/>
            <c:size val="6"/>
            <c:spPr>
              <a:solidFill>
                <a:sysClr val="windowText" lastClr="000000"/>
              </a:solidFill>
              <a:ln w="19050">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Sheet1!$I$2:$I$10</c:f>
              <c:numCache>
                <c:formatCode>General</c:formatCode>
                <c:ptCount val="9"/>
                <c:pt idx="1">
                  <c:v>31.6</c:v>
                </c:pt>
                <c:pt idx="2">
                  <c:v>17.399999999999999</c:v>
                </c:pt>
                <c:pt idx="6">
                  <c:v>41.7</c:v>
                </c:pt>
                <c:pt idx="7">
                  <c:v>33.800000000000004</c:v>
                </c:pt>
              </c:numCache>
            </c:numRef>
          </c:val>
          <c:smooth val="0"/>
          <c:extLst>
            <c:ext xmlns:c16="http://schemas.microsoft.com/office/drawing/2014/chart" uri="{C3380CC4-5D6E-409C-BE32-E72D297353CC}">
              <c16:uniqueId val="{00000007-13A5-D843-950B-15AF74E35F44}"/>
            </c:ext>
          </c:extLst>
        </c:ser>
        <c:ser>
          <c:idx val="8"/>
          <c:order val="8"/>
          <c:tx>
            <c:strRef>
              <c:f>Sheet1!$J$1</c:f>
              <c:strCache>
                <c:ptCount val="1"/>
                <c:pt idx="0">
                  <c:v>Case 9</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Sheet1!$J$2:$J$10</c:f>
              <c:numCache>
                <c:formatCode>General</c:formatCode>
                <c:ptCount val="9"/>
                <c:pt idx="1">
                  <c:v>12.1</c:v>
                </c:pt>
                <c:pt idx="2">
                  <c:v>15.4</c:v>
                </c:pt>
                <c:pt idx="6">
                  <c:v>24.8</c:v>
                </c:pt>
                <c:pt idx="7">
                  <c:v>25</c:v>
                </c:pt>
              </c:numCache>
            </c:numRef>
          </c:val>
          <c:smooth val="0"/>
          <c:extLst>
            <c:ext xmlns:c16="http://schemas.microsoft.com/office/drawing/2014/chart" uri="{C3380CC4-5D6E-409C-BE32-E72D297353CC}">
              <c16:uniqueId val="{00000008-13A5-D843-950B-15AF74E35F44}"/>
            </c:ext>
          </c:extLst>
        </c:ser>
        <c:ser>
          <c:idx val="9"/>
          <c:order val="9"/>
          <c:tx>
            <c:strRef>
              <c:f>Sheet1!$K$1</c:f>
              <c:strCache>
                <c:ptCount val="1"/>
                <c:pt idx="0">
                  <c:v>Case 10</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Sheet1!$K$2:$K$10</c:f>
              <c:numCache>
                <c:formatCode>General</c:formatCode>
                <c:ptCount val="9"/>
                <c:pt idx="1">
                  <c:v>17.399999999999999</c:v>
                </c:pt>
                <c:pt idx="2">
                  <c:v>17.7</c:v>
                </c:pt>
                <c:pt idx="6">
                  <c:v>56.4</c:v>
                </c:pt>
                <c:pt idx="7">
                  <c:v>37.800000000000004</c:v>
                </c:pt>
              </c:numCache>
            </c:numRef>
          </c:val>
          <c:smooth val="0"/>
          <c:extLst>
            <c:ext xmlns:c16="http://schemas.microsoft.com/office/drawing/2014/chart" uri="{C3380CC4-5D6E-409C-BE32-E72D297353CC}">
              <c16:uniqueId val="{00000009-13A5-D843-950B-15AF74E35F44}"/>
            </c:ext>
          </c:extLst>
        </c:ser>
        <c:ser>
          <c:idx val="10"/>
          <c:order val="10"/>
          <c:tx>
            <c:strRef>
              <c:f>Sheet1!$L$1</c:f>
              <c:strCache>
                <c:ptCount val="1"/>
                <c:pt idx="0">
                  <c:v>Case 11</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Sheet1!$L$2:$L$10</c:f>
              <c:numCache>
                <c:formatCode>General</c:formatCode>
                <c:ptCount val="9"/>
                <c:pt idx="1">
                  <c:v>18.3</c:v>
                </c:pt>
                <c:pt idx="2">
                  <c:v>21.2</c:v>
                </c:pt>
                <c:pt idx="6">
                  <c:v>48.3</c:v>
                </c:pt>
                <c:pt idx="7">
                  <c:v>34.4</c:v>
                </c:pt>
              </c:numCache>
            </c:numRef>
          </c:val>
          <c:smooth val="0"/>
          <c:extLst>
            <c:ext xmlns:c16="http://schemas.microsoft.com/office/drawing/2014/chart" uri="{C3380CC4-5D6E-409C-BE32-E72D297353CC}">
              <c16:uniqueId val="{0000000A-13A5-D843-950B-15AF74E35F44}"/>
            </c:ext>
          </c:extLst>
        </c:ser>
        <c:ser>
          <c:idx val="11"/>
          <c:order val="11"/>
          <c:tx>
            <c:strRef>
              <c:f>Sheet1!$M$1</c:f>
              <c:strCache>
                <c:ptCount val="1"/>
                <c:pt idx="0">
                  <c:v>Case 12</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Sheet1!$M$2:$M$10</c:f>
              <c:numCache>
                <c:formatCode>General</c:formatCode>
                <c:ptCount val="9"/>
                <c:pt idx="1">
                  <c:v>10.4</c:v>
                </c:pt>
                <c:pt idx="2">
                  <c:v>14.1</c:v>
                </c:pt>
                <c:pt idx="6">
                  <c:v>22.2</c:v>
                </c:pt>
                <c:pt idx="7">
                  <c:v>26.5</c:v>
                </c:pt>
              </c:numCache>
            </c:numRef>
          </c:val>
          <c:smooth val="0"/>
          <c:extLst>
            <c:ext xmlns:c16="http://schemas.microsoft.com/office/drawing/2014/chart" uri="{C3380CC4-5D6E-409C-BE32-E72D297353CC}">
              <c16:uniqueId val="{0000000B-13A5-D843-950B-15AF74E35F44}"/>
            </c:ext>
          </c:extLst>
        </c:ser>
        <c:ser>
          <c:idx val="12"/>
          <c:order val="12"/>
          <c:tx>
            <c:strRef>
              <c:f>Sheet1!$N$1</c:f>
              <c:strCache>
                <c:ptCount val="1"/>
                <c:pt idx="0">
                  <c:v>Case 13</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Sheet1!$N$2:$N$10</c:f>
              <c:numCache>
                <c:formatCode>General</c:formatCode>
                <c:ptCount val="9"/>
                <c:pt idx="1">
                  <c:v>15.4</c:v>
                </c:pt>
                <c:pt idx="2">
                  <c:v>12.6</c:v>
                </c:pt>
                <c:pt idx="6">
                  <c:v>22.6</c:v>
                </c:pt>
                <c:pt idx="7">
                  <c:v>19.100000000000001</c:v>
                </c:pt>
              </c:numCache>
            </c:numRef>
          </c:val>
          <c:smooth val="0"/>
          <c:extLst>
            <c:ext xmlns:c16="http://schemas.microsoft.com/office/drawing/2014/chart" uri="{C3380CC4-5D6E-409C-BE32-E72D297353CC}">
              <c16:uniqueId val="{0000000C-13A5-D843-950B-15AF74E35F44}"/>
            </c:ext>
          </c:extLst>
        </c:ser>
        <c:ser>
          <c:idx val="13"/>
          <c:order val="13"/>
          <c:tx>
            <c:strRef>
              <c:f>Sheet1!$O$1</c:f>
              <c:strCache>
                <c:ptCount val="1"/>
                <c:pt idx="0">
                  <c:v>Case 14</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Sheet1!$O$2:$O$10</c:f>
              <c:numCache>
                <c:formatCode>General</c:formatCode>
                <c:ptCount val="9"/>
                <c:pt idx="1">
                  <c:v>11.4</c:v>
                </c:pt>
                <c:pt idx="2">
                  <c:v>11.4</c:v>
                </c:pt>
                <c:pt idx="6">
                  <c:v>17.8</c:v>
                </c:pt>
                <c:pt idx="7">
                  <c:v>17.100000000000001</c:v>
                </c:pt>
              </c:numCache>
            </c:numRef>
          </c:val>
          <c:smooth val="0"/>
          <c:extLst>
            <c:ext xmlns:c16="http://schemas.microsoft.com/office/drawing/2014/chart" uri="{C3380CC4-5D6E-409C-BE32-E72D297353CC}">
              <c16:uniqueId val="{0000000D-13A5-D843-950B-15AF74E35F44}"/>
            </c:ext>
          </c:extLst>
        </c:ser>
        <c:ser>
          <c:idx val="14"/>
          <c:order val="14"/>
          <c:tx>
            <c:strRef>
              <c:f>Sheet1!$P$1</c:f>
              <c:strCache>
                <c:ptCount val="1"/>
                <c:pt idx="0">
                  <c:v>Case 15</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Sheet1!$P$2:$P$10</c:f>
              <c:numCache>
                <c:formatCode>General</c:formatCode>
                <c:ptCount val="9"/>
                <c:pt idx="1">
                  <c:v>11</c:v>
                </c:pt>
                <c:pt idx="2">
                  <c:v>11.7</c:v>
                </c:pt>
                <c:pt idx="6">
                  <c:v>22.2</c:v>
                </c:pt>
                <c:pt idx="7">
                  <c:v>27</c:v>
                </c:pt>
              </c:numCache>
            </c:numRef>
          </c:val>
          <c:smooth val="0"/>
          <c:extLst>
            <c:ext xmlns:c16="http://schemas.microsoft.com/office/drawing/2014/chart" uri="{C3380CC4-5D6E-409C-BE32-E72D297353CC}">
              <c16:uniqueId val="{0000000E-13A5-D843-950B-15AF74E35F44}"/>
            </c:ext>
          </c:extLst>
        </c:ser>
        <c:ser>
          <c:idx val="15"/>
          <c:order val="15"/>
          <c:tx>
            <c:strRef>
              <c:f>Sheet1!$Q$1</c:f>
              <c:strCache>
                <c:ptCount val="1"/>
                <c:pt idx="0">
                  <c:v>Case 16</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Sheet1!$Q$2:$Q$10</c:f>
              <c:numCache>
                <c:formatCode>General</c:formatCode>
                <c:ptCount val="9"/>
                <c:pt idx="1">
                  <c:v>20.5</c:v>
                </c:pt>
                <c:pt idx="2">
                  <c:v>19.5</c:v>
                </c:pt>
                <c:pt idx="6">
                  <c:v>46</c:v>
                </c:pt>
                <c:pt idx="7">
                  <c:v>42.1</c:v>
                </c:pt>
              </c:numCache>
            </c:numRef>
          </c:val>
          <c:smooth val="0"/>
          <c:extLst>
            <c:ext xmlns:c16="http://schemas.microsoft.com/office/drawing/2014/chart" uri="{C3380CC4-5D6E-409C-BE32-E72D297353CC}">
              <c16:uniqueId val="{0000000F-13A5-D843-950B-15AF74E35F44}"/>
            </c:ext>
          </c:extLst>
        </c:ser>
        <c:ser>
          <c:idx val="16"/>
          <c:order val="16"/>
          <c:tx>
            <c:strRef>
              <c:f>Sheet1!$R$1</c:f>
              <c:strCache>
                <c:ptCount val="1"/>
                <c:pt idx="0">
                  <c:v>Case 17</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Sheet1!$R$2:$R$10</c:f>
              <c:numCache>
                <c:formatCode>General</c:formatCode>
                <c:ptCount val="9"/>
                <c:pt idx="1">
                  <c:v>19.3</c:v>
                </c:pt>
                <c:pt idx="2">
                  <c:v>13.1</c:v>
                </c:pt>
                <c:pt idx="6">
                  <c:v>19</c:v>
                </c:pt>
                <c:pt idx="7">
                  <c:v>16.2</c:v>
                </c:pt>
              </c:numCache>
            </c:numRef>
          </c:val>
          <c:smooth val="0"/>
          <c:extLst>
            <c:ext xmlns:c16="http://schemas.microsoft.com/office/drawing/2014/chart" uri="{C3380CC4-5D6E-409C-BE32-E72D297353CC}">
              <c16:uniqueId val="{00000010-13A5-D843-950B-15AF74E35F44}"/>
            </c:ext>
          </c:extLst>
        </c:ser>
        <c:ser>
          <c:idx val="17"/>
          <c:order val="17"/>
          <c:tx>
            <c:strRef>
              <c:f>Sheet1!$S$1</c:f>
              <c:strCache>
                <c:ptCount val="1"/>
                <c:pt idx="0">
                  <c:v>Case 18</c:v>
                </c:pt>
              </c:strCache>
            </c:strRef>
          </c:tx>
          <c:spPr>
            <a:ln w="19050">
              <a:solidFill>
                <a:sysClr val="windowText" lastClr="000000"/>
              </a:solidFill>
            </a:ln>
          </c:spPr>
          <c:marker>
            <c:symbol val="square"/>
            <c:size val="6"/>
            <c:spPr>
              <a:solidFill>
                <a:schemeClr val="tx1"/>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Sheet1!$S$2:$S$10</c:f>
              <c:numCache>
                <c:formatCode>General</c:formatCode>
                <c:ptCount val="9"/>
                <c:pt idx="1">
                  <c:v>16.2</c:v>
                </c:pt>
                <c:pt idx="2">
                  <c:v>19</c:v>
                </c:pt>
                <c:pt idx="6">
                  <c:v>21.1</c:v>
                </c:pt>
                <c:pt idx="7">
                  <c:v>27.5</c:v>
                </c:pt>
              </c:numCache>
            </c:numRef>
          </c:val>
          <c:smooth val="0"/>
          <c:extLst>
            <c:ext xmlns:c16="http://schemas.microsoft.com/office/drawing/2014/chart" uri="{C3380CC4-5D6E-409C-BE32-E72D297353CC}">
              <c16:uniqueId val="{00000011-13A5-D843-950B-15AF74E35F44}"/>
            </c:ext>
          </c:extLst>
        </c:ser>
        <c:ser>
          <c:idx val="18"/>
          <c:order val="18"/>
          <c:tx>
            <c:strRef>
              <c:f>Sheet1!$T$1</c:f>
              <c:strCache>
                <c:ptCount val="1"/>
                <c:pt idx="0">
                  <c:v>Case 19</c:v>
                </c:pt>
              </c:strCache>
            </c:strRef>
          </c:tx>
          <c:spPr>
            <a:ln w="19050">
              <a:solidFill>
                <a:sysClr val="windowText" lastClr="000000"/>
              </a:solidFill>
            </a:ln>
          </c:spPr>
          <c:marker>
            <c:symbol val="square"/>
            <c:size val="6"/>
            <c:spPr>
              <a:solidFill>
                <a:schemeClr val="tx1"/>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Sheet1!$T$2:$T$10</c:f>
              <c:numCache>
                <c:formatCode>General</c:formatCode>
                <c:ptCount val="9"/>
                <c:pt idx="1">
                  <c:v>10.8</c:v>
                </c:pt>
                <c:pt idx="2">
                  <c:v>12.8</c:v>
                </c:pt>
                <c:pt idx="6">
                  <c:v>17.7</c:v>
                </c:pt>
                <c:pt idx="7">
                  <c:v>13.9</c:v>
                </c:pt>
              </c:numCache>
            </c:numRef>
          </c:val>
          <c:smooth val="0"/>
          <c:extLst>
            <c:ext xmlns:c16="http://schemas.microsoft.com/office/drawing/2014/chart" uri="{C3380CC4-5D6E-409C-BE32-E72D297353CC}">
              <c16:uniqueId val="{00000012-13A5-D843-950B-15AF74E35F44}"/>
            </c:ext>
          </c:extLst>
        </c:ser>
        <c:ser>
          <c:idx val="19"/>
          <c:order val="19"/>
          <c:tx>
            <c:strRef>
              <c:f>Sheet1!$U$1</c:f>
              <c:strCache>
                <c:ptCount val="1"/>
                <c:pt idx="0">
                  <c:v>Case 20</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Sheet1!$U$2:$U$10</c:f>
              <c:numCache>
                <c:formatCode>General</c:formatCode>
                <c:ptCount val="9"/>
                <c:pt idx="1">
                  <c:v>9.4</c:v>
                </c:pt>
                <c:pt idx="2">
                  <c:v>7.6</c:v>
                </c:pt>
                <c:pt idx="6">
                  <c:v>15</c:v>
                </c:pt>
                <c:pt idx="7">
                  <c:v>16.2</c:v>
                </c:pt>
              </c:numCache>
            </c:numRef>
          </c:val>
          <c:smooth val="0"/>
          <c:extLst>
            <c:ext xmlns:c16="http://schemas.microsoft.com/office/drawing/2014/chart" uri="{C3380CC4-5D6E-409C-BE32-E72D297353CC}">
              <c16:uniqueId val="{00000013-13A5-D843-950B-15AF74E35F44}"/>
            </c:ext>
          </c:extLst>
        </c:ser>
        <c:ser>
          <c:idx val="20"/>
          <c:order val="20"/>
          <c:tx>
            <c:strRef>
              <c:f>Sheet1!$V$1</c:f>
              <c:strCache>
                <c:ptCount val="1"/>
                <c:pt idx="0">
                  <c:v>Case 21</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Sheet1!$V$2:$V$10</c:f>
              <c:numCache>
                <c:formatCode>General</c:formatCode>
                <c:ptCount val="9"/>
                <c:pt idx="1">
                  <c:v>13.2</c:v>
                </c:pt>
                <c:pt idx="2">
                  <c:v>9.4</c:v>
                </c:pt>
                <c:pt idx="6">
                  <c:v>13</c:v>
                </c:pt>
                <c:pt idx="7">
                  <c:v>20.6</c:v>
                </c:pt>
              </c:numCache>
            </c:numRef>
          </c:val>
          <c:smooth val="0"/>
          <c:extLst>
            <c:ext xmlns:c16="http://schemas.microsoft.com/office/drawing/2014/chart" uri="{C3380CC4-5D6E-409C-BE32-E72D297353CC}">
              <c16:uniqueId val="{00000014-13A5-D843-950B-15AF74E35F44}"/>
            </c:ext>
          </c:extLst>
        </c:ser>
        <c:ser>
          <c:idx val="21"/>
          <c:order val="21"/>
          <c:tx>
            <c:strRef>
              <c:f>Sheet1!$W$1</c:f>
              <c:strCache>
                <c:ptCount val="1"/>
                <c:pt idx="0">
                  <c:v>Case 22</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Sheet1!$W$2:$W$10</c:f>
              <c:numCache>
                <c:formatCode>General</c:formatCode>
                <c:ptCount val="9"/>
                <c:pt idx="1">
                  <c:v>28</c:v>
                </c:pt>
                <c:pt idx="2">
                  <c:v>19</c:v>
                </c:pt>
                <c:pt idx="6">
                  <c:v>47.2</c:v>
                </c:pt>
                <c:pt idx="7">
                  <c:v>23</c:v>
                </c:pt>
              </c:numCache>
            </c:numRef>
          </c:val>
          <c:smooth val="0"/>
          <c:extLst>
            <c:ext xmlns:c16="http://schemas.microsoft.com/office/drawing/2014/chart" uri="{C3380CC4-5D6E-409C-BE32-E72D297353CC}">
              <c16:uniqueId val="{00000015-13A5-D843-950B-15AF74E35F44}"/>
            </c:ext>
          </c:extLst>
        </c:ser>
        <c:ser>
          <c:idx val="22"/>
          <c:order val="22"/>
          <c:tx>
            <c:strRef>
              <c:f>Sheet1!$X$1</c:f>
              <c:strCache>
                <c:ptCount val="1"/>
                <c:pt idx="0">
                  <c:v>Case 23</c:v>
                </c:pt>
              </c:strCache>
            </c:strRef>
          </c:tx>
          <c:spPr>
            <a:ln w="19050">
              <a:solidFill>
                <a:schemeClr val="tx1"/>
              </a:solidFill>
            </a:ln>
          </c:spPr>
          <c:marker>
            <c:symbol val="square"/>
            <c:size val="6"/>
            <c:spPr>
              <a:solidFill>
                <a:sysClr val="windowText" lastClr="000000"/>
              </a:solidFill>
              <a:ln w="19050">
                <a:solidFill>
                  <a:sysClr val="windowText" lastClr="000000"/>
                </a:solidFill>
              </a:ln>
            </c:spPr>
          </c:marker>
          <c:cat>
            <c:strRef>
              <c:f>Sheet1!$A$2:$A$10</c:f>
              <c:strCache>
                <c:ptCount val="8"/>
                <c:pt idx="1">
                  <c:v>Rest Superior</c:v>
                </c:pt>
                <c:pt idx="2">
                  <c:v>Rest Inferior</c:v>
                </c:pt>
                <c:pt idx="6">
                  <c:v>Hyp Superior</c:v>
                </c:pt>
                <c:pt idx="7">
                  <c:v>Hyp Inferior</c:v>
                </c:pt>
              </c:strCache>
            </c:strRef>
          </c:cat>
          <c:val>
            <c:numRef>
              <c:f>Sheet1!$X$2:$X$10</c:f>
              <c:numCache>
                <c:formatCode>General</c:formatCode>
                <c:ptCount val="9"/>
                <c:pt idx="1">
                  <c:v>20.399999999999999</c:v>
                </c:pt>
                <c:pt idx="2">
                  <c:v>26.9</c:v>
                </c:pt>
                <c:pt idx="6">
                  <c:v>28.6</c:v>
                </c:pt>
                <c:pt idx="7">
                  <c:v>34.5</c:v>
                </c:pt>
              </c:numCache>
            </c:numRef>
          </c:val>
          <c:smooth val="0"/>
          <c:extLst>
            <c:ext xmlns:c16="http://schemas.microsoft.com/office/drawing/2014/chart" uri="{C3380CC4-5D6E-409C-BE32-E72D297353CC}">
              <c16:uniqueId val="{00000016-13A5-D843-950B-15AF74E35F44}"/>
            </c:ext>
          </c:extLst>
        </c:ser>
        <c:ser>
          <c:idx val="23"/>
          <c:order val="23"/>
          <c:tx>
            <c:strRef>
              <c:f>Sheet1!$Y$1</c:f>
              <c:strCache>
                <c:ptCount val="1"/>
                <c:pt idx="0">
                  <c:v>Average</c:v>
                </c:pt>
              </c:strCache>
            </c:strRef>
          </c:tx>
          <c:spPr>
            <a:ln w="57150">
              <a:solidFill>
                <a:srgbClr val="FF0000"/>
              </a:solidFill>
            </a:ln>
          </c:spPr>
          <c:marker>
            <c:symbol val="circle"/>
            <c:size val="9"/>
            <c:spPr>
              <a:solidFill>
                <a:srgbClr val="FF0000"/>
              </a:solidFill>
              <a:ln>
                <a:solidFill>
                  <a:srgbClr val="FF0000"/>
                </a:solidFill>
              </a:ln>
            </c:spPr>
          </c:marker>
          <c:dLbls>
            <c:dLbl>
              <c:idx val="0"/>
              <c:layout>
                <c:manualLayout>
                  <c:x val="8.3333165085133706E-2"/>
                  <c:y val="-0.10872251050160811"/>
                </c:manualLayout>
              </c:layout>
              <c:tx>
                <c:rich>
                  <a:bodyPr/>
                  <a:lstStyle/>
                  <a:p>
                    <a:r>
                      <a:rPr lang="en-US" sz="1200" b="1">
                        <a:latin typeface="Times New Roman" pitchFamily="18" charset="0"/>
                        <a:cs typeface="Times New Roman" pitchFamily="18" charset="0"/>
                      </a:rPr>
                      <a:t> 17 +/- 5.7</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C7F-1F4D-8D97-62419AD4FC00}"/>
                </c:ext>
              </c:extLst>
            </c:dLbl>
            <c:dLbl>
              <c:idx val="1"/>
              <c:layout>
                <c:manualLayout>
                  <c:x val="8.11965811965812E-2"/>
                  <c:y val="2.470966147763780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C7F-1F4D-8D97-62419AD4FC00}"/>
                </c:ext>
              </c:extLst>
            </c:dLbl>
            <c:dLbl>
              <c:idx val="3"/>
              <c:layout>
                <c:manualLayout>
                  <c:x val="7.6923076923076927E-2"/>
                  <c:y val="-9.1425747467259705E-2"/>
                </c:manualLayout>
              </c:layout>
              <c:tx>
                <c:rich>
                  <a:bodyPr/>
                  <a:lstStyle/>
                  <a:p>
                    <a:r>
                      <a:rPr lang="en-US" sz="1200" b="1">
                        <a:latin typeface="Times New Roman" pitchFamily="18" charset="0"/>
                        <a:cs typeface="Times New Roman" pitchFamily="18" charset="0"/>
                      </a:rPr>
                      <a:t>15 +/- 4.5</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C7F-1F4D-8D97-62419AD4FC00}"/>
                </c:ext>
              </c:extLst>
            </c:dLbl>
            <c:dLbl>
              <c:idx val="4"/>
              <c:layout>
                <c:manualLayout>
                  <c:x val="8.5470085470085472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C7F-1F4D-8D97-62419AD4FC00}"/>
                </c:ext>
              </c:extLst>
            </c:dLbl>
            <c:spPr>
              <a:noFill/>
              <a:ln>
                <a:noFill/>
              </a:ln>
              <a:effectLst/>
            </c:spPr>
            <c:txPr>
              <a:bodyPr/>
              <a:lstStyle/>
              <a:p>
                <a:pPr>
                  <a:defRPr sz="2000">
                    <a:solidFill>
                      <a:srgbClr val="FF0000"/>
                    </a:solidFill>
                  </a:defRPr>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Sheet1!$AA$2:$AA$10</c:f>
                <c:numCache>
                  <c:formatCode>General</c:formatCode>
                  <c:ptCount val="9"/>
                  <c:pt idx="0">
                    <c:v>5.7</c:v>
                  </c:pt>
                  <c:pt idx="3">
                    <c:v>4.5</c:v>
                  </c:pt>
                </c:numCache>
              </c:numRef>
            </c:plus>
            <c:minus>
              <c:numRef>
                <c:f>Sheet1!$AA$2:$AA$10</c:f>
                <c:numCache>
                  <c:formatCode>General</c:formatCode>
                  <c:ptCount val="9"/>
                  <c:pt idx="0">
                    <c:v>5.7</c:v>
                  </c:pt>
                  <c:pt idx="3">
                    <c:v>4.5</c:v>
                  </c:pt>
                </c:numCache>
              </c:numRef>
            </c:minus>
            <c:spPr>
              <a:ln w="15875">
                <a:solidFill>
                  <a:srgbClr val="FF0000"/>
                </a:solidFill>
              </a:ln>
            </c:spPr>
          </c:errBars>
          <c:cat>
            <c:strRef>
              <c:f>Sheet1!$A$2:$A$10</c:f>
              <c:strCache>
                <c:ptCount val="8"/>
                <c:pt idx="1">
                  <c:v>Rest Superior</c:v>
                </c:pt>
                <c:pt idx="2">
                  <c:v>Rest Inferior</c:v>
                </c:pt>
                <c:pt idx="6">
                  <c:v>Hyp Superior</c:v>
                </c:pt>
                <c:pt idx="7">
                  <c:v>Hyp Inferior</c:v>
                </c:pt>
              </c:strCache>
            </c:strRef>
          </c:cat>
          <c:val>
            <c:numRef>
              <c:f>Sheet1!$Y$2:$Y$10</c:f>
              <c:numCache>
                <c:formatCode>General</c:formatCode>
                <c:ptCount val="9"/>
                <c:pt idx="0">
                  <c:v>17</c:v>
                </c:pt>
                <c:pt idx="3">
                  <c:v>15</c:v>
                </c:pt>
              </c:numCache>
            </c:numRef>
          </c:val>
          <c:smooth val="0"/>
          <c:extLst>
            <c:ext xmlns:c16="http://schemas.microsoft.com/office/drawing/2014/chart" uri="{C3380CC4-5D6E-409C-BE32-E72D297353CC}">
              <c16:uniqueId val="{00000004-7C7F-1F4D-8D97-62419AD4FC00}"/>
            </c:ext>
          </c:extLst>
        </c:ser>
        <c:ser>
          <c:idx val="24"/>
          <c:order val="24"/>
          <c:tx>
            <c:strRef>
              <c:f>Sheet1!$Z$1</c:f>
              <c:strCache>
                <c:ptCount val="1"/>
                <c:pt idx="0">
                  <c:v>Average2</c:v>
                </c:pt>
              </c:strCache>
            </c:strRef>
          </c:tx>
          <c:spPr>
            <a:ln>
              <a:noFill/>
            </a:ln>
          </c:spPr>
          <c:marker>
            <c:symbol val="circle"/>
            <c:size val="9"/>
            <c:spPr>
              <a:solidFill>
                <a:srgbClr val="FF0000"/>
              </a:solidFill>
              <a:ln>
                <a:noFill/>
              </a:ln>
            </c:spPr>
          </c:marker>
          <c:dLbls>
            <c:dLbl>
              <c:idx val="5"/>
              <c:layout>
                <c:manualLayout>
                  <c:x val="-6.4102564102564924E-3"/>
                  <c:y val="-0.15567086730911767"/>
                </c:manualLayout>
              </c:layout>
              <c:tx>
                <c:rich>
                  <a:bodyPr/>
                  <a:lstStyle/>
                  <a:p>
                    <a:r>
                      <a:rPr lang="en-US" sz="1200" b="1">
                        <a:solidFill>
                          <a:srgbClr val="FF0000"/>
                        </a:solidFill>
                        <a:latin typeface="Times New Roman" pitchFamily="18" charset="0"/>
                        <a:cs typeface="Times New Roman" pitchFamily="18" charset="0"/>
                      </a:rPr>
                      <a:t>29 +/- 12.2</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5F8-4275-BF0A-13E86D63380B}"/>
                </c:ext>
              </c:extLst>
            </c:dLbl>
            <c:dLbl>
              <c:idx val="8"/>
              <c:layout>
                <c:manualLayout>
                  <c:x val="6.4102564102564534E-3"/>
                  <c:y val="-0.11860637509266123"/>
                </c:manualLayout>
              </c:layout>
              <c:tx>
                <c:rich>
                  <a:bodyPr/>
                  <a:lstStyle/>
                  <a:p>
                    <a:r>
                      <a:rPr lang="en-US" sz="1200" b="1">
                        <a:solidFill>
                          <a:srgbClr val="FF0000"/>
                        </a:solidFill>
                        <a:latin typeface="Times New Roman" pitchFamily="18" charset="0"/>
                        <a:cs typeface="Times New Roman" pitchFamily="18" charset="0"/>
                      </a:rPr>
                      <a:t>28 +/- 9.4</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5F8-4275-BF0A-13E86D63380B}"/>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Sheet1!$AB$2:$AB$10</c:f>
                <c:numCache>
                  <c:formatCode>General</c:formatCode>
                  <c:ptCount val="9"/>
                  <c:pt idx="5">
                    <c:v>12.2</c:v>
                  </c:pt>
                  <c:pt idx="8">
                    <c:v>9.4</c:v>
                  </c:pt>
                </c:numCache>
              </c:numRef>
            </c:plus>
            <c:minus>
              <c:numRef>
                <c:f>Sheet1!$AB$2:$AB$10</c:f>
                <c:numCache>
                  <c:formatCode>General</c:formatCode>
                  <c:ptCount val="9"/>
                  <c:pt idx="5">
                    <c:v>12.2</c:v>
                  </c:pt>
                  <c:pt idx="8">
                    <c:v>9.4</c:v>
                  </c:pt>
                </c:numCache>
              </c:numRef>
            </c:minus>
            <c:spPr>
              <a:ln w="15875">
                <a:solidFill>
                  <a:srgbClr val="FF0000"/>
                </a:solidFill>
              </a:ln>
            </c:spPr>
          </c:errBars>
          <c:cat>
            <c:strRef>
              <c:f>Sheet1!$A$2:$A$10</c:f>
              <c:strCache>
                <c:ptCount val="8"/>
                <c:pt idx="1">
                  <c:v>Rest Superior</c:v>
                </c:pt>
                <c:pt idx="2">
                  <c:v>Rest Inferior</c:v>
                </c:pt>
                <c:pt idx="6">
                  <c:v>Hyp Superior</c:v>
                </c:pt>
                <c:pt idx="7">
                  <c:v>Hyp Inferior</c:v>
                </c:pt>
              </c:strCache>
            </c:strRef>
          </c:cat>
          <c:val>
            <c:numRef>
              <c:f>Sheet1!$Z$2:$Z$10</c:f>
              <c:numCache>
                <c:formatCode>General</c:formatCode>
                <c:ptCount val="9"/>
                <c:pt idx="5">
                  <c:v>29</c:v>
                </c:pt>
                <c:pt idx="8">
                  <c:v>28</c:v>
                </c:pt>
              </c:numCache>
            </c:numRef>
          </c:val>
          <c:smooth val="0"/>
          <c:extLst>
            <c:ext xmlns:c16="http://schemas.microsoft.com/office/drawing/2014/chart" uri="{C3380CC4-5D6E-409C-BE32-E72D297353CC}">
              <c16:uniqueId val="{00000002-D5F8-4275-BF0A-13E86D63380B}"/>
            </c:ext>
          </c:extLst>
        </c:ser>
        <c:dLbls>
          <c:showLegendKey val="0"/>
          <c:showVal val="0"/>
          <c:showCatName val="0"/>
          <c:showSerName val="0"/>
          <c:showPercent val="0"/>
          <c:showBubbleSize val="0"/>
        </c:dLbls>
        <c:marker val="1"/>
        <c:smooth val="0"/>
        <c:axId val="219869184"/>
        <c:axId val="219870720"/>
      </c:lineChart>
      <c:catAx>
        <c:axId val="219869184"/>
        <c:scaling>
          <c:orientation val="minMax"/>
        </c:scaling>
        <c:delete val="0"/>
        <c:axPos val="b"/>
        <c:numFmt formatCode="General" sourceLinked="0"/>
        <c:majorTickMark val="out"/>
        <c:minorTickMark val="none"/>
        <c:tickLblPos val="nextTo"/>
        <c:spPr>
          <a:ln w="19050">
            <a:solidFill>
              <a:sysClr val="windowText" lastClr="000000"/>
            </a:solidFill>
          </a:ln>
        </c:spPr>
        <c:txPr>
          <a:bodyPr rot="0" vert="horz" anchor="ctr" anchorCtr="1"/>
          <a:lstStyle/>
          <a:p>
            <a:pPr>
              <a:defRPr sz="900"/>
            </a:pPr>
            <a:endParaRPr lang="en-US"/>
          </a:p>
        </c:txPr>
        <c:crossAx val="219870720"/>
        <c:crosses val="autoZero"/>
        <c:auto val="1"/>
        <c:lblAlgn val="ctr"/>
        <c:lblOffset val="100"/>
        <c:noMultiLvlLbl val="0"/>
      </c:catAx>
      <c:valAx>
        <c:axId val="219870720"/>
        <c:scaling>
          <c:orientation val="minMax"/>
        </c:scaling>
        <c:delete val="0"/>
        <c:axPos val="l"/>
        <c:title>
          <c:tx>
            <c:rich>
              <a:bodyPr rot="0" vert="horz"/>
              <a:lstStyle/>
              <a:p>
                <a:pPr>
                  <a:defRPr/>
                </a:pPr>
                <a:r>
                  <a:rPr lang="en-US"/>
                  <a:t>cm/s</a:t>
                </a:r>
              </a:p>
            </c:rich>
          </c:tx>
          <c:layout>
            <c:manualLayout>
              <c:xMode val="edge"/>
              <c:yMode val="edge"/>
              <c:x val="1.9230769230769565E-2"/>
              <c:y val="0.15159338403678352"/>
            </c:manualLayout>
          </c:layout>
          <c:overlay val="0"/>
        </c:title>
        <c:numFmt formatCode="General" sourceLinked="1"/>
        <c:majorTickMark val="out"/>
        <c:minorTickMark val="none"/>
        <c:tickLblPos val="nextTo"/>
        <c:spPr>
          <a:noFill/>
          <a:ln w="19050">
            <a:solidFill>
              <a:sysClr val="windowText" lastClr="000000"/>
            </a:solidFill>
          </a:ln>
        </c:spPr>
        <c:crossAx val="219869184"/>
        <c:crosses val="autoZero"/>
        <c:crossBetween val="between"/>
      </c:valAx>
      <c:spPr>
        <a:solidFill>
          <a:sysClr val="window" lastClr="FFFFFF"/>
        </a:solidFill>
      </c:spPr>
    </c:plotArea>
    <c:plotVisOnly val="1"/>
    <c:dispBlanksAs val="gap"/>
    <c:showDLblsOverMax val="0"/>
  </c:chart>
  <c:spPr>
    <a:ln>
      <a:noFill/>
    </a:ln>
  </c:sp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200">
                <a:latin typeface="Times New Roman" pitchFamily="18" charset="0"/>
                <a:cs typeface="Times New Roman" pitchFamily="18" charset="0"/>
              </a:defRPr>
            </a:pPr>
            <a:r>
              <a:rPr lang="en-US" sz="1200">
                <a:latin typeface="Times New Roman" pitchFamily="18" charset="0"/>
                <a:cs typeface="Times New Roman" pitchFamily="18" charset="0"/>
              </a:rPr>
              <a:t>Doppler Flow - Rest and Hyperaemic</a:t>
            </a:r>
          </a:p>
        </c:rich>
      </c:tx>
      <c:layout>
        <c:manualLayout>
          <c:xMode val="edge"/>
          <c:yMode val="edge"/>
          <c:x val="0.34003158334155681"/>
          <c:y val="9.3448768147385522E-4"/>
        </c:manualLayout>
      </c:layout>
      <c:overlay val="1"/>
    </c:title>
    <c:autoTitleDeleted val="0"/>
    <c:plotArea>
      <c:layout>
        <c:manualLayout>
          <c:layoutTarget val="inner"/>
          <c:xMode val="edge"/>
          <c:yMode val="edge"/>
          <c:x val="9.4304670208980007E-2"/>
          <c:y val="0.10198174358336159"/>
          <c:w val="0.87907777678362664"/>
          <c:h val="0.66659692785311764"/>
        </c:manualLayout>
      </c:layout>
      <c:barChart>
        <c:barDir val="col"/>
        <c:grouping val="clustered"/>
        <c:varyColors val="0"/>
        <c:ser>
          <c:idx val="10"/>
          <c:order val="0"/>
          <c:tx>
            <c:strRef>
              <c:f>Sheet1!$L$1</c:f>
              <c:strCache>
                <c:ptCount val="1"/>
                <c:pt idx="0">
                  <c:v>Mean</c:v>
                </c:pt>
              </c:strCache>
            </c:strRef>
          </c:tx>
          <c:spPr>
            <a:solidFill>
              <a:schemeClr val="tx1">
                <a:lumMod val="65000"/>
                <a:lumOff val="35000"/>
              </a:schemeClr>
            </a:solidFill>
            <a:ln>
              <a:noFill/>
            </a:ln>
          </c:spPr>
          <c:invertIfNegative val="0"/>
          <c:dLbls>
            <c:dLbl>
              <c:idx val="0"/>
              <c:layout>
                <c:manualLayout>
                  <c:x val="1.6441865275672721E-2"/>
                  <c:y val="-6.8614795272490911E-2"/>
                </c:manualLayout>
              </c:layout>
              <c:tx>
                <c:rich>
                  <a:bodyPr/>
                  <a:lstStyle/>
                  <a:p>
                    <a:r>
                      <a:rPr lang="en-US" b="1">
                        <a:solidFill>
                          <a:srgbClr val="FF0000"/>
                        </a:solidFill>
                        <a:latin typeface="Times New Roman" pitchFamily="18" charset="0"/>
                        <a:cs typeface="Times New Roman" pitchFamily="18" charset="0"/>
                      </a:rPr>
                      <a:t>15.7 +/- 4.0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2D3-46C4-894C-ACF32B115327}"/>
                </c:ext>
              </c:extLst>
            </c:dLbl>
            <c:dLbl>
              <c:idx val="1"/>
              <c:layout>
                <c:manualLayout>
                  <c:x val="1.461499135615324E-2"/>
                  <c:y val="-6.6248767849301574E-2"/>
                </c:manualLayout>
              </c:layout>
              <c:tx>
                <c:rich>
                  <a:bodyPr/>
                  <a:lstStyle/>
                  <a:p>
                    <a:r>
                      <a:rPr lang="en-US" b="1">
                        <a:solidFill>
                          <a:srgbClr val="FF0000"/>
                        </a:solidFill>
                        <a:latin typeface="Times New Roman" pitchFamily="18" charset="0"/>
                        <a:cs typeface="Times New Roman" pitchFamily="18" charset="0"/>
                      </a:rPr>
                      <a:t>13.6</a:t>
                    </a:r>
                    <a:r>
                      <a:rPr lang="en-US" b="1" baseline="0">
                        <a:solidFill>
                          <a:srgbClr val="FF0000"/>
                        </a:solidFill>
                        <a:latin typeface="Times New Roman" pitchFamily="18" charset="0"/>
                        <a:cs typeface="Times New Roman" pitchFamily="18" charset="0"/>
                      </a:rPr>
                      <a:t>  +/- 5.0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2D3-46C4-894C-ACF32B115327}"/>
                </c:ext>
              </c:extLst>
            </c:dLbl>
            <c:dLbl>
              <c:idx val="3"/>
              <c:layout>
                <c:manualLayout>
                  <c:x val="-1.6441865275672721E-2"/>
                  <c:y val="-0.13727169465503228"/>
                </c:manualLayout>
              </c:layout>
              <c:tx>
                <c:rich>
                  <a:bodyPr/>
                  <a:lstStyle/>
                  <a:p>
                    <a:r>
                      <a:rPr lang="en-US" b="1">
                        <a:solidFill>
                          <a:srgbClr val="FF0000"/>
                        </a:solidFill>
                        <a:latin typeface="Times New Roman" pitchFamily="18" charset="0"/>
                        <a:cs typeface="Times New Roman" pitchFamily="18" charset="0"/>
                      </a:rPr>
                      <a:t>30.5 +/- 9.2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2D3-46C4-894C-ACF32B115327}"/>
                </c:ext>
              </c:extLst>
            </c:dLbl>
            <c:dLbl>
              <c:idx val="4"/>
              <c:layout>
                <c:manualLayout>
                  <c:x val="5.4806217585575499E-3"/>
                  <c:y val="-0.19503070898663788"/>
                </c:manualLayout>
              </c:layout>
              <c:tx>
                <c:rich>
                  <a:bodyPr/>
                  <a:lstStyle/>
                  <a:p>
                    <a:r>
                      <a:rPr lang="en-US" b="1">
                        <a:solidFill>
                          <a:srgbClr val="FF0000"/>
                        </a:solidFill>
                        <a:latin typeface="Times New Roman" pitchFamily="18" charset="0"/>
                        <a:cs typeface="Times New Roman" pitchFamily="18" charset="0"/>
                      </a:rPr>
                      <a:t>30.4</a:t>
                    </a:r>
                    <a:r>
                      <a:rPr lang="en-US" b="1" baseline="0">
                        <a:solidFill>
                          <a:srgbClr val="FF0000"/>
                        </a:solidFill>
                        <a:latin typeface="Times New Roman" pitchFamily="18" charset="0"/>
                        <a:cs typeface="Times New Roman" pitchFamily="18" charset="0"/>
                      </a:rPr>
                      <a:t> +/- 13.4</a:t>
                    </a:r>
                    <a:endParaRPr lang="en-US" b="1">
                      <a:solidFill>
                        <a:srgbClr val="FF0000"/>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2D3-46C4-894C-ACF32B115327}"/>
                </c:ext>
              </c:extLst>
            </c:dLbl>
            <c:dLbl>
              <c:idx val="6"/>
              <c:layout>
                <c:manualLayout>
                  <c:x val="0"/>
                  <c:y val="-8.9909042081195226E-2"/>
                </c:manualLayout>
              </c:layout>
              <c:tx>
                <c:rich>
                  <a:bodyPr/>
                  <a:lstStyle/>
                  <a:p>
                    <a:r>
                      <a:rPr lang="en-US" b="1">
                        <a:solidFill>
                          <a:srgbClr val="FF0000"/>
                        </a:solidFill>
                        <a:latin typeface="Times New Roman" pitchFamily="18" charset="0"/>
                        <a:cs typeface="Times New Roman" pitchFamily="18" charset="0"/>
                      </a:rPr>
                      <a:t>21.3 +/- 6.2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2D3-46C4-894C-ACF32B115327}"/>
                </c:ext>
              </c:extLst>
            </c:dLbl>
            <c:dLbl>
              <c:idx val="7"/>
              <c:layout>
                <c:manualLayout>
                  <c:x val="5.4806217585575499E-3"/>
                  <c:y val="-6.8614795272490911E-2"/>
                </c:manualLayout>
              </c:layout>
              <c:tx>
                <c:rich>
                  <a:bodyPr/>
                  <a:lstStyle/>
                  <a:p>
                    <a:r>
                      <a:rPr lang="en-US" b="1">
                        <a:solidFill>
                          <a:srgbClr val="FF0000"/>
                        </a:solidFill>
                        <a:latin typeface="Times New Roman" pitchFamily="18" charset="0"/>
                        <a:cs typeface="Times New Roman" pitchFamily="18" charset="0"/>
                      </a:rPr>
                      <a:t>16.8 +/- 5.0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2D3-46C4-894C-ACF32B115327}"/>
                </c:ext>
              </c:extLst>
            </c:dLbl>
            <c:dLbl>
              <c:idx val="9"/>
              <c:layout>
                <c:manualLayout>
                  <c:x val="-1.8270177678593002E-3"/>
                  <c:y val="-0.15061087288340691"/>
                </c:manualLayout>
              </c:layout>
              <c:tx>
                <c:rich>
                  <a:bodyPr/>
                  <a:lstStyle/>
                  <a:p>
                    <a:r>
                      <a:rPr lang="en-US" b="1">
                        <a:solidFill>
                          <a:srgbClr val="FF0000"/>
                        </a:solidFill>
                        <a:latin typeface="Times New Roman" pitchFamily="18" charset="0"/>
                        <a:cs typeface="Times New Roman" pitchFamily="18" charset="0"/>
                      </a:rPr>
                      <a:t>33.5</a:t>
                    </a:r>
                    <a:r>
                      <a:rPr lang="en-US" b="1" baseline="0">
                        <a:solidFill>
                          <a:srgbClr val="FF0000"/>
                        </a:solidFill>
                        <a:latin typeface="Times New Roman" pitchFamily="18" charset="0"/>
                        <a:cs typeface="Times New Roman" pitchFamily="18" charset="0"/>
                      </a:rPr>
                      <a:t> +/-10.3</a:t>
                    </a:r>
                    <a:endParaRPr lang="en-US" b="1">
                      <a:solidFill>
                        <a:srgbClr val="FF0000"/>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2D3-46C4-894C-ACF32B115327}"/>
                </c:ext>
              </c:extLst>
            </c:dLbl>
            <c:dLbl>
              <c:idx val="10"/>
              <c:layout>
                <c:manualLayout>
                  <c:x val="1.8268739195191621E-3"/>
                  <c:y val="-9.9373151773952326E-2"/>
                </c:manualLayout>
              </c:layout>
              <c:tx>
                <c:rich>
                  <a:bodyPr/>
                  <a:lstStyle/>
                  <a:p>
                    <a:r>
                      <a:rPr lang="en-US" b="1">
                        <a:solidFill>
                          <a:srgbClr val="FF0000"/>
                        </a:solidFill>
                        <a:latin typeface="Times New Roman" pitchFamily="18" charset="0"/>
                        <a:cs typeface="Times New Roman" pitchFamily="18" charset="0"/>
                      </a:rPr>
                      <a:t>31.5</a:t>
                    </a:r>
                    <a:r>
                      <a:rPr lang="en-US" b="1" baseline="0">
                        <a:solidFill>
                          <a:srgbClr val="FF0000"/>
                        </a:solidFill>
                        <a:latin typeface="Times New Roman" pitchFamily="18" charset="0"/>
                        <a:cs typeface="Times New Roman" pitchFamily="18" charset="0"/>
                      </a:rPr>
                      <a:t> +/- 6.8</a:t>
                    </a:r>
                    <a:endParaRPr lang="en-US" b="1">
                      <a:solidFill>
                        <a:srgbClr val="FF0000"/>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92D3-46C4-894C-ACF32B115327}"/>
                </c:ext>
              </c:extLst>
            </c:dLbl>
            <c:dLbl>
              <c:idx val="12"/>
              <c:layout>
                <c:manualLayout>
                  <c:x val="-3.8364352309902261E-2"/>
                  <c:y val="-2.6026301655082757E-2"/>
                </c:manualLayout>
              </c:layout>
              <c:tx>
                <c:rich>
                  <a:bodyPr/>
                  <a:lstStyle/>
                  <a:p>
                    <a:r>
                      <a:rPr lang="en-US" b="1">
                        <a:solidFill>
                          <a:srgbClr val="FF0000"/>
                        </a:solidFill>
                        <a:latin typeface="Times New Roman" pitchFamily="18" charset="0"/>
                        <a:cs typeface="Times New Roman" pitchFamily="18" charset="0"/>
                      </a:rPr>
                      <a:t>12.3</a:t>
                    </a:r>
                    <a:r>
                      <a:rPr lang="en-US" b="1" baseline="0">
                        <a:solidFill>
                          <a:srgbClr val="FF0000"/>
                        </a:solidFill>
                        <a:latin typeface="Times New Roman" pitchFamily="18" charset="0"/>
                        <a:cs typeface="Times New Roman" pitchFamily="18" charset="0"/>
                      </a:rPr>
                      <a:t> +/- 2.6</a:t>
                    </a:r>
                    <a:endParaRPr lang="en-US" b="1">
                      <a:solidFill>
                        <a:srgbClr val="FF0000"/>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2D3-46C4-894C-ACF32B115327}"/>
                </c:ext>
              </c:extLst>
            </c:dLbl>
            <c:dLbl>
              <c:idx val="13"/>
              <c:layout>
                <c:manualLayout>
                  <c:x val="1.2788117436634086E-2"/>
                  <c:y val="-3.312438392465078E-2"/>
                </c:manualLayout>
              </c:layout>
              <c:tx>
                <c:rich>
                  <a:bodyPr/>
                  <a:lstStyle/>
                  <a:p>
                    <a:r>
                      <a:rPr lang="en-US" b="1">
                        <a:solidFill>
                          <a:srgbClr val="FF0000"/>
                        </a:solidFill>
                        <a:latin typeface="Times New Roman" pitchFamily="18" charset="0"/>
                        <a:cs typeface="Times New Roman" pitchFamily="18" charset="0"/>
                      </a:rPr>
                      <a:t>12.1</a:t>
                    </a:r>
                    <a:r>
                      <a:rPr lang="en-US" b="1" baseline="0">
                        <a:solidFill>
                          <a:srgbClr val="FF0000"/>
                        </a:solidFill>
                        <a:latin typeface="Times New Roman" pitchFamily="18" charset="0"/>
                        <a:cs typeface="Times New Roman" pitchFamily="18" charset="0"/>
                      </a:rPr>
                      <a:t> +/- 2.2</a:t>
                    </a:r>
                    <a:endParaRPr lang="en-US" b="1">
                      <a:solidFill>
                        <a:srgbClr val="FF0000"/>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92D3-46C4-894C-ACF32B115327}"/>
                </c:ext>
              </c:extLst>
            </c:dLbl>
            <c:dLbl>
              <c:idx val="15"/>
              <c:layout>
                <c:manualLayout>
                  <c:x val="-3.4710604470863951E-2"/>
                  <c:y val="-8.0444932388437765E-2"/>
                </c:manualLayout>
              </c:layout>
              <c:tx>
                <c:rich>
                  <a:bodyPr/>
                  <a:lstStyle/>
                  <a:p>
                    <a:r>
                      <a:rPr lang="en-US" b="1">
                        <a:solidFill>
                          <a:srgbClr val="FF0000"/>
                        </a:solidFill>
                        <a:latin typeface="Times New Roman" pitchFamily="18" charset="0"/>
                        <a:cs typeface="Times New Roman" pitchFamily="18" charset="0"/>
                      </a:rPr>
                      <a:t>20.0</a:t>
                    </a:r>
                    <a:r>
                      <a:rPr lang="en-US" b="1" baseline="0">
                        <a:solidFill>
                          <a:srgbClr val="FF0000"/>
                        </a:solidFill>
                        <a:latin typeface="Times New Roman" pitchFamily="18" charset="0"/>
                        <a:cs typeface="Times New Roman" pitchFamily="18" charset="0"/>
                      </a:rPr>
                      <a:t> +/- 3.4</a:t>
                    </a:r>
                    <a:endParaRPr lang="en-US" b="1">
                      <a:solidFill>
                        <a:srgbClr val="FF0000"/>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92D3-46C4-894C-ACF32B115327}"/>
                </c:ext>
              </c:extLst>
            </c:dLbl>
            <c:dLbl>
              <c:idx val="16"/>
              <c:layout>
                <c:manualLayout>
                  <c:x val="4.2341758914209724E-3"/>
                  <c:y val="-6.3882740426112222E-2"/>
                </c:manualLayout>
              </c:layout>
              <c:tx>
                <c:rich>
                  <a:bodyPr/>
                  <a:lstStyle/>
                  <a:p>
                    <a:r>
                      <a:rPr lang="en-US" b="1">
                        <a:solidFill>
                          <a:srgbClr val="FF0000"/>
                        </a:solidFill>
                        <a:latin typeface="Times New Roman" pitchFamily="18" charset="0"/>
                        <a:cs typeface="Times New Roman" pitchFamily="18" charset="0"/>
                      </a:rPr>
                      <a:t>19.5</a:t>
                    </a:r>
                    <a:r>
                      <a:rPr lang="en-US" b="1" baseline="0">
                        <a:solidFill>
                          <a:srgbClr val="FF0000"/>
                        </a:solidFill>
                        <a:latin typeface="Times New Roman" pitchFamily="18" charset="0"/>
                        <a:cs typeface="Times New Roman" pitchFamily="18" charset="0"/>
                      </a:rPr>
                      <a:t> +/- 4.4</a:t>
                    </a:r>
                    <a:endParaRPr lang="en-US" b="1">
                      <a:solidFill>
                        <a:srgbClr val="FF0000"/>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92D3-46C4-894C-ACF32B115327}"/>
                </c:ext>
              </c:extLst>
            </c:dLbl>
            <c:spPr>
              <a:noFill/>
              <a:ln>
                <a:noFill/>
              </a:ln>
              <a:effectLst/>
            </c:spPr>
            <c:txPr>
              <a:bodyPr/>
              <a:lstStyle/>
              <a:p>
                <a:pPr>
                  <a:defRPr b="1">
                    <a:solidFill>
                      <a:srgbClr val="FF0000"/>
                    </a:solidFill>
                    <a:latin typeface="Times New Roman" pitchFamily="18" charset="0"/>
                    <a:cs typeface="Times New Roman"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Sheet1!$N$2:$N$18</c:f>
                <c:numCache>
                  <c:formatCode>General</c:formatCode>
                  <c:ptCount val="17"/>
                  <c:pt idx="0">
                    <c:v>3.9918041034098324</c:v>
                  </c:pt>
                  <c:pt idx="1">
                    <c:v>5.0226511923485324</c:v>
                  </c:pt>
                  <c:pt idx="3">
                    <c:v>9.2307366986606247</c:v>
                  </c:pt>
                  <c:pt idx="4">
                    <c:v>13.441283420864245</c:v>
                  </c:pt>
                  <c:pt idx="6">
                    <c:v>6.1850049081859586</c:v>
                  </c:pt>
                  <c:pt idx="7">
                    <c:v>5.0223581744687475</c:v>
                  </c:pt>
                  <c:pt idx="9">
                    <c:v>10.320813130440342</c:v>
                  </c:pt>
                  <c:pt idx="10">
                    <c:v>6.7603284547665901</c:v>
                  </c:pt>
                  <c:pt idx="12">
                    <c:v>2.5785439474418244</c:v>
                  </c:pt>
                  <c:pt idx="13">
                    <c:v>2.1738981883550514</c:v>
                  </c:pt>
                  <c:pt idx="15">
                    <c:v>3.4099934832130527</c:v>
                  </c:pt>
                  <c:pt idx="16">
                    <c:v>4.4067183557230933</c:v>
                  </c:pt>
                </c:numCache>
              </c:numRef>
            </c:plus>
            <c:minus>
              <c:numRef>
                <c:f>Sheet1!$N$2:$N$18</c:f>
                <c:numCache>
                  <c:formatCode>General</c:formatCode>
                  <c:ptCount val="17"/>
                  <c:pt idx="0">
                    <c:v>3.9918041034098324</c:v>
                  </c:pt>
                  <c:pt idx="1">
                    <c:v>5.0226511923485324</c:v>
                  </c:pt>
                  <c:pt idx="3">
                    <c:v>9.2307366986606247</c:v>
                  </c:pt>
                  <c:pt idx="4">
                    <c:v>13.441283420864245</c:v>
                  </c:pt>
                  <c:pt idx="6">
                    <c:v>6.1850049081859586</c:v>
                  </c:pt>
                  <c:pt idx="7">
                    <c:v>5.0223581744687475</c:v>
                  </c:pt>
                  <c:pt idx="9">
                    <c:v>10.320813130440342</c:v>
                  </c:pt>
                  <c:pt idx="10">
                    <c:v>6.7603284547665901</c:v>
                  </c:pt>
                  <c:pt idx="12">
                    <c:v>2.5785439474418244</c:v>
                  </c:pt>
                  <c:pt idx="13">
                    <c:v>2.1738981883550514</c:v>
                  </c:pt>
                  <c:pt idx="15">
                    <c:v>3.4099934832130527</c:v>
                  </c:pt>
                  <c:pt idx="16">
                    <c:v>4.4067183557230933</c:v>
                  </c:pt>
                </c:numCache>
              </c:numRef>
            </c:minus>
            <c:spPr>
              <a:ln w="15875">
                <a:solidFill>
                  <a:srgbClr val="FF0000"/>
                </a:solidFill>
              </a:ln>
            </c:spPr>
          </c:errBars>
          <c:cat>
            <c:strRef>
              <c:f>Sheet1!$A$2:$A$18</c:f>
              <c:strCache>
                <c:ptCount val="17"/>
                <c:pt idx="0">
                  <c:v>LAD Resting Prone</c:v>
                </c:pt>
                <c:pt idx="1">
                  <c:v>LAD Resting Supine</c:v>
                </c:pt>
                <c:pt idx="3">
                  <c:v>LAD Hyperaemic Prone</c:v>
                </c:pt>
                <c:pt idx="4">
                  <c:v>LAD Hyperaemic Supine</c:v>
                </c:pt>
                <c:pt idx="6">
                  <c:v>Cx Resting Prone</c:v>
                </c:pt>
                <c:pt idx="7">
                  <c:v>Cx Resting Supine</c:v>
                </c:pt>
                <c:pt idx="9">
                  <c:v>Cx Hyperaemic Prone</c:v>
                </c:pt>
                <c:pt idx="10">
                  <c:v>Cx Hyperaemic Supine</c:v>
                </c:pt>
                <c:pt idx="12">
                  <c:v>RCA Resting Prone</c:v>
                </c:pt>
                <c:pt idx="13">
                  <c:v>RCA Resting Supine</c:v>
                </c:pt>
                <c:pt idx="15">
                  <c:v>RCA Hyperaemic Prone</c:v>
                </c:pt>
                <c:pt idx="16">
                  <c:v>RCA Hyperaemic Supine</c:v>
                </c:pt>
              </c:strCache>
            </c:strRef>
          </c:cat>
          <c:val>
            <c:numRef>
              <c:f>Sheet1!$L$2:$L$18</c:f>
              <c:numCache>
                <c:formatCode>General</c:formatCode>
                <c:ptCount val="17"/>
                <c:pt idx="0">
                  <c:v>15.75</c:v>
                </c:pt>
                <c:pt idx="1">
                  <c:v>13.615</c:v>
                </c:pt>
                <c:pt idx="3">
                  <c:v>30.55</c:v>
                </c:pt>
                <c:pt idx="4">
                  <c:v>30.369999999999987</c:v>
                </c:pt>
                <c:pt idx="6">
                  <c:v>21.3</c:v>
                </c:pt>
                <c:pt idx="7">
                  <c:v>16.814285714286111</c:v>
                </c:pt>
                <c:pt idx="9">
                  <c:v>33.528571428572157</c:v>
                </c:pt>
                <c:pt idx="10">
                  <c:v>31.471428571428529</c:v>
                </c:pt>
                <c:pt idx="12">
                  <c:v>12.266666666666676</c:v>
                </c:pt>
                <c:pt idx="13">
                  <c:v>12.05</c:v>
                </c:pt>
                <c:pt idx="15">
                  <c:v>20.016666666666691</c:v>
                </c:pt>
                <c:pt idx="16">
                  <c:v>19.45</c:v>
                </c:pt>
              </c:numCache>
            </c:numRef>
          </c:val>
          <c:extLst>
            <c:ext xmlns:c16="http://schemas.microsoft.com/office/drawing/2014/chart" uri="{C3380CC4-5D6E-409C-BE32-E72D297353CC}">
              <c16:uniqueId val="{0000000C-92D3-46C4-894C-ACF32B115327}"/>
            </c:ext>
          </c:extLst>
        </c:ser>
        <c:dLbls>
          <c:showLegendKey val="0"/>
          <c:showVal val="0"/>
          <c:showCatName val="0"/>
          <c:showSerName val="0"/>
          <c:showPercent val="0"/>
          <c:showBubbleSize val="0"/>
        </c:dLbls>
        <c:gapWidth val="39"/>
        <c:axId val="219987968"/>
        <c:axId val="219989504"/>
      </c:barChart>
      <c:catAx>
        <c:axId val="219987968"/>
        <c:scaling>
          <c:orientation val="minMax"/>
        </c:scaling>
        <c:delete val="0"/>
        <c:axPos val="b"/>
        <c:numFmt formatCode="General" sourceLinked="0"/>
        <c:majorTickMark val="out"/>
        <c:minorTickMark val="none"/>
        <c:tickLblPos val="nextTo"/>
        <c:crossAx val="219989504"/>
        <c:crosses val="autoZero"/>
        <c:auto val="1"/>
        <c:lblAlgn val="ctr"/>
        <c:lblOffset val="100"/>
        <c:noMultiLvlLbl val="0"/>
      </c:catAx>
      <c:valAx>
        <c:axId val="219989504"/>
        <c:scaling>
          <c:orientation val="minMax"/>
        </c:scaling>
        <c:delete val="0"/>
        <c:axPos val="l"/>
        <c:title>
          <c:tx>
            <c:rich>
              <a:bodyPr rot="-5400000" vert="horz"/>
              <a:lstStyle/>
              <a:p>
                <a:pPr>
                  <a:defRPr/>
                </a:pPr>
                <a:r>
                  <a:rPr lang="en-US"/>
                  <a:t>cm/s</a:t>
                </a:r>
              </a:p>
            </c:rich>
          </c:tx>
          <c:overlay val="0"/>
        </c:title>
        <c:numFmt formatCode="General" sourceLinked="1"/>
        <c:majorTickMark val="out"/>
        <c:minorTickMark val="none"/>
        <c:tickLblPos val="nextTo"/>
        <c:crossAx val="219987968"/>
        <c:crosses val="autoZero"/>
        <c:crossBetween val="between"/>
      </c:valAx>
    </c:plotArea>
    <c:plotVisOnly val="1"/>
    <c:dispBlanksAs val="gap"/>
    <c:showDLblsOverMax val="0"/>
  </c:chart>
  <c:spPr>
    <a:ln>
      <a:noFill/>
    </a:ln>
  </c:sp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GB" sz="1200"/>
            </a:pPr>
            <a:r>
              <a:rPr lang="en-US" sz="1200" dirty="0"/>
              <a:t>Distance  in mm from respective LCA/RCA </a:t>
            </a:r>
            <a:r>
              <a:rPr lang="en-US" sz="1200" dirty="0" err="1"/>
              <a:t>Ostium</a:t>
            </a:r>
            <a:endParaRPr lang="en-US" sz="1200" dirty="0"/>
          </a:p>
          <a:p>
            <a:pPr>
              <a:defRPr lang="en-GB" sz="1200"/>
            </a:pPr>
            <a:r>
              <a:rPr lang="en-US" sz="1200" dirty="0"/>
              <a:t>** = p</a:t>
            </a:r>
            <a:r>
              <a:rPr lang="en-US" sz="1200" baseline="0" dirty="0"/>
              <a:t> &lt;0.05</a:t>
            </a:r>
            <a:endParaRPr lang="en-US" sz="1200" dirty="0"/>
          </a:p>
        </c:rich>
      </c:tx>
      <c:layout>
        <c:manualLayout>
          <c:xMode val="edge"/>
          <c:yMode val="edge"/>
          <c:x val="0.44776900554029675"/>
          <c:y val="2.3483847227404261E-2"/>
        </c:manualLayout>
      </c:layout>
      <c:overlay val="0"/>
    </c:title>
    <c:autoTitleDeleted val="0"/>
    <c:plotArea>
      <c:layout>
        <c:manualLayout>
          <c:layoutTarget val="inner"/>
          <c:xMode val="edge"/>
          <c:yMode val="edge"/>
          <c:x val="9.9753462232012466E-2"/>
          <c:y val="0.13030622844328438"/>
          <c:w val="0.85800797241583704"/>
          <c:h val="0.80511319168134809"/>
        </c:manualLayout>
      </c:layout>
      <c:barChart>
        <c:barDir val="col"/>
        <c:grouping val="clustered"/>
        <c:varyColors val="0"/>
        <c:ser>
          <c:idx val="0"/>
          <c:order val="0"/>
          <c:tx>
            <c:strRef>
              <c:f>Sheet1!$B$1</c:f>
              <c:strCache>
                <c:ptCount val="1"/>
                <c:pt idx="0">
                  <c:v>Distance from LCA/RCA Ostium</c:v>
                </c:pt>
              </c:strCache>
            </c:strRef>
          </c:tx>
          <c:spPr>
            <a:solidFill>
              <a:srgbClr val="0070C0"/>
            </a:solidFill>
          </c:spPr>
          <c:invertIfNegative val="0"/>
          <c:dLbls>
            <c:dLbl>
              <c:idx val="1"/>
              <c:layout>
                <c:manualLayout>
                  <c:x val="0"/>
                  <c:y val="-3.971631205673759E-2"/>
                </c:manualLayout>
              </c:layout>
              <c:tx>
                <c:rich>
                  <a:bodyPr/>
                  <a:lstStyle/>
                  <a:p>
                    <a:r>
                      <a:rPr lang="en-US" sz="1200"/>
                      <a:t>52.5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20E4-4DED-BB45-FCFDA6D05770}"/>
                </c:ext>
              </c:extLst>
            </c:dLbl>
            <c:dLbl>
              <c:idx val="2"/>
              <c:layout>
                <c:manualLayout>
                  <c:x val="0"/>
                  <c:y val="-2.8368794326241127E-2"/>
                </c:manualLayout>
              </c:layout>
              <c:tx>
                <c:rich>
                  <a:bodyPr/>
                  <a:lstStyle/>
                  <a:p>
                    <a:r>
                      <a:rPr lang="en-US" sz="1200"/>
                      <a:t>-33.6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0E4-4DED-BB45-FCFDA6D05770}"/>
                </c:ext>
              </c:extLst>
            </c:dLbl>
            <c:dLbl>
              <c:idx val="3"/>
              <c:layout>
                <c:manualLayout>
                  <c:x val="5.9523809523809521E-3"/>
                  <c:y val="-3.9716088680404354E-2"/>
                </c:manualLayout>
              </c:layout>
              <c:tx>
                <c:rich>
                  <a:bodyPr/>
                  <a:lstStyle/>
                  <a:p>
                    <a:r>
                      <a:rPr lang="en-US" sz="1200"/>
                      <a:t>-18.2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20E4-4DED-BB45-FCFDA6D05770}"/>
                </c:ext>
              </c:extLst>
            </c:dLbl>
            <c:dLbl>
              <c:idx val="4"/>
              <c:layout>
                <c:manualLayout>
                  <c:x val="0"/>
                  <c:y val="-5.106382978723404E-2"/>
                </c:manualLayout>
              </c:layout>
              <c:tx>
                <c:rich>
                  <a:bodyPr/>
                  <a:lstStyle/>
                  <a:p>
                    <a:r>
                      <a:rPr lang="en-US" sz="1200"/>
                      <a:t>18.3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0E4-4DED-BB45-FCFDA6D05770}"/>
                </c:ext>
              </c:extLst>
            </c:dLbl>
            <c:dLbl>
              <c:idx val="5"/>
              <c:layout>
                <c:manualLayout>
                  <c:x val="1.9841269841270066E-3"/>
                  <c:y val="-4.2553191489361722E-2"/>
                </c:manualLayout>
              </c:layout>
              <c:tx>
                <c:rich>
                  <a:bodyPr/>
                  <a:lstStyle/>
                  <a:p>
                    <a:r>
                      <a:rPr lang="en-US" sz="1200"/>
                      <a:t>-57.4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20E4-4DED-BB45-FCFDA6D05770}"/>
                </c:ext>
              </c:extLst>
            </c:dLbl>
            <c:spPr>
              <a:noFill/>
              <a:ln>
                <a:noFill/>
              </a:ln>
              <a:effectLst/>
            </c:spPr>
            <c:txPr>
              <a:bodyPr/>
              <a:lstStyle/>
              <a:p>
                <a:pPr>
                  <a:defRPr lang="en-GB" sz="12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Sheet1!$C$2:$C$7</c:f>
                <c:numCache>
                  <c:formatCode>General</c:formatCode>
                  <c:ptCount val="6"/>
                  <c:pt idx="0">
                    <c:v>3.8</c:v>
                  </c:pt>
                  <c:pt idx="1">
                    <c:v>12.5</c:v>
                  </c:pt>
                  <c:pt idx="2">
                    <c:v>7.5</c:v>
                  </c:pt>
                  <c:pt idx="3">
                    <c:v>11.6</c:v>
                  </c:pt>
                  <c:pt idx="4">
                    <c:v>15</c:v>
                  </c:pt>
                  <c:pt idx="5">
                    <c:v>12.1</c:v>
                  </c:pt>
                </c:numCache>
              </c:numRef>
            </c:plus>
            <c:minus>
              <c:numRef>
                <c:f>Sheet1!$C$2:$C$7</c:f>
                <c:numCache>
                  <c:formatCode>General</c:formatCode>
                  <c:ptCount val="6"/>
                  <c:pt idx="0">
                    <c:v>3.8</c:v>
                  </c:pt>
                  <c:pt idx="1">
                    <c:v>12.5</c:v>
                  </c:pt>
                  <c:pt idx="2">
                    <c:v>7.5</c:v>
                  </c:pt>
                  <c:pt idx="3">
                    <c:v>11.6</c:v>
                  </c:pt>
                  <c:pt idx="4">
                    <c:v>15</c:v>
                  </c:pt>
                  <c:pt idx="5">
                    <c:v>12.1</c:v>
                  </c:pt>
                </c:numCache>
              </c:numRef>
            </c:minus>
            <c:spPr>
              <a:ln w="15875">
                <a:solidFill>
                  <a:schemeClr val="tx2">
                    <a:lumMod val="75000"/>
                  </a:schemeClr>
                </a:solidFill>
              </a:ln>
            </c:spPr>
          </c:errBars>
          <c:cat>
            <c:strRef>
              <c:f>Sheet1!$A$2:$A$7</c:f>
              <c:strCache>
                <c:ptCount val="6"/>
                <c:pt idx="0">
                  <c:v>LAD Ostium</c:v>
                </c:pt>
                <c:pt idx="1">
                  <c:v>Distal LAD</c:v>
                </c:pt>
                <c:pt idx="2">
                  <c:v>Distal Cx</c:v>
                </c:pt>
                <c:pt idx="3">
                  <c:v>RCA Bifurcation</c:v>
                </c:pt>
                <c:pt idx="4">
                  <c:v>Distal PDA</c:v>
                </c:pt>
                <c:pt idx="5">
                  <c:v>Distal PLV</c:v>
                </c:pt>
              </c:strCache>
            </c:strRef>
          </c:cat>
          <c:val>
            <c:numRef>
              <c:f>Sheet1!$B$2:$B$7</c:f>
              <c:numCache>
                <c:formatCode>General</c:formatCode>
                <c:ptCount val="6"/>
                <c:pt idx="0">
                  <c:v>-2.1</c:v>
                </c:pt>
                <c:pt idx="1">
                  <c:v>52.5</c:v>
                </c:pt>
                <c:pt idx="2">
                  <c:v>-33.6</c:v>
                </c:pt>
                <c:pt idx="3">
                  <c:v>-18.2</c:v>
                </c:pt>
                <c:pt idx="4">
                  <c:v>18.3</c:v>
                </c:pt>
                <c:pt idx="5">
                  <c:v>-56.6</c:v>
                </c:pt>
              </c:numCache>
            </c:numRef>
          </c:val>
          <c:extLst>
            <c:ext xmlns:c16="http://schemas.microsoft.com/office/drawing/2014/chart" uri="{C3380CC4-5D6E-409C-BE32-E72D297353CC}">
              <c16:uniqueId val="{00000005-20E4-4DED-BB45-FCFDA6D05770}"/>
            </c:ext>
          </c:extLst>
        </c:ser>
        <c:dLbls>
          <c:showLegendKey val="0"/>
          <c:showVal val="0"/>
          <c:showCatName val="0"/>
          <c:showSerName val="0"/>
          <c:showPercent val="0"/>
          <c:showBubbleSize val="0"/>
        </c:dLbls>
        <c:gapWidth val="150"/>
        <c:axId val="222623616"/>
        <c:axId val="222625152"/>
      </c:barChart>
      <c:catAx>
        <c:axId val="222623616"/>
        <c:scaling>
          <c:orientation val="minMax"/>
        </c:scaling>
        <c:delete val="0"/>
        <c:axPos val="b"/>
        <c:numFmt formatCode="General" sourceLinked="0"/>
        <c:majorTickMark val="out"/>
        <c:minorTickMark val="none"/>
        <c:tickLblPos val="low"/>
        <c:txPr>
          <a:bodyPr rot="5400000" vert="horz" anchor="t" anchorCtr="1"/>
          <a:lstStyle/>
          <a:p>
            <a:pPr>
              <a:defRPr lang="en-GB" sz="1200" b="1"/>
            </a:pPr>
            <a:endParaRPr lang="en-US"/>
          </a:p>
        </c:txPr>
        <c:crossAx val="222625152"/>
        <c:crosses val="autoZero"/>
        <c:auto val="1"/>
        <c:lblAlgn val="ctr"/>
        <c:lblOffset val="100"/>
        <c:noMultiLvlLbl val="0"/>
      </c:catAx>
      <c:valAx>
        <c:axId val="222625152"/>
        <c:scaling>
          <c:orientation val="minMax"/>
        </c:scaling>
        <c:delete val="0"/>
        <c:axPos val="l"/>
        <c:majorGridlines>
          <c:spPr>
            <a:ln>
              <a:solidFill>
                <a:schemeClr val="accent1"/>
              </a:solidFill>
            </a:ln>
          </c:spPr>
        </c:majorGridlines>
        <c:numFmt formatCode="General" sourceLinked="1"/>
        <c:majorTickMark val="out"/>
        <c:minorTickMark val="none"/>
        <c:tickLblPos val="nextTo"/>
        <c:txPr>
          <a:bodyPr/>
          <a:lstStyle/>
          <a:p>
            <a:pPr>
              <a:defRPr lang="en-GB" sz="1200" b="1" baseline="0"/>
            </a:pPr>
            <a:endParaRPr lang="en-US"/>
          </a:p>
        </c:txPr>
        <c:crossAx val="222623616"/>
        <c:crosses val="autoZero"/>
        <c:crossBetween val="between"/>
      </c:valAx>
    </c:plotArea>
    <c:plotVisOnly val="1"/>
    <c:dispBlanksAs val="gap"/>
    <c:showDLblsOverMax val="0"/>
  </c:chart>
  <c:txPr>
    <a:bodyPr/>
    <a:lstStyle/>
    <a:p>
      <a:pPr>
        <a:defRPr sz="180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7.0407006415864684E-2"/>
          <c:y val="4.4961307729959085E-2"/>
          <c:w val="0.87932797462821133"/>
          <c:h val="0.84598762373233749"/>
        </c:manualLayout>
      </c:layout>
      <c:barChart>
        <c:barDir val="col"/>
        <c:grouping val="clustered"/>
        <c:varyColors val="0"/>
        <c:ser>
          <c:idx val="0"/>
          <c:order val="0"/>
          <c:tx>
            <c:strRef>
              <c:f>Sheet1!$B$1</c:f>
              <c:strCache>
                <c:ptCount val="1"/>
                <c:pt idx="0">
                  <c:v>Estimated Hydrostatic Effect (mmHg)</c:v>
                </c:pt>
              </c:strCache>
            </c:strRef>
          </c:tx>
          <c:spPr>
            <a:solidFill>
              <a:schemeClr val="bg1">
                <a:lumMod val="50000"/>
              </a:schemeClr>
            </a:solidFill>
          </c:spPr>
          <c:invertIfNegative val="0"/>
          <c:dLbls>
            <c:dLbl>
              <c:idx val="0"/>
              <c:layout>
                <c:manualLayout>
                  <c:x val="7.3480721002093024E-3"/>
                  <c:y val="-0.45273293231987782"/>
                </c:manualLayout>
              </c:layout>
              <c:tx>
                <c:rich>
                  <a:bodyPr/>
                  <a:lstStyle/>
                  <a:p>
                    <a:r>
                      <a:rPr lang="en-US" b="1"/>
                      <a:t>-9.3 +/- 1.27</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2EA-452E-A6C2-0B5755CC145E}"/>
                </c:ext>
              </c:extLst>
            </c:dLbl>
            <c:dLbl>
              <c:idx val="1"/>
              <c:layout>
                <c:manualLayout>
                  <c:x val="3.6740360501046595E-3"/>
                  <c:y val="-0.27292410813609641"/>
                </c:manualLayout>
              </c:layout>
              <c:tx>
                <c:rich>
                  <a:bodyPr/>
                  <a:lstStyle/>
                  <a:p>
                    <a:r>
                      <a:rPr lang="en-US" b="1"/>
                      <a:t>+4.9 +/- 0.69</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2EA-452E-A6C2-0B5755CC145E}"/>
                </c:ext>
              </c:extLst>
            </c:dLbl>
            <c:dLbl>
              <c:idx val="2"/>
              <c:layout>
                <c:manualLayout>
                  <c:x val="1.8370180250523267E-3"/>
                  <c:y val="-0.38851549511138883"/>
                </c:manualLayout>
              </c:layout>
              <c:tx>
                <c:rich>
                  <a:bodyPr/>
                  <a:lstStyle/>
                  <a:p>
                    <a:pPr>
                      <a:defRPr b="1"/>
                    </a:pPr>
                    <a:r>
                      <a:rPr lang="en-US"/>
                      <a:t>+5.2 +/-</a:t>
                    </a:r>
                    <a:r>
                      <a:rPr lang="en-US" baseline="0"/>
                      <a:t> 2.33</a:t>
                    </a:r>
                    <a:endParaRPr lang="en-US"/>
                  </a:p>
                </c:rich>
              </c:tx>
              <c:spPr/>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2EA-452E-A6C2-0B5755CC145E}"/>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Sheet1!$C$2:$C$4</c:f>
                <c:numCache>
                  <c:formatCode>General</c:formatCode>
                  <c:ptCount val="3"/>
                  <c:pt idx="0">
                    <c:v>1.27</c:v>
                  </c:pt>
                  <c:pt idx="1">
                    <c:v>0.69000000000000061</c:v>
                  </c:pt>
                  <c:pt idx="2">
                    <c:v>2.3299999999999987</c:v>
                  </c:pt>
                </c:numCache>
              </c:numRef>
            </c:plus>
            <c:minus>
              <c:numLit>
                <c:formatCode>General</c:formatCode>
                <c:ptCount val="1"/>
                <c:pt idx="0">
                  <c:v>1</c:v>
                </c:pt>
              </c:numLit>
            </c:minus>
          </c:errBars>
          <c:cat>
            <c:strRef>
              <c:f>Sheet1!$A$2:$A$4</c:f>
              <c:strCache>
                <c:ptCount val="3"/>
                <c:pt idx="0">
                  <c:v>LAD</c:v>
                </c:pt>
                <c:pt idx="1">
                  <c:v>Cx</c:v>
                </c:pt>
                <c:pt idx="2">
                  <c:v>RCA</c:v>
                </c:pt>
              </c:strCache>
            </c:strRef>
          </c:cat>
          <c:val>
            <c:numRef>
              <c:f>Sheet1!$B$2:$B$4</c:f>
              <c:numCache>
                <c:formatCode>General</c:formatCode>
                <c:ptCount val="3"/>
                <c:pt idx="0">
                  <c:v>-9.3000000000000007</c:v>
                </c:pt>
                <c:pt idx="1">
                  <c:v>4.9000000000000004</c:v>
                </c:pt>
                <c:pt idx="2">
                  <c:v>5.2</c:v>
                </c:pt>
              </c:numCache>
            </c:numRef>
          </c:val>
          <c:extLst>
            <c:ext xmlns:c16="http://schemas.microsoft.com/office/drawing/2014/chart" uri="{C3380CC4-5D6E-409C-BE32-E72D297353CC}">
              <c16:uniqueId val="{00000000-C23D-9142-A911-5EA216291E3B}"/>
            </c:ext>
          </c:extLst>
        </c:ser>
        <c:dLbls>
          <c:showLegendKey val="0"/>
          <c:showVal val="1"/>
          <c:showCatName val="0"/>
          <c:showSerName val="0"/>
          <c:showPercent val="0"/>
          <c:showBubbleSize val="0"/>
        </c:dLbls>
        <c:gapWidth val="336"/>
        <c:axId val="218451328"/>
        <c:axId val="218453120"/>
      </c:barChart>
      <c:catAx>
        <c:axId val="218451328"/>
        <c:scaling>
          <c:orientation val="minMax"/>
        </c:scaling>
        <c:delete val="0"/>
        <c:axPos val="b"/>
        <c:numFmt formatCode="General" sourceLinked="0"/>
        <c:majorTickMark val="out"/>
        <c:minorTickMark val="none"/>
        <c:tickLblPos val="nextTo"/>
        <c:crossAx val="218453120"/>
        <c:crosses val="autoZero"/>
        <c:auto val="1"/>
        <c:lblAlgn val="ctr"/>
        <c:lblOffset val="100"/>
        <c:noMultiLvlLbl val="0"/>
      </c:catAx>
      <c:valAx>
        <c:axId val="218453120"/>
        <c:scaling>
          <c:orientation val="minMax"/>
        </c:scaling>
        <c:delete val="0"/>
        <c:axPos val="l"/>
        <c:numFmt formatCode="General" sourceLinked="1"/>
        <c:majorTickMark val="out"/>
        <c:minorTickMark val="none"/>
        <c:tickLblPos val="nextTo"/>
        <c:crossAx val="218451328"/>
        <c:crosses val="autoZero"/>
        <c:crossBetween val="between"/>
      </c:valAx>
    </c:plotArea>
    <c:legend>
      <c:legendPos val="r"/>
      <c:layout>
        <c:manualLayout>
          <c:xMode val="edge"/>
          <c:yMode val="edge"/>
          <c:x val="0.64295139076729202"/>
          <c:y val="0.83784490325921279"/>
          <c:w val="0.30820475894707638"/>
          <c:h val="5.8061917745047924E-2"/>
        </c:manualLayout>
      </c:layout>
      <c:overlay val="0"/>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3"/>
    </mc:Choice>
    <mc:Fallback>
      <c:style val="33"/>
    </mc:Fallback>
  </mc:AlternateContent>
  <c:chart>
    <c:title>
      <c:tx>
        <c:rich>
          <a:bodyPr/>
          <a:lstStyle/>
          <a:p>
            <a:pPr>
              <a:defRPr sz="1200"/>
            </a:pPr>
            <a:r>
              <a:rPr lang="en-US" sz="1200"/>
              <a:t>Pd/Pa - superior vs. inferior artery position</a:t>
            </a:r>
          </a:p>
        </c:rich>
      </c:tx>
      <c:overlay val="1"/>
    </c:title>
    <c:autoTitleDeleted val="0"/>
    <c:plotArea>
      <c:layout>
        <c:manualLayout>
          <c:layoutTarget val="inner"/>
          <c:xMode val="edge"/>
          <c:yMode val="edge"/>
          <c:x val="8.1219799448145419E-2"/>
          <c:y val="0.15889326182427968"/>
          <c:w val="0.87304293694060064"/>
          <c:h val="0.75931934214310925"/>
        </c:manualLayout>
      </c:layout>
      <c:lineChart>
        <c:grouping val="standard"/>
        <c:varyColors val="0"/>
        <c:ser>
          <c:idx val="0"/>
          <c:order val="0"/>
          <c:tx>
            <c:strRef>
              <c:f>Sheet1!$B$1</c:f>
              <c:strCache>
                <c:ptCount val="1"/>
                <c:pt idx="0">
                  <c:v>Case 1</c:v>
                </c:pt>
              </c:strCache>
            </c:strRef>
          </c:tx>
          <c:spPr>
            <a:ln w="19050">
              <a:solidFill>
                <a:sysClr val="windowText" lastClr="000000"/>
              </a:solidFill>
            </a:ln>
          </c:spPr>
          <c:marker>
            <c:symbol val="square"/>
            <c:size val="6"/>
            <c:spPr>
              <a:solidFill>
                <a:sysClr val="windowText" lastClr="000000"/>
              </a:solidFill>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Sheet1!$B$2:$B$5</c:f>
              <c:numCache>
                <c:formatCode>General</c:formatCode>
                <c:ptCount val="4"/>
                <c:pt idx="1">
                  <c:v>0.99</c:v>
                </c:pt>
                <c:pt idx="2">
                  <c:v>0.99</c:v>
                </c:pt>
              </c:numCache>
            </c:numRef>
          </c:val>
          <c:smooth val="0"/>
          <c:extLst>
            <c:ext xmlns:c16="http://schemas.microsoft.com/office/drawing/2014/chart" uri="{C3380CC4-5D6E-409C-BE32-E72D297353CC}">
              <c16:uniqueId val="{00000000-13A5-D843-950B-15AF74E35F44}"/>
            </c:ext>
          </c:extLst>
        </c:ser>
        <c:ser>
          <c:idx val="1"/>
          <c:order val="1"/>
          <c:tx>
            <c:strRef>
              <c:f>Sheet1!$C$1</c:f>
              <c:strCache>
                <c:ptCount val="1"/>
                <c:pt idx="0">
                  <c:v>Case 2</c:v>
                </c:pt>
              </c:strCache>
            </c:strRef>
          </c:tx>
          <c:spPr>
            <a:ln w="19050">
              <a:solidFill>
                <a:sysClr val="windowText" lastClr="000000"/>
              </a:solidFill>
            </a:ln>
          </c:spPr>
          <c:marker>
            <c:symbol val="square"/>
            <c:size val="6"/>
            <c:spPr>
              <a:solidFill>
                <a:sysClr val="windowText" lastClr="000000"/>
              </a:solidFill>
              <a:ln w="0">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Sheet1!$C$2:$C$5</c:f>
              <c:numCache>
                <c:formatCode>General</c:formatCode>
                <c:ptCount val="4"/>
                <c:pt idx="1">
                  <c:v>0.96000000000000063</c:v>
                </c:pt>
                <c:pt idx="2">
                  <c:v>1</c:v>
                </c:pt>
              </c:numCache>
            </c:numRef>
          </c:val>
          <c:smooth val="0"/>
          <c:extLst>
            <c:ext xmlns:c16="http://schemas.microsoft.com/office/drawing/2014/chart" uri="{C3380CC4-5D6E-409C-BE32-E72D297353CC}">
              <c16:uniqueId val="{00000001-13A5-D843-950B-15AF74E35F44}"/>
            </c:ext>
          </c:extLst>
        </c:ser>
        <c:ser>
          <c:idx val="2"/>
          <c:order val="2"/>
          <c:tx>
            <c:strRef>
              <c:f>Sheet1!$D$1</c:f>
              <c:strCache>
                <c:ptCount val="1"/>
                <c:pt idx="0">
                  <c:v> Case 3</c:v>
                </c:pt>
              </c:strCache>
            </c:strRef>
          </c:tx>
          <c:spPr>
            <a:ln w="19050">
              <a:noFill/>
            </a:ln>
          </c:spPr>
          <c:marker>
            <c:symbol val="square"/>
            <c:size val="6"/>
            <c:spPr>
              <a:solidFill>
                <a:sysClr val="windowText" lastClr="000000"/>
              </a:solidFill>
              <a:ln w="19050">
                <a:no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Sheet1!$D$2:$D$5</c:f>
              <c:numCache>
                <c:formatCode>General</c:formatCode>
                <c:ptCount val="4"/>
                <c:pt idx="1">
                  <c:v>0.96000000000000063</c:v>
                </c:pt>
                <c:pt idx="2">
                  <c:v>0.99</c:v>
                </c:pt>
              </c:numCache>
            </c:numRef>
          </c:val>
          <c:smooth val="0"/>
          <c:extLst>
            <c:ext xmlns:c16="http://schemas.microsoft.com/office/drawing/2014/chart" uri="{C3380CC4-5D6E-409C-BE32-E72D297353CC}">
              <c16:uniqueId val="{00000002-13A5-D843-950B-15AF74E35F44}"/>
            </c:ext>
          </c:extLst>
        </c:ser>
        <c:ser>
          <c:idx val="3"/>
          <c:order val="3"/>
          <c:tx>
            <c:strRef>
              <c:f>Sheet1!$E$1</c:f>
              <c:strCache>
                <c:ptCount val="1"/>
                <c:pt idx="0">
                  <c:v>Case 4</c:v>
                </c:pt>
              </c:strCache>
            </c:strRef>
          </c:tx>
          <c:spPr>
            <a:ln w="19050">
              <a:solidFill>
                <a:sysClr val="windowText" lastClr="000000">
                  <a:tint val="92000"/>
                  <a:shade val="58000"/>
                  <a:shade val="95000"/>
                  <a:satMod val="105000"/>
                </a:sysClr>
              </a:solidFill>
            </a:ln>
          </c:spPr>
          <c:marker>
            <c:symbol val="square"/>
            <c:size val="6"/>
            <c:spPr>
              <a:solidFill>
                <a:sysClr val="windowText" lastClr="000000"/>
              </a:solidFill>
              <a:ln w="19050">
                <a:solidFill>
                  <a:sysClr val="windowText" lastClr="000000">
                    <a:tint val="92000"/>
                    <a:shade val="58000"/>
                    <a:shade val="95000"/>
                    <a:satMod val="105000"/>
                  </a:sysClr>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Sheet1!$E$2:$E$5</c:f>
              <c:numCache>
                <c:formatCode>General</c:formatCode>
                <c:ptCount val="4"/>
                <c:pt idx="1">
                  <c:v>0.87000000000000821</c:v>
                </c:pt>
                <c:pt idx="2">
                  <c:v>0.97000000000000064</c:v>
                </c:pt>
              </c:numCache>
            </c:numRef>
          </c:val>
          <c:smooth val="0"/>
          <c:extLst>
            <c:ext xmlns:c16="http://schemas.microsoft.com/office/drawing/2014/chart" uri="{C3380CC4-5D6E-409C-BE32-E72D297353CC}">
              <c16:uniqueId val="{00000003-13A5-D843-950B-15AF74E35F44}"/>
            </c:ext>
          </c:extLst>
        </c:ser>
        <c:ser>
          <c:idx val="4"/>
          <c:order val="4"/>
          <c:tx>
            <c:strRef>
              <c:f>Sheet1!$F$1</c:f>
              <c:strCache>
                <c:ptCount val="1"/>
                <c:pt idx="0">
                  <c:v>Case 5</c:v>
                </c:pt>
              </c:strCache>
            </c:strRef>
          </c:tx>
          <c:spPr>
            <a:ln w="19050">
              <a:solidFill>
                <a:schemeClr val="tx1"/>
              </a:solidFill>
            </a:ln>
            <a:effectLst>
              <a:outerShdw blurRad="50800" dist="50800" dir="5400000" algn="ctr" rotWithShape="0">
                <a:schemeClr val="bg1"/>
              </a:outerShdw>
            </a:effectLst>
          </c:spPr>
          <c:marker>
            <c:symbol val="square"/>
            <c:size val="6"/>
            <c:spPr>
              <a:solidFill>
                <a:sysClr val="windowText" lastClr="000000"/>
              </a:solidFill>
              <a:ln w="19050">
                <a:noFill/>
              </a:ln>
              <a:effectLst>
                <a:outerShdw blurRad="50800" dist="50800" dir="5400000" algn="ctr" rotWithShape="0">
                  <a:schemeClr val="bg1"/>
                </a:outerShdw>
              </a:effectLst>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Sheet1!$F$2:$F$5</c:f>
              <c:numCache>
                <c:formatCode>General</c:formatCode>
                <c:ptCount val="4"/>
                <c:pt idx="1">
                  <c:v>0.87000000000000821</c:v>
                </c:pt>
                <c:pt idx="2">
                  <c:v>0.9</c:v>
                </c:pt>
              </c:numCache>
            </c:numRef>
          </c:val>
          <c:smooth val="0"/>
          <c:extLst>
            <c:ext xmlns:c16="http://schemas.microsoft.com/office/drawing/2014/chart" uri="{C3380CC4-5D6E-409C-BE32-E72D297353CC}">
              <c16:uniqueId val="{00000004-13A5-D843-950B-15AF74E35F44}"/>
            </c:ext>
          </c:extLst>
        </c:ser>
        <c:ser>
          <c:idx val="5"/>
          <c:order val="5"/>
          <c:tx>
            <c:strRef>
              <c:f>Sheet1!$G$1</c:f>
              <c:strCache>
                <c:ptCount val="1"/>
                <c:pt idx="0">
                  <c:v>Case 6</c:v>
                </c:pt>
              </c:strCache>
            </c:strRef>
          </c:tx>
          <c:spPr>
            <a:ln w="19050">
              <a:solidFill>
                <a:sysClr val="windowText" lastClr="000000"/>
              </a:solidFill>
            </a:ln>
            <a:effectLst/>
          </c:spPr>
          <c:marker>
            <c:symbol val="square"/>
            <c:size val="6"/>
            <c:spPr>
              <a:solidFill>
                <a:sysClr val="windowText" lastClr="000000"/>
              </a:solidFill>
              <a:ln w="12700">
                <a:noFill/>
              </a:ln>
              <a:effectLst/>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Sheet1!$G$2:$G$5</c:f>
              <c:numCache>
                <c:formatCode>General</c:formatCode>
                <c:ptCount val="4"/>
                <c:pt idx="1">
                  <c:v>0.95000000000000062</c:v>
                </c:pt>
                <c:pt idx="2">
                  <c:v>0.97000000000000064</c:v>
                </c:pt>
              </c:numCache>
            </c:numRef>
          </c:val>
          <c:smooth val="0"/>
          <c:extLst>
            <c:ext xmlns:c16="http://schemas.microsoft.com/office/drawing/2014/chart" uri="{C3380CC4-5D6E-409C-BE32-E72D297353CC}">
              <c16:uniqueId val="{00000005-13A5-D843-950B-15AF74E35F44}"/>
            </c:ext>
          </c:extLst>
        </c:ser>
        <c:ser>
          <c:idx val="6"/>
          <c:order val="6"/>
          <c:tx>
            <c:strRef>
              <c:f>Sheet1!$H$1</c:f>
              <c:strCache>
                <c:ptCount val="1"/>
                <c:pt idx="0">
                  <c:v>Case 7</c:v>
                </c:pt>
              </c:strCache>
            </c:strRef>
          </c:tx>
          <c:spPr>
            <a:ln w="19050">
              <a:solidFill>
                <a:schemeClr val="tx1"/>
              </a:solidFill>
            </a:ln>
          </c:spPr>
          <c:marker>
            <c:symbol val="square"/>
            <c:size val="5"/>
            <c:spPr>
              <a:solidFill>
                <a:sysClr val="windowText" lastClr="000000"/>
              </a:solidFill>
              <a:ln w="19050">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Sheet1!$H$2:$H$5</c:f>
              <c:numCache>
                <c:formatCode>General</c:formatCode>
                <c:ptCount val="4"/>
                <c:pt idx="1">
                  <c:v>0.86000000000000065</c:v>
                </c:pt>
                <c:pt idx="2">
                  <c:v>0.95000000000000062</c:v>
                </c:pt>
              </c:numCache>
            </c:numRef>
          </c:val>
          <c:smooth val="0"/>
          <c:extLst>
            <c:ext xmlns:c16="http://schemas.microsoft.com/office/drawing/2014/chart" uri="{C3380CC4-5D6E-409C-BE32-E72D297353CC}">
              <c16:uniqueId val="{00000006-13A5-D843-950B-15AF74E35F44}"/>
            </c:ext>
          </c:extLst>
        </c:ser>
        <c:ser>
          <c:idx val="7"/>
          <c:order val="7"/>
          <c:tx>
            <c:strRef>
              <c:f>Sheet1!$I$1</c:f>
              <c:strCache>
                <c:ptCount val="1"/>
                <c:pt idx="0">
                  <c:v>Case 8</c:v>
                </c:pt>
              </c:strCache>
            </c:strRef>
          </c:tx>
          <c:spPr>
            <a:ln w="19050">
              <a:solidFill>
                <a:schemeClr val="tx1"/>
              </a:solidFill>
            </a:ln>
          </c:spPr>
          <c:marker>
            <c:symbol val="square"/>
            <c:size val="6"/>
            <c:spPr>
              <a:solidFill>
                <a:sysClr val="windowText" lastClr="000000"/>
              </a:solidFill>
              <a:ln w="19050">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Sheet1!$I$2:$I$5</c:f>
              <c:numCache>
                <c:formatCode>General</c:formatCode>
                <c:ptCount val="4"/>
                <c:pt idx="1">
                  <c:v>0.92</c:v>
                </c:pt>
                <c:pt idx="2">
                  <c:v>0.99</c:v>
                </c:pt>
              </c:numCache>
            </c:numRef>
          </c:val>
          <c:smooth val="0"/>
          <c:extLst>
            <c:ext xmlns:c16="http://schemas.microsoft.com/office/drawing/2014/chart" uri="{C3380CC4-5D6E-409C-BE32-E72D297353CC}">
              <c16:uniqueId val="{00000007-13A5-D843-950B-15AF74E35F44}"/>
            </c:ext>
          </c:extLst>
        </c:ser>
        <c:ser>
          <c:idx val="8"/>
          <c:order val="8"/>
          <c:tx>
            <c:strRef>
              <c:f>Sheet1!$J$1</c:f>
              <c:strCache>
                <c:ptCount val="1"/>
                <c:pt idx="0">
                  <c:v>Case 9</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Sheet1!$J$2:$J$5</c:f>
              <c:numCache>
                <c:formatCode>General</c:formatCode>
                <c:ptCount val="4"/>
                <c:pt idx="1">
                  <c:v>0.92</c:v>
                </c:pt>
                <c:pt idx="2">
                  <c:v>1.02</c:v>
                </c:pt>
              </c:numCache>
            </c:numRef>
          </c:val>
          <c:smooth val="0"/>
          <c:extLst>
            <c:ext xmlns:c16="http://schemas.microsoft.com/office/drawing/2014/chart" uri="{C3380CC4-5D6E-409C-BE32-E72D297353CC}">
              <c16:uniqueId val="{00000008-13A5-D843-950B-15AF74E35F44}"/>
            </c:ext>
          </c:extLst>
        </c:ser>
        <c:ser>
          <c:idx val="9"/>
          <c:order val="9"/>
          <c:tx>
            <c:strRef>
              <c:f>Sheet1!$K$1</c:f>
              <c:strCache>
                <c:ptCount val="1"/>
                <c:pt idx="0">
                  <c:v>Case 10</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Sheet1!$K$2:$K$5</c:f>
              <c:numCache>
                <c:formatCode>General</c:formatCode>
                <c:ptCount val="4"/>
                <c:pt idx="1">
                  <c:v>0.93</c:v>
                </c:pt>
                <c:pt idx="2">
                  <c:v>1.03</c:v>
                </c:pt>
              </c:numCache>
            </c:numRef>
          </c:val>
          <c:smooth val="0"/>
          <c:extLst>
            <c:ext xmlns:c16="http://schemas.microsoft.com/office/drawing/2014/chart" uri="{C3380CC4-5D6E-409C-BE32-E72D297353CC}">
              <c16:uniqueId val="{00000009-13A5-D843-950B-15AF74E35F44}"/>
            </c:ext>
          </c:extLst>
        </c:ser>
        <c:ser>
          <c:idx val="10"/>
          <c:order val="10"/>
          <c:tx>
            <c:strRef>
              <c:f>Sheet1!$L$1</c:f>
              <c:strCache>
                <c:ptCount val="1"/>
                <c:pt idx="0">
                  <c:v>Case 11</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Sheet1!$L$2:$L$5</c:f>
              <c:numCache>
                <c:formatCode>General</c:formatCode>
                <c:ptCount val="4"/>
                <c:pt idx="1">
                  <c:v>0.97000000000000064</c:v>
                </c:pt>
                <c:pt idx="2">
                  <c:v>1.02</c:v>
                </c:pt>
              </c:numCache>
            </c:numRef>
          </c:val>
          <c:smooth val="0"/>
          <c:extLst>
            <c:ext xmlns:c16="http://schemas.microsoft.com/office/drawing/2014/chart" uri="{C3380CC4-5D6E-409C-BE32-E72D297353CC}">
              <c16:uniqueId val="{0000000A-13A5-D843-950B-15AF74E35F44}"/>
            </c:ext>
          </c:extLst>
        </c:ser>
        <c:ser>
          <c:idx val="11"/>
          <c:order val="11"/>
          <c:tx>
            <c:strRef>
              <c:f>Sheet1!$M$1</c:f>
              <c:strCache>
                <c:ptCount val="1"/>
                <c:pt idx="0">
                  <c:v>Case 12</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Sheet1!$M$2:$M$5</c:f>
              <c:numCache>
                <c:formatCode>General</c:formatCode>
                <c:ptCount val="4"/>
                <c:pt idx="1">
                  <c:v>0.96000000000000063</c:v>
                </c:pt>
                <c:pt idx="2">
                  <c:v>0.99</c:v>
                </c:pt>
              </c:numCache>
            </c:numRef>
          </c:val>
          <c:smooth val="0"/>
          <c:extLst>
            <c:ext xmlns:c16="http://schemas.microsoft.com/office/drawing/2014/chart" uri="{C3380CC4-5D6E-409C-BE32-E72D297353CC}">
              <c16:uniqueId val="{0000000B-13A5-D843-950B-15AF74E35F44}"/>
            </c:ext>
          </c:extLst>
        </c:ser>
        <c:ser>
          <c:idx val="12"/>
          <c:order val="12"/>
          <c:tx>
            <c:strRef>
              <c:f>Sheet1!$N$1</c:f>
              <c:strCache>
                <c:ptCount val="1"/>
                <c:pt idx="0">
                  <c:v>Case 13</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Sheet1!$N$2:$N$5</c:f>
              <c:numCache>
                <c:formatCode>General</c:formatCode>
                <c:ptCount val="4"/>
                <c:pt idx="1">
                  <c:v>0.86000000000000065</c:v>
                </c:pt>
                <c:pt idx="2">
                  <c:v>0.96000000000000063</c:v>
                </c:pt>
              </c:numCache>
            </c:numRef>
          </c:val>
          <c:smooth val="0"/>
          <c:extLst>
            <c:ext xmlns:c16="http://schemas.microsoft.com/office/drawing/2014/chart" uri="{C3380CC4-5D6E-409C-BE32-E72D297353CC}">
              <c16:uniqueId val="{0000000C-13A5-D843-950B-15AF74E35F44}"/>
            </c:ext>
          </c:extLst>
        </c:ser>
        <c:ser>
          <c:idx val="13"/>
          <c:order val="13"/>
          <c:tx>
            <c:strRef>
              <c:f>Sheet1!$O$1</c:f>
              <c:strCache>
                <c:ptCount val="1"/>
                <c:pt idx="0">
                  <c:v>Case 14</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Sheet1!$O$2:$O$5</c:f>
              <c:numCache>
                <c:formatCode>General</c:formatCode>
                <c:ptCount val="4"/>
                <c:pt idx="1">
                  <c:v>0.95000000000000062</c:v>
                </c:pt>
                <c:pt idx="2">
                  <c:v>0.95000000000000062</c:v>
                </c:pt>
              </c:numCache>
            </c:numRef>
          </c:val>
          <c:smooth val="0"/>
          <c:extLst>
            <c:ext xmlns:c16="http://schemas.microsoft.com/office/drawing/2014/chart" uri="{C3380CC4-5D6E-409C-BE32-E72D297353CC}">
              <c16:uniqueId val="{0000000D-13A5-D843-950B-15AF74E35F44}"/>
            </c:ext>
          </c:extLst>
        </c:ser>
        <c:ser>
          <c:idx val="14"/>
          <c:order val="14"/>
          <c:tx>
            <c:strRef>
              <c:f>Sheet1!$P$1</c:f>
              <c:strCache>
                <c:ptCount val="1"/>
                <c:pt idx="0">
                  <c:v>Case 15</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Sheet1!$P$2:$P$5</c:f>
              <c:numCache>
                <c:formatCode>General</c:formatCode>
                <c:ptCount val="4"/>
                <c:pt idx="1">
                  <c:v>0.94000000000000061</c:v>
                </c:pt>
                <c:pt idx="2">
                  <c:v>0.97000000000000064</c:v>
                </c:pt>
              </c:numCache>
            </c:numRef>
          </c:val>
          <c:smooth val="0"/>
          <c:extLst>
            <c:ext xmlns:c16="http://schemas.microsoft.com/office/drawing/2014/chart" uri="{C3380CC4-5D6E-409C-BE32-E72D297353CC}">
              <c16:uniqueId val="{0000000E-13A5-D843-950B-15AF74E35F44}"/>
            </c:ext>
          </c:extLst>
        </c:ser>
        <c:ser>
          <c:idx val="15"/>
          <c:order val="15"/>
          <c:tx>
            <c:strRef>
              <c:f>Sheet1!$Q$1</c:f>
              <c:strCache>
                <c:ptCount val="1"/>
                <c:pt idx="0">
                  <c:v>Case 16</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Sheet1!$Q$2:$Q$5</c:f>
              <c:numCache>
                <c:formatCode>General</c:formatCode>
                <c:ptCount val="4"/>
                <c:pt idx="1">
                  <c:v>0.95000000000000062</c:v>
                </c:pt>
                <c:pt idx="2">
                  <c:v>0.96000000000000063</c:v>
                </c:pt>
              </c:numCache>
            </c:numRef>
          </c:val>
          <c:smooth val="0"/>
          <c:extLst>
            <c:ext xmlns:c16="http://schemas.microsoft.com/office/drawing/2014/chart" uri="{C3380CC4-5D6E-409C-BE32-E72D297353CC}">
              <c16:uniqueId val="{0000000F-13A5-D843-950B-15AF74E35F44}"/>
            </c:ext>
          </c:extLst>
        </c:ser>
        <c:ser>
          <c:idx val="16"/>
          <c:order val="16"/>
          <c:tx>
            <c:strRef>
              <c:f>Sheet1!$R$1</c:f>
              <c:strCache>
                <c:ptCount val="1"/>
                <c:pt idx="0">
                  <c:v>Case 17</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Sheet1!$R$2:$R$5</c:f>
              <c:numCache>
                <c:formatCode>General</c:formatCode>
                <c:ptCount val="4"/>
                <c:pt idx="1">
                  <c:v>0.67000000000001059</c:v>
                </c:pt>
                <c:pt idx="2">
                  <c:v>0.78</c:v>
                </c:pt>
              </c:numCache>
            </c:numRef>
          </c:val>
          <c:smooth val="0"/>
          <c:extLst>
            <c:ext xmlns:c16="http://schemas.microsoft.com/office/drawing/2014/chart" uri="{C3380CC4-5D6E-409C-BE32-E72D297353CC}">
              <c16:uniqueId val="{00000010-13A5-D843-950B-15AF74E35F44}"/>
            </c:ext>
          </c:extLst>
        </c:ser>
        <c:ser>
          <c:idx val="17"/>
          <c:order val="17"/>
          <c:tx>
            <c:strRef>
              <c:f>Sheet1!$S$1</c:f>
              <c:strCache>
                <c:ptCount val="1"/>
                <c:pt idx="0">
                  <c:v>Case 18</c:v>
                </c:pt>
              </c:strCache>
            </c:strRef>
          </c:tx>
          <c:spPr>
            <a:ln w="19050">
              <a:solidFill>
                <a:sysClr val="windowText" lastClr="000000"/>
              </a:solidFill>
            </a:ln>
          </c:spPr>
          <c:marker>
            <c:symbol val="square"/>
            <c:size val="6"/>
            <c:spPr>
              <a:solidFill>
                <a:schemeClr val="tx1"/>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Sheet1!$S$2:$S$5</c:f>
              <c:numCache>
                <c:formatCode>General</c:formatCode>
                <c:ptCount val="4"/>
                <c:pt idx="1">
                  <c:v>0.84000000000000064</c:v>
                </c:pt>
                <c:pt idx="2">
                  <c:v>0.95000000000000062</c:v>
                </c:pt>
              </c:numCache>
            </c:numRef>
          </c:val>
          <c:smooth val="0"/>
          <c:extLst>
            <c:ext xmlns:c16="http://schemas.microsoft.com/office/drawing/2014/chart" uri="{C3380CC4-5D6E-409C-BE32-E72D297353CC}">
              <c16:uniqueId val="{00000011-13A5-D843-950B-15AF74E35F44}"/>
            </c:ext>
          </c:extLst>
        </c:ser>
        <c:ser>
          <c:idx val="18"/>
          <c:order val="18"/>
          <c:tx>
            <c:strRef>
              <c:f>Sheet1!$T$1</c:f>
              <c:strCache>
                <c:ptCount val="1"/>
                <c:pt idx="0">
                  <c:v>Case 19</c:v>
                </c:pt>
              </c:strCache>
            </c:strRef>
          </c:tx>
          <c:spPr>
            <a:ln w="19050">
              <a:solidFill>
                <a:sysClr val="windowText" lastClr="000000"/>
              </a:solidFill>
            </a:ln>
          </c:spPr>
          <c:marker>
            <c:symbol val="square"/>
            <c:size val="6"/>
            <c:spPr>
              <a:solidFill>
                <a:schemeClr val="tx1"/>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Sheet1!$T$2:$T$5</c:f>
              <c:numCache>
                <c:formatCode>General</c:formatCode>
                <c:ptCount val="4"/>
                <c:pt idx="1">
                  <c:v>0.9</c:v>
                </c:pt>
                <c:pt idx="2">
                  <c:v>0.93</c:v>
                </c:pt>
              </c:numCache>
            </c:numRef>
          </c:val>
          <c:smooth val="0"/>
          <c:extLst>
            <c:ext xmlns:c16="http://schemas.microsoft.com/office/drawing/2014/chart" uri="{C3380CC4-5D6E-409C-BE32-E72D297353CC}">
              <c16:uniqueId val="{00000012-13A5-D843-950B-15AF74E35F44}"/>
            </c:ext>
          </c:extLst>
        </c:ser>
        <c:ser>
          <c:idx val="19"/>
          <c:order val="19"/>
          <c:tx>
            <c:strRef>
              <c:f>Sheet1!$U$1</c:f>
              <c:strCache>
                <c:ptCount val="1"/>
                <c:pt idx="0">
                  <c:v>Case 20</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Sheet1!$U$2:$U$5</c:f>
              <c:numCache>
                <c:formatCode>General</c:formatCode>
                <c:ptCount val="4"/>
                <c:pt idx="1">
                  <c:v>0.89</c:v>
                </c:pt>
                <c:pt idx="2">
                  <c:v>0.97000000000000064</c:v>
                </c:pt>
              </c:numCache>
            </c:numRef>
          </c:val>
          <c:smooth val="0"/>
          <c:extLst>
            <c:ext xmlns:c16="http://schemas.microsoft.com/office/drawing/2014/chart" uri="{C3380CC4-5D6E-409C-BE32-E72D297353CC}">
              <c16:uniqueId val="{00000013-13A5-D843-950B-15AF74E35F44}"/>
            </c:ext>
          </c:extLst>
        </c:ser>
        <c:ser>
          <c:idx val="20"/>
          <c:order val="20"/>
          <c:tx>
            <c:strRef>
              <c:f>Sheet1!$V$1</c:f>
              <c:strCache>
                <c:ptCount val="1"/>
                <c:pt idx="0">
                  <c:v>Case 21</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Sheet1!$V$2:$V$5</c:f>
              <c:numCache>
                <c:formatCode>General</c:formatCode>
                <c:ptCount val="4"/>
                <c:pt idx="1">
                  <c:v>0.86000000000000065</c:v>
                </c:pt>
                <c:pt idx="2">
                  <c:v>0.98</c:v>
                </c:pt>
              </c:numCache>
            </c:numRef>
          </c:val>
          <c:smooth val="0"/>
          <c:extLst>
            <c:ext xmlns:c16="http://schemas.microsoft.com/office/drawing/2014/chart" uri="{C3380CC4-5D6E-409C-BE32-E72D297353CC}">
              <c16:uniqueId val="{00000014-13A5-D843-950B-15AF74E35F44}"/>
            </c:ext>
          </c:extLst>
        </c:ser>
        <c:ser>
          <c:idx val="21"/>
          <c:order val="21"/>
          <c:tx>
            <c:strRef>
              <c:f>Sheet1!$W$1</c:f>
              <c:strCache>
                <c:ptCount val="1"/>
                <c:pt idx="0">
                  <c:v>Case 22</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Sheet1!$W$2:$W$5</c:f>
              <c:numCache>
                <c:formatCode>General</c:formatCode>
                <c:ptCount val="4"/>
                <c:pt idx="1">
                  <c:v>0.94000000000000061</c:v>
                </c:pt>
                <c:pt idx="2">
                  <c:v>0.96000000000000063</c:v>
                </c:pt>
              </c:numCache>
            </c:numRef>
          </c:val>
          <c:smooth val="0"/>
          <c:extLst>
            <c:ext xmlns:c16="http://schemas.microsoft.com/office/drawing/2014/chart" uri="{C3380CC4-5D6E-409C-BE32-E72D297353CC}">
              <c16:uniqueId val="{00000015-13A5-D843-950B-15AF74E35F44}"/>
            </c:ext>
          </c:extLst>
        </c:ser>
        <c:ser>
          <c:idx val="22"/>
          <c:order val="22"/>
          <c:tx>
            <c:strRef>
              <c:f>Sheet1!$X$1</c:f>
              <c:strCache>
                <c:ptCount val="1"/>
                <c:pt idx="0">
                  <c:v>Case 23</c:v>
                </c:pt>
              </c:strCache>
            </c:strRef>
          </c:tx>
          <c:spPr>
            <a:ln w="19050">
              <a:solidFill>
                <a:schemeClr val="tx1"/>
              </a:solidFill>
            </a:ln>
          </c:spPr>
          <c:marker>
            <c:symbol val="square"/>
            <c:size val="6"/>
            <c:spPr>
              <a:solidFill>
                <a:sysClr val="windowText" lastClr="000000"/>
              </a:solidFill>
              <a:ln w="19050">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Sheet1!$X$2:$X$5</c:f>
              <c:numCache>
                <c:formatCode>General</c:formatCode>
                <c:ptCount val="4"/>
                <c:pt idx="1">
                  <c:v>0.94000000000000061</c:v>
                </c:pt>
                <c:pt idx="2">
                  <c:v>1</c:v>
                </c:pt>
              </c:numCache>
            </c:numRef>
          </c:val>
          <c:smooth val="0"/>
          <c:extLst>
            <c:ext xmlns:c16="http://schemas.microsoft.com/office/drawing/2014/chart" uri="{C3380CC4-5D6E-409C-BE32-E72D297353CC}">
              <c16:uniqueId val="{00000016-13A5-D843-950B-15AF74E35F44}"/>
            </c:ext>
          </c:extLst>
        </c:ser>
        <c:ser>
          <c:idx val="23"/>
          <c:order val="23"/>
          <c:tx>
            <c:strRef>
              <c:f>Sheet1!$Y$1</c:f>
              <c:strCache>
                <c:ptCount val="1"/>
                <c:pt idx="0">
                  <c:v>Average</c:v>
                </c:pt>
              </c:strCache>
            </c:strRef>
          </c:tx>
          <c:spPr>
            <a:ln w="57150">
              <a:solidFill>
                <a:srgbClr val="FF0000">
                  <a:alpha val="99000"/>
                </a:srgbClr>
              </a:solidFill>
              <a:headEnd type="none"/>
            </a:ln>
          </c:spPr>
          <c:marker>
            <c:symbol val="circle"/>
            <c:size val="10"/>
            <c:spPr>
              <a:solidFill>
                <a:srgbClr val="FF0000"/>
              </a:solidFill>
              <a:ln w="9525" cmpd="sng">
                <a:solidFill>
                  <a:srgbClr val="FF0000"/>
                </a:solidFill>
              </a:ln>
            </c:spPr>
          </c:marker>
          <c:dLbls>
            <c:dLbl>
              <c:idx val="0"/>
              <c:layout>
                <c:manualLayout>
                  <c:x val="-7.4786324786324923E-2"/>
                  <c:y val="-0.16870738453303052"/>
                </c:manualLayout>
              </c:layout>
              <c:tx>
                <c:rich>
                  <a:bodyPr/>
                  <a:lstStyle/>
                  <a:p>
                    <a:pPr>
                      <a:defRPr/>
                    </a:pPr>
                    <a:r>
                      <a:rPr lang="en-US" sz="1200" b="1">
                        <a:solidFill>
                          <a:srgbClr val="FF0000"/>
                        </a:solidFill>
                      </a:rPr>
                      <a:t>0.91</a:t>
                    </a:r>
                    <a:r>
                      <a:rPr lang="en-US" sz="1200" b="1" baseline="0">
                        <a:solidFill>
                          <a:srgbClr val="FF0000"/>
                        </a:solidFill>
                      </a:rPr>
                      <a:t> </a:t>
                    </a:r>
                    <a:r>
                      <a:rPr lang="en-US" sz="1200" b="1">
                        <a:solidFill>
                          <a:srgbClr val="FF0000"/>
                        </a:solidFill>
                      </a:rPr>
                      <a:t>+/- 0.07</a:t>
                    </a:r>
                  </a:p>
                </c:rich>
              </c:tx>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EB9-4AFD-9AE9-4F4C5C65A43A}"/>
                </c:ext>
              </c:extLst>
            </c:dLbl>
            <c:dLbl>
              <c:idx val="1"/>
              <c:tx>
                <c:rich>
                  <a:bodyPr/>
                  <a:lstStyle/>
                  <a:p>
                    <a:pPr>
                      <a:defRPr/>
                    </a:pPr>
                    <a:r>
                      <a:rPr lang="en-US"/>
                      <a:t>0.96</a:t>
                    </a:r>
                  </a:p>
                </c:rich>
              </c:tx>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3EB9-4AFD-9AE9-4F4C5C65A43A}"/>
                </c:ext>
              </c:extLst>
            </c:dLbl>
            <c:dLbl>
              <c:idx val="3"/>
              <c:layout>
                <c:manualLayout>
                  <c:x val="-8.5470085470085472E-2"/>
                  <c:y val="-0.12590088527157911"/>
                </c:manualLayout>
              </c:layout>
              <c:tx>
                <c:rich>
                  <a:bodyPr/>
                  <a:lstStyle/>
                  <a:p>
                    <a:pPr>
                      <a:defRPr>
                        <a:solidFill>
                          <a:srgbClr val="FF0000"/>
                        </a:solidFill>
                      </a:defRPr>
                    </a:pPr>
                    <a:r>
                      <a:rPr lang="en-US" sz="1200" b="1">
                        <a:solidFill>
                          <a:srgbClr val="FF0000"/>
                        </a:solidFill>
                      </a:rPr>
                      <a:t>0.96 +/- 0.05</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3EB9-4AFD-9AE9-4F4C5C65A43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Sheet1!$Z$2:$Z$5</c:f>
                <c:numCache>
                  <c:formatCode>General</c:formatCode>
                  <c:ptCount val="4"/>
                  <c:pt idx="0">
                    <c:v>6.7170363312327244E-2</c:v>
                  </c:pt>
                  <c:pt idx="3">
                    <c:v>5.0417231510681039E-2</c:v>
                  </c:pt>
                </c:numCache>
              </c:numRef>
            </c:plus>
            <c:minus>
              <c:numRef>
                <c:f>Sheet1!$Z$2:$Z$5</c:f>
                <c:numCache>
                  <c:formatCode>General</c:formatCode>
                  <c:ptCount val="4"/>
                  <c:pt idx="0">
                    <c:v>6.7170363312327244E-2</c:v>
                  </c:pt>
                  <c:pt idx="3">
                    <c:v>5.0417231510681039E-2</c:v>
                  </c:pt>
                </c:numCache>
              </c:numRef>
            </c:minus>
            <c:spPr>
              <a:ln w="15875">
                <a:solidFill>
                  <a:srgbClr val="FF0000"/>
                </a:solidFill>
              </a:ln>
            </c:spPr>
          </c:errBars>
          <c:cat>
            <c:strRef>
              <c:f>Sheet1!$A$2:$A$5</c:f>
              <c:strCache>
                <c:ptCount val="3"/>
                <c:pt idx="1">
                  <c:v>Superior Position</c:v>
                </c:pt>
                <c:pt idx="2">
                  <c:v>Inferior Position</c:v>
                </c:pt>
              </c:strCache>
            </c:strRef>
          </c:cat>
          <c:val>
            <c:numRef>
              <c:f>Sheet1!$Y$2:$Y$5</c:f>
              <c:numCache>
                <c:formatCode>General</c:formatCode>
                <c:ptCount val="4"/>
                <c:pt idx="0">
                  <c:v>0.91</c:v>
                </c:pt>
                <c:pt idx="3">
                  <c:v>0.96000000000000063</c:v>
                </c:pt>
              </c:numCache>
            </c:numRef>
          </c:val>
          <c:smooth val="0"/>
          <c:extLst>
            <c:ext xmlns:c16="http://schemas.microsoft.com/office/drawing/2014/chart" uri="{C3380CC4-5D6E-409C-BE32-E72D297353CC}">
              <c16:uniqueId val="{0000000E-59DD-0941-B345-3B44A2F9EC99}"/>
            </c:ext>
          </c:extLst>
        </c:ser>
        <c:dLbls>
          <c:showLegendKey val="0"/>
          <c:showVal val="1"/>
          <c:showCatName val="0"/>
          <c:showSerName val="0"/>
          <c:showPercent val="0"/>
          <c:showBubbleSize val="0"/>
        </c:dLbls>
        <c:upDownBars>
          <c:gapWidth val="150"/>
          <c:upBars/>
          <c:downBars/>
        </c:upDownBars>
        <c:marker val="1"/>
        <c:smooth val="0"/>
        <c:axId val="219445504"/>
        <c:axId val="219463680"/>
      </c:lineChart>
      <c:catAx>
        <c:axId val="219445504"/>
        <c:scaling>
          <c:orientation val="minMax"/>
        </c:scaling>
        <c:delete val="0"/>
        <c:axPos val="b"/>
        <c:numFmt formatCode="General" sourceLinked="0"/>
        <c:majorTickMark val="out"/>
        <c:minorTickMark val="none"/>
        <c:tickLblPos val="nextTo"/>
        <c:spPr>
          <a:ln w="19050">
            <a:solidFill>
              <a:sysClr val="windowText" lastClr="000000"/>
            </a:solidFill>
          </a:ln>
        </c:spPr>
        <c:crossAx val="219463680"/>
        <c:crosses val="autoZero"/>
        <c:auto val="1"/>
        <c:lblAlgn val="ctr"/>
        <c:lblOffset val="100"/>
        <c:noMultiLvlLbl val="0"/>
      </c:catAx>
      <c:valAx>
        <c:axId val="219463680"/>
        <c:scaling>
          <c:orientation val="minMax"/>
          <c:max val="1.05"/>
          <c:min val="0.650000000000022"/>
        </c:scaling>
        <c:delete val="0"/>
        <c:axPos val="l"/>
        <c:numFmt formatCode="General" sourceLinked="1"/>
        <c:majorTickMark val="out"/>
        <c:minorTickMark val="none"/>
        <c:tickLblPos val="nextTo"/>
        <c:spPr>
          <a:noFill/>
          <a:ln w="19050">
            <a:solidFill>
              <a:sysClr val="windowText" lastClr="000000"/>
            </a:solidFill>
          </a:ln>
        </c:spPr>
        <c:crossAx val="219445504"/>
        <c:crosses val="autoZero"/>
        <c:crossBetween val="between"/>
      </c:valAx>
      <c:spPr>
        <a:solidFill>
          <a:schemeClr val="bg1"/>
        </a:solidFill>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200">
                <a:latin typeface="Times New Roman" pitchFamily="18" charset="0"/>
                <a:cs typeface="Times New Roman" pitchFamily="18" charset="0"/>
              </a:defRPr>
            </a:pPr>
            <a:r>
              <a:rPr lang="en-US" sz="1200">
                <a:latin typeface="Times New Roman" pitchFamily="18" charset="0"/>
                <a:cs typeface="Times New Roman" pitchFamily="18" charset="0"/>
              </a:rPr>
              <a:t>Left Anterior Descending Artery - Pd/Pa</a:t>
            </a:r>
          </a:p>
        </c:rich>
      </c:tx>
      <c:layout>
        <c:manualLayout>
          <c:xMode val="edge"/>
          <c:yMode val="edge"/>
          <c:x val="0.31642143505904541"/>
          <c:y val="3.8461538461538464E-2"/>
        </c:manualLayout>
      </c:layout>
      <c:overlay val="1"/>
    </c:title>
    <c:autoTitleDeleted val="0"/>
    <c:plotArea>
      <c:layout>
        <c:manualLayout>
          <c:layoutTarget val="inner"/>
          <c:xMode val="edge"/>
          <c:yMode val="edge"/>
          <c:x val="0.10830297438978166"/>
          <c:y val="0.12048071875630972"/>
          <c:w val="0.83622919750835956"/>
          <c:h val="0.75214536644461238"/>
        </c:manualLayout>
      </c:layout>
      <c:lineChart>
        <c:grouping val="standard"/>
        <c:varyColors val="0"/>
        <c:ser>
          <c:idx val="0"/>
          <c:order val="0"/>
          <c:tx>
            <c:strRef>
              <c:f>Sheet1!$B$1</c:f>
              <c:strCache>
                <c:ptCount val="1"/>
                <c:pt idx="0">
                  <c:v>Case 1</c:v>
                </c:pt>
              </c:strCache>
            </c:strRef>
          </c:tx>
          <c:spPr>
            <a:ln>
              <a:solidFill>
                <a:schemeClr val="tx1"/>
              </a:solidFill>
            </a:ln>
          </c:spPr>
          <c:marker>
            <c:spPr>
              <a:solidFill>
                <a:schemeClr val="tx1"/>
              </a:solidFill>
              <a:ln>
                <a:solidFill>
                  <a:schemeClr val="tx1"/>
                </a:solidFill>
              </a:ln>
            </c:spPr>
          </c:marker>
          <c:dLbls>
            <c:dLbl>
              <c:idx val="1"/>
              <c:layout>
                <c:manualLayout>
                  <c:x val="5.4495912806541069E-3"/>
                  <c:y val="-2.0512820512820516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CD-4CAA-A625-DC452F6555AF}"/>
                </c:ext>
              </c:extLst>
            </c:dLbl>
            <c:dLbl>
              <c:idx val="2"/>
              <c:layout>
                <c:manualLayout>
                  <c:x val="6.1762034514079085E-2"/>
                  <c:y val="-7.6923076923077014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Sheet1!$B$2:$B$5</c:f>
              <c:numCache>
                <c:formatCode>General</c:formatCode>
                <c:ptCount val="4"/>
                <c:pt idx="1">
                  <c:v>0.99</c:v>
                </c:pt>
                <c:pt idx="2">
                  <c:v>0.99</c:v>
                </c:pt>
              </c:numCache>
            </c:numRef>
          </c:val>
          <c:smooth val="0"/>
          <c:extLst>
            <c:ext xmlns:c16="http://schemas.microsoft.com/office/drawing/2014/chart" uri="{C3380CC4-5D6E-409C-BE32-E72D297353CC}">
              <c16:uniqueId val="{00000000-5FCA-7C40-AD66-4B413C37FFBD}"/>
            </c:ext>
          </c:extLst>
        </c:ser>
        <c:ser>
          <c:idx val="1"/>
          <c:order val="1"/>
          <c:tx>
            <c:strRef>
              <c:f>Sheet1!$C$1</c:f>
              <c:strCache>
                <c:ptCount val="1"/>
                <c:pt idx="0">
                  <c:v>Case 4</c:v>
                </c:pt>
              </c:strCache>
            </c:strRef>
          </c:tx>
          <c:spPr>
            <a:ln>
              <a:solidFill>
                <a:schemeClr val="tx1"/>
              </a:solidFill>
            </a:ln>
          </c:spPr>
          <c:marker>
            <c:spPr>
              <a:solidFill>
                <a:schemeClr val="tx1"/>
              </a:solidFill>
              <a:ln>
                <a:solidFill>
                  <a:schemeClr val="tx1"/>
                </a:solidFill>
              </a:ln>
            </c:spPr>
          </c:marker>
          <c:dLbls>
            <c:dLbl>
              <c:idx val="2"/>
              <c:layout>
                <c:manualLayout>
                  <c:x val="5.6312443233424533E-2"/>
                  <c:y val="-2.5641025641026157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Sheet1!$C$2:$C$5</c:f>
              <c:numCache>
                <c:formatCode>General</c:formatCode>
                <c:ptCount val="4"/>
                <c:pt idx="1">
                  <c:v>0.97000000000000064</c:v>
                </c:pt>
                <c:pt idx="2">
                  <c:v>0.87000000000000821</c:v>
                </c:pt>
              </c:numCache>
            </c:numRef>
          </c:val>
          <c:smooth val="0"/>
          <c:extLst>
            <c:ext xmlns:c16="http://schemas.microsoft.com/office/drawing/2014/chart" uri="{C3380CC4-5D6E-409C-BE32-E72D297353CC}">
              <c16:uniqueId val="{00000001-5FCA-7C40-AD66-4B413C37FFBD}"/>
            </c:ext>
          </c:extLst>
        </c:ser>
        <c:ser>
          <c:idx val="2"/>
          <c:order val="2"/>
          <c:tx>
            <c:strRef>
              <c:f>Sheet1!$D$1</c:f>
              <c:strCache>
                <c:ptCount val="1"/>
                <c:pt idx="0">
                  <c:v> Case 7</c:v>
                </c:pt>
              </c:strCache>
            </c:strRef>
          </c:tx>
          <c:spPr>
            <a:ln>
              <a:solidFill>
                <a:schemeClr val="tx1"/>
              </a:solidFill>
            </a:ln>
          </c:spPr>
          <c:marker>
            <c:spPr>
              <a:solidFill>
                <a:schemeClr val="tx1"/>
              </a:solidFill>
              <a:ln>
                <a:solidFill>
                  <a:schemeClr val="tx1"/>
                </a:solidFill>
              </a:ln>
            </c:spPr>
          </c:marker>
          <c:dLbls>
            <c:dLbl>
              <c:idx val="2"/>
              <c:layout>
                <c:manualLayout>
                  <c:x val="5.6312443233424533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Sheet1!$D$2:$D$5</c:f>
              <c:numCache>
                <c:formatCode>General</c:formatCode>
                <c:ptCount val="4"/>
                <c:pt idx="1">
                  <c:v>0.95000000000000062</c:v>
                </c:pt>
                <c:pt idx="2">
                  <c:v>0.86000000000000065</c:v>
                </c:pt>
              </c:numCache>
            </c:numRef>
          </c:val>
          <c:smooth val="0"/>
          <c:extLst>
            <c:ext xmlns:c16="http://schemas.microsoft.com/office/drawing/2014/chart" uri="{C3380CC4-5D6E-409C-BE32-E72D297353CC}">
              <c16:uniqueId val="{00000002-5FCA-7C40-AD66-4B413C37FFBD}"/>
            </c:ext>
          </c:extLst>
        </c:ser>
        <c:ser>
          <c:idx val="3"/>
          <c:order val="3"/>
          <c:tx>
            <c:strRef>
              <c:f>Sheet1!$E$1</c:f>
              <c:strCache>
                <c:ptCount val="1"/>
                <c:pt idx="0">
                  <c:v>Case 9</c:v>
                </c:pt>
              </c:strCache>
            </c:strRef>
          </c:tx>
          <c:dLbls>
            <c:dLbl>
              <c:idx val="2"/>
              <c:layout>
                <c:manualLayout>
                  <c:x val="5.8128973660308787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Sheet1!$E$2:$E$5</c:f>
              <c:numCache>
                <c:formatCode>General</c:formatCode>
                <c:ptCount val="4"/>
                <c:pt idx="1">
                  <c:v>1.02</c:v>
                </c:pt>
                <c:pt idx="2">
                  <c:v>0.92</c:v>
                </c:pt>
              </c:numCache>
            </c:numRef>
          </c:val>
          <c:smooth val="0"/>
          <c:extLst>
            <c:ext xmlns:c16="http://schemas.microsoft.com/office/drawing/2014/chart" uri="{C3380CC4-5D6E-409C-BE32-E72D297353CC}">
              <c16:uniqueId val="{00000003-5FCA-7C40-AD66-4B413C37FFBD}"/>
            </c:ext>
          </c:extLst>
        </c:ser>
        <c:ser>
          <c:idx val="4"/>
          <c:order val="4"/>
          <c:tx>
            <c:strRef>
              <c:f>Sheet1!$F$1</c:f>
              <c:strCache>
                <c:ptCount val="1"/>
                <c:pt idx="0">
                  <c:v>Case 10</c:v>
                </c:pt>
              </c:strCache>
            </c:strRef>
          </c:tx>
          <c:spPr>
            <a:ln>
              <a:solidFill>
                <a:schemeClr val="tx1"/>
              </a:solidFill>
            </a:ln>
          </c:spPr>
          <c:marker>
            <c:spPr>
              <a:solidFill>
                <a:schemeClr val="tx1"/>
              </a:solidFill>
              <a:ln>
                <a:solidFill>
                  <a:schemeClr val="tx1"/>
                </a:solidFill>
              </a:ln>
            </c:spPr>
          </c:marker>
          <c:dLbls>
            <c:dLbl>
              <c:idx val="2"/>
              <c:layout>
                <c:manualLayout>
                  <c:x val="5.8128973660308787E-2"/>
                  <c:y val="-2.5641025641026157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Sheet1!$F$2:$F$5</c:f>
              <c:numCache>
                <c:formatCode>General</c:formatCode>
                <c:ptCount val="4"/>
                <c:pt idx="1">
                  <c:v>1.03</c:v>
                </c:pt>
                <c:pt idx="2">
                  <c:v>0.93</c:v>
                </c:pt>
              </c:numCache>
            </c:numRef>
          </c:val>
          <c:smooth val="0"/>
          <c:extLst>
            <c:ext xmlns:c16="http://schemas.microsoft.com/office/drawing/2014/chart" uri="{C3380CC4-5D6E-409C-BE32-E72D297353CC}">
              <c16:uniqueId val="{00000004-5FCA-7C40-AD66-4B413C37FFBD}"/>
            </c:ext>
          </c:extLst>
        </c:ser>
        <c:ser>
          <c:idx val="5"/>
          <c:order val="5"/>
          <c:tx>
            <c:strRef>
              <c:f>Sheet1!$G$1</c:f>
              <c:strCache>
                <c:ptCount val="1"/>
                <c:pt idx="0">
                  <c:v>Case 11</c:v>
                </c:pt>
              </c:strCache>
            </c:strRef>
          </c:tx>
          <c:spPr>
            <a:ln>
              <a:solidFill>
                <a:schemeClr val="tx1"/>
              </a:solidFill>
            </a:ln>
          </c:spPr>
          <c:marker>
            <c:spPr>
              <a:solidFill>
                <a:schemeClr val="tx1"/>
              </a:solidFill>
              <a:ln>
                <a:solidFill>
                  <a:schemeClr val="tx1"/>
                </a:solidFill>
              </a:ln>
            </c:spPr>
          </c:marker>
          <c:dLbls>
            <c:dLbl>
              <c:idx val="2"/>
              <c:layout>
                <c:manualLayout>
                  <c:x val="5.9945504087193464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Sheet1!$G$2:$G$5</c:f>
              <c:numCache>
                <c:formatCode>General</c:formatCode>
                <c:ptCount val="4"/>
                <c:pt idx="1">
                  <c:v>1.02</c:v>
                </c:pt>
                <c:pt idx="2">
                  <c:v>0.97000000000000064</c:v>
                </c:pt>
              </c:numCache>
            </c:numRef>
          </c:val>
          <c:smooth val="0"/>
          <c:extLst>
            <c:ext xmlns:c16="http://schemas.microsoft.com/office/drawing/2014/chart" uri="{C3380CC4-5D6E-409C-BE32-E72D297353CC}">
              <c16:uniqueId val="{00000005-5FCA-7C40-AD66-4B413C37FFBD}"/>
            </c:ext>
          </c:extLst>
        </c:ser>
        <c:ser>
          <c:idx val="6"/>
          <c:order val="6"/>
          <c:tx>
            <c:strRef>
              <c:f>Sheet1!$H$1</c:f>
              <c:strCache>
                <c:ptCount val="1"/>
                <c:pt idx="0">
                  <c:v>Case 15</c:v>
                </c:pt>
              </c:strCache>
            </c:strRef>
          </c:tx>
          <c:spPr>
            <a:ln>
              <a:solidFill>
                <a:schemeClr val="tx1"/>
              </a:solidFill>
            </a:ln>
          </c:spPr>
          <c:marker>
            <c:spPr>
              <a:solidFill>
                <a:schemeClr val="tx1"/>
              </a:solidFill>
              <a:ln>
                <a:solidFill>
                  <a:schemeClr val="tx1"/>
                </a:solidFill>
              </a:ln>
            </c:spPr>
          </c:marker>
          <c:dLbls>
            <c:dLbl>
              <c:idx val="2"/>
              <c:layout>
                <c:manualLayout>
                  <c:x val="5.6312443233424533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Sheet1!$H$2:$H$5</c:f>
              <c:numCache>
                <c:formatCode>General</c:formatCode>
                <c:ptCount val="4"/>
                <c:pt idx="1">
                  <c:v>0.96000000000000063</c:v>
                </c:pt>
                <c:pt idx="2">
                  <c:v>0.94000000000000061</c:v>
                </c:pt>
              </c:numCache>
            </c:numRef>
          </c:val>
          <c:smooth val="0"/>
          <c:extLst>
            <c:ext xmlns:c16="http://schemas.microsoft.com/office/drawing/2014/chart" uri="{C3380CC4-5D6E-409C-BE32-E72D297353CC}">
              <c16:uniqueId val="{00000006-5FCA-7C40-AD66-4B413C37FFBD}"/>
            </c:ext>
          </c:extLst>
        </c:ser>
        <c:ser>
          <c:idx val="7"/>
          <c:order val="7"/>
          <c:tx>
            <c:strRef>
              <c:f>Sheet1!$I$1</c:f>
              <c:strCache>
                <c:ptCount val="1"/>
                <c:pt idx="0">
                  <c:v>Case 16</c:v>
                </c:pt>
              </c:strCache>
            </c:strRef>
          </c:tx>
          <c:spPr>
            <a:ln>
              <a:solidFill>
                <a:schemeClr val="tx1"/>
              </a:solidFill>
            </a:ln>
          </c:spPr>
          <c:marker>
            <c:spPr>
              <a:solidFill>
                <a:schemeClr val="tx1"/>
              </a:solidFill>
              <a:ln>
                <a:solidFill>
                  <a:schemeClr val="tx1"/>
                </a:solidFill>
              </a:ln>
            </c:spPr>
          </c:marker>
          <c:dLbls>
            <c:dLbl>
              <c:idx val="2"/>
              <c:layout>
                <c:manualLayout>
                  <c:x val="5.9945504087193464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Sheet1!$I$2:$I$5</c:f>
              <c:numCache>
                <c:formatCode>General</c:formatCode>
                <c:ptCount val="4"/>
                <c:pt idx="1">
                  <c:v>0.97000000000000064</c:v>
                </c:pt>
                <c:pt idx="2">
                  <c:v>0.95000000000000062</c:v>
                </c:pt>
              </c:numCache>
            </c:numRef>
          </c:val>
          <c:smooth val="0"/>
          <c:extLst>
            <c:ext xmlns:c16="http://schemas.microsoft.com/office/drawing/2014/chart" uri="{C3380CC4-5D6E-409C-BE32-E72D297353CC}">
              <c16:uniqueId val="{00000007-5FCA-7C40-AD66-4B413C37FFBD}"/>
            </c:ext>
          </c:extLst>
        </c:ser>
        <c:ser>
          <c:idx val="8"/>
          <c:order val="8"/>
          <c:tx>
            <c:strRef>
              <c:f>Sheet1!$J$1</c:f>
              <c:strCache>
                <c:ptCount val="1"/>
                <c:pt idx="0">
                  <c:v>Case 17</c:v>
                </c:pt>
              </c:strCache>
            </c:strRef>
          </c:tx>
          <c:spPr>
            <a:ln>
              <a:solidFill>
                <a:schemeClr val="tx1"/>
              </a:solidFill>
            </a:ln>
          </c:spPr>
          <c:marker>
            <c:spPr>
              <a:solidFill>
                <a:schemeClr val="tx1"/>
              </a:solidFill>
              <a:ln>
                <a:solidFill>
                  <a:schemeClr val="tx1"/>
                </a:solidFill>
              </a:ln>
            </c:spPr>
          </c:marker>
          <c:dLbls>
            <c:dLbl>
              <c:idx val="2"/>
              <c:layout>
                <c:manualLayout>
                  <c:x val="5.6312443233424533E-2"/>
                  <c:y val="-9.4016007936152679E-17"/>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Sheet1!$J$2:$J$5</c:f>
              <c:numCache>
                <c:formatCode>General</c:formatCode>
                <c:ptCount val="4"/>
                <c:pt idx="1">
                  <c:v>0.78</c:v>
                </c:pt>
                <c:pt idx="2">
                  <c:v>0.67000000000001059</c:v>
                </c:pt>
              </c:numCache>
            </c:numRef>
          </c:val>
          <c:smooth val="0"/>
          <c:extLst>
            <c:ext xmlns:c16="http://schemas.microsoft.com/office/drawing/2014/chart" uri="{C3380CC4-5D6E-409C-BE32-E72D297353CC}">
              <c16:uniqueId val="{00000008-5FCA-7C40-AD66-4B413C37FFBD}"/>
            </c:ext>
          </c:extLst>
        </c:ser>
        <c:ser>
          <c:idx val="9"/>
          <c:order val="9"/>
          <c:tx>
            <c:strRef>
              <c:f>Sheet1!$K$1</c:f>
              <c:strCache>
                <c:ptCount val="1"/>
                <c:pt idx="0">
                  <c:v>Case 18</c:v>
                </c:pt>
              </c:strCache>
            </c:strRef>
          </c:tx>
          <c:spPr>
            <a:ln>
              <a:solidFill>
                <a:schemeClr val="tx1"/>
              </a:solidFill>
            </a:ln>
          </c:spPr>
          <c:marker>
            <c:spPr>
              <a:solidFill>
                <a:schemeClr val="tx1"/>
              </a:solidFill>
              <a:ln>
                <a:solidFill>
                  <a:schemeClr val="tx1"/>
                </a:solidFill>
              </a:ln>
            </c:spPr>
          </c:marker>
          <c:dLbls>
            <c:dLbl>
              <c:idx val="2"/>
              <c:layout>
                <c:manualLayout>
                  <c:x val="5.8128973660308787E-2"/>
                  <c:y val="5.128205128205128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2CD-4CAA-A625-DC452F6555AF}"/>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Sheet1!$K$2:$K$5</c:f>
              <c:numCache>
                <c:formatCode>General</c:formatCode>
                <c:ptCount val="4"/>
                <c:pt idx="1">
                  <c:v>0.95000000000000062</c:v>
                </c:pt>
                <c:pt idx="2">
                  <c:v>0.84000000000000064</c:v>
                </c:pt>
              </c:numCache>
            </c:numRef>
          </c:val>
          <c:smooth val="0"/>
          <c:extLst>
            <c:ext xmlns:c16="http://schemas.microsoft.com/office/drawing/2014/chart" uri="{C3380CC4-5D6E-409C-BE32-E72D297353CC}">
              <c16:uniqueId val="{00000009-5FCA-7C40-AD66-4B413C37FFBD}"/>
            </c:ext>
          </c:extLst>
        </c:ser>
        <c:ser>
          <c:idx val="10"/>
          <c:order val="10"/>
          <c:tx>
            <c:strRef>
              <c:f>Sheet1!$L$1</c:f>
              <c:strCache>
                <c:ptCount val="1"/>
                <c:pt idx="0">
                  <c:v>Average</c:v>
                </c:pt>
              </c:strCache>
            </c:strRef>
          </c:tx>
          <c:spPr>
            <a:ln>
              <a:solidFill>
                <a:srgbClr val="FF0000"/>
              </a:solidFill>
            </a:ln>
          </c:spPr>
          <c:marker>
            <c:symbol val="circle"/>
            <c:size val="10"/>
            <c:spPr>
              <a:solidFill>
                <a:srgbClr val="FF0000"/>
              </a:solidFill>
            </c:spPr>
          </c:marker>
          <c:dLbls>
            <c:dLbl>
              <c:idx val="0"/>
              <c:layout>
                <c:manualLayout>
                  <c:x val="6.5395095367847419E-2"/>
                  <c:y val="-0.14102564102564102"/>
                </c:manualLayout>
              </c:layout>
              <c:tx>
                <c:rich>
                  <a:bodyPr/>
                  <a:lstStyle/>
                  <a:p>
                    <a:r>
                      <a:rPr lang="en-US" sz="1200" b="1"/>
                      <a:t>0.96 +/- 0.07</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F2CD-4CAA-A625-DC452F6555AF}"/>
                </c:ext>
              </c:extLst>
            </c:dLbl>
            <c:dLbl>
              <c:idx val="3"/>
              <c:layout>
                <c:manualLayout>
                  <c:x val="7.4477747502270694E-2"/>
                  <c:y val="-0.17948717948718249"/>
                </c:manualLayout>
              </c:layout>
              <c:tx>
                <c:rich>
                  <a:bodyPr/>
                  <a:lstStyle/>
                  <a:p>
                    <a:r>
                      <a:rPr lang="en-US" sz="1200" b="1"/>
                      <a:t>0.88 +/- 0.09</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F2CD-4CAA-A625-DC452F6555AF}"/>
                </c:ext>
              </c:extLst>
            </c:dLbl>
            <c:spPr>
              <a:noFill/>
              <a:ln>
                <a:noFill/>
              </a:ln>
              <a:effectLst/>
            </c:spPr>
            <c:txPr>
              <a:bodyPr/>
              <a:lstStyle/>
              <a:p>
                <a:pPr>
                  <a:defRPr>
                    <a:solidFill>
                      <a:srgbClr val="FF0000"/>
                    </a:solidFill>
                    <a:latin typeface="Times New Roman" pitchFamily="18" charset="0"/>
                    <a:cs typeface="Times New Roman" pitchFamily="18" charset="0"/>
                  </a:defRPr>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Sheet1!$M$2:$M$5</c:f>
                <c:numCache>
                  <c:formatCode>General</c:formatCode>
                  <c:ptCount val="4"/>
                  <c:pt idx="0">
                    <c:v>7.0000000000000021E-2</c:v>
                  </c:pt>
                  <c:pt idx="3">
                    <c:v>9.0000000000000024E-2</c:v>
                  </c:pt>
                </c:numCache>
              </c:numRef>
            </c:plus>
            <c:minus>
              <c:numRef>
                <c:f>Sheet1!$M$2:$M$5</c:f>
                <c:numCache>
                  <c:formatCode>General</c:formatCode>
                  <c:ptCount val="4"/>
                  <c:pt idx="0">
                    <c:v>7.0000000000000021E-2</c:v>
                  </c:pt>
                  <c:pt idx="3">
                    <c:v>9.0000000000000024E-2</c:v>
                  </c:pt>
                </c:numCache>
              </c:numRef>
            </c:minus>
            <c:spPr>
              <a:ln w="15875">
                <a:solidFill>
                  <a:srgbClr val="FF0000"/>
                </a:solidFill>
              </a:ln>
            </c:spPr>
          </c:errBars>
          <c:cat>
            <c:strRef>
              <c:f>Sheet1!$A$2:$A$5</c:f>
              <c:strCache>
                <c:ptCount val="3"/>
                <c:pt idx="1">
                  <c:v>Prone</c:v>
                </c:pt>
                <c:pt idx="2">
                  <c:v>Supine</c:v>
                </c:pt>
              </c:strCache>
            </c:strRef>
          </c:cat>
          <c:val>
            <c:numRef>
              <c:f>Sheet1!$L$2:$L$5</c:f>
              <c:numCache>
                <c:formatCode>General</c:formatCode>
                <c:ptCount val="4"/>
                <c:pt idx="0">
                  <c:v>0.96000000000000063</c:v>
                </c:pt>
                <c:pt idx="3">
                  <c:v>0.88</c:v>
                </c:pt>
              </c:numCache>
            </c:numRef>
          </c:val>
          <c:smooth val="0"/>
          <c:extLst>
            <c:ext xmlns:c16="http://schemas.microsoft.com/office/drawing/2014/chart" uri="{C3380CC4-5D6E-409C-BE32-E72D297353CC}">
              <c16:uniqueId val="{0000000E-F2CD-4CAA-A625-DC452F6555AF}"/>
            </c:ext>
          </c:extLst>
        </c:ser>
        <c:dLbls>
          <c:showLegendKey val="0"/>
          <c:showVal val="0"/>
          <c:showCatName val="0"/>
          <c:showSerName val="0"/>
          <c:showPercent val="0"/>
          <c:showBubbleSize val="0"/>
        </c:dLbls>
        <c:marker val="1"/>
        <c:smooth val="0"/>
        <c:axId val="220027904"/>
        <c:axId val="220049792"/>
      </c:lineChart>
      <c:catAx>
        <c:axId val="220027904"/>
        <c:scaling>
          <c:orientation val="minMax"/>
        </c:scaling>
        <c:delete val="0"/>
        <c:axPos val="b"/>
        <c:numFmt formatCode="General" sourceLinked="0"/>
        <c:majorTickMark val="out"/>
        <c:minorTickMark val="none"/>
        <c:tickLblPos val="nextTo"/>
        <c:txPr>
          <a:bodyPr/>
          <a:lstStyle/>
          <a:p>
            <a:pPr>
              <a:defRPr sz="1200" b="1">
                <a:latin typeface="Times New Roman" pitchFamily="18" charset="0"/>
                <a:cs typeface="Times New Roman" pitchFamily="18" charset="0"/>
              </a:defRPr>
            </a:pPr>
            <a:endParaRPr lang="en-US"/>
          </a:p>
        </c:txPr>
        <c:crossAx val="220049792"/>
        <c:crosses val="autoZero"/>
        <c:auto val="1"/>
        <c:lblAlgn val="ctr"/>
        <c:lblOffset val="100"/>
        <c:noMultiLvlLbl val="0"/>
      </c:catAx>
      <c:valAx>
        <c:axId val="220049792"/>
        <c:scaling>
          <c:orientation val="minMax"/>
          <c:min val="0.60000000000000064"/>
        </c:scaling>
        <c:delete val="0"/>
        <c:axPos val="l"/>
        <c:numFmt formatCode="General" sourceLinked="1"/>
        <c:majorTickMark val="out"/>
        <c:minorTickMark val="none"/>
        <c:tickLblPos val="nextTo"/>
        <c:crossAx val="220027904"/>
        <c:crosses val="autoZero"/>
        <c:crossBetween val="between"/>
      </c:valAx>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200">
                <a:latin typeface="Times New Roman" pitchFamily="18" charset="0"/>
                <a:cs typeface="Times New Roman" pitchFamily="18" charset="0"/>
              </a:defRPr>
            </a:pPr>
            <a:r>
              <a:rPr lang="en-US" sz="1200">
                <a:latin typeface="Times New Roman" pitchFamily="18" charset="0"/>
                <a:cs typeface="Times New Roman" pitchFamily="18" charset="0"/>
              </a:rPr>
              <a:t>Circumflex Artery - Pd/Pa</a:t>
            </a:r>
          </a:p>
        </c:rich>
      </c:tx>
      <c:overlay val="1"/>
    </c:title>
    <c:autoTitleDeleted val="0"/>
    <c:plotArea>
      <c:layout>
        <c:manualLayout>
          <c:layoutTarget val="inner"/>
          <c:xMode val="edge"/>
          <c:yMode val="edge"/>
          <c:x val="0.10830297438978166"/>
          <c:y val="8.6411212350911482E-2"/>
          <c:w val="0.85802756263096569"/>
          <c:h val="0.78346219492697322"/>
        </c:manualLayout>
      </c:layout>
      <c:lineChart>
        <c:grouping val="standard"/>
        <c:varyColors val="0"/>
        <c:ser>
          <c:idx val="0"/>
          <c:order val="0"/>
          <c:tx>
            <c:strRef>
              <c:f>Sheet1!$B$1</c:f>
              <c:strCache>
                <c:ptCount val="1"/>
                <c:pt idx="0">
                  <c:v>Case 2</c:v>
                </c:pt>
              </c:strCache>
            </c:strRef>
          </c:tx>
          <c:spPr>
            <a:ln>
              <a:solidFill>
                <a:schemeClr val="tx1"/>
              </a:solidFill>
            </a:ln>
          </c:spPr>
          <c:marker>
            <c:spPr>
              <a:solidFill>
                <a:schemeClr val="tx1"/>
              </a:solidFill>
              <a:ln>
                <a:solidFill>
                  <a:schemeClr val="tx1"/>
                </a:solidFill>
              </a:ln>
            </c:spPr>
          </c:marker>
          <c:cat>
            <c:strRef>
              <c:f>Sheet1!$A$2:$A$5</c:f>
              <c:strCache>
                <c:ptCount val="3"/>
                <c:pt idx="1">
                  <c:v>Prone</c:v>
                </c:pt>
                <c:pt idx="2">
                  <c:v>Supine</c:v>
                </c:pt>
              </c:strCache>
            </c:strRef>
          </c:cat>
          <c:val>
            <c:numRef>
              <c:f>Sheet1!$B$2:$B$5</c:f>
              <c:numCache>
                <c:formatCode>General</c:formatCode>
                <c:ptCount val="4"/>
                <c:pt idx="1">
                  <c:v>0.96000000000000063</c:v>
                </c:pt>
                <c:pt idx="2">
                  <c:v>1</c:v>
                </c:pt>
              </c:numCache>
            </c:numRef>
          </c:val>
          <c:smooth val="0"/>
          <c:extLst>
            <c:ext xmlns:c16="http://schemas.microsoft.com/office/drawing/2014/chart" uri="{C3380CC4-5D6E-409C-BE32-E72D297353CC}">
              <c16:uniqueId val="{00000000-5CEE-7B4C-829E-C618F556BBBD}"/>
            </c:ext>
          </c:extLst>
        </c:ser>
        <c:ser>
          <c:idx val="1"/>
          <c:order val="1"/>
          <c:tx>
            <c:strRef>
              <c:f>Sheet1!$C$1</c:f>
              <c:strCache>
                <c:ptCount val="1"/>
                <c:pt idx="0">
                  <c:v>Case 3</c:v>
                </c:pt>
              </c:strCache>
            </c:strRef>
          </c:tx>
          <c:spPr>
            <a:ln>
              <a:solidFill>
                <a:schemeClr val="tx1"/>
              </a:solidFill>
            </a:ln>
          </c:spPr>
          <c:marker>
            <c:spPr>
              <a:solidFill>
                <a:schemeClr val="tx1"/>
              </a:solidFill>
              <a:ln>
                <a:solidFill>
                  <a:schemeClr val="tx1"/>
                </a:solidFill>
              </a:ln>
            </c:spPr>
          </c:marker>
          <c:dLbls>
            <c:dLbl>
              <c:idx val="2"/>
              <c:delete val="1"/>
              <c:extLst>
                <c:ext xmlns:c15="http://schemas.microsoft.com/office/drawing/2012/chart" uri="{CE6537A1-D6FC-4f65-9D91-7224C49458BB}"/>
                <c:ext xmlns:c16="http://schemas.microsoft.com/office/drawing/2014/chart" uri="{C3380CC4-5D6E-409C-BE32-E72D297353CC}">
                  <c16:uniqueId val="{00000000-3F91-466A-A725-25301EE16303}"/>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Sheet1!$C$2:$C$5</c:f>
              <c:numCache>
                <c:formatCode>General</c:formatCode>
                <c:ptCount val="4"/>
                <c:pt idx="1">
                  <c:v>0.96000000000000063</c:v>
                </c:pt>
                <c:pt idx="2">
                  <c:v>0.99</c:v>
                </c:pt>
              </c:numCache>
            </c:numRef>
          </c:val>
          <c:smooth val="0"/>
          <c:extLst>
            <c:ext xmlns:c16="http://schemas.microsoft.com/office/drawing/2014/chart" uri="{C3380CC4-5D6E-409C-BE32-E72D297353CC}">
              <c16:uniqueId val="{00000001-5CEE-7B4C-829E-C618F556BBBD}"/>
            </c:ext>
          </c:extLst>
        </c:ser>
        <c:ser>
          <c:idx val="2"/>
          <c:order val="2"/>
          <c:tx>
            <c:strRef>
              <c:f>Sheet1!$D$1</c:f>
              <c:strCache>
                <c:ptCount val="1"/>
                <c:pt idx="0">
                  <c:v> Case 6</c:v>
                </c:pt>
              </c:strCache>
            </c:strRef>
          </c:tx>
          <c:spPr>
            <a:ln>
              <a:solidFill>
                <a:schemeClr val="tx1"/>
              </a:solidFill>
            </a:ln>
          </c:spPr>
          <c:marker>
            <c:spPr>
              <a:solidFill>
                <a:schemeClr val="tx1"/>
              </a:solidFill>
              <a:ln>
                <a:solidFill>
                  <a:schemeClr val="tx1"/>
                </a:solidFill>
              </a:ln>
            </c:spPr>
          </c:marker>
          <c:dLbls>
            <c:dLbl>
              <c:idx val="1"/>
              <c:layout>
                <c:manualLayout>
                  <c:x val="-2.724795640327057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F91-466A-A725-25301EE16303}"/>
                </c:ext>
              </c:extLst>
            </c:dLbl>
            <c:dLbl>
              <c:idx val="2"/>
              <c:layout>
                <c:manualLayout>
                  <c:x val="2.5431425976385202E-2"/>
                  <c:y val="5.239030779305843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F91-466A-A725-25301EE16303}"/>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Sheet1!$D$2:$D$5</c:f>
              <c:numCache>
                <c:formatCode>General</c:formatCode>
                <c:ptCount val="4"/>
                <c:pt idx="1">
                  <c:v>0.95000000000000062</c:v>
                </c:pt>
                <c:pt idx="2">
                  <c:v>0.97000000000000064</c:v>
                </c:pt>
              </c:numCache>
            </c:numRef>
          </c:val>
          <c:smooth val="0"/>
          <c:extLst>
            <c:ext xmlns:c16="http://schemas.microsoft.com/office/drawing/2014/chart" uri="{C3380CC4-5D6E-409C-BE32-E72D297353CC}">
              <c16:uniqueId val="{00000002-5CEE-7B4C-829E-C618F556BBBD}"/>
            </c:ext>
          </c:extLst>
        </c:ser>
        <c:ser>
          <c:idx val="3"/>
          <c:order val="3"/>
          <c:tx>
            <c:strRef>
              <c:f>Sheet1!$E$1</c:f>
              <c:strCache>
                <c:ptCount val="1"/>
                <c:pt idx="0">
                  <c:v>Case 8</c:v>
                </c:pt>
              </c:strCache>
            </c:strRef>
          </c:tx>
          <c:spPr>
            <a:ln>
              <a:solidFill>
                <a:schemeClr val="tx1"/>
              </a:solidFill>
            </a:ln>
          </c:spPr>
          <c:marker>
            <c:spPr>
              <a:solidFill>
                <a:schemeClr val="tx1"/>
              </a:solidFill>
              <a:ln>
                <a:solidFill>
                  <a:schemeClr val="tx1"/>
                </a:solidFill>
              </a:ln>
            </c:spPr>
          </c:marker>
          <c:dLbls>
            <c:dLbl>
              <c:idx val="2"/>
              <c:layout>
                <c:manualLayout>
                  <c:x val="5.9945504087193464E-2"/>
                  <c:y val="-2.619515389652925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F91-466A-A725-25301EE16303}"/>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Sheet1!$E$2:$E$5</c:f>
              <c:numCache>
                <c:formatCode>General</c:formatCode>
                <c:ptCount val="4"/>
                <c:pt idx="1">
                  <c:v>0.92</c:v>
                </c:pt>
                <c:pt idx="2">
                  <c:v>0.99</c:v>
                </c:pt>
              </c:numCache>
            </c:numRef>
          </c:val>
          <c:smooth val="0"/>
          <c:extLst>
            <c:ext xmlns:c16="http://schemas.microsoft.com/office/drawing/2014/chart" uri="{C3380CC4-5D6E-409C-BE32-E72D297353CC}">
              <c16:uniqueId val="{00000003-5CEE-7B4C-829E-C618F556BBBD}"/>
            </c:ext>
          </c:extLst>
        </c:ser>
        <c:ser>
          <c:idx val="4"/>
          <c:order val="4"/>
          <c:tx>
            <c:strRef>
              <c:f>Sheet1!$F$1</c:f>
              <c:strCache>
                <c:ptCount val="1"/>
                <c:pt idx="0">
                  <c:v>Case 21</c:v>
                </c:pt>
              </c:strCache>
            </c:strRef>
          </c:tx>
          <c:spPr>
            <a:ln>
              <a:solidFill>
                <a:schemeClr val="tx1"/>
              </a:solidFill>
            </a:ln>
          </c:spPr>
          <c:marker>
            <c:spPr>
              <a:solidFill>
                <a:schemeClr val="tx1"/>
              </a:solidFill>
              <a:ln>
                <a:solidFill>
                  <a:schemeClr val="tx1"/>
                </a:solidFill>
              </a:ln>
            </c:spPr>
          </c:marker>
          <c:dLbls>
            <c:dLbl>
              <c:idx val="2"/>
              <c:layout>
                <c:manualLayout>
                  <c:x val="5.9945504087193464E-2"/>
                  <c:y val="2.619515389652925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F91-466A-A725-25301EE16303}"/>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Sheet1!$F$2:$F$5</c:f>
              <c:numCache>
                <c:formatCode>General</c:formatCode>
                <c:ptCount val="4"/>
                <c:pt idx="1">
                  <c:v>0.86000000000000065</c:v>
                </c:pt>
                <c:pt idx="2">
                  <c:v>0.98</c:v>
                </c:pt>
              </c:numCache>
            </c:numRef>
          </c:val>
          <c:smooth val="0"/>
          <c:extLst>
            <c:ext xmlns:c16="http://schemas.microsoft.com/office/drawing/2014/chart" uri="{C3380CC4-5D6E-409C-BE32-E72D297353CC}">
              <c16:uniqueId val="{00000004-5CEE-7B4C-829E-C618F556BBBD}"/>
            </c:ext>
          </c:extLst>
        </c:ser>
        <c:ser>
          <c:idx val="5"/>
          <c:order val="5"/>
          <c:tx>
            <c:strRef>
              <c:f>Sheet1!$G$1</c:f>
              <c:strCache>
                <c:ptCount val="1"/>
                <c:pt idx="0">
                  <c:v>Case 22</c:v>
                </c:pt>
              </c:strCache>
            </c:strRef>
          </c:tx>
          <c:spPr>
            <a:ln>
              <a:solidFill>
                <a:schemeClr val="tx1"/>
              </a:solidFill>
            </a:ln>
          </c:spPr>
          <c:marker>
            <c:spPr>
              <a:solidFill>
                <a:schemeClr val="tx1"/>
              </a:solidFill>
              <a:ln>
                <a:solidFill>
                  <a:schemeClr val="tx1"/>
                </a:solidFill>
              </a:ln>
            </c:spPr>
          </c:marker>
          <c:dLbls>
            <c:dLbl>
              <c:idx val="2"/>
              <c:layout>
                <c:manualLayout>
                  <c:x val="5.8128973660308787E-2"/>
                  <c:y val="1.8336607727570401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F91-466A-A725-25301EE16303}"/>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Sheet1!$G$2:$G$5</c:f>
              <c:numCache>
                <c:formatCode>General</c:formatCode>
                <c:ptCount val="4"/>
                <c:pt idx="1">
                  <c:v>0.94000000000000061</c:v>
                </c:pt>
                <c:pt idx="2">
                  <c:v>0.96000000000000063</c:v>
                </c:pt>
              </c:numCache>
            </c:numRef>
          </c:val>
          <c:smooth val="0"/>
          <c:extLst>
            <c:ext xmlns:c16="http://schemas.microsoft.com/office/drawing/2014/chart" uri="{C3380CC4-5D6E-409C-BE32-E72D297353CC}">
              <c16:uniqueId val="{00000005-5CEE-7B4C-829E-C618F556BBBD}"/>
            </c:ext>
          </c:extLst>
        </c:ser>
        <c:ser>
          <c:idx val="6"/>
          <c:order val="6"/>
          <c:tx>
            <c:strRef>
              <c:f>Sheet1!$H$1</c:f>
              <c:strCache>
                <c:ptCount val="1"/>
                <c:pt idx="0">
                  <c:v>Case 23</c:v>
                </c:pt>
              </c:strCache>
            </c:strRef>
          </c:tx>
          <c:spPr>
            <a:ln>
              <a:solidFill>
                <a:schemeClr val="tx1"/>
              </a:solidFill>
            </a:ln>
          </c:spPr>
          <c:marker>
            <c:spPr>
              <a:solidFill>
                <a:schemeClr val="tx1"/>
              </a:solidFill>
              <a:ln>
                <a:solidFill>
                  <a:schemeClr val="tx1"/>
                </a:solidFill>
              </a:ln>
            </c:spPr>
          </c:marker>
          <c:dLbls>
            <c:dLbl>
              <c:idx val="2"/>
              <c:layout>
                <c:manualLayout>
                  <c:x val="3.8147138964577658E-2"/>
                  <c:y val="-7.8585461689587421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F91-466A-A725-25301EE16303}"/>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Sheet1!$H$2:$H$5</c:f>
              <c:numCache>
                <c:formatCode>General</c:formatCode>
                <c:ptCount val="4"/>
                <c:pt idx="1">
                  <c:v>0.94000000000000061</c:v>
                </c:pt>
                <c:pt idx="2">
                  <c:v>1</c:v>
                </c:pt>
              </c:numCache>
            </c:numRef>
          </c:val>
          <c:smooth val="0"/>
          <c:extLst>
            <c:ext xmlns:c16="http://schemas.microsoft.com/office/drawing/2014/chart" uri="{C3380CC4-5D6E-409C-BE32-E72D297353CC}">
              <c16:uniqueId val="{00000006-5CEE-7B4C-829E-C618F556BBBD}"/>
            </c:ext>
          </c:extLst>
        </c:ser>
        <c:ser>
          <c:idx val="7"/>
          <c:order val="7"/>
          <c:tx>
            <c:strRef>
              <c:f>Sheet1!$I$1</c:f>
              <c:strCache>
                <c:ptCount val="1"/>
                <c:pt idx="0">
                  <c:v>Average</c:v>
                </c:pt>
              </c:strCache>
            </c:strRef>
          </c:tx>
          <c:marker>
            <c:symbol val="circle"/>
            <c:size val="10"/>
            <c:spPr>
              <a:solidFill>
                <a:srgbClr val="FF0000"/>
              </a:solidFill>
            </c:spPr>
          </c:marker>
          <c:dLbls>
            <c:dLbl>
              <c:idx val="0"/>
              <c:layout>
                <c:manualLayout>
                  <c:x val="6.1762034514079134E-2"/>
                  <c:y val="-0.12835625409299514"/>
                </c:manualLayout>
              </c:layout>
              <c:tx>
                <c:rich>
                  <a:bodyPr/>
                  <a:lstStyle/>
                  <a:p>
                    <a:r>
                      <a:rPr lang="en-US" sz="1200" b="1">
                        <a:solidFill>
                          <a:srgbClr val="FF0000"/>
                        </a:solidFill>
                        <a:latin typeface="Times New Roman" pitchFamily="18" charset="0"/>
                        <a:cs typeface="Times New Roman" pitchFamily="18" charset="0"/>
                      </a:rPr>
                      <a:t>0.93 +/- 0.03</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3F91-466A-A725-25301EE16303}"/>
                </c:ext>
              </c:extLst>
            </c:dLbl>
            <c:dLbl>
              <c:idx val="3"/>
              <c:layout>
                <c:manualLayout>
                  <c:x val="7.6294277929155413E-2"/>
                  <c:y val="-9.4302554027504912E-2"/>
                </c:manualLayout>
              </c:layout>
              <c:tx>
                <c:rich>
                  <a:bodyPr/>
                  <a:lstStyle/>
                  <a:p>
                    <a:r>
                      <a:rPr lang="en-US" sz="1200" b="1">
                        <a:solidFill>
                          <a:srgbClr val="FF0000"/>
                        </a:solidFill>
                        <a:latin typeface="Times New Roman" pitchFamily="18" charset="0"/>
                        <a:cs typeface="Times New Roman" pitchFamily="18" charset="0"/>
                      </a:rPr>
                      <a:t>0.98 +/- 0.02</a:t>
                    </a:r>
                  </a:p>
                </c:rich>
              </c:tx>
              <c:dLblPos val="l"/>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3F91-466A-A725-25301EE16303}"/>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Sheet1!$K$2:$K$5</c:f>
                <c:numCache>
                  <c:formatCode>General</c:formatCode>
                  <c:ptCount val="4"/>
                  <c:pt idx="0">
                    <c:v>3.0000000000000002E-2</c:v>
                  </c:pt>
                  <c:pt idx="3">
                    <c:v>2.0000000000000011E-2</c:v>
                  </c:pt>
                </c:numCache>
              </c:numRef>
            </c:plus>
            <c:minus>
              <c:numRef>
                <c:f>Sheet1!$K$2:$K$5</c:f>
                <c:numCache>
                  <c:formatCode>General</c:formatCode>
                  <c:ptCount val="4"/>
                  <c:pt idx="0">
                    <c:v>3.0000000000000002E-2</c:v>
                  </c:pt>
                  <c:pt idx="3">
                    <c:v>2.0000000000000011E-2</c:v>
                  </c:pt>
                </c:numCache>
              </c:numRef>
            </c:minus>
            <c:spPr>
              <a:ln w="15875">
                <a:solidFill>
                  <a:srgbClr val="FF0000"/>
                </a:solidFill>
              </a:ln>
            </c:spPr>
          </c:errBars>
          <c:cat>
            <c:strRef>
              <c:f>Sheet1!$A$2:$A$5</c:f>
              <c:strCache>
                <c:ptCount val="3"/>
                <c:pt idx="1">
                  <c:v>Prone</c:v>
                </c:pt>
                <c:pt idx="2">
                  <c:v>Supine</c:v>
                </c:pt>
              </c:strCache>
            </c:strRef>
          </c:cat>
          <c:val>
            <c:numRef>
              <c:f>Sheet1!$I$2:$I$5</c:f>
              <c:numCache>
                <c:formatCode>General</c:formatCode>
                <c:ptCount val="4"/>
                <c:pt idx="0">
                  <c:v>0.93</c:v>
                </c:pt>
                <c:pt idx="3">
                  <c:v>0.98</c:v>
                </c:pt>
              </c:numCache>
            </c:numRef>
          </c:val>
          <c:smooth val="0"/>
          <c:extLst>
            <c:ext xmlns:c16="http://schemas.microsoft.com/office/drawing/2014/chart" uri="{C3380CC4-5D6E-409C-BE32-E72D297353CC}">
              <c16:uniqueId val="{0000000A-3F91-466A-A725-25301EE16303}"/>
            </c:ext>
          </c:extLst>
        </c:ser>
        <c:dLbls>
          <c:showLegendKey val="0"/>
          <c:showVal val="0"/>
          <c:showCatName val="0"/>
          <c:showSerName val="0"/>
          <c:showPercent val="0"/>
          <c:showBubbleSize val="0"/>
        </c:dLbls>
        <c:marker val="1"/>
        <c:smooth val="0"/>
        <c:axId val="219746688"/>
        <c:axId val="219748224"/>
      </c:lineChart>
      <c:catAx>
        <c:axId val="219746688"/>
        <c:scaling>
          <c:orientation val="minMax"/>
        </c:scaling>
        <c:delete val="0"/>
        <c:axPos val="b"/>
        <c:numFmt formatCode="General" sourceLinked="0"/>
        <c:majorTickMark val="out"/>
        <c:minorTickMark val="none"/>
        <c:tickLblPos val="nextTo"/>
        <c:crossAx val="219748224"/>
        <c:crosses val="autoZero"/>
        <c:auto val="1"/>
        <c:lblAlgn val="ctr"/>
        <c:lblOffset val="100"/>
        <c:noMultiLvlLbl val="0"/>
      </c:catAx>
      <c:valAx>
        <c:axId val="219748224"/>
        <c:scaling>
          <c:orientation val="minMax"/>
          <c:min val="0.8"/>
        </c:scaling>
        <c:delete val="0"/>
        <c:axPos val="l"/>
        <c:numFmt formatCode="General" sourceLinked="1"/>
        <c:majorTickMark val="out"/>
        <c:minorTickMark val="none"/>
        <c:tickLblPos val="nextTo"/>
        <c:crossAx val="219746688"/>
        <c:crosses val="autoZero"/>
        <c:crossBetween val="between"/>
      </c:valAx>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100">
                <a:latin typeface="Times New Roman" pitchFamily="18" charset="0"/>
                <a:cs typeface="Times New Roman" pitchFamily="18" charset="0"/>
              </a:defRPr>
            </a:pPr>
            <a:r>
              <a:rPr lang="en-US" sz="1100">
                <a:latin typeface="Times New Roman" pitchFamily="18" charset="0"/>
                <a:cs typeface="Times New Roman" pitchFamily="18" charset="0"/>
              </a:rPr>
              <a:t>Right Coronary Artery Pd/Pa</a:t>
            </a:r>
          </a:p>
        </c:rich>
      </c:tx>
      <c:layout>
        <c:manualLayout>
          <c:xMode val="edge"/>
          <c:yMode val="edge"/>
          <c:x val="0.38535418767477986"/>
          <c:y val="3.1434184675834982E-2"/>
        </c:manualLayout>
      </c:layout>
      <c:overlay val="1"/>
    </c:title>
    <c:autoTitleDeleted val="0"/>
    <c:plotArea>
      <c:layout>
        <c:manualLayout>
          <c:layoutTarget val="inner"/>
          <c:xMode val="edge"/>
          <c:yMode val="edge"/>
          <c:x val="0.10648644396289712"/>
          <c:y val="0.13618200475431733"/>
          <c:w val="0.85439450177719611"/>
          <c:h val="0.73369140252362985"/>
        </c:manualLayout>
      </c:layout>
      <c:lineChart>
        <c:grouping val="standard"/>
        <c:varyColors val="0"/>
        <c:ser>
          <c:idx val="0"/>
          <c:order val="0"/>
          <c:tx>
            <c:strRef>
              <c:f>Sheet1!$B$1</c:f>
              <c:strCache>
                <c:ptCount val="1"/>
                <c:pt idx="0">
                  <c:v>Case 12</c:v>
                </c:pt>
              </c:strCache>
            </c:strRef>
          </c:tx>
          <c:spPr>
            <a:ln>
              <a:solidFill>
                <a:schemeClr val="tx1"/>
              </a:solidFill>
            </a:ln>
          </c:spPr>
          <c:marker>
            <c:spPr>
              <a:solidFill>
                <a:schemeClr val="tx1"/>
              </a:solidFill>
              <a:ln>
                <a:solidFill>
                  <a:schemeClr val="tx1"/>
                </a:solidFill>
              </a:ln>
            </c:spPr>
          </c:marker>
          <c:dLbls>
            <c:dLbl>
              <c:idx val="1"/>
              <c:layout>
                <c:manualLayout>
                  <c:x val="5.9945504087193464E-2"/>
                  <c:y val="-5.2390307793058434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DA1-472F-9C4B-8A241B86C56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Sheet1!$B$2:$B$3</c:f>
              <c:numCache>
                <c:formatCode>General</c:formatCode>
                <c:ptCount val="2"/>
                <c:pt idx="0">
                  <c:v>0.96000000000000063</c:v>
                </c:pt>
                <c:pt idx="1">
                  <c:v>0.99</c:v>
                </c:pt>
              </c:numCache>
            </c:numRef>
          </c:val>
          <c:smooth val="0"/>
          <c:extLst>
            <c:ext xmlns:c16="http://schemas.microsoft.com/office/drawing/2014/chart" uri="{C3380CC4-5D6E-409C-BE32-E72D297353CC}">
              <c16:uniqueId val="{00000000-A520-0E4E-83D8-948A88F7E8D9}"/>
            </c:ext>
          </c:extLst>
        </c:ser>
        <c:ser>
          <c:idx val="1"/>
          <c:order val="1"/>
          <c:tx>
            <c:strRef>
              <c:f>Sheet1!$C$1</c:f>
              <c:strCache>
                <c:ptCount val="1"/>
                <c:pt idx="0">
                  <c:v>Case 13</c:v>
                </c:pt>
              </c:strCache>
            </c:strRef>
          </c:tx>
          <c:spPr>
            <a:ln>
              <a:solidFill>
                <a:schemeClr val="tx1"/>
              </a:solidFill>
            </a:ln>
          </c:spPr>
          <c:marker>
            <c:spPr>
              <a:solidFill>
                <a:schemeClr val="tx1"/>
              </a:solidFill>
              <a:ln>
                <a:solidFill>
                  <a:schemeClr val="tx1"/>
                </a:solidFill>
              </a:ln>
            </c:spPr>
          </c:marker>
          <c:dLbls>
            <c:dLbl>
              <c:idx val="1"/>
              <c:layout>
                <c:manualLayout>
                  <c:x val="5.9945504087193464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DA1-472F-9C4B-8A241B86C56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Sheet1!$C$2:$C$3</c:f>
              <c:numCache>
                <c:formatCode>General</c:formatCode>
                <c:ptCount val="2"/>
                <c:pt idx="0">
                  <c:v>0.86000000000000065</c:v>
                </c:pt>
                <c:pt idx="1">
                  <c:v>0.96000000000000063</c:v>
                </c:pt>
              </c:numCache>
            </c:numRef>
          </c:val>
          <c:smooth val="0"/>
          <c:extLst>
            <c:ext xmlns:c16="http://schemas.microsoft.com/office/drawing/2014/chart" uri="{C3380CC4-5D6E-409C-BE32-E72D297353CC}">
              <c16:uniqueId val="{00000001-A520-0E4E-83D8-948A88F7E8D9}"/>
            </c:ext>
          </c:extLst>
        </c:ser>
        <c:ser>
          <c:idx val="2"/>
          <c:order val="2"/>
          <c:tx>
            <c:strRef>
              <c:f>Sheet1!$D$1</c:f>
              <c:strCache>
                <c:ptCount val="1"/>
                <c:pt idx="0">
                  <c:v>Case 19</c:v>
                </c:pt>
              </c:strCache>
            </c:strRef>
          </c:tx>
          <c:spPr>
            <a:ln>
              <a:solidFill>
                <a:schemeClr val="tx1"/>
              </a:solidFill>
            </a:ln>
          </c:spPr>
          <c:marker>
            <c:spPr>
              <a:solidFill>
                <a:schemeClr val="tx1"/>
              </a:solidFill>
              <a:ln>
                <a:solidFill>
                  <a:schemeClr val="tx1"/>
                </a:solidFill>
              </a:ln>
            </c:spPr>
          </c:marker>
          <c:dLbls>
            <c:dLbl>
              <c:idx val="1"/>
              <c:layout>
                <c:manualLayout>
                  <c:x val="6.1762034514079085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DA1-472F-9C4B-8A241B86C56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Sheet1!$D$2:$D$3</c:f>
              <c:numCache>
                <c:formatCode>General</c:formatCode>
                <c:ptCount val="2"/>
                <c:pt idx="0">
                  <c:v>0.9</c:v>
                </c:pt>
                <c:pt idx="1">
                  <c:v>0.93</c:v>
                </c:pt>
              </c:numCache>
            </c:numRef>
          </c:val>
          <c:smooth val="0"/>
          <c:extLst>
            <c:ext xmlns:c16="http://schemas.microsoft.com/office/drawing/2014/chart" uri="{C3380CC4-5D6E-409C-BE32-E72D297353CC}">
              <c16:uniqueId val="{00000002-A520-0E4E-83D8-948A88F7E8D9}"/>
            </c:ext>
          </c:extLst>
        </c:ser>
        <c:ser>
          <c:idx val="3"/>
          <c:order val="3"/>
          <c:tx>
            <c:strRef>
              <c:f>Sheet1!$E$1</c:f>
              <c:strCache>
                <c:ptCount val="1"/>
                <c:pt idx="0">
                  <c:v>Case 20</c:v>
                </c:pt>
              </c:strCache>
            </c:strRef>
          </c:tx>
          <c:spPr>
            <a:ln>
              <a:solidFill>
                <a:schemeClr val="tx1"/>
              </a:solidFill>
            </a:ln>
          </c:spPr>
          <c:marker>
            <c:spPr>
              <a:solidFill>
                <a:schemeClr val="tx1"/>
              </a:solidFill>
              <a:ln>
                <a:solidFill>
                  <a:schemeClr val="tx1"/>
                </a:solidFill>
              </a:ln>
            </c:spPr>
          </c:marker>
          <c:dLbls>
            <c:dLbl>
              <c:idx val="1"/>
              <c:layout>
                <c:manualLayout>
                  <c:x val="5.9945504087193464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DA1-472F-9C4B-8A241B86C56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Sheet1!$E$2:$E$3</c:f>
              <c:numCache>
                <c:formatCode>General</c:formatCode>
                <c:ptCount val="2"/>
                <c:pt idx="0">
                  <c:v>0.89</c:v>
                </c:pt>
                <c:pt idx="1">
                  <c:v>0.97000000000000064</c:v>
                </c:pt>
              </c:numCache>
            </c:numRef>
          </c:val>
          <c:smooth val="0"/>
          <c:extLst>
            <c:ext xmlns:c16="http://schemas.microsoft.com/office/drawing/2014/chart" uri="{C3380CC4-5D6E-409C-BE32-E72D297353CC}">
              <c16:uniqueId val="{00000003-A520-0E4E-83D8-948A88F7E8D9}"/>
            </c:ext>
          </c:extLst>
        </c:ser>
        <c:ser>
          <c:idx val="4"/>
          <c:order val="4"/>
          <c:tx>
            <c:strRef>
              <c:f>Sheet1!$F$1</c:f>
              <c:strCache>
                <c:ptCount val="1"/>
                <c:pt idx="0">
                  <c:v>PDA 2</c:v>
                </c:pt>
              </c:strCache>
            </c:strRef>
          </c:tx>
          <c:spPr>
            <a:ln>
              <a:solidFill>
                <a:srgbClr val="00B050"/>
              </a:solidFill>
            </a:ln>
          </c:spPr>
          <c:marker>
            <c:symbol val="circle"/>
            <c:size val="7"/>
            <c:spPr>
              <a:solidFill>
                <a:srgbClr val="00B050"/>
              </a:solidFill>
              <a:ln>
                <a:noFill/>
              </a:ln>
            </c:spPr>
          </c:marker>
          <c:dLbls>
            <c:dLbl>
              <c:idx val="1"/>
              <c:layout>
                <c:manualLayout>
                  <c:x val="6.357856494096277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DA1-472F-9C4B-8A241B86C56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Sheet1!$F$2:$F$3</c:f>
              <c:numCache>
                <c:formatCode>General</c:formatCode>
                <c:ptCount val="2"/>
                <c:pt idx="0">
                  <c:v>0.9</c:v>
                </c:pt>
                <c:pt idx="1">
                  <c:v>0.87000000000000866</c:v>
                </c:pt>
              </c:numCache>
            </c:numRef>
          </c:val>
          <c:smooth val="0"/>
          <c:extLst>
            <c:ext xmlns:c16="http://schemas.microsoft.com/office/drawing/2014/chart" uri="{C3380CC4-5D6E-409C-BE32-E72D297353CC}">
              <c16:uniqueId val="{00000005-EDA1-472F-9C4B-8A241B86C56A}"/>
            </c:ext>
          </c:extLst>
        </c:ser>
        <c:ser>
          <c:idx val="5"/>
          <c:order val="5"/>
          <c:tx>
            <c:strRef>
              <c:f>Sheet1!$G$1</c:f>
              <c:strCache>
                <c:ptCount val="1"/>
                <c:pt idx="0">
                  <c:v>PDA</c:v>
                </c:pt>
              </c:strCache>
            </c:strRef>
          </c:tx>
          <c:spPr>
            <a:ln>
              <a:solidFill>
                <a:srgbClr val="00B050"/>
              </a:solidFill>
            </a:ln>
          </c:spPr>
          <c:marker>
            <c:symbol val="circle"/>
            <c:size val="7"/>
            <c:spPr>
              <a:solidFill>
                <a:srgbClr val="00B050"/>
              </a:solidFill>
              <a:ln>
                <a:noFill/>
              </a:ln>
            </c:spPr>
          </c:marker>
          <c:dLbls>
            <c:dLbl>
              <c:idx val="1"/>
              <c:layout>
                <c:manualLayout>
                  <c:x val="5.9945504087193464E-2"/>
                  <c:y val="1.0478061558611657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DA1-472F-9C4B-8A241B86C56A}"/>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Prone</c:v>
                </c:pt>
                <c:pt idx="1">
                  <c:v>Supine</c:v>
                </c:pt>
              </c:strCache>
            </c:strRef>
          </c:cat>
          <c:val>
            <c:numRef>
              <c:f>Sheet1!$G$2:$G$3</c:f>
              <c:numCache>
                <c:formatCode>General</c:formatCode>
                <c:ptCount val="2"/>
                <c:pt idx="0">
                  <c:v>0.95000000000000062</c:v>
                </c:pt>
                <c:pt idx="1">
                  <c:v>0.95000000000000062</c:v>
                </c:pt>
              </c:numCache>
            </c:numRef>
          </c:val>
          <c:smooth val="0"/>
          <c:extLst>
            <c:ext xmlns:c16="http://schemas.microsoft.com/office/drawing/2014/chart" uri="{C3380CC4-5D6E-409C-BE32-E72D297353CC}">
              <c16:uniqueId val="{00000007-EDA1-472F-9C4B-8A241B86C56A}"/>
            </c:ext>
          </c:extLst>
        </c:ser>
        <c:dLbls>
          <c:showLegendKey val="0"/>
          <c:showVal val="0"/>
          <c:showCatName val="0"/>
          <c:showSerName val="0"/>
          <c:showPercent val="0"/>
          <c:showBubbleSize val="0"/>
        </c:dLbls>
        <c:marker val="1"/>
        <c:smooth val="0"/>
        <c:axId val="196785280"/>
        <c:axId val="196786816"/>
      </c:lineChart>
      <c:catAx>
        <c:axId val="196785280"/>
        <c:scaling>
          <c:orientation val="minMax"/>
        </c:scaling>
        <c:delete val="0"/>
        <c:axPos val="b"/>
        <c:numFmt formatCode="General" sourceLinked="0"/>
        <c:majorTickMark val="out"/>
        <c:minorTickMark val="none"/>
        <c:tickLblPos val="nextTo"/>
        <c:crossAx val="196786816"/>
        <c:crosses val="autoZero"/>
        <c:auto val="1"/>
        <c:lblAlgn val="ctr"/>
        <c:lblOffset val="100"/>
        <c:noMultiLvlLbl val="0"/>
      </c:catAx>
      <c:valAx>
        <c:axId val="196786816"/>
        <c:scaling>
          <c:orientation val="minMax"/>
          <c:min val="0.8"/>
        </c:scaling>
        <c:delete val="0"/>
        <c:axPos val="l"/>
        <c:numFmt formatCode="General" sourceLinked="1"/>
        <c:majorTickMark val="out"/>
        <c:minorTickMark val="none"/>
        <c:tickLblPos val="nextTo"/>
        <c:crossAx val="196785280"/>
        <c:crosses val="autoZero"/>
        <c:crossBetween val="between"/>
      </c:valAx>
    </c:plotArea>
    <c:legend>
      <c:legendPos val="r"/>
      <c:legendEntry>
        <c:idx val="0"/>
        <c:delete val="1"/>
      </c:legendEntry>
      <c:legendEntry>
        <c:idx val="1"/>
        <c:delete val="1"/>
      </c:legendEntry>
      <c:legendEntry>
        <c:idx val="2"/>
        <c:delete val="1"/>
      </c:legendEntry>
      <c:legendEntry>
        <c:idx val="3"/>
        <c:delete val="1"/>
      </c:legendEntry>
      <c:legendEntry>
        <c:idx val="4"/>
        <c:delete val="1"/>
      </c:legendEntry>
      <c:layout>
        <c:manualLayout>
          <c:xMode val="edge"/>
          <c:yMode val="edge"/>
          <c:x val="0.85939139079004767"/>
          <c:y val="0.44957752579552318"/>
          <c:w val="8.5558583106268266E-2"/>
          <c:h val="4.7368469903935125E-2"/>
        </c:manualLayout>
      </c:layout>
      <c:overlay val="0"/>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3"/>
    </mc:Choice>
    <mc:Fallback>
      <c:style val="33"/>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en-US" sz="1100">
                <a:latin typeface="Times New Roman" pitchFamily="18" charset="0"/>
                <a:cs typeface="Times New Roman" pitchFamily="18" charset="0"/>
              </a:rPr>
              <a:t>iFR - superior vs. inferior artery position</a:t>
            </a:r>
          </a:p>
        </c:rich>
      </c:tx>
      <c:overlay val="1"/>
    </c:title>
    <c:autoTitleDeleted val="0"/>
    <c:plotArea>
      <c:layout>
        <c:manualLayout>
          <c:layoutTarget val="inner"/>
          <c:xMode val="edge"/>
          <c:yMode val="edge"/>
          <c:x val="8.1219799448145419E-2"/>
          <c:y val="0.10349687230477927"/>
          <c:w val="0.87304293694060064"/>
          <c:h val="0.81471573166259659"/>
        </c:manualLayout>
      </c:layout>
      <c:lineChart>
        <c:grouping val="standard"/>
        <c:varyColors val="0"/>
        <c:ser>
          <c:idx val="0"/>
          <c:order val="0"/>
          <c:tx>
            <c:strRef>
              <c:f>Sheet1!$B$1</c:f>
              <c:strCache>
                <c:ptCount val="1"/>
                <c:pt idx="0">
                  <c:v>Case 1</c:v>
                </c:pt>
              </c:strCache>
            </c:strRef>
          </c:tx>
          <c:spPr>
            <a:ln w="19050">
              <a:solidFill>
                <a:sysClr val="windowText" lastClr="000000"/>
              </a:solidFill>
            </a:ln>
          </c:spPr>
          <c:marker>
            <c:symbol val="square"/>
            <c:size val="6"/>
            <c:spPr>
              <a:solidFill>
                <a:sysClr val="windowText" lastClr="000000"/>
              </a:solidFill>
            </c:spPr>
          </c:marker>
          <c:dLbls>
            <c:dLbl>
              <c:idx val="0"/>
              <c:layout>
                <c:manualLayout>
                  <c:x val="-6.4102564102564139E-2"/>
                  <c:y val="2.51801770543166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4D0-D24A-93DA-AECFCF34D4FA}"/>
                </c:ext>
              </c:extLst>
            </c:dLbl>
            <c:spPr>
              <a:noFill/>
              <a:ln>
                <a:noFill/>
              </a:ln>
              <a:effectLst/>
            </c:sp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Sheet1!$B$2:$B$5</c:f>
              <c:numCache>
                <c:formatCode>General</c:formatCode>
                <c:ptCount val="4"/>
                <c:pt idx="1">
                  <c:v>0.99</c:v>
                </c:pt>
                <c:pt idx="2">
                  <c:v>0.96000000000000063</c:v>
                </c:pt>
              </c:numCache>
            </c:numRef>
          </c:val>
          <c:smooth val="0"/>
          <c:extLst>
            <c:ext xmlns:c16="http://schemas.microsoft.com/office/drawing/2014/chart" uri="{C3380CC4-5D6E-409C-BE32-E72D297353CC}">
              <c16:uniqueId val="{00000000-13A5-D843-950B-15AF74E35F44}"/>
            </c:ext>
          </c:extLst>
        </c:ser>
        <c:ser>
          <c:idx val="1"/>
          <c:order val="1"/>
          <c:tx>
            <c:strRef>
              <c:f>Sheet1!$C$1</c:f>
              <c:strCache>
                <c:ptCount val="1"/>
                <c:pt idx="0">
                  <c:v>Case 2</c:v>
                </c:pt>
              </c:strCache>
            </c:strRef>
          </c:tx>
          <c:spPr>
            <a:ln w="19050">
              <a:solidFill>
                <a:sysClr val="windowText" lastClr="000000"/>
              </a:solidFill>
            </a:ln>
          </c:spPr>
          <c:marker>
            <c:symbol val="square"/>
            <c:size val="6"/>
            <c:spPr>
              <a:solidFill>
                <a:sysClr val="windowText" lastClr="000000"/>
              </a:solidFill>
              <a:ln w="0">
                <a:solidFill>
                  <a:sysClr val="windowText" lastClr="000000"/>
                </a:solidFill>
              </a:ln>
            </c:spPr>
          </c:marker>
          <c:dLbls>
            <c:delete val="1"/>
          </c:dLbls>
          <c:cat>
            <c:strRef>
              <c:f>Sheet1!$A$2:$A$5</c:f>
              <c:strCache>
                <c:ptCount val="3"/>
                <c:pt idx="1">
                  <c:v>Superior Position</c:v>
                </c:pt>
                <c:pt idx="2">
                  <c:v>Inferior Position</c:v>
                </c:pt>
              </c:strCache>
            </c:strRef>
          </c:cat>
          <c:val>
            <c:numRef>
              <c:f>Sheet1!$C$2:$C$5</c:f>
              <c:numCache>
                <c:formatCode>General</c:formatCode>
                <c:ptCount val="4"/>
                <c:pt idx="1">
                  <c:v>0.93</c:v>
                </c:pt>
                <c:pt idx="2">
                  <c:v>0.99</c:v>
                </c:pt>
              </c:numCache>
            </c:numRef>
          </c:val>
          <c:smooth val="0"/>
          <c:extLst>
            <c:ext xmlns:c16="http://schemas.microsoft.com/office/drawing/2014/chart" uri="{C3380CC4-5D6E-409C-BE32-E72D297353CC}">
              <c16:uniqueId val="{00000001-13A5-D843-950B-15AF74E35F44}"/>
            </c:ext>
          </c:extLst>
        </c:ser>
        <c:ser>
          <c:idx val="2"/>
          <c:order val="2"/>
          <c:tx>
            <c:strRef>
              <c:f>Sheet1!$D$1</c:f>
              <c:strCache>
                <c:ptCount val="1"/>
                <c:pt idx="0">
                  <c:v> Case 3</c:v>
                </c:pt>
              </c:strCache>
            </c:strRef>
          </c:tx>
          <c:spPr>
            <a:ln w="19050">
              <a:noFill/>
            </a:ln>
          </c:spPr>
          <c:marker>
            <c:symbol val="square"/>
            <c:size val="6"/>
            <c:spPr>
              <a:solidFill>
                <a:sysClr val="windowText" lastClr="000000"/>
              </a:solidFill>
              <a:ln w="19050">
                <a:noFill/>
              </a:ln>
            </c:spPr>
          </c:marker>
          <c:dLbls>
            <c:delete val="1"/>
          </c:dLbls>
          <c:cat>
            <c:strRef>
              <c:f>Sheet1!$A$2:$A$5</c:f>
              <c:strCache>
                <c:ptCount val="3"/>
                <c:pt idx="1">
                  <c:v>Superior Position</c:v>
                </c:pt>
                <c:pt idx="2">
                  <c:v>Inferior Position</c:v>
                </c:pt>
              </c:strCache>
            </c:strRef>
          </c:cat>
          <c:val>
            <c:numRef>
              <c:f>Sheet1!$D$2:$D$5</c:f>
              <c:numCache>
                <c:formatCode>General</c:formatCode>
                <c:ptCount val="4"/>
                <c:pt idx="1">
                  <c:v>0.94000000000000061</c:v>
                </c:pt>
                <c:pt idx="2">
                  <c:v>0.98</c:v>
                </c:pt>
              </c:numCache>
            </c:numRef>
          </c:val>
          <c:smooth val="0"/>
          <c:extLst>
            <c:ext xmlns:c16="http://schemas.microsoft.com/office/drawing/2014/chart" uri="{C3380CC4-5D6E-409C-BE32-E72D297353CC}">
              <c16:uniqueId val="{00000002-13A5-D843-950B-15AF74E35F44}"/>
            </c:ext>
          </c:extLst>
        </c:ser>
        <c:ser>
          <c:idx val="3"/>
          <c:order val="3"/>
          <c:tx>
            <c:strRef>
              <c:f>Sheet1!$E$1</c:f>
              <c:strCache>
                <c:ptCount val="1"/>
                <c:pt idx="0">
                  <c:v>Case 4</c:v>
                </c:pt>
              </c:strCache>
            </c:strRef>
          </c:tx>
          <c:spPr>
            <a:ln w="19050">
              <a:solidFill>
                <a:sysClr val="windowText" lastClr="000000">
                  <a:tint val="92000"/>
                  <a:shade val="58000"/>
                  <a:shade val="95000"/>
                  <a:satMod val="105000"/>
                </a:sysClr>
              </a:solidFill>
            </a:ln>
          </c:spPr>
          <c:marker>
            <c:symbol val="square"/>
            <c:size val="6"/>
            <c:spPr>
              <a:solidFill>
                <a:sysClr val="windowText" lastClr="000000"/>
              </a:solidFill>
              <a:ln w="19050">
                <a:solidFill>
                  <a:sysClr val="windowText" lastClr="000000">
                    <a:tint val="92000"/>
                    <a:shade val="58000"/>
                    <a:shade val="95000"/>
                    <a:satMod val="105000"/>
                  </a:sysClr>
                </a:solidFill>
              </a:ln>
            </c:spPr>
          </c:marker>
          <c:dLbls>
            <c:delete val="1"/>
          </c:dLbls>
          <c:cat>
            <c:strRef>
              <c:f>Sheet1!$A$2:$A$5</c:f>
              <c:strCache>
                <c:ptCount val="3"/>
                <c:pt idx="1">
                  <c:v>Superior Position</c:v>
                </c:pt>
                <c:pt idx="2">
                  <c:v>Inferior Position</c:v>
                </c:pt>
              </c:strCache>
            </c:strRef>
          </c:cat>
          <c:val>
            <c:numRef>
              <c:f>Sheet1!$E$2:$E$5</c:f>
              <c:numCache>
                <c:formatCode>General</c:formatCode>
                <c:ptCount val="4"/>
                <c:pt idx="1">
                  <c:v>0.83000000000000063</c:v>
                </c:pt>
                <c:pt idx="2">
                  <c:v>0.91</c:v>
                </c:pt>
              </c:numCache>
            </c:numRef>
          </c:val>
          <c:smooth val="0"/>
          <c:extLst>
            <c:ext xmlns:c16="http://schemas.microsoft.com/office/drawing/2014/chart" uri="{C3380CC4-5D6E-409C-BE32-E72D297353CC}">
              <c16:uniqueId val="{00000003-13A5-D843-950B-15AF74E35F44}"/>
            </c:ext>
          </c:extLst>
        </c:ser>
        <c:ser>
          <c:idx val="4"/>
          <c:order val="4"/>
          <c:tx>
            <c:strRef>
              <c:f>Sheet1!$F$1</c:f>
              <c:strCache>
                <c:ptCount val="1"/>
                <c:pt idx="0">
                  <c:v>Case 5</c:v>
                </c:pt>
              </c:strCache>
            </c:strRef>
          </c:tx>
          <c:spPr>
            <a:ln w="19050">
              <a:solidFill>
                <a:schemeClr val="tx1"/>
              </a:solidFill>
            </a:ln>
            <a:effectLst>
              <a:outerShdw blurRad="50800" dist="50800" dir="5400000" algn="ctr" rotWithShape="0">
                <a:schemeClr val="bg1"/>
              </a:outerShdw>
            </a:effectLst>
          </c:spPr>
          <c:marker>
            <c:symbol val="square"/>
            <c:size val="6"/>
            <c:spPr>
              <a:solidFill>
                <a:sysClr val="windowText" lastClr="000000"/>
              </a:solidFill>
              <a:ln w="19050">
                <a:noFill/>
              </a:ln>
              <a:effectLst>
                <a:outerShdw blurRad="50800" dist="50800" dir="5400000" algn="ctr" rotWithShape="0">
                  <a:schemeClr val="bg1"/>
                </a:outerShdw>
              </a:effectLst>
            </c:spPr>
          </c:marker>
          <c:dLbls>
            <c:dLbl>
              <c:idx val="0"/>
              <c:layout>
                <c:manualLayout>
                  <c:x val="-6.837606837606841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Sheet1!$F$2:$F$5</c:f>
              <c:numCache>
                <c:formatCode>General</c:formatCode>
                <c:ptCount val="4"/>
                <c:pt idx="1">
                  <c:v>0.77000000000000923</c:v>
                </c:pt>
                <c:pt idx="2">
                  <c:v>0.79</c:v>
                </c:pt>
              </c:numCache>
            </c:numRef>
          </c:val>
          <c:smooth val="0"/>
          <c:extLst>
            <c:ext xmlns:c16="http://schemas.microsoft.com/office/drawing/2014/chart" uri="{C3380CC4-5D6E-409C-BE32-E72D297353CC}">
              <c16:uniqueId val="{00000004-13A5-D843-950B-15AF74E35F44}"/>
            </c:ext>
          </c:extLst>
        </c:ser>
        <c:ser>
          <c:idx val="5"/>
          <c:order val="5"/>
          <c:tx>
            <c:strRef>
              <c:f>Sheet1!$G$1</c:f>
              <c:strCache>
                <c:ptCount val="1"/>
                <c:pt idx="0">
                  <c:v>Case 6</c:v>
                </c:pt>
              </c:strCache>
            </c:strRef>
          </c:tx>
          <c:spPr>
            <a:ln w="19050">
              <a:solidFill>
                <a:sysClr val="windowText" lastClr="000000"/>
              </a:solidFill>
            </a:ln>
            <a:effectLst/>
          </c:spPr>
          <c:marker>
            <c:symbol val="square"/>
            <c:size val="6"/>
            <c:spPr>
              <a:solidFill>
                <a:sysClr val="windowText" lastClr="000000"/>
              </a:solidFill>
              <a:ln w="12700">
                <a:noFill/>
              </a:ln>
              <a:effectLst/>
            </c:spPr>
          </c:marker>
          <c:dLbls>
            <c:delete val="1"/>
          </c:dLbls>
          <c:cat>
            <c:strRef>
              <c:f>Sheet1!$A$2:$A$5</c:f>
              <c:strCache>
                <c:ptCount val="3"/>
                <c:pt idx="1">
                  <c:v>Superior Position</c:v>
                </c:pt>
                <c:pt idx="2">
                  <c:v>Inferior Position</c:v>
                </c:pt>
              </c:strCache>
            </c:strRef>
          </c:cat>
          <c:val>
            <c:numRef>
              <c:f>Sheet1!$G$2:$G$5</c:f>
              <c:numCache>
                <c:formatCode>General</c:formatCode>
                <c:ptCount val="4"/>
                <c:pt idx="1">
                  <c:v>0.92</c:v>
                </c:pt>
                <c:pt idx="2">
                  <c:v>0.95000000000000062</c:v>
                </c:pt>
              </c:numCache>
            </c:numRef>
          </c:val>
          <c:smooth val="0"/>
          <c:extLst>
            <c:ext xmlns:c16="http://schemas.microsoft.com/office/drawing/2014/chart" uri="{C3380CC4-5D6E-409C-BE32-E72D297353CC}">
              <c16:uniqueId val="{00000005-13A5-D843-950B-15AF74E35F44}"/>
            </c:ext>
          </c:extLst>
        </c:ser>
        <c:ser>
          <c:idx val="6"/>
          <c:order val="6"/>
          <c:tx>
            <c:strRef>
              <c:f>Sheet1!$H$1</c:f>
              <c:strCache>
                <c:ptCount val="1"/>
                <c:pt idx="0">
                  <c:v>Case 7</c:v>
                </c:pt>
              </c:strCache>
            </c:strRef>
          </c:tx>
          <c:spPr>
            <a:ln w="19050">
              <a:solidFill>
                <a:schemeClr val="tx1"/>
              </a:solidFill>
            </a:ln>
          </c:spPr>
          <c:marker>
            <c:symbol val="square"/>
            <c:size val="5"/>
            <c:spPr>
              <a:solidFill>
                <a:sysClr val="windowText" lastClr="000000"/>
              </a:solidFill>
              <a:ln w="19050">
                <a:solidFill>
                  <a:sysClr val="windowText" lastClr="000000"/>
                </a:solidFill>
              </a:ln>
            </c:spPr>
          </c:marker>
          <c:dLbls>
            <c:delete val="1"/>
          </c:dLbls>
          <c:cat>
            <c:strRef>
              <c:f>Sheet1!$A$2:$A$5</c:f>
              <c:strCache>
                <c:ptCount val="3"/>
                <c:pt idx="1">
                  <c:v>Superior Position</c:v>
                </c:pt>
                <c:pt idx="2">
                  <c:v>Inferior Position</c:v>
                </c:pt>
              </c:strCache>
            </c:strRef>
          </c:cat>
          <c:val>
            <c:numRef>
              <c:f>Sheet1!$H$2:$H$5</c:f>
              <c:numCache>
                <c:formatCode>General</c:formatCode>
                <c:ptCount val="4"/>
                <c:pt idx="1">
                  <c:v>0.84000000000000064</c:v>
                </c:pt>
                <c:pt idx="2">
                  <c:v>0.92</c:v>
                </c:pt>
              </c:numCache>
            </c:numRef>
          </c:val>
          <c:smooth val="0"/>
          <c:extLst>
            <c:ext xmlns:c16="http://schemas.microsoft.com/office/drawing/2014/chart" uri="{C3380CC4-5D6E-409C-BE32-E72D297353CC}">
              <c16:uniqueId val="{00000006-13A5-D843-950B-15AF74E35F44}"/>
            </c:ext>
          </c:extLst>
        </c:ser>
        <c:ser>
          <c:idx val="7"/>
          <c:order val="7"/>
          <c:tx>
            <c:strRef>
              <c:f>Sheet1!$I$1</c:f>
              <c:strCache>
                <c:ptCount val="1"/>
                <c:pt idx="0">
                  <c:v>Case 8</c:v>
                </c:pt>
              </c:strCache>
            </c:strRef>
          </c:tx>
          <c:spPr>
            <a:ln w="19050">
              <a:solidFill>
                <a:schemeClr val="tx1"/>
              </a:solidFill>
            </a:ln>
          </c:spPr>
          <c:marker>
            <c:symbol val="square"/>
            <c:size val="6"/>
            <c:spPr>
              <a:solidFill>
                <a:sysClr val="windowText" lastClr="000000"/>
              </a:solidFill>
              <a:ln w="19050">
                <a:solidFill>
                  <a:sysClr val="windowText" lastClr="000000"/>
                </a:solidFill>
              </a:ln>
            </c:spPr>
          </c:marker>
          <c:dLbls>
            <c:delete val="1"/>
          </c:dLbls>
          <c:cat>
            <c:strRef>
              <c:f>Sheet1!$A$2:$A$5</c:f>
              <c:strCache>
                <c:ptCount val="3"/>
                <c:pt idx="1">
                  <c:v>Superior Position</c:v>
                </c:pt>
                <c:pt idx="2">
                  <c:v>Inferior Position</c:v>
                </c:pt>
              </c:strCache>
            </c:strRef>
          </c:cat>
          <c:val>
            <c:numRef>
              <c:f>Sheet1!$I$2:$I$5</c:f>
              <c:numCache>
                <c:formatCode>General</c:formatCode>
                <c:ptCount val="4"/>
                <c:pt idx="1">
                  <c:v>0.9</c:v>
                </c:pt>
                <c:pt idx="2">
                  <c:v>0.99</c:v>
                </c:pt>
              </c:numCache>
            </c:numRef>
          </c:val>
          <c:smooth val="0"/>
          <c:extLst>
            <c:ext xmlns:c16="http://schemas.microsoft.com/office/drawing/2014/chart" uri="{C3380CC4-5D6E-409C-BE32-E72D297353CC}">
              <c16:uniqueId val="{00000007-13A5-D843-950B-15AF74E35F44}"/>
            </c:ext>
          </c:extLst>
        </c:ser>
        <c:ser>
          <c:idx val="8"/>
          <c:order val="8"/>
          <c:tx>
            <c:strRef>
              <c:f>Sheet1!$J$1</c:f>
              <c:strCache>
                <c:ptCount val="1"/>
                <c:pt idx="0">
                  <c:v>Case 9</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Lbl>
              <c:idx val="0"/>
              <c:layout>
                <c:manualLayout>
                  <c:x val="-7.0512820512820512E-2"/>
                  <c:y val="2.51801770543166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Sheet1!$J$2:$J$5</c:f>
              <c:numCache>
                <c:formatCode>General</c:formatCode>
                <c:ptCount val="4"/>
                <c:pt idx="1">
                  <c:v>0.89</c:v>
                </c:pt>
                <c:pt idx="2">
                  <c:v>1.02</c:v>
                </c:pt>
              </c:numCache>
            </c:numRef>
          </c:val>
          <c:smooth val="0"/>
          <c:extLst>
            <c:ext xmlns:c16="http://schemas.microsoft.com/office/drawing/2014/chart" uri="{C3380CC4-5D6E-409C-BE32-E72D297353CC}">
              <c16:uniqueId val="{00000008-13A5-D843-950B-15AF74E35F44}"/>
            </c:ext>
          </c:extLst>
        </c:ser>
        <c:ser>
          <c:idx val="9"/>
          <c:order val="9"/>
          <c:tx>
            <c:strRef>
              <c:f>Sheet1!$K$1</c:f>
              <c:strCache>
                <c:ptCount val="1"/>
                <c:pt idx="0">
                  <c:v>Case 10</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Lbl>
              <c:idx val="0"/>
              <c:delete val="1"/>
              <c:extLst>
                <c:ext xmlns:c15="http://schemas.microsoft.com/office/drawing/2012/chart" uri="{CE6537A1-D6FC-4f65-9D91-7224C49458BB}"/>
                <c:ext xmlns:c16="http://schemas.microsoft.com/office/drawing/2014/chart" uri="{C3380CC4-5D6E-409C-BE32-E72D297353CC}">
                  <c16:uniqueId val="{00000003-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Sheet1!$K$2:$K$5</c:f>
              <c:numCache>
                <c:formatCode>General</c:formatCode>
                <c:ptCount val="4"/>
                <c:pt idx="1">
                  <c:v>0.89</c:v>
                </c:pt>
                <c:pt idx="2">
                  <c:v>1.07</c:v>
                </c:pt>
              </c:numCache>
            </c:numRef>
          </c:val>
          <c:smooth val="0"/>
          <c:extLst>
            <c:ext xmlns:c16="http://schemas.microsoft.com/office/drawing/2014/chart" uri="{C3380CC4-5D6E-409C-BE32-E72D297353CC}">
              <c16:uniqueId val="{00000009-13A5-D843-950B-15AF74E35F44}"/>
            </c:ext>
          </c:extLst>
        </c:ser>
        <c:ser>
          <c:idx val="10"/>
          <c:order val="10"/>
          <c:tx>
            <c:strRef>
              <c:f>Sheet1!$L$1</c:f>
              <c:strCache>
                <c:ptCount val="1"/>
                <c:pt idx="0">
                  <c:v>Case 11</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Lbl>
              <c:idx val="0"/>
              <c:layout>
                <c:manualLayout>
                  <c:x val="-6.6239316239316282E-2"/>
                  <c:y val="-2.51801770543166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Sheet1!$L$2:$L$5</c:f>
              <c:numCache>
                <c:formatCode>General</c:formatCode>
                <c:ptCount val="4"/>
                <c:pt idx="1">
                  <c:v>0.97000000000000064</c:v>
                </c:pt>
                <c:pt idx="2">
                  <c:v>1.01</c:v>
                </c:pt>
              </c:numCache>
            </c:numRef>
          </c:val>
          <c:smooth val="0"/>
          <c:extLst>
            <c:ext xmlns:c16="http://schemas.microsoft.com/office/drawing/2014/chart" uri="{C3380CC4-5D6E-409C-BE32-E72D297353CC}">
              <c16:uniqueId val="{0000000A-13A5-D843-950B-15AF74E35F44}"/>
            </c:ext>
          </c:extLst>
        </c:ser>
        <c:ser>
          <c:idx val="11"/>
          <c:order val="11"/>
          <c:tx>
            <c:strRef>
              <c:f>Sheet1!$M$1</c:f>
              <c:strCache>
                <c:ptCount val="1"/>
                <c:pt idx="0">
                  <c:v>Case 12</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Lbl>
              <c:idx val="0"/>
              <c:delete val="1"/>
              <c:extLst>
                <c:ext xmlns:c15="http://schemas.microsoft.com/office/drawing/2012/chart" uri="{CE6537A1-D6FC-4f65-9D91-7224C49458BB}"/>
                <c:ext xmlns:c16="http://schemas.microsoft.com/office/drawing/2014/chart" uri="{C3380CC4-5D6E-409C-BE32-E72D297353CC}">
                  <c16:uniqueId val="{00000005-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Sheet1!$M$2:$M$5</c:f>
              <c:numCache>
                <c:formatCode>General</c:formatCode>
                <c:ptCount val="4"/>
                <c:pt idx="1">
                  <c:v>0.97000000000000064</c:v>
                </c:pt>
                <c:pt idx="2">
                  <c:v>0.99</c:v>
                </c:pt>
              </c:numCache>
            </c:numRef>
          </c:val>
          <c:smooth val="0"/>
          <c:extLst>
            <c:ext xmlns:c16="http://schemas.microsoft.com/office/drawing/2014/chart" uri="{C3380CC4-5D6E-409C-BE32-E72D297353CC}">
              <c16:uniqueId val="{0000000B-13A5-D843-950B-15AF74E35F44}"/>
            </c:ext>
          </c:extLst>
        </c:ser>
        <c:ser>
          <c:idx val="12"/>
          <c:order val="12"/>
          <c:tx>
            <c:strRef>
              <c:f>Sheet1!$N$1</c:f>
              <c:strCache>
                <c:ptCount val="1"/>
                <c:pt idx="0">
                  <c:v>Case 13</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elete val="1"/>
          </c:dLbls>
          <c:cat>
            <c:strRef>
              <c:f>Sheet1!$A$2:$A$5</c:f>
              <c:strCache>
                <c:ptCount val="3"/>
                <c:pt idx="1">
                  <c:v>Superior Position</c:v>
                </c:pt>
                <c:pt idx="2">
                  <c:v>Inferior Position</c:v>
                </c:pt>
              </c:strCache>
            </c:strRef>
          </c:cat>
          <c:val>
            <c:numRef>
              <c:f>Sheet1!$N$2:$N$5</c:f>
              <c:numCache>
                <c:formatCode>General</c:formatCode>
                <c:ptCount val="4"/>
                <c:pt idx="1">
                  <c:v>0.77000000000000923</c:v>
                </c:pt>
                <c:pt idx="2">
                  <c:v>0.92</c:v>
                </c:pt>
              </c:numCache>
            </c:numRef>
          </c:val>
          <c:smooth val="0"/>
          <c:extLst>
            <c:ext xmlns:c16="http://schemas.microsoft.com/office/drawing/2014/chart" uri="{C3380CC4-5D6E-409C-BE32-E72D297353CC}">
              <c16:uniqueId val="{0000000C-13A5-D843-950B-15AF74E35F44}"/>
            </c:ext>
          </c:extLst>
        </c:ser>
        <c:ser>
          <c:idx val="13"/>
          <c:order val="13"/>
          <c:tx>
            <c:strRef>
              <c:f>Sheet1!$O$1</c:f>
              <c:strCache>
                <c:ptCount val="1"/>
                <c:pt idx="0">
                  <c:v>Case 14</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elete val="1"/>
          </c:dLbls>
          <c:cat>
            <c:strRef>
              <c:f>Sheet1!$A$2:$A$5</c:f>
              <c:strCache>
                <c:ptCount val="3"/>
                <c:pt idx="1">
                  <c:v>Superior Position</c:v>
                </c:pt>
                <c:pt idx="2">
                  <c:v>Inferior Position</c:v>
                </c:pt>
              </c:strCache>
            </c:strRef>
          </c:cat>
          <c:val>
            <c:numRef>
              <c:f>Sheet1!$O$2:$O$5</c:f>
              <c:numCache>
                <c:formatCode>General</c:formatCode>
                <c:ptCount val="4"/>
                <c:pt idx="1">
                  <c:v>0.93</c:v>
                </c:pt>
                <c:pt idx="2">
                  <c:v>0.92</c:v>
                </c:pt>
              </c:numCache>
            </c:numRef>
          </c:val>
          <c:smooth val="0"/>
          <c:extLst>
            <c:ext xmlns:c16="http://schemas.microsoft.com/office/drawing/2014/chart" uri="{C3380CC4-5D6E-409C-BE32-E72D297353CC}">
              <c16:uniqueId val="{0000000D-13A5-D843-950B-15AF74E35F44}"/>
            </c:ext>
          </c:extLst>
        </c:ser>
        <c:ser>
          <c:idx val="14"/>
          <c:order val="14"/>
          <c:tx>
            <c:strRef>
              <c:f>Sheet1!$P$1</c:f>
              <c:strCache>
                <c:ptCount val="1"/>
                <c:pt idx="0">
                  <c:v>Case 15</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elete val="1"/>
          </c:dLbls>
          <c:cat>
            <c:strRef>
              <c:f>Sheet1!$A$2:$A$5</c:f>
              <c:strCache>
                <c:ptCount val="3"/>
                <c:pt idx="1">
                  <c:v>Superior Position</c:v>
                </c:pt>
                <c:pt idx="2">
                  <c:v>Inferior Position</c:v>
                </c:pt>
              </c:strCache>
            </c:strRef>
          </c:cat>
          <c:val>
            <c:numRef>
              <c:f>Sheet1!$P$2:$P$5</c:f>
              <c:numCache>
                <c:formatCode>General</c:formatCode>
                <c:ptCount val="4"/>
                <c:pt idx="1">
                  <c:v>0.92</c:v>
                </c:pt>
                <c:pt idx="2">
                  <c:v>0.94000000000000061</c:v>
                </c:pt>
              </c:numCache>
            </c:numRef>
          </c:val>
          <c:smooth val="0"/>
          <c:extLst>
            <c:ext xmlns:c16="http://schemas.microsoft.com/office/drawing/2014/chart" uri="{C3380CC4-5D6E-409C-BE32-E72D297353CC}">
              <c16:uniqueId val="{0000000E-13A5-D843-950B-15AF74E35F44}"/>
            </c:ext>
          </c:extLst>
        </c:ser>
        <c:ser>
          <c:idx val="15"/>
          <c:order val="15"/>
          <c:tx>
            <c:strRef>
              <c:f>Sheet1!$Q$1</c:f>
              <c:strCache>
                <c:ptCount val="1"/>
                <c:pt idx="0">
                  <c:v>Case 16</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Lbl>
              <c:idx val="0"/>
              <c:layout>
                <c:manualLayout>
                  <c:x val="-6.410256410256411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Sheet1!$Q$2:$Q$5</c:f>
              <c:numCache>
                <c:formatCode>General</c:formatCode>
                <c:ptCount val="4"/>
                <c:pt idx="1">
                  <c:v>0.94000000000000061</c:v>
                </c:pt>
                <c:pt idx="2">
                  <c:v>0.94000000000000061</c:v>
                </c:pt>
              </c:numCache>
            </c:numRef>
          </c:val>
          <c:smooth val="0"/>
          <c:extLst>
            <c:ext xmlns:c16="http://schemas.microsoft.com/office/drawing/2014/chart" uri="{C3380CC4-5D6E-409C-BE32-E72D297353CC}">
              <c16:uniqueId val="{0000000F-13A5-D843-950B-15AF74E35F44}"/>
            </c:ext>
          </c:extLst>
        </c:ser>
        <c:ser>
          <c:idx val="16"/>
          <c:order val="16"/>
          <c:tx>
            <c:strRef>
              <c:f>Sheet1!$R$1</c:f>
              <c:strCache>
                <c:ptCount val="1"/>
                <c:pt idx="0">
                  <c:v>Case 17</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Sheet1!$R$2:$R$5</c:f>
              <c:numCache>
                <c:formatCode>General</c:formatCode>
                <c:ptCount val="4"/>
                <c:pt idx="1">
                  <c:v>0.5</c:v>
                </c:pt>
                <c:pt idx="2">
                  <c:v>0.5</c:v>
                </c:pt>
              </c:numCache>
            </c:numRef>
          </c:val>
          <c:smooth val="0"/>
          <c:extLst>
            <c:ext xmlns:c16="http://schemas.microsoft.com/office/drawing/2014/chart" uri="{C3380CC4-5D6E-409C-BE32-E72D297353CC}">
              <c16:uniqueId val="{00000010-13A5-D843-950B-15AF74E35F44}"/>
            </c:ext>
          </c:extLst>
        </c:ser>
        <c:ser>
          <c:idx val="17"/>
          <c:order val="17"/>
          <c:tx>
            <c:strRef>
              <c:f>Sheet1!$S$1</c:f>
              <c:strCache>
                <c:ptCount val="1"/>
                <c:pt idx="0">
                  <c:v>Case 18</c:v>
                </c:pt>
              </c:strCache>
            </c:strRef>
          </c:tx>
          <c:spPr>
            <a:ln w="19050">
              <a:solidFill>
                <a:sysClr val="windowText" lastClr="000000"/>
              </a:solidFill>
            </a:ln>
          </c:spPr>
          <c:marker>
            <c:symbol val="square"/>
            <c:size val="6"/>
            <c:spPr>
              <a:solidFill>
                <a:schemeClr val="tx1"/>
              </a:solidFill>
              <a:ln>
                <a:solidFill>
                  <a:sysClr val="windowText" lastClr="000000"/>
                </a:solidFill>
              </a:ln>
            </c:spPr>
          </c:marker>
          <c:dLbls>
            <c:dLbl>
              <c:idx val="0"/>
              <c:layout>
                <c:manualLayout>
                  <c:x val="-6.6239316239316282E-2"/>
                  <c:y val="2.51801770543166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Sheet1!$S$2:$S$5</c:f>
              <c:numCache>
                <c:formatCode>General</c:formatCode>
                <c:ptCount val="4"/>
                <c:pt idx="1">
                  <c:v>0.73000000000000065</c:v>
                </c:pt>
                <c:pt idx="2">
                  <c:v>0.86000000000000065</c:v>
                </c:pt>
              </c:numCache>
            </c:numRef>
          </c:val>
          <c:smooth val="0"/>
          <c:extLst>
            <c:ext xmlns:c16="http://schemas.microsoft.com/office/drawing/2014/chart" uri="{C3380CC4-5D6E-409C-BE32-E72D297353CC}">
              <c16:uniqueId val="{00000011-13A5-D843-950B-15AF74E35F44}"/>
            </c:ext>
          </c:extLst>
        </c:ser>
        <c:ser>
          <c:idx val="18"/>
          <c:order val="18"/>
          <c:tx>
            <c:strRef>
              <c:f>Sheet1!$T$1</c:f>
              <c:strCache>
                <c:ptCount val="1"/>
                <c:pt idx="0">
                  <c:v>Case 19</c:v>
                </c:pt>
              </c:strCache>
            </c:strRef>
          </c:tx>
          <c:spPr>
            <a:ln w="19050">
              <a:solidFill>
                <a:sysClr val="windowText" lastClr="000000"/>
              </a:solidFill>
            </a:ln>
          </c:spPr>
          <c:marker>
            <c:symbol val="square"/>
            <c:size val="6"/>
            <c:spPr>
              <a:solidFill>
                <a:schemeClr val="tx1"/>
              </a:solidFill>
              <a:ln>
                <a:solidFill>
                  <a:sysClr val="windowText" lastClr="000000"/>
                </a:solidFill>
              </a:ln>
            </c:spPr>
          </c:marker>
          <c:dLbls>
            <c:dLbl>
              <c:idx val="0"/>
              <c:layout>
                <c:manualLayout>
                  <c:x val="-6.837606837606838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Sheet1!$T$2:$T$5</c:f>
              <c:numCache>
                <c:formatCode>General</c:formatCode>
                <c:ptCount val="4"/>
                <c:pt idx="1">
                  <c:v>0.87000000000000821</c:v>
                </c:pt>
                <c:pt idx="2">
                  <c:v>0.92</c:v>
                </c:pt>
              </c:numCache>
            </c:numRef>
          </c:val>
          <c:smooth val="0"/>
          <c:extLst>
            <c:ext xmlns:c16="http://schemas.microsoft.com/office/drawing/2014/chart" uri="{C3380CC4-5D6E-409C-BE32-E72D297353CC}">
              <c16:uniqueId val="{00000012-13A5-D843-950B-15AF74E35F44}"/>
            </c:ext>
          </c:extLst>
        </c:ser>
        <c:ser>
          <c:idx val="19"/>
          <c:order val="19"/>
          <c:tx>
            <c:strRef>
              <c:f>Sheet1!$U$1</c:f>
              <c:strCache>
                <c:ptCount val="1"/>
                <c:pt idx="0">
                  <c:v>Case 20</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Lbl>
              <c:idx val="0"/>
              <c:layout>
                <c:manualLayout>
                  <c:x val="-6.410256410256413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Sheet1!$U$2:$U$5</c:f>
              <c:numCache>
                <c:formatCode>General</c:formatCode>
                <c:ptCount val="4"/>
                <c:pt idx="1">
                  <c:v>0.8</c:v>
                </c:pt>
                <c:pt idx="2">
                  <c:v>0.93</c:v>
                </c:pt>
              </c:numCache>
            </c:numRef>
          </c:val>
          <c:smooth val="0"/>
          <c:extLst>
            <c:ext xmlns:c16="http://schemas.microsoft.com/office/drawing/2014/chart" uri="{C3380CC4-5D6E-409C-BE32-E72D297353CC}">
              <c16:uniqueId val="{00000013-13A5-D843-950B-15AF74E35F44}"/>
            </c:ext>
          </c:extLst>
        </c:ser>
        <c:ser>
          <c:idx val="20"/>
          <c:order val="20"/>
          <c:tx>
            <c:strRef>
              <c:f>Sheet1!$V$1</c:f>
              <c:strCache>
                <c:ptCount val="1"/>
                <c:pt idx="0">
                  <c:v>Case 21</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Lbl>
              <c:idx val="0"/>
              <c:layout>
                <c:manualLayout>
                  <c:x val="-6.4102564102564111E-2"/>
                  <c:y val="-7.55405311629475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4D0-D24A-93DA-AECFCF34D4F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Superior Position</c:v>
                </c:pt>
                <c:pt idx="2">
                  <c:v>Inferior Position</c:v>
                </c:pt>
              </c:strCache>
            </c:strRef>
          </c:cat>
          <c:val>
            <c:numRef>
              <c:f>Sheet1!$V$2:$V$5</c:f>
              <c:numCache>
                <c:formatCode>General</c:formatCode>
                <c:ptCount val="4"/>
                <c:pt idx="1">
                  <c:v>0.9</c:v>
                </c:pt>
                <c:pt idx="2">
                  <c:v>0.92</c:v>
                </c:pt>
              </c:numCache>
            </c:numRef>
          </c:val>
          <c:smooth val="0"/>
          <c:extLst>
            <c:ext xmlns:c16="http://schemas.microsoft.com/office/drawing/2014/chart" uri="{C3380CC4-5D6E-409C-BE32-E72D297353CC}">
              <c16:uniqueId val="{00000014-13A5-D843-950B-15AF74E35F44}"/>
            </c:ext>
          </c:extLst>
        </c:ser>
        <c:ser>
          <c:idx val="21"/>
          <c:order val="21"/>
          <c:tx>
            <c:strRef>
              <c:f>Sheet1!$W$1</c:f>
              <c:strCache>
                <c:ptCount val="1"/>
                <c:pt idx="0">
                  <c:v>Case 22</c:v>
                </c:pt>
              </c:strCache>
            </c:strRef>
          </c:tx>
          <c:spPr>
            <a:ln w="19050">
              <a:solidFill>
                <a:sysClr val="windowText" lastClr="000000"/>
              </a:solidFill>
            </a:ln>
          </c:spPr>
          <c:marker>
            <c:symbol val="square"/>
            <c:size val="6"/>
            <c:spPr>
              <a:solidFill>
                <a:sysClr val="windowText" lastClr="000000"/>
              </a:solidFill>
              <a:ln>
                <a:solidFill>
                  <a:sysClr val="windowText" lastClr="000000"/>
                </a:solidFill>
              </a:ln>
            </c:spPr>
          </c:marker>
          <c:dLbls>
            <c:delete val="1"/>
          </c:dLbls>
          <c:cat>
            <c:strRef>
              <c:f>Sheet1!$A$2:$A$5</c:f>
              <c:strCache>
                <c:ptCount val="3"/>
                <c:pt idx="1">
                  <c:v>Superior Position</c:v>
                </c:pt>
                <c:pt idx="2">
                  <c:v>Inferior Position</c:v>
                </c:pt>
              </c:strCache>
            </c:strRef>
          </c:cat>
          <c:val>
            <c:numRef>
              <c:f>Sheet1!$W$2:$W$5</c:f>
              <c:numCache>
                <c:formatCode>General</c:formatCode>
                <c:ptCount val="4"/>
                <c:pt idx="1">
                  <c:v>0.92</c:v>
                </c:pt>
                <c:pt idx="2">
                  <c:v>1</c:v>
                </c:pt>
              </c:numCache>
            </c:numRef>
          </c:val>
          <c:smooth val="0"/>
          <c:extLst>
            <c:ext xmlns:c16="http://schemas.microsoft.com/office/drawing/2014/chart" uri="{C3380CC4-5D6E-409C-BE32-E72D297353CC}">
              <c16:uniqueId val="{00000015-13A5-D843-950B-15AF74E35F44}"/>
            </c:ext>
          </c:extLst>
        </c:ser>
        <c:ser>
          <c:idx val="22"/>
          <c:order val="22"/>
          <c:tx>
            <c:strRef>
              <c:f>Sheet1!$X$1</c:f>
              <c:strCache>
                <c:ptCount val="1"/>
                <c:pt idx="0">
                  <c:v>Average</c:v>
                </c:pt>
              </c:strCache>
            </c:strRef>
          </c:tx>
          <c:spPr>
            <a:ln w="57150">
              <a:solidFill>
                <a:srgbClr val="FF0000"/>
              </a:solidFill>
            </a:ln>
          </c:spPr>
          <c:marker>
            <c:symbol val="circle"/>
            <c:size val="9"/>
            <c:spPr>
              <a:solidFill>
                <a:srgbClr val="FF0000"/>
              </a:solidFill>
              <a:ln>
                <a:solidFill>
                  <a:srgbClr val="FF0000"/>
                </a:solidFill>
              </a:ln>
            </c:spPr>
          </c:marker>
          <c:dLbls>
            <c:dLbl>
              <c:idx val="0"/>
              <c:layout>
                <c:manualLayout>
                  <c:x val="-8.11965811965812E-2"/>
                  <c:y val="-0.24172969972143524"/>
                </c:manualLayout>
              </c:layout>
              <c:tx>
                <c:rich>
                  <a:bodyPr/>
                  <a:lstStyle/>
                  <a:p>
                    <a:pPr>
                      <a:defRPr sz="2000">
                        <a:solidFill>
                          <a:srgbClr val="FF0000"/>
                        </a:solidFill>
                      </a:defRPr>
                    </a:pPr>
                    <a:r>
                      <a:rPr lang="en-US" sz="1200" b="1">
                        <a:latin typeface="Times New Roman" pitchFamily="18" charset="0"/>
                        <a:cs typeface="Times New Roman" pitchFamily="18" charset="0"/>
                      </a:rPr>
                      <a:t>0.87 +/- 0.11</a:t>
                    </a:r>
                  </a:p>
                </c:rich>
              </c:tx>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F4D0-D24A-93DA-AECFCF34D4FA}"/>
                </c:ext>
              </c:extLst>
            </c:dLbl>
            <c:dLbl>
              <c:idx val="1"/>
              <c:layout>
                <c:manualLayout>
                  <c:x val="8.11965811965812E-2"/>
                  <c:y val="-1.5108106232589501E-2"/>
                </c:manualLayout>
              </c:layout>
              <c:tx>
                <c:rich>
                  <a:bodyPr/>
                  <a:lstStyle/>
                  <a:p>
                    <a:pPr>
                      <a:defRPr sz="2400"/>
                    </a:pPr>
                    <a:r>
                      <a:rPr lang="en-US" sz="2000">
                        <a:solidFill>
                          <a:srgbClr val="FF0000"/>
                        </a:solidFill>
                      </a:rPr>
                      <a:t>0.93</a:t>
                    </a:r>
                  </a:p>
                </c:rich>
              </c:tx>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F4D0-D24A-93DA-AECFCF34D4FA}"/>
                </c:ext>
              </c:extLst>
            </c:dLbl>
            <c:dLbl>
              <c:idx val="3"/>
              <c:layout>
                <c:manualLayout>
                  <c:x val="-6.4102564102564111E-2"/>
                  <c:y val="-0.23165762889970537"/>
                </c:manualLayout>
              </c:layout>
              <c:tx>
                <c:rich>
                  <a:bodyPr/>
                  <a:lstStyle/>
                  <a:p>
                    <a:r>
                      <a:rPr lang="en-US" sz="1200" b="1">
                        <a:solidFill>
                          <a:srgbClr val="FF0000"/>
                        </a:solidFill>
                        <a:latin typeface="Times New Roman" pitchFamily="18" charset="0"/>
                        <a:cs typeface="Times New Roman" pitchFamily="18" charset="0"/>
                      </a:rPr>
                      <a:t>0.93 +/- 0.11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4E11-4C8C-A5E7-A3E5E826DBB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Sheet1!$Y$2:$Y$5</c:f>
                <c:numCache>
                  <c:formatCode>General</c:formatCode>
                  <c:ptCount val="4"/>
                  <c:pt idx="0">
                    <c:v>0.11</c:v>
                  </c:pt>
                  <c:pt idx="3">
                    <c:v>0.11</c:v>
                  </c:pt>
                </c:numCache>
              </c:numRef>
            </c:plus>
            <c:minus>
              <c:numRef>
                <c:f>Sheet1!$Y$2:$Y$5</c:f>
                <c:numCache>
                  <c:formatCode>General</c:formatCode>
                  <c:ptCount val="4"/>
                  <c:pt idx="0">
                    <c:v>0.11</c:v>
                  </c:pt>
                  <c:pt idx="3">
                    <c:v>0.11</c:v>
                  </c:pt>
                </c:numCache>
              </c:numRef>
            </c:minus>
            <c:spPr>
              <a:ln w="15875">
                <a:solidFill>
                  <a:srgbClr val="FF0000"/>
                </a:solidFill>
              </a:ln>
            </c:spPr>
          </c:errBars>
          <c:cat>
            <c:strRef>
              <c:f>Sheet1!$A$2:$A$5</c:f>
              <c:strCache>
                <c:ptCount val="3"/>
                <c:pt idx="1">
                  <c:v>Superior Position</c:v>
                </c:pt>
                <c:pt idx="2">
                  <c:v>Inferior Position</c:v>
                </c:pt>
              </c:strCache>
            </c:strRef>
          </c:cat>
          <c:val>
            <c:numRef>
              <c:f>Sheet1!$X$2:$X$5</c:f>
              <c:numCache>
                <c:formatCode>General</c:formatCode>
                <c:ptCount val="4"/>
                <c:pt idx="0">
                  <c:v>0.87000000000000821</c:v>
                </c:pt>
                <c:pt idx="3">
                  <c:v>0.93</c:v>
                </c:pt>
              </c:numCache>
            </c:numRef>
          </c:val>
          <c:smooth val="0"/>
          <c:extLst>
            <c:ext xmlns:c16="http://schemas.microsoft.com/office/drawing/2014/chart" uri="{C3380CC4-5D6E-409C-BE32-E72D297353CC}">
              <c16:uniqueId val="{0000000D-F4D0-D24A-93DA-AECFCF34D4FA}"/>
            </c:ext>
          </c:extLst>
        </c:ser>
        <c:dLbls>
          <c:showLegendKey val="0"/>
          <c:showVal val="1"/>
          <c:showCatName val="0"/>
          <c:showSerName val="0"/>
          <c:showPercent val="0"/>
          <c:showBubbleSize val="0"/>
        </c:dLbls>
        <c:marker val="1"/>
        <c:smooth val="0"/>
        <c:axId val="220299648"/>
        <c:axId val="220301184"/>
      </c:lineChart>
      <c:catAx>
        <c:axId val="220299648"/>
        <c:scaling>
          <c:orientation val="minMax"/>
        </c:scaling>
        <c:delete val="0"/>
        <c:axPos val="b"/>
        <c:numFmt formatCode="General" sourceLinked="0"/>
        <c:majorTickMark val="out"/>
        <c:minorTickMark val="none"/>
        <c:tickLblPos val="nextTo"/>
        <c:spPr>
          <a:ln w="19050">
            <a:solidFill>
              <a:sysClr val="windowText" lastClr="000000"/>
            </a:solidFill>
          </a:ln>
        </c:spPr>
        <c:crossAx val="220301184"/>
        <c:crosses val="autoZero"/>
        <c:auto val="1"/>
        <c:lblAlgn val="ctr"/>
        <c:lblOffset val="100"/>
        <c:noMultiLvlLbl val="0"/>
      </c:catAx>
      <c:valAx>
        <c:axId val="220301184"/>
        <c:scaling>
          <c:orientation val="minMax"/>
          <c:max val="1.1000000000000001"/>
          <c:min val="0.65000000000002212"/>
        </c:scaling>
        <c:delete val="0"/>
        <c:axPos val="l"/>
        <c:numFmt formatCode="General" sourceLinked="1"/>
        <c:majorTickMark val="out"/>
        <c:minorTickMark val="none"/>
        <c:tickLblPos val="nextTo"/>
        <c:spPr>
          <a:noFill/>
          <a:ln w="19050">
            <a:solidFill>
              <a:sysClr val="windowText" lastClr="000000"/>
            </a:solidFill>
          </a:ln>
        </c:spPr>
        <c:crossAx val="220299648"/>
        <c:crosses val="autoZero"/>
        <c:crossBetween val="between"/>
      </c:valAx>
      <c:spPr>
        <a:solidFill>
          <a:sysClr val="window" lastClr="FFFFFF"/>
        </a:solidFill>
      </c:spPr>
    </c:plotArea>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100">
                <a:latin typeface="Times New Roman" pitchFamily="18" charset="0"/>
                <a:cs typeface="Times New Roman" pitchFamily="18" charset="0"/>
              </a:defRPr>
            </a:pPr>
            <a:r>
              <a:rPr lang="en-US" sz="1100">
                <a:latin typeface="Times New Roman" pitchFamily="18" charset="0"/>
                <a:cs typeface="Times New Roman" pitchFamily="18" charset="0"/>
              </a:rPr>
              <a:t>Left Anterior Descending Atery - iFR</a:t>
            </a:r>
          </a:p>
        </c:rich>
      </c:tx>
      <c:overlay val="1"/>
    </c:title>
    <c:autoTitleDeleted val="0"/>
    <c:plotArea>
      <c:layout>
        <c:manualLayout>
          <c:layoutTarget val="inner"/>
          <c:xMode val="edge"/>
          <c:yMode val="edge"/>
          <c:x val="0.12525809273840771"/>
          <c:y val="0.11155822334633586"/>
          <c:w val="0.82231660946227858"/>
          <c:h val="0.73861413414555765"/>
        </c:manualLayout>
      </c:layout>
      <c:lineChart>
        <c:grouping val="standard"/>
        <c:varyColors val="0"/>
        <c:ser>
          <c:idx val="0"/>
          <c:order val="0"/>
          <c:tx>
            <c:strRef>
              <c:f>Sheet1!$B$1</c:f>
              <c:strCache>
                <c:ptCount val="1"/>
                <c:pt idx="0">
                  <c:v>Case 1</c:v>
                </c:pt>
              </c:strCache>
            </c:strRef>
          </c:tx>
          <c:spPr>
            <a:ln>
              <a:solidFill>
                <a:schemeClr val="tx1"/>
              </a:solidFill>
            </a:ln>
          </c:spPr>
          <c:marker>
            <c:spPr>
              <a:solidFill>
                <a:schemeClr val="tx1"/>
              </a:solidFill>
              <a:ln>
                <a:solidFill>
                  <a:schemeClr val="tx1"/>
                </a:solidFill>
              </a:ln>
            </c:spPr>
          </c:marker>
          <c:dLbls>
            <c:dLbl>
              <c:idx val="2"/>
              <c:layout>
                <c:manualLayout>
                  <c:x val="6.410256410256418E-2"/>
                  <c:y val="-9.0483230322569129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3A3-4711-A716-19A767F36AAC}"/>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Sheet1!$B$2:$B$5</c:f>
              <c:numCache>
                <c:formatCode>General</c:formatCode>
                <c:ptCount val="4"/>
                <c:pt idx="1">
                  <c:v>0.96000000000000063</c:v>
                </c:pt>
                <c:pt idx="2">
                  <c:v>0.99</c:v>
                </c:pt>
              </c:numCache>
            </c:numRef>
          </c:val>
          <c:smooth val="0"/>
          <c:extLst>
            <c:ext xmlns:c16="http://schemas.microsoft.com/office/drawing/2014/chart" uri="{C3380CC4-5D6E-409C-BE32-E72D297353CC}">
              <c16:uniqueId val="{00000000-5FCA-7C40-AD66-4B413C37FFBD}"/>
            </c:ext>
          </c:extLst>
        </c:ser>
        <c:ser>
          <c:idx val="1"/>
          <c:order val="1"/>
          <c:tx>
            <c:strRef>
              <c:f>Sheet1!$C$1</c:f>
              <c:strCache>
                <c:ptCount val="1"/>
                <c:pt idx="0">
                  <c:v>Case 4</c:v>
                </c:pt>
              </c:strCache>
            </c:strRef>
          </c:tx>
          <c:spPr>
            <a:ln>
              <a:solidFill>
                <a:schemeClr val="tx1"/>
              </a:solidFill>
            </a:ln>
          </c:spPr>
          <c:marker>
            <c:spPr>
              <a:solidFill>
                <a:schemeClr val="tx1"/>
              </a:solidFill>
              <a:ln>
                <a:solidFill>
                  <a:schemeClr val="tx1"/>
                </a:solidFill>
              </a:ln>
            </c:spPr>
          </c:marker>
          <c:dLbls>
            <c:dLbl>
              <c:idx val="2"/>
              <c:layout>
                <c:manualLayout>
                  <c:x val="6.410256410256418E-2"/>
                  <c:y val="1.8096646064513885E-2"/>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3A3-4711-A716-19A767F36AAC}"/>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Sheet1!$C$2:$C$5</c:f>
              <c:numCache>
                <c:formatCode>General</c:formatCode>
                <c:ptCount val="4"/>
                <c:pt idx="1">
                  <c:v>0.91</c:v>
                </c:pt>
                <c:pt idx="2">
                  <c:v>0.83000000000000063</c:v>
                </c:pt>
              </c:numCache>
            </c:numRef>
          </c:val>
          <c:smooth val="0"/>
          <c:extLst>
            <c:ext xmlns:c16="http://schemas.microsoft.com/office/drawing/2014/chart" uri="{C3380CC4-5D6E-409C-BE32-E72D297353CC}">
              <c16:uniqueId val="{00000001-5FCA-7C40-AD66-4B413C37FFBD}"/>
            </c:ext>
          </c:extLst>
        </c:ser>
        <c:ser>
          <c:idx val="2"/>
          <c:order val="2"/>
          <c:tx>
            <c:strRef>
              <c:f>Sheet1!$D$1</c:f>
              <c:strCache>
                <c:ptCount val="1"/>
                <c:pt idx="0">
                  <c:v> Case 7</c:v>
                </c:pt>
              </c:strCache>
            </c:strRef>
          </c:tx>
          <c:spPr>
            <a:ln>
              <a:solidFill>
                <a:schemeClr val="tx1"/>
              </a:solidFill>
            </a:ln>
          </c:spPr>
          <c:marker>
            <c:spPr>
              <a:solidFill>
                <a:schemeClr val="tx1"/>
              </a:solidFill>
              <a:ln>
                <a:solidFill>
                  <a:schemeClr val="tx1"/>
                </a:solidFill>
              </a:ln>
            </c:spPr>
          </c:marker>
          <c:dLbls>
            <c:dLbl>
              <c:idx val="2"/>
              <c:layout>
                <c:manualLayout>
                  <c:x val="6.410256410256418E-2"/>
                  <c:y val="-3.016107677418981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3A3-4711-A716-19A767F36AAC}"/>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Sheet1!$D$2:$D$5</c:f>
              <c:numCache>
                <c:formatCode>General</c:formatCode>
                <c:ptCount val="4"/>
                <c:pt idx="1">
                  <c:v>0.92</c:v>
                </c:pt>
                <c:pt idx="2">
                  <c:v>0.84000000000000064</c:v>
                </c:pt>
              </c:numCache>
            </c:numRef>
          </c:val>
          <c:smooth val="0"/>
          <c:extLst>
            <c:ext xmlns:c16="http://schemas.microsoft.com/office/drawing/2014/chart" uri="{C3380CC4-5D6E-409C-BE32-E72D297353CC}">
              <c16:uniqueId val="{00000002-5FCA-7C40-AD66-4B413C37FFBD}"/>
            </c:ext>
          </c:extLst>
        </c:ser>
        <c:ser>
          <c:idx val="3"/>
          <c:order val="3"/>
          <c:tx>
            <c:strRef>
              <c:f>Sheet1!$E$1</c:f>
              <c:strCache>
                <c:ptCount val="1"/>
                <c:pt idx="0">
                  <c:v>Case 9</c:v>
                </c:pt>
              </c:strCache>
            </c:strRef>
          </c:tx>
          <c:spPr>
            <a:ln>
              <a:solidFill>
                <a:schemeClr val="tx1"/>
              </a:solidFill>
            </a:ln>
          </c:spPr>
          <c:marker>
            <c:spPr>
              <a:solidFill>
                <a:schemeClr val="tx1"/>
              </a:solidFill>
              <a:ln>
                <a:solidFill>
                  <a:schemeClr val="tx1"/>
                </a:solidFill>
              </a:ln>
            </c:spPr>
          </c:marker>
          <c:cat>
            <c:strRef>
              <c:f>Sheet1!$A$2:$A$5</c:f>
              <c:strCache>
                <c:ptCount val="3"/>
                <c:pt idx="1">
                  <c:v>Prone</c:v>
                </c:pt>
                <c:pt idx="2">
                  <c:v>Supine</c:v>
                </c:pt>
              </c:strCache>
            </c:strRef>
          </c:cat>
          <c:val>
            <c:numRef>
              <c:f>Sheet1!$E$2:$E$5</c:f>
              <c:numCache>
                <c:formatCode>General</c:formatCode>
                <c:ptCount val="4"/>
                <c:pt idx="1">
                  <c:v>1.02</c:v>
                </c:pt>
                <c:pt idx="2">
                  <c:v>0.89</c:v>
                </c:pt>
              </c:numCache>
            </c:numRef>
          </c:val>
          <c:smooth val="0"/>
          <c:extLst>
            <c:ext xmlns:c16="http://schemas.microsoft.com/office/drawing/2014/chart" uri="{C3380CC4-5D6E-409C-BE32-E72D297353CC}">
              <c16:uniqueId val="{00000003-5FCA-7C40-AD66-4B413C37FFBD}"/>
            </c:ext>
          </c:extLst>
        </c:ser>
        <c:ser>
          <c:idx val="4"/>
          <c:order val="4"/>
          <c:tx>
            <c:strRef>
              <c:f>Sheet1!$F$1</c:f>
              <c:strCache>
                <c:ptCount val="1"/>
                <c:pt idx="0">
                  <c:v>Case 10</c:v>
                </c:pt>
              </c:strCache>
            </c:strRef>
          </c:tx>
          <c:spPr>
            <a:ln>
              <a:solidFill>
                <a:schemeClr val="tx1"/>
              </a:solidFill>
            </a:ln>
          </c:spPr>
          <c:marker>
            <c:spPr>
              <a:solidFill>
                <a:schemeClr val="tx1"/>
              </a:solidFill>
              <a:ln>
                <a:solidFill>
                  <a:schemeClr val="tx1"/>
                </a:solidFill>
              </a:ln>
            </c:spPr>
          </c:marker>
          <c:dLbls>
            <c:dLbl>
              <c:idx val="2"/>
              <c:layout>
                <c:manualLayout>
                  <c:x val="7.0512820512820734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A3-4711-A716-19A767F36AAC}"/>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Sheet1!$F$2:$F$5</c:f>
              <c:numCache>
                <c:formatCode>General</c:formatCode>
                <c:ptCount val="4"/>
                <c:pt idx="1">
                  <c:v>1.07</c:v>
                </c:pt>
                <c:pt idx="2">
                  <c:v>0.89</c:v>
                </c:pt>
              </c:numCache>
            </c:numRef>
          </c:val>
          <c:smooth val="0"/>
          <c:extLst>
            <c:ext xmlns:c16="http://schemas.microsoft.com/office/drawing/2014/chart" uri="{C3380CC4-5D6E-409C-BE32-E72D297353CC}">
              <c16:uniqueId val="{00000004-5FCA-7C40-AD66-4B413C37FFBD}"/>
            </c:ext>
          </c:extLst>
        </c:ser>
        <c:ser>
          <c:idx val="5"/>
          <c:order val="5"/>
          <c:tx>
            <c:strRef>
              <c:f>Sheet1!$G$1</c:f>
              <c:strCache>
                <c:ptCount val="1"/>
                <c:pt idx="0">
                  <c:v>Case 11</c:v>
                </c:pt>
              </c:strCache>
            </c:strRef>
          </c:tx>
          <c:spPr>
            <a:ln>
              <a:solidFill>
                <a:schemeClr val="tx1"/>
              </a:solidFill>
            </a:ln>
          </c:spPr>
          <c:marker>
            <c:spPr>
              <a:solidFill>
                <a:schemeClr val="tx1"/>
              </a:solidFill>
              <a:ln>
                <a:solidFill>
                  <a:schemeClr val="tx1"/>
                </a:solidFill>
              </a:ln>
            </c:spPr>
          </c:marker>
          <c:dLbls>
            <c:dLbl>
              <c:idx val="2"/>
              <c:layout>
                <c:manualLayout>
                  <c:x val="6.410256410256418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A3-4711-A716-19A767F36AAC}"/>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Sheet1!$G$2:$G$5</c:f>
              <c:numCache>
                <c:formatCode>General</c:formatCode>
                <c:ptCount val="4"/>
                <c:pt idx="1">
                  <c:v>1.01</c:v>
                </c:pt>
                <c:pt idx="2">
                  <c:v>0.97000000000000064</c:v>
                </c:pt>
              </c:numCache>
            </c:numRef>
          </c:val>
          <c:smooth val="0"/>
          <c:extLst>
            <c:ext xmlns:c16="http://schemas.microsoft.com/office/drawing/2014/chart" uri="{C3380CC4-5D6E-409C-BE32-E72D297353CC}">
              <c16:uniqueId val="{00000005-5FCA-7C40-AD66-4B413C37FFBD}"/>
            </c:ext>
          </c:extLst>
        </c:ser>
        <c:ser>
          <c:idx val="6"/>
          <c:order val="6"/>
          <c:tx>
            <c:strRef>
              <c:f>Sheet1!$H$1</c:f>
              <c:strCache>
                <c:ptCount val="1"/>
                <c:pt idx="0">
                  <c:v>Case 15</c:v>
                </c:pt>
              </c:strCache>
            </c:strRef>
          </c:tx>
          <c:spPr>
            <a:ln>
              <a:solidFill>
                <a:schemeClr val="tx1"/>
              </a:solidFill>
            </a:ln>
          </c:spPr>
          <c:marker>
            <c:spPr>
              <a:solidFill>
                <a:schemeClr val="tx1"/>
              </a:solidFill>
              <a:ln>
                <a:solidFill>
                  <a:schemeClr val="tx1"/>
                </a:solidFill>
              </a:ln>
            </c:spPr>
          </c:marker>
          <c:dLbls>
            <c:dLbl>
              <c:idx val="2"/>
              <c:layout>
                <c:manualLayout>
                  <c:x val="6.8376068376068452E-2"/>
                  <c:y val="3.016107677418981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3A3-4711-A716-19A767F36AAC}"/>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Sheet1!$H$2:$H$5</c:f>
              <c:numCache>
                <c:formatCode>General</c:formatCode>
                <c:ptCount val="4"/>
                <c:pt idx="1">
                  <c:v>0.94000000000000061</c:v>
                </c:pt>
                <c:pt idx="2">
                  <c:v>0.92</c:v>
                </c:pt>
              </c:numCache>
            </c:numRef>
          </c:val>
          <c:smooth val="0"/>
          <c:extLst>
            <c:ext xmlns:c16="http://schemas.microsoft.com/office/drawing/2014/chart" uri="{C3380CC4-5D6E-409C-BE32-E72D297353CC}">
              <c16:uniqueId val="{00000006-5FCA-7C40-AD66-4B413C37FFBD}"/>
            </c:ext>
          </c:extLst>
        </c:ser>
        <c:ser>
          <c:idx val="7"/>
          <c:order val="7"/>
          <c:tx>
            <c:strRef>
              <c:f>Sheet1!$I$1</c:f>
              <c:strCache>
                <c:ptCount val="1"/>
                <c:pt idx="0">
                  <c:v>Case 16</c:v>
                </c:pt>
              </c:strCache>
            </c:strRef>
          </c:tx>
          <c:spPr>
            <a:ln>
              <a:solidFill>
                <a:schemeClr val="tx1"/>
              </a:solidFill>
            </a:ln>
          </c:spPr>
          <c:marker>
            <c:spPr>
              <a:solidFill>
                <a:schemeClr val="tx1"/>
              </a:solidFill>
              <a:ln>
                <a:solidFill>
                  <a:schemeClr val="tx1"/>
                </a:solidFill>
              </a:ln>
            </c:spPr>
          </c:marker>
          <c:dLbls>
            <c:dLbl>
              <c:idx val="2"/>
              <c:layout>
                <c:manualLayout>
                  <c:x val="6.8376068376068452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3A3-4711-A716-19A767F36AAC}"/>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Sheet1!$I$2:$I$5</c:f>
              <c:numCache>
                <c:formatCode>General</c:formatCode>
                <c:ptCount val="4"/>
                <c:pt idx="1">
                  <c:v>0.94000000000000061</c:v>
                </c:pt>
                <c:pt idx="2">
                  <c:v>0.94000000000000061</c:v>
                </c:pt>
              </c:numCache>
            </c:numRef>
          </c:val>
          <c:smooth val="0"/>
          <c:extLst>
            <c:ext xmlns:c16="http://schemas.microsoft.com/office/drawing/2014/chart" uri="{C3380CC4-5D6E-409C-BE32-E72D297353CC}">
              <c16:uniqueId val="{00000007-5FCA-7C40-AD66-4B413C37FFBD}"/>
            </c:ext>
          </c:extLst>
        </c:ser>
        <c:ser>
          <c:idx val="8"/>
          <c:order val="8"/>
          <c:tx>
            <c:strRef>
              <c:f>Sheet1!$J$1</c:f>
              <c:strCache>
                <c:ptCount val="1"/>
                <c:pt idx="0">
                  <c:v>Case 17</c:v>
                </c:pt>
              </c:strCache>
            </c:strRef>
          </c:tx>
          <c:spPr>
            <a:ln>
              <a:solidFill>
                <a:schemeClr val="tx1"/>
              </a:solidFill>
            </a:ln>
          </c:spPr>
          <c:marker>
            <c:spPr>
              <a:solidFill>
                <a:schemeClr val="tx1"/>
              </a:solidFill>
              <a:ln>
                <a:solidFill>
                  <a:schemeClr val="tx1"/>
                </a:solidFill>
              </a:ln>
            </c:spPr>
          </c:marker>
          <c:dLbls>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Sheet1!$J$2:$J$5</c:f>
              <c:numCache>
                <c:formatCode>General</c:formatCode>
                <c:ptCount val="4"/>
                <c:pt idx="1">
                  <c:v>0.5</c:v>
                </c:pt>
                <c:pt idx="2">
                  <c:v>0.5</c:v>
                </c:pt>
              </c:numCache>
            </c:numRef>
          </c:val>
          <c:smooth val="0"/>
          <c:extLst>
            <c:ext xmlns:c16="http://schemas.microsoft.com/office/drawing/2014/chart" uri="{C3380CC4-5D6E-409C-BE32-E72D297353CC}">
              <c16:uniqueId val="{00000008-5FCA-7C40-AD66-4B413C37FFBD}"/>
            </c:ext>
          </c:extLst>
        </c:ser>
        <c:ser>
          <c:idx val="9"/>
          <c:order val="9"/>
          <c:tx>
            <c:strRef>
              <c:f>Sheet1!$K$1</c:f>
              <c:strCache>
                <c:ptCount val="1"/>
                <c:pt idx="0">
                  <c:v>Case 18</c:v>
                </c:pt>
              </c:strCache>
            </c:strRef>
          </c:tx>
          <c:spPr>
            <a:ln>
              <a:solidFill>
                <a:schemeClr val="tx1"/>
              </a:solidFill>
            </a:ln>
          </c:spPr>
          <c:marker>
            <c:spPr>
              <a:solidFill>
                <a:schemeClr val="tx1"/>
              </a:solidFill>
              <a:ln>
                <a:solidFill>
                  <a:schemeClr val="tx1"/>
                </a:solidFill>
              </a:ln>
            </c:spPr>
          </c:marker>
          <c:dLbls>
            <c:dLbl>
              <c:idx val="2"/>
              <c:layout>
                <c:manualLayout>
                  <c:x val="6.6239316239316323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3A3-4711-A716-19A767F36AAC}"/>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Sheet1!$K$2:$K$5</c:f>
              <c:numCache>
                <c:formatCode>General</c:formatCode>
                <c:ptCount val="4"/>
                <c:pt idx="1">
                  <c:v>0.86000000000000065</c:v>
                </c:pt>
                <c:pt idx="2">
                  <c:v>0.73000000000000065</c:v>
                </c:pt>
              </c:numCache>
            </c:numRef>
          </c:val>
          <c:smooth val="0"/>
          <c:extLst>
            <c:ext xmlns:c16="http://schemas.microsoft.com/office/drawing/2014/chart" uri="{C3380CC4-5D6E-409C-BE32-E72D297353CC}">
              <c16:uniqueId val="{00000009-5FCA-7C40-AD66-4B413C37FFBD}"/>
            </c:ext>
          </c:extLst>
        </c:ser>
        <c:ser>
          <c:idx val="10"/>
          <c:order val="10"/>
          <c:tx>
            <c:strRef>
              <c:f>Sheet1!$L$1</c:f>
              <c:strCache>
                <c:ptCount val="1"/>
                <c:pt idx="0">
                  <c:v>Average</c:v>
                </c:pt>
              </c:strCache>
            </c:strRef>
          </c:tx>
          <c:spPr>
            <a:ln w="31750">
              <a:solidFill>
                <a:srgbClr val="FF0000"/>
              </a:solidFill>
            </a:ln>
          </c:spPr>
          <c:marker>
            <c:symbol val="circle"/>
            <c:size val="10"/>
            <c:spPr>
              <a:solidFill>
                <a:srgbClr val="FF0000"/>
              </a:solidFill>
            </c:spPr>
          </c:marker>
          <c:dLbls>
            <c:dLbl>
              <c:idx val="0"/>
              <c:layout>
                <c:manualLayout>
                  <c:x val="-6.4102564102564534E-3"/>
                  <c:y val="-0.15080538387095219"/>
                </c:manualLayout>
              </c:layout>
              <c:tx>
                <c:rich>
                  <a:bodyPr/>
                  <a:lstStyle/>
                  <a:p>
                    <a:r>
                      <a:rPr lang="en-US" sz="1200" b="1">
                        <a:solidFill>
                          <a:srgbClr val="FF0000"/>
                        </a:solidFill>
                        <a:latin typeface="Times New Roman" pitchFamily="18" charset="0"/>
                        <a:cs typeface="Times New Roman" pitchFamily="18" charset="0"/>
                      </a:rPr>
                      <a:t>0.91 +/- 0.15</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3A3-4711-A716-19A767F36AAC}"/>
                </c:ext>
              </c:extLst>
            </c:dLbl>
            <c:dLbl>
              <c:idx val="3"/>
              <c:layout>
                <c:manualLayout>
                  <c:x val="0"/>
                  <c:y val="-0.13572484548385369"/>
                </c:manualLayout>
              </c:layout>
              <c:tx>
                <c:rich>
                  <a:bodyPr/>
                  <a:lstStyle/>
                  <a:p>
                    <a:r>
                      <a:rPr lang="en-US" sz="1200" b="1">
                        <a:solidFill>
                          <a:srgbClr val="FF0000"/>
                        </a:solidFill>
                        <a:latin typeface="Times New Roman" pitchFamily="18" charset="0"/>
                        <a:cs typeface="Times New Roman" pitchFamily="18" charset="0"/>
                      </a:rPr>
                      <a:t>0.85 +/-</a:t>
                    </a:r>
                    <a:r>
                      <a:rPr lang="en-US" sz="1200" b="1" baseline="0">
                        <a:solidFill>
                          <a:srgbClr val="FF0000"/>
                        </a:solidFill>
                        <a:latin typeface="Times New Roman" pitchFamily="18" charset="0"/>
                        <a:cs typeface="Times New Roman" pitchFamily="18" charset="0"/>
                      </a:rPr>
                      <a:t> 0.14</a:t>
                    </a:r>
                    <a:endParaRPr lang="en-US" sz="1200" b="1">
                      <a:solidFill>
                        <a:srgbClr val="FF0000"/>
                      </a:solidFill>
                      <a:latin typeface="Times New Roman" pitchFamily="18" charset="0"/>
                      <a:cs typeface="Times New Roman" pitchFamily="18" charset="0"/>
                    </a:endParaRP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93A3-4711-A716-19A767F36AAC}"/>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Sheet1!$N$2:$N$5</c:f>
                <c:numCache>
                  <c:formatCode>General</c:formatCode>
                  <c:ptCount val="4"/>
                  <c:pt idx="0">
                    <c:v>0.15000000000000024</c:v>
                  </c:pt>
                  <c:pt idx="3">
                    <c:v>0.14000000000000001</c:v>
                  </c:pt>
                </c:numCache>
              </c:numRef>
            </c:plus>
            <c:minus>
              <c:numRef>
                <c:f>Sheet1!$N$2:$N$5</c:f>
                <c:numCache>
                  <c:formatCode>General</c:formatCode>
                  <c:ptCount val="4"/>
                  <c:pt idx="0">
                    <c:v>0.15000000000000024</c:v>
                  </c:pt>
                  <c:pt idx="3">
                    <c:v>0.14000000000000001</c:v>
                  </c:pt>
                </c:numCache>
              </c:numRef>
            </c:minus>
            <c:spPr>
              <a:ln w="15875">
                <a:solidFill>
                  <a:srgbClr val="FF0000"/>
                </a:solidFill>
              </a:ln>
            </c:spPr>
          </c:errBars>
          <c:cat>
            <c:strRef>
              <c:f>Sheet1!$A$2:$A$5</c:f>
              <c:strCache>
                <c:ptCount val="3"/>
                <c:pt idx="1">
                  <c:v>Prone</c:v>
                </c:pt>
                <c:pt idx="2">
                  <c:v>Supine</c:v>
                </c:pt>
              </c:strCache>
            </c:strRef>
          </c:cat>
          <c:val>
            <c:numRef>
              <c:f>Sheet1!$L$2:$L$5</c:f>
              <c:numCache>
                <c:formatCode>General</c:formatCode>
                <c:ptCount val="4"/>
                <c:pt idx="0">
                  <c:v>0.91</c:v>
                </c:pt>
                <c:pt idx="3">
                  <c:v>0.85000000000000064</c:v>
                </c:pt>
              </c:numCache>
            </c:numRef>
          </c:val>
          <c:smooth val="0"/>
          <c:extLst>
            <c:ext xmlns:c16="http://schemas.microsoft.com/office/drawing/2014/chart" uri="{C3380CC4-5D6E-409C-BE32-E72D297353CC}">
              <c16:uniqueId val="{0000000B-93A3-4711-A716-19A767F36AAC}"/>
            </c:ext>
          </c:extLst>
        </c:ser>
        <c:dLbls>
          <c:showLegendKey val="0"/>
          <c:showVal val="0"/>
          <c:showCatName val="0"/>
          <c:showSerName val="0"/>
          <c:showPercent val="0"/>
          <c:showBubbleSize val="0"/>
        </c:dLbls>
        <c:marker val="1"/>
        <c:smooth val="0"/>
        <c:axId val="220777088"/>
        <c:axId val="220782976"/>
      </c:lineChart>
      <c:catAx>
        <c:axId val="220777088"/>
        <c:scaling>
          <c:orientation val="minMax"/>
        </c:scaling>
        <c:delete val="0"/>
        <c:axPos val="b"/>
        <c:numFmt formatCode="General" sourceLinked="0"/>
        <c:majorTickMark val="out"/>
        <c:minorTickMark val="none"/>
        <c:tickLblPos val="nextTo"/>
        <c:crossAx val="220782976"/>
        <c:crosses val="autoZero"/>
        <c:auto val="1"/>
        <c:lblAlgn val="ctr"/>
        <c:lblOffset val="100"/>
        <c:noMultiLvlLbl val="0"/>
      </c:catAx>
      <c:valAx>
        <c:axId val="220782976"/>
        <c:scaling>
          <c:orientation val="minMax"/>
          <c:min val="0.45"/>
        </c:scaling>
        <c:delete val="0"/>
        <c:axPos val="l"/>
        <c:numFmt formatCode="General" sourceLinked="1"/>
        <c:majorTickMark val="out"/>
        <c:minorTickMark val="none"/>
        <c:tickLblPos val="nextTo"/>
        <c:crossAx val="220777088"/>
        <c:crosses val="autoZero"/>
        <c:crossBetween val="between"/>
      </c:valAx>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sz="1200">
                <a:latin typeface="Times New Roman" pitchFamily="18" charset="0"/>
                <a:cs typeface="Times New Roman" pitchFamily="18" charset="0"/>
              </a:defRPr>
            </a:pPr>
            <a:r>
              <a:rPr lang="en-US" sz="1200">
                <a:latin typeface="Times New Roman" pitchFamily="18" charset="0"/>
                <a:cs typeface="Times New Roman" pitchFamily="18" charset="0"/>
              </a:rPr>
              <a:t>Circumflex Artery - iFR</a:t>
            </a:r>
          </a:p>
        </c:rich>
      </c:tx>
      <c:overlay val="1"/>
    </c:title>
    <c:autoTitleDeleted val="0"/>
    <c:plotArea>
      <c:layout>
        <c:manualLayout>
          <c:layoutTarget val="inner"/>
          <c:xMode val="edge"/>
          <c:yMode val="edge"/>
          <c:x val="0.12739484487515984"/>
          <c:y val="0.12013168506220624"/>
          <c:w val="0.83941062655629584"/>
          <c:h val="0.72680274802433587"/>
        </c:manualLayout>
      </c:layout>
      <c:lineChart>
        <c:grouping val="standard"/>
        <c:varyColors val="0"/>
        <c:ser>
          <c:idx val="0"/>
          <c:order val="0"/>
          <c:tx>
            <c:strRef>
              <c:f>Sheet1!$B$1</c:f>
              <c:strCache>
                <c:ptCount val="1"/>
                <c:pt idx="0">
                  <c:v>Case 2</c:v>
                </c:pt>
              </c:strCache>
            </c:strRef>
          </c:tx>
          <c:spPr>
            <a:ln>
              <a:solidFill>
                <a:schemeClr val="tx1"/>
              </a:solidFill>
            </a:ln>
          </c:spPr>
          <c:marker>
            <c:spPr>
              <a:solidFill>
                <a:schemeClr val="tx1"/>
              </a:solidFill>
              <a:ln>
                <a:solidFill>
                  <a:schemeClr val="tx1"/>
                </a:solidFill>
              </a:ln>
            </c:spPr>
          </c:marker>
          <c:cat>
            <c:strRef>
              <c:f>Sheet1!$A$2:$A$5</c:f>
              <c:strCache>
                <c:ptCount val="3"/>
                <c:pt idx="1">
                  <c:v>Prone</c:v>
                </c:pt>
                <c:pt idx="2">
                  <c:v>Supine</c:v>
                </c:pt>
              </c:strCache>
            </c:strRef>
          </c:cat>
          <c:val>
            <c:numRef>
              <c:f>Sheet1!$B$2:$B$5</c:f>
              <c:numCache>
                <c:formatCode>General</c:formatCode>
                <c:ptCount val="4"/>
                <c:pt idx="1">
                  <c:v>0.93</c:v>
                </c:pt>
                <c:pt idx="2">
                  <c:v>0.99</c:v>
                </c:pt>
              </c:numCache>
            </c:numRef>
          </c:val>
          <c:smooth val="0"/>
          <c:extLst>
            <c:ext xmlns:c16="http://schemas.microsoft.com/office/drawing/2014/chart" uri="{C3380CC4-5D6E-409C-BE32-E72D297353CC}">
              <c16:uniqueId val="{00000000-5CEE-7B4C-829E-C618F556BBBD}"/>
            </c:ext>
          </c:extLst>
        </c:ser>
        <c:ser>
          <c:idx val="1"/>
          <c:order val="1"/>
          <c:tx>
            <c:strRef>
              <c:f>Sheet1!$C$1</c:f>
              <c:strCache>
                <c:ptCount val="1"/>
                <c:pt idx="0">
                  <c:v>Case 3</c:v>
                </c:pt>
              </c:strCache>
            </c:strRef>
          </c:tx>
          <c:spPr>
            <a:ln>
              <a:solidFill>
                <a:schemeClr val="tx1"/>
              </a:solidFill>
            </a:ln>
          </c:spPr>
          <c:marker>
            <c:spPr>
              <a:solidFill>
                <a:schemeClr val="tx1"/>
              </a:solidFill>
              <a:ln>
                <a:solidFill>
                  <a:schemeClr val="tx1"/>
                </a:solidFill>
              </a:ln>
            </c:spPr>
          </c:marker>
          <c:dLbls>
            <c:dLbl>
              <c:idx val="2"/>
              <c:layout>
                <c:manualLayout>
                  <c:x val="6.8376068376068452E-2"/>
                  <c:y val="9.2438662943888066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DEB-4C18-90CC-850B852B02D0}"/>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Sheet1!$C$2:$C$5</c:f>
              <c:numCache>
                <c:formatCode>General</c:formatCode>
                <c:ptCount val="4"/>
                <c:pt idx="1">
                  <c:v>0.97000000000000064</c:v>
                </c:pt>
                <c:pt idx="2">
                  <c:v>0.98</c:v>
                </c:pt>
              </c:numCache>
            </c:numRef>
          </c:val>
          <c:smooth val="0"/>
          <c:extLst>
            <c:ext xmlns:c16="http://schemas.microsoft.com/office/drawing/2014/chart" uri="{C3380CC4-5D6E-409C-BE32-E72D297353CC}">
              <c16:uniqueId val="{00000001-5CEE-7B4C-829E-C618F556BBBD}"/>
            </c:ext>
          </c:extLst>
        </c:ser>
        <c:ser>
          <c:idx val="2"/>
          <c:order val="2"/>
          <c:tx>
            <c:strRef>
              <c:f>Sheet1!$D$1</c:f>
              <c:strCache>
                <c:ptCount val="1"/>
                <c:pt idx="0">
                  <c:v> Case 6</c:v>
                </c:pt>
              </c:strCache>
            </c:strRef>
          </c:tx>
          <c:cat>
            <c:strRef>
              <c:f>Sheet1!$A$2:$A$5</c:f>
              <c:strCache>
                <c:ptCount val="3"/>
                <c:pt idx="1">
                  <c:v>Prone</c:v>
                </c:pt>
                <c:pt idx="2">
                  <c:v>Supine</c:v>
                </c:pt>
              </c:strCache>
            </c:strRef>
          </c:cat>
          <c:val>
            <c:numRef>
              <c:f>Sheet1!$D$2:$D$5</c:f>
              <c:numCache>
                <c:formatCode>General</c:formatCode>
                <c:ptCount val="4"/>
                <c:pt idx="1">
                  <c:v>0.92</c:v>
                </c:pt>
                <c:pt idx="2">
                  <c:v>0.95000000000000062</c:v>
                </c:pt>
              </c:numCache>
            </c:numRef>
          </c:val>
          <c:smooth val="0"/>
          <c:extLst>
            <c:ext xmlns:c16="http://schemas.microsoft.com/office/drawing/2014/chart" uri="{C3380CC4-5D6E-409C-BE32-E72D297353CC}">
              <c16:uniqueId val="{00000002-5CEE-7B4C-829E-C618F556BBBD}"/>
            </c:ext>
          </c:extLst>
        </c:ser>
        <c:ser>
          <c:idx val="3"/>
          <c:order val="3"/>
          <c:tx>
            <c:strRef>
              <c:f>Sheet1!$E$1</c:f>
              <c:strCache>
                <c:ptCount val="1"/>
                <c:pt idx="0">
                  <c:v>Case 8</c:v>
                </c:pt>
              </c:strCache>
            </c:strRef>
          </c:tx>
          <c:spPr>
            <a:ln>
              <a:solidFill>
                <a:schemeClr val="tx1"/>
              </a:solidFill>
            </a:ln>
          </c:spPr>
          <c:marker>
            <c:spPr>
              <a:solidFill>
                <a:schemeClr val="tx1"/>
              </a:solidFill>
              <a:ln>
                <a:solidFill>
                  <a:schemeClr val="tx1"/>
                </a:solidFill>
              </a:ln>
            </c:spPr>
          </c:marker>
          <c:dLbls>
            <c:dLbl>
              <c:idx val="2"/>
              <c:layout>
                <c:manualLayout>
                  <c:x val="7.0512820512820734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EB-4C18-90CC-850B852B02D0}"/>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Sheet1!$E$2:$E$5</c:f>
              <c:numCache>
                <c:formatCode>General</c:formatCode>
                <c:ptCount val="4"/>
                <c:pt idx="1">
                  <c:v>0.89</c:v>
                </c:pt>
                <c:pt idx="2">
                  <c:v>0.99</c:v>
                </c:pt>
              </c:numCache>
            </c:numRef>
          </c:val>
          <c:smooth val="0"/>
          <c:extLst>
            <c:ext xmlns:c16="http://schemas.microsoft.com/office/drawing/2014/chart" uri="{C3380CC4-5D6E-409C-BE32-E72D297353CC}">
              <c16:uniqueId val="{00000003-5CEE-7B4C-829E-C618F556BBBD}"/>
            </c:ext>
          </c:extLst>
        </c:ser>
        <c:ser>
          <c:idx val="4"/>
          <c:order val="4"/>
          <c:tx>
            <c:strRef>
              <c:f>Sheet1!$F$1</c:f>
              <c:strCache>
                <c:ptCount val="1"/>
                <c:pt idx="0">
                  <c:v>Case 21</c:v>
                </c:pt>
              </c:strCache>
            </c:strRef>
          </c:tx>
          <c:spPr>
            <a:ln>
              <a:solidFill>
                <a:schemeClr val="tx1"/>
              </a:solidFill>
            </a:ln>
          </c:spPr>
          <c:marker>
            <c:spPr>
              <a:solidFill>
                <a:schemeClr val="tx1"/>
              </a:solidFill>
              <a:ln>
                <a:solidFill>
                  <a:schemeClr val="tx1"/>
                </a:solidFill>
              </a:ln>
            </c:spPr>
          </c:marker>
          <c:dLbls>
            <c:dLbl>
              <c:idx val="2"/>
              <c:layout>
                <c:manualLayout>
                  <c:x val="7.0512820512820734E-2"/>
                  <c:y val="3.0812887647962612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DEB-4C18-90CC-850B852B02D0}"/>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Sheet1!$F$2:$F$5</c:f>
              <c:numCache>
                <c:formatCode>General</c:formatCode>
                <c:ptCount val="4"/>
                <c:pt idx="1">
                  <c:v>0.8</c:v>
                </c:pt>
                <c:pt idx="2">
                  <c:v>0.96000000000000063</c:v>
                </c:pt>
              </c:numCache>
            </c:numRef>
          </c:val>
          <c:smooth val="0"/>
          <c:extLst>
            <c:ext xmlns:c16="http://schemas.microsoft.com/office/drawing/2014/chart" uri="{C3380CC4-5D6E-409C-BE32-E72D297353CC}">
              <c16:uniqueId val="{00000004-5CEE-7B4C-829E-C618F556BBBD}"/>
            </c:ext>
          </c:extLst>
        </c:ser>
        <c:ser>
          <c:idx val="5"/>
          <c:order val="5"/>
          <c:tx>
            <c:strRef>
              <c:f>Sheet1!$G$1</c:f>
              <c:strCache>
                <c:ptCount val="1"/>
                <c:pt idx="0">
                  <c:v>Case 22</c:v>
                </c:pt>
              </c:strCache>
            </c:strRef>
          </c:tx>
          <c:spPr>
            <a:ln>
              <a:solidFill>
                <a:schemeClr val="tx1"/>
              </a:solidFill>
            </a:ln>
          </c:spPr>
          <c:marker>
            <c:spPr>
              <a:solidFill>
                <a:schemeClr val="tx1"/>
              </a:solidFill>
              <a:ln>
                <a:solidFill>
                  <a:schemeClr val="tx1"/>
                </a:solidFill>
              </a:ln>
            </c:spPr>
          </c:marker>
          <c:dLbls>
            <c:dLbl>
              <c:idx val="2"/>
              <c:layout>
                <c:manualLayout>
                  <c:x val="7.6923076923077011E-2"/>
                  <c:y val="0"/>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DEB-4C18-90CC-850B852B02D0}"/>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Sheet1!$G$2:$G$5</c:f>
              <c:numCache>
                <c:formatCode>General</c:formatCode>
                <c:ptCount val="4"/>
                <c:pt idx="1">
                  <c:v>0.9</c:v>
                </c:pt>
                <c:pt idx="2">
                  <c:v>0.92</c:v>
                </c:pt>
              </c:numCache>
            </c:numRef>
          </c:val>
          <c:smooth val="0"/>
          <c:extLst>
            <c:ext xmlns:c16="http://schemas.microsoft.com/office/drawing/2014/chart" uri="{C3380CC4-5D6E-409C-BE32-E72D297353CC}">
              <c16:uniqueId val="{00000005-5CEE-7B4C-829E-C618F556BBBD}"/>
            </c:ext>
          </c:extLst>
        </c:ser>
        <c:ser>
          <c:idx val="6"/>
          <c:order val="6"/>
          <c:tx>
            <c:strRef>
              <c:f>Sheet1!$H$1</c:f>
              <c:strCache>
                <c:ptCount val="1"/>
                <c:pt idx="0">
                  <c:v>Case 23</c:v>
                </c:pt>
              </c:strCache>
            </c:strRef>
          </c:tx>
          <c:spPr>
            <a:ln>
              <a:solidFill>
                <a:schemeClr val="tx1"/>
              </a:solidFill>
            </a:ln>
          </c:spPr>
          <c:marker>
            <c:spPr>
              <a:solidFill>
                <a:schemeClr val="tx1"/>
              </a:solidFill>
              <a:ln>
                <a:solidFill>
                  <a:schemeClr val="tx1"/>
                </a:solidFill>
              </a:ln>
            </c:spPr>
          </c:marker>
          <c:dLbls>
            <c:dLbl>
              <c:idx val="2"/>
              <c:layout>
                <c:manualLayout>
                  <c:x val="5.9829059829059825E-2"/>
                  <c:y val="-9.2438662943888066E-3"/>
                </c:manualLayout>
              </c:layout>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DEB-4C18-90CC-850B852B02D0}"/>
                </c:ext>
              </c:extLst>
            </c:dLbl>
            <c:spPr>
              <a:noFill/>
              <a:ln>
                <a:noFill/>
              </a:ln>
              <a:effectLst/>
            </c:sp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3"/>
                <c:pt idx="1">
                  <c:v>Prone</c:v>
                </c:pt>
                <c:pt idx="2">
                  <c:v>Supine</c:v>
                </c:pt>
              </c:strCache>
            </c:strRef>
          </c:cat>
          <c:val>
            <c:numRef>
              <c:f>Sheet1!$H$2:$H$5</c:f>
              <c:numCache>
                <c:formatCode>General</c:formatCode>
                <c:ptCount val="4"/>
                <c:pt idx="1">
                  <c:v>0.92</c:v>
                </c:pt>
                <c:pt idx="2">
                  <c:v>1</c:v>
                </c:pt>
              </c:numCache>
            </c:numRef>
          </c:val>
          <c:smooth val="0"/>
          <c:extLst>
            <c:ext xmlns:c16="http://schemas.microsoft.com/office/drawing/2014/chart" uri="{C3380CC4-5D6E-409C-BE32-E72D297353CC}">
              <c16:uniqueId val="{00000006-5CEE-7B4C-829E-C618F556BBBD}"/>
            </c:ext>
          </c:extLst>
        </c:ser>
        <c:ser>
          <c:idx val="7"/>
          <c:order val="7"/>
          <c:tx>
            <c:strRef>
              <c:f>Sheet1!$I$1</c:f>
              <c:strCache>
                <c:ptCount val="1"/>
                <c:pt idx="0">
                  <c:v>Average</c:v>
                </c:pt>
              </c:strCache>
            </c:strRef>
          </c:tx>
          <c:marker>
            <c:symbol val="circle"/>
            <c:size val="10"/>
            <c:spPr>
              <a:solidFill>
                <a:srgbClr val="FF0000"/>
              </a:solidFill>
            </c:spPr>
          </c:marker>
          <c:dLbls>
            <c:dLbl>
              <c:idx val="0"/>
              <c:layout>
                <c:manualLayout>
                  <c:x val="0"/>
                  <c:y val="-9.2438662943887598E-2"/>
                </c:manualLayout>
              </c:layout>
              <c:tx>
                <c:rich>
                  <a:bodyPr/>
                  <a:lstStyle/>
                  <a:p>
                    <a:r>
                      <a:rPr lang="en-US" sz="1200" b="1">
                        <a:solidFill>
                          <a:srgbClr val="FF0000"/>
                        </a:solidFill>
                        <a:latin typeface="Times New Roman" pitchFamily="18" charset="0"/>
                        <a:cs typeface="Times New Roman" pitchFamily="18" charset="0"/>
                      </a:rPr>
                      <a:t>0.9 +/-</a:t>
                    </a:r>
                    <a:r>
                      <a:rPr lang="en-US" sz="1200" b="1" baseline="0">
                        <a:solidFill>
                          <a:srgbClr val="FF0000"/>
                        </a:solidFill>
                        <a:latin typeface="Times New Roman" pitchFamily="18" charset="0"/>
                        <a:cs typeface="Times New Roman" pitchFamily="18" charset="0"/>
                      </a:rPr>
                      <a:t> 0.05</a:t>
                    </a:r>
                    <a:endParaRPr lang="en-US" sz="1200" b="1">
                      <a:solidFill>
                        <a:srgbClr val="FF0000"/>
                      </a:solidFill>
                      <a:latin typeface="Times New Roman" pitchFamily="18" charset="0"/>
                      <a:cs typeface="Times New Roman" pitchFamily="18" charset="0"/>
                    </a:endParaRP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6DEB-4C18-90CC-850B852B02D0}"/>
                </c:ext>
              </c:extLst>
            </c:dLbl>
            <c:dLbl>
              <c:idx val="3"/>
              <c:layout>
                <c:manualLayout>
                  <c:x val="0"/>
                  <c:y val="-4.6219331471943764E-2"/>
                </c:manualLayout>
              </c:layout>
              <c:tx>
                <c:rich>
                  <a:bodyPr/>
                  <a:lstStyle/>
                  <a:p>
                    <a:r>
                      <a:rPr lang="en-US" sz="1200" b="1">
                        <a:solidFill>
                          <a:srgbClr val="FF0000"/>
                        </a:solidFill>
                        <a:latin typeface="Times New Roman" pitchFamily="18" charset="0"/>
                        <a:cs typeface="Times New Roman" pitchFamily="18" charset="0"/>
                      </a:rPr>
                      <a:t>0.97 +/- 0.03</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6DEB-4C18-90CC-850B852B02D0}"/>
                </c:ext>
              </c:extLst>
            </c:dLbl>
            <c:spPr>
              <a:noFill/>
              <a:ln>
                <a:noFill/>
              </a:ln>
              <a:effectLst/>
            </c:spPr>
            <c:txPr>
              <a:bodyPr/>
              <a:lstStyle/>
              <a:p>
                <a:pPr>
                  <a:defRPr>
                    <a:latin typeface="Times New Roman" pitchFamily="18" charset="0"/>
                    <a:cs typeface="Times New Roman"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errBars>
            <c:errDir val="y"/>
            <c:errBarType val="both"/>
            <c:errValType val="cust"/>
            <c:noEndCap val="0"/>
            <c:plus>
              <c:numRef>
                <c:f>Sheet1!$K$2:$K$5</c:f>
                <c:numCache>
                  <c:formatCode>General</c:formatCode>
                  <c:ptCount val="4"/>
                  <c:pt idx="0">
                    <c:v>0.05</c:v>
                  </c:pt>
                  <c:pt idx="3">
                    <c:v>3.0000000000000002E-2</c:v>
                  </c:pt>
                </c:numCache>
              </c:numRef>
            </c:plus>
            <c:minus>
              <c:numRef>
                <c:f>Sheet1!$K$2:$K$5</c:f>
                <c:numCache>
                  <c:formatCode>General</c:formatCode>
                  <c:ptCount val="4"/>
                  <c:pt idx="0">
                    <c:v>0.05</c:v>
                  </c:pt>
                  <c:pt idx="3">
                    <c:v>3.0000000000000002E-2</c:v>
                  </c:pt>
                </c:numCache>
              </c:numRef>
            </c:minus>
            <c:spPr>
              <a:ln w="15875">
                <a:solidFill>
                  <a:srgbClr val="FF0000"/>
                </a:solidFill>
              </a:ln>
            </c:spPr>
          </c:errBars>
          <c:cat>
            <c:strRef>
              <c:f>Sheet1!$A$2:$A$5</c:f>
              <c:strCache>
                <c:ptCount val="3"/>
                <c:pt idx="1">
                  <c:v>Prone</c:v>
                </c:pt>
                <c:pt idx="2">
                  <c:v>Supine</c:v>
                </c:pt>
              </c:strCache>
            </c:strRef>
          </c:cat>
          <c:val>
            <c:numRef>
              <c:f>Sheet1!$I$2:$I$5</c:f>
              <c:numCache>
                <c:formatCode>General</c:formatCode>
                <c:ptCount val="4"/>
                <c:pt idx="0">
                  <c:v>0.9</c:v>
                </c:pt>
                <c:pt idx="3">
                  <c:v>0.97000000000000064</c:v>
                </c:pt>
              </c:numCache>
            </c:numRef>
          </c:val>
          <c:smooth val="0"/>
          <c:extLst>
            <c:ext xmlns:c16="http://schemas.microsoft.com/office/drawing/2014/chart" uri="{C3380CC4-5D6E-409C-BE32-E72D297353CC}">
              <c16:uniqueId val="{00000008-6DEB-4C18-90CC-850B852B02D0}"/>
            </c:ext>
          </c:extLst>
        </c:ser>
        <c:dLbls>
          <c:showLegendKey val="0"/>
          <c:showVal val="0"/>
          <c:showCatName val="0"/>
          <c:showSerName val="0"/>
          <c:showPercent val="0"/>
          <c:showBubbleSize val="0"/>
        </c:dLbls>
        <c:marker val="1"/>
        <c:smooth val="0"/>
        <c:axId val="220544000"/>
        <c:axId val="220558080"/>
      </c:lineChart>
      <c:catAx>
        <c:axId val="220544000"/>
        <c:scaling>
          <c:orientation val="minMax"/>
        </c:scaling>
        <c:delete val="0"/>
        <c:axPos val="b"/>
        <c:numFmt formatCode="General" sourceLinked="0"/>
        <c:majorTickMark val="out"/>
        <c:minorTickMark val="none"/>
        <c:tickLblPos val="nextTo"/>
        <c:crossAx val="220558080"/>
        <c:crosses val="autoZero"/>
        <c:auto val="1"/>
        <c:lblAlgn val="ctr"/>
        <c:lblOffset val="100"/>
        <c:noMultiLvlLbl val="0"/>
      </c:catAx>
      <c:valAx>
        <c:axId val="220558080"/>
        <c:scaling>
          <c:orientation val="minMax"/>
          <c:min val="0.70000000000000062"/>
        </c:scaling>
        <c:delete val="0"/>
        <c:axPos val="l"/>
        <c:numFmt formatCode="General" sourceLinked="1"/>
        <c:majorTickMark val="out"/>
        <c:minorTickMark val="none"/>
        <c:tickLblPos val="nextTo"/>
        <c:crossAx val="220544000"/>
        <c:crosses val="autoZero"/>
        <c:crossBetween val="between"/>
      </c:valAx>
    </c:plotArea>
    <c:plotVisOnly val="1"/>
    <c:dispBlanksAs val="gap"/>
    <c:showDLblsOverMax val="0"/>
  </c:chart>
  <c:spPr>
    <a:ln>
      <a:no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0.13783</cdr:x>
      <cdr:y>0.67457</cdr:y>
    </cdr:from>
    <cdr:to>
      <cdr:x>0.43109</cdr:x>
      <cdr:y>0.69866</cdr:y>
    </cdr:to>
    <cdr:sp macro="" textlink="">
      <cdr:nvSpPr>
        <cdr:cNvPr id="3" name="Straight Connector 2"/>
        <cdr:cNvSpPr/>
      </cdr:nvSpPr>
      <cdr:spPr>
        <a:xfrm xmlns:a="http://schemas.openxmlformats.org/drawingml/2006/main">
          <a:off x="819179" y="3467087"/>
          <a:ext cx="1743020" cy="123815"/>
        </a:xfrm>
        <a:prstGeom xmlns:a="http://schemas.openxmlformats.org/drawingml/2006/main" prst="line">
          <a:avLst/>
        </a:prstGeom>
        <a:ln xmlns:a="http://schemas.openxmlformats.org/drawingml/2006/main" w="31750">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en-US"/>
        </a:p>
      </cdr:txBody>
    </cdr:sp>
  </cdr:relSizeAnchor>
  <cdr:relSizeAnchor xmlns:cdr="http://schemas.openxmlformats.org/drawingml/2006/chartDrawing">
    <cdr:from>
      <cdr:x>0.6234</cdr:x>
      <cdr:y>0.52075</cdr:y>
    </cdr:from>
    <cdr:to>
      <cdr:x>0.91667</cdr:x>
      <cdr:y>0.53558</cdr:y>
    </cdr:to>
    <cdr:sp macro="" textlink="">
      <cdr:nvSpPr>
        <cdr:cNvPr id="5" name="Straight Connector 4"/>
        <cdr:cNvSpPr/>
      </cdr:nvSpPr>
      <cdr:spPr>
        <a:xfrm xmlns:a="http://schemas.openxmlformats.org/drawingml/2006/main">
          <a:off x="3705213" y="2676517"/>
          <a:ext cx="1743079" cy="76221"/>
        </a:xfrm>
        <a:prstGeom xmlns:a="http://schemas.openxmlformats.org/drawingml/2006/main" prst="line">
          <a:avLst/>
        </a:prstGeom>
        <a:ln xmlns:a="http://schemas.openxmlformats.org/drawingml/2006/main" w="31750">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0.10002</cdr:x>
      <cdr:y>0.36733</cdr:y>
    </cdr:from>
    <cdr:to>
      <cdr:x>0.20552</cdr:x>
      <cdr:y>0.41347</cdr:y>
    </cdr:to>
    <cdr:sp macro="" textlink="">
      <cdr:nvSpPr>
        <cdr:cNvPr id="2" name="TextBox 1"/>
        <cdr:cNvSpPr txBox="1"/>
      </cdr:nvSpPr>
      <cdr:spPr>
        <a:xfrm xmlns:a="http://schemas.openxmlformats.org/drawingml/2006/main">
          <a:off x="695307" y="1971687"/>
          <a:ext cx="733411" cy="24766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100" b="1">
              <a:latin typeface="Times New Roman" pitchFamily="18" charset="0"/>
              <a:cs typeface="Times New Roman" pitchFamily="18" charset="0"/>
            </a:rPr>
            <a:t>p= 0.71</a:t>
          </a:r>
        </a:p>
      </cdr:txBody>
    </cdr:sp>
  </cdr:relSizeAnchor>
  <cdr:relSizeAnchor xmlns:cdr="http://schemas.openxmlformats.org/drawingml/2006/chartDrawing">
    <cdr:from>
      <cdr:x>0.23978</cdr:x>
      <cdr:y>0.06388</cdr:y>
    </cdr:from>
    <cdr:to>
      <cdr:x>0.34528</cdr:x>
      <cdr:y>0.11002</cdr:y>
    </cdr:to>
    <cdr:sp macro="" textlink="">
      <cdr:nvSpPr>
        <cdr:cNvPr id="3" name="TextBox 1"/>
        <cdr:cNvSpPr txBox="1"/>
      </cdr:nvSpPr>
      <cdr:spPr>
        <a:xfrm xmlns:a="http://schemas.openxmlformats.org/drawingml/2006/main">
          <a:off x="1666887" y="342882"/>
          <a:ext cx="733411" cy="2476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100" b="1">
              <a:latin typeface="Times New Roman" pitchFamily="18" charset="0"/>
              <a:cs typeface="Times New Roman" pitchFamily="18" charset="0"/>
            </a:rPr>
            <a:t>p= 0.96</a:t>
          </a:r>
        </a:p>
      </cdr:txBody>
    </cdr:sp>
  </cdr:relSizeAnchor>
  <cdr:relSizeAnchor xmlns:cdr="http://schemas.openxmlformats.org/drawingml/2006/chartDrawing">
    <cdr:from>
      <cdr:x>0.40009</cdr:x>
      <cdr:y>0.28393</cdr:y>
    </cdr:from>
    <cdr:to>
      <cdr:x>0.50559</cdr:x>
      <cdr:y>0.33007</cdr:y>
    </cdr:to>
    <cdr:sp macro="" textlink="">
      <cdr:nvSpPr>
        <cdr:cNvPr id="4" name="TextBox 1"/>
        <cdr:cNvSpPr txBox="1"/>
      </cdr:nvSpPr>
      <cdr:spPr>
        <a:xfrm xmlns:a="http://schemas.openxmlformats.org/drawingml/2006/main">
          <a:off x="2781327" y="1524012"/>
          <a:ext cx="733411" cy="2476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100" b="1">
              <a:latin typeface="Times New Roman" pitchFamily="18" charset="0"/>
              <a:cs typeface="Times New Roman" pitchFamily="18" charset="0"/>
            </a:rPr>
            <a:t>p= 0.15</a:t>
          </a:r>
        </a:p>
      </cdr:txBody>
    </cdr:sp>
  </cdr:relSizeAnchor>
  <cdr:relSizeAnchor xmlns:cdr="http://schemas.openxmlformats.org/drawingml/2006/chartDrawing">
    <cdr:from>
      <cdr:x>0.56587</cdr:x>
      <cdr:y>0.07098</cdr:y>
    </cdr:from>
    <cdr:to>
      <cdr:x>0.67138</cdr:x>
      <cdr:y>0.11712</cdr:y>
    </cdr:to>
    <cdr:sp macro="" textlink="">
      <cdr:nvSpPr>
        <cdr:cNvPr id="5" name="TextBox 1"/>
        <cdr:cNvSpPr txBox="1"/>
      </cdr:nvSpPr>
      <cdr:spPr>
        <a:xfrm xmlns:a="http://schemas.openxmlformats.org/drawingml/2006/main">
          <a:off x="3933795" y="380977"/>
          <a:ext cx="733481" cy="2476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100" b="1">
              <a:latin typeface="Times New Roman" pitchFamily="18" charset="0"/>
              <a:cs typeface="Times New Roman" pitchFamily="18" charset="0"/>
            </a:rPr>
            <a:t>p= 0.64</a:t>
          </a:r>
        </a:p>
      </cdr:txBody>
    </cdr:sp>
  </cdr:relSizeAnchor>
  <cdr:relSizeAnchor xmlns:cdr="http://schemas.openxmlformats.org/drawingml/2006/chartDrawing">
    <cdr:from>
      <cdr:x>0.70426</cdr:x>
      <cdr:y>0.47735</cdr:y>
    </cdr:from>
    <cdr:to>
      <cdr:x>0.80976</cdr:x>
      <cdr:y>0.52349</cdr:y>
    </cdr:to>
    <cdr:sp macro="" textlink="">
      <cdr:nvSpPr>
        <cdr:cNvPr id="6" name="TextBox 1"/>
        <cdr:cNvSpPr txBox="1"/>
      </cdr:nvSpPr>
      <cdr:spPr>
        <a:xfrm xmlns:a="http://schemas.openxmlformats.org/drawingml/2006/main">
          <a:off x="4895841" y="2562226"/>
          <a:ext cx="733411" cy="2476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100" b="1" i="0">
              <a:latin typeface="Times New Roman" pitchFamily="18" charset="0"/>
              <a:cs typeface="Times New Roman" pitchFamily="18" charset="0"/>
            </a:rPr>
            <a:t>p= 0.58</a:t>
          </a:r>
        </a:p>
      </cdr:txBody>
    </cdr:sp>
  </cdr:relSizeAnchor>
  <cdr:relSizeAnchor xmlns:cdr="http://schemas.openxmlformats.org/drawingml/2006/chartDrawing">
    <cdr:from>
      <cdr:x>0.86183</cdr:x>
      <cdr:y>0.32119</cdr:y>
    </cdr:from>
    <cdr:to>
      <cdr:x>0.96733</cdr:x>
      <cdr:y>0.36733</cdr:y>
    </cdr:to>
    <cdr:sp macro="" textlink="">
      <cdr:nvSpPr>
        <cdr:cNvPr id="7" name="TextBox 1"/>
        <cdr:cNvSpPr txBox="1"/>
      </cdr:nvSpPr>
      <cdr:spPr>
        <a:xfrm xmlns:a="http://schemas.openxmlformats.org/drawingml/2006/main">
          <a:off x="5991234" y="1724021"/>
          <a:ext cx="733411" cy="2476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050" b="1">
              <a:latin typeface="Times New Roman" pitchFamily="18" charset="0"/>
              <a:cs typeface="Times New Roman" pitchFamily="18" charset="0"/>
            </a:rPr>
            <a:t>p= 0.84</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DC940401B443446950E83787B62815D" ma:contentTypeVersion="14" ma:contentTypeDescription="Create a new document." ma:contentTypeScope="" ma:versionID="c6785d64ef88f2a6a84a205078917a56">
  <xsd:schema xmlns:xsd="http://www.w3.org/2001/XMLSchema" xmlns:xs="http://www.w3.org/2001/XMLSchema" xmlns:p="http://schemas.microsoft.com/office/2006/metadata/properties" xmlns:ns3="6b494f05-939f-47b7-827f-de1e15f7b078" xmlns:ns4="dd5d29e2-e009-49d8-a581-e6c7b528f0f3" targetNamespace="http://schemas.microsoft.com/office/2006/metadata/properties" ma:root="true" ma:fieldsID="c3fb449d8a75426a67ca1425695166de" ns3:_="" ns4:_="">
    <xsd:import namespace="6b494f05-939f-47b7-827f-de1e15f7b078"/>
    <xsd:import namespace="dd5d29e2-e009-49d8-a581-e6c7b528f0f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494f05-939f-47b7-827f-de1e15f7b0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d5d29e2-e009-49d8-a581-e6c7b528f0f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3A32EF-3175-490E-8114-64BE6F676A07}">
  <ds:schemaRefs>
    <ds:schemaRef ds:uri="http://schemas.openxmlformats.org/officeDocument/2006/bibliography"/>
  </ds:schemaRefs>
</ds:datastoreItem>
</file>

<file path=customXml/itemProps2.xml><?xml version="1.0" encoding="utf-8"?>
<ds:datastoreItem xmlns:ds="http://schemas.openxmlformats.org/officeDocument/2006/customXml" ds:itemID="{E27EB121-A41C-4D23-910B-ECB3B1814643}">
  <ds:schemaRefs>
    <ds:schemaRef ds:uri="http://purl.org/dc/terms/"/>
    <ds:schemaRef ds:uri="6b494f05-939f-47b7-827f-de1e15f7b078"/>
    <ds:schemaRef ds:uri="http://schemas.microsoft.com/office/2006/metadata/properties"/>
    <ds:schemaRef ds:uri="dd5d29e2-e009-49d8-a581-e6c7b528f0f3"/>
    <ds:schemaRef ds:uri="http://schemas.microsoft.com/office/2006/documentManagement/types"/>
    <ds:schemaRef ds:uri="http://www.w3.org/XML/1998/namespace"/>
    <ds:schemaRef ds:uri="http://schemas.openxmlformats.org/package/2006/metadata/core-properties"/>
    <ds:schemaRef ds:uri="http://schemas.microsoft.com/office/infopath/2007/PartnerControls"/>
    <ds:schemaRef ds:uri="http://purl.org/dc/dcmitype/"/>
    <ds:schemaRef ds:uri="http://purl.org/dc/elements/1.1/"/>
  </ds:schemaRefs>
</ds:datastoreItem>
</file>

<file path=customXml/itemProps3.xml><?xml version="1.0" encoding="utf-8"?>
<ds:datastoreItem xmlns:ds="http://schemas.openxmlformats.org/officeDocument/2006/customXml" ds:itemID="{4F429FB6-987E-428C-936B-25939221E8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494f05-939f-47b7-827f-de1e15f7b078"/>
    <ds:schemaRef ds:uri="dd5d29e2-e009-49d8-a581-e6c7b528f0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2670D6-9D2D-45AF-A487-D4DA9F8B1F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132</Pages>
  <Words>189453</Words>
  <Characters>1079885</Characters>
  <Application>Microsoft Office Word</Application>
  <DocSecurity>0</DocSecurity>
  <Lines>8999</Lines>
  <Paragraphs>2533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1266805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Firas Al-Janabi</dc:creator>
  <cp:lastModifiedBy>Blanshard, Lisa</cp:lastModifiedBy>
  <cp:revision>2</cp:revision>
  <dcterms:created xsi:type="dcterms:W3CDTF">2021-09-30T12:04:00Z</dcterms:created>
  <dcterms:modified xsi:type="dcterms:W3CDTF">2021-09-30T12:04:00Z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zotero-version="5.0.88"&gt;&lt;session id="Vqvua3Kd"/&gt;&lt;style id="http://www.zotero.org/styles/harvard-anglia-ruskin-university" hasBibliography="1" bibliographyStyleHasBeenSet="1"/&gt;&lt;prefs&gt;&lt;pref name="fieldType" value="Field"/&gt;&lt;pref name="</vt:lpwstr>
  </property>
  <property fmtid="{D5CDD505-2E9C-101B-9397-08002B2CF9AE}" pid="3" name="ZOTERO_PREF_2">
    <vt:lpwstr>automaticJournalAbbreviations" value="true"/&gt;&lt;/prefs&gt;&lt;/data&gt;</vt:lpwstr>
  </property>
  <property fmtid="{D5CDD505-2E9C-101B-9397-08002B2CF9AE}" pid="4" name="ContentTypeId">
    <vt:lpwstr>0x0101002DC940401B443446950E83787B62815D</vt:lpwstr>
  </property>
</Properties>
</file>