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B2051" w14:textId="77777777" w:rsidR="00E02F9F" w:rsidRPr="00B917E5" w:rsidRDefault="00FD6872" w:rsidP="00B917E5">
      <w:pPr>
        <w:pStyle w:val="Title"/>
      </w:pPr>
      <w:r w:rsidRPr="00B917E5">
        <w:t>Social environmental impact of Covid-19 and erectile dysfunction: an explorative review</w:t>
      </w:r>
    </w:p>
    <w:p w14:paraId="68F3B457"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center"/>
        <w:rPr>
          <w:b/>
          <w:bCs/>
        </w:rPr>
      </w:pPr>
    </w:p>
    <w:p w14:paraId="685A638A"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center"/>
        <w:rPr>
          <w:b/>
          <w:bCs/>
        </w:rPr>
      </w:pPr>
      <w:r>
        <w:rPr>
          <w:b/>
          <w:bCs/>
        </w:rPr>
        <w:t>Short title: Covid-19 and erectile dysfunction</w:t>
      </w:r>
    </w:p>
    <w:p w14:paraId="6EA9A196"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center"/>
        <w:rPr>
          <w:b/>
          <w:bCs/>
        </w:rPr>
      </w:pPr>
    </w:p>
    <w:p w14:paraId="7CA8EC60"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center"/>
      </w:pPr>
    </w:p>
    <w:p w14:paraId="77812CDC" w14:textId="77777777" w:rsidR="00E02F9F" w:rsidRDefault="00FD68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360" w:lineRule="auto"/>
      </w:pPr>
      <w:r>
        <w:t>Damiano Pizzol</w:t>
      </w:r>
      <w:r>
        <w:rPr>
          <w:vertAlign w:val="superscript"/>
        </w:rPr>
        <w:t>1</w:t>
      </w:r>
      <w:r>
        <w:t>, Jae Il Shin</w:t>
      </w:r>
      <w:r>
        <w:rPr>
          <w:vertAlign w:val="superscript"/>
        </w:rPr>
        <w:t>2</w:t>
      </w:r>
      <w:r>
        <w:t>, Mike Trott</w:t>
      </w:r>
      <w:r>
        <w:rPr>
          <w:vertAlign w:val="superscript"/>
        </w:rPr>
        <w:t>3</w:t>
      </w:r>
      <w:r>
        <w:t>, Petre-Cristian Ilie</w:t>
      </w:r>
      <w:r>
        <w:rPr>
          <w:vertAlign w:val="superscript"/>
        </w:rPr>
        <w:t>4</w:t>
      </w:r>
      <w:r>
        <w:t>, Simona Ippoliti</w:t>
      </w:r>
      <w:r>
        <w:rPr>
          <w:vertAlign w:val="superscript"/>
        </w:rPr>
        <w:t>4</w:t>
      </w:r>
      <w:r>
        <w:t>, Anne Marie Carrie</w:t>
      </w:r>
      <w:r>
        <w:rPr>
          <w:vertAlign w:val="superscript"/>
        </w:rPr>
        <w:t>4</w:t>
      </w:r>
      <w:r>
        <w:t>, Ramy Abou Ghayda</w:t>
      </w:r>
      <w:r>
        <w:rPr>
          <w:vertAlign w:val="superscript"/>
        </w:rPr>
        <w:t>5</w:t>
      </w:r>
      <w:r>
        <w:t>, Jose Maria Oliva Lozano</w:t>
      </w:r>
      <w:r>
        <w:rPr>
          <w:vertAlign w:val="superscript"/>
        </w:rPr>
        <w:t>6</w:t>
      </w:r>
      <w:r>
        <w:t>, Jose M. Muyor</w:t>
      </w:r>
      <w:r>
        <w:rPr>
          <w:vertAlign w:val="superscript"/>
        </w:rPr>
        <w:t>6</w:t>
      </w:r>
      <w:r>
        <w:t>, Laurie Butler</w:t>
      </w:r>
      <w:r>
        <w:rPr>
          <w:vertAlign w:val="superscript"/>
        </w:rPr>
        <w:t>7</w:t>
      </w:r>
      <w:r>
        <w:t>, Daragh T. McDermott</w:t>
      </w:r>
      <w:r>
        <w:rPr>
          <w:vertAlign w:val="superscript"/>
        </w:rPr>
        <w:t>8</w:t>
      </w:r>
      <w:r>
        <w:t>, Yvonne Barnett</w:t>
      </w:r>
      <w:r>
        <w:rPr>
          <w:vertAlign w:val="superscript"/>
        </w:rPr>
        <w:t>7</w:t>
      </w:r>
      <w:r>
        <w:t>, Lovro Markovic</w:t>
      </w:r>
      <w:r>
        <w:rPr>
          <w:vertAlign w:val="superscript"/>
        </w:rPr>
        <w:t>9</w:t>
      </w:r>
      <w:r>
        <w:t>, Igor Grabovac</w:t>
      </w:r>
      <w:r>
        <w:rPr>
          <w:vertAlign w:val="superscript"/>
        </w:rPr>
        <w:t>10</w:t>
      </w:r>
      <w:r>
        <w:t>, Ai Koyanagi</w:t>
      </w:r>
      <w:r>
        <w:rPr>
          <w:vertAlign w:val="superscript"/>
        </w:rPr>
        <w:t>11</w:t>
      </w:r>
      <w:r>
        <w:t>, Pinar Soysal</w:t>
      </w:r>
      <w:proofErr w:type="gramStart"/>
      <w:r>
        <w:rPr>
          <w:vertAlign w:val="superscript"/>
        </w:rPr>
        <w:t>12</w:t>
      </w:r>
      <w:r>
        <w:t>,  Mark</w:t>
      </w:r>
      <w:proofErr w:type="gramEnd"/>
      <w:r>
        <w:t xml:space="preserve"> A Tully</w:t>
      </w:r>
      <w:r>
        <w:rPr>
          <w:vertAlign w:val="superscript"/>
        </w:rPr>
        <w:t>13</w:t>
      </w:r>
      <w:r>
        <w:t>, Nicola Veronese</w:t>
      </w:r>
      <w:r>
        <w:rPr>
          <w:vertAlign w:val="superscript"/>
        </w:rPr>
        <w:t>14</w:t>
      </w:r>
      <w:r>
        <w:t>, Lee Smith</w:t>
      </w:r>
      <w:r>
        <w:rPr>
          <w:vertAlign w:val="superscript"/>
        </w:rPr>
        <w:t>15</w:t>
      </w:r>
    </w:p>
    <w:p w14:paraId="31A2FC38" w14:textId="77777777" w:rsidR="00E02F9F" w:rsidRDefault="00FD6872">
      <w:pPr>
        <w:pStyle w:val="CorpoA"/>
        <w:numPr>
          <w:ilvl w:val="0"/>
          <w:numId w:val="2"/>
        </w:numPr>
        <w:spacing w:line="360" w:lineRule="auto"/>
      </w:pPr>
      <w:r>
        <w:t xml:space="preserve">Italian Agency for Development Cooperation, 33 Street, </w:t>
      </w:r>
      <w:proofErr w:type="spellStart"/>
      <w:r>
        <w:t>Amarat</w:t>
      </w:r>
      <w:proofErr w:type="spellEnd"/>
      <w:r>
        <w:t>, Khartoum, Sudan</w:t>
      </w:r>
    </w:p>
    <w:p w14:paraId="54B2B367" w14:textId="77777777" w:rsidR="00E02F9F" w:rsidRDefault="00FD6872">
      <w:pPr>
        <w:pStyle w:val="CorpoA"/>
        <w:numPr>
          <w:ilvl w:val="0"/>
          <w:numId w:val="2"/>
        </w:numPr>
        <w:spacing w:line="360" w:lineRule="auto"/>
      </w:pPr>
      <w:r>
        <w:t>Department of Pediatrics, Yonsei University College of Medicine, Seoul, Korea.</w:t>
      </w:r>
    </w:p>
    <w:p w14:paraId="6699660F" w14:textId="77777777" w:rsidR="00E02F9F" w:rsidRDefault="00FD6872">
      <w:pPr>
        <w:pStyle w:val="CorpoA"/>
        <w:numPr>
          <w:ilvl w:val="0"/>
          <w:numId w:val="2"/>
        </w:numPr>
        <w:spacing w:line="360" w:lineRule="auto"/>
      </w:pPr>
      <w:r>
        <w:t xml:space="preserve">Vision and Eye Research Institute, Anglia Ruskin University, Cambridge, UK </w:t>
      </w:r>
    </w:p>
    <w:p w14:paraId="25ED4004" w14:textId="77777777" w:rsidR="00E02F9F" w:rsidRDefault="00FD6872">
      <w:pPr>
        <w:pStyle w:val="CorpoA"/>
        <w:numPr>
          <w:ilvl w:val="0"/>
          <w:numId w:val="2"/>
        </w:numPr>
        <w:spacing w:line="360" w:lineRule="auto"/>
      </w:pPr>
      <w:r>
        <w:t>Urology Department, The Queen Elizabeth Hospital King’s Lynn, UK</w:t>
      </w:r>
    </w:p>
    <w:p w14:paraId="19BDA8E1" w14:textId="77777777" w:rsidR="00E02F9F" w:rsidRDefault="00FD6872">
      <w:pPr>
        <w:pStyle w:val="CorpoA"/>
        <w:numPr>
          <w:ilvl w:val="0"/>
          <w:numId w:val="2"/>
        </w:numPr>
        <w:spacing w:line="360" w:lineRule="auto"/>
      </w:pPr>
      <w:r>
        <w:t>Urology Institute, University Hospitals, Case Western Reserve University, Cleveland, Ohio, USA</w:t>
      </w:r>
    </w:p>
    <w:p w14:paraId="1C0487E6" w14:textId="77777777" w:rsidR="00E02F9F" w:rsidRDefault="00FD6872">
      <w:pPr>
        <w:pStyle w:val="CorpoA"/>
        <w:numPr>
          <w:ilvl w:val="0"/>
          <w:numId w:val="2"/>
        </w:numPr>
        <w:spacing w:line="360" w:lineRule="auto"/>
      </w:pPr>
      <w:r>
        <w:t xml:space="preserve">Health Research Centre, University Almeria, Almeria, Spain. </w:t>
      </w:r>
    </w:p>
    <w:p w14:paraId="74DE32F5" w14:textId="77777777" w:rsidR="00E02F9F" w:rsidRDefault="00FD6872">
      <w:pPr>
        <w:pStyle w:val="CorpoA"/>
        <w:numPr>
          <w:ilvl w:val="0"/>
          <w:numId w:val="2"/>
        </w:numPr>
        <w:spacing w:line="360" w:lineRule="auto"/>
      </w:pPr>
      <w:r>
        <w:t>Faculty of Science and Engineering, Anglia Ruskin University, Cambridge, UK</w:t>
      </w:r>
    </w:p>
    <w:p w14:paraId="0B55C7E2" w14:textId="77777777" w:rsidR="00E02F9F" w:rsidRDefault="00FD6872">
      <w:pPr>
        <w:pStyle w:val="CorpoA"/>
        <w:numPr>
          <w:ilvl w:val="0"/>
          <w:numId w:val="2"/>
        </w:numPr>
        <w:spacing w:line="360" w:lineRule="auto"/>
      </w:pPr>
      <w:r>
        <w:t>NTU Psychology, School of Social Science, Nottingham Trent University, UK</w:t>
      </w:r>
    </w:p>
    <w:p w14:paraId="74E1EBB6" w14:textId="77777777" w:rsidR="00E02F9F" w:rsidRDefault="00FD6872">
      <w:pPr>
        <w:pStyle w:val="CorpoA"/>
        <w:numPr>
          <w:ilvl w:val="0"/>
          <w:numId w:val="2"/>
        </w:numPr>
        <w:spacing w:line="360" w:lineRule="auto"/>
      </w:pPr>
      <w:r>
        <w:t xml:space="preserve">Department of Physical Medicine, Rehabilitation and Occupational Medicine, Vienna General Hospital, Medical University of Vienna, </w:t>
      </w:r>
      <w:proofErr w:type="spellStart"/>
      <w:r>
        <w:t>Währinger</w:t>
      </w:r>
      <w:proofErr w:type="spellEnd"/>
      <w:r>
        <w:t xml:space="preserve"> </w:t>
      </w:r>
      <w:proofErr w:type="spellStart"/>
      <w:r>
        <w:t>Gürtel</w:t>
      </w:r>
      <w:proofErr w:type="spellEnd"/>
      <w:r>
        <w:t xml:space="preserve"> 18-20, 1090, Vienna, Austria</w:t>
      </w:r>
    </w:p>
    <w:p w14:paraId="1A1C9151" w14:textId="77777777" w:rsidR="00E02F9F" w:rsidRDefault="00FD6872">
      <w:pPr>
        <w:pStyle w:val="CorpoA"/>
        <w:numPr>
          <w:ilvl w:val="0"/>
          <w:numId w:val="2"/>
        </w:numPr>
        <w:spacing w:line="360" w:lineRule="auto"/>
      </w:pPr>
      <w:r>
        <w:t xml:space="preserve">Department of Social and Preventive Medicine, Centre for Public Health, Medical University of Vienna, </w:t>
      </w:r>
      <w:proofErr w:type="spellStart"/>
      <w:r>
        <w:t>Kinderspitalgasse</w:t>
      </w:r>
      <w:proofErr w:type="spellEnd"/>
      <w:r>
        <w:t xml:space="preserve"> 15, 1090 Vienna, Austria</w:t>
      </w:r>
    </w:p>
    <w:p w14:paraId="54FF8EFD" w14:textId="77777777" w:rsidR="00E02F9F" w:rsidRDefault="00FD6872">
      <w:pPr>
        <w:pStyle w:val="CorpoA"/>
        <w:numPr>
          <w:ilvl w:val="0"/>
          <w:numId w:val="2"/>
        </w:numPr>
        <w:spacing w:line="360" w:lineRule="auto"/>
      </w:pPr>
      <w:r>
        <w:t xml:space="preserve">Research and Development Unit, Parc </w:t>
      </w:r>
      <w:proofErr w:type="spellStart"/>
      <w:r>
        <w:t>Sanitari</w:t>
      </w:r>
      <w:proofErr w:type="spellEnd"/>
      <w:r>
        <w:t xml:space="preserve"> Sant Joan de </w:t>
      </w:r>
      <w:proofErr w:type="spellStart"/>
      <w:r>
        <w:t>Déu</w:t>
      </w:r>
      <w:proofErr w:type="spellEnd"/>
      <w:r>
        <w:t xml:space="preserve">, CIBERSAM, Barcelona, Spain; ICREA, Pg. </w:t>
      </w:r>
      <w:proofErr w:type="spellStart"/>
      <w:r>
        <w:t>Lluis</w:t>
      </w:r>
      <w:proofErr w:type="spellEnd"/>
      <w:r>
        <w:t xml:space="preserve"> </w:t>
      </w:r>
      <w:proofErr w:type="spellStart"/>
      <w:r>
        <w:t>Companys</w:t>
      </w:r>
      <w:proofErr w:type="spellEnd"/>
      <w:r>
        <w:t xml:space="preserve"> 23, Barcelona, Spain</w:t>
      </w:r>
    </w:p>
    <w:p w14:paraId="6B1D7373" w14:textId="77777777" w:rsidR="00E02F9F" w:rsidRDefault="00FD6872">
      <w:pPr>
        <w:pStyle w:val="CorpoA"/>
        <w:numPr>
          <w:ilvl w:val="0"/>
          <w:numId w:val="2"/>
        </w:numPr>
        <w:spacing w:line="360" w:lineRule="auto"/>
      </w:pPr>
      <w:r>
        <w:t xml:space="preserve">Faculty of Medicine, Department of Geriatric Medicine, </w:t>
      </w:r>
      <w:proofErr w:type="spellStart"/>
      <w:r>
        <w:t>Bezmialem</w:t>
      </w:r>
      <w:proofErr w:type="spellEnd"/>
      <w:r>
        <w:t xml:space="preserve"> </w:t>
      </w:r>
      <w:proofErr w:type="spellStart"/>
      <w:r>
        <w:t>Vakif</w:t>
      </w:r>
      <w:proofErr w:type="spellEnd"/>
      <w:r>
        <w:t xml:space="preserve"> University, Istanbul, Turkey.</w:t>
      </w:r>
    </w:p>
    <w:p w14:paraId="63E2E010" w14:textId="77777777" w:rsidR="00E02F9F" w:rsidRDefault="00FD6872">
      <w:pPr>
        <w:pStyle w:val="CorpoA"/>
        <w:numPr>
          <w:ilvl w:val="0"/>
          <w:numId w:val="2"/>
        </w:numPr>
        <w:spacing w:line="360" w:lineRule="auto"/>
      </w:pPr>
      <w:r>
        <w:t>School of Health Sciences, Institute of Nursing and Health Research, Jordans Town, Northern Ireland.</w:t>
      </w:r>
    </w:p>
    <w:p w14:paraId="11BAA533" w14:textId="77777777" w:rsidR="00E02F9F" w:rsidRDefault="00FD6872">
      <w:pPr>
        <w:pStyle w:val="CorpoA"/>
        <w:numPr>
          <w:ilvl w:val="0"/>
          <w:numId w:val="2"/>
        </w:numPr>
        <w:spacing w:line="360" w:lineRule="auto"/>
      </w:pPr>
      <w:r>
        <w:t xml:space="preserve"> Department of Internal Medicine, University of Palermo, Geriatrics Section, Palermo, Italy.</w:t>
      </w:r>
    </w:p>
    <w:p w14:paraId="406051C5" w14:textId="77777777" w:rsidR="00E02F9F" w:rsidRDefault="00FD6872">
      <w:pPr>
        <w:pStyle w:val="CorpoA"/>
        <w:numPr>
          <w:ilvl w:val="0"/>
          <w:numId w:val="2"/>
        </w:numPr>
        <w:spacing w:line="360" w:lineRule="auto"/>
      </w:pPr>
      <w:r>
        <w:t xml:space="preserve">The Cambridge Centre for Sport and Exercise Sciences, Anglia Ruskin University, Cambridge, UK. </w:t>
      </w:r>
    </w:p>
    <w:p w14:paraId="4A2DCDE7" w14:textId="77777777" w:rsidR="00E02F9F" w:rsidRDefault="00E02F9F">
      <w:pPr>
        <w:pStyle w:val="CorpoA"/>
        <w:tabs>
          <w:tab w:val="left" w:pos="5448"/>
          <w:tab w:val="left" w:pos="5664"/>
          <w:tab w:val="left" w:pos="6372"/>
          <w:tab w:val="left" w:pos="7080"/>
          <w:tab w:val="left" w:pos="7788"/>
          <w:tab w:val="left" w:pos="8496"/>
          <w:tab w:val="left" w:pos="8520"/>
        </w:tabs>
        <w:spacing w:line="480" w:lineRule="auto"/>
      </w:pPr>
    </w:p>
    <w:p w14:paraId="2C71BDB0" w14:textId="77777777" w:rsidR="00E02F9F" w:rsidRDefault="00FD68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pPr>
      <w:r>
        <w:rPr>
          <w:b/>
          <w:bCs/>
        </w:rPr>
        <w:lastRenderedPageBreak/>
        <w:t>Corresponding Author:</w:t>
      </w:r>
    </w:p>
    <w:p w14:paraId="2286DAFC" w14:textId="77777777" w:rsidR="00E02F9F" w:rsidRDefault="00FD68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both"/>
      </w:pPr>
      <w:r>
        <w:t>Damiano Pizzol, MD, PhD</w:t>
      </w:r>
    </w:p>
    <w:p w14:paraId="2A8BCB6B" w14:textId="77777777" w:rsidR="00E02F9F" w:rsidRDefault="00FD6872">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uppressAutoHyphens/>
      </w:pPr>
      <w:r>
        <w:rPr>
          <w:kern w:val="3"/>
          <w:u w:color="00000A"/>
        </w:rPr>
        <w:t xml:space="preserve">Italian </w:t>
      </w:r>
      <w:r>
        <w:rPr>
          <w:kern w:val="3"/>
        </w:rPr>
        <w:t>Agency for Development Cooperation</w:t>
      </w:r>
    </w:p>
    <w:p w14:paraId="5007817E" w14:textId="77777777" w:rsidR="00E02F9F" w:rsidRDefault="00FD6872">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s>
        <w:suppressAutoHyphens/>
      </w:pPr>
      <w:r>
        <w:rPr>
          <w:kern w:val="3"/>
        </w:rPr>
        <w:t xml:space="preserve">33 Street, </w:t>
      </w:r>
      <w:proofErr w:type="spellStart"/>
      <w:r>
        <w:rPr>
          <w:kern w:val="3"/>
        </w:rPr>
        <w:t>Amarat</w:t>
      </w:r>
      <w:proofErr w:type="spellEnd"/>
      <w:r>
        <w:rPr>
          <w:kern w:val="3"/>
        </w:rPr>
        <w:t>, Khartoum, Sudan</w:t>
      </w:r>
    </w:p>
    <w:p w14:paraId="4AFF8C66" w14:textId="77777777" w:rsidR="00E02F9F" w:rsidRDefault="00FD68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both"/>
      </w:pPr>
      <w:r>
        <w:t>Mobile (+39) 3668731237</w:t>
      </w:r>
    </w:p>
    <w:p w14:paraId="48BA05C9" w14:textId="77777777" w:rsidR="00E02F9F" w:rsidRDefault="00FD68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both"/>
      </w:pPr>
      <w:r>
        <w:rPr>
          <w:lang w:val="it-IT"/>
        </w:rPr>
        <w:t>e-mail: damianopizzol8@gmail.com</w:t>
      </w:r>
      <w:r>
        <w:rPr>
          <w:rFonts w:ascii="Arial Unicode MS" w:hAnsi="Arial Unicode MS"/>
          <w:lang w:val="it-IT"/>
        </w:rPr>
        <w:br w:type="page"/>
      </w:r>
    </w:p>
    <w:p w14:paraId="0835CD9F" w14:textId="77777777" w:rsidR="00E02F9F" w:rsidRPr="00B917E5" w:rsidRDefault="00FD6872" w:rsidP="00B917E5">
      <w:pPr>
        <w:pStyle w:val="Heading1"/>
      </w:pPr>
      <w:r w:rsidRPr="00B917E5">
        <w:lastRenderedPageBreak/>
        <w:t>ABSTRACT</w:t>
      </w:r>
    </w:p>
    <w:p w14:paraId="131DF0BB" w14:textId="77777777" w:rsidR="00E02F9F" w:rsidRDefault="00FD6872">
      <w:pPr>
        <w:pStyle w:val="Body"/>
        <w:spacing w:line="360" w:lineRule="auto"/>
      </w:pPr>
      <w:r>
        <w:rPr>
          <w:b/>
          <w:bCs/>
        </w:rPr>
        <w:t xml:space="preserve">Background: </w:t>
      </w:r>
      <w:r>
        <w:t>To date, no attempt has been made to collate literature on the relationship between the social environmental impact of COVID-19 and erectile dysfunction. The aim of this explorative review was to assess and compare the prevalence of erectile dysfunction (ED) in male healthcare workers and males during the COVID-19 pandemic.</w:t>
      </w:r>
    </w:p>
    <w:p w14:paraId="7EA8F099" w14:textId="77777777" w:rsidR="00E02F9F" w:rsidRDefault="00FD6872">
      <w:pPr>
        <w:pStyle w:val="Body"/>
        <w:spacing w:line="360" w:lineRule="auto"/>
      </w:pPr>
      <w:r>
        <w:rPr>
          <w:b/>
          <w:bCs/>
        </w:rPr>
        <w:t xml:space="preserve">Methods: </w:t>
      </w:r>
      <w:r>
        <w:t>A systematic review of major databases from inception to February 2021 was conducted. Prevalence data were extracted, and a random effects meta-analysis was undertaken.</w:t>
      </w:r>
    </w:p>
    <w:p w14:paraId="32232667" w14:textId="77777777" w:rsidR="00E02F9F" w:rsidRDefault="00FD6872">
      <w:pPr>
        <w:pStyle w:val="Body"/>
        <w:spacing w:line="360" w:lineRule="auto"/>
      </w:pPr>
      <w:r>
        <w:rPr>
          <w:b/>
          <w:bCs/>
        </w:rPr>
        <w:t xml:space="preserve">Outcomes: </w:t>
      </w:r>
      <w:r>
        <w:t xml:space="preserve">The pooled prevalence of ED amongst healthcare workers working in COVID-19 specific environments, and non-healthcare during the COVID-19 pandemic. </w:t>
      </w:r>
    </w:p>
    <w:p w14:paraId="09850AF9" w14:textId="77777777" w:rsidR="00E02F9F" w:rsidRDefault="00FD6872">
      <w:pPr>
        <w:pStyle w:val="Body"/>
        <w:spacing w:line="360" w:lineRule="auto"/>
        <w:rPr>
          <w:b/>
          <w:bCs/>
        </w:rPr>
      </w:pPr>
      <w:r>
        <w:rPr>
          <w:b/>
          <w:bCs/>
        </w:rPr>
        <w:t xml:space="preserve">Results: </w:t>
      </w:r>
      <w:r>
        <w:t xml:space="preserve">Of 52 initial studies, six were included for the final analysis. The pooled prevalence of ED in healthcare workers working in a COVID-19 environment was 63.6% (95% CI 20.3-92.3%), and in non-healthcare workers during the COVID-19 pandemic was 31.9% (95% CI 19.5-47.6%). </w:t>
      </w:r>
    </w:p>
    <w:p w14:paraId="5002A5DB" w14:textId="77777777" w:rsidR="00E02F9F" w:rsidRDefault="00FD6872">
      <w:pPr>
        <w:pStyle w:val="Body"/>
        <w:spacing w:line="360" w:lineRule="auto"/>
        <w:rPr>
          <w:b/>
          <w:bCs/>
        </w:rPr>
      </w:pPr>
      <w:r>
        <w:rPr>
          <w:b/>
          <w:bCs/>
        </w:rPr>
        <w:t>C</w:t>
      </w:r>
      <w:r>
        <w:rPr>
          <w:b/>
          <w:bCs/>
          <w:lang w:val="it-IT"/>
        </w:rPr>
        <w:t>onclusions</w:t>
      </w:r>
      <w:r>
        <w:rPr>
          <w:b/>
          <w:bCs/>
        </w:rPr>
        <w:t xml:space="preserve">: </w:t>
      </w:r>
      <w:r w:rsidRPr="00F15BE2">
        <w:t>T</w:t>
      </w:r>
      <w:r>
        <w:t>he prevalence of ED in healthcare workers working in COVID-19 environments was higher than representative samples and is of concern. Sexual health (and by extension, overall health), should be a priority when considering ways to care for this population.</w:t>
      </w:r>
      <w:r>
        <w:rPr>
          <w:b/>
          <w:bCs/>
        </w:rPr>
        <w:t xml:space="preserve"> </w:t>
      </w:r>
      <w:r>
        <w:t xml:space="preserve">Considering the social environmental impact of Covid-19 on sexual health and </w:t>
      </w:r>
      <w:proofErr w:type="gramStart"/>
      <w:r>
        <w:t>in particular on</w:t>
      </w:r>
      <w:proofErr w:type="gramEnd"/>
      <w:r>
        <w:t xml:space="preserve"> ED, it is important to provide adequate psychological support systems and to promote quality of life with particular attention to sexual health.</w:t>
      </w:r>
    </w:p>
    <w:p w14:paraId="10A1B3A1" w14:textId="77777777" w:rsidR="00E02F9F" w:rsidRDefault="00E02F9F">
      <w:pPr>
        <w:pStyle w:val="DidefaultA"/>
        <w:spacing w:line="480" w:lineRule="auto"/>
        <w:rPr>
          <w:rFonts w:ascii="Times New Roman" w:eastAsia="Times New Roman" w:hAnsi="Times New Roman" w:cs="Times New Roman"/>
          <w:b/>
          <w:bCs/>
          <w:sz w:val="24"/>
          <w:szCs w:val="24"/>
          <w:u w:color="212121"/>
          <w:shd w:val="clear" w:color="auto" w:fill="FFFFFF"/>
        </w:rPr>
      </w:pPr>
    </w:p>
    <w:p w14:paraId="2674DEA3"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rPr>
          <w:b/>
          <w:bCs/>
        </w:rPr>
        <w:t xml:space="preserve">Key words: </w:t>
      </w:r>
      <w:r>
        <w:t>Erectile Dysfunction, Sexual Health, Covid-19, Prevalence</w:t>
      </w:r>
      <w:r>
        <w:rPr>
          <w:rFonts w:ascii="Arial Unicode MS" w:hAnsi="Arial Unicode MS"/>
        </w:rPr>
        <w:br w:type="page"/>
      </w:r>
    </w:p>
    <w:p w14:paraId="6C8DE110" w14:textId="77777777" w:rsidR="00E02F9F" w:rsidRDefault="00FD6872" w:rsidP="00B917E5">
      <w:pPr>
        <w:pStyle w:val="Heading1"/>
      </w:pPr>
      <w:r>
        <w:lastRenderedPageBreak/>
        <w:t>INTRODUCTION</w:t>
      </w:r>
    </w:p>
    <w:p w14:paraId="1A001874"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 xml:space="preserve">In 2020, the novel severe acute respiratory syndrome coronavirus 2 (SARS-CoV-2) spread worldwide at an unprecedented pace. Restrictions implemented to control and reduce the spread of the virus restricted social interaction and changed lifestyle </w:t>
      </w:r>
      <w:proofErr w:type="spellStart"/>
      <w:r>
        <w:t>behaviours</w:t>
      </w:r>
      <w:proofErr w:type="spellEnd"/>
      <w:r>
        <w:t xml:space="preserve"> and routines </w:t>
      </w:r>
      <w:r>
        <w:rPr>
          <w:lang w:val="it-IT"/>
        </w:rPr>
        <w:t>[1]</w:t>
      </w:r>
      <w:r>
        <w:t xml:space="preserve">. In particular, the socio-economic impact and the measures to reduce viral transmission such as self-isolation, home-working, and reduced ability to </w:t>
      </w:r>
      <w:proofErr w:type="spellStart"/>
      <w:r>
        <w:t>socialise</w:t>
      </w:r>
      <w:proofErr w:type="spellEnd"/>
      <w:r>
        <w:t>, reportedly resulted in increases in loneliness, anxiety, depression and impaired psychological wellbeing [</w:t>
      </w:r>
      <w:r>
        <w:rPr>
          <w:lang w:val="it-IT"/>
        </w:rPr>
        <w:t>2</w:t>
      </w:r>
      <w:r>
        <w:t xml:space="preserve">]. Indeed, perhaps the greatest exposure to the virus and its impact on health was experienced by health care workers particularly those having direct contact with COVID-19 patients. </w:t>
      </w:r>
    </w:p>
    <w:p w14:paraId="10B6D483"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It is plausible that the above-mentioned measures also impacted on sexual wellbeing. Indeed, a frequent and trouble-free sex life could act as an antidote mitigating self-isolation and its consequences, with a fulfilling sex life being found to be associated with multiple mental and physical health benefits</w:t>
      </w:r>
      <w:r>
        <w:rPr>
          <w:lang w:val="it-IT"/>
        </w:rPr>
        <w:t xml:space="preserve"> [3, 4]</w:t>
      </w:r>
      <w:r>
        <w:t>.  Interestingly, literature has suggested that during COVID-19 restrictions, levels of sexual activity have been low</w:t>
      </w:r>
      <w:r>
        <w:rPr>
          <w:lang w:val="it-IT"/>
        </w:rPr>
        <w:t xml:space="preserve"> [5]</w:t>
      </w:r>
      <w:r>
        <w:t>. It could be speculated that low levels of sexual activity during the pandemic may be partly caused by an increase in population levels of sexual dysfunction. Erectile dysfunction (ED) is the most common sexual health issue in men, and it can be caused by organic, hormonal, and/or psychological factors [</w:t>
      </w:r>
      <w:r>
        <w:rPr>
          <w:lang w:val="it-IT"/>
        </w:rPr>
        <w:t>6</w:t>
      </w:r>
      <w:r>
        <w:t>]. In turn, ED is associated with a substantial range of mental, physical and psychologically adverse outcomes, including anxiety, low mood and quality of life [</w:t>
      </w:r>
      <w:r>
        <w:rPr>
          <w:lang w:val="it-IT"/>
        </w:rPr>
        <w:t>6</w:t>
      </w:r>
      <w:r>
        <w:t>]. To date, limited literature is available on the impact of COVID-19 on ED although studies are starting to emerge on this topic. The aim of this explorative review was to assess the prevalence of ED in male healthcare workers working in direct contact with COVID-19 patients and males during the COVID-19 pandemic.</w:t>
      </w:r>
    </w:p>
    <w:p w14:paraId="51036C2C" w14:textId="218BDCC9"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p>
    <w:p w14:paraId="0DA1C804" w14:textId="77777777" w:rsidR="00B917E5" w:rsidRDefault="00B917E5">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p>
    <w:p w14:paraId="0B59B1E0" w14:textId="77777777" w:rsidR="00E02F9F" w:rsidRDefault="00FD6872" w:rsidP="00B917E5">
      <w:pPr>
        <w:pStyle w:val="Heading1"/>
      </w:pPr>
      <w:r>
        <w:lastRenderedPageBreak/>
        <w:t>METHODS</w:t>
      </w:r>
    </w:p>
    <w:p w14:paraId="0B098258"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pPr>
      <w:r>
        <w:t>This systematic review adhered to the PRISMA [</w:t>
      </w:r>
      <w:r>
        <w:rPr>
          <w:lang w:val="it-IT"/>
        </w:rPr>
        <w:t>7</w:t>
      </w:r>
      <w:r>
        <w:t>] and MOOSE</w:t>
      </w:r>
      <w:r>
        <w:rPr>
          <w:lang w:val="it-IT"/>
        </w:rPr>
        <w:t xml:space="preserve"> </w:t>
      </w:r>
      <w:r>
        <w:t>[</w:t>
      </w:r>
      <w:r>
        <w:rPr>
          <w:lang w:val="it-IT"/>
        </w:rPr>
        <w:t>8</w:t>
      </w:r>
      <w:r>
        <w:t>] statements and followed a structured protocol available under reasonable request from the corresponding author.</w:t>
      </w:r>
    </w:p>
    <w:p w14:paraId="06DA24A4" w14:textId="77777777" w:rsidR="00E02F9F" w:rsidRPr="00B917E5" w:rsidRDefault="00FD6872" w:rsidP="00B917E5">
      <w:pPr>
        <w:pStyle w:val="Heading2"/>
      </w:pPr>
      <w:r w:rsidRPr="00B917E5">
        <w:t>Search strategy</w:t>
      </w:r>
    </w:p>
    <w:p w14:paraId="79BC63AB" w14:textId="77777777" w:rsidR="00E02F9F" w:rsidRDefault="00FD6872">
      <w:pPr>
        <w:pStyle w:val="Body"/>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pPr>
      <w:r>
        <w:t>Two investigators (NV and DP) independently conducted a literature search using MEDLINE/PubMed, Scopus, CINAHL, Embase, PsycINFO and Cochrane Library databases from inception to the 7</w:t>
      </w:r>
      <w:r>
        <w:rPr>
          <w:vertAlign w:val="superscript"/>
        </w:rPr>
        <w:t>th</w:t>
      </w:r>
      <w:r>
        <w:t xml:space="preserve"> of February 2021.  The following search strategy was used: “COVID-19” OR "Novel Coronavirus–Infected Pneumonia" OR "2019 novel coronavirus" OR "2019-nCoV" OR “SARS-CoV-2” AND “erectile dysfunction" OR "erectile function" OR "sexual dysfunction" OR "sexual function" OR “impotence”. The references of retrieved articles together with the proceedings of relevant conferences were hand-searched in order to identify other potentially eligible studies for inclusion in the analysis missed by the initial search or any unpublished data. The literature search, assessment of inclusion and exclusion criteria, quality of studies and extraction of data were independently undertaken and veriﬁed by two investigators (MT, DP). The results were then compared, and in case of discrepancies, a consensus was reached with the involvement of a third senior investigator (LS). There was no language restriction applied.</w:t>
      </w:r>
    </w:p>
    <w:p w14:paraId="4B488AE3" w14:textId="77777777" w:rsidR="00E02F9F" w:rsidRDefault="00FD6872" w:rsidP="00B917E5">
      <w:pPr>
        <w:pStyle w:val="Heading2"/>
        <w:rPr>
          <w:rFonts w:eastAsia="Times New Roman" w:cs="Times New Roman"/>
          <w:i/>
          <w:iCs/>
        </w:rPr>
      </w:pPr>
      <w:r>
        <w:t xml:space="preserve">Type of studies, </w:t>
      </w:r>
      <w:proofErr w:type="gramStart"/>
      <w:r>
        <w:t>inclusion</w:t>
      </w:r>
      <w:proofErr w:type="gramEnd"/>
      <w:r>
        <w:t xml:space="preserve"> and exclusion criteria</w:t>
      </w:r>
    </w:p>
    <w:p w14:paraId="3904F25E"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Following the PICOS (participants, intervention, controls, outcomes, study design) criteria, we included studies assessing: </w:t>
      </w:r>
    </w:p>
    <w:p w14:paraId="0DD2DA11"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P: Healthcare workers working with COVID-19 patients </w:t>
      </w:r>
    </w:p>
    <w:p w14:paraId="6D047073"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I: None</w:t>
      </w:r>
    </w:p>
    <w:p w14:paraId="5E5AE768"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C: Non-healthcare workers during the COVID-19 pandemic</w:t>
      </w:r>
    </w:p>
    <w:p w14:paraId="606C75E4"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O: Number/prevalence of ED </w:t>
      </w:r>
    </w:p>
    <w:p w14:paraId="3BF3A85C"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S: Observational (case-control, cross-sectional).</w:t>
      </w:r>
    </w:p>
    <w:p w14:paraId="0D8EA6EB"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lastRenderedPageBreak/>
        <w:t xml:space="preserve">All retrospective, cross-sectional or prospective studies reporting the prevalence of ED in healthcare workers working with COVID-19 patients and non-healthcare workers during the COVID-19 pandemic were included. Studies were excluded if they had no data on prevalence of ED or if ED was related to other diseases. </w:t>
      </w:r>
    </w:p>
    <w:p w14:paraId="34A64283" w14:textId="77777777" w:rsidR="00E02F9F" w:rsidRDefault="00FD6872" w:rsidP="00B917E5">
      <w:pPr>
        <w:pStyle w:val="Heading2"/>
      </w:pPr>
      <w:r>
        <w:t>Data extraction and statistical analyses</w:t>
      </w:r>
    </w:p>
    <w:p w14:paraId="69527DD2" w14:textId="77777777" w:rsidR="00E02F9F" w:rsidRDefault="00FD6872">
      <w:pPr>
        <w:pStyle w:val="Body"/>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pPr>
      <w:r>
        <w:t>For each eligible study, two independent investigators (NV, DP) extracted: name of the first author and year of publication, setting, sample size, being a healthcare working or not, mean age of the population, % ED.</w:t>
      </w:r>
    </w:p>
    <w:p w14:paraId="1CB1C027" w14:textId="77777777" w:rsidR="00E02F9F" w:rsidRDefault="00FD6872">
      <w:pPr>
        <w:pStyle w:val="Body"/>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b/>
          <w:bCs/>
          <w:i/>
          <w:iCs/>
        </w:rPr>
      </w:pPr>
      <w:r>
        <w:rPr>
          <w:b/>
          <w:bCs/>
          <w:i/>
          <w:iCs/>
        </w:rPr>
        <w:t>Outcomes</w:t>
      </w:r>
    </w:p>
    <w:p w14:paraId="6A2549FE"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The primary outcome was the prevalence of ED in healthcare workers working directly with COVID-19 patients and non-health care workers during the COVID-19 pandemic.  </w:t>
      </w:r>
    </w:p>
    <w:p w14:paraId="33948D76" w14:textId="77777777" w:rsidR="00E02F9F" w:rsidRDefault="00FD6872" w:rsidP="00B917E5">
      <w:pPr>
        <w:pStyle w:val="Heading2"/>
      </w:pPr>
      <w:r>
        <w:t xml:space="preserve">Analysis </w:t>
      </w:r>
    </w:p>
    <w:p w14:paraId="6503A8D4"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Due to the anticipated heterogeneity, a random-effects model was conducted, using the method proposed by </w:t>
      </w:r>
      <w:proofErr w:type="spellStart"/>
      <w:r>
        <w:t>DerSimonian</w:t>
      </w:r>
      <w:proofErr w:type="spellEnd"/>
      <w:r>
        <w:t xml:space="preserve"> and Laird [</w:t>
      </w:r>
      <w:r>
        <w:rPr>
          <w:lang w:val="it-IT"/>
        </w:rPr>
        <w:t>9</w:t>
      </w:r>
      <w:r>
        <w:t>] - weighting cases using the inverse of the variance, calculating prevalence rates with 95% confidence intervals (CIs). Using Comprehensive Meta-Analysis Version 3 [</w:t>
      </w:r>
      <w:r>
        <w:rPr>
          <w:lang w:val="it-IT"/>
        </w:rPr>
        <w:t>10</w:t>
      </w:r>
      <w:r>
        <w:t xml:space="preserve">], we calculated the prevalence rates of ED in healthcare professionals working with COVID-19 patients and non-healthcare professionals living with COVID-19 restrictions. </w:t>
      </w:r>
    </w:p>
    <w:p w14:paraId="5870B95C" w14:textId="77777777" w:rsidR="00E02F9F" w:rsidRDefault="00FD6872">
      <w:pPr>
        <w:pStyle w:val="CorpoAA"/>
        <w:spacing w:line="480" w:lineRule="auto"/>
      </w:pPr>
      <w:r>
        <w:t xml:space="preserve">The meta-analysis was conducted in the following steps. 1) Prevalence rates of ED were calculated with 95% CIs using total </w:t>
      </w:r>
      <w:r>
        <w:rPr>
          <w:i/>
          <w:iCs/>
        </w:rPr>
        <w:t>n</w:t>
      </w:r>
      <w:r>
        <w:t xml:space="preserve">s and event </w:t>
      </w:r>
      <w:proofErr w:type="gramStart"/>
      <w:r>
        <w:rPr>
          <w:i/>
          <w:iCs/>
        </w:rPr>
        <w:t>n</w:t>
      </w:r>
      <w:r>
        <w:t>s, or</w:t>
      </w:r>
      <w:proofErr w:type="gramEnd"/>
      <w:r>
        <w:t xml:space="preserve"> means with 95% CIs. 2) Heterogeneity was assessed with the </w:t>
      </w:r>
      <w:r>
        <w:rPr>
          <w:i/>
          <w:iCs/>
        </w:rPr>
        <w:t>I</w:t>
      </w:r>
      <w:r>
        <w:rPr>
          <w:i/>
          <w:iCs/>
          <w:vertAlign w:val="superscript"/>
        </w:rPr>
        <w:t>2</w:t>
      </w:r>
      <w:r>
        <w:t xml:space="preserve"> statistic for all analyses, with 0-50% being classified as low, 50-75% moderate, and &gt;75% high heterogeneity [</w:t>
      </w:r>
      <w:r>
        <w:rPr>
          <w:lang w:val="it-IT"/>
        </w:rPr>
        <w:t>11</w:t>
      </w:r>
      <w:r>
        <w:t>]. 3) As recommended by Sterne and colleagues [</w:t>
      </w:r>
      <w:r>
        <w:rPr>
          <w:lang w:val="it-IT"/>
        </w:rPr>
        <w:t>12</w:t>
      </w:r>
      <w:r>
        <w:t>], if the meta-analysis exceeded 10 studies, publication bias was assessed with the Begg-Mazumdar Kendall</w:t>
      </w:r>
      <w:r>
        <w:rPr>
          <w:rFonts w:ascii="Arial Unicode MS" w:hAnsi="Arial Unicode MS"/>
          <w:rtl/>
          <w:lang w:val="ar-SA"/>
        </w:rPr>
        <w:t>’</w:t>
      </w:r>
      <w:r>
        <w:t>s tau [</w:t>
      </w:r>
      <w:r>
        <w:rPr>
          <w:lang w:val="it-IT"/>
        </w:rPr>
        <w:t>13</w:t>
      </w:r>
      <w:r>
        <w:t>] and Egger bias test [</w:t>
      </w:r>
      <w:r>
        <w:rPr>
          <w:lang w:val="it-IT"/>
        </w:rPr>
        <w:t>14</w:t>
      </w:r>
      <w:r>
        <w:t xml:space="preserve">]. If publication bias was found then we used the trim-and-fill adjusted analysis to remove the most extreme small </w:t>
      </w:r>
      <w:r>
        <w:lastRenderedPageBreak/>
        <w:t>studies from the positive side of the funnel plot and effect sizes re-calculated, until the funnel plot was symmetrical with the new effect size [</w:t>
      </w:r>
      <w:r>
        <w:rPr>
          <w:lang w:val="it-IT"/>
        </w:rPr>
        <w:t>15</w:t>
      </w:r>
      <w:r>
        <w:t xml:space="preserve">]. </w:t>
      </w:r>
    </w:p>
    <w:p w14:paraId="7783F149"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rPr>
          <w:shd w:val="clear" w:color="auto" w:fill="FFFFFF"/>
        </w:rPr>
      </w:pPr>
      <w:r>
        <w:rPr>
          <w:b/>
          <w:bCs/>
          <w:i/>
          <w:iCs/>
        </w:rPr>
        <w:t>Assessment of study quality</w:t>
      </w:r>
    </w:p>
    <w:p w14:paraId="1BCC68D2"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rPr>
          <w:shd w:val="clear" w:color="auto" w:fill="FFFFFF"/>
        </w:rPr>
        <w:t>Two independent authors</w:t>
      </w:r>
      <w:r>
        <w:t xml:space="preserve"> (DP, MT) assessed the quality of studies using the Newcastle-Ottawa Scale (NOS) [</w:t>
      </w:r>
      <w:r>
        <w:rPr>
          <w:lang w:val="it-IT"/>
        </w:rPr>
        <w:t>16</w:t>
      </w:r>
      <w:r>
        <w:t>]. The NOS assigns a maximum of 9 points based on three quality parameters: selection, comparability, and outcome. As per the NOS grading in past reviews, we graded studies as having a high (&lt;5 stars), moderate (5-7 stars) or low risk of bias (≥8 stars) [</w:t>
      </w:r>
      <w:r>
        <w:rPr>
          <w:lang w:val="it-IT"/>
        </w:rPr>
        <w:t>17</w:t>
      </w:r>
      <w:r>
        <w:t>].</w:t>
      </w:r>
    </w:p>
    <w:p w14:paraId="0BDDF7F7"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uppressAutoHyphens/>
        <w:spacing w:line="480" w:lineRule="auto"/>
        <w:jc w:val="both"/>
      </w:pPr>
      <w:r>
        <w:t xml:space="preserve">Assessment of the certainty of evidence </w:t>
      </w:r>
    </w:p>
    <w:p w14:paraId="5D7E70A2" w14:textId="77777777" w:rsidR="00E02F9F" w:rsidRDefault="00FD6872">
      <w:pPr>
        <w:pStyle w:val="CorpoB"/>
        <w:spacing w:line="480" w:lineRule="auto"/>
        <w:jc w:val="both"/>
      </w:pPr>
      <w:r>
        <w:t>To ascertain the certainty of the evidence, the Grading of Recommendations, Assessment, Development and Evaluations (GRADE) framework was used</w:t>
      </w:r>
      <w:r>
        <w:rPr>
          <w:lang w:val="it-IT"/>
        </w:rPr>
        <w:t xml:space="preserve"> [18]</w:t>
      </w:r>
      <w:r>
        <w:t xml:space="preserve">. </w:t>
      </w:r>
      <w:r>
        <w:rPr>
          <w:b/>
          <w:bCs/>
        </w:rPr>
        <w:t xml:space="preserve"> </w:t>
      </w:r>
    </w:p>
    <w:p w14:paraId="52901C6E" w14:textId="77777777" w:rsidR="00B917E5" w:rsidRDefault="00B917E5">
      <w:pPr>
        <w:rPr>
          <w:rFonts w:cs="Arial Unicode MS"/>
          <w:b/>
          <w:bCs/>
          <w:color w:val="000000"/>
          <w:u w:color="000000"/>
          <w:lang w:val="it-IT" w:eastAsia="en-GB"/>
        </w:rPr>
      </w:pPr>
      <w:r>
        <w:br w:type="page"/>
      </w:r>
    </w:p>
    <w:p w14:paraId="56B3CFA4" w14:textId="509DD8B9" w:rsidR="00E02F9F" w:rsidRDefault="00FD6872" w:rsidP="00B917E5">
      <w:pPr>
        <w:pStyle w:val="Heading1"/>
      </w:pPr>
      <w:r>
        <w:lastRenderedPageBreak/>
        <w:t>RESULTS</w:t>
      </w:r>
    </w:p>
    <w:p w14:paraId="4B31A9C8" w14:textId="77777777" w:rsidR="00E02F9F" w:rsidRDefault="00FD6872" w:rsidP="00B917E5">
      <w:pPr>
        <w:pStyle w:val="Heading2"/>
      </w:pPr>
      <w:r>
        <w:t>Literature search</w:t>
      </w:r>
    </w:p>
    <w:p w14:paraId="4B4B4A60" w14:textId="77777777" w:rsidR="00E02F9F" w:rsidRDefault="00FD6872">
      <w:pPr>
        <w:pStyle w:val="Body"/>
        <w:tabs>
          <w:tab w:val="left" w:pos="420"/>
          <w:tab w:val="left" w:pos="840"/>
          <w:tab w:val="left" w:pos="1260"/>
          <w:tab w:val="left" w:pos="1680"/>
          <w:tab w:val="left" w:pos="2124"/>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496"/>
        </w:tabs>
        <w:spacing w:line="480" w:lineRule="auto"/>
      </w:pPr>
      <w:r>
        <w:t>As shown in Supplementary Figure 1, we initially found 52 possibly eligible articles. After removing 44 papers through the title/abstract screening, 8 were retrieved as full text. Of the 8 full text, two studies were excluded because of a lack of data on ED prevalence, leaving six studies to be included in the systematic-review and meta-analysis</w:t>
      </w:r>
      <w:r>
        <w:rPr>
          <w:lang w:val="it-IT"/>
        </w:rPr>
        <w:t xml:space="preserve"> [19-23]</w:t>
      </w:r>
      <w:r>
        <w:t>.</w:t>
      </w:r>
    </w:p>
    <w:p w14:paraId="22713438" w14:textId="77777777" w:rsidR="00E02F9F" w:rsidRDefault="00FD6872" w:rsidP="00B917E5">
      <w:pPr>
        <w:pStyle w:val="Heading2"/>
      </w:pPr>
      <w:r>
        <w:t xml:space="preserve">Descriptive data </w:t>
      </w:r>
    </w:p>
    <w:p w14:paraId="02CC7C2F" w14:textId="23AB81F4"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The six studies included a total of 1908 males, 1653 non-healthcare workers during the COVID-19 pandemic and 255 healthcare workers located in COVID-19 departments. The descriptive characteristics of the included studies are reported in Table 1</w:t>
      </w:r>
      <w:r>
        <w:rPr>
          <w:lang w:val="it-IT"/>
        </w:rPr>
        <w:t>.</w:t>
      </w:r>
    </w:p>
    <w:p w14:paraId="79C4B75D" w14:textId="77777777" w:rsidR="00E02F9F" w:rsidRDefault="00FD6872" w:rsidP="00B917E5">
      <w:pPr>
        <w:pStyle w:val="Heading2"/>
      </w:pPr>
      <w:r>
        <w:t>Prevalence of ED</w:t>
      </w:r>
    </w:p>
    <w:p w14:paraId="0ABB7602"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The pooled prevalence of ED in healthcare professionals working with COVID-19 patients was 63.6% (95% CI 20.3-92.3%; I</w:t>
      </w:r>
      <w:r>
        <w:rPr>
          <w:vertAlign w:val="superscript"/>
        </w:rPr>
        <w:t>2</w:t>
      </w:r>
      <w:r>
        <w:t>=97.75%), while the pooled prevalence of ED in males living during the COVID-19 pandemic was 31.9% (95% CI 19.5-47.6%; I</w:t>
      </w:r>
      <w:r>
        <w:rPr>
          <w:vertAlign w:val="superscript"/>
        </w:rPr>
        <w:t>2</w:t>
      </w:r>
      <w:r>
        <w:t>=96.69%). Figure 1 shows this information graphically.</w:t>
      </w:r>
    </w:p>
    <w:p w14:paraId="54AAE1A6" w14:textId="77777777" w:rsidR="00E02F9F" w:rsidRDefault="00FD6872" w:rsidP="00B917E5">
      <w:pPr>
        <w:pStyle w:val="Heading2"/>
      </w:pPr>
      <w:r>
        <w:t>Publication bias</w:t>
      </w:r>
    </w:p>
    <w:p w14:paraId="3A9F7C9D"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 xml:space="preserve">As no single analysis exceeded ten studies, no publication bias test was performed. </w:t>
      </w:r>
    </w:p>
    <w:p w14:paraId="137C6EAD" w14:textId="77777777" w:rsidR="00E02F9F" w:rsidRDefault="00FD6872" w:rsidP="00B917E5">
      <w:pPr>
        <w:pStyle w:val="Heading2"/>
      </w:pPr>
      <w:r>
        <w:t>Risk of bias</w:t>
      </w:r>
    </w:p>
    <w:p w14:paraId="27AE9BF2"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jc w:val="both"/>
      </w:pPr>
      <w:r>
        <w:t>The risk of bias, evaluated through the NOS, is fully reported in Table 1 as a total score. The median quality of the studies was 6.</w:t>
      </w:r>
      <w:r>
        <w:rPr>
          <w:lang w:val="it-IT"/>
        </w:rPr>
        <w:t>7</w:t>
      </w:r>
      <w:r>
        <w:t xml:space="preserve"> (range: 5-9), indicating an overall more than satisfactory quality of the included studies.</w:t>
      </w:r>
    </w:p>
    <w:p w14:paraId="70A1561F" w14:textId="77777777" w:rsidR="00E02F9F" w:rsidRDefault="00FD6872" w:rsidP="00BC0CDA">
      <w:pPr>
        <w:pStyle w:val="Heading2"/>
      </w:pPr>
      <w:r>
        <w:t>Certainty of evidence</w:t>
      </w:r>
    </w:p>
    <w:p w14:paraId="7871E0D7"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Because of the limited number of studies, and high heterogeneity, the certainly of this evidence has been rated as moderate.</w:t>
      </w:r>
    </w:p>
    <w:p w14:paraId="436F1062" w14:textId="77777777" w:rsidR="00BC0CDA" w:rsidRDefault="00BC0CDA">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b/>
          <w:bCs/>
        </w:rPr>
      </w:pPr>
    </w:p>
    <w:p w14:paraId="43CB826E" w14:textId="34DAA815" w:rsidR="00E02F9F" w:rsidRDefault="00FD6872" w:rsidP="00BC0CDA">
      <w:pPr>
        <w:pStyle w:val="Heading1"/>
      </w:pPr>
      <w:r>
        <w:lastRenderedPageBreak/>
        <w:t>DISCUSSION</w:t>
      </w:r>
    </w:p>
    <w:p w14:paraId="71578635"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The present study is the first explorative systematic review to investigate the impact of COVID-19 on ED. The prevalence of ED in healthcare professionals working with COVID-19 patients was double when compared to non-healthcare working men who were living under COVID-19 restrictions. The high rate of ED in healthcare workers is likely a consequence of the heavy workload and stressful environment experienced during the COVID-19 pandemic. For example, data suggests that during periods where the number of COVID-19 infections were at their highest, hospitals were running at maximum or over capacity</w:t>
      </w:r>
      <w:r>
        <w:rPr>
          <w:lang w:val="it-IT"/>
        </w:rPr>
        <w:t xml:space="preserve"> [24]</w:t>
      </w:r>
      <w:r>
        <w:t>.  Indeed, there is increasing evidence showing the negative impact of acute and chronic stressors on erectile function [</w:t>
      </w:r>
      <w:r>
        <w:rPr>
          <w:lang w:val="it-IT"/>
        </w:rPr>
        <w:t>25</w:t>
      </w:r>
      <w:r>
        <w:t>]</w:t>
      </w:r>
      <w:r>
        <w:rPr>
          <w:lang w:val="it-IT"/>
        </w:rPr>
        <w:t>.</w:t>
      </w:r>
      <w:r>
        <w:t xml:space="preserve"> Moreover, stress and anxiety may trigger a vicious cycle with ED as they can be the cause of ED and, in turn, ED may increase these symptoms (1</w:t>
      </w:r>
      <w:r>
        <w:rPr>
          <w:lang w:val="it-IT"/>
        </w:rPr>
        <w:t>9</w:t>
      </w:r>
      <w:r>
        <w:t>). Interestingly, in a study during the H7N9 epidemic, authors showed that anxiety levels were highest in healthcare workers [</w:t>
      </w:r>
      <w:r>
        <w:rPr>
          <w:lang w:val="it-IT"/>
        </w:rPr>
        <w:t>26</w:t>
      </w:r>
      <w:r>
        <w:t>]. Similarly, during the SARS epidemic, social and mental health of healthcare workers were observed to decline [</w:t>
      </w:r>
      <w:r>
        <w:rPr>
          <w:lang w:val="it-IT"/>
        </w:rPr>
        <w:t>27</w:t>
      </w:r>
      <w:r>
        <w:t>].</w:t>
      </w:r>
    </w:p>
    <w:p w14:paraId="45C48DB3"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 xml:space="preserve">An additional factor impacting on general sexual health and, thus, on ED could be fear of COVID-19 infection, specifically transmission during sexual intercourse. To date, there still is a lot to understand in relation to COVID-19 epidemiology, life course, infectiveness and this, added to frequent fake news circulating, leads to the insecurity regarding the safe </w:t>
      </w:r>
      <w:proofErr w:type="spellStart"/>
      <w:r>
        <w:t>behaviour</w:t>
      </w:r>
      <w:proofErr w:type="spellEnd"/>
      <w:r>
        <w:t xml:space="preserve"> to adopt. Other important aspects related to ED are sexual desire, foreplay, sexual frequency and satisfaction that have been observed to decline during the COVID-19 pandemic [</w:t>
      </w:r>
      <w:r>
        <w:rPr>
          <w:lang w:val="it-IT"/>
        </w:rPr>
        <w:t>20-22</w:t>
      </w:r>
      <w:r>
        <w:t xml:space="preserve">]. </w:t>
      </w:r>
      <w:proofErr w:type="gramStart"/>
      <w:r>
        <w:t>In particular, sexual</w:t>
      </w:r>
      <w:proofErr w:type="gramEnd"/>
      <w:r>
        <w:t xml:space="preserve"> frequency has been reported as significantly related to ED; men who have less frequent sexual intercourse have less partner time, less intimacy and higher ED prevalence [</w:t>
      </w:r>
      <w:r>
        <w:rPr>
          <w:lang w:val="it-IT"/>
        </w:rPr>
        <w:t>21</w:t>
      </w:r>
      <w:r>
        <w:t>]. Interestingly, during the COVID-19 pandemic people with a stable relationship had an advantage over those with occasional relationships [</w:t>
      </w:r>
      <w:r>
        <w:rPr>
          <w:lang w:val="it-IT"/>
        </w:rPr>
        <w:t>21</w:t>
      </w:r>
      <w:r>
        <w:t>] and men who could maintain sexual activity during the pandemic had lower psychological distress [</w:t>
      </w:r>
      <w:r>
        <w:rPr>
          <w:lang w:val="it-IT"/>
        </w:rPr>
        <w:t>22</w:t>
      </w:r>
      <w:r>
        <w:t xml:space="preserve">]. </w:t>
      </w:r>
    </w:p>
    <w:p w14:paraId="207CDBFA"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lastRenderedPageBreak/>
        <w:t xml:space="preserve">The results of this preliminary systematic review should be considered </w:t>
      </w:r>
      <w:proofErr w:type="gramStart"/>
      <w:r>
        <w:t>in light of</w:t>
      </w:r>
      <w:proofErr w:type="gramEnd"/>
      <w:r>
        <w:t xml:space="preserve"> its limitations. First, the limited number of studies prevents conclusive indication. Moreover, none of the studies reported on the hormonal profile</w:t>
      </w:r>
      <w:r>
        <w:rPr>
          <w:lang w:val="it-IT"/>
        </w:rPr>
        <w:t xml:space="preserve">, </w:t>
      </w:r>
      <w:r>
        <w:t>smoking, metabolic profile and drugs</w:t>
      </w:r>
      <w:r>
        <w:rPr>
          <w:lang w:val="it-IT"/>
        </w:rPr>
        <w:t xml:space="preserve"> abuse</w:t>
      </w:r>
      <w:r>
        <w:t xml:space="preserve"> that could be useful to have a more complete picture of the ED pathophysiological mechanism. Finally, a limited number of studies took into consideration other aspects related to ED such as sexual desire and orgasmic function. </w:t>
      </w:r>
    </w:p>
    <w:p w14:paraId="710FD863"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p>
    <w:p w14:paraId="07ED549D"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 xml:space="preserve">Findings from the present study suggest that it is mandatory to facilitate sexual health both among healthcare workers working with COVID-19 patients and men during the COVID-19 pandemic. In order to reduce workload and workplace stress among healthcare professionals where possible options such as telemedicine should be </w:t>
      </w:r>
      <w:proofErr w:type="spellStart"/>
      <w:r>
        <w:t>utilised</w:t>
      </w:r>
      <w:proofErr w:type="spellEnd"/>
      <w:r>
        <w:t xml:space="preserve">. Moreover, the New York City Health Department has developed guidelines for safe sex practices during the COVID-19 outbreak, namely suggesting to (a) reduce the number of partners; (b) reduce or not to have foreplay; (c) to provide hand hygiene before and after sexual intercourse </w:t>
      </w:r>
      <w:proofErr w:type="gramStart"/>
      <w:r>
        <w:t>and;</w:t>
      </w:r>
      <w:proofErr w:type="gramEnd"/>
      <w:r>
        <w:t xml:space="preserve"> (d) to use male condoms as a method of protection for a safe sexual intercourse [</w:t>
      </w:r>
      <w:r>
        <w:rPr>
          <w:lang w:val="it-IT"/>
        </w:rPr>
        <w:t>28</w:t>
      </w:r>
      <w:r>
        <w:t>].</w:t>
      </w:r>
    </w:p>
    <w:p w14:paraId="36D3CE3F"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p>
    <w:p w14:paraId="769C1E1A"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t xml:space="preserve">In conclusion, considering the impact of COVID-19 on sexual health and </w:t>
      </w:r>
      <w:proofErr w:type="gramStart"/>
      <w:r>
        <w:t>in particular on</w:t>
      </w:r>
      <w:proofErr w:type="gramEnd"/>
      <w:r>
        <w:t xml:space="preserve"> ED, it is important to provide adequate psychological support systems and to promote quality of life with particular attention to sexual life.</w:t>
      </w:r>
    </w:p>
    <w:p w14:paraId="5E3BB5C4" w14:textId="77777777" w:rsidR="00E02F9F" w:rsidRDefault="00E02F9F">
      <w:pPr>
        <w:pStyle w:val="DidefaultA"/>
        <w:spacing w:after="240"/>
        <w:rPr>
          <w:rFonts w:ascii="Times New Roman" w:eastAsia="Times New Roman" w:hAnsi="Times New Roman" w:cs="Times New Roman"/>
          <w:sz w:val="24"/>
          <w:szCs w:val="24"/>
        </w:rPr>
      </w:pPr>
    </w:p>
    <w:p w14:paraId="33B916D1" w14:textId="77777777" w:rsidR="00E02F9F" w:rsidRDefault="00FD6872">
      <w:pPr>
        <w:pStyle w:val="DidefaultA"/>
        <w:spacing w:after="240"/>
      </w:pPr>
      <w:bookmarkStart w:id="0" w:name="_Hlk524538345"/>
      <w:r>
        <w:rPr>
          <w:rFonts w:ascii="Arial Unicode MS" w:eastAsia="Arial Unicode MS" w:hAnsi="Arial Unicode MS" w:cs="Arial Unicode MS"/>
          <w:sz w:val="24"/>
          <w:szCs w:val="24"/>
          <w:u w:color="131313"/>
        </w:rPr>
        <w:br w:type="page"/>
      </w:r>
    </w:p>
    <w:bookmarkEnd w:id="0"/>
    <w:p w14:paraId="5EAD1801" w14:textId="77777777" w:rsidR="00E02F9F" w:rsidRDefault="00FD6872" w:rsidP="00BC0CDA">
      <w:pPr>
        <w:pStyle w:val="Heading1"/>
        <w:rPr>
          <w:u w:color="131313"/>
        </w:rPr>
      </w:pPr>
      <w:r>
        <w:rPr>
          <w:u w:color="131313"/>
        </w:rPr>
        <w:lastRenderedPageBreak/>
        <w:t>Author contribution</w:t>
      </w:r>
    </w:p>
    <w:p w14:paraId="317ED487"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proofErr w:type="spellStart"/>
      <w:r>
        <w:rPr>
          <w:u w:color="131313"/>
        </w:rPr>
        <w:t>Conceptualisation</w:t>
      </w:r>
      <w:proofErr w:type="spellEnd"/>
      <w:r>
        <w:rPr>
          <w:u w:color="131313"/>
        </w:rPr>
        <w:t xml:space="preserve"> and design: DP</w:t>
      </w:r>
      <w:r>
        <w:rPr>
          <w:u w:color="131313"/>
          <w:lang w:val="it-IT"/>
        </w:rPr>
        <w:t>, NV, IG</w:t>
      </w:r>
      <w:r>
        <w:rPr>
          <w:u w:color="131313"/>
        </w:rPr>
        <w:t xml:space="preserve"> and LS.</w:t>
      </w:r>
    </w:p>
    <w:p w14:paraId="69AC03AD"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r>
        <w:rPr>
          <w:u w:color="131313"/>
        </w:rPr>
        <w:t xml:space="preserve">Acquisition of Data: </w:t>
      </w:r>
      <w:r>
        <w:rPr>
          <w:u w:color="131313"/>
          <w:lang w:val="it-IT"/>
        </w:rPr>
        <w:t>SI</w:t>
      </w:r>
      <w:r>
        <w:rPr>
          <w:u w:color="131313"/>
        </w:rPr>
        <w:t>,</w:t>
      </w:r>
      <w:r>
        <w:rPr>
          <w:u w:color="131313"/>
          <w:lang w:val="it-IT"/>
        </w:rPr>
        <w:t xml:space="preserve"> PS</w:t>
      </w:r>
      <w:r>
        <w:rPr>
          <w:u w:color="131313"/>
        </w:rPr>
        <w:t xml:space="preserve">, MT, </w:t>
      </w:r>
      <w:r>
        <w:rPr>
          <w:u w:color="131313"/>
          <w:lang w:val="it-IT"/>
        </w:rPr>
        <w:t xml:space="preserve">LB </w:t>
      </w:r>
      <w:r>
        <w:rPr>
          <w:u w:color="131313"/>
        </w:rPr>
        <w:t xml:space="preserve">and </w:t>
      </w:r>
      <w:r>
        <w:rPr>
          <w:u w:color="131313"/>
          <w:lang w:val="it-IT"/>
        </w:rPr>
        <w:t>AK</w:t>
      </w:r>
      <w:r>
        <w:rPr>
          <w:u w:color="131313"/>
        </w:rPr>
        <w:t>.</w:t>
      </w:r>
    </w:p>
    <w:p w14:paraId="0715EC60"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r>
        <w:rPr>
          <w:u w:color="131313"/>
        </w:rPr>
        <w:t xml:space="preserve">Analysis and interpretation of data: </w:t>
      </w:r>
      <w:r>
        <w:rPr>
          <w:u w:color="131313"/>
          <w:lang w:val="it-IT"/>
        </w:rPr>
        <w:t>MAT</w:t>
      </w:r>
      <w:r>
        <w:rPr>
          <w:u w:color="131313"/>
        </w:rPr>
        <w:t xml:space="preserve">, </w:t>
      </w:r>
      <w:r>
        <w:rPr>
          <w:u w:color="131313"/>
          <w:lang w:val="it-IT"/>
        </w:rPr>
        <w:t>LM</w:t>
      </w:r>
      <w:r>
        <w:rPr>
          <w:u w:color="131313"/>
        </w:rPr>
        <w:t>, MT,</w:t>
      </w:r>
      <w:r>
        <w:rPr>
          <w:u w:color="131313"/>
          <w:lang w:val="it-IT"/>
        </w:rPr>
        <w:t xml:space="preserve"> JMM</w:t>
      </w:r>
      <w:r>
        <w:rPr>
          <w:u w:color="131313"/>
        </w:rPr>
        <w:t xml:space="preserve"> and</w:t>
      </w:r>
      <w:r>
        <w:rPr>
          <w:u w:color="131313"/>
          <w:lang w:val="it-IT"/>
        </w:rPr>
        <w:t xml:space="preserve"> P-CI</w:t>
      </w:r>
      <w:r>
        <w:rPr>
          <w:u w:color="131313"/>
        </w:rPr>
        <w:t xml:space="preserve">. </w:t>
      </w:r>
    </w:p>
    <w:p w14:paraId="6F19E142"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r>
        <w:rPr>
          <w:u w:color="131313"/>
        </w:rPr>
        <w:t xml:space="preserve">Drafting the </w:t>
      </w:r>
      <w:proofErr w:type="gramStart"/>
      <w:r>
        <w:rPr>
          <w:u w:color="131313"/>
        </w:rPr>
        <w:t>article:</w:t>
      </w:r>
      <w:r>
        <w:rPr>
          <w:u w:color="131313"/>
          <w:lang w:val="it-IT"/>
        </w:rPr>
        <w:t>YB</w:t>
      </w:r>
      <w:proofErr w:type="gramEnd"/>
      <w:r>
        <w:rPr>
          <w:u w:color="131313"/>
          <w:lang w:val="it-IT"/>
        </w:rPr>
        <w:t>, LM, DTMD,</w:t>
      </w:r>
      <w:r>
        <w:rPr>
          <w:u w:color="131313"/>
        </w:rPr>
        <w:t xml:space="preserve"> </w:t>
      </w:r>
      <w:r>
        <w:rPr>
          <w:u w:color="131313"/>
          <w:lang w:val="it-IT"/>
        </w:rPr>
        <w:t>JIS</w:t>
      </w:r>
      <w:r>
        <w:rPr>
          <w:u w:color="131313"/>
        </w:rPr>
        <w:t xml:space="preserve">, </w:t>
      </w:r>
      <w:r>
        <w:rPr>
          <w:u w:color="131313"/>
          <w:lang w:val="it-IT"/>
        </w:rPr>
        <w:t>A</w:t>
      </w:r>
      <w:r>
        <w:rPr>
          <w:u w:color="131313"/>
        </w:rPr>
        <w:t>M</w:t>
      </w:r>
      <w:r>
        <w:rPr>
          <w:u w:color="131313"/>
          <w:lang w:val="it-IT"/>
        </w:rPr>
        <w:t>C</w:t>
      </w:r>
      <w:r>
        <w:rPr>
          <w:u w:color="131313"/>
        </w:rPr>
        <w:t>,</w:t>
      </w:r>
      <w:r>
        <w:rPr>
          <w:u w:color="131313"/>
          <w:lang w:val="it-IT"/>
        </w:rPr>
        <w:t xml:space="preserve"> JMOL</w:t>
      </w:r>
      <w:r>
        <w:rPr>
          <w:u w:color="131313"/>
        </w:rPr>
        <w:t xml:space="preserve"> and </w:t>
      </w:r>
      <w:r>
        <w:rPr>
          <w:u w:color="131313"/>
          <w:lang w:val="it-IT"/>
        </w:rPr>
        <w:t>RAG</w:t>
      </w:r>
      <w:r>
        <w:rPr>
          <w:u w:color="131313"/>
        </w:rPr>
        <w:t>.</w:t>
      </w:r>
    </w:p>
    <w:p w14:paraId="4EE39EA1"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r>
        <w:rPr>
          <w:u w:color="131313"/>
        </w:rPr>
        <w:t>Revising article for intellectual content: All authors.</w:t>
      </w:r>
    </w:p>
    <w:p w14:paraId="0D4977DC"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b/>
          <w:bCs/>
          <w:u w:color="131313"/>
        </w:rPr>
      </w:pPr>
      <w:r>
        <w:rPr>
          <w:u w:color="131313"/>
        </w:rPr>
        <w:t xml:space="preserve">Final approval of the completed article: All authors. </w:t>
      </w:r>
    </w:p>
    <w:p w14:paraId="5687DF94"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u w:color="131313"/>
        </w:rPr>
      </w:pPr>
    </w:p>
    <w:p w14:paraId="3599147F"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kern w:val="3"/>
        </w:rPr>
      </w:pPr>
      <w:r>
        <w:rPr>
          <w:b/>
          <w:bCs/>
          <w:kern w:val="3"/>
        </w:rPr>
        <w:t>Conflict of Interest:</w:t>
      </w:r>
      <w:r>
        <w:rPr>
          <w:kern w:val="3"/>
        </w:rPr>
        <w:t xml:space="preserve"> all authors declare no conflict of interest </w:t>
      </w:r>
    </w:p>
    <w:p w14:paraId="4CB41CE9" w14:textId="77777777" w:rsidR="00E02F9F" w:rsidRDefault="00E02F9F">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rPr>
          <w:kern w:val="3"/>
        </w:rPr>
      </w:pPr>
    </w:p>
    <w:p w14:paraId="34C5E924" w14:textId="77777777"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pPr>
      <w:r>
        <w:rPr>
          <w:b/>
          <w:bCs/>
          <w:kern w:val="3"/>
        </w:rPr>
        <w:t>Funds:</w:t>
      </w:r>
      <w:r>
        <w:rPr>
          <w:kern w:val="3"/>
        </w:rPr>
        <w:t xml:space="preserve"> none to declare</w:t>
      </w:r>
      <w:r>
        <w:rPr>
          <w:rFonts w:ascii="Arial Unicode MS" w:hAnsi="Arial Unicode MS"/>
          <w:kern w:val="3"/>
        </w:rPr>
        <w:br w:type="page"/>
      </w:r>
    </w:p>
    <w:p w14:paraId="278DE365" w14:textId="77777777" w:rsidR="00E02F9F" w:rsidRDefault="00FD6872" w:rsidP="00BC0CDA">
      <w:pPr>
        <w:pStyle w:val="Heading1"/>
      </w:pPr>
      <w:r>
        <w:lastRenderedPageBreak/>
        <w:t>REFERENCES</w:t>
      </w:r>
    </w:p>
    <w:p w14:paraId="095960F4" w14:textId="77777777" w:rsidR="00E02F9F" w:rsidRDefault="00FD6872" w:rsidP="00B917E5">
      <w:pPr>
        <w:pStyle w:val="ListParagraph"/>
        <w:numPr>
          <w:ilvl w:val="0"/>
          <w:numId w:val="5"/>
        </w:numPr>
        <w:spacing w:line="480" w:lineRule="auto"/>
      </w:pPr>
      <w:r>
        <w:t xml:space="preserve">Di Gennaro F, </w:t>
      </w:r>
      <w:proofErr w:type="spellStart"/>
      <w:r>
        <w:t>Pizzol</w:t>
      </w:r>
      <w:proofErr w:type="spellEnd"/>
      <w:r>
        <w:t xml:space="preserve"> D, Marotta C, Antunes M, </w:t>
      </w:r>
      <w:proofErr w:type="spellStart"/>
      <w:r>
        <w:t>Racalbuto</w:t>
      </w:r>
      <w:proofErr w:type="spellEnd"/>
      <w:r>
        <w:t xml:space="preserve"> V, Veronese N, Smith L. Coronavirus Diseases (COVID-19) Current Status and Future Perspectives: A Narrative Review. Int J Environ Res Public Health. 2020 Apr 14;17(8):2690.</w:t>
      </w:r>
    </w:p>
    <w:p w14:paraId="44E91A27" w14:textId="77777777" w:rsidR="00E02F9F" w:rsidRDefault="00FD6872" w:rsidP="00B917E5">
      <w:pPr>
        <w:pStyle w:val="ListParagraph"/>
        <w:numPr>
          <w:ilvl w:val="0"/>
          <w:numId w:val="5"/>
        </w:numPr>
        <w:spacing w:line="480" w:lineRule="auto"/>
      </w:pPr>
      <w:r>
        <w:t xml:space="preserve">Allen SF, Stevenson J, </w:t>
      </w:r>
      <w:proofErr w:type="spellStart"/>
      <w:r>
        <w:t>Lazuras</w:t>
      </w:r>
      <w:proofErr w:type="spellEnd"/>
      <w:r>
        <w:t xml:space="preserve"> L, </w:t>
      </w:r>
      <w:proofErr w:type="spellStart"/>
      <w:r>
        <w:t>Akram</w:t>
      </w:r>
      <w:proofErr w:type="spellEnd"/>
      <w:r>
        <w:t xml:space="preserve"> U. The role of the COVID-19 pandemic in altered psychological well-being, mental </w:t>
      </w:r>
      <w:proofErr w:type="gramStart"/>
      <w:r>
        <w:t>health</w:t>
      </w:r>
      <w:proofErr w:type="gramEnd"/>
      <w:r>
        <w:t xml:space="preserve"> and sleep: an online cross-sectional study. Psychol Health Med. 2021 Apr 20:1-9. </w:t>
      </w:r>
    </w:p>
    <w:p w14:paraId="3D9D15C5" w14:textId="77777777" w:rsidR="00E02F9F" w:rsidRDefault="00FD6872" w:rsidP="00B917E5">
      <w:pPr>
        <w:pStyle w:val="ListParagraph"/>
        <w:numPr>
          <w:ilvl w:val="0"/>
          <w:numId w:val="5"/>
        </w:numPr>
        <w:spacing w:line="480" w:lineRule="auto"/>
      </w:pPr>
      <w:r>
        <w:t xml:space="preserve">Smith L, Yang L, Veronese N, Soysal P, Stubbs B, Jackson SE. Sexual Activity is Associated with Greater Enjoyment of Life in Older Adults. </w:t>
      </w:r>
      <w:r w:rsidRPr="00B917E5">
        <w:rPr>
          <w:i/>
          <w:iCs/>
        </w:rPr>
        <w:t>Sex Med</w:t>
      </w:r>
      <w:r>
        <w:t>. 2019;7(1):11-18.</w:t>
      </w:r>
    </w:p>
    <w:p w14:paraId="4E590AF8" w14:textId="77777777" w:rsidR="00E02F9F" w:rsidRDefault="00FD6872" w:rsidP="00B917E5">
      <w:pPr>
        <w:pStyle w:val="ListParagraph"/>
        <w:numPr>
          <w:ilvl w:val="0"/>
          <w:numId w:val="5"/>
        </w:numPr>
        <w:spacing w:line="480" w:lineRule="auto"/>
      </w:pPr>
      <w:r>
        <w:t xml:space="preserve">Jackson SE, Yang L, Koyanagi A, Stubbs B, Veronese N, Smith L. Declines in Sexual Activity and Function Predict Incident Health Problems in Older Adults: Prospective Findings from the English Longitudinal Study of Ageing. Arch Sex </w:t>
      </w:r>
      <w:proofErr w:type="spellStart"/>
      <w:r>
        <w:t>Behav</w:t>
      </w:r>
      <w:proofErr w:type="spellEnd"/>
      <w:r>
        <w:t>. 2020 Apr;49(3):929-940.</w:t>
      </w:r>
    </w:p>
    <w:p w14:paraId="4906B538" w14:textId="77777777" w:rsidR="00E02F9F" w:rsidRDefault="00FD6872" w:rsidP="00B917E5">
      <w:pPr>
        <w:pStyle w:val="ListParagraph"/>
        <w:numPr>
          <w:ilvl w:val="0"/>
          <w:numId w:val="5"/>
        </w:numPr>
        <w:spacing w:line="480" w:lineRule="auto"/>
      </w:pPr>
      <w:r>
        <w:t xml:space="preserve">Jacob L, Smith L, Butler L, Barnett Y, Grabovac I, McDermott D, Armstrong N, </w:t>
      </w:r>
      <w:proofErr w:type="spellStart"/>
      <w:r>
        <w:t>Yakkundi</w:t>
      </w:r>
      <w:proofErr w:type="spellEnd"/>
      <w:r>
        <w:t xml:space="preserve"> A, Tully MA. Challenges in the Practice of Sexual Medicine in the Time of COVID-19 in the United Kingdom. J Sex Med. 2020 Jul;17(7):1229-1236.</w:t>
      </w:r>
    </w:p>
    <w:p w14:paraId="2162F91E" w14:textId="77777777" w:rsidR="00E02F9F" w:rsidRDefault="00FD6872" w:rsidP="00B917E5">
      <w:pPr>
        <w:pStyle w:val="ListParagraph"/>
        <w:numPr>
          <w:ilvl w:val="0"/>
          <w:numId w:val="5"/>
        </w:numPr>
        <w:spacing w:line="480" w:lineRule="auto"/>
      </w:pPr>
      <w:r>
        <w:t xml:space="preserve">Pizzol D, Demurtas J, Stubbs B, Soysal P, Mason C, </w:t>
      </w:r>
      <w:proofErr w:type="spellStart"/>
      <w:r>
        <w:t>Isik</w:t>
      </w:r>
      <w:proofErr w:type="spellEnd"/>
      <w:r>
        <w:t xml:space="preserve"> AT, </w:t>
      </w:r>
      <w:proofErr w:type="spellStart"/>
      <w:r>
        <w:t>Solmi</w:t>
      </w:r>
      <w:proofErr w:type="spellEnd"/>
      <w:r>
        <w:t xml:space="preserve"> M, Smith L, Veronese N. Relationship Between Cannabis Use and Erectile Dysfunction: A Systematic Review and Meta-Analysis. Am J </w:t>
      </w:r>
      <w:proofErr w:type="spellStart"/>
      <w:r>
        <w:t>Mens</w:t>
      </w:r>
      <w:proofErr w:type="spellEnd"/>
      <w:r>
        <w:t xml:space="preserve"> Health. 2019 Nov-Dec;13(6):1557988319892464.</w:t>
      </w:r>
    </w:p>
    <w:p w14:paraId="6CFBAA38" w14:textId="77777777" w:rsidR="00E02F9F" w:rsidRPr="00B917E5" w:rsidRDefault="00FD6872" w:rsidP="00B917E5">
      <w:pPr>
        <w:pStyle w:val="ListParagraph"/>
        <w:numPr>
          <w:ilvl w:val="0"/>
          <w:numId w:val="5"/>
        </w:numPr>
        <w:spacing w:line="480" w:lineRule="auto"/>
        <w:rPr>
          <w:lang w:val="it-IT"/>
        </w:rPr>
      </w:pPr>
      <w:r w:rsidRPr="00B917E5">
        <w:rPr>
          <w:lang w:val="it-IT"/>
        </w:rPr>
        <w:t xml:space="preserve">Liberati A, Altman DG, Tetzlaff J, et al. </w:t>
      </w:r>
      <w:r>
        <w:t xml:space="preserve">The PRISMA statement for reporting systematic reviews and meta-analyses of studies that evaluate health care interventions: explanation and elaboration. </w:t>
      </w:r>
      <w:proofErr w:type="spellStart"/>
      <w:r w:rsidRPr="00B917E5">
        <w:rPr>
          <w:i/>
          <w:iCs/>
        </w:rPr>
        <w:t>PLoS</w:t>
      </w:r>
      <w:proofErr w:type="spellEnd"/>
      <w:r w:rsidRPr="00B917E5">
        <w:rPr>
          <w:i/>
          <w:iCs/>
        </w:rPr>
        <w:t xml:space="preserve"> medicine. </w:t>
      </w:r>
      <w:r>
        <w:t>2009;6(7</w:t>
      </w:r>
      <w:proofErr w:type="gramStart"/>
      <w:r>
        <w:t>):e</w:t>
      </w:r>
      <w:proofErr w:type="gramEnd"/>
      <w:r>
        <w:t>1000100-e1000100.</w:t>
      </w:r>
    </w:p>
    <w:p w14:paraId="0DBE1AA3" w14:textId="77777777" w:rsidR="00E02F9F" w:rsidRPr="00B917E5" w:rsidRDefault="00FD6872" w:rsidP="00B917E5">
      <w:pPr>
        <w:pStyle w:val="ListParagraph"/>
        <w:numPr>
          <w:ilvl w:val="0"/>
          <w:numId w:val="5"/>
        </w:numPr>
        <w:spacing w:line="480" w:lineRule="auto"/>
        <w:rPr>
          <w:lang w:val="fr-FR"/>
        </w:rPr>
      </w:pPr>
      <w:proofErr w:type="spellStart"/>
      <w:r w:rsidRPr="00B917E5">
        <w:rPr>
          <w:lang w:val="fr-FR"/>
        </w:rPr>
        <w:lastRenderedPageBreak/>
        <w:t>Stroup</w:t>
      </w:r>
      <w:proofErr w:type="spellEnd"/>
      <w:r w:rsidRPr="00B917E5">
        <w:rPr>
          <w:lang w:val="fr-FR"/>
        </w:rPr>
        <w:t xml:space="preserve"> DF, Berlin </w:t>
      </w:r>
      <w:proofErr w:type="spellStart"/>
      <w:r w:rsidRPr="00B917E5">
        <w:rPr>
          <w:lang w:val="fr-FR"/>
        </w:rPr>
        <w:t>Ja</w:t>
      </w:r>
      <w:proofErr w:type="spellEnd"/>
      <w:r w:rsidRPr="00B917E5">
        <w:rPr>
          <w:lang w:val="fr-FR"/>
        </w:rPr>
        <w:t xml:space="preserve">, Morton SC, et al. </w:t>
      </w:r>
      <w:r>
        <w:t xml:space="preserve">Meta-analysis of observational studies in epidemiology: a proposal for reporting. Meta-analysis Of Observational Studies in Epidemiology (MOOSE) group. </w:t>
      </w:r>
      <w:proofErr w:type="gramStart"/>
      <w:r w:rsidRPr="00B917E5">
        <w:rPr>
          <w:i/>
          <w:iCs/>
        </w:rPr>
        <w:t>JAMA :</w:t>
      </w:r>
      <w:proofErr w:type="gramEnd"/>
      <w:r w:rsidRPr="00B917E5">
        <w:rPr>
          <w:i/>
          <w:iCs/>
        </w:rPr>
        <w:t xml:space="preserve"> the journal of the American Medical Association. </w:t>
      </w:r>
      <w:proofErr w:type="gramStart"/>
      <w:r>
        <w:t>2000;283:2008</w:t>
      </w:r>
      <w:proofErr w:type="gramEnd"/>
      <w:r>
        <w:t>-2012.</w:t>
      </w:r>
    </w:p>
    <w:p w14:paraId="51108F18" w14:textId="77777777" w:rsidR="00E02F9F" w:rsidRDefault="00FD6872" w:rsidP="00B917E5">
      <w:pPr>
        <w:pStyle w:val="ListParagraph"/>
        <w:numPr>
          <w:ilvl w:val="0"/>
          <w:numId w:val="5"/>
        </w:numPr>
        <w:spacing w:line="480" w:lineRule="auto"/>
      </w:pPr>
      <w:r>
        <w:t xml:space="preserve">DerSimonian R, Laird N. Meta-analysis in clinical trials. Control Clin Trials. 1986;7(3):177–88. </w:t>
      </w:r>
    </w:p>
    <w:p w14:paraId="034E682F" w14:textId="77777777" w:rsidR="00E02F9F" w:rsidRPr="00B917E5" w:rsidRDefault="00FD6872" w:rsidP="00B917E5">
      <w:pPr>
        <w:pStyle w:val="ListParagraph"/>
        <w:numPr>
          <w:ilvl w:val="0"/>
          <w:numId w:val="5"/>
        </w:numPr>
        <w:spacing w:line="480" w:lineRule="auto"/>
        <w:rPr>
          <w:lang w:val="de-DE"/>
        </w:rPr>
      </w:pPr>
      <w:r w:rsidRPr="00B917E5">
        <w:rPr>
          <w:lang w:val="de-DE"/>
        </w:rPr>
        <w:t xml:space="preserve">Borenstein M, Hedges L, Higgins J, Rothstein H. Comprehensive Meta Analysis. </w:t>
      </w:r>
      <w:r>
        <w:t xml:space="preserve">Englewood, NJ: </w:t>
      </w:r>
      <w:proofErr w:type="spellStart"/>
      <w:r>
        <w:t>Biostat</w:t>
      </w:r>
      <w:proofErr w:type="spellEnd"/>
      <w:r>
        <w:t xml:space="preserve">; 2013. </w:t>
      </w:r>
    </w:p>
    <w:p w14:paraId="71FF8C18" w14:textId="77777777" w:rsidR="00E02F9F" w:rsidRDefault="00FD6872" w:rsidP="00B917E5">
      <w:pPr>
        <w:pStyle w:val="ListParagraph"/>
        <w:numPr>
          <w:ilvl w:val="0"/>
          <w:numId w:val="5"/>
        </w:numPr>
        <w:spacing w:line="480" w:lineRule="auto"/>
      </w:pPr>
      <w:r>
        <w:t>Higgins JP, Thompson SG. Quantifying heterogeneity in a meta</w:t>
      </w:r>
      <w:r w:rsidRPr="00B917E5">
        <w:rPr>
          <w:rFonts w:ascii="Arial Unicode MS" w:hAnsi="Arial Unicode MS"/>
        </w:rPr>
        <w:t>‐</w:t>
      </w:r>
      <w:r>
        <w:t xml:space="preserve">analysis. Stat Med. 2002;21(11):1539–58. </w:t>
      </w:r>
    </w:p>
    <w:p w14:paraId="73AE5753" w14:textId="77777777" w:rsidR="00E02F9F" w:rsidRDefault="00FD6872" w:rsidP="00B917E5">
      <w:pPr>
        <w:pStyle w:val="ListParagraph"/>
        <w:numPr>
          <w:ilvl w:val="0"/>
          <w:numId w:val="5"/>
        </w:numPr>
        <w:spacing w:line="480" w:lineRule="auto"/>
      </w:pPr>
      <w:r>
        <w:t xml:space="preserve">Sterne JA, Egger M, Moher D. Addressing reporting biases. Cochrane </w:t>
      </w:r>
      <w:proofErr w:type="spellStart"/>
      <w:r>
        <w:t>Handb</w:t>
      </w:r>
      <w:proofErr w:type="spellEnd"/>
      <w:r>
        <w:t xml:space="preserve"> Syst Rev </w:t>
      </w:r>
      <w:proofErr w:type="spellStart"/>
      <w:r>
        <w:t>Interv</w:t>
      </w:r>
      <w:proofErr w:type="spellEnd"/>
      <w:r>
        <w:t xml:space="preserve"> Cochrane Book Ser. 2008;297–333. </w:t>
      </w:r>
    </w:p>
    <w:p w14:paraId="0258FD92" w14:textId="77777777" w:rsidR="00E02F9F" w:rsidRDefault="00FD6872" w:rsidP="00B917E5">
      <w:pPr>
        <w:pStyle w:val="ListParagraph"/>
        <w:numPr>
          <w:ilvl w:val="0"/>
          <w:numId w:val="5"/>
        </w:numPr>
        <w:spacing w:line="480" w:lineRule="auto"/>
      </w:pPr>
      <w:r>
        <w:t xml:space="preserve">Begg CB, Mazumdar M. Operating Characteristics of a Rank Correlation Test for Publication Bias. Biometrics. </w:t>
      </w:r>
      <w:proofErr w:type="gramStart"/>
      <w:r>
        <w:t>1994;</w:t>
      </w:r>
      <w:proofErr w:type="gramEnd"/>
      <w:r>
        <w:t xml:space="preserve"> </w:t>
      </w:r>
    </w:p>
    <w:p w14:paraId="2B048B9A" w14:textId="77777777" w:rsidR="00E02F9F" w:rsidRDefault="00FD6872" w:rsidP="00B917E5">
      <w:pPr>
        <w:pStyle w:val="ListParagraph"/>
        <w:numPr>
          <w:ilvl w:val="0"/>
          <w:numId w:val="5"/>
        </w:numPr>
        <w:spacing w:line="480" w:lineRule="auto"/>
      </w:pPr>
      <w:r>
        <w:t xml:space="preserve">Egger M, Smith GD, Schneider M, Minder C. Bias in </w:t>
      </w:r>
      <w:proofErr w:type="spellStart"/>
      <w:proofErr w:type="gramStart"/>
      <w:r>
        <w:t>meta  analysis</w:t>
      </w:r>
      <w:proofErr w:type="spellEnd"/>
      <w:proofErr w:type="gramEnd"/>
      <w:r>
        <w:t xml:space="preserve"> detected by a simple, graphical test. BMJ. </w:t>
      </w:r>
      <w:proofErr w:type="gramStart"/>
      <w:r>
        <w:t>1997;</w:t>
      </w:r>
      <w:proofErr w:type="gramEnd"/>
      <w:r>
        <w:t xml:space="preserve"> </w:t>
      </w:r>
    </w:p>
    <w:p w14:paraId="686C6A50" w14:textId="77777777" w:rsidR="00E02F9F" w:rsidRDefault="00FD6872" w:rsidP="00B917E5">
      <w:pPr>
        <w:pStyle w:val="ListParagraph"/>
        <w:numPr>
          <w:ilvl w:val="0"/>
          <w:numId w:val="5"/>
        </w:numPr>
        <w:spacing w:line="480" w:lineRule="auto"/>
      </w:pPr>
      <w:r>
        <w:t xml:space="preserve">Duval S, Tweedie R. </w:t>
      </w:r>
      <w:proofErr w:type="gramStart"/>
      <w:r>
        <w:t>Trim</w:t>
      </w:r>
      <w:proofErr w:type="gramEnd"/>
      <w:r>
        <w:t xml:space="preserve"> and fill: A simple funnel-plot-based method of testing and adjusting for publication bias in meta-analysis. Biometrics. </w:t>
      </w:r>
      <w:proofErr w:type="gramStart"/>
      <w:r>
        <w:t>2000;</w:t>
      </w:r>
      <w:proofErr w:type="gramEnd"/>
      <w:r>
        <w:t xml:space="preserve"> </w:t>
      </w:r>
    </w:p>
    <w:p w14:paraId="223767F7" w14:textId="77777777" w:rsidR="00E02F9F" w:rsidRDefault="00FD6872" w:rsidP="00B917E5">
      <w:pPr>
        <w:pStyle w:val="ListParagraph"/>
        <w:numPr>
          <w:ilvl w:val="0"/>
          <w:numId w:val="5"/>
        </w:numPr>
        <w:spacing w:line="480" w:lineRule="auto"/>
      </w:pPr>
      <w:r>
        <w:t>Wells GA, Tugwell P, O’Connell D, et al. The Newcastle-Ottawa Scale (NOS) for assessing the quality of nonrandomized studies in meta-analyses. 2015.</w:t>
      </w:r>
    </w:p>
    <w:p w14:paraId="429C2D98" w14:textId="77777777" w:rsidR="00E02F9F" w:rsidRDefault="00FD6872" w:rsidP="00B917E5">
      <w:pPr>
        <w:pStyle w:val="ListParagraph"/>
        <w:numPr>
          <w:ilvl w:val="0"/>
          <w:numId w:val="5"/>
        </w:numPr>
        <w:spacing w:line="480" w:lineRule="auto"/>
      </w:pPr>
      <w:r>
        <w:t xml:space="preserve">Luchini C, Stubbs B, Solmi M, Veronese N. Assessing the quality of studies in meta-analysis: advantages and limitations of the Newcastle Ottawa Scale. </w:t>
      </w:r>
      <w:r w:rsidRPr="00B917E5">
        <w:rPr>
          <w:i/>
          <w:iCs/>
        </w:rPr>
        <w:t xml:space="preserve">World J Meta-Anal. </w:t>
      </w:r>
      <w:proofErr w:type="gramStart"/>
      <w:r>
        <w:t>2017;5:1</w:t>
      </w:r>
      <w:proofErr w:type="gramEnd"/>
      <w:r>
        <w:t>-48.</w:t>
      </w:r>
    </w:p>
    <w:p w14:paraId="7C8E0944" w14:textId="77777777" w:rsidR="00E02F9F" w:rsidRDefault="00FD6872" w:rsidP="00B917E5">
      <w:pPr>
        <w:pStyle w:val="ListParagraph"/>
        <w:numPr>
          <w:ilvl w:val="0"/>
          <w:numId w:val="5"/>
        </w:numPr>
        <w:spacing w:line="480" w:lineRule="auto"/>
      </w:pPr>
      <w:r>
        <w:t xml:space="preserve">Reed </w:t>
      </w:r>
      <w:proofErr w:type="spellStart"/>
      <w:r>
        <w:t>Siemieniuk</w:t>
      </w:r>
      <w:proofErr w:type="spellEnd"/>
      <w:r>
        <w:t xml:space="preserve"> and Gordon </w:t>
      </w:r>
      <w:proofErr w:type="spellStart"/>
      <w:r>
        <w:t>Guyatt</w:t>
      </w:r>
      <w:proofErr w:type="spellEnd"/>
      <w:r w:rsidRPr="00B917E5">
        <w:rPr>
          <w:lang w:val="it-IT"/>
        </w:rPr>
        <w:t xml:space="preserve">. What is GRADE. </w:t>
      </w:r>
      <w:r>
        <w:t>https://bestpractice.bmj.com/info/toolkit/learn-ebm/what-is-grade/</w:t>
      </w:r>
      <w:r w:rsidRPr="00B917E5">
        <w:rPr>
          <w:lang w:val="it-IT"/>
        </w:rPr>
        <w:t xml:space="preserve"> (Accessed April 2021)</w:t>
      </w:r>
    </w:p>
    <w:p w14:paraId="700668DE" w14:textId="77777777" w:rsidR="00E02F9F" w:rsidRDefault="00FD6872" w:rsidP="00B917E5">
      <w:pPr>
        <w:pStyle w:val="ListParagraph"/>
        <w:numPr>
          <w:ilvl w:val="0"/>
          <w:numId w:val="5"/>
        </w:numPr>
        <w:spacing w:line="480" w:lineRule="auto"/>
      </w:pPr>
      <w:r>
        <w:lastRenderedPageBreak/>
        <w:t xml:space="preserve">Bulut EC, </w:t>
      </w:r>
      <w:proofErr w:type="spellStart"/>
      <w:r>
        <w:t>Ertaş</w:t>
      </w:r>
      <w:proofErr w:type="spellEnd"/>
      <w:r>
        <w:t xml:space="preserve"> K, </w:t>
      </w:r>
      <w:proofErr w:type="spellStart"/>
      <w:r>
        <w:t>Bulut</w:t>
      </w:r>
      <w:proofErr w:type="spellEnd"/>
      <w:r>
        <w:t xml:space="preserve"> D, </w:t>
      </w:r>
      <w:proofErr w:type="spellStart"/>
      <w:r>
        <w:t>Koparal</w:t>
      </w:r>
      <w:proofErr w:type="spellEnd"/>
      <w:r>
        <w:t xml:space="preserve"> MY, </w:t>
      </w:r>
      <w:proofErr w:type="spellStart"/>
      <w:r>
        <w:t>Çetin</w:t>
      </w:r>
      <w:proofErr w:type="spellEnd"/>
      <w:r>
        <w:t xml:space="preserve"> S. The effect of COVID-19 epidemic on the sexual function of healthcare professionals. </w:t>
      </w:r>
      <w:proofErr w:type="spellStart"/>
      <w:r>
        <w:t>Andrologia</w:t>
      </w:r>
      <w:proofErr w:type="spellEnd"/>
      <w:r>
        <w:t>. 2021 Apr;53(3</w:t>
      </w:r>
      <w:proofErr w:type="gramStart"/>
      <w:r>
        <w:t>):e</w:t>
      </w:r>
      <w:proofErr w:type="gramEnd"/>
      <w:r>
        <w:t>13971.</w:t>
      </w:r>
    </w:p>
    <w:p w14:paraId="40F1ED88" w14:textId="77777777" w:rsidR="00E02F9F" w:rsidRDefault="00FD6872" w:rsidP="00B917E5">
      <w:pPr>
        <w:pStyle w:val="ListParagraph"/>
        <w:numPr>
          <w:ilvl w:val="0"/>
          <w:numId w:val="5"/>
        </w:numPr>
        <w:spacing w:line="480" w:lineRule="auto"/>
      </w:pPr>
      <w:proofErr w:type="spellStart"/>
      <w:r>
        <w:t>Culha</w:t>
      </w:r>
      <w:proofErr w:type="spellEnd"/>
      <w:r>
        <w:t xml:space="preserve"> MG, Demir O, </w:t>
      </w:r>
      <w:proofErr w:type="spellStart"/>
      <w:r>
        <w:t>Sahin</w:t>
      </w:r>
      <w:proofErr w:type="spellEnd"/>
      <w:r>
        <w:t xml:space="preserve"> O, </w:t>
      </w:r>
      <w:proofErr w:type="spellStart"/>
      <w:r>
        <w:t>Altunrende</w:t>
      </w:r>
      <w:proofErr w:type="spellEnd"/>
      <w:r>
        <w:t xml:space="preserve"> F. Sexual attitudes of healthcare professionals during the COVID-19 outbreak. Int J Impot Res. 2021 Jan;33(1):102-109. </w:t>
      </w:r>
    </w:p>
    <w:p w14:paraId="1C324F01" w14:textId="77777777" w:rsidR="00E02F9F" w:rsidRDefault="00FD6872" w:rsidP="00B917E5">
      <w:pPr>
        <w:pStyle w:val="ListParagraph"/>
        <w:numPr>
          <w:ilvl w:val="0"/>
          <w:numId w:val="5"/>
        </w:numPr>
        <w:spacing w:line="480" w:lineRule="auto"/>
      </w:pPr>
      <w:r>
        <w:t>Fang D, Peng J, Liao S, Tang Y, Cui W, Yuan Y, Wu D, Hu B, Wang R, Song W, Gao B, Jin L, Zhang Z. An Online Questionnaire Survey on the Sexual Life and Sexual Function of Chinese Adult Men During the Coronavirus Disease 2019 Epidemic. Sex Med. 2021 Feb;9(1):100293.</w:t>
      </w:r>
    </w:p>
    <w:p w14:paraId="510D8F9C" w14:textId="77777777" w:rsidR="00E02F9F" w:rsidRPr="00B917E5" w:rsidRDefault="00FD6872" w:rsidP="00B917E5">
      <w:pPr>
        <w:pStyle w:val="ListParagraph"/>
        <w:numPr>
          <w:ilvl w:val="0"/>
          <w:numId w:val="5"/>
        </w:numPr>
        <w:spacing w:line="480" w:lineRule="auto"/>
        <w:rPr>
          <w:lang w:val="it-IT"/>
        </w:rPr>
      </w:pPr>
      <w:r w:rsidRPr="00B917E5">
        <w:rPr>
          <w:lang w:val="it-IT"/>
        </w:rPr>
        <w:t xml:space="preserve">Mollaioli D, Sansone A, Ciocca G, Limoncin E, Colonnello E, Di Lorenzo G, Jannini EA. </w:t>
      </w:r>
      <w:r>
        <w:t>Benefits of Sexual Activity on Psychological, Relational, and Sexual Health During the COVID-19 Breakout. J Sex Med. 2021 Jan;18(1):35-49.</w:t>
      </w:r>
    </w:p>
    <w:p w14:paraId="104B40FF" w14:textId="77777777" w:rsidR="00E02F9F" w:rsidRDefault="00FD6872" w:rsidP="00B917E5">
      <w:pPr>
        <w:pStyle w:val="ListParagraph"/>
        <w:numPr>
          <w:ilvl w:val="0"/>
          <w:numId w:val="5"/>
        </w:numPr>
        <w:spacing w:line="480" w:lineRule="auto"/>
      </w:pPr>
      <w:r>
        <w:t>Omar SS, Dawood W, Eid N, Eldeeb D, Munir A, Arafat W. Psychological and Sexual Health During the COVID-19 Pandemic in Egypt: Are Women Suffering More? Sex Med. 2021 Feb;9(1):100295.</w:t>
      </w:r>
    </w:p>
    <w:p w14:paraId="32092AA3" w14:textId="77777777" w:rsidR="00E02F9F" w:rsidRPr="00B917E5" w:rsidRDefault="00FD6872" w:rsidP="00B917E5">
      <w:pPr>
        <w:pStyle w:val="ListParagraph"/>
        <w:numPr>
          <w:ilvl w:val="0"/>
          <w:numId w:val="5"/>
        </w:numPr>
        <w:spacing w:line="480" w:lineRule="auto"/>
        <w:rPr>
          <w:lang w:val="it-IT"/>
        </w:rPr>
      </w:pPr>
      <w:r w:rsidRPr="00B917E5">
        <w:rPr>
          <w:lang w:val="it-IT"/>
        </w:rPr>
        <w:t xml:space="preserve">Rocks S and Idriss O. </w:t>
      </w:r>
      <w:r>
        <w:t>Did hospital capacity affect mortality during the pandemic’s first wave?</w:t>
      </w:r>
      <w:r w:rsidRPr="00B917E5">
        <w:rPr>
          <w:lang w:val="it-IT"/>
        </w:rPr>
        <w:t xml:space="preserve"> </w:t>
      </w:r>
      <w:r>
        <w:t>https://www.health.org.uk/news-and-comment/charts-and-infographics/did-hospital-capacity-affect-mortality-during-the-pandemic</w:t>
      </w:r>
      <w:r w:rsidRPr="00B917E5">
        <w:rPr>
          <w:lang w:val="it-IT"/>
        </w:rPr>
        <w:t xml:space="preserve"> (Accessed May 2021)</w:t>
      </w:r>
    </w:p>
    <w:p w14:paraId="24B58B4E" w14:textId="77777777" w:rsidR="00E02F9F" w:rsidRDefault="00FD6872" w:rsidP="00B917E5">
      <w:pPr>
        <w:pStyle w:val="ListParagraph"/>
        <w:numPr>
          <w:ilvl w:val="0"/>
          <w:numId w:val="5"/>
        </w:numPr>
        <w:spacing w:line="480" w:lineRule="auto"/>
      </w:pPr>
      <w:proofErr w:type="spellStart"/>
      <w:r>
        <w:t>Brotto</w:t>
      </w:r>
      <w:proofErr w:type="spellEnd"/>
      <w:r>
        <w:t xml:space="preserve"> L, </w:t>
      </w:r>
      <w:proofErr w:type="spellStart"/>
      <w:r>
        <w:t>Atallah</w:t>
      </w:r>
      <w:proofErr w:type="spellEnd"/>
      <w:r>
        <w:t xml:space="preserve"> S, Johnson-</w:t>
      </w:r>
      <w:proofErr w:type="spellStart"/>
      <w:r>
        <w:t>Agbakwu</w:t>
      </w:r>
      <w:proofErr w:type="spellEnd"/>
      <w:r>
        <w:t xml:space="preserve"> C, Rosenbaum T, Abdo C, Byers ES, Graham C, Nobre P, Wylie K. Psychological and Interpersonal Dimensions of Sexual Function and Dysfunction. J Sex Med. 2016 Apr;13(4):538-71.</w:t>
      </w:r>
    </w:p>
    <w:p w14:paraId="63ADEBE0" w14:textId="77777777" w:rsidR="00E02F9F" w:rsidRDefault="00FD6872" w:rsidP="00B917E5">
      <w:pPr>
        <w:pStyle w:val="ListParagraph"/>
        <w:numPr>
          <w:ilvl w:val="0"/>
          <w:numId w:val="5"/>
        </w:numPr>
        <w:spacing w:line="480" w:lineRule="auto"/>
      </w:pPr>
      <w:r>
        <w:t xml:space="preserve">Tang L, Pan L, Yuan L, Zha L. </w:t>
      </w:r>
      <w:proofErr w:type="gramStart"/>
      <w:r>
        <w:t>Prevalence</w:t>
      </w:r>
      <w:proofErr w:type="gramEnd"/>
      <w:r>
        <w:t xml:space="preserve"> and related factors of post-traumatic stress disorder among medical staff members exposed to H7N9 patients. Int J </w:t>
      </w:r>
      <w:proofErr w:type="spellStart"/>
      <w:r>
        <w:t>Nurs</w:t>
      </w:r>
      <w:proofErr w:type="spellEnd"/>
      <w:r>
        <w:t xml:space="preserve"> Sci. 2016 Dec 11;4(1):63-67.</w:t>
      </w:r>
    </w:p>
    <w:p w14:paraId="223EE797" w14:textId="77777777" w:rsidR="00E02F9F" w:rsidRDefault="00FD6872" w:rsidP="00B917E5">
      <w:pPr>
        <w:pStyle w:val="ListParagraph"/>
        <w:numPr>
          <w:ilvl w:val="0"/>
          <w:numId w:val="5"/>
        </w:numPr>
        <w:spacing w:line="480" w:lineRule="auto"/>
      </w:pPr>
      <w:r>
        <w:lastRenderedPageBreak/>
        <w:t xml:space="preserve">Chen NH, Wang PC, Hsieh MJ, Huang CC, Kao KC, Chen YH, Tsai YH. Impact of severe acute respiratory syndrome care on the general health status of healthcare workers in </w:t>
      </w:r>
      <w:proofErr w:type="spellStart"/>
      <w:r>
        <w:t>taiwan</w:t>
      </w:r>
      <w:proofErr w:type="spellEnd"/>
      <w:r>
        <w:t xml:space="preserve">. Infect Control Hosp Epidemiol. 2007 Jan;28(1):75-9. </w:t>
      </w:r>
    </w:p>
    <w:p w14:paraId="62473EF4" w14:textId="77777777" w:rsidR="00E02F9F" w:rsidRPr="00B917E5" w:rsidRDefault="00FD6872" w:rsidP="00B917E5">
      <w:pPr>
        <w:pStyle w:val="ListParagraph"/>
        <w:numPr>
          <w:ilvl w:val="0"/>
          <w:numId w:val="5"/>
        </w:numPr>
        <w:spacing w:line="480" w:lineRule="auto"/>
        <w:rPr>
          <w:rFonts w:ascii="Arial Unicode MS" w:hAnsi="Arial Unicode MS"/>
        </w:rPr>
      </w:pPr>
      <w:r>
        <w:t xml:space="preserve">Sex and COVID-19 Fact Sheet </w:t>
      </w:r>
      <w:proofErr w:type="gramStart"/>
      <w:r>
        <w:t>The</w:t>
      </w:r>
      <w:proofErr w:type="gramEnd"/>
      <w:r>
        <w:t xml:space="preserve"> NYC Health Department 2020.  </w:t>
      </w:r>
      <w:r w:rsidRPr="00B917E5">
        <w:rPr>
          <w:u w:color="0563C1"/>
        </w:rPr>
        <w:t>https://www1.nyc.gov/assets/doh/downloads/pdf/imm/covid-sex-guidance.pdf</w:t>
      </w:r>
      <w:r>
        <w:t>. (Accessed May 2021)</w:t>
      </w:r>
      <w:r w:rsidRPr="00B917E5">
        <w:rPr>
          <w:rFonts w:eastAsia="Times New Roman"/>
        </w:rPr>
        <w:br/>
      </w:r>
      <w:r w:rsidRPr="00B917E5">
        <w:rPr>
          <w:rFonts w:ascii="Arial Unicode MS" w:hAnsi="Arial Unicode MS"/>
        </w:rPr>
        <w:br w:type="page"/>
      </w:r>
    </w:p>
    <w:p w14:paraId="6DE57360" w14:textId="77777777" w:rsidR="00BC0CDA" w:rsidRDefault="00BC0CDA" w:rsidP="00BC0CDA">
      <w:pPr>
        <w:pStyle w:val="Heading1"/>
      </w:pPr>
      <w:bookmarkStart w:id="1" w:name="_ENREF_1"/>
      <w:r>
        <w:lastRenderedPageBreak/>
        <w:t>Tables and Figures</w:t>
      </w:r>
    </w:p>
    <w:p w14:paraId="7F5043C4" w14:textId="77777777" w:rsidR="00BC0CDA" w:rsidRDefault="00BC0CDA">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276" w:lineRule="auto"/>
      </w:pPr>
    </w:p>
    <w:p w14:paraId="62471232" w14:textId="1688206A" w:rsidR="00E02F9F" w:rsidRDefault="00FD687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276" w:lineRule="auto"/>
        <w:rPr>
          <w:b/>
          <w:bCs/>
        </w:rPr>
      </w:pPr>
      <w:r>
        <w:t xml:space="preserve"> </w:t>
      </w:r>
      <w:r>
        <w:rPr>
          <w:b/>
          <w:bCs/>
        </w:rPr>
        <w:t>Table 1. Descriptive characteristics of the included studies</w:t>
      </w:r>
    </w:p>
    <w:p w14:paraId="5B91F628"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432" w:hanging="432"/>
        <w:rPr>
          <w:b/>
          <w:bCs/>
        </w:rPr>
      </w:pPr>
    </w:p>
    <w:p w14:paraId="099D4F40"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324" w:hanging="324"/>
        <w:rPr>
          <w:b/>
          <w:bCs/>
        </w:rPr>
      </w:pPr>
    </w:p>
    <w:tbl>
      <w:tblPr>
        <w:tblW w:w="8992" w:type="dxa"/>
        <w:tblInd w:w="6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19"/>
        <w:gridCol w:w="1010"/>
        <w:gridCol w:w="1160"/>
        <w:gridCol w:w="1468"/>
        <w:gridCol w:w="767"/>
        <w:gridCol w:w="1086"/>
        <w:gridCol w:w="618"/>
        <w:gridCol w:w="664"/>
      </w:tblGrid>
      <w:tr w:rsidR="00E02F9F" w14:paraId="78A416FF" w14:textId="77777777">
        <w:trPr>
          <w:trHeight w:val="1088"/>
        </w:trPr>
        <w:tc>
          <w:tcPr>
            <w:tcW w:w="2219"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72F6013F" w14:textId="77777777" w:rsidR="00E02F9F" w:rsidRDefault="00FD6872">
            <w:pPr>
              <w:pStyle w:val="Body"/>
              <w:tabs>
                <w:tab w:val="left" w:pos="708"/>
                <w:tab w:val="left" w:pos="1416"/>
              </w:tabs>
              <w:spacing w:line="276" w:lineRule="auto"/>
              <w:jc w:val="center"/>
            </w:pPr>
            <w:r>
              <w:rPr>
                <w:rFonts w:ascii="Calibri" w:eastAsia="Calibri" w:hAnsi="Calibri" w:cs="Calibri"/>
                <w:b/>
                <w:bCs/>
                <w:sz w:val="22"/>
                <w:szCs w:val="22"/>
              </w:rPr>
              <w:t>Author, year</w:t>
            </w:r>
          </w:p>
        </w:tc>
        <w:tc>
          <w:tcPr>
            <w:tcW w:w="101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629AB429" w14:textId="77777777" w:rsidR="00E02F9F" w:rsidRDefault="00FD6872">
            <w:pPr>
              <w:pStyle w:val="Body"/>
              <w:tabs>
                <w:tab w:val="left" w:pos="708"/>
              </w:tabs>
              <w:spacing w:line="276" w:lineRule="auto"/>
              <w:jc w:val="center"/>
            </w:pPr>
            <w:r>
              <w:rPr>
                <w:rFonts w:ascii="Calibri" w:eastAsia="Calibri" w:hAnsi="Calibri" w:cs="Calibri"/>
                <w:b/>
                <w:bCs/>
                <w:sz w:val="22"/>
                <w:szCs w:val="22"/>
              </w:rPr>
              <w:t>Country</w:t>
            </w:r>
          </w:p>
        </w:tc>
        <w:tc>
          <w:tcPr>
            <w:tcW w:w="1160"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63FE86D9" w14:textId="77777777" w:rsidR="00E02F9F" w:rsidRDefault="00FD6872">
            <w:pPr>
              <w:pStyle w:val="Body"/>
              <w:tabs>
                <w:tab w:val="left" w:pos="708"/>
              </w:tabs>
              <w:spacing w:line="276" w:lineRule="auto"/>
              <w:jc w:val="center"/>
            </w:pPr>
            <w:r>
              <w:rPr>
                <w:rFonts w:ascii="Calibri" w:eastAsia="Calibri" w:hAnsi="Calibri" w:cs="Calibri"/>
                <w:b/>
                <w:bCs/>
                <w:sz w:val="22"/>
                <w:szCs w:val="22"/>
              </w:rPr>
              <w:t>Area</w:t>
            </w:r>
          </w:p>
        </w:tc>
        <w:tc>
          <w:tcPr>
            <w:tcW w:w="146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368819A2" w14:textId="77777777" w:rsidR="00E02F9F" w:rsidRDefault="00FD6872">
            <w:pPr>
              <w:pStyle w:val="Body"/>
              <w:tabs>
                <w:tab w:val="left" w:pos="708"/>
              </w:tabs>
              <w:spacing w:line="276" w:lineRule="auto"/>
              <w:jc w:val="center"/>
            </w:pPr>
            <w:r>
              <w:rPr>
                <w:rFonts w:ascii="Calibri" w:eastAsia="Calibri" w:hAnsi="Calibri" w:cs="Calibri"/>
                <w:b/>
                <w:bCs/>
                <w:sz w:val="22"/>
                <w:szCs w:val="22"/>
              </w:rPr>
              <w:t>Setting</w:t>
            </w:r>
          </w:p>
        </w:tc>
        <w:tc>
          <w:tcPr>
            <w:tcW w:w="767"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1E4C3DC9" w14:textId="77777777" w:rsidR="00E02F9F" w:rsidRDefault="00FD6872">
            <w:pPr>
              <w:pStyle w:val="Body"/>
              <w:tabs>
                <w:tab w:val="left" w:pos="708"/>
              </w:tabs>
              <w:spacing w:line="276" w:lineRule="auto"/>
              <w:jc w:val="center"/>
            </w:pPr>
            <w:r>
              <w:rPr>
                <w:rFonts w:ascii="Calibri" w:eastAsia="Calibri" w:hAnsi="Calibri" w:cs="Calibri"/>
                <w:b/>
                <w:bCs/>
                <w:sz w:val="22"/>
                <w:szCs w:val="22"/>
              </w:rPr>
              <w:t>Sample size</w:t>
            </w:r>
          </w:p>
        </w:tc>
        <w:tc>
          <w:tcPr>
            <w:tcW w:w="1086"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6DEB0B01" w14:textId="77777777" w:rsidR="00E02F9F" w:rsidRDefault="00FD6872">
            <w:pPr>
              <w:pStyle w:val="Body"/>
              <w:tabs>
                <w:tab w:val="left" w:pos="708"/>
              </w:tabs>
              <w:spacing w:line="276" w:lineRule="auto"/>
              <w:jc w:val="center"/>
            </w:pPr>
            <w:r>
              <w:rPr>
                <w:rFonts w:ascii="Calibri" w:eastAsia="Calibri" w:hAnsi="Calibri" w:cs="Calibri"/>
                <w:b/>
                <w:bCs/>
                <w:sz w:val="22"/>
                <w:szCs w:val="22"/>
              </w:rPr>
              <w:t>Mean age (SD) or range</w:t>
            </w:r>
          </w:p>
        </w:tc>
        <w:tc>
          <w:tcPr>
            <w:tcW w:w="618"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6D120E09" w14:textId="1E7DAAD2" w:rsidR="00E02F9F" w:rsidRDefault="00FD6872">
            <w:pPr>
              <w:pStyle w:val="Body"/>
              <w:tabs>
                <w:tab w:val="left" w:pos="708"/>
              </w:tabs>
              <w:spacing w:line="276" w:lineRule="auto"/>
              <w:jc w:val="center"/>
            </w:pPr>
            <w:r>
              <w:rPr>
                <w:rFonts w:ascii="Calibri" w:eastAsia="Calibri" w:hAnsi="Calibri" w:cs="Calibri"/>
                <w:b/>
                <w:bCs/>
                <w:sz w:val="22"/>
                <w:szCs w:val="22"/>
              </w:rPr>
              <w:t>ED</w:t>
            </w:r>
            <w:r w:rsidR="006B7310">
              <w:rPr>
                <w:rFonts w:ascii="Calibri" w:eastAsia="Calibri" w:hAnsi="Calibri" w:cs="Calibri"/>
                <w:b/>
                <w:bCs/>
                <w:sz w:val="22"/>
                <w:szCs w:val="22"/>
              </w:rPr>
              <w:t xml:space="preserve"> prevalence</w:t>
            </w:r>
          </w:p>
        </w:tc>
        <w:tc>
          <w:tcPr>
            <w:tcW w:w="664"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vAlign w:val="center"/>
          </w:tcPr>
          <w:p w14:paraId="68B16607" w14:textId="77777777" w:rsidR="00E02F9F" w:rsidRDefault="00FD6872">
            <w:pPr>
              <w:pStyle w:val="Body"/>
              <w:tabs>
                <w:tab w:val="left" w:pos="708"/>
              </w:tabs>
              <w:spacing w:line="276" w:lineRule="auto"/>
              <w:jc w:val="center"/>
            </w:pPr>
            <w:r>
              <w:rPr>
                <w:rFonts w:ascii="Calibri" w:eastAsia="Calibri" w:hAnsi="Calibri" w:cs="Calibri"/>
                <w:b/>
                <w:bCs/>
                <w:sz w:val="22"/>
                <w:szCs w:val="22"/>
              </w:rPr>
              <w:t>NOS</w:t>
            </w:r>
          </w:p>
        </w:tc>
      </w:tr>
      <w:tr w:rsidR="00E02F9F" w14:paraId="41A7DC2B" w14:textId="77777777">
        <w:trPr>
          <w:trHeight w:val="870"/>
        </w:trPr>
        <w:tc>
          <w:tcPr>
            <w:tcW w:w="2219"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4A132986" w14:textId="77777777" w:rsidR="00E02F9F" w:rsidRDefault="00FD6872">
            <w:pPr>
              <w:pStyle w:val="Body"/>
              <w:tabs>
                <w:tab w:val="left" w:pos="708"/>
                <w:tab w:val="left" w:pos="1416"/>
              </w:tabs>
            </w:pPr>
            <w:r>
              <w:rPr>
                <w:rFonts w:ascii="Calibri" w:eastAsia="Calibri" w:hAnsi="Calibri" w:cs="Calibri"/>
                <w:sz w:val="22"/>
                <w:szCs w:val="22"/>
              </w:rPr>
              <w:t>Bulut, 2021 (1</w:t>
            </w:r>
            <w:r>
              <w:rPr>
                <w:rFonts w:ascii="Calibri" w:eastAsia="Calibri" w:hAnsi="Calibri" w:cs="Calibri"/>
                <w:sz w:val="22"/>
                <w:szCs w:val="22"/>
                <w:lang w:val="it-IT"/>
              </w:rPr>
              <w:t>9</w:t>
            </w:r>
            <w:r>
              <w:rPr>
                <w:rFonts w:ascii="Calibri" w:eastAsia="Calibri" w:hAnsi="Calibri" w:cs="Calibri"/>
                <w:sz w:val="22"/>
                <w:szCs w:val="22"/>
              </w:rPr>
              <w:t>)</w:t>
            </w:r>
          </w:p>
        </w:tc>
        <w:tc>
          <w:tcPr>
            <w:tcW w:w="101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5C2CE14E" w14:textId="77777777" w:rsidR="00E02F9F" w:rsidRDefault="00FD6872">
            <w:pPr>
              <w:pStyle w:val="Body"/>
              <w:tabs>
                <w:tab w:val="left" w:pos="708"/>
              </w:tabs>
              <w:spacing w:line="276" w:lineRule="auto"/>
              <w:jc w:val="center"/>
            </w:pPr>
            <w:r>
              <w:rPr>
                <w:rFonts w:ascii="Calibri" w:eastAsia="Calibri" w:hAnsi="Calibri" w:cs="Calibri"/>
                <w:sz w:val="22"/>
                <w:szCs w:val="22"/>
              </w:rPr>
              <w:t>Turkey</w:t>
            </w:r>
          </w:p>
        </w:tc>
        <w:tc>
          <w:tcPr>
            <w:tcW w:w="1160"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40CC4F31" w14:textId="77777777" w:rsidR="00E02F9F" w:rsidRDefault="00FD6872">
            <w:pPr>
              <w:pStyle w:val="Body"/>
              <w:tabs>
                <w:tab w:val="left" w:pos="708"/>
              </w:tabs>
              <w:spacing w:line="276" w:lineRule="auto"/>
              <w:jc w:val="center"/>
            </w:pPr>
            <w:proofErr w:type="gramStart"/>
            <w:r>
              <w:rPr>
                <w:rFonts w:ascii="Calibri" w:eastAsia="Calibri" w:hAnsi="Calibri" w:cs="Calibri"/>
                <w:sz w:val="22"/>
                <w:szCs w:val="22"/>
              </w:rPr>
              <w:t>Middle-east</w:t>
            </w:r>
            <w:proofErr w:type="gramEnd"/>
          </w:p>
        </w:tc>
        <w:tc>
          <w:tcPr>
            <w:tcW w:w="1468"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7906ED2E" w14:textId="77777777" w:rsidR="00E02F9F" w:rsidRDefault="00FD6872">
            <w:pPr>
              <w:pStyle w:val="Body"/>
              <w:tabs>
                <w:tab w:val="left" w:pos="708"/>
              </w:tabs>
              <w:spacing w:line="276" w:lineRule="auto"/>
              <w:jc w:val="center"/>
            </w:pPr>
            <w:r>
              <w:rPr>
                <w:rFonts w:ascii="Calibri" w:eastAsia="Calibri" w:hAnsi="Calibri" w:cs="Calibri"/>
                <w:sz w:val="22"/>
                <w:szCs w:val="22"/>
              </w:rPr>
              <w:t>Covid healthcare worker</w:t>
            </w:r>
          </w:p>
        </w:tc>
        <w:tc>
          <w:tcPr>
            <w:tcW w:w="767"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19C5EA82" w14:textId="77777777" w:rsidR="00E02F9F" w:rsidRDefault="00FD6872">
            <w:pPr>
              <w:pStyle w:val="Body"/>
              <w:tabs>
                <w:tab w:val="left" w:pos="708"/>
              </w:tabs>
              <w:spacing w:line="276" w:lineRule="auto"/>
              <w:jc w:val="center"/>
            </w:pPr>
            <w:r>
              <w:rPr>
                <w:rFonts w:ascii="Calibri" w:eastAsia="Calibri" w:hAnsi="Calibri" w:cs="Calibri"/>
                <w:sz w:val="22"/>
                <w:szCs w:val="22"/>
              </w:rPr>
              <w:t>159</w:t>
            </w:r>
          </w:p>
        </w:tc>
        <w:tc>
          <w:tcPr>
            <w:tcW w:w="1086" w:type="dxa"/>
            <w:tcBorders>
              <w:top w:val="single" w:sz="4" w:space="0" w:color="000000"/>
              <w:left w:val="nil"/>
              <w:bottom w:val="nil"/>
              <w:right w:val="nil"/>
            </w:tcBorders>
            <w:shd w:val="clear" w:color="auto" w:fill="FFFFFF"/>
            <w:tcMar>
              <w:top w:w="80" w:type="dxa"/>
              <w:left w:w="80" w:type="dxa"/>
              <w:bottom w:w="80" w:type="dxa"/>
              <w:right w:w="80" w:type="dxa"/>
            </w:tcMar>
            <w:vAlign w:val="center"/>
          </w:tcPr>
          <w:p w14:paraId="58C24D2D" w14:textId="77777777" w:rsidR="00E02F9F" w:rsidRDefault="00FD6872">
            <w:pPr>
              <w:pStyle w:val="Body"/>
              <w:tabs>
                <w:tab w:val="left" w:pos="708"/>
              </w:tabs>
              <w:spacing w:line="276" w:lineRule="auto"/>
              <w:jc w:val="center"/>
            </w:pPr>
            <w:r>
              <w:rPr>
                <w:rFonts w:ascii="Calibri" w:eastAsia="Calibri" w:hAnsi="Calibri" w:cs="Calibri"/>
                <w:sz w:val="22"/>
                <w:szCs w:val="22"/>
              </w:rPr>
              <w:t>19 - 55</w:t>
            </w:r>
          </w:p>
        </w:tc>
        <w:tc>
          <w:tcPr>
            <w:tcW w:w="618" w:type="dxa"/>
            <w:tcBorders>
              <w:top w:val="single" w:sz="4" w:space="0" w:color="000000"/>
              <w:left w:val="nil"/>
              <w:bottom w:val="nil"/>
              <w:right w:val="single" w:sz="4" w:space="0" w:color="FFFFFF"/>
            </w:tcBorders>
            <w:shd w:val="clear" w:color="auto" w:fill="FFFFFF"/>
            <w:tcMar>
              <w:top w:w="80" w:type="dxa"/>
              <w:left w:w="80" w:type="dxa"/>
              <w:bottom w:w="80" w:type="dxa"/>
              <w:right w:w="80" w:type="dxa"/>
            </w:tcMar>
            <w:vAlign w:val="center"/>
          </w:tcPr>
          <w:p w14:paraId="311789EB" w14:textId="2D5F5089" w:rsidR="00E02F9F" w:rsidRDefault="00FD6872">
            <w:pPr>
              <w:pStyle w:val="Body"/>
              <w:tabs>
                <w:tab w:val="left" w:pos="708"/>
              </w:tabs>
              <w:spacing w:line="276" w:lineRule="auto"/>
              <w:jc w:val="center"/>
            </w:pPr>
            <w:r>
              <w:rPr>
                <w:rFonts w:ascii="Calibri" w:eastAsia="Calibri" w:hAnsi="Calibri" w:cs="Calibri"/>
                <w:sz w:val="22"/>
                <w:szCs w:val="22"/>
              </w:rPr>
              <w:t>131</w:t>
            </w:r>
            <w:r w:rsidR="000C5157">
              <w:rPr>
                <w:rFonts w:ascii="Calibri" w:eastAsia="Calibri" w:hAnsi="Calibri" w:cs="Calibri"/>
                <w:sz w:val="22"/>
                <w:szCs w:val="22"/>
              </w:rPr>
              <w:t>/159</w:t>
            </w:r>
          </w:p>
        </w:tc>
        <w:tc>
          <w:tcPr>
            <w:tcW w:w="664" w:type="dxa"/>
            <w:tcBorders>
              <w:top w:val="single" w:sz="4" w:space="0" w:color="000000"/>
              <w:left w:val="single" w:sz="4" w:space="0" w:color="FFFFFF"/>
              <w:bottom w:val="single" w:sz="4" w:space="0" w:color="FFFFFF"/>
              <w:right w:val="single" w:sz="4" w:space="0" w:color="FFFFFF"/>
            </w:tcBorders>
            <w:shd w:val="clear" w:color="auto" w:fill="auto"/>
            <w:tcMar>
              <w:top w:w="80" w:type="dxa"/>
              <w:left w:w="80" w:type="dxa"/>
              <w:bottom w:w="80" w:type="dxa"/>
              <w:right w:w="80" w:type="dxa"/>
            </w:tcMar>
            <w:vAlign w:val="center"/>
          </w:tcPr>
          <w:p w14:paraId="6F12DCA7" w14:textId="77777777" w:rsidR="00E02F9F" w:rsidRDefault="00FD6872">
            <w:pPr>
              <w:pStyle w:val="CorpoC"/>
            </w:pPr>
            <w:r>
              <w:t>6</w:t>
            </w:r>
          </w:p>
        </w:tc>
      </w:tr>
      <w:tr w:rsidR="00E02F9F" w14:paraId="78AEFC4F" w14:textId="77777777">
        <w:trPr>
          <w:trHeight w:val="875"/>
        </w:trPr>
        <w:tc>
          <w:tcPr>
            <w:tcW w:w="2219" w:type="dxa"/>
            <w:tcBorders>
              <w:top w:val="nil"/>
              <w:left w:val="nil"/>
              <w:bottom w:val="nil"/>
              <w:right w:val="nil"/>
            </w:tcBorders>
            <w:shd w:val="clear" w:color="auto" w:fill="FFFFFF"/>
            <w:tcMar>
              <w:top w:w="80" w:type="dxa"/>
              <w:left w:w="80" w:type="dxa"/>
              <w:bottom w:w="80" w:type="dxa"/>
              <w:right w:w="80" w:type="dxa"/>
            </w:tcMar>
            <w:vAlign w:val="center"/>
          </w:tcPr>
          <w:p w14:paraId="5FB62DDE" w14:textId="77777777" w:rsidR="00E02F9F" w:rsidRDefault="00FD6872">
            <w:pPr>
              <w:pStyle w:val="Body"/>
            </w:pPr>
            <w:proofErr w:type="spellStart"/>
            <w:r>
              <w:rPr>
                <w:rFonts w:ascii="Calibri" w:eastAsia="Calibri" w:hAnsi="Calibri" w:cs="Calibri"/>
                <w:sz w:val="22"/>
                <w:szCs w:val="22"/>
              </w:rPr>
              <w:t>Culha</w:t>
            </w:r>
            <w:proofErr w:type="spellEnd"/>
            <w:r>
              <w:rPr>
                <w:rFonts w:ascii="Calibri" w:eastAsia="Calibri" w:hAnsi="Calibri" w:cs="Calibri"/>
                <w:sz w:val="22"/>
                <w:szCs w:val="22"/>
              </w:rPr>
              <w:t>, 2020 (</w:t>
            </w:r>
            <w:r>
              <w:rPr>
                <w:rFonts w:ascii="Calibri" w:eastAsia="Calibri" w:hAnsi="Calibri" w:cs="Calibri"/>
                <w:sz w:val="22"/>
                <w:szCs w:val="22"/>
                <w:lang w:val="it-IT"/>
              </w:rPr>
              <w:t>20</w:t>
            </w:r>
            <w:r>
              <w:rPr>
                <w:rFonts w:ascii="Calibri" w:eastAsia="Calibri" w:hAnsi="Calibri" w:cs="Calibri"/>
                <w:sz w:val="22"/>
                <w:szCs w:val="22"/>
              </w:rPr>
              <w:t>)</w:t>
            </w:r>
          </w:p>
        </w:tc>
        <w:tc>
          <w:tcPr>
            <w:tcW w:w="1010" w:type="dxa"/>
            <w:tcBorders>
              <w:top w:val="nil"/>
              <w:left w:val="nil"/>
              <w:bottom w:val="nil"/>
              <w:right w:val="nil"/>
            </w:tcBorders>
            <w:shd w:val="clear" w:color="auto" w:fill="FFFFFF"/>
            <w:tcMar>
              <w:top w:w="80" w:type="dxa"/>
              <w:left w:w="80" w:type="dxa"/>
              <w:bottom w:w="80" w:type="dxa"/>
              <w:right w:w="80" w:type="dxa"/>
            </w:tcMar>
            <w:vAlign w:val="center"/>
          </w:tcPr>
          <w:p w14:paraId="6B0A8C17" w14:textId="77777777" w:rsidR="00E02F9F" w:rsidRDefault="00FD6872">
            <w:pPr>
              <w:pStyle w:val="Body"/>
              <w:tabs>
                <w:tab w:val="left" w:pos="708"/>
              </w:tabs>
              <w:spacing w:line="276" w:lineRule="auto"/>
              <w:jc w:val="center"/>
            </w:pPr>
            <w:r>
              <w:rPr>
                <w:rFonts w:ascii="Calibri" w:eastAsia="Calibri" w:hAnsi="Calibri" w:cs="Calibri"/>
                <w:sz w:val="22"/>
                <w:szCs w:val="22"/>
              </w:rPr>
              <w:t>Turkey</w:t>
            </w:r>
          </w:p>
        </w:tc>
        <w:tc>
          <w:tcPr>
            <w:tcW w:w="1160" w:type="dxa"/>
            <w:tcBorders>
              <w:top w:val="nil"/>
              <w:left w:val="nil"/>
              <w:bottom w:val="nil"/>
              <w:right w:val="nil"/>
            </w:tcBorders>
            <w:shd w:val="clear" w:color="auto" w:fill="FFFFFF"/>
            <w:tcMar>
              <w:top w:w="80" w:type="dxa"/>
              <w:left w:w="80" w:type="dxa"/>
              <w:bottom w:w="80" w:type="dxa"/>
              <w:right w:w="80" w:type="dxa"/>
            </w:tcMar>
            <w:vAlign w:val="center"/>
          </w:tcPr>
          <w:p w14:paraId="0EAD4485" w14:textId="77777777" w:rsidR="00E02F9F" w:rsidRDefault="00FD6872">
            <w:pPr>
              <w:pStyle w:val="Body"/>
              <w:tabs>
                <w:tab w:val="left" w:pos="708"/>
              </w:tabs>
              <w:spacing w:line="276" w:lineRule="auto"/>
              <w:jc w:val="center"/>
            </w:pPr>
            <w:proofErr w:type="gramStart"/>
            <w:r>
              <w:rPr>
                <w:rFonts w:ascii="Calibri" w:eastAsia="Calibri" w:hAnsi="Calibri" w:cs="Calibri"/>
                <w:sz w:val="22"/>
                <w:szCs w:val="22"/>
              </w:rPr>
              <w:t>Middle-east</w:t>
            </w:r>
            <w:proofErr w:type="gramEnd"/>
          </w:p>
        </w:tc>
        <w:tc>
          <w:tcPr>
            <w:tcW w:w="1468" w:type="dxa"/>
            <w:tcBorders>
              <w:top w:val="nil"/>
              <w:left w:val="nil"/>
              <w:bottom w:val="nil"/>
              <w:right w:val="nil"/>
            </w:tcBorders>
            <w:shd w:val="clear" w:color="auto" w:fill="FFFFFF"/>
            <w:tcMar>
              <w:top w:w="80" w:type="dxa"/>
              <w:left w:w="80" w:type="dxa"/>
              <w:bottom w:w="80" w:type="dxa"/>
              <w:right w:w="80" w:type="dxa"/>
            </w:tcMar>
            <w:vAlign w:val="center"/>
          </w:tcPr>
          <w:p w14:paraId="282A6707" w14:textId="77777777" w:rsidR="00E02F9F" w:rsidRDefault="00FD6872">
            <w:pPr>
              <w:pStyle w:val="Body"/>
              <w:tabs>
                <w:tab w:val="left" w:pos="708"/>
              </w:tabs>
              <w:spacing w:line="276" w:lineRule="auto"/>
              <w:jc w:val="center"/>
            </w:pPr>
            <w:r>
              <w:rPr>
                <w:rFonts w:ascii="Calibri" w:eastAsia="Calibri" w:hAnsi="Calibri" w:cs="Calibri"/>
                <w:sz w:val="22"/>
                <w:szCs w:val="22"/>
              </w:rPr>
              <w:t>Covid healthcare worker</w:t>
            </w:r>
          </w:p>
        </w:tc>
        <w:tc>
          <w:tcPr>
            <w:tcW w:w="767" w:type="dxa"/>
            <w:tcBorders>
              <w:top w:val="nil"/>
              <w:left w:val="nil"/>
              <w:bottom w:val="nil"/>
              <w:right w:val="nil"/>
            </w:tcBorders>
            <w:shd w:val="clear" w:color="auto" w:fill="FFFFFF"/>
            <w:tcMar>
              <w:top w:w="80" w:type="dxa"/>
              <w:left w:w="80" w:type="dxa"/>
              <w:bottom w:w="80" w:type="dxa"/>
              <w:right w:w="80" w:type="dxa"/>
            </w:tcMar>
            <w:vAlign w:val="center"/>
          </w:tcPr>
          <w:p w14:paraId="7DBF40AB" w14:textId="77777777" w:rsidR="00E02F9F" w:rsidRDefault="00FD6872">
            <w:pPr>
              <w:pStyle w:val="Body"/>
              <w:tabs>
                <w:tab w:val="left" w:pos="708"/>
              </w:tabs>
              <w:spacing w:line="276" w:lineRule="auto"/>
              <w:jc w:val="center"/>
            </w:pPr>
            <w:r>
              <w:rPr>
                <w:rFonts w:ascii="Calibri" w:eastAsia="Calibri" w:hAnsi="Calibri" w:cs="Calibri"/>
                <w:sz w:val="22"/>
                <w:szCs w:val="22"/>
              </w:rPr>
              <w:t>96</w:t>
            </w:r>
          </w:p>
        </w:tc>
        <w:tc>
          <w:tcPr>
            <w:tcW w:w="1086" w:type="dxa"/>
            <w:tcBorders>
              <w:top w:val="nil"/>
              <w:left w:val="nil"/>
              <w:bottom w:val="nil"/>
              <w:right w:val="nil"/>
            </w:tcBorders>
            <w:shd w:val="clear" w:color="auto" w:fill="FFFFFF"/>
            <w:tcMar>
              <w:top w:w="80" w:type="dxa"/>
              <w:left w:w="80" w:type="dxa"/>
              <w:bottom w:w="80" w:type="dxa"/>
              <w:right w:w="80" w:type="dxa"/>
            </w:tcMar>
            <w:vAlign w:val="center"/>
          </w:tcPr>
          <w:p w14:paraId="2D20EB1D" w14:textId="77777777" w:rsidR="00E02F9F" w:rsidRDefault="00FD6872">
            <w:pPr>
              <w:pStyle w:val="Body"/>
              <w:tabs>
                <w:tab w:val="left" w:pos="708"/>
              </w:tabs>
              <w:spacing w:line="276" w:lineRule="auto"/>
              <w:jc w:val="center"/>
            </w:pPr>
            <w:r>
              <w:rPr>
                <w:rFonts w:ascii="Calibri" w:eastAsia="Calibri" w:hAnsi="Calibri" w:cs="Calibri"/>
                <w:sz w:val="22"/>
                <w:szCs w:val="22"/>
              </w:rPr>
              <w:t>30.6 (5.9)</w:t>
            </w:r>
          </w:p>
        </w:tc>
        <w:tc>
          <w:tcPr>
            <w:tcW w:w="618" w:type="dxa"/>
            <w:tcBorders>
              <w:top w:val="nil"/>
              <w:left w:val="nil"/>
              <w:bottom w:val="nil"/>
              <w:right w:val="nil"/>
            </w:tcBorders>
            <w:shd w:val="clear" w:color="auto" w:fill="FFFFFF"/>
            <w:tcMar>
              <w:top w:w="80" w:type="dxa"/>
              <w:left w:w="80" w:type="dxa"/>
              <w:bottom w:w="80" w:type="dxa"/>
              <w:right w:w="80" w:type="dxa"/>
            </w:tcMar>
            <w:vAlign w:val="center"/>
          </w:tcPr>
          <w:p w14:paraId="62E88F46" w14:textId="03026C0E" w:rsidR="00E02F9F" w:rsidRDefault="00FD6872">
            <w:pPr>
              <w:pStyle w:val="Body"/>
              <w:tabs>
                <w:tab w:val="left" w:pos="708"/>
              </w:tabs>
              <w:spacing w:line="276" w:lineRule="auto"/>
              <w:jc w:val="center"/>
            </w:pPr>
            <w:r>
              <w:rPr>
                <w:rFonts w:ascii="Calibri" w:eastAsia="Calibri" w:hAnsi="Calibri" w:cs="Calibri"/>
                <w:sz w:val="22"/>
                <w:szCs w:val="22"/>
              </w:rPr>
              <w:t>38</w:t>
            </w:r>
            <w:r w:rsidR="000C5157">
              <w:rPr>
                <w:rFonts w:ascii="Calibri" w:eastAsia="Calibri" w:hAnsi="Calibri" w:cs="Calibri"/>
                <w:sz w:val="22"/>
                <w:szCs w:val="22"/>
              </w:rPr>
              <w:t>/96</w:t>
            </w:r>
          </w:p>
        </w:tc>
        <w:tc>
          <w:tcPr>
            <w:tcW w:w="664" w:type="dxa"/>
            <w:tcBorders>
              <w:top w:val="single" w:sz="4" w:space="0" w:color="FFFFFF"/>
              <w:left w:val="nil"/>
              <w:bottom w:val="nil"/>
              <w:right w:val="nil"/>
            </w:tcBorders>
            <w:shd w:val="clear" w:color="auto" w:fill="auto"/>
            <w:tcMar>
              <w:top w:w="80" w:type="dxa"/>
              <w:left w:w="80" w:type="dxa"/>
              <w:bottom w:w="80" w:type="dxa"/>
              <w:right w:w="80" w:type="dxa"/>
            </w:tcMar>
            <w:vAlign w:val="center"/>
          </w:tcPr>
          <w:p w14:paraId="0ECD652C" w14:textId="77777777" w:rsidR="00E02F9F" w:rsidRDefault="00FD6872">
            <w:pPr>
              <w:pStyle w:val="CorpoC"/>
            </w:pPr>
            <w:r>
              <w:t>7</w:t>
            </w:r>
          </w:p>
        </w:tc>
      </w:tr>
      <w:tr w:rsidR="00E02F9F" w14:paraId="39A6803C" w14:textId="77777777">
        <w:trPr>
          <w:trHeight w:val="1107"/>
        </w:trPr>
        <w:tc>
          <w:tcPr>
            <w:tcW w:w="2219" w:type="dxa"/>
            <w:tcBorders>
              <w:top w:val="nil"/>
              <w:left w:val="nil"/>
              <w:bottom w:val="nil"/>
              <w:right w:val="nil"/>
            </w:tcBorders>
            <w:shd w:val="clear" w:color="auto" w:fill="FFFFFF"/>
            <w:tcMar>
              <w:top w:w="80" w:type="dxa"/>
              <w:left w:w="80" w:type="dxa"/>
              <w:bottom w:w="80" w:type="dxa"/>
              <w:right w:w="80" w:type="dxa"/>
            </w:tcMar>
            <w:vAlign w:val="center"/>
          </w:tcPr>
          <w:p w14:paraId="6C124CCC" w14:textId="77777777" w:rsidR="00E02F9F" w:rsidRDefault="00FD6872">
            <w:pPr>
              <w:pStyle w:val="Body"/>
            </w:pPr>
            <w:r>
              <w:rPr>
                <w:rFonts w:ascii="Calibri" w:eastAsia="Calibri" w:hAnsi="Calibri" w:cs="Calibri"/>
                <w:sz w:val="22"/>
                <w:szCs w:val="22"/>
              </w:rPr>
              <w:t>Fang 2021 (</w:t>
            </w:r>
            <w:r>
              <w:rPr>
                <w:rFonts w:ascii="Calibri" w:eastAsia="Calibri" w:hAnsi="Calibri" w:cs="Calibri"/>
                <w:sz w:val="22"/>
                <w:szCs w:val="22"/>
                <w:lang w:val="it-IT"/>
              </w:rPr>
              <w:t>21</w:t>
            </w:r>
            <w:r>
              <w:rPr>
                <w:rFonts w:ascii="Calibri" w:eastAsia="Calibri" w:hAnsi="Calibri" w:cs="Calibri"/>
                <w:sz w:val="22"/>
                <w:szCs w:val="22"/>
              </w:rPr>
              <w:t>)</w:t>
            </w:r>
          </w:p>
        </w:tc>
        <w:tc>
          <w:tcPr>
            <w:tcW w:w="1010" w:type="dxa"/>
            <w:tcBorders>
              <w:top w:val="nil"/>
              <w:left w:val="nil"/>
              <w:bottom w:val="nil"/>
              <w:right w:val="nil"/>
            </w:tcBorders>
            <w:shd w:val="clear" w:color="auto" w:fill="FFFFFF"/>
            <w:tcMar>
              <w:top w:w="80" w:type="dxa"/>
              <w:left w:w="80" w:type="dxa"/>
              <w:bottom w:w="80" w:type="dxa"/>
              <w:right w:w="80" w:type="dxa"/>
            </w:tcMar>
            <w:vAlign w:val="center"/>
          </w:tcPr>
          <w:p w14:paraId="15190FBE" w14:textId="77777777" w:rsidR="00E02F9F" w:rsidRDefault="00FD6872">
            <w:pPr>
              <w:pStyle w:val="Body"/>
              <w:tabs>
                <w:tab w:val="left" w:pos="708"/>
              </w:tabs>
              <w:spacing w:line="276" w:lineRule="auto"/>
              <w:jc w:val="center"/>
            </w:pPr>
            <w:r>
              <w:rPr>
                <w:rFonts w:ascii="Calibri" w:eastAsia="Calibri" w:hAnsi="Calibri" w:cs="Calibri"/>
                <w:sz w:val="22"/>
                <w:szCs w:val="22"/>
              </w:rPr>
              <w:t>China</w:t>
            </w:r>
          </w:p>
        </w:tc>
        <w:tc>
          <w:tcPr>
            <w:tcW w:w="1160" w:type="dxa"/>
            <w:tcBorders>
              <w:top w:val="nil"/>
              <w:left w:val="nil"/>
              <w:bottom w:val="nil"/>
              <w:right w:val="nil"/>
            </w:tcBorders>
            <w:shd w:val="clear" w:color="auto" w:fill="FFFFFF"/>
            <w:tcMar>
              <w:top w:w="80" w:type="dxa"/>
              <w:left w:w="80" w:type="dxa"/>
              <w:bottom w:w="80" w:type="dxa"/>
              <w:right w:w="80" w:type="dxa"/>
            </w:tcMar>
            <w:vAlign w:val="center"/>
          </w:tcPr>
          <w:p w14:paraId="7D7DB992" w14:textId="77777777" w:rsidR="00E02F9F" w:rsidRDefault="00FD6872">
            <w:pPr>
              <w:pStyle w:val="Body"/>
              <w:tabs>
                <w:tab w:val="left" w:pos="708"/>
              </w:tabs>
              <w:spacing w:line="276" w:lineRule="auto"/>
              <w:jc w:val="center"/>
            </w:pPr>
            <w:r>
              <w:rPr>
                <w:rFonts w:ascii="Calibri" w:eastAsia="Calibri" w:hAnsi="Calibri" w:cs="Calibri"/>
                <w:sz w:val="22"/>
                <w:szCs w:val="22"/>
              </w:rPr>
              <w:t>Asia</w:t>
            </w:r>
          </w:p>
        </w:tc>
        <w:tc>
          <w:tcPr>
            <w:tcW w:w="1468" w:type="dxa"/>
            <w:tcBorders>
              <w:top w:val="nil"/>
              <w:left w:val="nil"/>
              <w:bottom w:val="nil"/>
              <w:right w:val="nil"/>
            </w:tcBorders>
            <w:shd w:val="clear" w:color="auto" w:fill="FFFFFF"/>
            <w:tcMar>
              <w:top w:w="80" w:type="dxa"/>
              <w:left w:w="80" w:type="dxa"/>
              <w:bottom w:w="80" w:type="dxa"/>
              <w:right w:w="80" w:type="dxa"/>
            </w:tcMar>
            <w:vAlign w:val="center"/>
          </w:tcPr>
          <w:p w14:paraId="5B45162A" w14:textId="77777777" w:rsidR="00E02F9F" w:rsidRDefault="00FD6872">
            <w:pPr>
              <w:pStyle w:val="Body"/>
              <w:tabs>
                <w:tab w:val="left" w:pos="708"/>
              </w:tabs>
              <w:spacing w:line="276" w:lineRule="auto"/>
              <w:jc w:val="center"/>
            </w:pPr>
            <w:r>
              <w:rPr>
                <w:rFonts w:ascii="Calibri" w:eastAsia="Calibri" w:hAnsi="Calibri" w:cs="Calibri"/>
                <w:sz w:val="22"/>
                <w:szCs w:val="22"/>
              </w:rPr>
              <w:t>Non COVID-19 healthcare worker</w:t>
            </w:r>
          </w:p>
        </w:tc>
        <w:tc>
          <w:tcPr>
            <w:tcW w:w="767" w:type="dxa"/>
            <w:tcBorders>
              <w:top w:val="nil"/>
              <w:left w:val="nil"/>
              <w:bottom w:val="nil"/>
              <w:right w:val="nil"/>
            </w:tcBorders>
            <w:shd w:val="clear" w:color="auto" w:fill="FFFFFF"/>
            <w:tcMar>
              <w:top w:w="80" w:type="dxa"/>
              <w:left w:w="80" w:type="dxa"/>
              <w:bottom w:w="80" w:type="dxa"/>
              <w:right w:w="80" w:type="dxa"/>
            </w:tcMar>
            <w:vAlign w:val="center"/>
          </w:tcPr>
          <w:p w14:paraId="04703A7A" w14:textId="77777777" w:rsidR="00E02F9F" w:rsidRDefault="00FD6872">
            <w:pPr>
              <w:pStyle w:val="Body"/>
              <w:tabs>
                <w:tab w:val="left" w:pos="708"/>
              </w:tabs>
              <w:spacing w:line="276" w:lineRule="auto"/>
              <w:jc w:val="center"/>
            </w:pPr>
            <w:r>
              <w:rPr>
                <w:rFonts w:ascii="Calibri" w:eastAsia="Calibri" w:hAnsi="Calibri" w:cs="Calibri"/>
                <w:sz w:val="22"/>
                <w:szCs w:val="22"/>
              </w:rPr>
              <w:t>251</w:t>
            </w:r>
          </w:p>
        </w:tc>
        <w:tc>
          <w:tcPr>
            <w:tcW w:w="1086" w:type="dxa"/>
            <w:tcBorders>
              <w:top w:val="nil"/>
              <w:left w:val="nil"/>
              <w:bottom w:val="nil"/>
              <w:right w:val="nil"/>
            </w:tcBorders>
            <w:shd w:val="clear" w:color="auto" w:fill="FFFFFF"/>
            <w:tcMar>
              <w:top w:w="80" w:type="dxa"/>
              <w:left w:w="80" w:type="dxa"/>
              <w:bottom w:w="80" w:type="dxa"/>
              <w:right w:w="80" w:type="dxa"/>
            </w:tcMar>
            <w:vAlign w:val="center"/>
          </w:tcPr>
          <w:p w14:paraId="60801F67" w14:textId="77777777" w:rsidR="00E02F9F" w:rsidRDefault="00FD6872">
            <w:pPr>
              <w:pStyle w:val="CorpoC"/>
              <w:jc w:val="center"/>
            </w:pPr>
            <w:r>
              <w:t>NR</w:t>
            </w:r>
          </w:p>
        </w:tc>
        <w:tc>
          <w:tcPr>
            <w:tcW w:w="618" w:type="dxa"/>
            <w:tcBorders>
              <w:top w:val="nil"/>
              <w:left w:val="nil"/>
              <w:bottom w:val="nil"/>
              <w:right w:val="nil"/>
            </w:tcBorders>
            <w:shd w:val="clear" w:color="auto" w:fill="FFFFFF"/>
            <w:tcMar>
              <w:top w:w="80" w:type="dxa"/>
              <w:left w:w="80" w:type="dxa"/>
              <w:bottom w:w="80" w:type="dxa"/>
              <w:right w:w="80" w:type="dxa"/>
            </w:tcMar>
            <w:vAlign w:val="center"/>
          </w:tcPr>
          <w:p w14:paraId="2E419E64" w14:textId="780D5351" w:rsidR="00E02F9F" w:rsidRDefault="00FD6872">
            <w:pPr>
              <w:pStyle w:val="Body"/>
              <w:tabs>
                <w:tab w:val="left" w:pos="708"/>
              </w:tabs>
              <w:spacing w:line="276" w:lineRule="auto"/>
              <w:jc w:val="center"/>
            </w:pPr>
            <w:r>
              <w:rPr>
                <w:rFonts w:ascii="Calibri" w:eastAsia="Calibri" w:hAnsi="Calibri" w:cs="Calibri"/>
                <w:sz w:val="22"/>
                <w:szCs w:val="22"/>
              </w:rPr>
              <w:t>80</w:t>
            </w:r>
            <w:r w:rsidR="000C5157">
              <w:rPr>
                <w:rFonts w:ascii="Calibri" w:eastAsia="Calibri" w:hAnsi="Calibri" w:cs="Calibri"/>
                <w:sz w:val="22"/>
                <w:szCs w:val="22"/>
              </w:rPr>
              <w:t>/251</w:t>
            </w:r>
          </w:p>
        </w:tc>
        <w:tc>
          <w:tcPr>
            <w:tcW w:w="664" w:type="dxa"/>
            <w:tcBorders>
              <w:top w:val="nil"/>
              <w:left w:val="nil"/>
              <w:bottom w:val="nil"/>
              <w:right w:val="nil"/>
            </w:tcBorders>
            <w:shd w:val="clear" w:color="auto" w:fill="FFFFFF"/>
            <w:tcMar>
              <w:top w:w="80" w:type="dxa"/>
              <w:left w:w="80" w:type="dxa"/>
              <w:bottom w:w="80" w:type="dxa"/>
              <w:right w:w="80" w:type="dxa"/>
            </w:tcMar>
            <w:vAlign w:val="center"/>
          </w:tcPr>
          <w:p w14:paraId="2666325A" w14:textId="77777777" w:rsidR="00E02F9F" w:rsidRDefault="00FD6872">
            <w:pPr>
              <w:pStyle w:val="CorpoC"/>
            </w:pPr>
            <w:r>
              <w:t>7</w:t>
            </w:r>
          </w:p>
        </w:tc>
      </w:tr>
      <w:tr w:rsidR="00E02F9F" w14:paraId="0EF03DBF" w14:textId="77777777">
        <w:trPr>
          <w:trHeight w:val="1107"/>
        </w:trPr>
        <w:tc>
          <w:tcPr>
            <w:tcW w:w="2219" w:type="dxa"/>
            <w:tcBorders>
              <w:top w:val="nil"/>
              <w:left w:val="nil"/>
              <w:bottom w:val="nil"/>
              <w:right w:val="nil"/>
            </w:tcBorders>
            <w:shd w:val="clear" w:color="auto" w:fill="FFFFFF"/>
            <w:tcMar>
              <w:top w:w="80" w:type="dxa"/>
              <w:left w:w="80" w:type="dxa"/>
              <w:bottom w:w="80" w:type="dxa"/>
              <w:right w:w="80" w:type="dxa"/>
            </w:tcMar>
            <w:vAlign w:val="center"/>
          </w:tcPr>
          <w:p w14:paraId="439259F5" w14:textId="77777777" w:rsidR="00E02F9F" w:rsidRDefault="00FD6872">
            <w:pPr>
              <w:pStyle w:val="Body"/>
            </w:pPr>
            <w:proofErr w:type="spellStart"/>
            <w:r>
              <w:rPr>
                <w:rFonts w:ascii="Calibri" w:eastAsia="Calibri" w:hAnsi="Calibri" w:cs="Calibri"/>
                <w:sz w:val="22"/>
                <w:szCs w:val="22"/>
              </w:rPr>
              <w:t>Mollaioli</w:t>
            </w:r>
            <w:proofErr w:type="spellEnd"/>
            <w:r>
              <w:rPr>
                <w:rFonts w:ascii="Calibri" w:eastAsia="Calibri" w:hAnsi="Calibri" w:cs="Calibri"/>
                <w:sz w:val="22"/>
                <w:szCs w:val="22"/>
              </w:rPr>
              <w:t>, 2021 (</w:t>
            </w:r>
            <w:r>
              <w:rPr>
                <w:rFonts w:ascii="Calibri" w:eastAsia="Calibri" w:hAnsi="Calibri" w:cs="Calibri"/>
                <w:sz w:val="22"/>
                <w:szCs w:val="22"/>
                <w:lang w:val="it-IT"/>
              </w:rPr>
              <w:t>22</w:t>
            </w:r>
            <w:r>
              <w:rPr>
                <w:rFonts w:ascii="Calibri" w:eastAsia="Calibri" w:hAnsi="Calibri" w:cs="Calibri"/>
                <w:sz w:val="22"/>
                <w:szCs w:val="22"/>
              </w:rPr>
              <w:t>)</w:t>
            </w:r>
          </w:p>
        </w:tc>
        <w:tc>
          <w:tcPr>
            <w:tcW w:w="1010" w:type="dxa"/>
            <w:tcBorders>
              <w:top w:val="nil"/>
              <w:left w:val="nil"/>
              <w:bottom w:val="nil"/>
              <w:right w:val="nil"/>
            </w:tcBorders>
            <w:shd w:val="clear" w:color="auto" w:fill="FFFFFF"/>
            <w:tcMar>
              <w:top w:w="80" w:type="dxa"/>
              <w:left w:w="80" w:type="dxa"/>
              <w:bottom w:w="80" w:type="dxa"/>
              <w:right w:w="80" w:type="dxa"/>
            </w:tcMar>
            <w:vAlign w:val="center"/>
          </w:tcPr>
          <w:p w14:paraId="6091F5E0" w14:textId="77777777" w:rsidR="00E02F9F" w:rsidRDefault="00FD6872">
            <w:pPr>
              <w:pStyle w:val="Body"/>
              <w:tabs>
                <w:tab w:val="left" w:pos="708"/>
              </w:tabs>
              <w:spacing w:line="276" w:lineRule="auto"/>
              <w:jc w:val="center"/>
            </w:pPr>
            <w:r>
              <w:rPr>
                <w:rFonts w:ascii="Calibri" w:eastAsia="Calibri" w:hAnsi="Calibri" w:cs="Calibri"/>
                <w:sz w:val="22"/>
                <w:szCs w:val="22"/>
              </w:rPr>
              <w:t>Italy</w:t>
            </w:r>
          </w:p>
        </w:tc>
        <w:tc>
          <w:tcPr>
            <w:tcW w:w="1160" w:type="dxa"/>
            <w:tcBorders>
              <w:top w:val="nil"/>
              <w:left w:val="nil"/>
              <w:bottom w:val="nil"/>
              <w:right w:val="nil"/>
            </w:tcBorders>
            <w:shd w:val="clear" w:color="auto" w:fill="FFFFFF"/>
            <w:tcMar>
              <w:top w:w="80" w:type="dxa"/>
              <w:left w:w="80" w:type="dxa"/>
              <w:bottom w:w="80" w:type="dxa"/>
              <w:right w:w="80" w:type="dxa"/>
            </w:tcMar>
            <w:vAlign w:val="center"/>
          </w:tcPr>
          <w:p w14:paraId="5A928577" w14:textId="77777777" w:rsidR="00E02F9F" w:rsidRDefault="00FD6872">
            <w:pPr>
              <w:pStyle w:val="Body"/>
              <w:tabs>
                <w:tab w:val="left" w:pos="708"/>
              </w:tabs>
              <w:spacing w:line="276" w:lineRule="auto"/>
              <w:jc w:val="center"/>
            </w:pPr>
            <w:r>
              <w:rPr>
                <w:rFonts w:ascii="Calibri" w:eastAsia="Calibri" w:hAnsi="Calibri" w:cs="Calibri"/>
                <w:sz w:val="22"/>
                <w:szCs w:val="22"/>
              </w:rPr>
              <w:t>Europe</w:t>
            </w:r>
          </w:p>
        </w:tc>
        <w:tc>
          <w:tcPr>
            <w:tcW w:w="1468" w:type="dxa"/>
            <w:tcBorders>
              <w:top w:val="nil"/>
              <w:left w:val="nil"/>
              <w:bottom w:val="nil"/>
              <w:right w:val="nil"/>
            </w:tcBorders>
            <w:shd w:val="clear" w:color="auto" w:fill="FFFFFF"/>
            <w:tcMar>
              <w:top w:w="80" w:type="dxa"/>
              <w:left w:w="80" w:type="dxa"/>
              <w:bottom w:w="80" w:type="dxa"/>
              <w:right w:w="80" w:type="dxa"/>
            </w:tcMar>
            <w:vAlign w:val="center"/>
          </w:tcPr>
          <w:p w14:paraId="42170012" w14:textId="77777777" w:rsidR="00E02F9F" w:rsidRDefault="00FD6872">
            <w:pPr>
              <w:pStyle w:val="Body"/>
              <w:tabs>
                <w:tab w:val="left" w:pos="708"/>
              </w:tabs>
              <w:spacing w:line="276" w:lineRule="auto"/>
              <w:jc w:val="center"/>
            </w:pPr>
            <w:r>
              <w:rPr>
                <w:rFonts w:ascii="Calibri" w:eastAsia="Calibri" w:hAnsi="Calibri" w:cs="Calibri"/>
                <w:sz w:val="22"/>
                <w:szCs w:val="22"/>
              </w:rPr>
              <w:t>Non COVID-19 healthcare worker</w:t>
            </w:r>
          </w:p>
        </w:tc>
        <w:tc>
          <w:tcPr>
            <w:tcW w:w="767" w:type="dxa"/>
            <w:tcBorders>
              <w:top w:val="nil"/>
              <w:left w:val="nil"/>
              <w:bottom w:val="nil"/>
              <w:right w:val="nil"/>
            </w:tcBorders>
            <w:shd w:val="clear" w:color="auto" w:fill="FFFFFF"/>
            <w:tcMar>
              <w:top w:w="80" w:type="dxa"/>
              <w:left w:w="80" w:type="dxa"/>
              <w:bottom w:w="80" w:type="dxa"/>
              <w:right w:w="80" w:type="dxa"/>
            </w:tcMar>
            <w:vAlign w:val="center"/>
          </w:tcPr>
          <w:p w14:paraId="076A8437" w14:textId="77777777" w:rsidR="00E02F9F" w:rsidRDefault="00FD6872">
            <w:pPr>
              <w:pStyle w:val="Body"/>
              <w:tabs>
                <w:tab w:val="left" w:pos="708"/>
              </w:tabs>
              <w:spacing w:line="276" w:lineRule="auto"/>
              <w:jc w:val="center"/>
            </w:pPr>
            <w:r>
              <w:rPr>
                <w:rFonts w:ascii="Calibri" w:eastAsia="Calibri" w:hAnsi="Calibri" w:cs="Calibri"/>
                <w:sz w:val="22"/>
                <w:szCs w:val="22"/>
              </w:rPr>
              <w:t>985</w:t>
            </w:r>
          </w:p>
        </w:tc>
        <w:tc>
          <w:tcPr>
            <w:tcW w:w="1086" w:type="dxa"/>
            <w:tcBorders>
              <w:top w:val="nil"/>
              <w:left w:val="nil"/>
              <w:bottom w:val="nil"/>
              <w:right w:val="nil"/>
            </w:tcBorders>
            <w:shd w:val="clear" w:color="auto" w:fill="FFFFFF"/>
            <w:tcMar>
              <w:top w:w="80" w:type="dxa"/>
              <w:left w:w="80" w:type="dxa"/>
              <w:bottom w:w="80" w:type="dxa"/>
              <w:right w:w="80" w:type="dxa"/>
            </w:tcMar>
            <w:vAlign w:val="center"/>
          </w:tcPr>
          <w:p w14:paraId="1C5EE502" w14:textId="77777777" w:rsidR="00E02F9F" w:rsidRDefault="00FD6872">
            <w:pPr>
              <w:pStyle w:val="Body"/>
              <w:tabs>
                <w:tab w:val="left" w:pos="708"/>
              </w:tabs>
              <w:spacing w:line="276" w:lineRule="auto"/>
              <w:jc w:val="center"/>
            </w:pPr>
            <w:r>
              <w:rPr>
                <w:rFonts w:ascii="Calibri" w:eastAsia="Calibri" w:hAnsi="Calibri" w:cs="Calibri"/>
                <w:sz w:val="22"/>
                <w:szCs w:val="22"/>
              </w:rPr>
              <w:t>35.9 (11)</w:t>
            </w:r>
          </w:p>
        </w:tc>
        <w:tc>
          <w:tcPr>
            <w:tcW w:w="618" w:type="dxa"/>
            <w:tcBorders>
              <w:top w:val="nil"/>
              <w:left w:val="nil"/>
              <w:bottom w:val="nil"/>
              <w:right w:val="nil"/>
            </w:tcBorders>
            <w:shd w:val="clear" w:color="auto" w:fill="FFFFFF"/>
            <w:tcMar>
              <w:top w:w="80" w:type="dxa"/>
              <w:left w:w="80" w:type="dxa"/>
              <w:bottom w:w="80" w:type="dxa"/>
              <w:right w:w="80" w:type="dxa"/>
            </w:tcMar>
            <w:vAlign w:val="center"/>
          </w:tcPr>
          <w:p w14:paraId="7F844BF3" w14:textId="6E1CDA8C" w:rsidR="00E02F9F" w:rsidRDefault="00FD6872">
            <w:pPr>
              <w:pStyle w:val="Body"/>
              <w:tabs>
                <w:tab w:val="left" w:pos="708"/>
              </w:tabs>
              <w:spacing w:line="276" w:lineRule="auto"/>
              <w:jc w:val="center"/>
            </w:pPr>
            <w:r>
              <w:rPr>
                <w:rFonts w:ascii="Calibri" w:eastAsia="Calibri" w:hAnsi="Calibri" w:cs="Calibri"/>
                <w:sz w:val="22"/>
                <w:szCs w:val="22"/>
              </w:rPr>
              <w:t>182</w:t>
            </w:r>
            <w:r w:rsidR="00BC19C9">
              <w:rPr>
                <w:rFonts w:ascii="Calibri" w:eastAsia="Calibri" w:hAnsi="Calibri" w:cs="Calibri"/>
                <w:sz w:val="22"/>
                <w:szCs w:val="22"/>
              </w:rPr>
              <w:t>/985</w:t>
            </w:r>
          </w:p>
        </w:tc>
        <w:tc>
          <w:tcPr>
            <w:tcW w:w="664" w:type="dxa"/>
            <w:tcBorders>
              <w:top w:val="nil"/>
              <w:left w:val="nil"/>
              <w:bottom w:val="nil"/>
              <w:right w:val="nil"/>
            </w:tcBorders>
            <w:shd w:val="clear" w:color="auto" w:fill="FFFFFF"/>
            <w:tcMar>
              <w:top w:w="80" w:type="dxa"/>
              <w:left w:w="80" w:type="dxa"/>
              <w:bottom w:w="80" w:type="dxa"/>
              <w:right w:w="80" w:type="dxa"/>
            </w:tcMar>
            <w:vAlign w:val="center"/>
          </w:tcPr>
          <w:p w14:paraId="11629B65" w14:textId="77777777" w:rsidR="00E02F9F" w:rsidRDefault="00FD6872">
            <w:pPr>
              <w:pStyle w:val="CorpoC"/>
            </w:pPr>
            <w:r>
              <w:t>7</w:t>
            </w:r>
          </w:p>
        </w:tc>
      </w:tr>
      <w:tr w:rsidR="00E02F9F" w14:paraId="7B6F687E" w14:textId="77777777">
        <w:trPr>
          <w:trHeight w:val="1107"/>
        </w:trPr>
        <w:tc>
          <w:tcPr>
            <w:tcW w:w="2219" w:type="dxa"/>
            <w:tcBorders>
              <w:top w:val="nil"/>
              <w:left w:val="nil"/>
              <w:bottom w:val="single" w:sz="4" w:space="0" w:color="FFFFFF"/>
              <w:right w:val="nil"/>
            </w:tcBorders>
            <w:shd w:val="clear" w:color="auto" w:fill="FFFFFF"/>
            <w:tcMar>
              <w:top w:w="80" w:type="dxa"/>
              <w:left w:w="80" w:type="dxa"/>
              <w:bottom w:w="80" w:type="dxa"/>
              <w:right w:w="80" w:type="dxa"/>
            </w:tcMar>
            <w:vAlign w:val="center"/>
          </w:tcPr>
          <w:p w14:paraId="317D89E0" w14:textId="77777777" w:rsidR="00E02F9F" w:rsidRDefault="00FD6872">
            <w:pPr>
              <w:pStyle w:val="Body"/>
            </w:pPr>
            <w:r>
              <w:rPr>
                <w:rFonts w:ascii="Calibri" w:eastAsia="Calibri" w:hAnsi="Calibri" w:cs="Calibri"/>
                <w:sz w:val="22"/>
                <w:szCs w:val="22"/>
              </w:rPr>
              <w:t>Omar, 2021 (</w:t>
            </w:r>
            <w:r>
              <w:rPr>
                <w:rFonts w:ascii="Calibri" w:eastAsia="Calibri" w:hAnsi="Calibri" w:cs="Calibri"/>
                <w:sz w:val="22"/>
                <w:szCs w:val="22"/>
                <w:lang w:val="it-IT"/>
              </w:rPr>
              <w:t>23</w:t>
            </w:r>
            <w:r>
              <w:rPr>
                <w:rFonts w:ascii="Calibri" w:eastAsia="Calibri" w:hAnsi="Calibri" w:cs="Calibri"/>
                <w:sz w:val="22"/>
                <w:szCs w:val="22"/>
              </w:rPr>
              <w:t>)</w:t>
            </w:r>
          </w:p>
        </w:tc>
        <w:tc>
          <w:tcPr>
            <w:tcW w:w="1010" w:type="dxa"/>
            <w:tcBorders>
              <w:top w:val="nil"/>
              <w:left w:val="nil"/>
              <w:bottom w:val="nil"/>
              <w:right w:val="nil"/>
            </w:tcBorders>
            <w:shd w:val="clear" w:color="auto" w:fill="FFFFFF"/>
            <w:tcMar>
              <w:top w:w="80" w:type="dxa"/>
              <w:left w:w="80" w:type="dxa"/>
              <w:bottom w:w="80" w:type="dxa"/>
              <w:right w:w="80" w:type="dxa"/>
            </w:tcMar>
            <w:vAlign w:val="center"/>
          </w:tcPr>
          <w:p w14:paraId="381F26C6" w14:textId="77777777" w:rsidR="00E02F9F" w:rsidRDefault="00FD6872">
            <w:pPr>
              <w:pStyle w:val="Body"/>
              <w:tabs>
                <w:tab w:val="left" w:pos="708"/>
              </w:tabs>
              <w:spacing w:line="276" w:lineRule="auto"/>
              <w:jc w:val="center"/>
            </w:pPr>
            <w:r>
              <w:rPr>
                <w:rFonts w:ascii="Calibri" w:eastAsia="Calibri" w:hAnsi="Calibri" w:cs="Calibri"/>
                <w:sz w:val="22"/>
                <w:szCs w:val="22"/>
              </w:rPr>
              <w:t>Egypt</w:t>
            </w:r>
          </w:p>
        </w:tc>
        <w:tc>
          <w:tcPr>
            <w:tcW w:w="1160" w:type="dxa"/>
            <w:tcBorders>
              <w:top w:val="nil"/>
              <w:left w:val="nil"/>
              <w:bottom w:val="nil"/>
              <w:right w:val="nil"/>
            </w:tcBorders>
            <w:shd w:val="clear" w:color="auto" w:fill="FFFFFF"/>
            <w:tcMar>
              <w:top w:w="80" w:type="dxa"/>
              <w:left w:w="80" w:type="dxa"/>
              <w:bottom w:w="80" w:type="dxa"/>
              <w:right w:w="80" w:type="dxa"/>
            </w:tcMar>
            <w:vAlign w:val="center"/>
          </w:tcPr>
          <w:p w14:paraId="1E1F4FF3" w14:textId="77777777" w:rsidR="00E02F9F" w:rsidRDefault="00FD6872">
            <w:pPr>
              <w:pStyle w:val="Body"/>
              <w:tabs>
                <w:tab w:val="left" w:pos="708"/>
              </w:tabs>
              <w:spacing w:line="276" w:lineRule="auto"/>
              <w:jc w:val="center"/>
            </w:pPr>
            <w:r>
              <w:rPr>
                <w:rFonts w:ascii="Calibri" w:eastAsia="Calibri" w:hAnsi="Calibri" w:cs="Calibri"/>
                <w:sz w:val="22"/>
                <w:szCs w:val="22"/>
              </w:rPr>
              <w:t>Africa</w:t>
            </w:r>
          </w:p>
        </w:tc>
        <w:tc>
          <w:tcPr>
            <w:tcW w:w="1468" w:type="dxa"/>
            <w:tcBorders>
              <w:top w:val="nil"/>
              <w:left w:val="nil"/>
              <w:bottom w:val="nil"/>
              <w:right w:val="nil"/>
            </w:tcBorders>
            <w:shd w:val="clear" w:color="auto" w:fill="FFFFFF"/>
            <w:tcMar>
              <w:top w:w="80" w:type="dxa"/>
              <w:left w:w="80" w:type="dxa"/>
              <w:bottom w:w="80" w:type="dxa"/>
              <w:right w:w="80" w:type="dxa"/>
            </w:tcMar>
            <w:vAlign w:val="center"/>
          </w:tcPr>
          <w:p w14:paraId="324AE4D6" w14:textId="77777777" w:rsidR="00E02F9F" w:rsidRDefault="00FD6872">
            <w:pPr>
              <w:pStyle w:val="Body"/>
              <w:tabs>
                <w:tab w:val="left" w:pos="708"/>
              </w:tabs>
              <w:spacing w:line="276" w:lineRule="auto"/>
              <w:jc w:val="center"/>
            </w:pPr>
            <w:r>
              <w:rPr>
                <w:rFonts w:ascii="Calibri" w:eastAsia="Calibri" w:hAnsi="Calibri" w:cs="Calibri"/>
                <w:sz w:val="22"/>
                <w:szCs w:val="22"/>
              </w:rPr>
              <w:t>Non COVID-19 healthcare worker</w:t>
            </w:r>
          </w:p>
        </w:tc>
        <w:tc>
          <w:tcPr>
            <w:tcW w:w="767" w:type="dxa"/>
            <w:tcBorders>
              <w:top w:val="nil"/>
              <w:left w:val="nil"/>
              <w:bottom w:val="nil"/>
              <w:right w:val="nil"/>
            </w:tcBorders>
            <w:shd w:val="clear" w:color="auto" w:fill="FFFFFF"/>
            <w:tcMar>
              <w:top w:w="80" w:type="dxa"/>
              <w:left w:w="80" w:type="dxa"/>
              <w:bottom w:w="80" w:type="dxa"/>
              <w:right w:w="80" w:type="dxa"/>
            </w:tcMar>
            <w:vAlign w:val="center"/>
          </w:tcPr>
          <w:p w14:paraId="7E39AB1F" w14:textId="77777777" w:rsidR="00E02F9F" w:rsidRDefault="00FD6872">
            <w:pPr>
              <w:pStyle w:val="Body"/>
              <w:tabs>
                <w:tab w:val="left" w:pos="708"/>
              </w:tabs>
              <w:spacing w:line="276" w:lineRule="auto"/>
              <w:jc w:val="center"/>
            </w:pPr>
            <w:r>
              <w:rPr>
                <w:rFonts w:ascii="Calibri" w:eastAsia="Calibri" w:hAnsi="Calibri" w:cs="Calibri"/>
                <w:sz w:val="22"/>
                <w:szCs w:val="22"/>
              </w:rPr>
              <w:t>217</w:t>
            </w:r>
          </w:p>
        </w:tc>
        <w:tc>
          <w:tcPr>
            <w:tcW w:w="1086" w:type="dxa"/>
            <w:tcBorders>
              <w:top w:val="nil"/>
              <w:left w:val="nil"/>
              <w:bottom w:val="nil"/>
              <w:right w:val="nil"/>
            </w:tcBorders>
            <w:shd w:val="clear" w:color="auto" w:fill="FFFFFF"/>
            <w:tcMar>
              <w:top w:w="80" w:type="dxa"/>
              <w:left w:w="80" w:type="dxa"/>
              <w:bottom w:w="80" w:type="dxa"/>
              <w:right w:w="80" w:type="dxa"/>
            </w:tcMar>
            <w:vAlign w:val="center"/>
          </w:tcPr>
          <w:p w14:paraId="0566CC1C" w14:textId="77777777" w:rsidR="00E02F9F" w:rsidRDefault="00FD6872">
            <w:pPr>
              <w:pStyle w:val="CorpoC"/>
              <w:jc w:val="center"/>
            </w:pPr>
            <w:r>
              <w:t>NR</w:t>
            </w:r>
          </w:p>
        </w:tc>
        <w:tc>
          <w:tcPr>
            <w:tcW w:w="618" w:type="dxa"/>
            <w:tcBorders>
              <w:top w:val="nil"/>
              <w:left w:val="nil"/>
              <w:bottom w:val="nil"/>
              <w:right w:val="nil"/>
            </w:tcBorders>
            <w:shd w:val="clear" w:color="auto" w:fill="FFFFFF"/>
            <w:tcMar>
              <w:top w:w="80" w:type="dxa"/>
              <w:left w:w="80" w:type="dxa"/>
              <w:bottom w:w="80" w:type="dxa"/>
              <w:right w:w="80" w:type="dxa"/>
            </w:tcMar>
            <w:vAlign w:val="center"/>
          </w:tcPr>
          <w:p w14:paraId="53B10DC9" w14:textId="072B6B3B" w:rsidR="00E02F9F" w:rsidRDefault="00FD6872">
            <w:pPr>
              <w:pStyle w:val="Body"/>
              <w:tabs>
                <w:tab w:val="left" w:pos="708"/>
              </w:tabs>
              <w:spacing w:line="276" w:lineRule="auto"/>
              <w:jc w:val="center"/>
            </w:pPr>
            <w:r>
              <w:rPr>
                <w:rFonts w:ascii="Calibri" w:eastAsia="Calibri" w:hAnsi="Calibri" w:cs="Calibri"/>
                <w:sz w:val="22"/>
                <w:szCs w:val="22"/>
              </w:rPr>
              <w:t>69</w:t>
            </w:r>
            <w:r w:rsidR="00BC19C9">
              <w:rPr>
                <w:rFonts w:ascii="Calibri" w:eastAsia="Calibri" w:hAnsi="Calibri" w:cs="Calibri"/>
                <w:sz w:val="22"/>
                <w:szCs w:val="22"/>
              </w:rPr>
              <w:t>/217</w:t>
            </w:r>
          </w:p>
        </w:tc>
        <w:tc>
          <w:tcPr>
            <w:tcW w:w="664" w:type="dxa"/>
            <w:tcBorders>
              <w:top w:val="nil"/>
              <w:left w:val="nil"/>
              <w:bottom w:val="nil"/>
              <w:right w:val="nil"/>
            </w:tcBorders>
            <w:shd w:val="clear" w:color="auto" w:fill="FFFFFF"/>
            <w:tcMar>
              <w:top w:w="80" w:type="dxa"/>
              <w:left w:w="80" w:type="dxa"/>
              <w:bottom w:w="80" w:type="dxa"/>
              <w:right w:w="80" w:type="dxa"/>
            </w:tcMar>
            <w:vAlign w:val="center"/>
          </w:tcPr>
          <w:p w14:paraId="4A6ABA07" w14:textId="77777777" w:rsidR="00E02F9F" w:rsidRDefault="00FD6872">
            <w:pPr>
              <w:pStyle w:val="CorpoC"/>
            </w:pPr>
            <w:r>
              <w:t>7</w:t>
            </w:r>
          </w:p>
        </w:tc>
      </w:tr>
      <w:tr w:rsidR="00E02F9F" w14:paraId="18F239A8" w14:textId="77777777">
        <w:trPr>
          <w:trHeight w:val="1162"/>
        </w:trPr>
        <w:tc>
          <w:tcPr>
            <w:tcW w:w="2219" w:type="dxa"/>
            <w:tcBorders>
              <w:top w:val="single" w:sz="4" w:space="0" w:color="FFFFFF"/>
              <w:left w:val="single" w:sz="4" w:space="0" w:color="FFFFFF"/>
              <w:bottom w:val="single" w:sz="4" w:space="0" w:color="000000"/>
              <w:right w:val="single" w:sz="4" w:space="0" w:color="FFFFFF"/>
            </w:tcBorders>
            <w:shd w:val="clear" w:color="auto" w:fill="FFFFFF"/>
            <w:tcMar>
              <w:top w:w="80" w:type="dxa"/>
              <w:left w:w="80" w:type="dxa"/>
              <w:bottom w:w="80" w:type="dxa"/>
              <w:right w:w="80" w:type="dxa"/>
            </w:tcMar>
            <w:vAlign w:val="center"/>
          </w:tcPr>
          <w:p w14:paraId="7C08B4B0" w14:textId="77777777" w:rsidR="00E02F9F" w:rsidRDefault="00FD6872">
            <w:pPr>
              <w:pStyle w:val="Body"/>
            </w:pPr>
            <w:r>
              <w:rPr>
                <w:rFonts w:ascii="Calibri" w:eastAsia="Calibri" w:hAnsi="Calibri" w:cs="Calibri"/>
                <w:sz w:val="22"/>
                <w:szCs w:val="22"/>
              </w:rPr>
              <w:t>Bulut, 2021 (1</w:t>
            </w:r>
            <w:r>
              <w:rPr>
                <w:rFonts w:ascii="Calibri" w:eastAsia="Calibri" w:hAnsi="Calibri" w:cs="Calibri"/>
                <w:sz w:val="22"/>
                <w:szCs w:val="22"/>
                <w:lang w:val="it-IT"/>
              </w:rPr>
              <w:t>9</w:t>
            </w:r>
            <w:r>
              <w:rPr>
                <w:rFonts w:ascii="Calibri" w:eastAsia="Calibri" w:hAnsi="Calibri" w:cs="Calibri"/>
                <w:sz w:val="22"/>
                <w:szCs w:val="22"/>
              </w:rPr>
              <w:t>)</w:t>
            </w:r>
          </w:p>
        </w:tc>
        <w:tc>
          <w:tcPr>
            <w:tcW w:w="1010" w:type="dxa"/>
            <w:tcBorders>
              <w:top w:val="nil"/>
              <w:left w:val="single" w:sz="4" w:space="0" w:color="FFFFFF"/>
              <w:bottom w:val="single" w:sz="4" w:space="0" w:color="000000"/>
              <w:right w:val="nil"/>
            </w:tcBorders>
            <w:shd w:val="clear" w:color="auto" w:fill="FFFFFF"/>
            <w:tcMar>
              <w:top w:w="80" w:type="dxa"/>
              <w:left w:w="80" w:type="dxa"/>
              <w:bottom w:w="80" w:type="dxa"/>
              <w:right w:w="80" w:type="dxa"/>
            </w:tcMar>
            <w:vAlign w:val="center"/>
          </w:tcPr>
          <w:p w14:paraId="7508BB25" w14:textId="77777777" w:rsidR="00E02F9F" w:rsidRDefault="00FD6872">
            <w:pPr>
              <w:pStyle w:val="Body"/>
              <w:tabs>
                <w:tab w:val="left" w:pos="708"/>
              </w:tabs>
              <w:spacing w:line="276" w:lineRule="auto"/>
              <w:jc w:val="center"/>
            </w:pPr>
            <w:r>
              <w:rPr>
                <w:rFonts w:ascii="Calibri" w:eastAsia="Calibri" w:hAnsi="Calibri" w:cs="Calibri"/>
                <w:sz w:val="22"/>
                <w:szCs w:val="22"/>
              </w:rPr>
              <w:t>Turkey</w:t>
            </w:r>
          </w:p>
        </w:tc>
        <w:tc>
          <w:tcPr>
            <w:tcW w:w="1160"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6B007A57" w14:textId="77777777" w:rsidR="00E02F9F" w:rsidRDefault="00FD6872">
            <w:pPr>
              <w:pStyle w:val="Body"/>
              <w:tabs>
                <w:tab w:val="left" w:pos="708"/>
              </w:tabs>
              <w:spacing w:line="276" w:lineRule="auto"/>
              <w:jc w:val="center"/>
            </w:pPr>
            <w:proofErr w:type="gramStart"/>
            <w:r>
              <w:rPr>
                <w:rFonts w:ascii="Calibri" w:eastAsia="Calibri" w:hAnsi="Calibri" w:cs="Calibri"/>
                <w:sz w:val="22"/>
                <w:szCs w:val="22"/>
              </w:rPr>
              <w:t>Middle-east</w:t>
            </w:r>
            <w:proofErr w:type="gramEnd"/>
          </w:p>
        </w:tc>
        <w:tc>
          <w:tcPr>
            <w:tcW w:w="146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C625E35" w14:textId="77777777" w:rsidR="00E02F9F" w:rsidRDefault="00FD6872">
            <w:pPr>
              <w:pStyle w:val="Body"/>
              <w:tabs>
                <w:tab w:val="left" w:pos="708"/>
              </w:tabs>
              <w:spacing w:line="276" w:lineRule="auto"/>
              <w:jc w:val="center"/>
            </w:pPr>
            <w:r>
              <w:rPr>
                <w:rFonts w:ascii="Calibri" w:eastAsia="Calibri" w:hAnsi="Calibri" w:cs="Calibri"/>
                <w:sz w:val="22"/>
                <w:szCs w:val="22"/>
              </w:rPr>
              <w:t>Non COVID-19 healthcare worker</w:t>
            </w:r>
          </w:p>
        </w:tc>
        <w:tc>
          <w:tcPr>
            <w:tcW w:w="767"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4C4E1CF" w14:textId="77777777" w:rsidR="00E02F9F" w:rsidRDefault="00FD6872">
            <w:pPr>
              <w:pStyle w:val="Body"/>
              <w:tabs>
                <w:tab w:val="left" w:pos="708"/>
              </w:tabs>
              <w:spacing w:line="276" w:lineRule="auto"/>
              <w:jc w:val="center"/>
            </w:pPr>
            <w:r>
              <w:rPr>
                <w:rFonts w:ascii="Calibri" w:eastAsia="Calibri" w:hAnsi="Calibri" w:cs="Calibri"/>
                <w:sz w:val="22"/>
                <w:szCs w:val="22"/>
              </w:rPr>
              <w:t>200</w:t>
            </w:r>
          </w:p>
        </w:tc>
        <w:tc>
          <w:tcPr>
            <w:tcW w:w="1086"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001791C7" w14:textId="77777777" w:rsidR="00E02F9F" w:rsidRDefault="00FD6872">
            <w:pPr>
              <w:pStyle w:val="Body"/>
              <w:tabs>
                <w:tab w:val="left" w:pos="708"/>
              </w:tabs>
              <w:spacing w:line="276" w:lineRule="auto"/>
              <w:jc w:val="center"/>
            </w:pPr>
            <w:r>
              <w:rPr>
                <w:rFonts w:ascii="Calibri" w:eastAsia="Calibri" w:hAnsi="Calibri" w:cs="Calibri"/>
                <w:sz w:val="22"/>
                <w:szCs w:val="22"/>
              </w:rPr>
              <w:t>18 -55</w:t>
            </w:r>
          </w:p>
        </w:tc>
        <w:tc>
          <w:tcPr>
            <w:tcW w:w="618"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23402F06" w14:textId="2509B255" w:rsidR="00E02F9F" w:rsidRDefault="00FD6872">
            <w:pPr>
              <w:pStyle w:val="Body"/>
              <w:tabs>
                <w:tab w:val="left" w:pos="708"/>
              </w:tabs>
              <w:spacing w:line="276" w:lineRule="auto"/>
              <w:jc w:val="center"/>
            </w:pPr>
            <w:r>
              <w:rPr>
                <w:rFonts w:ascii="Calibri" w:eastAsia="Calibri" w:hAnsi="Calibri" w:cs="Calibri"/>
                <w:sz w:val="22"/>
                <w:szCs w:val="22"/>
              </w:rPr>
              <w:t>101</w:t>
            </w:r>
            <w:r w:rsidR="00BC19C9">
              <w:rPr>
                <w:rFonts w:ascii="Calibri" w:eastAsia="Calibri" w:hAnsi="Calibri" w:cs="Calibri"/>
                <w:sz w:val="22"/>
                <w:szCs w:val="22"/>
              </w:rPr>
              <w:t>/200</w:t>
            </w:r>
          </w:p>
        </w:tc>
        <w:tc>
          <w:tcPr>
            <w:tcW w:w="664" w:type="dxa"/>
            <w:tcBorders>
              <w:top w:val="nil"/>
              <w:left w:val="nil"/>
              <w:bottom w:val="single" w:sz="4" w:space="0" w:color="000000"/>
              <w:right w:val="nil"/>
            </w:tcBorders>
            <w:shd w:val="clear" w:color="auto" w:fill="auto"/>
            <w:tcMar>
              <w:top w:w="80" w:type="dxa"/>
              <w:left w:w="80" w:type="dxa"/>
              <w:bottom w:w="80" w:type="dxa"/>
              <w:right w:w="80" w:type="dxa"/>
            </w:tcMar>
            <w:vAlign w:val="center"/>
          </w:tcPr>
          <w:p w14:paraId="7058C7B4" w14:textId="77777777" w:rsidR="00E02F9F" w:rsidRDefault="00FD6872">
            <w:pPr>
              <w:pStyle w:val="CorpoC"/>
            </w:pPr>
            <w:r>
              <w:t>6</w:t>
            </w:r>
          </w:p>
        </w:tc>
      </w:tr>
    </w:tbl>
    <w:p w14:paraId="1F9A9FD9"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548" w:hanging="548"/>
        <w:rPr>
          <w:b/>
          <w:bCs/>
        </w:rPr>
      </w:pPr>
    </w:p>
    <w:p w14:paraId="09F31C0E" w14:textId="5B0D4C8E" w:rsidR="00E02F9F" w:rsidRDefault="00733501">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440" w:hanging="440"/>
        <w:rPr>
          <w:b/>
          <w:bCs/>
        </w:rPr>
      </w:pPr>
      <w:r>
        <w:rPr>
          <w:b/>
          <w:bCs/>
        </w:rPr>
        <w:t xml:space="preserve">ED=erectile dysfunction; NOS=Newcastle-Ottawa Scale  </w:t>
      </w:r>
    </w:p>
    <w:p w14:paraId="4E87FEDB"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332" w:hanging="332"/>
        <w:rPr>
          <w:b/>
          <w:bCs/>
        </w:rPr>
      </w:pPr>
    </w:p>
    <w:p w14:paraId="5248F31F"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224" w:hanging="224"/>
        <w:rPr>
          <w:b/>
          <w:bCs/>
        </w:rPr>
      </w:pPr>
    </w:p>
    <w:p w14:paraId="53A3C4C0"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116" w:hanging="116"/>
        <w:rPr>
          <w:b/>
          <w:bCs/>
        </w:rPr>
      </w:pPr>
    </w:p>
    <w:p w14:paraId="4CBFE772"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8" w:hanging="8"/>
        <w:rPr>
          <w:b/>
          <w:bCs/>
        </w:rPr>
      </w:pPr>
    </w:p>
    <w:p w14:paraId="791ED741"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324" w:hanging="324"/>
        <w:rPr>
          <w:b/>
          <w:bCs/>
        </w:rPr>
      </w:pPr>
    </w:p>
    <w:p w14:paraId="2F34C676"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216" w:hanging="216"/>
        <w:rPr>
          <w:b/>
          <w:bCs/>
        </w:rPr>
      </w:pPr>
    </w:p>
    <w:p w14:paraId="16AE5B6F"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108" w:hanging="108"/>
        <w:rPr>
          <w:b/>
          <w:bCs/>
        </w:rPr>
      </w:pPr>
    </w:p>
    <w:p w14:paraId="39F67E80" w14:textId="77777777" w:rsidR="00E02F9F" w:rsidRDefault="00E02F9F">
      <w:pPr>
        <w:pStyle w:val="Body"/>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rPr>
          <w:b/>
          <w:bCs/>
        </w:rPr>
      </w:pPr>
    </w:p>
    <w:p w14:paraId="48A29D0D" w14:textId="1A1F97B3" w:rsidR="00FD6872" w:rsidRDefault="00FD6872" w:rsidP="00F15BE2">
      <w:pPr>
        <w:pStyle w:val="Bod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276" w:lineRule="auto"/>
        <w:sectPr w:rsidR="00FD6872">
          <w:headerReference w:type="default" r:id="rId7"/>
          <w:footerReference w:type="default" r:id="rId8"/>
          <w:pgSz w:w="11900" w:h="16840"/>
          <w:pgMar w:top="1440" w:right="1440" w:bottom="1440" w:left="1440" w:header="720" w:footer="720" w:gutter="0"/>
          <w:cols w:space="720"/>
        </w:sectPr>
      </w:pPr>
      <w:r>
        <w:rPr>
          <w:b/>
          <w:bCs/>
        </w:rPr>
        <w:t xml:space="preserve"> </w:t>
      </w:r>
      <w:r>
        <w:rPr>
          <w:rFonts w:ascii="Arial Unicode MS" w:hAnsi="Arial Unicode MS"/>
        </w:rPr>
        <w:br w:type="page"/>
      </w:r>
      <w:bookmarkEnd w:id="1"/>
    </w:p>
    <w:p w14:paraId="12F3D128" w14:textId="5401157F" w:rsidR="00E02F9F" w:rsidRDefault="00FD6872">
      <w:pPr>
        <w:pStyle w:val="CorpoAA"/>
        <w:rPr>
          <w:b/>
          <w:bCs/>
        </w:rPr>
      </w:pPr>
      <w:r>
        <w:rPr>
          <w:b/>
          <w:bCs/>
        </w:rPr>
        <w:lastRenderedPageBreak/>
        <w:t>Figure 1: Prevalence of erectile dysfunction in healthcare workers working with COVID-19 patients and males living in an area with covid restrictions.</w:t>
      </w:r>
    </w:p>
    <w:p w14:paraId="2EABA4A1" w14:textId="77FBF63F" w:rsidR="00E02F9F" w:rsidRDefault="00FD6872">
      <w:pPr>
        <w:pStyle w:val="CorpoAA"/>
        <w:spacing w:line="480" w:lineRule="auto"/>
      </w:pPr>
      <w:r>
        <w:rPr>
          <w:noProof/>
        </w:rPr>
        <mc:AlternateContent>
          <mc:Choice Requires="wpg">
            <w:drawing>
              <wp:inline distT="0" distB="0" distL="0" distR="0" wp14:anchorId="67295F84" wp14:editId="3F9DBB02">
                <wp:extent cx="8982075" cy="3105150"/>
                <wp:effectExtent l="0" t="0" r="9525" b="0"/>
                <wp:docPr id="3" name="Group 3" descr="Table and Graph"/>
                <wp:cNvGraphicFramePr/>
                <a:graphic xmlns:a="http://schemas.openxmlformats.org/drawingml/2006/main">
                  <a:graphicData uri="http://schemas.microsoft.com/office/word/2010/wordprocessingGroup">
                    <wpg:wgp>
                      <wpg:cNvGrpSpPr/>
                      <wpg:grpSpPr>
                        <a:xfrm>
                          <a:off x="0" y="0"/>
                          <a:ext cx="8982075" cy="3105150"/>
                          <a:chOff x="0" y="0"/>
                          <a:chExt cx="7343775" cy="2952115"/>
                        </a:xfrm>
                      </wpg:grpSpPr>
                      <pic:pic xmlns:pic="http://schemas.openxmlformats.org/drawingml/2006/picture">
                        <pic:nvPicPr>
                          <pic:cNvPr id="2" name="Picture 2"/>
                          <pic:cNvPicPr>
                            <a:picLocks noChangeAspect="1"/>
                          </pic:cNvPicPr>
                        </pic:nvPicPr>
                        <pic:blipFill rotWithShape="1">
                          <a:blip r:embed="rId9">
                            <a:extLst>
                              <a:ext uri="{28A0092B-C50C-407E-A947-70E740481C1C}">
                                <a14:useLocalDpi xmlns:a14="http://schemas.microsoft.com/office/drawing/2010/main" val="0"/>
                              </a:ext>
                            </a:extLst>
                          </a:blip>
                          <a:srcRect l="64275" t="10841" r="18735" b="71952"/>
                          <a:stretch/>
                        </pic:blipFill>
                        <pic:spPr bwMode="auto">
                          <a:xfrm>
                            <a:off x="5276850" y="0"/>
                            <a:ext cx="2066925" cy="295211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 name="Picture 1"/>
                          <pic:cNvPicPr>
                            <a:picLocks noChangeAspect="1"/>
                          </pic:cNvPicPr>
                        </pic:nvPicPr>
                        <pic:blipFill rotWithShape="1">
                          <a:blip r:embed="rId9">
                            <a:extLst>
                              <a:ext uri="{28A0092B-C50C-407E-A947-70E740481C1C}">
                                <a14:useLocalDpi xmlns:a14="http://schemas.microsoft.com/office/drawing/2010/main" val="0"/>
                              </a:ext>
                            </a:extLst>
                          </a:blip>
                          <a:srcRect l="6481" t="10841" r="49874" b="71952"/>
                          <a:stretch/>
                        </pic:blipFill>
                        <pic:spPr bwMode="auto">
                          <a:xfrm>
                            <a:off x="0" y="0"/>
                            <a:ext cx="5276850" cy="2933065"/>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w:pict>
              <v:group w14:anchorId="1F86715F" id="Group 3" o:spid="_x0000_s1026" alt="Table and Graph" style="width:707.25pt;height:244.5pt;mso-position-horizontal-relative:char;mso-position-vertical-relative:line" coordsize="73437,295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52768;width:20669;height:29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">
                  <v:imagedata r:id="rId10" o:title="" croptop="7105f" cropbottom="47154f" cropleft="42123f" cropright="12278f"/>
                </v:shape>
                <v:shape id="Picture 1" o:spid="_x0000_s1028" type="#_x0000_t75" style="position:absolute;width:52768;height:29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">
                  <v:imagedata r:id="rId10" o:title="" croptop="7105f" cropbottom="47154f" cropleft="4247f" cropright="32685f"/>
                </v:shape>
                <w10:anchorlock/>
              </v:group>
            </w:pict>
          </mc:Fallback>
        </mc:AlternateContent>
      </w:r>
    </w:p>
    <w:sectPr w:rsidR="00E02F9F" w:rsidSect="00F15BE2">
      <w:pgSz w:w="16840" w:h="1190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458D" w14:textId="77777777" w:rsidR="00F31440" w:rsidRDefault="00F31440">
      <w:r>
        <w:separator/>
      </w:r>
    </w:p>
  </w:endnote>
  <w:endnote w:type="continuationSeparator" w:id="0">
    <w:p w14:paraId="28BEEFBC" w14:textId="77777777" w:rsidR="00F31440" w:rsidRDefault="00F31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8ABA" w14:textId="77777777" w:rsidR="00E02F9F" w:rsidRDefault="00E02F9F">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1D6FD" w14:textId="77777777" w:rsidR="00F31440" w:rsidRDefault="00F31440">
      <w:r>
        <w:separator/>
      </w:r>
    </w:p>
  </w:footnote>
  <w:footnote w:type="continuationSeparator" w:id="0">
    <w:p w14:paraId="7E8A81D0" w14:textId="77777777" w:rsidR="00F31440" w:rsidRDefault="00F31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93805" w14:textId="77777777" w:rsidR="00E02F9F" w:rsidRDefault="00E02F9F">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72FD9"/>
    <w:multiLevelType w:val="hybridMultilevel"/>
    <w:tmpl w:val="E8CA4BC2"/>
    <w:numStyleLink w:val="Numerato"/>
  </w:abstractNum>
  <w:abstractNum w:abstractNumId="1" w15:restartNumberingAfterBreak="0">
    <w:nsid w:val="2C6013F9"/>
    <w:multiLevelType w:val="hybridMultilevel"/>
    <w:tmpl w:val="E8CA4BC2"/>
    <w:styleLink w:val="Numerato"/>
    <w:lvl w:ilvl="0" w:tplc="EA60F942">
      <w:start w:val="1"/>
      <w:numFmt w:val="decimal"/>
      <w:lvlText w:val="%1."/>
      <w:lvlJc w:val="left"/>
      <w:pPr>
        <w:tabs>
          <w:tab w:val="left" w:pos="5448"/>
          <w:tab w:val="left" w:pos="5664"/>
          <w:tab w:val="left" w:pos="6372"/>
          <w:tab w:val="left" w:pos="7080"/>
          <w:tab w:val="left" w:pos="7788"/>
          <w:tab w:val="left" w:pos="8496"/>
          <w:tab w:val="left" w:pos="852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004AAC4">
      <w:start w:val="1"/>
      <w:numFmt w:val="lowerLetter"/>
      <w:lvlText w:val="%2."/>
      <w:lvlJc w:val="left"/>
      <w:pPr>
        <w:tabs>
          <w:tab w:val="left" w:pos="5448"/>
          <w:tab w:val="left" w:pos="5664"/>
          <w:tab w:val="left" w:pos="6372"/>
          <w:tab w:val="left" w:pos="7080"/>
          <w:tab w:val="left" w:pos="7788"/>
          <w:tab w:val="left" w:pos="8496"/>
          <w:tab w:val="left" w:pos="85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AC5604">
      <w:start w:val="1"/>
      <w:numFmt w:val="lowerRoman"/>
      <w:lvlText w:val="%3."/>
      <w:lvlJc w:val="left"/>
      <w:pPr>
        <w:tabs>
          <w:tab w:val="left" w:pos="5448"/>
          <w:tab w:val="left" w:pos="5664"/>
          <w:tab w:val="left" w:pos="6372"/>
          <w:tab w:val="left" w:pos="7080"/>
          <w:tab w:val="left" w:pos="7788"/>
          <w:tab w:val="left" w:pos="8496"/>
          <w:tab w:val="left" w:pos="8520"/>
        </w:tabs>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3BD6EC32">
      <w:start w:val="1"/>
      <w:numFmt w:val="decimal"/>
      <w:lvlText w:val="%4."/>
      <w:lvlJc w:val="left"/>
      <w:pPr>
        <w:tabs>
          <w:tab w:val="left" w:pos="5448"/>
          <w:tab w:val="left" w:pos="5664"/>
          <w:tab w:val="left" w:pos="6372"/>
          <w:tab w:val="left" w:pos="7080"/>
          <w:tab w:val="left" w:pos="7788"/>
          <w:tab w:val="left" w:pos="8496"/>
          <w:tab w:val="left" w:pos="85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9149510">
      <w:start w:val="1"/>
      <w:numFmt w:val="lowerLetter"/>
      <w:lvlText w:val="%5."/>
      <w:lvlJc w:val="left"/>
      <w:pPr>
        <w:tabs>
          <w:tab w:val="left" w:pos="5448"/>
          <w:tab w:val="left" w:pos="5664"/>
          <w:tab w:val="left" w:pos="6372"/>
          <w:tab w:val="left" w:pos="7080"/>
          <w:tab w:val="left" w:pos="7788"/>
          <w:tab w:val="left" w:pos="8496"/>
          <w:tab w:val="left" w:pos="85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CB24FEA">
      <w:start w:val="1"/>
      <w:numFmt w:val="lowerRoman"/>
      <w:lvlText w:val="%6."/>
      <w:lvlJc w:val="left"/>
      <w:pPr>
        <w:tabs>
          <w:tab w:val="left" w:pos="5448"/>
          <w:tab w:val="left" w:pos="5664"/>
          <w:tab w:val="left" w:pos="6372"/>
          <w:tab w:val="left" w:pos="7080"/>
          <w:tab w:val="left" w:pos="7788"/>
          <w:tab w:val="left" w:pos="8496"/>
          <w:tab w:val="left" w:pos="8520"/>
        </w:tabs>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3C4EE74A">
      <w:start w:val="1"/>
      <w:numFmt w:val="decimal"/>
      <w:lvlText w:val="%7."/>
      <w:lvlJc w:val="left"/>
      <w:pPr>
        <w:tabs>
          <w:tab w:val="left" w:pos="5448"/>
          <w:tab w:val="left" w:pos="5664"/>
          <w:tab w:val="left" w:pos="6372"/>
          <w:tab w:val="left" w:pos="7080"/>
          <w:tab w:val="left" w:pos="7788"/>
          <w:tab w:val="left" w:pos="8496"/>
          <w:tab w:val="left" w:pos="85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CE8E84A">
      <w:start w:val="1"/>
      <w:numFmt w:val="lowerLetter"/>
      <w:lvlText w:val="%8."/>
      <w:lvlJc w:val="left"/>
      <w:pPr>
        <w:tabs>
          <w:tab w:val="left" w:pos="5448"/>
          <w:tab w:val="left" w:pos="6372"/>
          <w:tab w:val="left" w:pos="7080"/>
          <w:tab w:val="left" w:pos="7788"/>
          <w:tab w:val="left" w:pos="8496"/>
          <w:tab w:val="left" w:pos="85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192AC7AC">
      <w:start w:val="1"/>
      <w:numFmt w:val="lowerRoman"/>
      <w:lvlText w:val="%9."/>
      <w:lvlJc w:val="left"/>
      <w:pPr>
        <w:tabs>
          <w:tab w:val="left" w:pos="5448"/>
          <w:tab w:val="left" w:pos="5664"/>
          <w:tab w:val="left" w:pos="7080"/>
          <w:tab w:val="left" w:pos="7788"/>
          <w:tab w:val="left" w:pos="8496"/>
          <w:tab w:val="left" w:pos="8520"/>
        </w:tabs>
        <w:ind w:left="6372" w:hanging="1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8144F08"/>
    <w:multiLevelType w:val="hybridMultilevel"/>
    <w:tmpl w:val="3D00B6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 w:ilvl="0" w:tplc="B22848A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D23640">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AB4409C">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148118">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94CC0F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FCA1FEC">
        <w:start w:val="1"/>
        <w:numFmt w:val="decimal"/>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8520"/>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A66F5F4">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8520"/>
          </w:tabs>
          <w:ind w:left="4956" w:hanging="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EC80E2E">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661EC6">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tplc="B22848A8">
        <w:start w:val="1"/>
        <w:numFmt w:val="decimal"/>
        <w:lvlText w:val="%1."/>
        <w:lvlJc w:val="left"/>
        <w:pPr>
          <w:tabs>
            <w:tab w:val="left" w:pos="1440"/>
            <w:tab w:val="left" w:pos="2880"/>
            <w:tab w:val="left" w:pos="4320"/>
            <w:tab w:val="left" w:pos="5760"/>
            <w:tab w:val="left" w:pos="7200"/>
            <w:tab w:val="left" w:pos="8520"/>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9D23640">
        <w:start w:val="1"/>
        <w:numFmt w:val="decimal"/>
        <w:lvlText w:val="%2."/>
        <w:lvlJc w:val="left"/>
        <w:pPr>
          <w:tabs>
            <w:tab w:val="left" w:pos="1440"/>
            <w:tab w:val="left" w:pos="2880"/>
            <w:tab w:val="left" w:pos="4320"/>
            <w:tab w:val="left" w:pos="5760"/>
            <w:tab w:val="left" w:pos="7200"/>
            <w:tab w:val="left" w:pos="8520"/>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B4409C">
        <w:start w:val="1"/>
        <w:numFmt w:val="decimal"/>
        <w:lvlText w:val="%3."/>
        <w:lvlJc w:val="left"/>
        <w:pPr>
          <w:tabs>
            <w:tab w:val="left" w:pos="1440"/>
            <w:tab w:val="left" w:pos="2880"/>
            <w:tab w:val="left" w:pos="4320"/>
            <w:tab w:val="left" w:pos="5760"/>
            <w:tab w:val="left" w:pos="7200"/>
            <w:tab w:val="left" w:pos="8520"/>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148118">
        <w:start w:val="1"/>
        <w:numFmt w:val="decimal"/>
        <w:lvlText w:val="%4."/>
        <w:lvlJc w:val="left"/>
        <w:pPr>
          <w:tabs>
            <w:tab w:val="left" w:pos="1440"/>
            <w:tab w:val="left" w:pos="2880"/>
            <w:tab w:val="left" w:pos="4320"/>
            <w:tab w:val="left" w:pos="5760"/>
            <w:tab w:val="left" w:pos="7200"/>
            <w:tab w:val="left" w:pos="8520"/>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4CC0F0">
        <w:start w:val="1"/>
        <w:numFmt w:val="decimal"/>
        <w:lvlText w:val="%5."/>
        <w:lvlJc w:val="left"/>
        <w:pPr>
          <w:tabs>
            <w:tab w:val="left" w:pos="1440"/>
            <w:tab w:val="left" w:pos="2880"/>
            <w:tab w:val="left" w:pos="4320"/>
            <w:tab w:val="left" w:pos="5760"/>
            <w:tab w:val="left" w:pos="7200"/>
            <w:tab w:val="left" w:pos="8520"/>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FCA1FEC">
        <w:start w:val="1"/>
        <w:numFmt w:val="decimal"/>
        <w:lvlText w:val="%6."/>
        <w:lvlJc w:val="left"/>
        <w:pPr>
          <w:tabs>
            <w:tab w:val="left" w:pos="1440"/>
            <w:tab w:val="left" w:pos="2880"/>
            <w:tab w:val="left" w:pos="4320"/>
            <w:tab w:val="left" w:pos="5760"/>
            <w:tab w:val="left" w:pos="7200"/>
            <w:tab w:val="left" w:pos="8520"/>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A66F5F4">
        <w:start w:val="1"/>
        <w:numFmt w:val="decimal"/>
        <w:lvlText w:val="%7."/>
        <w:lvlJc w:val="left"/>
        <w:pPr>
          <w:tabs>
            <w:tab w:val="left" w:pos="1440"/>
            <w:tab w:val="left" w:pos="2880"/>
            <w:tab w:val="left" w:pos="4320"/>
            <w:tab w:val="left" w:pos="5760"/>
            <w:tab w:val="left" w:pos="7200"/>
            <w:tab w:val="left" w:pos="8520"/>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EC80E2E">
        <w:start w:val="1"/>
        <w:numFmt w:val="decimal"/>
        <w:lvlText w:val="%8."/>
        <w:lvlJc w:val="left"/>
        <w:pPr>
          <w:tabs>
            <w:tab w:val="left" w:pos="1440"/>
            <w:tab w:val="left" w:pos="2880"/>
            <w:tab w:val="left" w:pos="4320"/>
            <w:tab w:val="left" w:pos="7200"/>
            <w:tab w:val="left" w:pos="8520"/>
          </w:tabs>
          <w:ind w:left="5760" w:hanging="1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9661EC6">
        <w:start w:val="1"/>
        <w:numFmt w:val="decimal"/>
        <w:lvlText w:val="%9."/>
        <w:lvlJc w:val="left"/>
        <w:pPr>
          <w:tabs>
            <w:tab w:val="left" w:pos="1440"/>
            <w:tab w:val="left" w:pos="2880"/>
            <w:tab w:val="left" w:pos="4320"/>
            <w:tab w:val="left" w:pos="5760"/>
            <w:tab w:val="left" w:pos="7200"/>
            <w:tab w:val="left" w:pos="8520"/>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F9F"/>
    <w:rsid w:val="000C5157"/>
    <w:rsid w:val="00607D7D"/>
    <w:rsid w:val="006B7310"/>
    <w:rsid w:val="00733501"/>
    <w:rsid w:val="0087411B"/>
    <w:rsid w:val="00B917E5"/>
    <w:rsid w:val="00BC0CDA"/>
    <w:rsid w:val="00BC19C9"/>
    <w:rsid w:val="00BE3F13"/>
    <w:rsid w:val="00DA5D6C"/>
    <w:rsid w:val="00E02F9F"/>
    <w:rsid w:val="00E67737"/>
    <w:rsid w:val="00F15BE2"/>
    <w:rsid w:val="00F31440"/>
    <w:rsid w:val="00FD68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02E3"/>
  <w15:docId w15:val="{40CEFED8-0E66-4ACD-9F6E-5C8C761A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Body"/>
    <w:next w:val="Normal"/>
    <w:link w:val="Heading1Char"/>
    <w:uiPriority w:val="9"/>
    <w:qFormat/>
    <w:rsid w:val="00B917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line="480" w:lineRule="auto"/>
      <w:outlineLvl w:val="0"/>
    </w:pPr>
    <w:rPr>
      <w:b/>
      <w:bCs/>
      <w:lang w:val="it-IT"/>
    </w:rPr>
  </w:style>
  <w:style w:type="paragraph" w:styleId="Heading2">
    <w:name w:val="heading 2"/>
    <w:basedOn w:val="Intestazione1"/>
    <w:next w:val="Normal"/>
    <w:link w:val="Heading2Char"/>
    <w:uiPriority w:val="9"/>
    <w:unhideWhenUsed/>
    <w:qFormat/>
    <w:rsid w:val="00B917E5"/>
    <w:pPr>
      <w:keepNext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outlineLvl w:val="1"/>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customStyle="1" w:styleId="Body">
    <w:name w:val="Body"/>
    <w:rPr>
      <w:rFonts w:cs="Arial Unicode MS"/>
      <w:color w:val="000000"/>
      <w:sz w:val="24"/>
      <w:szCs w:val="24"/>
      <w:u w:color="000000"/>
      <w:lang w:val="en-US"/>
    </w:rPr>
  </w:style>
  <w:style w:type="paragraph" w:customStyle="1" w:styleId="CorpoA">
    <w:name w:val="Corpo A"/>
    <w:rPr>
      <w:rFonts w:cs="Arial Unicode MS"/>
      <w:color w:val="000000"/>
      <w:sz w:val="24"/>
      <w:szCs w:val="24"/>
      <w:u w:color="000000"/>
      <w:lang w:val="en-US"/>
    </w:rPr>
  </w:style>
  <w:style w:type="numbering" w:customStyle="1" w:styleId="Numerato">
    <w:name w:val="Numerato"/>
    <w:pPr>
      <w:numPr>
        <w:numId w:val="1"/>
      </w:numPr>
    </w:pPr>
  </w:style>
  <w:style w:type="paragraph" w:customStyle="1" w:styleId="DidefaultA">
    <w:name w:val="Di default A"/>
    <w:rPr>
      <w:rFonts w:ascii="Helvetica" w:eastAsia="Helvetica" w:hAnsi="Helvetica" w:cs="Helvetica"/>
      <w:color w:val="000000"/>
      <w:sz w:val="22"/>
      <w:szCs w:val="22"/>
      <w:u w:color="000000"/>
      <w:lang w:val="en-US"/>
    </w:rPr>
  </w:style>
  <w:style w:type="paragraph" w:customStyle="1" w:styleId="Intestazione1">
    <w:name w:val="Intestazione1"/>
    <w:next w:val="CorpoAA"/>
    <w:pPr>
      <w:keepNext/>
      <w:outlineLvl w:val="0"/>
    </w:pPr>
    <w:rPr>
      <w:rFonts w:ascii="Helvetica" w:hAnsi="Helvetica" w:cs="Arial Unicode MS"/>
      <w:b/>
      <w:bCs/>
      <w:color w:val="000000"/>
      <w:sz w:val="36"/>
      <w:szCs w:val="36"/>
      <w:u w:color="000000"/>
      <w:lang w:val="en-US"/>
    </w:rPr>
  </w:style>
  <w:style w:type="paragraph" w:customStyle="1" w:styleId="CorpoAA">
    <w:name w:val="Corpo A A"/>
    <w:rPr>
      <w:rFonts w:cs="Arial Unicode MS"/>
      <w:color w:val="000000"/>
      <w:sz w:val="24"/>
      <w:szCs w:val="24"/>
      <w:u w:color="000000"/>
      <w:lang w:val="en-US"/>
    </w:rPr>
  </w:style>
  <w:style w:type="paragraph" w:customStyle="1" w:styleId="Intestazione2A">
    <w:name w:val="Intestazione 2 A"/>
    <w:pPr>
      <w:spacing w:after="160" w:line="259" w:lineRule="auto"/>
      <w:ind w:left="350"/>
      <w:outlineLvl w:val="1"/>
    </w:pPr>
    <w:rPr>
      <w:rFonts w:ascii="Palatino Linotype" w:eastAsia="Palatino Linotype" w:hAnsi="Palatino Linotype" w:cs="Palatino Linotype"/>
      <w:i/>
      <w:iCs/>
      <w:color w:val="000000"/>
      <w:sz w:val="24"/>
      <w:szCs w:val="24"/>
      <w:u w:color="000000"/>
      <w:lang w:val="en-US"/>
    </w:rPr>
  </w:style>
  <w:style w:type="paragraph" w:customStyle="1" w:styleId="CorpoB">
    <w:name w:val="Corpo B"/>
    <w:rPr>
      <w:rFonts w:cs="Arial Unicode MS"/>
      <w:color w:val="000000"/>
      <w:sz w:val="24"/>
      <w:szCs w:val="24"/>
      <w:u w:color="000000"/>
      <w:lang w:val="en-US"/>
    </w:rPr>
  </w:style>
  <w:style w:type="paragraph" w:customStyle="1" w:styleId="CorpoC">
    <w:name w:val="Corpo C"/>
    <w:rPr>
      <w:rFonts w:cs="Arial Unicode MS"/>
      <w:color w:val="000000"/>
      <w:sz w:val="24"/>
      <w:szCs w:val="24"/>
      <w:u w:color="000000"/>
      <w:lang w:val="en-US"/>
    </w:rPr>
  </w:style>
  <w:style w:type="paragraph" w:styleId="ListParagraph">
    <w:name w:val="List Paragraph"/>
    <w:basedOn w:val="Normal"/>
    <w:uiPriority w:val="34"/>
    <w:qFormat/>
    <w:rsid w:val="00B917E5"/>
    <w:pPr>
      <w:ind w:left="720"/>
      <w:contextualSpacing/>
    </w:pPr>
  </w:style>
  <w:style w:type="paragraph" w:styleId="Title">
    <w:name w:val="Title"/>
    <w:basedOn w:val="Body"/>
    <w:next w:val="Normal"/>
    <w:link w:val="TitleChar"/>
    <w:uiPriority w:val="10"/>
    <w:qFormat/>
    <w:rsid w:val="00B917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jc w:val="center"/>
    </w:pPr>
    <w:rPr>
      <w:b/>
      <w:bCs/>
    </w:rPr>
  </w:style>
  <w:style w:type="character" w:customStyle="1" w:styleId="TitleChar">
    <w:name w:val="Title Char"/>
    <w:basedOn w:val="DefaultParagraphFont"/>
    <w:link w:val="Title"/>
    <w:uiPriority w:val="10"/>
    <w:rsid w:val="00B917E5"/>
    <w:rPr>
      <w:rFonts w:cs="Arial Unicode MS"/>
      <w:b/>
      <w:bCs/>
      <w:color w:val="000000"/>
      <w:sz w:val="24"/>
      <w:szCs w:val="24"/>
      <w:u w:color="000000"/>
      <w:lang w:val="en-US"/>
    </w:rPr>
  </w:style>
  <w:style w:type="character" w:customStyle="1" w:styleId="Heading1Char">
    <w:name w:val="Heading 1 Char"/>
    <w:basedOn w:val="DefaultParagraphFont"/>
    <w:link w:val="Heading1"/>
    <w:uiPriority w:val="9"/>
    <w:rsid w:val="00B917E5"/>
    <w:rPr>
      <w:rFonts w:cs="Arial Unicode MS"/>
      <w:b/>
      <w:bCs/>
      <w:color w:val="000000"/>
      <w:sz w:val="24"/>
      <w:szCs w:val="24"/>
      <w:u w:color="000000"/>
      <w:lang w:val="it-IT"/>
    </w:rPr>
  </w:style>
  <w:style w:type="character" w:customStyle="1" w:styleId="Heading2Char">
    <w:name w:val="Heading 2 Char"/>
    <w:basedOn w:val="DefaultParagraphFont"/>
    <w:link w:val="Heading2"/>
    <w:uiPriority w:val="9"/>
    <w:rsid w:val="00B917E5"/>
    <w:rPr>
      <w:rFonts w:cs="Arial Unicode MS"/>
      <w:b/>
      <w:bC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3192</Words>
  <Characters>18195</Characters>
  <Application>Microsoft Office Word</Application>
  <DocSecurity>0</DocSecurity>
  <Lines>151</Lines>
  <Paragraphs>42</Paragraphs>
  <ScaleCrop>false</ScaleCrop>
  <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Trott</dc:creator>
  <cp:lastModifiedBy>Blanshard, Lisa</cp:lastModifiedBy>
  <cp:revision>4</cp:revision>
  <dcterms:created xsi:type="dcterms:W3CDTF">2021-09-15T19:17:00Z</dcterms:created>
  <dcterms:modified xsi:type="dcterms:W3CDTF">2021-09-16T14:59:00Z</dcterms:modified>
</cp:coreProperties>
</file>