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B7078" w14:textId="5716F728" w:rsidR="00247BD7" w:rsidRDefault="001339C3" w:rsidP="009117DC">
      <w:pPr>
        <w:pStyle w:val="MDPI11articletype"/>
        <w:spacing w:line="480" w:lineRule="auto"/>
        <w:rPr>
          <w:rFonts w:ascii="Times New Roman" w:hAnsi="Times New Roman"/>
          <w:i w:val="0"/>
          <w:iCs/>
          <w:sz w:val="24"/>
          <w:szCs w:val="24"/>
        </w:rPr>
      </w:pPr>
      <w:r w:rsidRPr="00F307EA">
        <w:rPr>
          <w:rFonts w:ascii="Times New Roman" w:hAnsi="Times New Roman"/>
          <w:i w:val="0"/>
          <w:iCs/>
          <w:sz w:val="24"/>
          <w:szCs w:val="24"/>
        </w:rPr>
        <w:t>Review</w:t>
      </w:r>
    </w:p>
    <w:p w14:paraId="0A665615" w14:textId="5953EB9A" w:rsidR="00247BD7" w:rsidRDefault="001339C3" w:rsidP="009117DC">
      <w:pPr>
        <w:pStyle w:val="MDPI12title"/>
        <w:spacing w:line="480" w:lineRule="auto"/>
        <w:jc w:val="center"/>
        <w:rPr>
          <w:rFonts w:ascii="Times New Roman" w:hAnsi="Times New Roman"/>
          <w:sz w:val="32"/>
          <w:szCs w:val="32"/>
        </w:rPr>
      </w:pPr>
      <w:bookmarkStart w:id="0" w:name="_Hlk48772921"/>
      <w:r w:rsidRPr="00F307EA">
        <w:rPr>
          <w:rFonts w:ascii="Times New Roman" w:hAnsi="Times New Roman"/>
          <w:sz w:val="32"/>
          <w:szCs w:val="32"/>
        </w:rPr>
        <w:t xml:space="preserve">Suicide associated with COVID-19 </w:t>
      </w:r>
      <w:r w:rsidR="003E3A7C">
        <w:rPr>
          <w:rFonts w:ascii="Times New Roman" w:hAnsi="Times New Roman"/>
          <w:sz w:val="32"/>
          <w:szCs w:val="32"/>
        </w:rPr>
        <w:t>infection</w:t>
      </w:r>
      <w:bookmarkEnd w:id="0"/>
      <w:r w:rsidR="004C08BB">
        <w:rPr>
          <w:rFonts w:ascii="Times New Roman" w:hAnsi="Times New Roman"/>
          <w:sz w:val="32"/>
          <w:szCs w:val="32"/>
        </w:rPr>
        <w:t>: a</w:t>
      </w:r>
      <w:r w:rsidR="0029636D">
        <w:rPr>
          <w:rFonts w:ascii="Times New Roman" w:hAnsi="Times New Roman"/>
          <w:sz w:val="32"/>
          <w:szCs w:val="32"/>
        </w:rPr>
        <w:t>n</w:t>
      </w:r>
      <w:r w:rsidR="004C08BB">
        <w:rPr>
          <w:rFonts w:ascii="Times New Roman" w:hAnsi="Times New Roman"/>
          <w:sz w:val="32"/>
          <w:szCs w:val="32"/>
        </w:rPr>
        <w:t xml:space="preserve"> immunological point of view</w:t>
      </w:r>
    </w:p>
    <w:p w14:paraId="038259E7" w14:textId="0FA3F728" w:rsidR="007D2DE7" w:rsidRPr="007D2DE7" w:rsidRDefault="007D2DE7" w:rsidP="007D2DE7">
      <w:pPr>
        <w:pStyle w:val="MDPI13authornames"/>
        <w:rPr>
          <w:rFonts w:eastAsiaTheme="minorEastAsia"/>
          <w:lang w:eastAsia="ko-KR"/>
        </w:rPr>
      </w:pPr>
      <w:r>
        <w:rPr>
          <w:rFonts w:eastAsiaTheme="minorEastAsia" w:hint="eastAsia"/>
          <w:lang w:eastAsia="ko-KR"/>
        </w:rPr>
        <w:t xml:space="preserve">Short running title: </w:t>
      </w:r>
      <w:r w:rsidRPr="007D2DE7">
        <w:rPr>
          <w:rFonts w:eastAsiaTheme="minorEastAsia"/>
          <w:lang w:eastAsia="ko-KR"/>
        </w:rPr>
        <w:t>Suicide associated with COVID-19 infection</w:t>
      </w:r>
    </w:p>
    <w:p w14:paraId="0AE9B25D" w14:textId="77777777" w:rsidR="007D2DE7" w:rsidRDefault="007D2DE7" w:rsidP="009117DC">
      <w:pPr>
        <w:pStyle w:val="MDPI13authornames"/>
        <w:spacing w:line="480" w:lineRule="auto"/>
        <w:rPr>
          <w:rFonts w:ascii="Times New Roman" w:hAnsi="Times New Roman"/>
          <w:b w:val="0"/>
          <w:bCs/>
          <w:sz w:val="24"/>
          <w:szCs w:val="24"/>
        </w:rPr>
      </w:pPr>
    </w:p>
    <w:p w14:paraId="130116BC" w14:textId="0F45FC38" w:rsidR="00247BD7" w:rsidRDefault="001339C3" w:rsidP="009117DC">
      <w:pPr>
        <w:pStyle w:val="MDPI13authornames"/>
        <w:spacing w:line="480" w:lineRule="auto"/>
        <w:rPr>
          <w:rFonts w:ascii="Times New Roman" w:hAnsi="Times New Roman"/>
          <w:b w:val="0"/>
          <w:bCs/>
          <w:sz w:val="24"/>
          <w:szCs w:val="24"/>
        </w:rPr>
      </w:pPr>
      <w:r w:rsidRPr="00FE2C91">
        <w:rPr>
          <w:rFonts w:ascii="Times New Roman" w:hAnsi="Times New Roman"/>
          <w:b w:val="0"/>
          <w:bCs/>
          <w:sz w:val="24"/>
          <w:szCs w:val="24"/>
        </w:rPr>
        <w:t>Min Je Choi</w:t>
      </w:r>
      <w:r w:rsidRPr="00FE2C91">
        <w:rPr>
          <w:rFonts w:ascii="Times New Roman" w:hAnsi="Times New Roman"/>
          <w:b w:val="0"/>
          <w:bCs/>
          <w:sz w:val="24"/>
          <w:szCs w:val="24"/>
          <w:vertAlign w:val="superscript"/>
        </w:rPr>
        <w:t>1</w:t>
      </w:r>
      <w:r w:rsidR="002942C7" w:rsidRPr="00FE2C91">
        <w:rPr>
          <w:rFonts w:ascii="Times New Roman" w:hAnsi="Times New Roman"/>
          <w:b w:val="0"/>
          <w:bCs/>
          <w:sz w:val="24"/>
          <w:szCs w:val="24"/>
          <w:vertAlign w:val="superscript"/>
        </w:rPr>
        <w:t>†</w:t>
      </w:r>
      <w:r w:rsidRPr="00FE2C91">
        <w:rPr>
          <w:rFonts w:ascii="Times New Roman" w:hAnsi="Times New Roman"/>
          <w:b w:val="0"/>
          <w:bCs/>
          <w:sz w:val="24"/>
          <w:szCs w:val="24"/>
        </w:rPr>
        <w:t xml:space="preserve">, </w:t>
      </w:r>
      <w:r w:rsidR="00D22C87" w:rsidRPr="00FE2C91">
        <w:rPr>
          <w:rFonts w:ascii="Times New Roman" w:hAnsi="Times New Roman"/>
          <w:b w:val="0"/>
          <w:bCs/>
          <w:sz w:val="24"/>
          <w:szCs w:val="24"/>
        </w:rPr>
        <w:t>Jae Won Yang</w:t>
      </w:r>
      <w:r w:rsidR="00D22C87" w:rsidRPr="00FE2C91">
        <w:rPr>
          <w:rFonts w:ascii="Times New Roman" w:hAnsi="Times New Roman"/>
          <w:b w:val="0"/>
          <w:bCs/>
          <w:sz w:val="24"/>
          <w:szCs w:val="24"/>
          <w:vertAlign w:val="superscript"/>
        </w:rPr>
        <w:t>2</w:t>
      </w:r>
      <w:r w:rsidR="002942C7" w:rsidRPr="00FE2C91">
        <w:rPr>
          <w:rFonts w:ascii="Times New Roman" w:hAnsi="Times New Roman"/>
          <w:b w:val="0"/>
          <w:bCs/>
          <w:sz w:val="24"/>
          <w:szCs w:val="24"/>
          <w:vertAlign w:val="superscript"/>
        </w:rPr>
        <w:t>†</w:t>
      </w:r>
      <w:r w:rsidRPr="00FE2C91">
        <w:rPr>
          <w:rFonts w:ascii="Times New Roman" w:hAnsi="Times New Roman"/>
          <w:b w:val="0"/>
          <w:bCs/>
          <w:sz w:val="24"/>
          <w:szCs w:val="24"/>
        </w:rPr>
        <w:t xml:space="preserve">, </w:t>
      </w:r>
      <w:r w:rsidR="00D04C23" w:rsidRPr="00FE2C91">
        <w:rPr>
          <w:rFonts w:ascii="Times New Roman" w:hAnsi="Times New Roman"/>
          <w:b w:val="0"/>
          <w:bCs/>
          <w:sz w:val="24"/>
          <w:szCs w:val="24"/>
        </w:rPr>
        <w:t>San Lee</w:t>
      </w:r>
      <w:r w:rsidR="00D04C23" w:rsidRPr="00FE2C91">
        <w:rPr>
          <w:rFonts w:ascii="Times New Roman" w:hAnsi="Times New Roman"/>
          <w:b w:val="0"/>
          <w:bCs/>
          <w:sz w:val="24"/>
          <w:szCs w:val="24"/>
          <w:vertAlign w:val="superscript"/>
        </w:rPr>
        <w:t>3</w:t>
      </w:r>
      <w:r w:rsidR="003E6A8B" w:rsidRPr="00FE2C91">
        <w:rPr>
          <w:rFonts w:ascii="Times New Roman" w:hAnsi="Times New Roman"/>
          <w:b w:val="0"/>
          <w:bCs/>
          <w:sz w:val="24"/>
          <w:szCs w:val="24"/>
          <w:vertAlign w:val="superscript"/>
        </w:rPr>
        <w:t>†</w:t>
      </w:r>
      <w:r w:rsidR="00D04C23" w:rsidRPr="00FE2C91">
        <w:rPr>
          <w:rFonts w:ascii="Times New Roman" w:hAnsi="Times New Roman"/>
          <w:b w:val="0"/>
          <w:bCs/>
          <w:sz w:val="24"/>
          <w:szCs w:val="24"/>
        </w:rPr>
        <w:t xml:space="preserve">, </w:t>
      </w:r>
      <w:r w:rsidRPr="00FE2C91">
        <w:rPr>
          <w:rFonts w:ascii="Times New Roman" w:hAnsi="Times New Roman"/>
          <w:b w:val="0"/>
          <w:bCs/>
          <w:sz w:val="24"/>
          <w:szCs w:val="24"/>
        </w:rPr>
        <w:t>Jong Yeob Kim</w:t>
      </w:r>
      <w:r w:rsidRPr="00FE2C91">
        <w:rPr>
          <w:rFonts w:ascii="Times New Roman" w:hAnsi="Times New Roman"/>
          <w:b w:val="0"/>
          <w:bCs/>
          <w:sz w:val="24"/>
          <w:szCs w:val="24"/>
          <w:vertAlign w:val="superscript"/>
        </w:rPr>
        <w:t>1</w:t>
      </w:r>
      <w:r w:rsidRPr="00FE2C91">
        <w:rPr>
          <w:rFonts w:ascii="Times New Roman" w:hAnsi="Times New Roman"/>
          <w:b w:val="0"/>
          <w:bCs/>
          <w:sz w:val="24"/>
          <w:szCs w:val="24"/>
        </w:rPr>
        <w:t>,</w:t>
      </w:r>
      <w:r w:rsidR="00C46FEB">
        <w:rPr>
          <w:rFonts w:ascii="Times New Roman" w:hAnsi="Times New Roman"/>
          <w:b w:val="0"/>
          <w:bCs/>
          <w:sz w:val="24"/>
          <w:szCs w:val="24"/>
        </w:rPr>
        <w:t xml:space="preserve"> Jae Won Oh</w:t>
      </w:r>
      <w:r w:rsidR="00C46FEB" w:rsidRPr="00FE2C91">
        <w:rPr>
          <w:rFonts w:ascii="Times New Roman" w:hAnsi="Times New Roman"/>
          <w:sz w:val="22"/>
          <w:vertAlign w:val="superscript"/>
        </w:rPr>
        <w:t>3</w:t>
      </w:r>
      <w:r w:rsidR="00C46FEB">
        <w:rPr>
          <w:rFonts w:ascii="Times New Roman" w:hAnsi="Times New Roman"/>
          <w:b w:val="0"/>
          <w:bCs/>
          <w:sz w:val="24"/>
          <w:szCs w:val="24"/>
        </w:rPr>
        <w:t xml:space="preserve">, </w:t>
      </w:r>
      <w:r w:rsidRPr="00FE2C91">
        <w:rPr>
          <w:rFonts w:ascii="Times New Roman" w:hAnsi="Times New Roman"/>
          <w:b w:val="0"/>
          <w:bCs/>
          <w:sz w:val="24"/>
          <w:szCs w:val="24"/>
        </w:rPr>
        <w:t>Jinhee Lee</w:t>
      </w:r>
      <w:r w:rsidR="00074543" w:rsidRPr="00FE2C91">
        <w:rPr>
          <w:rFonts w:ascii="Times New Roman" w:hAnsi="Times New Roman"/>
          <w:b w:val="0"/>
          <w:bCs/>
          <w:sz w:val="24"/>
          <w:szCs w:val="24"/>
          <w:vertAlign w:val="superscript"/>
        </w:rPr>
        <w:t>4</w:t>
      </w:r>
      <w:r w:rsidRPr="00FE2C91">
        <w:rPr>
          <w:rFonts w:ascii="Times New Roman" w:hAnsi="Times New Roman"/>
          <w:b w:val="0"/>
          <w:bCs/>
          <w:sz w:val="24"/>
          <w:szCs w:val="24"/>
        </w:rPr>
        <w:t>, Brendon Stubbs</w:t>
      </w:r>
      <w:r w:rsidRPr="00FE2C91">
        <w:rPr>
          <w:rFonts w:ascii="Times New Roman" w:hAnsi="Times New Roman"/>
          <w:b w:val="0"/>
          <w:bCs/>
          <w:sz w:val="24"/>
          <w:szCs w:val="24"/>
          <w:vertAlign w:val="superscript"/>
        </w:rPr>
        <w:t>5, 6, 7</w:t>
      </w:r>
      <w:r w:rsidRPr="00FE2C91">
        <w:rPr>
          <w:rFonts w:ascii="Times New Roman" w:hAnsi="Times New Roman"/>
          <w:b w:val="0"/>
          <w:bCs/>
          <w:sz w:val="24"/>
          <w:szCs w:val="24"/>
        </w:rPr>
        <w:t xml:space="preserve">, </w:t>
      </w:r>
      <w:r w:rsidR="00DB71C0" w:rsidRPr="00FE2C91">
        <w:rPr>
          <w:rFonts w:ascii="Times New Roman" w:hAnsi="Times New Roman"/>
          <w:b w:val="0"/>
          <w:bCs/>
          <w:sz w:val="24"/>
          <w:szCs w:val="24"/>
        </w:rPr>
        <w:t>Keum Hwa Lee</w:t>
      </w:r>
      <w:r w:rsidR="00DB71C0">
        <w:rPr>
          <w:rFonts w:ascii="Times New Roman" w:hAnsi="Times New Roman"/>
          <w:b w:val="0"/>
          <w:bCs/>
          <w:sz w:val="24"/>
          <w:szCs w:val="24"/>
          <w:vertAlign w:val="superscript"/>
        </w:rPr>
        <w:t>8</w:t>
      </w:r>
      <w:r w:rsidR="00DB71C0" w:rsidRPr="00FE2C91">
        <w:rPr>
          <w:rFonts w:ascii="Times New Roman" w:hAnsi="Times New Roman"/>
          <w:b w:val="0"/>
          <w:bCs/>
          <w:sz w:val="24"/>
          <w:szCs w:val="24"/>
        </w:rPr>
        <w:t xml:space="preserve">, </w:t>
      </w:r>
      <w:r w:rsidRPr="00FE2C91">
        <w:rPr>
          <w:rFonts w:ascii="Times New Roman" w:hAnsi="Times New Roman"/>
          <w:b w:val="0"/>
          <w:bCs/>
          <w:sz w:val="24"/>
          <w:szCs w:val="24"/>
        </w:rPr>
        <w:t>Ai Koyanagi</w:t>
      </w:r>
      <w:r w:rsidRPr="00FE2C91">
        <w:rPr>
          <w:rFonts w:ascii="Times New Roman" w:hAnsi="Times New Roman"/>
          <w:b w:val="0"/>
          <w:bCs/>
          <w:sz w:val="24"/>
          <w:szCs w:val="24"/>
          <w:vertAlign w:val="superscript"/>
        </w:rPr>
        <w:t>9,10</w:t>
      </w:r>
      <w:r w:rsidRPr="00FE2C91">
        <w:rPr>
          <w:rFonts w:ascii="Times New Roman" w:hAnsi="Times New Roman"/>
          <w:b w:val="0"/>
          <w:bCs/>
          <w:sz w:val="24"/>
          <w:szCs w:val="24"/>
        </w:rPr>
        <w:t>, Sung Hwi Hong</w:t>
      </w:r>
      <w:r w:rsidRPr="00FE2C91">
        <w:rPr>
          <w:rFonts w:ascii="Times New Roman" w:hAnsi="Times New Roman"/>
          <w:b w:val="0"/>
          <w:bCs/>
          <w:sz w:val="24"/>
          <w:szCs w:val="24"/>
          <w:vertAlign w:val="superscript"/>
        </w:rPr>
        <w:t>11</w:t>
      </w:r>
      <w:r w:rsidRPr="00FE2C91">
        <w:rPr>
          <w:rFonts w:ascii="Times New Roman" w:hAnsi="Times New Roman"/>
          <w:b w:val="0"/>
          <w:bCs/>
          <w:sz w:val="24"/>
          <w:szCs w:val="24"/>
        </w:rPr>
        <w:t>, Ramy Abou Ghayda</w:t>
      </w:r>
      <w:r w:rsidRPr="00FE2C91">
        <w:rPr>
          <w:rFonts w:ascii="Times New Roman" w:hAnsi="Times New Roman"/>
          <w:b w:val="0"/>
          <w:bCs/>
          <w:sz w:val="24"/>
          <w:szCs w:val="24"/>
          <w:vertAlign w:val="superscript"/>
        </w:rPr>
        <w:t>12</w:t>
      </w:r>
      <w:r w:rsidR="00236B12">
        <w:rPr>
          <w:rFonts w:ascii="Times New Roman" w:hAnsi="Times New Roman"/>
          <w:b w:val="0"/>
          <w:bCs/>
          <w:sz w:val="24"/>
          <w:szCs w:val="24"/>
        </w:rPr>
        <w:t xml:space="preserve">, </w:t>
      </w:r>
      <w:r w:rsidR="00236B12">
        <w:rPr>
          <w:rFonts w:ascii="Times New Roman" w:hAnsi="Times New Roman"/>
          <w:b w:val="0"/>
          <w:bCs/>
          <w:sz w:val="24"/>
          <w:szCs w:val="24"/>
          <w:lang w:val="en-CA"/>
        </w:rPr>
        <w:t>J</w:t>
      </w:r>
      <w:r w:rsidR="00236B12" w:rsidRPr="00725D9C">
        <w:rPr>
          <w:rFonts w:ascii="Times New Roman" w:hAnsi="Times New Roman"/>
          <w:b w:val="0"/>
          <w:bCs/>
          <w:sz w:val="24"/>
          <w:szCs w:val="24"/>
          <w:lang w:val="en-CA"/>
        </w:rPr>
        <w:t>imin Hwang</w:t>
      </w:r>
      <w:r w:rsidRPr="00FE2C91">
        <w:rPr>
          <w:rFonts w:ascii="Times New Roman" w:hAnsi="Times New Roman"/>
          <w:b w:val="0"/>
          <w:bCs/>
          <w:sz w:val="24"/>
          <w:szCs w:val="24"/>
          <w:vertAlign w:val="superscript"/>
        </w:rPr>
        <w:t>13</w:t>
      </w:r>
      <w:r w:rsidRPr="00FE2C91">
        <w:rPr>
          <w:rFonts w:ascii="Times New Roman" w:hAnsi="Times New Roman"/>
          <w:b w:val="0"/>
          <w:bCs/>
          <w:sz w:val="24"/>
          <w:szCs w:val="24"/>
        </w:rPr>
        <w:t>, Elena Dragioti</w:t>
      </w:r>
      <w:r w:rsidRPr="00FE2C91">
        <w:rPr>
          <w:rFonts w:ascii="Times New Roman" w:hAnsi="Times New Roman"/>
          <w:b w:val="0"/>
          <w:bCs/>
          <w:sz w:val="24"/>
          <w:szCs w:val="24"/>
          <w:vertAlign w:val="superscript"/>
        </w:rPr>
        <w:t>14</w:t>
      </w:r>
      <w:r w:rsidRPr="00FE2C91">
        <w:rPr>
          <w:rFonts w:ascii="Times New Roman" w:hAnsi="Times New Roman"/>
          <w:b w:val="0"/>
          <w:bCs/>
          <w:sz w:val="24"/>
          <w:szCs w:val="24"/>
        </w:rPr>
        <w:t>, Louis Jacob</w:t>
      </w:r>
      <w:r w:rsidRPr="00FE2C91">
        <w:rPr>
          <w:rFonts w:ascii="Times New Roman" w:hAnsi="Times New Roman"/>
          <w:b w:val="0"/>
          <w:bCs/>
          <w:sz w:val="24"/>
          <w:szCs w:val="24"/>
          <w:vertAlign w:val="superscript"/>
        </w:rPr>
        <w:t>9, 15</w:t>
      </w:r>
      <w:r w:rsidRPr="00FE2C91">
        <w:rPr>
          <w:rFonts w:ascii="Times New Roman" w:hAnsi="Times New Roman"/>
          <w:b w:val="0"/>
          <w:bCs/>
          <w:sz w:val="24"/>
          <w:szCs w:val="24"/>
        </w:rPr>
        <w:t>, Andre F. Carvalho</w:t>
      </w:r>
      <w:r w:rsidRPr="00FE2C91">
        <w:rPr>
          <w:rFonts w:ascii="Times New Roman" w:hAnsi="Times New Roman"/>
          <w:b w:val="0"/>
          <w:bCs/>
          <w:sz w:val="24"/>
          <w:szCs w:val="24"/>
          <w:vertAlign w:val="superscript"/>
        </w:rPr>
        <w:t>16, 17</w:t>
      </w:r>
      <w:r w:rsidRPr="00FE2C91">
        <w:rPr>
          <w:rFonts w:ascii="Times New Roman" w:hAnsi="Times New Roman"/>
          <w:b w:val="0"/>
          <w:bCs/>
          <w:sz w:val="24"/>
          <w:szCs w:val="24"/>
        </w:rPr>
        <w:t>, Joaquim Radua</w:t>
      </w:r>
      <w:r w:rsidRPr="00FE2C91">
        <w:rPr>
          <w:rFonts w:ascii="Times New Roman" w:hAnsi="Times New Roman"/>
          <w:b w:val="0"/>
          <w:bCs/>
          <w:sz w:val="24"/>
          <w:szCs w:val="24"/>
          <w:vertAlign w:val="superscript"/>
        </w:rPr>
        <w:t>18, 19, 20, 21</w:t>
      </w:r>
      <w:r w:rsidRPr="00FE2C91">
        <w:rPr>
          <w:rFonts w:ascii="Times New Roman" w:hAnsi="Times New Roman"/>
          <w:b w:val="0"/>
          <w:bCs/>
          <w:sz w:val="24"/>
          <w:szCs w:val="24"/>
        </w:rPr>
        <w:t>, Trevor Thompson</w:t>
      </w:r>
      <w:r w:rsidRPr="00FE2C91">
        <w:rPr>
          <w:rFonts w:ascii="Times New Roman" w:hAnsi="Times New Roman"/>
          <w:b w:val="0"/>
          <w:bCs/>
          <w:sz w:val="24"/>
          <w:szCs w:val="24"/>
          <w:vertAlign w:val="superscript"/>
        </w:rPr>
        <w:t>22</w:t>
      </w:r>
      <w:r w:rsidRPr="00FE2C91">
        <w:rPr>
          <w:rFonts w:ascii="Times New Roman" w:hAnsi="Times New Roman"/>
          <w:b w:val="0"/>
          <w:bCs/>
          <w:sz w:val="24"/>
          <w:szCs w:val="24"/>
        </w:rPr>
        <w:t>, Lee Smith</w:t>
      </w:r>
      <w:r w:rsidRPr="00FE2C91">
        <w:rPr>
          <w:rFonts w:ascii="Times New Roman" w:hAnsi="Times New Roman"/>
          <w:b w:val="0"/>
          <w:bCs/>
          <w:sz w:val="24"/>
          <w:szCs w:val="24"/>
          <w:vertAlign w:val="superscript"/>
        </w:rPr>
        <w:t>23</w:t>
      </w:r>
      <w:r w:rsidRPr="00FE2C91">
        <w:rPr>
          <w:rFonts w:ascii="Times New Roman" w:hAnsi="Times New Roman"/>
          <w:b w:val="0"/>
          <w:bCs/>
          <w:sz w:val="24"/>
          <w:szCs w:val="24"/>
        </w:rPr>
        <w:t>, Michele Fornaro</w:t>
      </w:r>
      <w:r w:rsidRPr="00FE2C91">
        <w:rPr>
          <w:rFonts w:ascii="Times New Roman" w:hAnsi="Times New Roman"/>
          <w:b w:val="0"/>
          <w:bCs/>
          <w:sz w:val="24"/>
          <w:szCs w:val="24"/>
          <w:vertAlign w:val="superscript"/>
        </w:rPr>
        <w:t>24</w:t>
      </w:r>
      <w:r w:rsidRPr="00FE2C91">
        <w:rPr>
          <w:rFonts w:ascii="Times New Roman" w:hAnsi="Times New Roman"/>
          <w:b w:val="0"/>
          <w:bCs/>
          <w:sz w:val="24"/>
          <w:szCs w:val="24"/>
        </w:rPr>
        <w:t>, Andrew Stickley</w:t>
      </w:r>
      <w:r w:rsidRPr="00FE2C91">
        <w:rPr>
          <w:rFonts w:ascii="Times New Roman" w:hAnsi="Times New Roman"/>
          <w:b w:val="0"/>
          <w:bCs/>
          <w:sz w:val="24"/>
          <w:szCs w:val="24"/>
          <w:vertAlign w:val="superscript"/>
        </w:rPr>
        <w:t>25, 26</w:t>
      </w:r>
      <w:r w:rsidRPr="00FE2C91">
        <w:rPr>
          <w:rFonts w:ascii="Times New Roman" w:hAnsi="Times New Roman"/>
          <w:b w:val="0"/>
          <w:bCs/>
          <w:sz w:val="24"/>
          <w:szCs w:val="24"/>
        </w:rPr>
        <w:t>, Erica L. Bettac</w:t>
      </w:r>
      <w:r w:rsidRPr="00FE2C91">
        <w:rPr>
          <w:rFonts w:ascii="Times New Roman" w:hAnsi="Times New Roman"/>
          <w:b w:val="0"/>
          <w:bCs/>
          <w:sz w:val="24"/>
          <w:szCs w:val="24"/>
          <w:vertAlign w:val="superscript"/>
        </w:rPr>
        <w:t>27</w:t>
      </w:r>
      <w:r w:rsidRPr="00FE2C91">
        <w:rPr>
          <w:rFonts w:ascii="Times New Roman" w:hAnsi="Times New Roman"/>
          <w:b w:val="0"/>
          <w:bCs/>
          <w:sz w:val="24"/>
          <w:szCs w:val="24"/>
        </w:rPr>
        <w:t xml:space="preserve">, </w:t>
      </w:r>
      <w:r w:rsidR="005E050E" w:rsidRPr="00FE2C91">
        <w:rPr>
          <w:rFonts w:ascii="Times New Roman" w:eastAsia="Malgun Gothic" w:hAnsi="Times New Roman"/>
          <w:b w:val="0"/>
          <w:bCs/>
          <w:sz w:val="24"/>
          <w:szCs w:val="24"/>
          <w:lang w:eastAsia="ko-KR"/>
        </w:rPr>
        <w:t>Young Joo Han</w:t>
      </w:r>
      <w:r w:rsidR="005E050E" w:rsidRPr="00FE2C91">
        <w:rPr>
          <w:rFonts w:ascii="Times New Roman" w:hAnsi="Times New Roman"/>
          <w:b w:val="0"/>
          <w:bCs/>
          <w:sz w:val="24"/>
          <w:szCs w:val="24"/>
          <w:vertAlign w:val="superscript"/>
        </w:rPr>
        <w:t xml:space="preserve">28, </w:t>
      </w:r>
      <w:r w:rsidR="0097192E" w:rsidRPr="00FE2C91">
        <w:rPr>
          <w:rFonts w:ascii="Times New Roman" w:hAnsi="Times New Roman"/>
          <w:b w:val="0"/>
          <w:bCs/>
          <w:sz w:val="24"/>
          <w:szCs w:val="24"/>
        </w:rPr>
        <w:t>Andreas Kronbichler</w:t>
      </w:r>
      <w:r w:rsidR="0097192E" w:rsidRPr="00FE2C91">
        <w:rPr>
          <w:rFonts w:ascii="Times New Roman" w:hAnsi="Times New Roman"/>
          <w:b w:val="0"/>
          <w:bCs/>
          <w:sz w:val="24"/>
          <w:szCs w:val="24"/>
          <w:vertAlign w:val="superscript"/>
        </w:rPr>
        <w:t>29</w:t>
      </w:r>
      <w:r w:rsidR="0097192E" w:rsidRPr="00FE2C91">
        <w:rPr>
          <w:rFonts w:ascii="Times New Roman" w:hAnsi="Times New Roman"/>
          <w:b w:val="0"/>
          <w:bCs/>
          <w:sz w:val="24"/>
          <w:szCs w:val="24"/>
        </w:rPr>
        <w:t xml:space="preserve">, </w:t>
      </w:r>
      <w:r w:rsidR="00725D9C" w:rsidRPr="00725D9C">
        <w:rPr>
          <w:rFonts w:ascii="Times New Roman" w:hAnsi="Times New Roman"/>
          <w:b w:val="0"/>
          <w:bCs/>
          <w:sz w:val="24"/>
          <w:szCs w:val="24"/>
          <w:lang w:val="en-CA"/>
        </w:rPr>
        <w:t>Dong Keon Yon</w:t>
      </w:r>
      <w:r w:rsidR="00725D9C">
        <w:rPr>
          <w:rFonts w:ascii="Times New Roman" w:hAnsi="Times New Roman"/>
          <w:b w:val="0"/>
          <w:bCs/>
          <w:sz w:val="24"/>
          <w:szCs w:val="24"/>
          <w:vertAlign w:val="superscript"/>
          <w:lang w:val="en-CA"/>
        </w:rPr>
        <w:t>3</w:t>
      </w:r>
      <w:r w:rsidR="00236B12">
        <w:rPr>
          <w:rFonts w:ascii="Times New Roman" w:hAnsi="Times New Roman"/>
          <w:b w:val="0"/>
          <w:bCs/>
          <w:sz w:val="24"/>
          <w:szCs w:val="24"/>
          <w:vertAlign w:val="superscript"/>
          <w:lang w:val="en-CA"/>
        </w:rPr>
        <w:t>0</w:t>
      </w:r>
      <w:r w:rsidR="00725D9C" w:rsidRPr="00725D9C">
        <w:rPr>
          <w:rFonts w:ascii="Times New Roman" w:hAnsi="Times New Roman"/>
          <w:b w:val="0"/>
          <w:bCs/>
          <w:sz w:val="24"/>
          <w:szCs w:val="24"/>
          <w:lang w:val="en-CA"/>
        </w:rPr>
        <w:t>, Seung Won Lee</w:t>
      </w:r>
      <w:r w:rsidR="00725D9C">
        <w:rPr>
          <w:rFonts w:ascii="Times New Roman" w:hAnsi="Times New Roman"/>
          <w:b w:val="0"/>
          <w:bCs/>
          <w:sz w:val="24"/>
          <w:szCs w:val="24"/>
          <w:vertAlign w:val="superscript"/>
          <w:lang w:val="en-CA"/>
        </w:rPr>
        <w:t>3</w:t>
      </w:r>
      <w:r w:rsidR="00236B12">
        <w:rPr>
          <w:rFonts w:ascii="Times New Roman" w:hAnsi="Times New Roman"/>
          <w:b w:val="0"/>
          <w:bCs/>
          <w:sz w:val="24"/>
          <w:szCs w:val="24"/>
          <w:vertAlign w:val="superscript"/>
          <w:lang w:val="en-CA"/>
        </w:rPr>
        <w:t>1</w:t>
      </w:r>
      <w:r w:rsidR="00725D9C" w:rsidRPr="00725D9C">
        <w:rPr>
          <w:rFonts w:ascii="Times New Roman" w:hAnsi="Times New Roman"/>
          <w:b w:val="0"/>
          <w:bCs/>
          <w:sz w:val="24"/>
          <w:szCs w:val="24"/>
          <w:lang w:val="en-CA"/>
        </w:rPr>
        <w:t xml:space="preserve">, </w:t>
      </w:r>
      <w:r w:rsidR="0039244C" w:rsidRPr="00FE2C91">
        <w:rPr>
          <w:rFonts w:ascii="Times New Roman" w:hAnsi="Times New Roman"/>
          <w:b w:val="0"/>
          <w:bCs/>
          <w:sz w:val="24"/>
          <w:szCs w:val="24"/>
        </w:rPr>
        <w:t>J</w:t>
      </w:r>
      <w:r w:rsidRPr="00FE2C91">
        <w:rPr>
          <w:rFonts w:ascii="Times New Roman" w:hAnsi="Times New Roman"/>
          <w:b w:val="0"/>
          <w:bCs/>
          <w:sz w:val="24"/>
          <w:szCs w:val="24"/>
        </w:rPr>
        <w:t>ae Il Shin</w:t>
      </w:r>
      <w:r w:rsidR="00DB71C0">
        <w:rPr>
          <w:rFonts w:ascii="Times New Roman" w:hAnsi="Times New Roman"/>
          <w:b w:val="0"/>
          <w:bCs/>
          <w:sz w:val="24"/>
          <w:szCs w:val="24"/>
          <w:vertAlign w:val="superscript"/>
        </w:rPr>
        <w:t>8</w:t>
      </w:r>
      <w:r w:rsidRPr="00FE2C91">
        <w:rPr>
          <w:rFonts w:ascii="Times New Roman" w:hAnsi="Times New Roman"/>
          <w:b w:val="0"/>
          <w:bCs/>
          <w:sz w:val="24"/>
          <w:szCs w:val="24"/>
        </w:rPr>
        <w:t>*</w:t>
      </w:r>
      <w:r w:rsidR="0039244C" w:rsidRPr="00FE2C91">
        <w:rPr>
          <w:rFonts w:ascii="Times New Roman" w:hAnsi="Times New Roman"/>
          <w:b w:val="0"/>
          <w:bCs/>
          <w:sz w:val="24"/>
          <w:szCs w:val="24"/>
        </w:rPr>
        <w:t>, Eun Lee</w:t>
      </w:r>
      <w:r w:rsidR="0039244C" w:rsidRPr="00FE2C91">
        <w:rPr>
          <w:rFonts w:ascii="Times New Roman" w:hAnsi="Times New Roman"/>
          <w:b w:val="0"/>
          <w:bCs/>
          <w:sz w:val="24"/>
          <w:szCs w:val="24"/>
          <w:vertAlign w:val="superscript"/>
        </w:rPr>
        <w:t>3</w:t>
      </w:r>
      <w:r w:rsidR="0039244C" w:rsidRPr="00FE2C91">
        <w:rPr>
          <w:rFonts w:ascii="Times New Roman" w:hAnsi="Times New Roman"/>
          <w:b w:val="0"/>
          <w:bCs/>
          <w:sz w:val="24"/>
          <w:szCs w:val="24"/>
        </w:rPr>
        <w:t>*</w:t>
      </w:r>
      <w:r w:rsidR="00DB71C0" w:rsidRPr="00DB71C0">
        <w:rPr>
          <w:rFonts w:ascii="Times New Roman" w:hAnsi="Times New Roman"/>
          <w:b w:val="0"/>
          <w:bCs/>
          <w:sz w:val="24"/>
          <w:szCs w:val="24"/>
        </w:rPr>
        <w:t xml:space="preserve"> </w:t>
      </w:r>
      <w:r w:rsidR="00DB71C0" w:rsidRPr="00FE2C91">
        <w:rPr>
          <w:rFonts w:ascii="Times New Roman" w:hAnsi="Times New Roman"/>
          <w:b w:val="0"/>
          <w:bCs/>
          <w:sz w:val="24"/>
          <w:szCs w:val="24"/>
        </w:rPr>
        <w:t>Marco Solmi</w:t>
      </w:r>
      <w:r w:rsidR="00DB71C0">
        <w:rPr>
          <w:rFonts w:ascii="Times New Roman" w:hAnsi="Times New Roman"/>
          <w:b w:val="0"/>
          <w:bCs/>
          <w:sz w:val="24"/>
          <w:szCs w:val="24"/>
          <w:vertAlign w:val="superscript"/>
        </w:rPr>
        <w:t>32</w:t>
      </w:r>
    </w:p>
    <w:p w14:paraId="316FD3D1" w14:textId="77777777" w:rsidR="00FE2C91" w:rsidRPr="00FE2C91" w:rsidRDefault="00FE2C91" w:rsidP="009117DC">
      <w:pPr>
        <w:pStyle w:val="MDPI14history"/>
        <w:spacing w:line="480" w:lineRule="auto"/>
        <w:jc w:val="both"/>
      </w:pPr>
    </w:p>
    <w:p w14:paraId="153C040A" w14:textId="740A4844"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w:t>
      </w:r>
      <w:r w:rsidRPr="00FE2C91">
        <w:rPr>
          <w:rFonts w:ascii="Times New Roman" w:hAnsi="Times New Roman"/>
          <w:sz w:val="22"/>
          <w:szCs w:val="22"/>
        </w:rPr>
        <w:tab/>
        <w:t xml:space="preserve">Yonsei University College of Medicine, Seoul, Republic of Korea; </w:t>
      </w:r>
      <w:r w:rsidR="00F77F9F" w:rsidRPr="00F77F9F">
        <w:rPr>
          <w:rFonts w:ascii="Times New Roman" w:hAnsi="Times New Roman"/>
          <w:sz w:val="22"/>
          <w:szCs w:val="22"/>
        </w:rPr>
        <w:t xml:space="preserve">ARIRAF2@yuhs.ac </w:t>
      </w:r>
      <w:r w:rsidRPr="00FE2C91">
        <w:rPr>
          <w:rFonts w:ascii="Times New Roman" w:hAnsi="Times New Roman"/>
          <w:sz w:val="22"/>
          <w:szCs w:val="22"/>
        </w:rPr>
        <w:t>(M.J.C.); crossing96@yonsei.ac.kr (J.Y.K.)</w:t>
      </w:r>
    </w:p>
    <w:p w14:paraId="3A73BBB7" w14:textId="42BC535C"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w:t>
      </w:r>
      <w:r w:rsidRPr="00FE2C91">
        <w:rPr>
          <w:rFonts w:ascii="Times New Roman" w:hAnsi="Times New Roman"/>
          <w:sz w:val="22"/>
          <w:szCs w:val="22"/>
        </w:rPr>
        <w:tab/>
        <w:t xml:space="preserve">Department of </w:t>
      </w:r>
      <w:r w:rsidR="008D7E13" w:rsidRPr="00FE2C91">
        <w:rPr>
          <w:rFonts w:ascii="Times New Roman" w:hAnsi="Times New Roman"/>
          <w:sz w:val="22"/>
          <w:szCs w:val="22"/>
        </w:rPr>
        <w:t>Internal Medicine</w:t>
      </w:r>
      <w:r w:rsidRPr="00FE2C91">
        <w:rPr>
          <w:rFonts w:ascii="Times New Roman" w:hAnsi="Times New Roman"/>
          <w:sz w:val="22"/>
          <w:szCs w:val="22"/>
        </w:rPr>
        <w:t xml:space="preserve">, Yonsei University </w:t>
      </w:r>
      <w:r w:rsidR="008D7E13" w:rsidRPr="00FE2C91">
        <w:rPr>
          <w:rFonts w:ascii="Times New Roman" w:hAnsi="Times New Roman"/>
          <w:sz w:val="22"/>
          <w:szCs w:val="22"/>
        </w:rPr>
        <w:t xml:space="preserve">Wonju </w:t>
      </w:r>
      <w:r w:rsidRPr="00FE2C91">
        <w:rPr>
          <w:rFonts w:ascii="Times New Roman" w:hAnsi="Times New Roman"/>
          <w:sz w:val="22"/>
          <w:szCs w:val="22"/>
        </w:rPr>
        <w:t xml:space="preserve">College of Medicine, </w:t>
      </w:r>
      <w:r w:rsidR="008D7E13" w:rsidRPr="00FE2C91">
        <w:rPr>
          <w:rFonts w:ascii="Times New Roman" w:hAnsi="Times New Roman"/>
          <w:sz w:val="22"/>
          <w:szCs w:val="22"/>
        </w:rPr>
        <w:t>Wonju</w:t>
      </w:r>
      <w:r w:rsidRPr="00FE2C91">
        <w:rPr>
          <w:rFonts w:ascii="Times New Roman" w:hAnsi="Times New Roman"/>
          <w:sz w:val="22"/>
          <w:szCs w:val="22"/>
        </w:rPr>
        <w:t xml:space="preserve">, Republic of Korea; </w:t>
      </w:r>
      <w:r w:rsidR="008D7E13" w:rsidRPr="00FE2C91">
        <w:rPr>
          <w:rFonts w:ascii="Times New Roman" w:hAnsi="Times New Roman"/>
          <w:sz w:val="22"/>
          <w:szCs w:val="22"/>
        </w:rPr>
        <w:t>kidney74@yonsei.ac.kr</w:t>
      </w:r>
      <w:r w:rsidRPr="00FE2C91">
        <w:rPr>
          <w:rFonts w:ascii="Times New Roman" w:hAnsi="Times New Roman"/>
          <w:sz w:val="22"/>
          <w:szCs w:val="22"/>
        </w:rPr>
        <w:t xml:space="preserve"> </w:t>
      </w:r>
    </w:p>
    <w:p w14:paraId="76BFE786" w14:textId="279DB09F" w:rsidR="003A1E94" w:rsidRPr="00FE2C91" w:rsidRDefault="003A1E94"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3</w:t>
      </w:r>
      <w:r w:rsidRPr="00FE2C91">
        <w:rPr>
          <w:rFonts w:ascii="Times New Roman" w:hAnsi="Times New Roman"/>
          <w:sz w:val="22"/>
          <w:szCs w:val="22"/>
        </w:rPr>
        <w:tab/>
        <w:t xml:space="preserve">Department of Psychiatry, Yonsei University College of Medicine, Seoul, Republic of Korea; </w:t>
      </w:r>
      <w:r w:rsidR="00C36405" w:rsidRPr="00DE5B4D">
        <w:rPr>
          <w:rFonts w:ascii="Times New Roman" w:hAnsi="Times New Roman"/>
          <w:sz w:val="22"/>
          <w:szCs w:val="22"/>
        </w:rPr>
        <w:t>THISMOUNTAIN@yuhs.ac</w:t>
      </w:r>
      <w:r w:rsidR="00C36405" w:rsidRPr="00FE2C91">
        <w:rPr>
          <w:rFonts w:ascii="Times New Roman" w:hAnsi="Times New Roman"/>
          <w:sz w:val="22"/>
          <w:szCs w:val="22"/>
        </w:rPr>
        <w:t xml:space="preserve"> (S.L.);</w:t>
      </w:r>
      <w:r w:rsidR="00C46FEB">
        <w:rPr>
          <w:rFonts w:ascii="Times New Roman" w:hAnsi="Times New Roman"/>
          <w:sz w:val="22"/>
          <w:szCs w:val="22"/>
        </w:rPr>
        <w:t xml:space="preserve"> JAEWONOH@yuhs.ac (J.W.O);</w:t>
      </w:r>
      <w:r w:rsidR="00C36405" w:rsidRPr="00FE2C91">
        <w:rPr>
          <w:rFonts w:ascii="Times New Roman" w:hAnsi="Times New Roman"/>
          <w:sz w:val="22"/>
          <w:szCs w:val="22"/>
        </w:rPr>
        <w:t xml:space="preserve"> </w:t>
      </w:r>
      <w:bookmarkStart w:id="1" w:name="_Hlk70846386"/>
      <w:r w:rsidR="00C36405" w:rsidRPr="00DE5B4D">
        <w:rPr>
          <w:rFonts w:ascii="Times New Roman" w:hAnsi="Times New Roman"/>
          <w:sz w:val="22"/>
          <w:szCs w:val="22"/>
        </w:rPr>
        <w:t>LEEEUN@yuhs.ac</w:t>
      </w:r>
      <w:r w:rsidR="00C36405" w:rsidRPr="00FE2C91">
        <w:rPr>
          <w:rFonts w:ascii="Times New Roman" w:hAnsi="Times New Roman"/>
          <w:sz w:val="22"/>
          <w:szCs w:val="22"/>
        </w:rPr>
        <w:t xml:space="preserve"> </w:t>
      </w:r>
      <w:bookmarkEnd w:id="1"/>
      <w:r w:rsidR="00C36405" w:rsidRPr="00FE2C91">
        <w:rPr>
          <w:rFonts w:ascii="Times New Roman" w:hAnsi="Times New Roman"/>
          <w:sz w:val="22"/>
          <w:szCs w:val="22"/>
        </w:rPr>
        <w:t>(E. L.)</w:t>
      </w:r>
    </w:p>
    <w:p w14:paraId="04F52B48" w14:textId="36182FFB" w:rsidR="001339C3" w:rsidRPr="00FE2C91" w:rsidRDefault="0007454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4</w:t>
      </w:r>
      <w:r w:rsidR="001339C3" w:rsidRPr="00FE2C91">
        <w:rPr>
          <w:rFonts w:ascii="Times New Roman" w:hAnsi="Times New Roman"/>
          <w:sz w:val="22"/>
          <w:szCs w:val="22"/>
        </w:rPr>
        <w:tab/>
        <w:t xml:space="preserve">Department of Psychiatry, Yonsei University Wonju College of Medicine, Wonju, Republic of Korea; </w:t>
      </w:r>
      <w:r w:rsidR="00C7417D" w:rsidRPr="00DE5B4D">
        <w:rPr>
          <w:rFonts w:ascii="Times New Roman" w:hAnsi="Times New Roman"/>
          <w:sz w:val="22"/>
          <w:szCs w:val="22"/>
        </w:rPr>
        <w:t>jinh.lee95@yonsei.ac.kr</w:t>
      </w:r>
      <w:r w:rsidR="00C7417D" w:rsidRPr="00FE2C91">
        <w:rPr>
          <w:rFonts w:ascii="Times New Roman" w:hAnsi="Times New Roman"/>
          <w:sz w:val="22"/>
          <w:szCs w:val="22"/>
        </w:rPr>
        <w:t xml:space="preserve"> </w:t>
      </w:r>
    </w:p>
    <w:p w14:paraId="6C0B86E8"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5</w:t>
      </w:r>
      <w:r w:rsidRPr="00FE2C91">
        <w:rPr>
          <w:rFonts w:ascii="Times New Roman" w:hAnsi="Times New Roman"/>
          <w:sz w:val="22"/>
          <w:szCs w:val="22"/>
        </w:rPr>
        <w:tab/>
        <w:t>Institute of Psychiatry, Psychology and Neuroscience, King’s College London, De Crespigny Park, London SE5 8AF, UK; brendon.stubbs@kcl.ac.uk</w:t>
      </w:r>
    </w:p>
    <w:p w14:paraId="11435B09"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6</w:t>
      </w:r>
      <w:r w:rsidRPr="00FE2C91">
        <w:rPr>
          <w:rFonts w:ascii="Times New Roman" w:hAnsi="Times New Roman"/>
          <w:sz w:val="22"/>
          <w:szCs w:val="22"/>
        </w:rPr>
        <w:tab/>
        <w:t>South London and Maudsley NHS Foundation Trust, Denmark Hill, London SE5 8AZ, UK</w:t>
      </w:r>
    </w:p>
    <w:p w14:paraId="60081959" w14:textId="20E18697" w:rsidR="001339C3"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7</w:t>
      </w:r>
      <w:r w:rsidRPr="00FE2C91">
        <w:rPr>
          <w:rFonts w:ascii="Times New Roman" w:hAnsi="Times New Roman"/>
          <w:sz w:val="22"/>
          <w:szCs w:val="22"/>
        </w:rPr>
        <w:tab/>
        <w:t>Faculty of Health, Social Care and Education, Anglia Ruskin University, Chelmsford CM1 1SQ, UK</w:t>
      </w:r>
    </w:p>
    <w:p w14:paraId="06F5136B" w14:textId="5C10702B" w:rsidR="00DB71C0" w:rsidRPr="00DB71C0" w:rsidRDefault="00DB71C0" w:rsidP="009117DC">
      <w:pPr>
        <w:pStyle w:val="MDPI16affiliation"/>
        <w:spacing w:line="480" w:lineRule="auto"/>
        <w:jc w:val="both"/>
        <w:rPr>
          <w:rFonts w:ascii="Times New Roman" w:hAnsi="Times New Roman"/>
          <w:sz w:val="22"/>
          <w:szCs w:val="22"/>
        </w:rPr>
      </w:pPr>
      <w:r>
        <w:rPr>
          <w:rFonts w:ascii="Times New Roman" w:hAnsi="Times New Roman"/>
          <w:sz w:val="22"/>
          <w:szCs w:val="22"/>
          <w:vertAlign w:val="superscript"/>
        </w:rPr>
        <w:lastRenderedPageBreak/>
        <w:t>8</w:t>
      </w:r>
      <w:r w:rsidRPr="00FE2C91">
        <w:rPr>
          <w:rFonts w:ascii="Times New Roman" w:hAnsi="Times New Roman"/>
          <w:sz w:val="22"/>
          <w:szCs w:val="22"/>
        </w:rPr>
        <w:tab/>
        <w:t>Department of Pediatrics, Yonsei University College of Medicine, Seoul, Republic of Korea; AZSAGM@yuhs.ac (K.H.L.); SHINJI@yuhs.ac (J.I.S)</w:t>
      </w:r>
    </w:p>
    <w:p w14:paraId="5E621C56" w14:textId="77777777" w:rsidR="001339C3" w:rsidRPr="00FE2C91" w:rsidRDefault="001339C3" w:rsidP="009117DC">
      <w:pPr>
        <w:pStyle w:val="MDPI16affiliation"/>
        <w:spacing w:line="480" w:lineRule="auto"/>
        <w:jc w:val="both"/>
        <w:rPr>
          <w:rFonts w:ascii="Times New Roman" w:hAnsi="Times New Roman"/>
          <w:sz w:val="22"/>
          <w:szCs w:val="22"/>
          <w:lang w:val="fr-FR"/>
        </w:rPr>
      </w:pPr>
      <w:r w:rsidRPr="00FE2C91">
        <w:rPr>
          <w:rFonts w:ascii="Times New Roman" w:hAnsi="Times New Roman"/>
          <w:sz w:val="22"/>
          <w:szCs w:val="22"/>
          <w:vertAlign w:val="superscript"/>
          <w:lang w:val="fr-FR"/>
        </w:rPr>
        <w:t>9</w:t>
      </w:r>
      <w:r w:rsidRPr="00FE2C91">
        <w:rPr>
          <w:rFonts w:ascii="Times New Roman" w:hAnsi="Times New Roman"/>
          <w:sz w:val="22"/>
          <w:szCs w:val="22"/>
          <w:lang w:val="fr-FR"/>
        </w:rPr>
        <w:tab/>
      </w:r>
      <w:r w:rsidRPr="00FE2C91">
        <w:rPr>
          <w:rFonts w:ascii="Times New Roman" w:hAnsi="Times New Roman"/>
          <w:sz w:val="22"/>
          <w:szCs w:val="22"/>
          <w:lang w:val="ca-ES"/>
        </w:rPr>
        <w:t>Parc Sanitari Sant Joan de Déu/CIBERSAM, Universitat de Barcelona, Fundació Sant Joan de Déu, Sant Boi de Llobregat, 08830 Barcelona</w:t>
      </w:r>
      <w:r w:rsidRPr="00FE2C91">
        <w:rPr>
          <w:rFonts w:ascii="Times New Roman" w:hAnsi="Times New Roman"/>
          <w:sz w:val="22"/>
          <w:szCs w:val="22"/>
          <w:lang w:val="fr-FR"/>
        </w:rPr>
        <w:t xml:space="preserve">, Spain; </w:t>
      </w:r>
    </w:p>
    <w:p w14:paraId="74E5F7D7"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lang w:val="fr-FR"/>
        </w:rPr>
        <w:t>10</w:t>
      </w:r>
      <w:r w:rsidRPr="00FE2C91">
        <w:rPr>
          <w:rFonts w:ascii="Times New Roman" w:hAnsi="Times New Roman"/>
          <w:sz w:val="22"/>
          <w:szCs w:val="22"/>
          <w:lang w:val="fr-FR"/>
        </w:rPr>
        <w:tab/>
      </w:r>
      <w:r w:rsidRPr="00FE2C91">
        <w:rPr>
          <w:rFonts w:ascii="Times New Roman" w:hAnsi="Times New Roman"/>
          <w:sz w:val="22"/>
          <w:szCs w:val="22"/>
        </w:rPr>
        <w:t>ICREA, Pg. Lluis Companys 23, Barcelona, Spain</w:t>
      </w:r>
    </w:p>
    <w:p w14:paraId="3561E2D3" w14:textId="0B2BB42E"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11</w:t>
      </w:r>
      <w:r w:rsidRPr="00FE2C91">
        <w:rPr>
          <w:rFonts w:ascii="Times New Roman" w:hAnsi="Times New Roman"/>
          <w:sz w:val="22"/>
          <w:szCs w:val="22"/>
        </w:rPr>
        <w:tab/>
      </w:r>
      <w:r w:rsidR="0080350A" w:rsidRPr="0080350A">
        <w:rPr>
          <w:rFonts w:ascii="Times New Roman" w:hAnsi="Times New Roman"/>
          <w:sz w:val="22"/>
          <w:szCs w:val="22"/>
        </w:rPr>
        <w:t xml:space="preserve">Yonsei University College of Medicine, </w:t>
      </w:r>
      <w:r w:rsidR="0080350A">
        <w:rPr>
          <w:rFonts w:ascii="Times New Roman" w:hAnsi="Times New Roman"/>
          <w:sz w:val="22"/>
          <w:szCs w:val="22"/>
        </w:rPr>
        <w:t xml:space="preserve">Severance Hospital, </w:t>
      </w:r>
      <w:r w:rsidR="0080350A" w:rsidRPr="0080350A">
        <w:rPr>
          <w:rFonts w:ascii="Times New Roman" w:hAnsi="Times New Roman"/>
          <w:sz w:val="22"/>
          <w:szCs w:val="22"/>
        </w:rPr>
        <w:t>Seoul, Republic of Korea</w:t>
      </w:r>
      <w:r w:rsidRPr="00FE2C91">
        <w:rPr>
          <w:rFonts w:ascii="Times New Roman" w:hAnsi="Times New Roman"/>
          <w:sz w:val="22"/>
          <w:szCs w:val="22"/>
        </w:rPr>
        <w:t>; sunghwihong@gmail.com</w:t>
      </w:r>
    </w:p>
    <w:p w14:paraId="07478BE7" w14:textId="2D4B7E5D"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12</w:t>
      </w:r>
      <w:r w:rsidRPr="00FE2C91">
        <w:rPr>
          <w:rFonts w:ascii="Times New Roman" w:hAnsi="Times New Roman"/>
          <w:sz w:val="22"/>
          <w:szCs w:val="22"/>
        </w:rPr>
        <w:tab/>
      </w:r>
      <w:r w:rsidR="00DF0A91" w:rsidRPr="00DF0A91">
        <w:rPr>
          <w:rFonts w:ascii="Times New Roman" w:hAnsi="Times New Roman"/>
          <w:sz w:val="22"/>
          <w:szCs w:val="22"/>
        </w:rPr>
        <w:t>Urology Institute, University Hospitals, Case Western Reserve University, Cleveland, OH, USA</w:t>
      </w:r>
      <w:r w:rsidRPr="00FE2C91">
        <w:rPr>
          <w:rFonts w:ascii="Times New Roman" w:hAnsi="Times New Roman"/>
          <w:sz w:val="22"/>
          <w:szCs w:val="22"/>
        </w:rPr>
        <w:t>; ramy.aboughayda@gmail.com</w:t>
      </w:r>
    </w:p>
    <w:p w14:paraId="5ECEC8D3" w14:textId="29FE128A"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13</w:t>
      </w:r>
      <w:r w:rsidRPr="00FE2C91">
        <w:rPr>
          <w:rFonts w:ascii="Times New Roman" w:hAnsi="Times New Roman"/>
          <w:sz w:val="22"/>
          <w:szCs w:val="22"/>
        </w:rPr>
        <w:tab/>
      </w:r>
      <w:r w:rsidR="00236B12">
        <w:rPr>
          <w:rFonts w:ascii="Times New Roman" w:hAnsi="Times New Roman"/>
          <w:sz w:val="22"/>
          <w:szCs w:val="22"/>
        </w:rPr>
        <w:t xml:space="preserve"> </w:t>
      </w:r>
      <w:r w:rsidR="00236B12" w:rsidRPr="00236B12">
        <w:rPr>
          <w:rFonts w:ascii="Times New Roman" w:hAnsi="Times New Roman"/>
          <w:sz w:val="22"/>
          <w:szCs w:val="22"/>
        </w:rPr>
        <w:t>Department of Epidemiology, Johns Hopkins Bloomberg School of Public Health, Baltimore, USA; dreamingjimin@gmail.com</w:t>
      </w:r>
    </w:p>
    <w:p w14:paraId="3DFB316D"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14</w:t>
      </w:r>
      <w:r w:rsidRPr="00FE2C91">
        <w:rPr>
          <w:rFonts w:ascii="Times New Roman" w:hAnsi="Times New Roman"/>
          <w:sz w:val="22"/>
          <w:szCs w:val="22"/>
        </w:rPr>
        <w:tab/>
        <w:t>Pain and Rehabilitation Centre, and Department of Medical and Health Sciences, Linkoping University, SE-581 85 Linkoping, Sweden; elena.dragioti@liu.se</w:t>
      </w:r>
    </w:p>
    <w:p w14:paraId="68A3F637"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15</w:t>
      </w:r>
      <w:r w:rsidRPr="00FE2C91">
        <w:rPr>
          <w:rFonts w:ascii="Times New Roman" w:hAnsi="Times New Roman"/>
          <w:sz w:val="22"/>
          <w:szCs w:val="22"/>
        </w:rPr>
        <w:tab/>
        <w:t>Faculty of Medicine, University of Versailles Saint-Quentin-en-Yvelines, Montigny-le-Bretonneux 78180, France; louis.jacob.contacts@gmail.com</w:t>
      </w:r>
    </w:p>
    <w:p w14:paraId="75299117" w14:textId="32998685"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16</w:t>
      </w:r>
      <w:r w:rsidRPr="00FE2C91">
        <w:rPr>
          <w:rFonts w:ascii="Times New Roman" w:hAnsi="Times New Roman"/>
          <w:sz w:val="22"/>
          <w:szCs w:val="22"/>
        </w:rPr>
        <w:tab/>
        <w:t xml:space="preserve">Centre for Addiction and Mental Health (CAMH), Toronto, ON, Canada; </w:t>
      </w:r>
      <w:r w:rsidR="00F77F9F" w:rsidRPr="00F77F9F">
        <w:rPr>
          <w:rFonts w:ascii="Times New Roman" w:hAnsi="Times New Roman"/>
          <w:sz w:val="22"/>
          <w:szCs w:val="22"/>
        </w:rPr>
        <w:t>andrefc7@hotmail.com</w:t>
      </w:r>
    </w:p>
    <w:p w14:paraId="56B01BE3"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17</w:t>
      </w:r>
      <w:r w:rsidRPr="00FE2C91">
        <w:rPr>
          <w:rFonts w:ascii="Times New Roman" w:hAnsi="Times New Roman"/>
          <w:sz w:val="22"/>
          <w:szCs w:val="22"/>
        </w:rPr>
        <w:tab/>
        <w:t>Department of Psychiatry, University of Toronto, Toronto, ON, Canada</w:t>
      </w:r>
    </w:p>
    <w:p w14:paraId="3D2AA91C"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18</w:t>
      </w:r>
      <w:r w:rsidRPr="00FE2C91">
        <w:rPr>
          <w:rFonts w:ascii="Times New Roman" w:hAnsi="Times New Roman"/>
          <w:sz w:val="22"/>
          <w:szCs w:val="22"/>
        </w:rPr>
        <w:tab/>
        <w:t>Institut d’Investigacions Biomèdiques August Pi i Sunyer (IDIBAPS), 08036 Barcelona, Spain; radua@clinic.cat</w:t>
      </w:r>
    </w:p>
    <w:p w14:paraId="28A66240"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19</w:t>
      </w:r>
      <w:r w:rsidRPr="00FE2C91">
        <w:rPr>
          <w:rFonts w:ascii="Times New Roman" w:hAnsi="Times New Roman"/>
          <w:sz w:val="22"/>
          <w:szCs w:val="22"/>
        </w:rPr>
        <w:tab/>
        <w:t>Mental Health Research Networking Center (CIBERSAM), 08036 Barcelona, Spain</w:t>
      </w:r>
    </w:p>
    <w:p w14:paraId="12140B3E"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20</w:t>
      </w:r>
      <w:r w:rsidRPr="00FE2C91">
        <w:rPr>
          <w:rFonts w:ascii="Times New Roman" w:hAnsi="Times New Roman"/>
          <w:sz w:val="22"/>
          <w:szCs w:val="22"/>
        </w:rPr>
        <w:tab/>
        <w:t>Department of Psychosis Studies, Institute of Psychiatry, Psychology and Neuroscience, King’s College London, London SE5 8AF, UK</w:t>
      </w:r>
    </w:p>
    <w:p w14:paraId="260002C5"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21</w:t>
      </w:r>
      <w:r w:rsidRPr="00FE2C91">
        <w:rPr>
          <w:rFonts w:ascii="Times New Roman" w:hAnsi="Times New Roman"/>
          <w:sz w:val="22"/>
          <w:szCs w:val="22"/>
        </w:rPr>
        <w:tab/>
        <w:t>Centre for Psychiatric Research, Department of Clinical Neuroscience, Karolinska Institutet, 113 30 Stockholm, Sweden</w:t>
      </w:r>
    </w:p>
    <w:p w14:paraId="697710B6"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22</w:t>
      </w:r>
      <w:r w:rsidRPr="00FE2C91">
        <w:rPr>
          <w:rFonts w:ascii="Times New Roman" w:hAnsi="Times New Roman"/>
          <w:sz w:val="22"/>
          <w:szCs w:val="22"/>
        </w:rPr>
        <w:tab/>
        <w:t>School of Human Sciences, University of Greenwich, London SE109LS, UK; T.Thompson@greenwich.ac.uk</w:t>
      </w:r>
    </w:p>
    <w:p w14:paraId="17C90B75"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lastRenderedPageBreak/>
        <w:t>23</w:t>
      </w:r>
      <w:r w:rsidRPr="00FE2C91">
        <w:rPr>
          <w:rFonts w:ascii="Times New Roman" w:hAnsi="Times New Roman"/>
          <w:sz w:val="22"/>
          <w:szCs w:val="22"/>
        </w:rPr>
        <w:tab/>
        <w:t>The Cambridge Centre for Sport and Exercise Sciences, Anglia Ruskin University, Cambridge CB1 1PT, UK; lee.smith@anglia.ac.uk</w:t>
      </w:r>
    </w:p>
    <w:p w14:paraId="16C94C37"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24</w:t>
      </w:r>
      <w:r w:rsidRPr="00FE2C91">
        <w:rPr>
          <w:rFonts w:ascii="Times New Roman" w:hAnsi="Times New Roman"/>
          <w:sz w:val="22"/>
          <w:szCs w:val="22"/>
        </w:rPr>
        <w:tab/>
        <w:t>Department of Neuroscience, Reproductive Sciences and Dentistry, Federico II University, Naples, Italy; dott.fornaro@gmail.com</w:t>
      </w:r>
    </w:p>
    <w:p w14:paraId="437DA31C"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25</w:t>
      </w:r>
      <w:r w:rsidRPr="00FE2C91">
        <w:rPr>
          <w:rFonts w:ascii="Times New Roman" w:hAnsi="Times New Roman"/>
          <w:sz w:val="22"/>
          <w:szCs w:val="22"/>
        </w:rPr>
        <w:tab/>
        <w:t>Department of Preventive Intervention for Psychiatric Disorders, National Institute of Mental Health, National Center of Neurology and Psychiatry, 4-1-1 Ogawahigashi, Kodaira, Tokyo, 187-8553, Japan; amstick66@gmail.com</w:t>
      </w:r>
    </w:p>
    <w:p w14:paraId="45E74DCD" w14:textId="77777777"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26</w:t>
      </w:r>
      <w:r w:rsidRPr="00FE2C91">
        <w:rPr>
          <w:rFonts w:ascii="Times New Roman" w:hAnsi="Times New Roman"/>
          <w:sz w:val="22"/>
          <w:szCs w:val="22"/>
        </w:rPr>
        <w:tab/>
        <w:t>Stockholm Center for Health and Social Change (SCOHOST), Södertörn University, 141 89, Huddinge, Sweden</w:t>
      </w:r>
    </w:p>
    <w:p w14:paraId="55A08923" w14:textId="31B65F4A" w:rsidR="001339C3" w:rsidRPr="00FE2C91" w:rsidRDefault="001339C3"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27</w:t>
      </w:r>
      <w:r w:rsidRPr="00FE2C91">
        <w:rPr>
          <w:rFonts w:ascii="Times New Roman" w:hAnsi="Times New Roman"/>
          <w:sz w:val="22"/>
          <w:szCs w:val="22"/>
        </w:rPr>
        <w:tab/>
        <w:t xml:space="preserve">Department of Psychology, Washington State University Vancouver, Vancouver, Washington, USA; </w:t>
      </w:r>
      <w:r w:rsidR="00A113F0" w:rsidRPr="00DE5B4D">
        <w:rPr>
          <w:rFonts w:ascii="Times New Roman" w:hAnsi="Times New Roman"/>
          <w:sz w:val="22"/>
          <w:szCs w:val="22"/>
        </w:rPr>
        <w:t>erica.bettac@wsu.edu</w:t>
      </w:r>
    </w:p>
    <w:p w14:paraId="755C583A" w14:textId="77777777" w:rsidR="001C670B" w:rsidRPr="00FE2C91" w:rsidRDefault="001C670B"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28</w:t>
      </w:r>
      <w:r w:rsidRPr="00FE2C91">
        <w:rPr>
          <w:rFonts w:ascii="Times New Roman" w:hAnsi="Times New Roman"/>
          <w:sz w:val="22"/>
          <w:szCs w:val="22"/>
        </w:rPr>
        <w:tab/>
        <w:t>Department of Pediatrics, Samsung Changwon Hospital, Sungkyunkwan Univesity School of Medicine, Changwon, Republic of Korea; 82agnes@hanmail.net (Y. J. H.)</w:t>
      </w:r>
    </w:p>
    <w:p w14:paraId="4DE45DD2" w14:textId="54E2DA0E" w:rsidR="00C36405" w:rsidRDefault="00C36405" w:rsidP="009117DC">
      <w:pPr>
        <w:pStyle w:val="MDPI16affiliation"/>
        <w:spacing w:line="480" w:lineRule="auto"/>
        <w:jc w:val="both"/>
        <w:rPr>
          <w:rFonts w:ascii="Times New Roman" w:hAnsi="Times New Roman"/>
          <w:sz w:val="22"/>
          <w:szCs w:val="22"/>
        </w:rPr>
      </w:pPr>
      <w:r w:rsidRPr="00FE2C91">
        <w:rPr>
          <w:rFonts w:ascii="Times New Roman" w:hAnsi="Times New Roman"/>
          <w:sz w:val="22"/>
          <w:szCs w:val="22"/>
          <w:vertAlign w:val="superscript"/>
        </w:rPr>
        <w:t>29</w:t>
      </w:r>
      <w:r w:rsidRPr="00FE2C91">
        <w:rPr>
          <w:rFonts w:ascii="Times New Roman" w:hAnsi="Times New Roman"/>
          <w:sz w:val="22"/>
          <w:szCs w:val="22"/>
        </w:rPr>
        <w:tab/>
        <w:t xml:space="preserve">Department of Internal Medicine IV (Nephrology and Hypertension), Medical University Innsbruck, 6020 Innsbruck, Austria; </w:t>
      </w:r>
      <w:r w:rsidR="0003674A" w:rsidRPr="00DE5B4D">
        <w:rPr>
          <w:rFonts w:ascii="Times New Roman" w:hAnsi="Times New Roman"/>
          <w:sz w:val="22"/>
          <w:szCs w:val="22"/>
        </w:rPr>
        <w:t>andreas.kronbichler@imed.ac.at</w:t>
      </w:r>
    </w:p>
    <w:p w14:paraId="2324573F" w14:textId="556BE164" w:rsidR="0003674A" w:rsidRPr="0003674A" w:rsidRDefault="0003674A" w:rsidP="009117DC">
      <w:pPr>
        <w:pStyle w:val="MDPI16affiliation"/>
        <w:spacing w:line="480" w:lineRule="auto"/>
        <w:rPr>
          <w:rFonts w:ascii="Times New Roman" w:hAnsi="Times New Roman"/>
          <w:sz w:val="22"/>
          <w:szCs w:val="22"/>
        </w:rPr>
      </w:pPr>
      <w:r w:rsidRPr="0003674A">
        <w:rPr>
          <w:rFonts w:ascii="Times New Roman" w:hAnsi="Times New Roman"/>
          <w:sz w:val="22"/>
          <w:szCs w:val="22"/>
          <w:vertAlign w:val="superscript"/>
        </w:rPr>
        <w:t>3</w:t>
      </w:r>
      <w:r w:rsidR="00F24D79">
        <w:rPr>
          <w:rFonts w:ascii="Times New Roman" w:hAnsi="Times New Roman"/>
          <w:sz w:val="22"/>
          <w:szCs w:val="22"/>
          <w:vertAlign w:val="superscript"/>
        </w:rPr>
        <w:t>0</w:t>
      </w:r>
      <w:r w:rsidRPr="0003674A">
        <w:rPr>
          <w:rFonts w:ascii="Times New Roman" w:hAnsi="Times New Roman"/>
          <w:sz w:val="22"/>
          <w:szCs w:val="22"/>
        </w:rPr>
        <w:t xml:space="preserve"> Department of Pediatrics, Seoul National University Hospital, Seoul National University College of Medicine, Seoul, South Korea</w:t>
      </w:r>
      <w:r w:rsidR="00C83BA4">
        <w:rPr>
          <w:rFonts w:ascii="Times New Roman" w:hAnsi="Times New Roman"/>
          <w:sz w:val="22"/>
          <w:szCs w:val="22"/>
        </w:rPr>
        <w:t xml:space="preserve">; </w:t>
      </w:r>
      <w:r w:rsidR="00C83BA4" w:rsidRPr="00C83BA4">
        <w:rPr>
          <w:rFonts w:ascii="Times New Roman" w:hAnsi="Times New Roman"/>
          <w:sz w:val="22"/>
          <w:szCs w:val="22"/>
        </w:rPr>
        <w:t>yonkkang@gmail.com</w:t>
      </w:r>
    </w:p>
    <w:p w14:paraId="4433E008" w14:textId="6791792C" w:rsidR="0003674A" w:rsidRPr="0003674A" w:rsidRDefault="0003674A" w:rsidP="009117DC">
      <w:pPr>
        <w:pStyle w:val="MDPI16affiliation"/>
        <w:spacing w:line="480" w:lineRule="auto"/>
        <w:rPr>
          <w:rFonts w:ascii="Times New Roman" w:hAnsi="Times New Roman"/>
          <w:sz w:val="22"/>
          <w:szCs w:val="22"/>
        </w:rPr>
      </w:pPr>
      <w:r w:rsidRPr="0003674A">
        <w:rPr>
          <w:rFonts w:ascii="Times New Roman" w:hAnsi="Times New Roman"/>
          <w:sz w:val="22"/>
          <w:szCs w:val="22"/>
          <w:vertAlign w:val="superscript"/>
        </w:rPr>
        <w:t>3</w:t>
      </w:r>
      <w:r w:rsidR="00F24D79">
        <w:rPr>
          <w:rFonts w:ascii="Times New Roman" w:hAnsi="Times New Roman"/>
          <w:sz w:val="22"/>
          <w:szCs w:val="22"/>
          <w:vertAlign w:val="superscript"/>
        </w:rPr>
        <w:t>1</w:t>
      </w:r>
      <w:r w:rsidRPr="0003674A">
        <w:rPr>
          <w:rFonts w:ascii="Times New Roman" w:hAnsi="Times New Roman"/>
          <w:sz w:val="22"/>
          <w:szCs w:val="22"/>
        </w:rPr>
        <w:t xml:space="preserve"> Department of Data Science, Sejong University College of Software Convergence, Seoul, South Korea</w:t>
      </w:r>
      <w:r w:rsidR="00C83BA4">
        <w:rPr>
          <w:rFonts w:ascii="Times New Roman" w:hAnsi="Times New Roman"/>
          <w:sz w:val="22"/>
          <w:szCs w:val="22"/>
        </w:rPr>
        <w:t>;</w:t>
      </w:r>
      <w:r w:rsidR="00C83BA4" w:rsidRPr="00C83BA4">
        <w:t xml:space="preserve"> </w:t>
      </w:r>
      <w:r w:rsidR="00C83BA4" w:rsidRPr="00C83BA4">
        <w:rPr>
          <w:rFonts w:ascii="Times New Roman" w:hAnsi="Times New Roman"/>
          <w:sz w:val="22"/>
          <w:szCs w:val="22"/>
        </w:rPr>
        <w:t>lsw2920@gmail.com</w:t>
      </w:r>
      <w:r w:rsidR="00C83BA4">
        <w:rPr>
          <w:rFonts w:ascii="Times New Roman" w:hAnsi="Times New Roman"/>
          <w:sz w:val="22"/>
          <w:szCs w:val="22"/>
        </w:rPr>
        <w:t xml:space="preserve"> </w:t>
      </w:r>
    </w:p>
    <w:p w14:paraId="1EE4ACFF" w14:textId="65955264" w:rsidR="00DB71C0" w:rsidRPr="00FE2C91" w:rsidRDefault="00DB71C0" w:rsidP="009117DC">
      <w:pPr>
        <w:pStyle w:val="MDPI16affiliation"/>
        <w:spacing w:line="480" w:lineRule="auto"/>
        <w:jc w:val="both"/>
        <w:rPr>
          <w:rFonts w:ascii="Times New Roman" w:hAnsi="Times New Roman"/>
          <w:sz w:val="22"/>
          <w:szCs w:val="22"/>
        </w:rPr>
      </w:pPr>
      <w:r>
        <w:rPr>
          <w:rFonts w:ascii="Times New Roman" w:hAnsi="Times New Roman"/>
          <w:sz w:val="22"/>
          <w:szCs w:val="22"/>
          <w:vertAlign w:val="superscript"/>
        </w:rPr>
        <w:t>32</w:t>
      </w:r>
      <w:r w:rsidRPr="00FE2C91">
        <w:rPr>
          <w:rFonts w:ascii="Times New Roman" w:hAnsi="Times New Roman"/>
          <w:sz w:val="22"/>
          <w:szCs w:val="22"/>
        </w:rPr>
        <w:tab/>
        <w:t xml:space="preserve">Department of Neuroscience, University of Padova, 35121 Padova, Italy; </w:t>
      </w:r>
      <w:r w:rsidR="00F77F9F" w:rsidRPr="00F77F9F">
        <w:rPr>
          <w:rFonts w:ascii="Times New Roman" w:hAnsi="Times New Roman"/>
          <w:sz w:val="22"/>
          <w:szCs w:val="22"/>
        </w:rPr>
        <w:t>marco.solmi83@gmail.com</w:t>
      </w:r>
    </w:p>
    <w:p w14:paraId="7E8AEB9F" w14:textId="77777777" w:rsidR="00A113F0" w:rsidRPr="00DB71C0" w:rsidRDefault="00A113F0" w:rsidP="009117DC">
      <w:pPr>
        <w:pStyle w:val="MDPI16affiliation"/>
        <w:spacing w:line="480" w:lineRule="auto"/>
        <w:rPr>
          <w:color w:val="auto"/>
        </w:rPr>
      </w:pPr>
    </w:p>
    <w:p w14:paraId="2F8064F4" w14:textId="2DF97A0E" w:rsidR="0039244C" w:rsidRPr="0039244C" w:rsidRDefault="001339C3" w:rsidP="009117DC">
      <w:pPr>
        <w:pStyle w:val="MDPI14history"/>
        <w:spacing w:line="480" w:lineRule="auto"/>
        <w:ind w:left="311" w:hanging="198"/>
        <w:rPr>
          <w:bCs/>
        </w:rPr>
      </w:pPr>
      <w:r w:rsidRPr="00744116">
        <w:rPr>
          <w:b/>
        </w:rPr>
        <w:t>*</w:t>
      </w:r>
      <w:r w:rsidRPr="00744116">
        <w:tab/>
        <w:t>Correspond</w:t>
      </w:r>
      <w:r w:rsidR="00BA6584">
        <w:t>ing author</w:t>
      </w:r>
      <w:r w:rsidRPr="00744116">
        <w:t xml:space="preserve">: </w:t>
      </w:r>
      <w:r w:rsidR="0039244C">
        <w:t xml:space="preserve">Jae Il Shin, </w:t>
      </w:r>
      <w:r w:rsidR="008B6958">
        <w:t xml:space="preserve">e-mail: </w:t>
      </w:r>
      <w:r w:rsidR="009C3DC9" w:rsidRPr="00DE5B4D">
        <w:t>shinji@yuhs.ac</w:t>
      </w:r>
      <w:r w:rsidR="009C3DC9">
        <w:t xml:space="preserve"> </w:t>
      </w:r>
      <w:r w:rsidR="0039244C">
        <w:t>or</w:t>
      </w:r>
      <w:r w:rsidR="0039244C">
        <w:rPr>
          <w:b/>
        </w:rPr>
        <w:t xml:space="preserve"> </w:t>
      </w:r>
      <w:r w:rsidR="008B6958">
        <w:t>e-mail:</w:t>
      </w:r>
      <w:r w:rsidR="008B6958" w:rsidRPr="0039244C">
        <w:rPr>
          <w:bCs/>
        </w:rPr>
        <w:t xml:space="preserve"> </w:t>
      </w:r>
      <w:r w:rsidR="0039244C" w:rsidRPr="0039244C">
        <w:rPr>
          <w:bCs/>
        </w:rPr>
        <w:t xml:space="preserve">Eun Lee, </w:t>
      </w:r>
      <w:r w:rsidR="0039244C" w:rsidRPr="00DE5B4D">
        <w:rPr>
          <w:bCs/>
        </w:rPr>
        <w:t>LEEEUN@yuhs.ac</w:t>
      </w:r>
      <w:r w:rsidR="0039244C">
        <w:rPr>
          <w:bCs/>
        </w:rPr>
        <w:t xml:space="preserve">; </w:t>
      </w:r>
    </w:p>
    <w:p w14:paraId="710E4860" w14:textId="1E12693F" w:rsidR="00F9033D" w:rsidRPr="004E4D56" w:rsidRDefault="00F9033D" w:rsidP="009117DC">
      <w:pPr>
        <w:pStyle w:val="MDPI16affiliation"/>
        <w:spacing w:line="480" w:lineRule="auto"/>
      </w:pPr>
      <w:r w:rsidRPr="004E4D56">
        <w:t>†</w:t>
      </w:r>
      <w:r w:rsidRPr="004E4D56">
        <w:tab/>
      </w:r>
      <w:r w:rsidR="0039244C">
        <w:t>C</w:t>
      </w:r>
      <w:r w:rsidRPr="004E4D56">
        <w:t>ontributed equally to this work.</w:t>
      </w:r>
    </w:p>
    <w:p w14:paraId="0FB0C7C1" w14:textId="77777777" w:rsidR="00FE2C91" w:rsidRDefault="00FE2C91" w:rsidP="009117DC">
      <w:pPr>
        <w:spacing w:line="480" w:lineRule="auto"/>
        <w:jc w:val="left"/>
        <w:rPr>
          <w:rFonts w:ascii="Palatino Linotype" w:hAnsi="Palatino Linotype"/>
          <w:b/>
          <w:sz w:val="20"/>
          <w:szCs w:val="22"/>
          <w:lang w:bidi="en-US"/>
        </w:rPr>
      </w:pPr>
      <w:r>
        <w:rPr>
          <w:b/>
        </w:rPr>
        <w:br w:type="page"/>
      </w:r>
    </w:p>
    <w:p w14:paraId="7EE51C79" w14:textId="12DB097A" w:rsidR="00D3734E" w:rsidRDefault="001339C3" w:rsidP="00F85FED">
      <w:pPr>
        <w:pStyle w:val="MDPI17abstract"/>
        <w:spacing w:line="480" w:lineRule="auto"/>
        <w:ind w:left="0"/>
        <w:rPr>
          <w:rFonts w:ascii="Times New Roman" w:hAnsi="Times New Roman"/>
          <w:sz w:val="24"/>
          <w:szCs w:val="24"/>
        </w:rPr>
      </w:pPr>
      <w:r w:rsidRPr="00FE2C91">
        <w:rPr>
          <w:rFonts w:ascii="Times New Roman" w:hAnsi="Times New Roman"/>
          <w:b/>
          <w:sz w:val="24"/>
          <w:szCs w:val="24"/>
        </w:rPr>
        <w:lastRenderedPageBreak/>
        <w:t>Abstract</w:t>
      </w:r>
      <w:r w:rsidR="00790DA5">
        <w:rPr>
          <w:rFonts w:ascii="Times New Roman" w:hAnsi="Times New Roman"/>
          <w:b/>
          <w:sz w:val="24"/>
          <w:szCs w:val="24"/>
        </w:rPr>
        <w:t xml:space="preserve">. </w:t>
      </w:r>
      <w:r w:rsidR="00790DA5" w:rsidRPr="00790DA5">
        <w:rPr>
          <w:rFonts w:ascii="Times New Roman" w:hAnsi="Times New Roman"/>
          <w:b/>
          <w:sz w:val="24"/>
          <w:szCs w:val="24"/>
        </w:rPr>
        <w:t xml:space="preserve">– </w:t>
      </w:r>
      <w:r w:rsidR="00D3734E" w:rsidRPr="00790DA5">
        <w:rPr>
          <w:rFonts w:ascii="Times New Roman" w:hAnsi="Times New Roman"/>
          <w:b/>
          <w:sz w:val="24"/>
          <w:szCs w:val="24"/>
        </w:rPr>
        <w:t>OBJECTIVE:</w:t>
      </w:r>
      <w:r w:rsidR="00D3734E">
        <w:rPr>
          <w:rFonts w:ascii="Times New Roman" w:hAnsi="Times New Roman"/>
          <w:sz w:val="24"/>
          <w:szCs w:val="24"/>
        </w:rPr>
        <w:t xml:space="preserve"> </w:t>
      </w:r>
      <w:r w:rsidR="00D3734E" w:rsidRPr="00FE2C91">
        <w:rPr>
          <w:rFonts w:ascii="Times New Roman" w:hAnsi="Times New Roman"/>
          <w:sz w:val="24"/>
          <w:szCs w:val="24"/>
        </w:rPr>
        <w:t xml:space="preserve">Coronavirus disease 2019 (COVID-19) is a pandemic and leading cause of death. Beyond the deaths directly caused by the virus and the suicides related to the psychological response to the dramatic changes </w:t>
      </w:r>
      <w:r w:rsidR="004E3925">
        <w:rPr>
          <w:rFonts w:ascii="Times New Roman" w:hAnsi="Times New Roman"/>
          <w:sz w:val="24"/>
          <w:szCs w:val="24"/>
        </w:rPr>
        <w:t>as socioeconomic</w:t>
      </w:r>
      <w:r w:rsidR="00D3734E" w:rsidRPr="00FE2C91">
        <w:rPr>
          <w:rFonts w:ascii="Times New Roman" w:hAnsi="Times New Roman"/>
          <w:sz w:val="24"/>
          <w:szCs w:val="24"/>
        </w:rPr>
        <w:t xml:space="preserve"> related to the pandemic, there might also be suicides related to the inflammatory </w:t>
      </w:r>
      <w:r w:rsidR="003E3A7C">
        <w:rPr>
          <w:rFonts w:ascii="Times New Roman" w:hAnsi="Times New Roman"/>
          <w:sz w:val="24"/>
          <w:szCs w:val="24"/>
        </w:rPr>
        <w:t>responses</w:t>
      </w:r>
      <w:r w:rsidR="00D3734E" w:rsidRPr="00FE2C91">
        <w:rPr>
          <w:rFonts w:ascii="Times New Roman" w:hAnsi="Times New Roman"/>
          <w:sz w:val="24"/>
          <w:szCs w:val="24"/>
        </w:rPr>
        <w:t xml:space="preserve"> of the infection. Infection induces inflammation </w:t>
      </w:r>
      <w:r w:rsidR="004E3925">
        <w:rPr>
          <w:rFonts w:ascii="Times New Roman" w:hAnsi="Times New Roman"/>
          <w:sz w:val="24"/>
          <w:szCs w:val="24"/>
        </w:rPr>
        <w:t>as c</w:t>
      </w:r>
      <w:r w:rsidR="00D3734E" w:rsidRPr="00FE2C91">
        <w:rPr>
          <w:rFonts w:ascii="Times New Roman" w:hAnsi="Times New Roman"/>
          <w:sz w:val="24"/>
          <w:szCs w:val="24"/>
        </w:rPr>
        <w:t>ytokine storm, and there are an increasing number of studies that report a relationship between infection and suicide.</w:t>
      </w:r>
    </w:p>
    <w:p w14:paraId="067BF1B1" w14:textId="6A9A9DE9" w:rsidR="00D3734E" w:rsidRPr="0044543D" w:rsidRDefault="00DB43B5" w:rsidP="00F85FED">
      <w:pPr>
        <w:spacing w:line="480" w:lineRule="auto"/>
        <w:rPr>
          <w:szCs w:val="24"/>
        </w:rPr>
      </w:pPr>
      <w:r w:rsidRPr="00790DA5">
        <w:rPr>
          <w:b/>
          <w:szCs w:val="24"/>
        </w:rPr>
        <w:t xml:space="preserve">MATERIALS </w:t>
      </w:r>
      <w:r w:rsidR="00D3734E" w:rsidRPr="00790DA5">
        <w:rPr>
          <w:b/>
          <w:szCs w:val="24"/>
        </w:rPr>
        <w:t>AND METHODS:</w:t>
      </w:r>
      <w:r w:rsidR="0044543D">
        <w:rPr>
          <w:szCs w:val="24"/>
        </w:rPr>
        <w:t xml:space="preserve"> </w:t>
      </w:r>
      <w:r w:rsidR="0046509A" w:rsidRPr="0046509A">
        <w:rPr>
          <w:bCs/>
          <w:szCs w:val="24"/>
          <w:highlight w:val="yellow"/>
        </w:rPr>
        <w:t xml:space="preserve">We searched the World Health Organization status report and the PubMed database for keywords (COVID-19, suicide, infection, inflammation, cytokines), and reviewed five cytokine pathways between suicide and inflammation using two meta-analyses and two observational studies. through November 31 </w:t>
      </w:r>
      <w:r w:rsidR="0046509A">
        <w:rPr>
          <w:bCs/>
          <w:szCs w:val="24"/>
          <w:highlight w:val="yellow"/>
        </w:rPr>
        <w:t>2020</w:t>
      </w:r>
      <w:r w:rsidR="00D90924" w:rsidRPr="00570AAD">
        <w:rPr>
          <w:szCs w:val="24"/>
          <w:highlight w:val="yellow"/>
        </w:rPr>
        <w:t>,</w:t>
      </w:r>
      <w:r w:rsidR="00D90924">
        <w:rPr>
          <w:szCs w:val="24"/>
        </w:rPr>
        <w:t xml:space="preserve"> focusing</w:t>
      </w:r>
      <w:r w:rsidR="0044543D" w:rsidRPr="00FE2C91">
        <w:rPr>
          <w:bCs/>
          <w:szCs w:val="24"/>
        </w:rPr>
        <w:t xml:space="preserve"> on the relationship between suicide and inflammation by infection. First, we discussed existing evidence explaining the relationship between suicidal behaviors and inflammation. Second, we summarized the inflammatory features found in COVID-19 patients. Finally, we highlight the potential for these factors to affect the risk of suicide in COVID-19 patients.</w:t>
      </w:r>
    </w:p>
    <w:p w14:paraId="2839BC8A" w14:textId="635859FD" w:rsidR="004E3925" w:rsidRDefault="00D3734E" w:rsidP="00F85FED">
      <w:pPr>
        <w:spacing w:line="480" w:lineRule="auto"/>
        <w:rPr>
          <w:szCs w:val="24"/>
        </w:rPr>
      </w:pPr>
      <w:r w:rsidRPr="00790DA5">
        <w:rPr>
          <w:b/>
          <w:szCs w:val="24"/>
        </w:rPr>
        <w:t>RESULTS:</w:t>
      </w:r>
      <w:r>
        <w:rPr>
          <w:szCs w:val="24"/>
        </w:rPr>
        <w:t xml:space="preserve"> </w:t>
      </w:r>
      <w:r w:rsidR="004E3925">
        <w:rPr>
          <w:szCs w:val="24"/>
        </w:rPr>
        <w:t>P</w:t>
      </w:r>
      <w:r w:rsidR="004E3925" w:rsidRPr="004E3925">
        <w:rPr>
          <w:szCs w:val="24"/>
        </w:rPr>
        <w:t xml:space="preserve">atients infected with COVID-19 have high amounts of IL-1β, IFN-γ, IP10, and MCP1, which may lead </w:t>
      </w:r>
      <w:r w:rsidR="004E3925">
        <w:rPr>
          <w:szCs w:val="24"/>
        </w:rPr>
        <w:t>to Th1 cell response activation</w:t>
      </w:r>
      <w:r w:rsidR="004E3925" w:rsidRPr="004E3925">
        <w:rPr>
          <w:szCs w:val="24"/>
        </w:rPr>
        <w:t xml:space="preserve">. Also, Th2 cytokines (e.g., IL-4 and IL-10) were </w:t>
      </w:r>
      <w:r w:rsidR="004E3925">
        <w:rPr>
          <w:szCs w:val="24"/>
        </w:rPr>
        <w:t>increased in COVID-19 infection.</w:t>
      </w:r>
      <w:r w:rsidR="004E3925" w:rsidRPr="004E3925">
        <w:t xml:space="preserve"> </w:t>
      </w:r>
      <w:r w:rsidR="004E3925" w:rsidRPr="004E3925">
        <w:rPr>
          <w:szCs w:val="24"/>
        </w:rPr>
        <w:t>In COVID-19 patients, neurological conditions like headache, dizziness, ataxia, seizures, and others have been</w:t>
      </w:r>
      <w:r w:rsidR="00941497">
        <w:rPr>
          <w:szCs w:val="24"/>
        </w:rPr>
        <w:t xml:space="preserve"> </w:t>
      </w:r>
      <w:r w:rsidR="004E3925" w:rsidRPr="004E3925">
        <w:rPr>
          <w:szCs w:val="24"/>
        </w:rPr>
        <w:t>observed</w:t>
      </w:r>
      <w:r w:rsidR="004E3925">
        <w:rPr>
          <w:szCs w:val="24"/>
        </w:rPr>
        <w:t>.</w:t>
      </w:r>
    </w:p>
    <w:p w14:paraId="2E31C4C8" w14:textId="4F812603" w:rsidR="00941497" w:rsidRDefault="004E3925" w:rsidP="00F85FED">
      <w:pPr>
        <w:spacing w:line="480" w:lineRule="auto"/>
        <w:rPr>
          <w:bCs/>
          <w:szCs w:val="24"/>
        </w:rPr>
      </w:pPr>
      <w:r w:rsidRPr="00790DA5">
        <w:rPr>
          <w:b/>
          <w:szCs w:val="24"/>
        </w:rPr>
        <w:t>CONCLUSION</w:t>
      </w:r>
      <w:r w:rsidR="00DB43B5" w:rsidRPr="00790DA5">
        <w:rPr>
          <w:b/>
          <w:szCs w:val="24"/>
        </w:rPr>
        <w:t>S</w:t>
      </w:r>
      <w:r w:rsidRPr="00790DA5">
        <w:rPr>
          <w:b/>
          <w:szCs w:val="24"/>
        </w:rPr>
        <w:t>:</w:t>
      </w:r>
      <w:r>
        <w:rPr>
          <w:szCs w:val="24"/>
        </w:rPr>
        <w:t xml:space="preserve"> </w:t>
      </w:r>
      <w:r w:rsidR="00D3734E" w:rsidRPr="00FE2C91">
        <w:rPr>
          <w:bCs/>
          <w:szCs w:val="24"/>
        </w:rPr>
        <w:t>COVID-19 pandemic can serve as significant environmental factor contributing directly to increased suicide risk, role of inflammation by infection should not be overlooked.</w:t>
      </w:r>
    </w:p>
    <w:p w14:paraId="212AB9DA" w14:textId="1A84A5CF" w:rsidR="00FE2C91" w:rsidRDefault="001339C3" w:rsidP="0092199D">
      <w:pPr>
        <w:spacing w:line="480" w:lineRule="auto"/>
        <w:rPr>
          <w:rFonts w:ascii="Palatino Linotype" w:hAnsi="Palatino Linotype"/>
          <w:b/>
          <w:snapToGrid w:val="0"/>
          <w:sz w:val="20"/>
          <w:szCs w:val="22"/>
          <w:lang w:eastAsia="zh-CN" w:bidi="en-US"/>
        </w:rPr>
      </w:pPr>
      <w:r w:rsidRPr="00790DA5">
        <w:rPr>
          <w:b/>
          <w:i/>
        </w:rPr>
        <w:t>Key</w:t>
      </w:r>
      <w:r w:rsidR="00790DA5" w:rsidRPr="00790DA5">
        <w:rPr>
          <w:b/>
          <w:i/>
        </w:rPr>
        <w:t xml:space="preserve"> W</w:t>
      </w:r>
      <w:r w:rsidRPr="00790DA5">
        <w:rPr>
          <w:b/>
          <w:i/>
        </w:rPr>
        <w:t>ords:</w:t>
      </w:r>
      <w:r w:rsidRPr="00FE2C91">
        <w:rPr>
          <w:b/>
        </w:rPr>
        <w:t xml:space="preserve"> </w:t>
      </w:r>
      <w:r w:rsidRPr="00FE2C91">
        <w:t>COVID-19</w:t>
      </w:r>
      <w:r w:rsidR="00790DA5">
        <w:t>,</w:t>
      </w:r>
      <w:r w:rsidRPr="00FE2C91">
        <w:t xml:space="preserve"> Suicide</w:t>
      </w:r>
      <w:r w:rsidR="00790DA5">
        <w:t>,</w:t>
      </w:r>
      <w:r w:rsidRPr="00FE2C91">
        <w:t xml:space="preserve"> Infection</w:t>
      </w:r>
      <w:r w:rsidR="00790DA5">
        <w:t>,</w:t>
      </w:r>
      <w:r w:rsidRPr="00FE2C91">
        <w:t xml:space="preserve"> Inflammation</w:t>
      </w:r>
      <w:r w:rsidR="00790DA5">
        <w:t>,</w:t>
      </w:r>
      <w:r w:rsidRPr="00FE2C91">
        <w:t xml:space="preserve"> Cytokine. </w:t>
      </w:r>
      <w:r w:rsidR="00FE2C91">
        <w:rPr>
          <w:lang w:eastAsia="zh-CN"/>
        </w:rPr>
        <w:br w:type="page"/>
      </w:r>
    </w:p>
    <w:p w14:paraId="364BD8C8" w14:textId="289C1888" w:rsidR="004D2ED8" w:rsidRPr="00FE2C91" w:rsidRDefault="004D2ED8" w:rsidP="009117DC">
      <w:pPr>
        <w:pStyle w:val="MDPI21heading1"/>
        <w:spacing w:line="480" w:lineRule="auto"/>
        <w:jc w:val="center"/>
        <w:rPr>
          <w:rFonts w:ascii="Times New Roman" w:hAnsi="Times New Roman"/>
          <w:sz w:val="24"/>
          <w:szCs w:val="24"/>
        </w:rPr>
      </w:pPr>
      <w:r w:rsidRPr="00FE2C91">
        <w:rPr>
          <w:rFonts w:ascii="Times New Roman" w:hAnsi="Times New Roman"/>
          <w:sz w:val="24"/>
          <w:szCs w:val="24"/>
        </w:rPr>
        <w:lastRenderedPageBreak/>
        <w:t>Introduction</w:t>
      </w:r>
    </w:p>
    <w:p w14:paraId="16C82E53" w14:textId="61957237" w:rsidR="004D2ED8" w:rsidRPr="003C6E10" w:rsidRDefault="004D2ED8" w:rsidP="00F85FED">
      <w:pPr>
        <w:spacing w:line="480" w:lineRule="auto"/>
        <w:ind w:firstLineChars="100" w:firstLine="240"/>
        <w:contextualSpacing/>
        <w:rPr>
          <w:szCs w:val="24"/>
        </w:rPr>
      </w:pPr>
      <w:bookmarkStart w:id="2" w:name="OLE_LINK1"/>
      <w:bookmarkStart w:id="3" w:name="OLE_LINK2"/>
      <w:r w:rsidRPr="003C6E10">
        <w:rPr>
          <w:bCs/>
          <w:szCs w:val="24"/>
        </w:rPr>
        <w:t xml:space="preserve">Coronavirus disease 2019 (COVID-19) was first reported in December 2019 in China and has become a global pandemic </w:t>
      </w:r>
      <w:r w:rsidR="00D90924" w:rsidRPr="003C6E10">
        <w:rPr>
          <w:bCs/>
          <w:szCs w:val="24"/>
        </w:rPr>
        <w:t>resulting</w:t>
      </w:r>
      <w:r w:rsidRPr="003C6E10">
        <w:rPr>
          <w:bCs/>
          <w:szCs w:val="24"/>
        </w:rPr>
        <w:t xml:space="preserve"> in approximately </w:t>
      </w:r>
      <w:r w:rsidR="0021316E" w:rsidRPr="003C6E10">
        <w:rPr>
          <w:bCs/>
          <w:szCs w:val="24"/>
        </w:rPr>
        <w:t>761</w:t>
      </w:r>
      <w:r w:rsidRPr="003C6E10">
        <w:rPr>
          <w:bCs/>
          <w:szCs w:val="24"/>
        </w:rPr>
        <w:t>,</w:t>
      </w:r>
      <w:r w:rsidR="0021316E" w:rsidRPr="003C6E10">
        <w:rPr>
          <w:bCs/>
          <w:szCs w:val="24"/>
        </w:rPr>
        <w:t>779</w:t>
      </w:r>
      <w:r w:rsidRPr="003C6E10">
        <w:rPr>
          <w:bCs/>
          <w:szCs w:val="24"/>
        </w:rPr>
        <w:t xml:space="preserve"> deaths as of </w:t>
      </w:r>
      <w:r w:rsidR="0021316E" w:rsidRPr="003C6E10">
        <w:rPr>
          <w:rFonts w:eastAsia="Malgun Gothic"/>
          <w:bCs/>
          <w:szCs w:val="24"/>
          <w:lang w:eastAsia="ko-KR"/>
        </w:rPr>
        <w:t>August</w:t>
      </w:r>
      <w:r w:rsidRPr="003C6E10">
        <w:rPr>
          <w:bCs/>
          <w:szCs w:val="24"/>
        </w:rPr>
        <w:t xml:space="preserve"> 1</w:t>
      </w:r>
      <w:r w:rsidR="0021316E" w:rsidRPr="003C6E10">
        <w:rPr>
          <w:bCs/>
          <w:szCs w:val="24"/>
        </w:rPr>
        <w:t>6</w:t>
      </w:r>
      <w:r w:rsidR="00D90924" w:rsidRPr="003C6E10">
        <w:rPr>
          <w:bCs/>
          <w:szCs w:val="24"/>
        </w:rPr>
        <w:t>, 2020</w:t>
      </w:r>
      <w:r w:rsidR="00723A4B" w:rsidRPr="003C6E10">
        <w:rPr>
          <w:bCs/>
          <w:noProof/>
          <w:szCs w:val="24"/>
          <w:vertAlign w:val="superscript"/>
        </w:rPr>
        <w:t>1</w:t>
      </w:r>
      <w:r w:rsidRPr="003C6E10">
        <w:rPr>
          <w:bCs/>
          <w:szCs w:val="24"/>
        </w:rPr>
        <w:t xml:space="preserve">. </w:t>
      </w:r>
      <w:r w:rsidR="0085473B" w:rsidRPr="003C6E10">
        <w:rPr>
          <w:szCs w:val="24"/>
        </w:rPr>
        <w:t>M</w:t>
      </w:r>
      <w:r w:rsidRPr="003C6E10">
        <w:rPr>
          <w:szCs w:val="24"/>
        </w:rPr>
        <w:t>any clinical symptoms</w:t>
      </w:r>
      <w:r w:rsidR="0085473B" w:rsidRPr="003C6E10">
        <w:rPr>
          <w:szCs w:val="24"/>
        </w:rPr>
        <w:t xml:space="preserve"> regarding COVID-19 have been investigated,</w:t>
      </w:r>
      <w:r w:rsidRPr="003C6E10">
        <w:rPr>
          <w:szCs w:val="24"/>
        </w:rPr>
        <w:t xml:space="preserve"> however, knowledge beyond these symptoms, particularly those psychologically</w:t>
      </w:r>
      <w:r w:rsidR="006F4D61" w:rsidRPr="003C6E10">
        <w:rPr>
          <w:szCs w:val="24"/>
        </w:rPr>
        <w:t xml:space="preserve"> </w:t>
      </w:r>
      <w:r w:rsidRPr="003C6E10">
        <w:rPr>
          <w:szCs w:val="24"/>
        </w:rPr>
        <w:t xml:space="preserve">related, remains limited. As such, </w:t>
      </w:r>
      <w:r w:rsidR="00AC13C0" w:rsidRPr="003C6E10">
        <w:rPr>
          <w:szCs w:val="24"/>
        </w:rPr>
        <w:t>the</w:t>
      </w:r>
      <w:r w:rsidR="003C1D6A" w:rsidRPr="003C6E10">
        <w:rPr>
          <w:szCs w:val="24"/>
        </w:rPr>
        <w:t xml:space="preserve"> psychological perspective</w:t>
      </w:r>
      <w:r w:rsidR="00AC13C0" w:rsidRPr="003C6E10">
        <w:rPr>
          <w:szCs w:val="24"/>
        </w:rPr>
        <w:t xml:space="preserve"> of </w:t>
      </w:r>
      <w:r w:rsidRPr="003C6E10">
        <w:rPr>
          <w:szCs w:val="24"/>
        </w:rPr>
        <w:t>suicide related to COVID-19 is an</w:t>
      </w:r>
      <w:r w:rsidR="00AC13C0" w:rsidRPr="003C6E10">
        <w:rPr>
          <w:szCs w:val="24"/>
        </w:rPr>
        <w:t xml:space="preserve"> </w:t>
      </w:r>
      <w:r w:rsidRPr="003C6E10">
        <w:rPr>
          <w:szCs w:val="24"/>
        </w:rPr>
        <w:t xml:space="preserve">important issue to be considered. </w:t>
      </w:r>
      <w:r w:rsidRPr="003C6E10">
        <w:rPr>
          <w:bCs/>
          <w:szCs w:val="24"/>
        </w:rPr>
        <w:t xml:space="preserve">A </w:t>
      </w:r>
      <w:r w:rsidRPr="003C6E10">
        <w:rPr>
          <w:szCs w:val="24"/>
        </w:rPr>
        <w:t>pandemic presents a situation associated with increased suicide risk</w:t>
      </w:r>
      <w:r w:rsidR="00723A4B" w:rsidRPr="003C6E10">
        <w:rPr>
          <w:noProof/>
          <w:sz w:val="20"/>
          <w:vertAlign w:val="superscript"/>
        </w:rPr>
        <w:t>2</w:t>
      </w:r>
      <w:r w:rsidR="00CD6961" w:rsidRPr="003C6E10">
        <w:rPr>
          <w:noProof/>
          <w:sz w:val="20"/>
          <w:vertAlign w:val="superscript"/>
        </w:rPr>
        <w:t>,</w:t>
      </w:r>
      <w:r w:rsidR="00723A4B" w:rsidRPr="003C6E10">
        <w:rPr>
          <w:noProof/>
          <w:sz w:val="20"/>
          <w:vertAlign w:val="superscript"/>
        </w:rPr>
        <w:t>3</w:t>
      </w:r>
      <w:r w:rsidRPr="003C6E10">
        <w:rPr>
          <w:szCs w:val="24"/>
        </w:rPr>
        <w:t>. Indeed, some cases related to COVID-19 have been reported. Factors such as anxiety and uncertainty, social isolation, and economic problems can explain a significant proportion of the increase in suicide risk related to the pandemic</w:t>
      </w:r>
      <w:r w:rsidR="00723A4B" w:rsidRPr="003C6E10">
        <w:rPr>
          <w:noProof/>
          <w:sz w:val="20"/>
          <w:vertAlign w:val="superscript"/>
        </w:rPr>
        <w:t>4</w:t>
      </w:r>
      <w:r w:rsidRPr="003C6E10">
        <w:rPr>
          <w:szCs w:val="24"/>
        </w:rPr>
        <w:t>. However, inflammation caused by infection is another important factor to be considered.</w:t>
      </w:r>
    </w:p>
    <w:p w14:paraId="18A5EC70" w14:textId="26FD9547" w:rsidR="004D2ED8" w:rsidRPr="003C6E10" w:rsidRDefault="004D2ED8" w:rsidP="00F85FED">
      <w:pPr>
        <w:spacing w:line="480" w:lineRule="auto"/>
        <w:ind w:firstLineChars="100" w:firstLine="240"/>
        <w:contextualSpacing/>
        <w:rPr>
          <w:bCs/>
          <w:szCs w:val="24"/>
        </w:rPr>
      </w:pPr>
      <w:r w:rsidRPr="003C6E10">
        <w:rPr>
          <w:szCs w:val="24"/>
        </w:rPr>
        <w:t xml:space="preserve">Inflammatory conditions like infections </w:t>
      </w:r>
      <w:r w:rsidRPr="003C6E10">
        <w:rPr>
          <w:bCs/>
          <w:szCs w:val="24"/>
        </w:rPr>
        <w:t xml:space="preserve">can trigger depressive symptoms and are associated with </w:t>
      </w:r>
      <w:r w:rsidR="00B129C3" w:rsidRPr="003C6E10">
        <w:rPr>
          <w:bCs/>
          <w:szCs w:val="24"/>
        </w:rPr>
        <w:t>suicide</w:t>
      </w:r>
      <w:r w:rsidRPr="003C6E10">
        <w:rPr>
          <w:bCs/>
          <w:szCs w:val="24"/>
        </w:rPr>
        <w:t>. Studies report that there is a clear difference in cytokine levels such as IL-6, IL-1β, and IL-2 between suicidal and non-suicidal patients</w:t>
      </w:r>
      <w:r w:rsidR="00723A4B" w:rsidRPr="003C6E10">
        <w:rPr>
          <w:bCs/>
          <w:noProof/>
          <w:sz w:val="20"/>
          <w:vertAlign w:val="superscript"/>
        </w:rPr>
        <w:t>5-7</w:t>
      </w:r>
      <w:r w:rsidRPr="003C6E10">
        <w:rPr>
          <w:bCs/>
          <w:szCs w:val="24"/>
        </w:rPr>
        <w:t xml:space="preserve">. These inflammatory cytokines can be synthesized in the central nervous system or communicate with the brain via many different mechanisms, including the kynurenine pathway, </w:t>
      </w:r>
      <w:r w:rsidR="004D120C" w:rsidRPr="003C6E10">
        <w:rPr>
          <w:bCs/>
          <w:szCs w:val="24"/>
        </w:rPr>
        <w:t xml:space="preserve">monoamine metabolism, </w:t>
      </w:r>
      <w:r w:rsidRPr="003C6E10">
        <w:rPr>
          <w:bCs/>
          <w:szCs w:val="24"/>
        </w:rPr>
        <w:t>and hypothalamic-pituitary-adrenal (HPA) axis</w:t>
      </w:r>
      <w:r w:rsidR="00723A4B" w:rsidRPr="003C6E10">
        <w:rPr>
          <w:bCs/>
          <w:noProof/>
          <w:sz w:val="20"/>
          <w:vertAlign w:val="superscript"/>
        </w:rPr>
        <w:t>8</w:t>
      </w:r>
      <w:r w:rsidRPr="003C6E10">
        <w:rPr>
          <w:bCs/>
          <w:szCs w:val="24"/>
        </w:rPr>
        <w:t xml:space="preserve">. COVID-19 is also associated with a significant increase in cytokine levels, which might partly explain the </w:t>
      </w:r>
      <w:r w:rsidR="008914A9" w:rsidRPr="003C6E10">
        <w:rPr>
          <w:bCs/>
          <w:szCs w:val="24"/>
        </w:rPr>
        <w:t xml:space="preserve">suicide </w:t>
      </w:r>
      <w:r w:rsidRPr="003C6E10">
        <w:rPr>
          <w:bCs/>
          <w:szCs w:val="24"/>
        </w:rPr>
        <w:t>observed in some of the individuals who are infected</w:t>
      </w:r>
      <w:r w:rsidR="00723A4B" w:rsidRPr="003C6E10">
        <w:rPr>
          <w:bCs/>
          <w:noProof/>
          <w:sz w:val="20"/>
          <w:vertAlign w:val="superscript"/>
        </w:rPr>
        <w:t>9</w:t>
      </w:r>
      <w:r w:rsidRPr="003C6E10">
        <w:rPr>
          <w:bCs/>
          <w:szCs w:val="24"/>
        </w:rPr>
        <w:t xml:space="preserve">. </w:t>
      </w:r>
    </w:p>
    <w:p w14:paraId="306C46B3" w14:textId="42D1233D" w:rsidR="004D2ED8" w:rsidRPr="003C6E10" w:rsidRDefault="004D2ED8" w:rsidP="00F85FED">
      <w:pPr>
        <w:spacing w:line="480" w:lineRule="auto"/>
        <w:ind w:firstLineChars="100" w:firstLine="240"/>
        <w:rPr>
          <w:bCs/>
          <w:szCs w:val="24"/>
        </w:rPr>
      </w:pPr>
      <w:r w:rsidRPr="003C6E10">
        <w:rPr>
          <w:bCs/>
          <w:szCs w:val="24"/>
        </w:rPr>
        <w:t>Therefore,</w:t>
      </w:r>
      <w:r w:rsidRPr="003C6E10" w:rsidDel="00044368">
        <w:rPr>
          <w:bCs/>
          <w:szCs w:val="24"/>
        </w:rPr>
        <w:t xml:space="preserve"> </w:t>
      </w:r>
      <w:r w:rsidRPr="003C6E10">
        <w:rPr>
          <w:bCs/>
          <w:szCs w:val="24"/>
        </w:rPr>
        <w:t xml:space="preserve">in this review, we focused on the relationship between suicide and inflammation by infection. </w:t>
      </w:r>
      <w:r w:rsidR="0046509A" w:rsidRPr="0046509A">
        <w:rPr>
          <w:bCs/>
          <w:szCs w:val="24"/>
          <w:highlight w:val="yellow"/>
        </w:rPr>
        <w:t xml:space="preserve">We searched the World Health Organization status report and the PubMed </w:t>
      </w:r>
      <w:r w:rsidR="0046509A" w:rsidRPr="0046509A">
        <w:rPr>
          <w:bCs/>
          <w:szCs w:val="24"/>
          <w:highlight w:val="yellow"/>
        </w:rPr>
        <w:lastRenderedPageBreak/>
        <w:t>database for keywords (COVID-19, suicide, infection, inflammation, cytokines), and reviewed five cytokine pathways between suicide and inflammation using two meta-analyses and two observational studies. through November 31 2020.</w:t>
      </w:r>
      <w:r w:rsidR="0046509A">
        <w:rPr>
          <w:bCs/>
          <w:szCs w:val="24"/>
        </w:rPr>
        <w:t xml:space="preserve"> </w:t>
      </w:r>
      <w:r w:rsidRPr="003C6E10">
        <w:rPr>
          <w:bCs/>
          <w:szCs w:val="24"/>
        </w:rPr>
        <w:t xml:space="preserve">First, we discussed existing evidence explaining the relationship between </w:t>
      </w:r>
      <w:r w:rsidR="00C11596" w:rsidRPr="003C6E10">
        <w:rPr>
          <w:bCs/>
          <w:szCs w:val="24"/>
        </w:rPr>
        <w:t>suicide</w:t>
      </w:r>
      <w:r w:rsidRPr="003C6E10">
        <w:rPr>
          <w:bCs/>
          <w:szCs w:val="24"/>
        </w:rPr>
        <w:t xml:space="preserve"> and inflammation. Second, we summarized the inflammatory features found in COVID-19 patients. Finally, we highlight the potential for these factors to affect the risk of suicide in COVID-19 patients.</w:t>
      </w:r>
    </w:p>
    <w:bookmarkEnd w:id="2"/>
    <w:bookmarkEnd w:id="3"/>
    <w:p w14:paraId="44E11BD7" w14:textId="2C5120FE" w:rsidR="004D2ED8" w:rsidRPr="003C6E10" w:rsidRDefault="008376FB" w:rsidP="00F85FED">
      <w:pPr>
        <w:pStyle w:val="MDPI21heading1"/>
        <w:spacing w:line="480" w:lineRule="auto"/>
        <w:jc w:val="both"/>
        <w:rPr>
          <w:rFonts w:ascii="Times New Roman" w:hAnsi="Times New Roman"/>
          <w:sz w:val="24"/>
          <w:szCs w:val="24"/>
        </w:rPr>
      </w:pPr>
      <w:r w:rsidRPr="003C6E10">
        <w:rPr>
          <w:rFonts w:ascii="Times New Roman" w:hAnsi="Times New Roman"/>
          <w:sz w:val="24"/>
          <w:szCs w:val="24"/>
        </w:rPr>
        <w:t xml:space="preserve">Risk </w:t>
      </w:r>
      <w:r w:rsidR="00106B3A">
        <w:rPr>
          <w:rFonts w:ascii="Times New Roman" w:hAnsi="Times New Roman"/>
          <w:sz w:val="24"/>
          <w:szCs w:val="24"/>
        </w:rPr>
        <w:t>F</w:t>
      </w:r>
      <w:r w:rsidRPr="003C6E10">
        <w:rPr>
          <w:rFonts w:ascii="Times New Roman" w:hAnsi="Times New Roman"/>
          <w:sz w:val="24"/>
          <w:szCs w:val="24"/>
        </w:rPr>
        <w:t xml:space="preserve">actors </w:t>
      </w:r>
      <w:r w:rsidR="00106B3A">
        <w:rPr>
          <w:rFonts w:ascii="Times New Roman" w:hAnsi="Times New Roman"/>
          <w:sz w:val="24"/>
          <w:szCs w:val="24"/>
        </w:rPr>
        <w:t>A</w:t>
      </w:r>
      <w:r w:rsidRPr="003C6E10">
        <w:rPr>
          <w:rFonts w:ascii="Times New Roman" w:hAnsi="Times New Roman"/>
          <w:sz w:val="24"/>
          <w:szCs w:val="24"/>
        </w:rPr>
        <w:t xml:space="preserve">ssociated with </w:t>
      </w:r>
      <w:r w:rsidR="00106B3A">
        <w:rPr>
          <w:rFonts w:ascii="Times New Roman" w:hAnsi="Times New Roman"/>
          <w:sz w:val="24"/>
          <w:szCs w:val="24"/>
        </w:rPr>
        <w:t>S</w:t>
      </w:r>
      <w:r w:rsidR="0037367B" w:rsidRPr="003C6E10">
        <w:rPr>
          <w:rFonts w:ascii="Times New Roman" w:hAnsi="Times New Roman"/>
          <w:sz w:val="24"/>
          <w:szCs w:val="24"/>
        </w:rPr>
        <w:t>uicidality</w:t>
      </w:r>
    </w:p>
    <w:p w14:paraId="0AF5E6A5" w14:textId="135E9330" w:rsidR="004D2ED8" w:rsidRPr="003C6E10" w:rsidRDefault="00B312D2" w:rsidP="00F85FED">
      <w:pPr>
        <w:spacing w:line="480" w:lineRule="auto"/>
        <w:ind w:firstLineChars="100" w:firstLine="240"/>
        <w:rPr>
          <w:rFonts w:eastAsia="Gulim"/>
          <w:color w:val="auto"/>
          <w:szCs w:val="24"/>
          <w:lang w:eastAsia="ko-KR"/>
        </w:rPr>
      </w:pPr>
      <w:r w:rsidRPr="003C6E10">
        <w:rPr>
          <w:szCs w:val="24"/>
        </w:rPr>
        <w:t>Suicide</w:t>
      </w:r>
      <w:r w:rsidR="004D2ED8" w:rsidRPr="003C6E10">
        <w:rPr>
          <w:szCs w:val="24"/>
        </w:rPr>
        <w:t xml:space="preserve"> is an important issue and a significant challenge for the global public health community</w:t>
      </w:r>
      <w:r w:rsidR="00723A4B" w:rsidRPr="003C6E10">
        <w:rPr>
          <w:noProof/>
          <w:sz w:val="20"/>
          <w:vertAlign w:val="superscript"/>
        </w:rPr>
        <w:t>10</w:t>
      </w:r>
      <w:r w:rsidR="004D2ED8" w:rsidRPr="003C6E10">
        <w:rPr>
          <w:szCs w:val="24"/>
        </w:rPr>
        <w:t>. In the US alone, 40,000 people die due to suicide every year, and according to the World Health Organization (WHO), globally, this figure is estimated to be approximately 800,000</w:t>
      </w:r>
      <w:r w:rsidR="00723A4B" w:rsidRPr="003C6E10">
        <w:rPr>
          <w:noProof/>
          <w:sz w:val="20"/>
          <w:vertAlign w:val="superscript"/>
        </w:rPr>
        <w:t>8</w:t>
      </w:r>
      <w:r w:rsidR="00CD6961" w:rsidRPr="003C6E10">
        <w:rPr>
          <w:noProof/>
          <w:sz w:val="20"/>
          <w:vertAlign w:val="superscript"/>
        </w:rPr>
        <w:t>,</w:t>
      </w:r>
      <w:r w:rsidR="00723A4B" w:rsidRPr="003C6E10">
        <w:rPr>
          <w:noProof/>
          <w:sz w:val="20"/>
          <w:vertAlign w:val="superscript"/>
        </w:rPr>
        <w:t>11</w:t>
      </w:r>
      <w:r w:rsidR="004D2ED8" w:rsidRPr="003C6E10">
        <w:rPr>
          <w:szCs w:val="24"/>
        </w:rPr>
        <w:t>. In fact, WHO estimates indicate an individual will die by suicide somewhere in the world every 40 seconds</w:t>
      </w:r>
      <w:r w:rsidR="00723A4B" w:rsidRPr="003C6E10">
        <w:rPr>
          <w:noProof/>
          <w:sz w:val="20"/>
          <w:vertAlign w:val="superscript"/>
        </w:rPr>
        <w:t>11</w:t>
      </w:r>
      <w:r w:rsidR="004D2ED8" w:rsidRPr="003C6E10">
        <w:rPr>
          <w:szCs w:val="24"/>
        </w:rPr>
        <w:t>. As rates continually rise across countries, suicide will remain a major public health problem</w:t>
      </w:r>
      <w:r w:rsidR="00723A4B" w:rsidRPr="003C6E10">
        <w:rPr>
          <w:noProof/>
          <w:sz w:val="20"/>
          <w:vertAlign w:val="superscript"/>
        </w:rPr>
        <w:t>12</w:t>
      </w:r>
      <w:r w:rsidR="004D2ED8" w:rsidRPr="003C6E10">
        <w:rPr>
          <w:szCs w:val="24"/>
        </w:rPr>
        <w:t>.</w:t>
      </w:r>
      <w:r w:rsidR="004D2ED8" w:rsidRPr="003C6E10">
        <w:rPr>
          <w:rFonts w:eastAsia="Gulim"/>
          <w:color w:val="auto"/>
          <w:szCs w:val="24"/>
          <w:lang w:eastAsia="ko-KR"/>
        </w:rPr>
        <w:t xml:space="preserve"> </w:t>
      </w:r>
    </w:p>
    <w:p w14:paraId="5D6CA8BF" w14:textId="681E59E7" w:rsidR="0037367B" w:rsidRPr="003C6E10" w:rsidRDefault="000326B8" w:rsidP="00F85FED">
      <w:pPr>
        <w:spacing w:line="480" w:lineRule="auto"/>
        <w:ind w:firstLineChars="100" w:firstLine="222"/>
        <w:rPr>
          <w:rFonts w:eastAsia="Gulim"/>
          <w:color w:val="auto"/>
          <w:szCs w:val="24"/>
          <w:lang w:eastAsia="ko-KR"/>
        </w:rPr>
      </w:pPr>
      <w:r w:rsidRPr="003C6E10">
        <w:rPr>
          <w:rFonts w:eastAsia="Gulim"/>
          <w:color w:val="auto"/>
          <w:szCs w:val="24"/>
          <w:lang w:eastAsia="ko-KR"/>
        </w:rPr>
        <w:t>I</w:t>
      </w:r>
      <w:r w:rsidR="00C871DD" w:rsidRPr="003C6E10">
        <w:rPr>
          <w:rFonts w:eastAsia="Gulim"/>
          <w:color w:val="auto"/>
          <w:szCs w:val="24"/>
          <w:lang w:eastAsia="ko-KR"/>
        </w:rPr>
        <w:t xml:space="preserve">nconsistency in </w:t>
      </w:r>
      <w:r w:rsidR="00C12568" w:rsidRPr="003C6E10">
        <w:rPr>
          <w:rFonts w:eastAsia="Gulim"/>
          <w:color w:val="auto"/>
          <w:szCs w:val="24"/>
          <w:lang w:eastAsia="ko-KR"/>
        </w:rPr>
        <w:t>the nomenclature</w:t>
      </w:r>
      <w:r w:rsidR="00A737C9" w:rsidRPr="003C6E10">
        <w:rPr>
          <w:rFonts w:eastAsia="Gulim"/>
          <w:color w:val="auto"/>
          <w:szCs w:val="24"/>
          <w:lang w:eastAsia="ko-KR"/>
        </w:rPr>
        <w:t xml:space="preserve"> has hindered</w:t>
      </w:r>
      <w:r w:rsidR="00273606" w:rsidRPr="003C6E10">
        <w:rPr>
          <w:rFonts w:eastAsia="Gulim"/>
          <w:color w:val="auto"/>
          <w:szCs w:val="24"/>
          <w:lang w:eastAsia="ko-KR"/>
        </w:rPr>
        <w:t xml:space="preserve"> the</w:t>
      </w:r>
      <w:r w:rsidR="00A737C9" w:rsidRPr="003C6E10">
        <w:rPr>
          <w:rFonts w:eastAsia="Gulim"/>
          <w:color w:val="auto"/>
          <w:szCs w:val="24"/>
          <w:lang w:eastAsia="ko-KR"/>
        </w:rPr>
        <w:t xml:space="preserve"> progress in suicide research and theory</w:t>
      </w:r>
      <w:r w:rsidR="00723A4B" w:rsidRPr="003C6E10">
        <w:rPr>
          <w:rFonts w:eastAsia="Gulim"/>
          <w:noProof/>
          <w:color w:val="auto"/>
          <w:szCs w:val="24"/>
          <w:vertAlign w:val="superscript"/>
          <w:lang w:eastAsia="ko-KR"/>
        </w:rPr>
        <w:t>13</w:t>
      </w:r>
      <w:r w:rsidR="001508F0" w:rsidRPr="003C6E10">
        <w:rPr>
          <w:rFonts w:eastAsia="Gulim"/>
          <w:color w:val="auto"/>
          <w:szCs w:val="24"/>
          <w:lang w:eastAsia="ko-KR"/>
        </w:rPr>
        <w:t xml:space="preserve">. </w:t>
      </w:r>
      <w:r w:rsidR="000C2D68" w:rsidRPr="003C6E10">
        <w:rPr>
          <w:rFonts w:eastAsia="Gulim"/>
          <w:color w:val="auto"/>
          <w:szCs w:val="24"/>
          <w:lang w:eastAsia="ko-KR"/>
        </w:rPr>
        <w:t>Suicide is defined as death caused by a self-directed injury behavior with the intent to die as a result of one’s action and suicide attempt is the nonfatal self-directed injurious behavior with the intent to die as a result</w:t>
      </w:r>
      <w:r w:rsidR="00723A4B" w:rsidRPr="003C6E10">
        <w:rPr>
          <w:rFonts w:eastAsia="Gulim"/>
          <w:noProof/>
          <w:color w:val="auto"/>
          <w:szCs w:val="24"/>
          <w:vertAlign w:val="superscript"/>
          <w:lang w:eastAsia="ko-KR"/>
        </w:rPr>
        <w:t>14</w:t>
      </w:r>
      <w:r w:rsidR="000C2D68" w:rsidRPr="003C6E10">
        <w:rPr>
          <w:rFonts w:eastAsia="Gulim"/>
          <w:color w:val="auto"/>
          <w:szCs w:val="24"/>
          <w:lang w:eastAsia="ko-KR"/>
        </w:rPr>
        <w:t>. In contrast, s</w:t>
      </w:r>
      <w:r w:rsidR="001508F0" w:rsidRPr="003C6E10">
        <w:rPr>
          <w:rFonts w:eastAsia="Gulim"/>
          <w:color w:val="auto"/>
          <w:szCs w:val="24"/>
          <w:lang w:eastAsia="ko-KR"/>
        </w:rPr>
        <w:t>uicidality</w:t>
      </w:r>
      <w:r w:rsidR="00166D3A" w:rsidRPr="003C6E10">
        <w:rPr>
          <w:rFonts w:eastAsia="Gulim"/>
          <w:color w:val="auto"/>
          <w:szCs w:val="24"/>
          <w:lang w:eastAsia="ko-KR"/>
        </w:rPr>
        <w:t xml:space="preserve"> </w:t>
      </w:r>
      <w:r w:rsidR="00F8515D" w:rsidRPr="003C6E10">
        <w:rPr>
          <w:rFonts w:eastAsia="Gulim"/>
          <w:color w:val="auto"/>
          <w:szCs w:val="24"/>
          <w:lang w:eastAsia="ko-KR"/>
        </w:rPr>
        <w:t xml:space="preserve">and suicidal behavior </w:t>
      </w:r>
      <w:r w:rsidRPr="003C6E10">
        <w:rPr>
          <w:rFonts w:eastAsia="Gulim"/>
          <w:color w:val="auto"/>
          <w:szCs w:val="24"/>
          <w:lang w:eastAsia="ko-KR"/>
        </w:rPr>
        <w:t>broadly</w:t>
      </w:r>
      <w:r w:rsidR="000F5F64" w:rsidRPr="003C6E10">
        <w:rPr>
          <w:rFonts w:eastAsia="Gulim"/>
          <w:color w:val="auto"/>
          <w:szCs w:val="24"/>
          <w:lang w:eastAsia="ko-KR"/>
        </w:rPr>
        <w:t xml:space="preserve"> </w:t>
      </w:r>
      <w:r w:rsidR="00783D80" w:rsidRPr="003C6E10">
        <w:rPr>
          <w:rFonts w:eastAsia="Gulim"/>
          <w:color w:val="auto"/>
          <w:szCs w:val="24"/>
          <w:lang w:eastAsia="ko-KR"/>
        </w:rPr>
        <w:t>describe</w:t>
      </w:r>
      <w:r w:rsidR="00166D3A" w:rsidRPr="003C6E10">
        <w:rPr>
          <w:rFonts w:eastAsia="Gulim"/>
          <w:color w:val="auto"/>
          <w:szCs w:val="24"/>
          <w:lang w:eastAsia="ko-KR"/>
        </w:rPr>
        <w:t>s</w:t>
      </w:r>
      <w:r w:rsidR="000F5F64" w:rsidRPr="003C6E10">
        <w:rPr>
          <w:rFonts w:eastAsia="Gulim"/>
          <w:color w:val="auto"/>
          <w:szCs w:val="24"/>
          <w:lang w:eastAsia="ko-KR"/>
        </w:rPr>
        <w:t xml:space="preserve"> the </w:t>
      </w:r>
      <w:r w:rsidR="00B2321C" w:rsidRPr="003C6E10">
        <w:rPr>
          <w:rFonts w:eastAsia="Gulim"/>
          <w:color w:val="auto"/>
          <w:szCs w:val="24"/>
          <w:lang w:eastAsia="ko-KR"/>
        </w:rPr>
        <w:t>overarching terminology</w:t>
      </w:r>
      <w:r w:rsidR="000F5F64" w:rsidRPr="003C6E10">
        <w:rPr>
          <w:rFonts w:eastAsia="Gulim"/>
          <w:color w:val="auto"/>
          <w:szCs w:val="24"/>
          <w:lang w:eastAsia="ko-KR"/>
        </w:rPr>
        <w:t xml:space="preserve"> that </w:t>
      </w:r>
      <w:r w:rsidR="00B2321C" w:rsidRPr="003C6E10">
        <w:rPr>
          <w:rFonts w:eastAsia="Gulim"/>
          <w:color w:val="auto"/>
          <w:szCs w:val="24"/>
          <w:lang w:eastAsia="ko-KR"/>
        </w:rPr>
        <w:t xml:space="preserve">spans across to </w:t>
      </w:r>
      <w:r w:rsidR="000F5F64" w:rsidRPr="003C6E10">
        <w:rPr>
          <w:rFonts w:eastAsia="Gulim"/>
          <w:color w:val="auto"/>
          <w:szCs w:val="24"/>
          <w:lang w:eastAsia="ko-KR"/>
        </w:rPr>
        <w:t>include suicidal ideas, plans</w:t>
      </w:r>
      <w:r w:rsidR="00203968" w:rsidRPr="003C6E10">
        <w:rPr>
          <w:rFonts w:eastAsia="Gulim"/>
          <w:color w:val="auto"/>
          <w:szCs w:val="24"/>
          <w:lang w:eastAsia="ko-KR"/>
        </w:rPr>
        <w:t>,</w:t>
      </w:r>
      <w:r w:rsidR="00BA5DA9" w:rsidRPr="003C6E10">
        <w:rPr>
          <w:rFonts w:eastAsia="Gulim"/>
          <w:color w:val="auto"/>
          <w:szCs w:val="24"/>
          <w:lang w:eastAsia="ko-KR"/>
        </w:rPr>
        <w:t xml:space="preserve"> the</w:t>
      </w:r>
      <w:r w:rsidR="00203968" w:rsidRPr="003C6E10">
        <w:rPr>
          <w:rFonts w:eastAsia="Gulim"/>
          <w:color w:val="auto"/>
          <w:szCs w:val="24"/>
          <w:lang w:eastAsia="ko-KR"/>
        </w:rPr>
        <w:t xml:space="preserve"> process of preparation</w:t>
      </w:r>
      <w:r w:rsidR="00EE3FBE" w:rsidRPr="003C6E10">
        <w:rPr>
          <w:rFonts w:eastAsia="Gulim"/>
          <w:color w:val="auto"/>
          <w:szCs w:val="24"/>
          <w:lang w:eastAsia="ko-KR"/>
        </w:rPr>
        <w:t xml:space="preserve"> and</w:t>
      </w:r>
      <w:r w:rsidR="000F5F64" w:rsidRPr="003C6E10">
        <w:rPr>
          <w:rFonts w:eastAsia="Gulim"/>
          <w:color w:val="auto"/>
          <w:szCs w:val="24"/>
          <w:lang w:eastAsia="ko-KR"/>
        </w:rPr>
        <w:t xml:space="preserve"> attempts</w:t>
      </w:r>
      <w:r w:rsidR="00EE3FBE" w:rsidRPr="003C6E10">
        <w:rPr>
          <w:rFonts w:eastAsia="Gulim"/>
          <w:color w:val="auto"/>
          <w:szCs w:val="24"/>
          <w:lang w:eastAsia="ko-KR"/>
        </w:rPr>
        <w:t xml:space="preserve"> that may be fatal</w:t>
      </w:r>
      <w:r w:rsidR="00723A4B" w:rsidRPr="003C6E10">
        <w:rPr>
          <w:rFonts w:eastAsia="Gulim"/>
          <w:noProof/>
          <w:color w:val="auto"/>
          <w:szCs w:val="24"/>
          <w:vertAlign w:val="superscript"/>
          <w:lang w:eastAsia="ko-KR"/>
        </w:rPr>
        <w:t>15</w:t>
      </w:r>
      <w:r w:rsidR="00CD6961" w:rsidRPr="003C6E10">
        <w:rPr>
          <w:rFonts w:eastAsia="Gulim"/>
          <w:noProof/>
          <w:color w:val="auto"/>
          <w:szCs w:val="24"/>
          <w:vertAlign w:val="superscript"/>
          <w:lang w:eastAsia="ko-KR"/>
        </w:rPr>
        <w:t>,</w:t>
      </w:r>
      <w:r w:rsidR="00723A4B" w:rsidRPr="003C6E10">
        <w:rPr>
          <w:rFonts w:eastAsia="Gulim"/>
          <w:noProof/>
          <w:color w:val="auto"/>
          <w:szCs w:val="24"/>
          <w:vertAlign w:val="superscript"/>
          <w:lang w:eastAsia="ko-KR"/>
        </w:rPr>
        <w:t>16</w:t>
      </w:r>
      <w:r w:rsidR="008858FF" w:rsidRPr="003C6E10">
        <w:rPr>
          <w:rFonts w:eastAsia="Gulim"/>
          <w:color w:val="auto"/>
          <w:szCs w:val="24"/>
          <w:lang w:eastAsia="ko-KR"/>
        </w:rPr>
        <w:t>.</w:t>
      </w:r>
      <w:r w:rsidR="00AB3A88" w:rsidRPr="003C6E10">
        <w:rPr>
          <w:rFonts w:eastAsia="Gulim"/>
          <w:color w:val="auto"/>
          <w:szCs w:val="24"/>
          <w:lang w:eastAsia="ko-KR"/>
        </w:rPr>
        <w:t xml:space="preserve"> </w:t>
      </w:r>
      <w:r w:rsidRPr="003C6E10">
        <w:rPr>
          <w:rFonts w:eastAsia="Gulim"/>
          <w:color w:val="auto"/>
          <w:szCs w:val="24"/>
          <w:lang w:eastAsia="ko-KR"/>
        </w:rPr>
        <w:t>Thus</w:t>
      </w:r>
      <w:r w:rsidR="00F8515D" w:rsidRPr="003C6E10">
        <w:rPr>
          <w:rFonts w:eastAsia="Gulim"/>
          <w:color w:val="auto"/>
          <w:szCs w:val="24"/>
          <w:lang w:eastAsia="ko-KR"/>
        </w:rPr>
        <w:t>,</w:t>
      </w:r>
      <w:r w:rsidRPr="003C6E10">
        <w:rPr>
          <w:rFonts w:eastAsia="Gulim"/>
          <w:color w:val="auto"/>
          <w:szCs w:val="24"/>
          <w:lang w:eastAsia="ko-KR"/>
        </w:rPr>
        <w:t xml:space="preserve"> ca</w:t>
      </w:r>
      <w:r w:rsidR="00411B6C" w:rsidRPr="003C6E10">
        <w:rPr>
          <w:rFonts w:eastAsia="Gulim"/>
          <w:color w:val="auto"/>
          <w:szCs w:val="24"/>
          <w:lang w:eastAsia="ko-KR"/>
        </w:rPr>
        <w:t xml:space="preserve">ution needs to be taken when selecting specific terms to </w:t>
      </w:r>
      <w:r w:rsidR="00FE79D8" w:rsidRPr="003C6E10">
        <w:rPr>
          <w:rFonts w:eastAsia="Gulim"/>
          <w:color w:val="auto"/>
          <w:szCs w:val="24"/>
          <w:lang w:eastAsia="ko-KR"/>
        </w:rPr>
        <w:t xml:space="preserve">address suicidality and associated </w:t>
      </w:r>
      <w:r w:rsidR="00C27A64" w:rsidRPr="003C6E10">
        <w:rPr>
          <w:rFonts w:eastAsia="Gulim"/>
          <w:color w:val="auto"/>
          <w:szCs w:val="24"/>
          <w:lang w:eastAsia="ko-KR"/>
        </w:rPr>
        <w:t>behaviors</w:t>
      </w:r>
      <w:r w:rsidR="00A66114" w:rsidRPr="003C6E10">
        <w:rPr>
          <w:rFonts w:eastAsia="Gulim"/>
          <w:color w:val="auto"/>
          <w:szCs w:val="24"/>
          <w:lang w:eastAsia="ko-KR"/>
        </w:rPr>
        <w:t>.</w:t>
      </w:r>
      <w:r w:rsidR="00A3574C" w:rsidRPr="003C6E10">
        <w:rPr>
          <w:rFonts w:eastAsia="Gulim"/>
          <w:color w:val="auto"/>
          <w:szCs w:val="24"/>
          <w:lang w:eastAsia="ko-KR"/>
        </w:rPr>
        <w:t xml:space="preserve"> </w:t>
      </w:r>
      <w:r w:rsidR="005F14F6" w:rsidRPr="003C6E10">
        <w:rPr>
          <w:rFonts w:eastAsia="Gulim"/>
          <w:color w:val="auto"/>
          <w:szCs w:val="24"/>
          <w:lang w:eastAsia="ko-KR"/>
        </w:rPr>
        <w:t xml:space="preserve">The </w:t>
      </w:r>
      <w:r w:rsidR="005F14F6" w:rsidRPr="003C6E10">
        <w:rPr>
          <w:rFonts w:eastAsia="Gulim"/>
          <w:color w:val="auto"/>
          <w:szCs w:val="24"/>
          <w:lang w:eastAsia="ko-KR"/>
        </w:rPr>
        <w:lastRenderedPageBreak/>
        <w:t xml:space="preserve">following sections </w:t>
      </w:r>
      <w:r w:rsidR="00C07460" w:rsidRPr="003C6E10">
        <w:rPr>
          <w:rFonts w:eastAsia="Gulim"/>
          <w:color w:val="auto"/>
          <w:szCs w:val="24"/>
          <w:lang w:eastAsia="ko-KR"/>
        </w:rPr>
        <w:t xml:space="preserve">of this paper have maintained consistency </w:t>
      </w:r>
      <w:r w:rsidR="00920852" w:rsidRPr="003C6E10">
        <w:rPr>
          <w:rFonts w:eastAsia="Gulim"/>
          <w:color w:val="auto"/>
          <w:szCs w:val="24"/>
          <w:lang w:eastAsia="ko-KR"/>
        </w:rPr>
        <w:t xml:space="preserve">in </w:t>
      </w:r>
      <w:r w:rsidR="00C07460" w:rsidRPr="003C6E10">
        <w:rPr>
          <w:rFonts w:eastAsia="Gulim"/>
          <w:color w:val="auto"/>
          <w:szCs w:val="24"/>
          <w:lang w:eastAsia="ko-KR"/>
        </w:rPr>
        <w:t xml:space="preserve">using the terminology </w:t>
      </w:r>
      <w:r w:rsidR="00920852" w:rsidRPr="003C6E10">
        <w:rPr>
          <w:rFonts w:eastAsia="Gulim"/>
          <w:color w:val="auto"/>
          <w:szCs w:val="24"/>
          <w:lang w:eastAsia="ko-KR"/>
        </w:rPr>
        <w:t xml:space="preserve">as </w:t>
      </w:r>
      <w:r w:rsidR="00C07460" w:rsidRPr="003C6E10">
        <w:rPr>
          <w:rFonts w:eastAsia="Gulim"/>
          <w:color w:val="auto"/>
          <w:szCs w:val="24"/>
          <w:lang w:eastAsia="ko-KR"/>
        </w:rPr>
        <w:t xml:space="preserve">addressed above. </w:t>
      </w:r>
      <w:r w:rsidR="005F14F6" w:rsidRPr="003C6E10">
        <w:rPr>
          <w:rFonts w:eastAsia="Gulim"/>
          <w:color w:val="auto"/>
          <w:szCs w:val="24"/>
          <w:lang w:eastAsia="ko-KR"/>
        </w:rPr>
        <w:t xml:space="preserve"> </w:t>
      </w:r>
      <w:r w:rsidR="00A3574C" w:rsidRPr="003C6E10">
        <w:rPr>
          <w:rFonts w:eastAsia="Gulim"/>
          <w:color w:val="auto"/>
          <w:szCs w:val="24"/>
          <w:lang w:eastAsia="ko-KR"/>
        </w:rPr>
        <w:t xml:space="preserve"> </w:t>
      </w:r>
    </w:p>
    <w:p w14:paraId="163A34E9" w14:textId="5AD9593D" w:rsidR="00353315" w:rsidRPr="003C6E10" w:rsidRDefault="004D2ED8" w:rsidP="00F85FED">
      <w:pPr>
        <w:spacing w:line="480" w:lineRule="auto"/>
        <w:ind w:firstLineChars="100" w:firstLine="240"/>
        <w:rPr>
          <w:szCs w:val="24"/>
        </w:rPr>
      </w:pPr>
      <w:r w:rsidRPr="003C6E10">
        <w:rPr>
          <w:szCs w:val="24"/>
        </w:rPr>
        <w:t xml:space="preserve">To understand </w:t>
      </w:r>
      <w:r w:rsidR="00006223" w:rsidRPr="003C6E10">
        <w:rPr>
          <w:szCs w:val="24"/>
        </w:rPr>
        <w:t xml:space="preserve">the </w:t>
      </w:r>
      <w:r w:rsidRPr="003C6E10">
        <w:rPr>
          <w:szCs w:val="24"/>
        </w:rPr>
        <w:t>complexity</w:t>
      </w:r>
      <w:r w:rsidR="00006223" w:rsidRPr="003C6E10">
        <w:rPr>
          <w:szCs w:val="24"/>
        </w:rPr>
        <w:t xml:space="preserve"> of </w:t>
      </w:r>
      <w:r w:rsidR="0037367B" w:rsidRPr="003C6E10">
        <w:rPr>
          <w:szCs w:val="24"/>
        </w:rPr>
        <w:t>suicidality</w:t>
      </w:r>
      <w:r w:rsidR="00B312D2" w:rsidRPr="003C6E10">
        <w:rPr>
          <w:szCs w:val="24"/>
        </w:rPr>
        <w:t>,</w:t>
      </w:r>
      <w:r w:rsidRPr="003C6E10">
        <w:rPr>
          <w:szCs w:val="24"/>
        </w:rPr>
        <w:t xml:space="preserve"> various models have been suggested, with most acknowledging the interplay between predisposing and precipitating risk factors. A seminal example includes the biopsychosocial model</w:t>
      </w:r>
      <w:r w:rsidR="00723A4B" w:rsidRPr="003C6E10">
        <w:rPr>
          <w:noProof/>
          <w:sz w:val="20"/>
          <w:vertAlign w:val="superscript"/>
        </w:rPr>
        <w:t>17</w:t>
      </w:r>
      <w:r w:rsidR="00CD6961" w:rsidRPr="003C6E10">
        <w:rPr>
          <w:noProof/>
          <w:sz w:val="20"/>
          <w:vertAlign w:val="superscript"/>
        </w:rPr>
        <w:t>,</w:t>
      </w:r>
      <w:r w:rsidR="00723A4B" w:rsidRPr="003C6E10">
        <w:rPr>
          <w:noProof/>
          <w:sz w:val="20"/>
          <w:vertAlign w:val="superscript"/>
        </w:rPr>
        <w:t>18</w:t>
      </w:r>
      <w:r w:rsidRPr="003C6E10">
        <w:rPr>
          <w:szCs w:val="24"/>
        </w:rPr>
        <w:t>. It takes a comprehensive view of suicide risk and its related factors</w:t>
      </w:r>
      <w:r w:rsidR="00723A4B" w:rsidRPr="003C6E10">
        <w:rPr>
          <w:noProof/>
          <w:sz w:val="20"/>
          <w:vertAlign w:val="superscript"/>
        </w:rPr>
        <w:t>12</w:t>
      </w:r>
      <w:r w:rsidRPr="003C6E10">
        <w:rPr>
          <w:szCs w:val="24"/>
        </w:rPr>
        <w:t>.</w:t>
      </w:r>
      <w:r w:rsidRPr="003C6E10">
        <w:rPr>
          <w:rFonts w:eastAsia="Gulim"/>
          <w:color w:val="auto"/>
          <w:szCs w:val="24"/>
          <w:lang w:eastAsia="ko-KR"/>
        </w:rPr>
        <w:t xml:space="preserve"> </w:t>
      </w:r>
      <w:r w:rsidRPr="003C6E10">
        <w:rPr>
          <w:szCs w:val="24"/>
        </w:rPr>
        <w:t xml:space="preserve">Predisposing factors, such as </w:t>
      </w:r>
      <w:r w:rsidR="009A407D" w:rsidRPr="003C6E10">
        <w:rPr>
          <w:szCs w:val="24"/>
        </w:rPr>
        <w:t>genetic vulnerabilities</w:t>
      </w:r>
      <w:r w:rsidR="00723A4B" w:rsidRPr="003C6E10">
        <w:rPr>
          <w:noProof/>
          <w:szCs w:val="24"/>
          <w:vertAlign w:val="superscript"/>
        </w:rPr>
        <w:t>19</w:t>
      </w:r>
      <w:r w:rsidR="009A407D" w:rsidRPr="003C6E10">
        <w:rPr>
          <w:szCs w:val="24"/>
        </w:rPr>
        <w:t xml:space="preserve">, </w:t>
      </w:r>
      <w:r w:rsidRPr="003C6E10">
        <w:rPr>
          <w:szCs w:val="24"/>
        </w:rPr>
        <w:t>early-life adversity</w:t>
      </w:r>
      <w:r w:rsidR="0061211D" w:rsidRPr="003C6E10">
        <w:rPr>
          <w:szCs w:val="24"/>
        </w:rPr>
        <w:t xml:space="preserve"> and </w:t>
      </w:r>
      <w:r w:rsidRPr="003C6E10">
        <w:rPr>
          <w:szCs w:val="24"/>
        </w:rPr>
        <w:t>trauma</w:t>
      </w:r>
      <w:r w:rsidR="00723A4B" w:rsidRPr="003C6E10">
        <w:rPr>
          <w:noProof/>
          <w:szCs w:val="24"/>
          <w:vertAlign w:val="superscript"/>
        </w:rPr>
        <w:t>20</w:t>
      </w:r>
      <w:r w:rsidRPr="003C6E10">
        <w:rPr>
          <w:szCs w:val="24"/>
        </w:rPr>
        <w:t>, and demographic characteristics (e.g., socioeconomic status</w:t>
      </w:r>
      <w:r w:rsidR="005C2700" w:rsidRPr="003C6E10">
        <w:rPr>
          <w:szCs w:val="24"/>
        </w:rPr>
        <w:t>)</w:t>
      </w:r>
      <w:r w:rsidR="00723A4B" w:rsidRPr="003C6E10">
        <w:rPr>
          <w:noProof/>
          <w:szCs w:val="24"/>
          <w:vertAlign w:val="superscript"/>
        </w:rPr>
        <w:t>21</w:t>
      </w:r>
      <w:r w:rsidRPr="003C6E10">
        <w:rPr>
          <w:szCs w:val="24"/>
        </w:rPr>
        <w:t xml:space="preserve">, contribute to </w:t>
      </w:r>
      <w:r w:rsidR="000C13C9" w:rsidRPr="003C6E10">
        <w:rPr>
          <w:szCs w:val="24"/>
        </w:rPr>
        <w:t>suicidality</w:t>
      </w:r>
      <w:r w:rsidRPr="003C6E10">
        <w:rPr>
          <w:szCs w:val="24"/>
        </w:rPr>
        <w:t xml:space="preserve"> and can lead to lasting alterations in gene expression. Moreover, certain mechanisms can affect such predisposing factors. For example, through the increase in vulnerability to stresses</w:t>
      </w:r>
      <w:r w:rsidR="00CA460C" w:rsidRPr="003C6E10">
        <w:rPr>
          <w:szCs w:val="24"/>
        </w:rPr>
        <w:t xml:space="preserve"> and</w:t>
      </w:r>
      <w:r w:rsidRPr="003C6E10">
        <w:rPr>
          <w:szCs w:val="24"/>
        </w:rPr>
        <w:t xml:space="preserve"> developmental (also called psychological) factors such as core beliefs, personality traits, and cognitive deficits, </w:t>
      </w:r>
      <w:r w:rsidR="00964C3E" w:rsidRPr="003C6E10">
        <w:rPr>
          <w:szCs w:val="24"/>
        </w:rPr>
        <w:t xml:space="preserve">it </w:t>
      </w:r>
      <w:r w:rsidRPr="003C6E10">
        <w:rPr>
          <w:szCs w:val="24"/>
        </w:rPr>
        <w:t xml:space="preserve">can mediate the link between predisposing factors and </w:t>
      </w:r>
      <w:r w:rsidR="000C13C9" w:rsidRPr="003C6E10">
        <w:rPr>
          <w:szCs w:val="24"/>
        </w:rPr>
        <w:t>suicidality</w:t>
      </w:r>
      <w:r w:rsidR="00723A4B" w:rsidRPr="003C6E10">
        <w:rPr>
          <w:noProof/>
          <w:szCs w:val="24"/>
          <w:vertAlign w:val="superscript"/>
        </w:rPr>
        <w:t>16</w:t>
      </w:r>
      <w:r w:rsidRPr="003C6E10">
        <w:rPr>
          <w:szCs w:val="24"/>
        </w:rPr>
        <w:t>. The other form of factor</w:t>
      </w:r>
      <w:r w:rsidR="00C46873" w:rsidRPr="003C6E10">
        <w:rPr>
          <w:szCs w:val="24"/>
        </w:rPr>
        <w:t>s</w:t>
      </w:r>
      <w:r w:rsidRPr="003C6E10">
        <w:rPr>
          <w:szCs w:val="24"/>
        </w:rPr>
        <w:t>, those called precipitating or proximal, include events preceding the onset of the disorder, or in this case, suicidal behavior. That is, previous experiences, (e.g., substance use, or interpersonal, occupational, financial, or physical stressors), or conditions (e.g., those psychological, socioeconomic, and environmental, as well as pre-existing psychiatric disorders), can prompt suicidal behavior</w:t>
      </w:r>
      <w:r w:rsidR="00723A4B" w:rsidRPr="003C6E10">
        <w:rPr>
          <w:noProof/>
          <w:szCs w:val="24"/>
          <w:vertAlign w:val="superscript"/>
        </w:rPr>
        <w:t>22</w:t>
      </w:r>
      <w:r w:rsidRPr="003C6E10">
        <w:rPr>
          <w:szCs w:val="24"/>
        </w:rPr>
        <w:t>. As posited in the biopsychosocial model, these forms of both predisposing and precipitating factors can interact and illicit one’s vulnerability to suicide ideation, suicide attempt(s), and ultimately, suicide</w:t>
      </w:r>
      <w:r w:rsidR="00723A4B" w:rsidRPr="003C6E10">
        <w:rPr>
          <w:noProof/>
          <w:sz w:val="20"/>
          <w:vertAlign w:val="superscript"/>
        </w:rPr>
        <w:t>14</w:t>
      </w:r>
      <w:r w:rsidRPr="003C6E10">
        <w:rPr>
          <w:szCs w:val="24"/>
        </w:rPr>
        <w:t xml:space="preserve">. </w:t>
      </w:r>
    </w:p>
    <w:p w14:paraId="54AE2C7C" w14:textId="36DE6366" w:rsidR="004D2ED8" w:rsidRPr="003C6E10" w:rsidRDefault="004D2ED8" w:rsidP="00F85FED">
      <w:pPr>
        <w:spacing w:line="480" w:lineRule="auto"/>
        <w:rPr>
          <w:b/>
          <w:bCs/>
          <w:szCs w:val="24"/>
        </w:rPr>
      </w:pPr>
      <w:r w:rsidRPr="003C6E10">
        <w:rPr>
          <w:b/>
          <w:bCs/>
          <w:szCs w:val="24"/>
        </w:rPr>
        <w:t xml:space="preserve">Pandemics and </w:t>
      </w:r>
      <w:r w:rsidR="00106B3A">
        <w:rPr>
          <w:b/>
          <w:bCs/>
          <w:szCs w:val="24"/>
        </w:rPr>
        <w:t>S</w:t>
      </w:r>
      <w:r w:rsidR="00097576" w:rsidRPr="003C6E10">
        <w:rPr>
          <w:b/>
          <w:bCs/>
          <w:szCs w:val="24"/>
        </w:rPr>
        <w:t>uicidality</w:t>
      </w:r>
    </w:p>
    <w:p w14:paraId="077514C7" w14:textId="27B8B2E9" w:rsidR="004D2ED8" w:rsidRPr="003C6E10" w:rsidRDefault="004D2ED8" w:rsidP="00F85FED">
      <w:pPr>
        <w:spacing w:line="480" w:lineRule="auto"/>
        <w:ind w:firstLineChars="100" w:firstLine="240"/>
        <w:contextualSpacing/>
        <w:rPr>
          <w:szCs w:val="24"/>
        </w:rPr>
      </w:pPr>
      <w:r w:rsidRPr="003C6E10">
        <w:rPr>
          <w:szCs w:val="24"/>
        </w:rPr>
        <w:lastRenderedPageBreak/>
        <w:t>Previous pandemics have been found to be associated with increase in suicide risk. In 2003, severe acute respiratory syndrome (SARS) outbreak in Hong Kong was associated with an increased suicide risk in older people</w:t>
      </w:r>
      <w:r w:rsidR="00723A4B" w:rsidRPr="003C6E10">
        <w:rPr>
          <w:noProof/>
          <w:sz w:val="20"/>
          <w:vertAlign w:val="superscript"/>
        </w:rPr>
        <w:t>23</w:t>
      </w:r>
      <w:r w:rsidRPr="003C6E10">
        <w:rPr>
          <w:szCs w:val="24"/>
        </w:rPr>
        <w:t>. Further studies of quarantined populations amidst pandemic conditions have indicated psychological difficulties and suicide attempts among hospitalized patients</w:t>
      </w:r>
      <w:r w:rsidR="00723A4B" w:rsidRPr="003C6E10">
        <w:rPr>
          <w:noProof/>
          <w:sz w:val="20"/>
          <w:vertAlign w:val="superscript"/>
        </w:rPr>
        <w:t>2</w:t>
      </w:r>
      <w:r w:rsidR="00CD6961" w:rsidRPr="003C6E10">
        <w:rPr>
          <w:noProof/>
          <w:sz w:val="20"/>
          <w:vertAlign w:val="superscript"/>
        </w:rPr>
        <w:t>,</w:t>
      </w:r>
      <w:r w:rsidR="00723A4B" w:rsidRPr="003C6E10">
        <w:rPr>
          <w:noProof/>
          <w:sz w:val="20"/>
          <w:vertAlign w:val="superscript"/>
        </w:rPr>
        <w:t>3</w:t>
      </w:r>
      <w:r w:rsidRPr="003C6E10">
        <w:rPr>
          <w:szCs w:val="24"/>
        </w:rPr>
        <w:t>. Such behavior (i.e., increased risk for suicide) may be driven through several factors, including 1) anxiety and uncertainty, 2) social isolation, and 3) economic problems</w:t>
      </w:r>
      <w:r w:rsidR="00723A4B" w:rsidRPr="003C6E10">
        <w:rPr>
          <w:noProof/>
          <w:szCs w:val="24"/>
          <w:vertAlign w:val="superscript"/>
        </w:rPr>
        <w:t>4</w:t>
      </w:r>
      <w:r w:rsidR="00CD6961" w:rsidRPr="003C6E10">
        <w:rPr>
          <w:noProof/>
          <w:szCs w:val="24"/>
          <w:vertAlign w:val="superscript"/>
        </w:rPr>
        <w:t>,</w:t>
      </w:r>
      <w:r w:rsidR="00723A4B" w:rsidRPr="003C6E10">
        <w:rPr>
          <w:noProof/>
          <w:szCs w:val="24"/>
          <w:vertAlign w:val="superscript"/>
        </w:rPr>
        <w:t>24</w:t>
      </w:r>
      <w:r w:rsidRPr="003C6E10">
        <w:rPr>
          <w:szCs w:val="24"/>
        </w:rPr>
        <w:t>. First, it is known that individuals with underlying diseases or low resilience may exhibit suicidal ideation and attempt suicide when experiencing anxiety and uncertainty</w:t>
      </w:r>
      <w:r w:rsidR="007C3CD0" w:rsidRPr="003C6E10">
        <w:rPr>
          <w:szCs w:val="24"/>
        </w:rPr>
        <w:t xml:space="preserve"> </w:t>
      </w:r>
      <w:r w:rsidR="00723A4B" w:rsidRPr="003C6E10">
        <w:rPr>
          <w:noProof/>
          <w:sz w:val="20"/>
          <w:vertAlign w:val="superscript"/>
        </w:rPr>
        <w:t>25</w:t>
      </w:r>
      <w:r w:rsidRPr="003C6E10">
        <w:rPr>
          <w:szCs w:val="24"/>
        </w:rPr>
        <w:t xml:space="preserve">. Such was the case during the 2003 SARS outbreak, where these factors led to </w:t>
      </w:r>
      <w:r w:rsidR="003E3A7C" w:rsidRPr="003C6E10">
        <w:rPr>
          <w:szCs w:val="24"/>
        </w:rPr>
        <w:t>an increase</w:t>
      </w:r>
      <w:r w:rsidRPr="003C6E10">
        <w:rPr>
          <w:szCs w:val="24"/>
        </w:rPr>
        <w:t xml:space="preserve"> </w:t>
      </w:r>
      <w:r w:rsidR="003E3A7C" w:rsidRPr="003C6E10">
        <w:rPr>
          <w:szCs w:val="24"/>
        </w:rPr>
        <w:t>in</w:t>
      </w:r>
      <w:r w:rsidRPr="003C6E10">
        <w:rPr>
          <w:szCs w:val="24"/>
        </w:rPr>
        <w:t xml:space="preserve"> suicide among older adults</w:t>
      </w:r>
      <w:r w:rsidR="00723A4B" w:rsidRPr="003C6E10">
        <w:rPr>
          <w:noProof/>
          <w:sz w:val="20"/>
          <w:vertAlign w:val="superscript"/>
        </w:rPr>
        <w:t>23</w:t>
      </w:r>
      <w:r w:rsidRPr="003C6E10">
        <w:rPr>
          <w:szCs w:val="24"/>
        </w:rPr>
        <w:t xml:space="preserve">. Second, pandemics </w:t>
      </w:r>
      <w:r w:rsidR="009A1C6C" w:rsidRPr="003C6E10">
        <w:rPr>
          <w:szCs w:val="24"/>
        </w:rPr>
        <w:t xml:space="preserve">often </w:t>
      </w:r>
      <w:r w:rsidRPr="003C6E10">
        <w:rPr>
          <w:szCs w:val="24"/>
        </w:rPr>
        <w:t>isolate people from society, which may be a situation that they have not experienced before. This sense of isolation can negatively affect individuals’ psychological well-being regardless of the presence of disease</w:t>
      </w:r>
      <w:r w:rsidR="00723A4B" w:rsidRPr="003C6E10">
        <w:rPr>
          <w:noProof/>
          <w:sz w:val="20"/>
          <w:vertAlign w:val="superscript"/>
        </w:rPr>
        <w:t>4</w:t>
      </w:r>
      <w:r w:rsidRPr="003C6E10">
        <w:rPr>
          <w:szCs w:val="24"/>
        </w:rPr>
        <w:t>. Third and lastly, epidemics also have a negative impact on many businesses, which leads to temporary or permanent loss of income. Such financial worries have been shown to be associated with a loss of self-esteem, despair, depression, and substance abuse amongst others</w:t>
      </w:r>
      <w:r w:rsidR="00723A4B" w:rsidRPr="003C6E10">
        <w:rPr>
          <w:noProof/>
          <w:sz w:val="20"/>
          <w:vertAlign w:val="superscript"/>
        </w:rPr>
        <w:t>26</w:t>
      </w:r>
      <w:r w:rsidRPr="003C6E10">
        <w:rPr>
          <w:szCs w:val="24"/>
        </w:rPr>
        <w:t>. Moreover, a low income may reduce accessibility to psychiatric management. As a result, individuals with underlying diseases or vulnerability (socially or economically) may be more likely to attempt or commit suicide</w:t>
      </w:r>
      <w:r w:rsidR="00723A4B" w:rsidRPr="003C6E10">
        <w:rPr>
          <w:noProof/>
          <w:sz w:val="20"/>
          <w:vertAlign w:val="superscript"/>
        </w:rPr>
        <w:t>4</w:t>
      </w:r>
      <w:r w:rsidRPr="003C6E10">
        <w:rPr>
          <w:szCs w:val="24"/>
        </w:rPr>
        <w:t xml:space="preserve">. </w:t>
      </w:r>
    </w:p>
    <w:p w14:paraId="7606A7F6" w14:textId="03C0391C" w:rsidR="00BC6B67" w:rsidRPr="003C6E10" w:rsidRDefault="004D2ED8" w:rsidP="00F85FED">
      <w:pPr>
        <w:spacing w:line="480" w:lineRule="auto"/>
        <w:ind w:firstLineChars="100" w:firstLine="240"/>
        <w:contextualSpacing/>
        <w:rPr>
          <w:bCs/>
          <w:szCs w:val="24"/>
        </w:rPr>
      </w:pPr>
      <w:r w:rsidRPr="003C6E10">
        <w:rPr>
          <w:bCs/>
          <w:szCs w:val="24"/>
        </w:rPr>
        <w:t>Regarding recent circumstances, the COVID-19 pandemic, which began in December 2019, has spread precipitously worldwide. On March 11, 2020, the WHO declared COVID-19 to be a pandemic. As extant epidemics have exhibited increases in suicide risk, COVID-</w:t>
      </w:r>
      <w:r w:rsidRPr="003C6E10">
        <w:rPr>
          <w:bCs/>
          <w:szCs w:val="24"/>
        </w:rPr>
        <w:lastRenderedPageBreak/>
        <w:t xml:space="preserve">19 is no exception. </w:t>
      </w:r>
      <w:r w:rsidR="00A94E96" w:rsidRPr="003C6E10">
        <w:rPr>
          <w:bCs/>
          <w:szCs w:val="24"/>
        </w:rPr>
        <w:t xml:space="preserve">In line with previous pandemics and epidemics, the potential effect of the current COVID-19 pandemic on </w:t>
      </w:r>
      <w:r w:rsidR="00931F27" w:rsidRPr="003C6E10">
        <w:rPr>
          <w:bCs/>
          <w:szCs w:val="24"/>
        </w:rPr>
        <w:t xml:space="preserve">mental </w:t>
      </w:r>
      <w:r w:rsidR="00603396" w:rsidRPr="003C6E10">
        <w:rPr>
          <w:bCs/>
          <w:szCs w:val="24"/>
        </w:rPr>
        <w:t>health</w:t>
      </w:r>
      <w:r w:rsidR="00A94E96" w:rsidRPr="003C6E10">
        <w:rPr>
          <w:bCs/>
          <w:szCs w:val="24"/>
        </w:rPr>
        <w:t xml:space="preserve"> is profound with an expected increase in anxiety and depression as well as suicide rates</w:t>
      </w:r>
      <w:r w:rsidR="00723A4B" w:rsidRPr="003C6E10">
        <w:rPr>
          <w:bCs/>
          <w:noProof/>
          <w:szCs w:val="24"/>
          <w:vertAlign w:val="superscript"/>
        </w:rPr>
        <w:t>27</w:t>
      </w:r>
      <w:r w:rsidR="00A94E96" w:rsidRPr="003C6E10">
        <w:rPr>
          <w:bCs/>
          <w:szCs w:val="24"/>
        </w:rPr>
        <w:t xml:space="preserve">. Furthermore, just like the previous outbreaks, the consequence of social isolation is predicted to be associated with suicide rates </w:t>
      </w:r>
      <w:r w:rsidR="00723A4B" w:rsidRPr="003C6E10">
        <w:rPr>
          <w:bCs/>
          <w:noProof/>
          <w:szCs w:val="24"/>
          <w:vertAlign w:val="superscript"/>
        </w:rPr>
        <w:t>28</w:t>
      </w:r>
      <w:r w:rsidR="00A94E96" w:rsidRPr="003C6E10">
        <w:rPr>
          <w:bCs/>
          <w:szCs w:val="24"/>
        </w:rPr>
        <w:t>.</w:t>
      </w:r>
      <w:r w:rsidR="00A567D2" w:rsidRPr="003C6E10">
        <w:rPr>
          <w:bCs/>
          <w:szCs w:val="24"/>
        </w:rPr>
        <w:t xml:space="preserve"> </w:t>
      </w:r>
      <w:r w:rsidR="00A567D2" w:rsidRPr="003C6E10">
        <w:t xml:space="preserve">However, the magnitude of current COVID-19 pandemic far outweighs the </w:t>
      </w:r>
      <w:r w:rsidR="00F101E6" w:rsidRPr="003C6E10">
        <w:t>prior</w:t>
      </w:r>
      <w:r w:rsidR="00A567D2" w:rsidRPr="003C6E10">
        <w:t xml:space="preserve"> epidemics with </w:t>
      </w:r>
      <w:r w:rsidR="00F101E6" w:rsidRPr="003C6E10">
        <w:t>this</w:t>
      </w:r>
      <w:r w:rsidR="00A567D2" w:rsidRPr="003C6E10">
        <w:t xml:space="preserve"> being named as the worst pandemic in history</w:t>
      </w:r>
      <w:r w:rsidR="00624716" w:rsidRPr="003C6E10">
        <w:t xml:space="preserve"> </w:t>
      </w:r>
      <w:r w:rsidR="00723A4B" w:rsidRPr="003C6E10">
        <w:rPr>
          <w:noProof/>
          <w:vertAlign w:val="superscript"/>
        </w:rPr>
        <w:t>29</w:t>
      </w:r>
      <w:r w:rsidR="00A567D2" w:rsidRPr="003C6E10">
        <w:t>.</w:t>
      </w:r>
      <w:r w:rsidR="005166B8" w:rsidRPr="003C6E10">
        <w:t xml:space="preserve"> Henceforth </w:t>
      </w:r>
      <w:r w:rsidR="0003422D" w:rsidRPr="003C6E10">
        <w:t xml:space="preserve">it is expected that social isolation, anxiety, fear of contagion, uncertainty, stress and other economic challenges may lead to greater </w:t>
      </w:r>
      <w:r w:rsidR="00B91DD4" w:rsidRPr="003C6E10">
        <w:t>exacerbation of stress and related disorders including suicidality, specifically among vulnerable populations</w:t>
      </w:r>
      <w:r w:rsidR="00723A4B" w:rsidRPr="003C6E10">
        <w:rPr>
          <w:noProof/>
          <w:vertAlign w:val="superscript"/>
        </w:rPr>
        <w:t>30</w:t>
      </w:r>
      <w:r w:rsidR="00BD0E3F" w:rsidRPr="003C6E10">
        <w:t>.</w:t>
      </w:r>
    </w:p>
    <w:p w14:paraId="31AAD143" w14:textId="31D5CFF3" w:rsidR="004D2ED8" w:rsidRPr="003C6E10" w:rsidRDefault="004D2ED8" w:rsidP="00F85FED">
      <w:pPr>
        <w:spacing w:line="480" w:lineRule="auto"/>
        <w:ind w:firstLineChars="100" w:firstLine="240"/>
        <w:contextualSpacing/>
        <w:rPr>
          <w:bCs/>
          <w:szCs w:val="24"/>
        </w:rPr>
      </w:pPr>
      <w:r w:rsidRPr="003C6E10">
        <w:rPr>
          <w:bCs/>
          <w:szCs w:val="24"/>
        </w:rPr>
        <w:t xml:space="preserve">According to </w:t>
      </w:r>
      <w:r w:rsidR="00527A46" w:rsidRPr="003C6E10">
        <w:rPr>
          <w:bCs/>
          <w:szCs w:val="24"/>
        </w:rPr>
        <w:t xml:space="preserve">a </w:t>
      </w:r>
      <w:r w:rsidRPr="003C6E10">
        <w:rPr>
          <w:bCs/>
          <w:szCs w:val="24"/>
        </w:rPr>
        <w:t xml:space="preserve">study by </w:t>
      </w:r>
      <w:r w:rsidR="00F163E7" w:rsidRPr="00F163E7">
        <w:rPr>
          <w:bCs/>
          <w:szCs w:val="24"/>
        </w:rPr>
        <w:t>Caballero-Dominguez</w:t>
      </w:r>
      <w:r w:rsidRPr="003C6E10">
        <w:rPr>
          <w:bCs/>
          <w:szCs w:val="24"/>
        </w:rPr>
        <w:t xml:space="preserve"> </w:t>
      </w:r>
      <w:r w:rsidRPr="00413689">
        <w:rPr>
          <w:bCs/>
          <w:szCs w:val="24"/>
          <w:highlight w:val="yellow"/>
        </w:rPr>
        <w:t>et al</w:t>
      </w:r>
      <w:r w:rsidR="00413689" w:rsidRPr="00723A4B">
        <w:rPr>
          <w:bCs/>
          <w:noProof/>
          <w:sz w:val="20"/>
          <w:vertAlign w:val="superscript"/>
        </w:rPr>
        <w:t>31</w:t>
      </w:r>
      <w:r w:rsidRPr="003C6E10">
        <w:rPr>
          <w:bCs/>
          <w:szCs w:val="24"/>
        </w:rPr>
        <w:t>, 7.6% of participants suffering COVID-19 pandemic reported a high suicide risk, which was associated with high perceived stress related to COVID-19, risk of depressive episode, and insomnia. Also</w:t>
      </w:r>
      <w:r w:rsidR="008438A6" w:rsidRPr="003C6E10">
        <w:rPr>
          <w:bCs/>
          <w:szCs w:val="24"/>
        </w:rPr>
        <w:t xml:space="preserve"> a</w:t>
      </w:r>
      <w:r w:rsidR="00101D63" w:rsidRPr="003C6E10">
        <w:rPr>
          <w:bCs/>
          <w:szCs w:val="24"/>
        </w:rPr>
        <w:t xml:space="preserve">s </w:t>
      </w:r>
      <w:r w:rsidR="008438A6" w:rsidRPr="003C6E10">
        <w:rPr>
          <w:bCs/>
          <w:szCs w:val="24"/>
        </w:rPr>
        <w:t>presented</w:t>
      </w:r>
      <w:r w:rsidR="00101D63" w:rsidRPr="003C6E10">
        <w:rPr>
          <w:bCs/>
          <w:szCs w:val="24"/>
        </w:rPr>
        <w:t xml:space="preserve"> below, various</w:t>
      </w:r>
      <w:r w:rsidRPr="003C6E10">
        <w:rPr>
          <w:bCs/>
          <w:szCs w:val="24"/>
        </w:rPr>
        <w:t xml:space="preserve"> cases of suicide during this pandemic have been reported</w:t>
      </w:r>
      <w:r w:rsidR="00723A4B" w:rsidRPr="003C6E10">
        <w:rPr>
          <w:bCs/>
          <w:noProof/>
          <w:sz w:val="20"/>
          <w:vertAlign w:val="superscript"/>
        </w:rPr>
        <w:t>32-34</w:t>
      </w:r>
      <w:r w:rsidRPr="003C6E10">
        <w:rPr>
          <w:bCs/>
          <w:szCs w:val="24"/>
        </w:rPr>
        <w:t xml:space="preserve">. </w:t>
      </w:r>
    </w:p>
    <w:p w14:paraId="012ACF4F" w14:textId="5E0F530A" w:rsidR="004D2ED8" w:rsidRPr="003C6E10" w:rsidRDefault="004D2ED8" w:rsidP="00F85FED">
      <w:pPr>
        <w:spacing w:line="480" w:lineRule="auto"/>
        <w:ind w:firstLineChars="100" w:firstLine="240"/>
        <w:contextualSpacing/>
        <w:rPr>
          <w:szCs w:val="24"/>
        </w:rPr>
      </w:pPr>
      <w:r w:rsidRPr="003C6E10">
        <w:rPr>
          <w:bCs/>
          <w:szCs w:val="24"/>
        </w:rPr>
        <w:t>In one case study, a 34-year-old man was hospitalized in an isolation ward because of mild COVID-19 infection. While hospitalized, he had no respiratory symptoms or fever but complained of anxiety and insomnia. Though appropriate treatment was carried out, he attempted suicide</w:t>
      </w:r>
      <w:r w:rsidR="00723A4B" w:rsidRPr="003C6E10">
        <w:rPr>
          <w:bCs/>
          <w:noProof/>
          <w:sz w:val="20"/>
          <w:vertAlign w:val="superscript"/>
        </w:rPr>
        <w:t>32</w:t>
      </w:r>
      <w:r w:rsidRPr="003C6E10">
        <w:rPr>
          <w:bCs/>
          <w:szCs w:val="24"/>
        </w:rPr>
        <w:t xml:space="preserve">. Not only in infected people but also in </w:t>
      </w:r>
      <w:r w:rsidRPr="003C6E10">
        <w:rPr>
          <w:szCs w:val="24"/>
        </w:rPr>
        <w:t>people with psychiatric disorders and other vulnerable individuals</w:t>
      </w:r>
      <w:r w:rsidRPr="003C6E10">
        <w:rPr>
          <w:bCs/>
          <w:szCs w:val="24"/>
        </w:rPr>
        <w:t xml:space="preserve">, </w:t>
      </w:r>
      <w:r w:rsidRPr="003C6E10">
        <w:rPr>
          <w:szCs w:val="24"/>
        </w:rPr>
        <w:t xml:space="preserve">suicidal behaviors have been reported during the COVID-19 pandemic. In another case study, </w:t>
      </w:r>
      <w:r w:rsidRPr="003C6E10">
        <w:rPr>
          <w:bCs/>
          <w:szCs w:val="24"/>
        </w:rPr>
        <w:t>a 60-year-old woman with undiagnosed delusional disorder attempted suicide due to increased symptoms in response to the COVID-19 pandemic</w:t>
      </w:r>
      <w:r w:rsidR="00723A4B" w:rsidRPr="003C6E10">
        <w:rPr>
          <w:bCs/>
          <w:noProof/>
          <w:sz w:val="20"/>
          <w:vertAlign w:val="superscript"/>
        </w:rPr>
        <w:t>33</w:t>
      </w:r>
      <w:r w:rsidRPr="003C6E10">
        <w:rPr>
          <w:bCs/>
          <w:szCs w:val="24"/>
        </w:rPr>
        <w:t xml:space="preserve">. </w:t>
      </w:r>
      <w:r w:rsidR="003B6E8A" w:rsidRPr="003C6E10">
        <w:rPr>
          <w:bCs/>
          <w:szCs w:val="24"/>
        </w:rPr>
        <w:t>Likewise</w:t>
      </w:r>
      <w:r w:rsidRPr="003C6E10">
        <w:rPr>
          <w:bCs/>
          <w:szCs w:val="24"/>
        </w:rPr>
        <w:t xml:space="preserve">, in a case study from India, a 50-year-old man associated his viral </w:t>
      </w:r>
      <w:r w:rsidRPr="003C6E10">
        <w:rPr>
          <w:bCs/>
          <w:szCs w:val="24"/>
        </w:rPr>
        <w:lastRenderedPageBreak/>
        <w:t>illness with COVID-19 and thought he was infected with COVID-19. He was seized with fear and panic and finally ended his life by hanging himself</w:t>
      </w:r>
      <w:r w:rsidR="00723A4B" w:rsidRPr="003C6E10">
        <w:rPr>
          <w:bCs/>
          <w:noProof/>
          <w:sz w:val="20"/>
          <w:vertAlign w:val="superscript"/>
        </w:rPr>
        <w:t>34</w:t>
      </w:r>
      <w:r w:rsidRPr="003C6E10">
        <w:rPr>
          <w:bCs/>
          <w:szCs w:val="24"/>
        </w:rPr>
        <w:t xml:space="preserve">. </w:t>
      </w:r>
    </w:p>
    <w:p w14:paraId="625FC69D" w14:textId="4939C164" w:rsidR="004D2ED8" w:rsidRPr="003C6E10" w:rsidRDefault="004D2ED8" w:rsidP="00F85FED">
      <w:pPr>
        <w:pStyle w:val="MDPI21heading1"/>
        <w:spacing w:line="480" w:lineRule="auto"/>
        <w:jc w:val="both"/>
        <w:rPr>
          <w:rFonts w:ascii="Times New Roman" w:hAnsi="Times New Roman"/>
          <w:sz w:val="24"/>
          <w:szCs w:val="24"/>
        </w:rPr>
      </w:pPr>
      <w:r w:rsidRPr="003C6E10">
        <w:rPr>
          <w:rFonts w:ascii="Times New Roman" w:hAnsi="Times New Roman"/>
          <w:sz w:val="24"/>
          <w:szCs w:val="24"/>
        </w:rPr>
        <w:t>Relationship between</w:t>
      </w:r>
      <w:r w:rsidR="00106B3A">
        <w:rPr>
          <w:rFonts w:ascii="Times New Roman" w:hAnsi="Times New Roman"/>
          <w:sz w:val="24"/>
          <w:szCs w:val="24"/>
        </w:rPr>
        <w:t xml:space="preserve"> I</w:t>
      </w:r>
      <w:r w:rsidRPr="003C6E10">
        <w:rPr>
          <w:rFonts w:ascii="Times New Roman" w:hAnsi="Times New Roman"/>
          <w:sz w:val="24"/>
          <w:szCs w:val="24"/>
        </w:rPr>
        <w:t xml:space="preserve">nflammation and </w:t>
      </w:r>
      <w:r w:rsidR="00106B3A">
        <w:rPr>
          <w:rFonts w:ascii="Times New Roman" w:hAnsi="Times New Roman"/>
          <w:sz w:val="24"/>
          <w:szCs w:val="24"/>
        </w:rPr>
        <w:t>S</w:t>
      </w:r>
      <w:r w:rsidRPr="003C6E10">
        <w:rPr>
          <w:rFonts w:ascii="Times New Roman" w:hAnsi="Times New Roman"/>
          <w:sz w:val="24"/>
          <w:szCs w:val="24"/>
        </w:rPr>
        <w:t xml:space="preserve">uicide </w:t>
      </w:r>
    </w:p>
    <w:p w14:paraId="0F5368BB" w14:textId="1F3719F4" w:rsidR="004D2ED8" w:rsidRPr="003C6E10" w:rsidRDefault="004D2ED8" w:rsidP="00F85FED">
      <w:pPr>
        <w:spacing w:line="480" w:lineRule="auto"/>
        <w:ind w:firstLineChars="100" w:firstLine="240"/>
        <w:rPr>
          <w:bCs/>
          <w:szCs w:val="24"/>
        </w:rPr>
      </w:pPr>
      <w:r w:rsidRPr="003C6E10">
        <w:rPr>
          <w:bCs/>
          <w:szCs w:val="24"/>
        </w:rPr>
        <w:t>As mentioned above, multiple factors, including genetic, experiential, psychological, clinical, sociological, and environmental</w:t>
      </w:r>
      <w:r w:rsidR="007871BE" w:rsidRPr="003C6E10">
        <w:rPr>
          <w:bCs/>
          <w:szCs w:val="24"/>
        </w:rPr>
        <w:t xml:space="preserve"> factors</w:t>
      </w:r>
      <w:r w:rsidRPr="003C6E10">
        <w:rPr>
          <w:bCs/>
          <w:szCs w:val="24"/>
        </w:rPr>
        <w:t>, can increase the risk of suicide during an epidemic. However, the role of inflammation in increasing the risk of suicide among those who are infected should also be considered. Such consideration is critical, given the complex, multiplicative nature of factors leading to suicidality, as well as the severity of outcome (i.e., an untimely loss of life).</w:t>
      </w:r>
    </w:p>
    <w:p w14:paraId="32F8B046" w14:textId="178265CD" w:rsidR="00543F46" w:rsidRPr="003C6E10" w:rsidRDefault="004D2ED8" w:rsidP="00F85FED">
      <w:pPr>
        <w:spacing w:line="480" w:lineRule="auto"/>
        <w:ind w:firstLineChars="100" w:firstLine="240"/>
        <w:rPr>
          <w:szCs w:val="24"/>
        </w:rPr>
      </w:pPr>
      <w:r w:rsidRPr="003C6E10">
        <w:rPr>
          <w:bCs/>
          <w:szCs w:val="24"/>
        </w:rPr>
        <w:t xml:space="preserve">Several conditions, including infection, can cause inflammation, </w:t>
      </w:r>
      <w:r w:rsidR="00AB4F62" w:rsidRPr="003C6E10">
        <w:rPr>
          <w:bCs/>
          <w:szCs w:val="24"/>
        </w:rPr>
        <w:t>which</w:t>
      </w:r>
      <w:r w:rsidRPr="003C6E10">
        <w:rPr>
          <w:bCs/>
          <w:szCs w:val="24"/>
        </w:rPr>
        <w:t xml:space="preserve"> can </w:t>
      </w:r>
      <w:r w:rsidRPr="00D72148">
        <w:rPr>
          <w:bCs/>
          <w:szCs w:val="24"/>
          <w:highlight w:val="yellow"/>
        </w:rPr>
        <w:t xml:space="preserve">play a </w:t>
      </w:r>
      <w:r w:rsidR="006F6363" w:rsidRPr="00D72148">
        <w:rPr>
          <w:bCs/>
          <w:szCs w:val="24"/>
          <w:highlight w:val="yellow"/>
        </w:rPr>
        <w:t>critical</w:t>
      </w:r>
      <w:r w:rsidRPr="003C6E10">
        <w:rPr>
          <w:bCs/>
          <w:szCs w:val="24"/>
        </w:rPr>
        <w:t xml:space="preserve"> role in the pathophysiology of suicidal behavior. Recent studies suggest that there may be an association between suicidal behavior and inflammatory cytokines</w:t>
      </w:r>
      <w:r w:rsidR="00723A4B" w:rsidRPr="003C6E10">
        <w:rPr>
          <w:bCs/>
          <w:noProof/>
          <w:sz w:val="20"/>
          <w:vertAlign w:val="superscript"/>
        </w:rPr>
        <w:t>35</w:t>
      </w:r>
      <w:r w:rsidRPr="003C6E10">
        <w:rPr>
          <w:bCs/>
          <w:szCs w:val="24"/>
        </w:rPr>
        <w:t xml:space="preserve">. Studies in patients who received interferon (IFN)-based or interleukin (IL)-2 immunotherapy showed that inflammation can induce depressive symptoms </w:t>
      </w:r>
      <w:r w:rsidR="00B95C31" w:rsidRPr="003C6E10">
        <w:rPr>
          <w:bCs/>
          <w:szCs w:val="24"/>
        </w:rPr>
        <w:t xml:space="preserve">which </w:t>
      </w:r>
      <w:r w:rsidRPr="003C6E10">
        <w:rPr>
          <w:bCs/>
          <w:szCs w:val="24"/>
        </w:rPr>
        <w:t xml:space="preserve">is related to </w:t>
      </w:r>
      <w:r w:rsidR="0097517B" w:rsidRPr="003C6E10">
        <w:rPr>
          <w:bCs/>
          <w:szCs w:val="24"/>
        </w:rPr>
        <w:t>suicidal behavior</w:t>
      </w:r>
      <w:r w:rsidR="00723A4B" w:rsidRPr="003C6E10">
        <w:rPr>
          <w:bCs/>
          <w:noProof/>
          <w:sz w:val="20"/>
          <w:vertAlign w:val="superscript"/>
        </w:rPr>
        <w:t>36</w:t>
      </w:r>
      <w:r w:rsidR="00CD6961" w:rsidRPr="003C6E10">
        <w:rPr>
          <w:bCs/>
          <w:noProof/>
          <w:sz w:val="20"/>
          <w:vertAlign w:val="superscript"/>
        </w:rPr>
        <w:t>,</w:t>
      </w:r>
      <w:r w:rsidR="00723A4B" w:rsidRPr="003C6E10">
        <w:rPr>
          <w:bCs/>
          <w:noProof/>
          <w:sz w:val="20"/>
          <w:vertAlign w:val="superscript"/>
        </w:rPr>
        <w:t>37</w:t>
      </w:r>
      <w:r w:rsidRPr="003C6E10">
        <w:rPr>
          <w:bCs/>
          <w:szCs w:val="24"/>
        </w:rPr>
        <w:t xml:space="preserve">. Following this seminal work, multiple studies have shown differences in cytokine levels between those who did and did not complete suicide. Isung </w:t>
      </w:r>
      <w:r w:rsidRPr="00413689">
        <w:rPr>
          <w:bCs/>
          <w:szCs w:val="24"/>
          <w:highlight w:val="yellow"/>
        </w:rPr>
        <w:t>et al</w:t>
      </w:r>
      <w:r w:rsidR="00413689" w:rsidRPr="003C6E10">
        <w:rPr>
          <w:bCs/>
          <w:noProof/>
          <w:sz w:val="20"/>
          <w:vertAlign w:val="superscript"/>
        </w:rPr>
        <w:t>5</w:t>
      </w:r>
      <w:r w:rsidRPr="003C6E10">
        <w:rPr>
          <w:bCs/>
          <w:szCs w:val="24"/>
        </w:rPr>
        <w:t xml:space="preserve"> reported that neuroprotective cytokine IL-8 levels in cerebrospinal fluid (CSF) were lower in those who attempted suicide compared to healthy controls, and this finding demonstrates impaired control of the immune system in suicidal patients. Pandey </w:t>
      </w:r>
      <w:r w:rsidRPr="00413689">
        <w:rPr>
          <w:bCs/>
          <w:szCs w:val="24"/>
          <w:highlight w:val="yellow"/>
        </w:rPr>
        <w:t>et al</w:t>
      </w:r>
      <w:r w:rsidR="00413689" w:rsidRPr="003C6E10">
        <w:rPr>
          <w:bCs/>
          <w:noProof/>
          <w:sz w:val="20"/>
          <w:vertAlign w:val="superscript"/>
        </w:rPr>
        <w:t>6</w:t>
      </w:r>
      <w:r w:rsidRPr="003C6E10">
        <w:rPr>
          <w:bCs/>
          <w:szCs w:val="24"/>
        </w:rPr>
        <w:t xml:space="preserve"> found that mRNA and protein levels of IL-1β, IL-6, and tumor necrosis factor (TNF)-α </w:t>
      </w:r>
      <w:r w:rsidR="002926C9" w:rsidRPr="003C6E10">
        <w:rPr>
          <w:rFonts w:eastAsia="Malgun Gothic"/>
          <w:bCs/>
          <w:szCs w:val="24"/>
          <w:lang w:eastAsia="ko-KR"/>
        </w:rPr>
        <w:t>were</w:t>
      </w:r>
      <w:r w:rsidRPr="003C6E10">
        <w:rPr>
          <w:bCs/>
          <w:szCs w:val="24"/>
        </w:rPr>
        <w:t xml:space="preserve"> increased in post-mortem brain tissue from teenage suicide victims. Another study also reported that suicide attempters show </w:t>
      </w:r>
      <w:r w:rsidRPr="003C6E10">
        <w:rPr>
          <w:bCs/>
          <w:szCs w:val="24"/>
        </w:rPr>
        <w:lastRenderedPageBreak/>
        <w:t>increased levels of IL-6 and TNF-</w:t>
      </w:r>
      <w:r w:rsidRPr="003C6E10">
        <w:rPr>
          <w:szCs w:val="24"/>
        </w:rPr>
        <w:t>α, while IL-2 levels were decreased</w:t>
      </w:r>
      <w:r w:rsidR="00723A4B" w:rsidRPr="003C6E10">
        <w:rPr>
          <w:noProof/>
          <w:sz w:val="20"/>
          <w:vertAlign w:val="superscript"/>
        </w:rPr>
        <w:t>7</w:t>
      </w:r>
      <w:r w:rsidRPr="003C6E10">
        <w:rPr>
          <w:szCs w:val="24"/>
        </w:rPr>
        <w:t xml:space="preserve">. </w:t>
      </w:r>
      <w:r w:rsidR="00AF0B48" w:rsidRPr="003C6E10">
        <w:rPr>
          <w:szCs w:val="24"/>
        </w:rPr>
        <w:t xml:space="preserve">Additionally, </w:t>
      </w:r>
      <w:r w:rsidR="00B85FAD" w:rsidRPr="003C6E10">
        <w:rPr>
          <w:szCs w:val="24"/>
        </w:rPr>
        <w:t>there were clear differences in the</w:t>
      </w:r>
      <w:r w:rsidRPr="003C6E10">
        <w:rPr>
          <w:szCs w:val="24"/>
        </w:rPr>
        <w:t xml:space="preserve"> immune response between suicidal and non-suicidal patients. One study found increased IL-6 production, as well as an imbalance in helper T-cell type 1</w:t>
      </w:r>
      <w:r w:rsidR="002926C9" w:rsidRPr="003C6E10">
        <w:rPr>
          <w:szCs w:val="24"/>
        </w:rPr>
        <w:t xml:space="preserve"> </w:t>
      </w:r>
      <w:r w:rsidRPr="003C6E10">
        <w:rPr>
          <w:szCs w:val="24"/>
        </w:rPr>
        <w:t>(Th1) &amp; helper T-cell type 2</w:t>
      </w:r>
      <w:r w:rsidR="002926C9" w:rsidRPr="003C6E10">
        <w:rPr>
          <w:szCs w:val="24"/>
        </w:rPr>
        <w:t xml:space="preserve"> </w:t>
      </w:r>
      <w:r w:rsidRPr="003C6E10">
        <w:rPr>
          <w:szCs w:val="24"/>
        </w:rPr>
        <w:t xml:space="preserve">(Th2) with a shift toward Th1 in non-suicidal major depression disorder (MDD) patients. Conversely, suicidal MDD patients </w:t>
      </w:r>
      <w:r w:rsidR="00B62441" w:rsidRPr="003C6E10">
        <w:rPr>
          <w:szCs w:val="24"/>
        </w:rPr>
        <w:t>were</w:t>
      </w:r>
      <w:r w:rsidRPr="003C6E10">
        <w:rPr>
          <w:szCs w:val="24"/>
        </w:rPr>
        <w:t xml:space="preserve"> related to</w:t>
      </w:r>
      <w:r w:rsidR="007B5BA1" w:rsidRPr="003C6E10">
        <w:rPr>
          <w:szCs w:val="24"/>
        </w:rPr>
        <w:t xml:space="preserve"> a decrease in</w:t>
      </w:r>
      <w:r w:rsidRPr="003C6E10">
        <w:rPr>
          <w:szCs w:val="24"/>
        </w:rPr>
        <w:t xml:space="preserve"> IL-2 production</w:t>
      </w:r>
      <w:r w:rsidR="00723A4B" w:rsidRPr="003C6E10">
        <w:rPr>
          <w:noProof/>
          <w:sz w:val="20"/>
          <w:vertAlign w:val="superscript"/>
        </w:rPr>
        <w:t>38</w:t>
      </w:r>
      <w:r w:rsidR="007B5BA1" w:rsidRPr="003C6E10">
        <w:rPr>
          <w:szCs w:val="24"/>
        </w:rPr>
        <w:t xml:space="preserve"> </w:t>
      </w:r>
      <w:r w:rsidR="00B62441" w:rsidRPr="003C6E10">
        <w:rPr>
          <w:szCs w:val="24"/>
        </w:rPr>
        <w:t>and</w:t>
      </w:r>
      <w:r w:rsidR="007B5BA1" w:rsidRPr="003C6E10">
        <w:rPr>
          <w:szCs w:val="24"/>
        </w:rPr>
        <w:t xml:space="preserve"> </w:t>
      </w:r>
      <w:r w:rsidR="00737698" w:rsidRPr="003C6E10">
        <w:rPr>
          <w:szCs w:val="24"/>
        </w:rPr>
        <w:t xml:space="preserve">an </w:t>
      </w:r>
      <w:r w:rsidR="007B5BA1" w:rsidRPr="003C6E10">
        <w:rPr>
          <w:szCs w:val="24"/>
        </w:rPr>
        <w:t xml:space="preserve">elevation of </w:t>
      </w:r>
      <w:r w:rsidRPr="003C6E10">
        <w:rPr>
          <w:szCs w:val="24"/>
        </w:rPr>
        <w:t>Th2 expression</w:t>
      </w:r>
      <w:r w:rsidR="007B5BA1" w:rsidRPr="003C6E10">
        <w:rPr>
          <w:szCs w:val="24"/>
        </w:rPr>
        <w:t xml:space="preserve"> in the orbitofrontal cortex</w:t>
      </w:r>
      <w:bookmarkStart w:id="4" w:name="_Hlk75895288"/>
      <w:r w:rsidR="00723A4B" w:rsidRPr="003C6E10">
        <w:rPr>
          <w:noProof/>
          <w:sz w:val="20"/>
          <w:vertAlign w:val="superscript"/>
        </w:rPr>
        <w:t>39</w:t>
      </w:r>
      <w:bookmarkEnd w:id="4"/>
      <w:r w:rsidRPr="003C6E10">
        <w:rPr>
          <w:szCs w:val="24"/>
        </w:rPr>
        <w:t xml:space="preserve">. </w:t>
      </w:r>
      <w:r w:rsidR="00543F46" w:rsidRPr="003C6E10">
        <w:rPr>
          <w:szCs w:val="24"/>
        </w:rPr>
        <w:t>Another study reported increased IL-4 and IL-13 expression in suicide victims, which suggested 1) heightened Th2 cytokine expression, and 2) their mRNA transcripts exist in the brains of suicided people</w:t>
      </w:r>
      <w:r w:rsidR="00723A4B" w:rsidRPr="003C6E10">
        <w:rPr>
          <w:noProof/>
          <w:sz w:val="20"/>
          <w:vertAlign w:val="superscript"/>
        </w:rPr>
        <w:t>39</w:t>
      </w:r>
      <w:r w:rsidR="00543F46" w:rsidRPr="003C6E10">
        <w:rPr>
          <w:szCs w:val="24"/>
        </w:rPr>
        <w:t>. Exposure and sensitization to aeroallergens also explain the relationship between suicide and T cell response. This induces increased Th2 cytokine expression and increases the risk of suicide through several pathways</w:t>
      </w:r>
      <w:r w:rsidR="00723A4B" w:rsidRPr="003C6E10">
        <w:rPr>
          <w:noProof/>
          <w:sz w:val="20"/>
          <w:vertAlign w:val="superscript"/>
        </w:rPr>
        <w:t>40</w:t>
      </w:r>
      <w:r w:rsidR="00543F46" w:rsidRPr="003C6E10">
        <w:rPr>
          <w:szCs w:val="24"/>
        </w:rPr>
        <w:t xml:space="preserve">. </w:t>
      </w:r>
    </w:p>
    <w:p w14:paraId="098F4985" w14:textId="3CF259F3" w:rsidR="00543F46" w:rsidRPr="003C6E10" w:rsidRDefault="007C3318" w:rsidP="00F85FED">
      <w:pPr>
        <w:spacing w:line="480" w:lineRule="auto"/>
        <w:ind w:firstLineChars="100" w:firstLine="240"/>
        <w:rPr>
          <w:bCs/>
          <w:noProof/>
          <w:szCs w:val="24"/>
        </w:rPr>
      </w:pPr>
      <w:r w:rsidRPr="003C6E10">
        <w:rPr>
          <w:bCs/>
          <w:szCs w:val="24"/>
        </w:rPr>
        <w:t>T</w:t>
      </w:r>
      <w:r w:rsidR="00543F46" w:rsidRPr="003C6E10">
        <w:rPr>
          <w:bCs/>
          <w:szCs w:val="24"/>
        </w:rPr>
        <w:t>wo meta-analyses</w:t>
      </w:r>
      <w:r w:rsidRPr="003C6E10">
        <w:rPr>
          <w:bCs/>
          <w:szCs w:val="24"/>
        </w:rPr>
        <w:t xml:space="preserve"> reviewed</w:t>
      </w:r>
      <w:r w:rsidR="00543F46" w:rsidRPr="003C6E10">
        <w:rPr>
          <w:bCs/>
          <w:szCs w:val="24"/>
        </w:rPr>
        <w:t xml:space="preserve"> studies related to cytokines and suicidality</w:t>
      </w:r>
      <w:r w:rsidR="00723A4B" w:rsidRPr="003C6E10">
        <w:rPr>
          <w:bCs/>
          <w:noProof/>
          <w:sz w:val="20"/>
          <w:vertAlign w:val="superscript"/>
        </w:rPr>
        <w:t>41</w:t>
      </w:r>
      <w:r w:rsidR="00CD6961" w:rsidRPr="003C6E10">
        <w:rPr>
          <w:bCs/>
          <w:noProof/>
          <w:sz w:val="20"/>
          <w:vertAlign w:val="superscript"/>
        </w:rPr>
        <w:t>,</w:t>
      </w:r>
      <w:r w:rsidR="00723A4B" w:rsidRPr="003C6E10">
        <w:rPr>
          <w:bCs/>
          <w:noProof/>
          <w:sz w:val="20"/>
          <w:vertAlign w:val="superscript"/>
        </w:rPr>
        <w:t>42</w:t>
      </w:r>
      <w:r w:rsidR="00543F46" w:rsidRPr="003C6E10">
        <w:rPr>
          <w:bCs/>
          <w:szCs w:val="24"/>
        </w:rPr>
        <w:t xml:space="preserve">. Using a sample of 18 studies, Black </w:t>
      </w:r>
      <w:r w:rsidR="00B70087" w:rsidRPr="003C6E10">
        <w:rPr>
          <w:bCs/>
          <w:szCs w:val="24"/>
        </w:rPr>
        <w:t xml:space="preserve">and Ducasse </w:t>
      </w:r>
      <w:r w:rsidR="00543F46" w:rsidRPr="003C6E10">
        <w:rPr>
          <w:bCs/>
          <w:szCs w:val="24"/>
        </w:rPr>
        <w:t xml:space="preserve">found that high plasma levels of IL-6, IL-1β, and low IL-2 were reported in patients with suicidality. IL-1β and IL-6 levels were also </w:t>
      </w:r>
      <w:r w:rsidR="00C2404A" w:rsidRPr="003C6E10">
        <w:rPr>
          <w:bCs/>
          <w:szCs w:val="24"/>
        </w:rPr>
        <w:t xml:space="preserve">elevated </w:t>
      </w:r>
      <w:r w:rsidR="00543F46" w:rsidRPr="003C6E10">
        <w:rPr>
          <w:bCs/>
          <w:szCs w:val="24"/>
        </w:rPr>
        <w:t>in post-mortem brain tissue of those who completed suicide</w:t>
      </w:r>
      <w:r w:rsidR="00CF1EF7" w:rsidRPr="003C6E10">
        <w:rPr>
          <w:bCs/>
          <w:szCs w:val="24"/>
        </w:rPr>
        <w:t xml:space="preserve"> whereas a decrease in</w:t>
      </w:r>
      <w:r w:rsidR="00543F46" w:rsidRPr="003C6E10">
        <w:rPr>
          <w:bCs/>
          <w:szCs w:val="24"/>
        </w:rPr>
        <w:t xml:space="preserve"> IL-8 CSF levels were </w:t>
      </w:r>
      <w:r w:rsidR="00CF1EF7" w:rsidRPr="003C6E10">
        <w:rPr>
          <w:bCs/>
          <w:szCs w:val="24"/>
        </w:rPr>
        <w:t xml:space="preserve">reported </w:t>
      </w:r>
      <w:r w:rsidR="00543F46" w:rsidRPr="003C6E10">
        <w:rPr>
          <w:bCs/>
          <w:szCs w:val="24"/>
        </w:rPr>
        <w:t>in patients with suicidality.</w:t>
      </w:r>
      <w:r w:rsidR="00543F46" w:rsidRPr="003C6E10">
        <w:rPr>
          <w:bCs/>
          <w:noProof/>
          <w:szCs w:val="24"/>
        </w:rPr>
        <w:t xml:space="preserve"> </w:t>
      </w:r>
      <w:r w:rsidR="00BC206C" w:rsidRPr="003C6E10">
        <w:rPr>
          <w:bCs/>
          <w:noProof/>
          <w:szCs w:val="24"/>
        </w:rPr>
        <w:t>In addition, u</w:t>
      </w:r>
      <w:r w:rsidR="00543F46" w:rsidRPr="003C6E10">
        <w:rPr>
          <w:bCs/>
          <w:noProof/>
          <w:szCs w:val="24"/>
        </w:rPr>
        <w:t xml:space="preserve">sing 11 studies, </w:t>
      </w:r>
      <w:r w:rsidR="00543F46" w:rsidRPr="003C6E10">
        <w:rPr>
          <w:bCs/>
          <w:szCs w:val="24"/>
        </w:rPr>
        <w:t xml:space="preserve">Ducasse </w:t>
      </w:r>
      <w:r w:rsidR="00543F46" w:rsidRPr="00413689">
        <w:rPr>
          <w:bCs/>
          <w:szCs w:val="24"/>
          <w:highlight w:val="yellow"/>
        </w:rPr>
        <w:t>et al</w:t>
      </w:r>
      <w:r w:rsidR="00413689" w:rsidRPr="00723A4B">
        <w:rPr>
          <w:bCs/>
          <w:noProof/>
          <w:szCs w:val="24"/>
          <w:vertAlign w:val="superscript"/>
        </w:rPr>
        <w:t>42</w:t>
      </w:r>
      <w:r w:rsidR="00543F46" w:rsidRPr="003C6E10">
        <w:rPr>
          <w:bCs/>
          <w:szCs w:val="24"/>
        </w:rPr>
        <w:t xml:space="preserve"> meta-analyzed levels of 6 independent plasma cytokines [IL-2, IL-6, TNF-α, IFN</w:t>
      </w:r>
      <w:r w:rsidR="0017367C" w:rsidRPr="003C6E10">
        <w:rPr>
          <w:szCs w:val="24"/>
        </w:rPr>
        <w:t>-</w:t>
      </w:r>
      <w:r w:rsidR="00543F46" w:rsidRPr="003C6E10">
        <w:rPr>
          <w:szCs w:val="24"/>
        </w:rPr>
        <w:t>γ</w:t>
      </w:r>
      <w:r w:rsidR="00543F46" w:rsidRPr="003C6E10">
        <w:rPr>
          <w:bCs/>
          <w:szCs w:val="24"/>
        </w:rPr>
        <w:t xml:space="preserve">, IL-4, transforming growth factor (TGF)-β] among healthy controls and suicidal and non-suicidal patients. They found that suicidal patients had lower IL-2 plasma levels compared to other two groups. Also, lower IL-4 and higher TGF-β plasma levels were reported in both suicidal and non-suicidal patients than healthy controls. </w:t>
      </w:r>
      <w:r w:rsidR="00543F46" w:rsidRPr="003C6E10">
        <w:rPr>
          <w:bCs/>
          <w:noProof/>
          <w:szCs w:val="24"/>
        </w:rPr>
        <w:t xml:space="preserve">However, the independent studies in their </w:t>
      </w:r>
      <w:r w:rsidR="00543F46" w:rsidRPr="003C6E10">
        <w:rPr>
          <w:bCs/>
          <w:noProof/>
          <w:szCs w:val="24"/>
        </w:rPr>
        <w:lastRenderedPageBreak/>
        <w:t xml:space="preserve">sample did not show consistent results, which may be due to differences in phenotypes of suicidal behavior, difficulty in controlling for confounders, differences in immunoassay techniques, and genetic and epigenetic effects. Further </w:t>
      </w:r>
      <w:r w:rsidR="00F0600D" w:rsidRPr="003C6E10">
        <w:rPr>
          <w:bCs/>
          <w:noProof/>
          <w:szCs w:val="24"/>
        </w:rPr>
        <w:t>research is</w:t>
      </w:r>
      <w:r w:rsidR="00543F46" w:rsidRPr="003C6E10">
        <w:rPr>
          <w:bCs/>
          <w:noProof/>
          <w:szCs w:val="24"/>
        </w:rPr>
        <w:t xml:space="preserve"> needed, as these heterogenity-inducing factors might serve as mediators or moderators between suicidality and inflammation.</w:t>
      </w:r>
    </w:p>
    <w:p w14:paraId="59042FDB" w14:textId="6336E2BE" w:rsidR="00543F46" w:rsidRPr="003C6E10" w:rsidRDefault="00543F46" w:rsidP="00F85FED">
      <w:pPr>
        <w:pStyle w:val="MDPI21heading1"/>
        <w:spacing w:line="480" w:lineRule="auto"/>
        <w:jc w:val="both"/>
        <w:rPr>
          <w:rFonts w:ascii="Times New Roman" w:hAnsi="Times New Roman"/>
          <w:sz w:val="24"/>
          <w:szCs w:val="24"/>
        </w:rPr>
      </w:pPr>
      <w:r w:rsidRPr="003C6E10">
        <w:rPr>
          <w:rFonts w:ascii="Times New Roman" w:hAnsi="Times New Roman"/>
          <w:sz w:val="24"/>
          <w:szCs w:val="24"/>
        </w:rPr>
        <w:t xml:space="preserve">Cytokines as a </w:t>
      </w:r>
      <w:r w:rsidR="00106B3A">
        <w:rPr>
          <w:rFonts w:ascii="Times New Roman" w:hAnsi="Times New Roman"/>
          <w:sz w:val="24"/>
          <w:szCs w:val="24"/>
        </w:rPr>
        <w:t>M</w:t>
      </w:r>
      <w:r w:rsidRPr="003C6E10">
        <w:rPr>
          <w:rFonts w:ascii="Times New Roman" w:hAnsi="Times New Roman"/>
          <w:sz w:val="24"/>
          <w:szCs w:val="24"/>
        </w:rPr>
        <w:t xml:space="preserve">echanism </w:t>
      </w:r>
      <w:r w:rsidR="00106B3A">
        <w:rPr>
          <w:rFonts w:ascii="Times New Roman" w:hAnsi="Times New Roman"/>
          <w:sz w:val="24"/>
          <w:szCs w:val="24"/>
        </w:rPr>
        <w:t>A</w:t>
      </w:r>
      <w:r w:rsidRPr="003C6E10">
        <w:rPr>
          <w:rFonts w:ascii="Times New Roman" w:hAnsi="Times New Roman"/>
          <w:sz w:val="24"/>
          <w:szCs w:val="24"/>
        </w:rPr>
        <w:t>ffecting</w:t>
      </w:r>
      <w:r w:rsidR="00106B3A">
        <w:rPr>
          <w:rFonts w:ascii="Times New Roman" w:hAnsi="Times New Roman"/>
          <w:sz w:val="24"/>
          <w:szCs w:val="24"/>
        </w:rPr>
        <w:t xml:space="preserve"> B</w:t>
      </w:r>
      <w:r w:rsidRPr="003C6E10">
        <w:rPr>
          <w:rFonts w:ascii="Times New Roman" w:hAnsi="Times New Roman"/>
          <w:sz w:val="24"/>
          <w:szCs w:val="24"/>
        </w:rPr>
        <w:t xml:space="preserve">rain </w:t>
      </w:r>
      <w:r w:rsidR="00106B3A">
        <w:rPr>
          <w:rFonts w:ascii="Times New Roman" w:hAnsi="Times New Roman"/>
          <w:sz w:val="24"/>
          <w:szCs w:val="24"/>
        </w:rPr>
        <w:t>F</w:t>
      </w:r>
      <w:r w:rsidRPr="003C6E10">
        <w:rPr>
          <w:rFonts w:ascii="Times New Roman" w:hAnsi="Times New Roman"/>
          <w:sz w:val="24"/>
          <w:szCs w:val="24"/>
        </w:rPr>
        <w:t xml:space="preserve">unction and </w:t>
      </w:r>
      <w:r w:rsidR="00106B3A">
        <w:rPr>
          <w:rFonts w:ascii="Times New Roman" w:hAnsi="Times New Roman"/>
          <w:sz w:val="24"/>
          <w:szCs w:val="24"/>
        </w:rPr>
        <w:t>B</w:t>
      </w:r>
      <w:r w:rsidRPr="003C6E10">
        <w:rPr>
          <w:rFonts w:ascii="Times New Roman" w:hAnsi="Times New Roman"/>
          <w:sz w:val="24"/>
          <w:szCs w:val="24"/>
        </w:rPr>
        <w:t>ehavior</w:t>
      </w:r>
    </w:p>
    <w:p w14:paraId="10ACDBC6" w14:textId="74ED67DB" w:rsidR="00543F46" w:rsidRPr="003C6E10" w:rsidRDefault="00543F46" w:rsidP="00F85FED">
      <w:pPr>
        <w:spacing w:line="480" w:lineRule="auto"/>
        <w:ind w:firstLineChars="100" w:firstLine="240"/>
        <w:contextualSpacing/>
        <w:rPr>
          <w:b/>
          <w:szCs w:val="24"/>
        </w:rPr>
      </w:pPr>
      <w:r w:rsidRPr="003C6E10">
        <w:rPr>
          <w:bCs/>
          <w:szCs w:val="24"/>
        </w:rPr>
        <w:t xml:space="preserve">Increase in cytokine levels is one of the suggested </w:t>
      </w:r>
      <w:r w:rsidR="003E446E" w:rsidRPr="003C6E10">
        <w:rPr>
          <w:bCs/>
          <w:szCs w:val="24"/>
        </w:rPr>
        <w:t>mechanisms</w:t>
      </w:r>
      <w:r w:rsidRPr="003C6E10">
        <w:rPr>
          <w:bCs/>
          <w:szCs w:val="24"/>
        </w:rPr>
        <w:t xml:space="preserve"> behind the association between infection and increased risks of suicide. Viral infection can activate Toll-like receptors (TLRs) that are known to play an important role in regulating immune responses</w:t>
      </w:r>
      <w:r w:rsidR="00723A4B" w:rsidRPr="003C6E10">
        <w:rPr>
          <w:bCs/>
          <w:noProof/>
          <w:sz w:val="20"/>
          <w:vertAlign w:val="superscript"/>
        </w:rPr>
        <w:t>43</w:t>
      </w:r>
      <w:r w:rsidRPr="003C6E10">
        <w:rPr>
          <w:bCs/>
          <w:szCs w:val="24"/>
        </w:rPr>
        <w:t>. Activation of TLRs induce a pro-inflammatory state and lead to the secretion of large amounts of inflammatory factors such as IL-6, IL-12, IL-15, and TNF-α</w:t>
      </w:r>
      <w:r w:rsidR="00723A4B" w:rsidRPr="003C6E10">
        <w:rPr>
          <w:bCs/>
          <w:noProof/>
          <w:sz w:val="20"/>
          <w:vertAlign w:val="superscript"/>
        </w:rPr>
        <w:t>44</w:t>
      </w:r>
      <w:r w:rsidRPr="003C6E10">
        <w:rPr>
          <w:bCs/>
          <w:szCs w:val="24"/>
        </w:rPr>
        <w:t>. These changes in inflammatory cytokine levels can affect brain function and behavior.</w:t>
      </w:r>
    </w:p>
    <w:p w14:paraId="5277EE08" w14:textId="20A4026A" w:rsidR="00543F46" w:rsidRPr="003C6E10" w:rsidRDefault="00543F46" w:rsidP="00F85FED">
      <w:pPr>
        <w:spacing w:line="480" w:lineRule="auto"/>
        <w:ind w:firstLineChars="100" w:firstLine="240"/>
        <w:contextualSpacing/>
        <w:rPr>
          <w:b/>
          <w:szCs w:val="24"/>
        </w:rPr>
      </w:pPr>
      <w:r w:rsidRPr="003C6E10">
        <w:rPr>
          <w:bCs/>
          <w:szCs w:val="24"/>
        </w:rPr>
        <w:t>They can enter the brain directly through a compromised blood-brain barrier (BBB), which is associated with increased CSF levels of glycosaminoglycan hyaluronic acid, indicative of neuro-inflammation</w:t>
      </w:r>
      <w:r w:rsidR="00723A4B" w:rsidRPr="003C6E10">
        <w:rPr>
          <w:bCs/>
          <w:noProof/>
          <w:sz w:val="20"/>
          <w:vertAlign w:val="superscript"/>
        </w:rPr>
        <w:t>45</w:t>
      </w:r>
      <w:r w:rsidRPr="003C6E10">
        <w:rPr>
          <w:bCs/>
          <w:szCs w:val="24"/>
        </w:rPr>
        <w:t xml:space="preserve">. </w:t>
      </w:r>
      <w:r w:rsidR="000F656B" w:rsidRPr="003C6E10">
        <w:rPr>
          <w:bCs/>
          <w:szCs w:val="24"/>
        </w:rPr>
        <w:t>Additionally</w:t>
      </w:r>
      <w:r w:rsidRPr="003C6E10">
        <w:rPr>
          <w:bCs/>
          <w:szCs w:val="24"/>
        </w:rPr>
        <w:t>, they communicate with the brain via several mechanisms, including the kynurenine pathway, monoamine metabolism, and HPA axis</w:t>
      </w:r>
      <w:r w:rsidR="00723A4B" w:rsidRPr="003C6E10">
        <w:rPr>
          <w:bCs/>
          <w:noProof/>
          <w:sz w:val="20"/>
          <w:vertAlign w:val="superscript"/>
        </w:rPr>
        <w:t>8</w:t>
      </w:r>
      <w:r w:rsidRPr="003C6E10">
        <w:rPr>
          <w:bCs/>
          <w:szCs w:val="24"/>
        </w:rPr>
        <w:t xml:space="preserve">. </w:t>
      </w:r>
    </w:p>
    <w:p w14:paraId="5DF37E19" w14:textId="556F4570" w:rsidR="00543F46" w:rsidRPr="003C6E10" w:rsidRDefault="00543F46" w:rsidP="00F85FED">
      <w:pPr>
        <w:spacing w:line="480" w:lineRule="auto"/>
        <w:ind w:firstLineChars="50" w:firstLine="120"/>
        <w:contextualSpacing/>
        <w:rPr>
          <w:i/>
          <w:szCs w:val="24"/>
        </w:rPr>
      </w:pPr>
      <w:r w:rsidRPr="003C6E10">
        <w:rPr>
          <w:i/>
          <w:szCs w:val="24"/>
        </w:rPr>
        <w:t xml:space="preserve">Kynurenine </w:t>
      </w:r>
      <w:r w:rsidR="00723A4B">
        <w:rPr>
          <w:i/>
          <w:szCs w:val="24"/>
        </w:rPr>
        <w:t>P</w:t>
      </w:r>
      <w:r w:rsidRPr="003C6E10">
        <w:rPr>
          <w:i/>
          <w:szCs w:val="24"/>
        </w:rPr>
        <w:t>athway</w:t>
      </w:r>
    </w:p>
    <w:p w14:paraId="61397313" w14:textId="612E7221" w:rsidR="00543F46" w:rsidRPr="003C6E10" w:rsidRDefault="00543F46" w:rsidP="00F85FED">
      <w:pPr>
        <w:spacing w:line="480" w:lineRule="auto"/>
        <w:ind w:firstLineChars="100" w:firstLine="240"/>
        <w:contextualSpacing/>
        <w:rPr>
          <w:szCs w:val="24"/>
        </w:rPr>
      </w:pPr>
      <w:r w:rsidRPr="003C6E10">
        <w:rPr>
          <w:szCs w:val="24"/>
        </w:rPr>
        <w:t>The kynurenine pathway is active in both the peripher</w:t>
      </w:r>
      <w:r w:rsidR="000B221C" w:rsidRPr="003C6E10">
        <w:rPr>
          <w:szCs w:val="24"/>
        </w:rPr>
        <w:t>al</w:t>
      </w:r>
      <w:r w:rsidRPr="003C6E10">
        <w:rPr>
          <w:szCs w:val="24"/>
        </w:rPr>
        <w:t xml:space="preserve"> and central nervous system, in which indoleamine 2,3-dioxygenase (IDO) and tryptophan 2,3-dioxygenase (TDO) catalyzes the production of kynurenine from tryptophan. </w:t>
      </w:r>
      <w:r w:rsidR="003A37D0" w:rsidRPr="003C6E10">
        <w:rPr>
          <w:rFonts w:eastAsia="Malgun Gothic"/>
          <w:szCs w:val="24"/>
          <w:lang w:eastAsia="ko-KR"/>
        </w:rPr>
        <w:t>A</w:t>
      </w:r>
      <w:r w:rsidR="003A37D0" w:rsidRPr="003C6E10">
        <w:rPr>
          <w:szCs w:val="24"/>
        </w:rPr>
        <w:t>mong depressed patients, blood kynurenine levels are elevated in suicide attempters compared with a depressed-only control group</w:t>
      </w:r>
      <w:r w:rsidR="00723A4B" w:rsidRPr="003C6E10">
        <w:rPr>
          <w:noProof/>
          <w:sz w:val="20"/>
          <w:vertAlign w:val="superscript"/>
        </w:rPr>
        <w:t>46</w:t>
      </w:r>
      <w:r w:rsidR="003A37D0" w:rsidRPr="003C6E10">
        <w:rPr>
          <w:szCs w:val="24"/>
        </w:rPr>
        <w:t xml:space="preserve">. </w:t>
      </w:r>
      <w:r w:rsidRPr="003C6E10">
        <w:rPr>
          <w:szCs w:val="24"/>
        </w:rPr>
        <w:lastRenderedPageBreak/>
        <w:t>After production, kynurenine breaks down into neuroactive compounds like quinolinic acid (QUIN) and kynurenic acid (KYNA). Inflammatory cytokines such as IFN-γ, IL-6, and IL-1β activate these enzymes and thereby shift tryptophan metabolism towards an increase of QUIN</w:t>
      </w:r>
      <w:r w:rsidR="00723A4B" w:rsidRPr="003C6E10">
        <w:rPr>
          <w:noProof/>
          <w:sz w:val="20"/>
          <w:vertAlign w:val="superscript"/>
        </w:rPr>
        <w:t>47-49</w:t>
      </w:r>
      <w:r w:rsidRPr="003C6E10">
        <w:rPr>
          <w:szCs w:val="24"/>
        </w:rPr>
        <w:t xml:space="preserve">. </w:t>
      </w:r>
    </w:p>
    <w:p w14:paraId="7400929D" w14:textId="65BD20DB" w:rsidR="00543F46" w:rsidRPr="003C6E10" w:rsidRDefault="00543F46" w:rsidP="00F85FED">
      <w:pPr>
        <w:spacing w:line="480" w:lineRule="auto"/>
        <w:ind w:firstLineChars="100" w:firstLine="240"/>
        <w:contextualSpacing/>
        <w:rPr>
          <w:szCs w:val="24"/>
        </w:rPr>
      </w:pPr>
      <w:r w:rsidRPr="003C6E10">
        <w:rPr>
          <w:szCs w:val="24"/>
        </w:rPr>
        <w:t>QUIN is an N-methyl-D-aspartic acid (NMDA) receptor agonist predominantly produced by microglia and macrophages</w:t>
      </w:r>
      <w:r w:rsidR="00723A4B" w:rsidRPr="003C6E10">
        <w:rPr>
          <w:noProof/>
          <w:sz w:val="20"/>
          <w:vertAlign w:val="superscript"/>
        </w:rPr>
        <w:t>50</w:t>
      </w:r>
      <w:r w:rsidRPr="003C6E10">
        <w:rPr>
          <w:szCs w:val="24"/>
        </w:rPr>
        <w:t>. It has agonistic effects on the NMDA receptor by acting through the NR1 + NR2A and the NR1 + NR2B subunits</w:t>
      </w:r>
      <w:r w:rsidR="00723A4B" w:rsidRPr="003C6E10">
        <w:rPr>
          <w:noProof/>
          <w:sz w:val="20"/>
          <w:vertAlign w:val="superscript"/>
        </w:rPr>
        <w:t>51</w:t>
      </w:r>
      <w:r w:rsidR="00CD6961" w:rsidRPr="003C6E10">
        <w:rPr>
          <w:noProof/>
          <w:sz w:val="20"/>
          <w:vertAlign w:val="superscript"/>
        </w:rPr>
        <w:t>,</w:t>
      </w:r>
      <w:r w:rsidR="00723A4B" w:rsidRPr="003C6E10">
        <w:rPr>
          <w:noProof/>
          <w:sz w:val="20"/>
          <w:vertAlign w:val="superscript"/>
        </w:rPr>
        <w:t>52</w:t>
      </w:r>
      <w:r w:rsidRPr="003C6E10">
        <w:rPr>
          <w:szCs w:val="24"/>
        </w:rPr>
        <w:t>. QUIN was found to increase reactive oxygen species (ROS) and neuronal glutamate release, and decrease glutamate uptake and recycling by astrocytes, and increase astrocytic production of pro-inflammatory cytokines</w:t>
      </w:r>
      <w:r w:rsidR="00723A4B" w:rsidRPr="003C6E10">
        <w:rPr>
          <w:noProof/>
          <w:sz w:val="20"/>
          <w:vertAlign w:val="superscript"/>
        </w:rPr>
        <w:t>53-55</w:t>
      </w:r>
      <w:r w:rsidRPr="003C6E10">
        <w:rPr>
          <w:szCs w:val="24"/>
        </w:rPr>
        <w:t>. KYNA, on the other hand, antagonizes the glycine co-agonist site of the NMDA receptor and is predominantly produced by astrocytes</w:t>
      </w:r>
      <w:r w:rsidR="00723A4B" w:rsidRPr="003C6E10">
        <w:rPr>
          <w:noProof/>
          <w:sz w:val="20"/>
          <w:vertAlign w:val="superscript"/>
        </w:rPr>
        <w:t>51</w:t>
      </w:r>
      <w:r w:rsidRPr="003C6E10">
        <w:rPr>
          <w:szCs w:val="24"/>
        </w:rPr>
        <w:t xml:space="preserve">. Besides the NMDA receptor, </w:t>
      </w:r>
      <w:r w:rsidR="006716F1" w:rsidRPr="003C6E10">
        <w:rPr>
          <w:szCs w:val="24"/>
        </w:rPr>
        <w:t>KYNA</w:t>
      </w:r>
      <w:r w:rsidR="006716F1" w:rsidRPr="003C6E10" w:rsidDel="006716F1">
        <w:rPr>
          <w:szCs w:val="24"/>
        </w:rPr>
        <w:t xml:space="preserve"> </w:t>
      </w:r>
      <w:r w:rsidRPr="003C6E10">
        <w:rPr>
          <w:szCs w:val="24"/>
        </w:rPr>
        <w:t>has</w:t>
      </w:r>
      <w:r w:rsidR="007B210B" w:rsidRPr="003C6E10">
        <w:rPr>
          <w:szCs w:val="24"/>
        </w:rPr>
        <w:t xml:space="preserve"> also</w:t>
      </w:r>
      <w:r w:rsidRPr="003C6E10">
        <w:rPr>
          <w:szCs w:val="24"/>
        </w:rPr>
        <w:t xml:space="preserve"> antagonistic effects on the AMPA receptor and </w:t>
      </w:r>
      <w:r w:rsidRPr="003C6E10">
        <w:rPr>
          <w:rFonts w:eastAsia="1훈솜사탕 R"/>
          <w:szCs w:val="24"/>
        </w:rPr>
        <w:t>α</w:t>
      </w:r>
      <w:r w:rsidRPr="003C6E10">
        <w:rPr>
          <w:szCs w:val="24"/>
        </w:rPr>
        <w:t>7 nicotinic acetylcholine receptor (</w:t>
      </w:r>
      <w:r w:rsidRPr="003C6E10">
        <w:rPr>
          <w:rFonts w:eastAsia="1훈솜사탕 R"/>
          <w:szCs w:val="24"/>
        </w:rPr>
        <w:t>α</w:t>
      </w:r>
      <w:r w:rsidRPr="003C6E10">
        <w:rPr>
          <w:szCs w:val="24"/>
        </w:rPr>
        <w:t>7nAChR)</w:t>
      </w:r>
      <w:r w:rsidR="00723A4B" w:rsidRPr="003C6E10">
        <w:rPr>
          <w:noProof/>
          <w:sz w:val="20"/>
          <w:szCs w:val="24"/>
          <w:vertAlign w:val="superscript"/>
        </w:rPr>
        <w:t>56</w:t>
      </w:r>
      <w:r w:rsidR="006716F1" w:rsidRPr="003C6E10">
        <w:rPr>
          <w:szCs w:val="24"/>
        </w:rPr>
        <w:t xml:space="preserve">, it </w:t>
      </w:r>
      <w:r w:rsidRPr="003C6E10">
        <w:rPr>
          <w:szCs w:val="24"/>
        </w:rPr>
        <w:t>is known to have neuroprotective and anticonvulsive properties</w:t>
      </w:r>
      <w:r w:rsidR="00723A4B" w:rsidRPr="003C6E10">
        <w:rPr>
          <w:noProof/>
          <w:sz w:val="20"/>
          <w:vertAlign w:val="superscript"/>
        </w:rPr>
        <w:t>57</w:t>
      </w:r>
      <w:r w:rsidR="00CD6961" w:rsidRPr="003C6E10">
        <w:rPr>
          <w:noProof/>
          <w:sz w:val="20"/>
          <w:vertAlign w:val="superscript"/>
        </w:rPr>
        <w:t>,</w:t>
      </w:r>
      <w:r w:rsidR="00723A4B" w:rsidRPr="003C6E10">
        <w:rPr>
          <w:noProof/>
          <w:sz w:val="20"/>
          <w:vertAlign w:val="superscript"/>
        </w:rPr>
        <w:t>58</w:t>
      </w:r>
      <w:r w:rsidRPr="003C6E10">
        <w:rPr>
          <w:szCs w:val="24"/>
        </w:rPr>
        <w:t xml:space="preserve">. </w:t>
      </w:r>
    </w:p>
    <w:p w14:paraId="550594C2" w14:textId="725F6C35" w:rsidR="00543F46" w:rsidRPr="003C6E10" w:rsidRDefault="00543F46" w:rsidP="00F85FED">
      <w:pPr>
        <w:spacing w:line="480" w:lineRule="auto"/>
        <w:ind w:firstLineChars="100" w:firstLine="240"/>
        <w:contextualSpacing/>
        <w:rPr>
          <w:szCs w:val="24"/>
        </w:rPr>
      </w:pPr>
      <w:r w:rsidRPr="003C6E10">
        <w:rPr>
          <w:szCs w:val="24"/>
        </w:rPr>
        <w:t xml:space="preserve">QUIN levels were found to be associated with increased </w:t>
      </w:r>
      <w:r w:rsidR="00386725" w:rsidRPr="003C6E10">
        <w:rPr>
          <w:szCs w:val="24"/>
        </w:rPr>
        <w:t>suicide</w:t>
      </w:r>
      <w:r w:rsidRPr="003C6E10">
        <w:rPr>
          <w:szCs w:val="24"/>
        </w:rPr>
        <w:t xml:space="preserve"> risk and levels of inflammatory cytokines, and the QUIN levels were increased in the CSF of suicidal patients</w:t>
      </w:r>
      <w:r w:rsidR="00723A4B" w:rsidRPr="003C6E10">
        <w:rPr>
          <w:noProof/>
          <w:sz w:val="20"/>
          <w:vertAlign w:val="superscript"/>
        </w:rPr>
        <w:t>59</w:t>
      </w:r>
      <w:r w:rsidRPr="003C6E10">
        <w:rPr>
          <w:szCs w:val="24"/>
        </w:rPr>
        <w:t>. In fact, QUIN levels were found higher in CSF of suicide attempters than in healthy controls. It was also positively correlated with IL-6 in CSF, suggesting the relationship between the activation of kynurenine pathway and active inflammation</w:t>
      </w:r>
      <w:r w:rsidR="00723A4B" w:rsidRPr="003C6E10">
        <w:rPr>
          <w:noProof/>
          <w:sz w:val="20"/>
          <w:vertAlign w:val="superscript"/>
        </w:rPr>
        <w:t>60</w:t>
      </w:r>
      <w:r w:rsidRPr="003C6E10">
        <w:rPr>
          <w:szCs w:val="24"/>
        </w:rPr>
        <w:t xml:space="preserve">. Furthermore, </w:t>
      </w:r>
      <w:r w:rsidR="00FB32EC" w:rsidRPr="003C6E10">
        <w:rPr>
          <w:szCs w:val="24"/>
        </w:rPr>
        <w:t xml:space="preserve">after a </w:t>
      </w:r>
      <w:r w:rsidR="002B7CC1" w:rsidRPr="003C6E10">
        <w:rPr>
          <w:szCs w:val="24"/>
        </w:rPr>
        <w:t>2-year</w:t>
      </w:r>
      <w:r w:rsidR="00FB32EC" w:rsidRPr="003C6E10">
        <w:rPr>
          <w:szCs w:val="24"/>
        </w:rPr>
        <w:t xml:space="preserve"> follow</w:t>
      </w:r>
      <w:r w:rsidR="004566CD" w:rsidRPr="003C6E10">
        <w:rPr>
          <w:szCs w:val="24"/>
        </w:rPr>
        <w:t xml:space="preserve">-up </w:t>
      </w:r>
      <w:r w:rsidR="00FB32EC" w:rsidRPr="003C6E10">
        <w:rPr>
          <w:szCs w:val="24"/>
        </w:rPr>
        <w:t xml:space="preserve">period, </w:t>
      </w:r>
      <w:r w:rsidRPr="003C6E10">
        <w:rPr>
          <w:szCs w:val="24"/>
        </w:rPr>
        <w:t xml:space="preserve">QUIN levels were elevated </w:t>
      </w:r>
      <w:r w:rsidR="00CA0767" w:rsidRPr="003C6E10">
        <w:rPr>
          <w:szCs w:val="24"/>
        </w:rPr>
        <w:t>among</w:t>
      </w:r>
      <w:r w:rsidRPr="003C6E10">
        <w:rPr>
          <w:szCs w:val="24"/>
        </w:rPr>
        <w:t xml:space="preserve"> suicide attempters</w:t>
      </w:r>
      <w:r w:rsidR="00CA0767" w:rsidRPr="003C6E10">
        <w:rPr>
          <w:szCs w:val="24"/>
        </w:rPr>
        <w:t xml:space="preserve"> </w:t>
      </w:r>
      <w:r w:rsidR="006327A7" w:rsidRPr="003C6E10">
        <w:rPr>
          <w:szCs w:val="24"/>
        </w:rPr>
        <w:t>with</w:t>
      </w:r>
      <w:r w:rsidRPr="003C6E10">
        <w:rPr>
          <w:szCs w:val="24"/>
        </w:rPr>
        <w:t xml:space="preserve"> high IL-6 and lower KYNA levels </w:t>
      </w:r>
      <w:r w:rsidR="002227BE" w:rsidRPr="003C6E10">
        <w:rPr>
          <w:szCs w:val="24"/>
        </w:rPr>
        <w:t xml:space="preserve">also </w:t>
      </w:r>
      <w:r w:rsidRPr="003C6E10">
        <w:rPr>
          <w:szCs w:val="24"/>
        </w:rPr>
        <w:t>found to be associated with the severity of suicidal ideation and depressive symptoms</w:t>
      </w:r>
      <w:r w:rsidR="00723A4B" w:rsidRPr="003C6E10">
        <w:rPr>
          <w:noProof/>
          <w:sz w:val="20"/>
          <w:vertAlign w:val="superscript"/>
        </w:rPr>
        <w:t>61</w:t>
      </w:r>
      <w:r w:rsidRPr="003C6E10">
        <w:rPr>
          <w:szCs w:val="24"/>
        </w:rPr>
        <w:t xml:space="preserve">. </w:t>
      </w:r>
    </w:p>
    <w:p w14:paraId="5228BCE7" w14:textId="6D3F0494" w:rsidR="00543F46" w:rsidRPr="003C6E10" w:rsidRDefault="00543F46" w:rsidP="00F85FED">
      <w:pPr>
        <w:spacing w:line="480" w:lineRule="auto"/>
        <w:ind w:firstLineChars="50" w:firstLine="120"/>
        <w:contextualSpacing/>
        <w:rPr>
          <w:i/>
          <w:szCs w:val="24"/>
        </w:rPr>
      </w:pPr>
      <w:r w:rsidRPr="003C6E10">
        <w:rPr>
          <w:i/>
          <w:szCs w:val="24"/>
        </w:rPr>
        <w:lastRenderedPageBreak/>
        <w:t xml:space="preserve">Monoamine </w:t>
      </w:r>
      <w:r w:rsidR="00723A4B">
        <w:rPr>
          <w:i/>
          <w:szCs w:val="24"/>
        </w:rPr>
        <w:t>M</w:t>
      </w:r>
      <w:r w:rsidRPr="003C6E10">
        <w:rPr>
          <w:i/>
          <w:szCs w:val="24"/>
        </w:rPr>
        <w:t>etabolism</w:t>
      </w:r>
    </w:p>
    <w:p w14:paraId="7FE3CF5E" w14:textId="5DCBD50C" w:rsidR="00543F46" w:rsidRPr="003C6E10" w:rsidRDefault="00543F46" w:rsidP="00F85FED">
      <w:pPr>
        <w:spacing w:line="480" w:lineRule="auto"/>
        <w:ind w:firstLineChars="100" w:firstLine="240"/>
        <w:contextualSpacing/>
        <w:rPr>
          <w:szCs w:val="24"/>
          <w:u w:val="single"/>
        </w:rPr>
      </w:pPr>
      <w:r w:rsidRPr="003C6E10">
        <w:rPr>
          <w:szCs w:val="24"/>
        </w:rPr>
        <w:t>Besides increasing kynurenine production by making IDO steal tryptophan from the serotonin synthesis pathway, cytokines can decrease the production of serotonin</w:t>
      </w:r>
      <w:r w:rsidR="00723A4B" w:rsidRPr="003C6E10">
        <w:rPr>
          <w:noProof/>
          <w:sz w:val="20"/>
          <w:vertAlign w:val="superscript"/>
        </w:rPr>
        <w:t>40</w:t>
      </w:r>
      <w:r w:rsidRPr="003C6E10">
        <w:rPr>
          <w:szCs w:val="24"/>
        </w:rPr>
        <w:t>. Many studies relating to suicidal behavior have shown that there is an abnormality of the serotonin system (e.g., decreased serotonin metabolites and increased serotonin receptors)</w:t>
      </w:r>
      <w:r w:rsidR="008F06E7" w:rsidRPr="003C6E10">
        <w:rPr>
          <w:sz w:val="20"/>
        </w:rPr>
        <w:t xml:space="preserve"> </w:t>
      </w:r>
      <w:r w:rsidR="00723A4B" w:rsidRPr="003C6E10">
        <w:rPr>
          <w:noProof/>
          <w:sz w:val="20"/>
          <w:vertAlign w:val="superscript"/>
        </w:rPr>
        <w:t>62</w:t>
      </w:r>
      <w:r w:rsidRPr="003C6E10">
        <w:rPr>
          <w:szCs w:val="24"/>
        </w:rPr>
        <w:t>. Inflammatory cytokines can affect these serotonin systems in many ways, and this might be one of the mechanisms that link inflammation with suicidal behavior</w:t>
      </w:r>
      <w:r w:rsidR="00723A4B" w:rsidRPr="003C6E10">
        <w:rPr>
          <w:noProof/>
          <w:sz w:val="20"/>
          <w:vertAlign w:val="superscript"/>
        </w:rPr>
        <w:t>63</w:t>
      </w:r>
      <w:r w:rsidRPr="003C6E10">
        <w:rPr>
          <w:szCs w:val="24"/>
        </w:rPr>
        <w:t>.</w:t>
      </w:r>
      <w:r w:rsidR="005A7A01" w:rsidRPr="003C6E10">
        <w:rPr>
          <w:szCs w:val="24"/>
        </w:rPr>
        <w:t xml:space="preserve"> </w:t>
      </w:r>
      <w:r w:rsidR="00321B29" w:rsidRPr="003C6E10">
        <w:rPr>
          <w:rFonts w:eastAsia="Malgun Gothic"/>
          <w:szCs w:val="24"/>
        </w:rPr>
        <w:t>S</w:t>
      </w:r>
      <w:r w:rsidR="007B7888" w:rsidRPr="003C6E10">
        <w:rPr>
          <w:szCs w:val="24"/>
        </w:rPr>
        <w:t>tudies on serotonin in patients with suicidal behavior have found a relationship between lower serotonin levels in the blood and suicidal behavior</w:t>
      </w:r>
      <w:r w:rsidR="00723A4B" w:rsidRPr="003C6E10">
        <w:rPr>
          <w:noProof/>
          <w:sz w:val="20"/>
          <w:vertAlign w:val="superscript"/>
        </w:rPr>
        <w:t>62</w:t>
      </w:r>
      <w:r w:rsidR="007B7888" w:rsidRPr="003C6E10">
        <w:rPr>
          <w:szCs w:val="24"/>
        </w:rPr>
        <w:t xml:space="preserve">. </w:t>
      </w:r>
      <w:r w:rsidR="0065519B" w:rsidRPr="003C6E10">
        <w:rPr>
          <w:szCs w:val="24"/>
        </w:rPr>
        <w:t>This may result from</w:t>
      </w:r>
      <w:r w:rsidR="00321B29" w:rsidRPr="003C6E10">
        <w:rPr>
          <w:szCs w:val="24"/>
        </w:rPr>
        <w:t xml:space="preserve"> </w:t>
      </w:r>
      <w:r w:rsidR="00942BF0" w:rsidRPr="003C6E10">
        <w:rPr>
          <w:szCs w:val="24"/>
        </w:rPr>
        <w:t xml:space="preserve">the activation of </w:t>
      </w:r>
      <w:r w:rsidR="00321B29" w:rsidRPr="003C6E10">
        <w:rPr>
          <w:szCs w:val="24"/>
        </w:rPr>
        <w:t>c</w:t>
      </w:r>
      <w:r w:rsidRPr="003C6E10">
        <w:rPr>
          <w:szCs w:val="24"/>
        </w:rPr>
        <w:t xml:space="preserve">ytokines such as IL-1β and TNF-α </w:t>
      </w:r>
      <w:r w:rsidR="0065519B" w:rsidRPr="003C6E10">
        <w:rPr>
          <w:szCs w:val="24"/>
        </w:rPr>
        <w:t xml:space="preserve">which </w:t>
      </w:r>
      <w:r w:rsidRPr="003C6E10">
        <w:rPr>
          <w:szCs w:val="24"/>
        </w:rPr>
        <w:t>have</w:t>
      </w:r>
      <w:r w:rsidR="00E855AD" w:rsidRPr="003C6E10">
        <w:rPr>
          <w:szCs w:val="24"/>
        </w:rPr>
        <w:t xml:space="preserve"> been</w:t>
      </w:r>
      <w:r w:rsidRPr="003C6E10">
        <w:rPr>
          <w:szCs w:val="24"/>
        </w:rPr>
        <w:t xml:space="preserve"> shown to increase the expression of serotonin transporter</w:t>
      </w:r>
      <w:r w:rsidR="006E3A88" w:rsidRPr="003C6E10">
        <w:rPr>
          <w:szCs w:val="24"/>
        </w:rPr>
        <w:t>,</w:t>
      </w:r>
      <w:r w:rsidR="00C21928" w:rsidRPr="003C6E10">
        <w:rPr>
          <w:szCs w:val="24"/>
        </w:rPr>
        <w:t xml:space="preserve"> </w:t>
      </w:r>
      <w:r w:rsidR="00A849F7" w:rsidRPr="003C6E10">
        <w:rPr>
          <w:szCs w:val="24"/>
        </w:rPr>
        <w:t xml:space="preserve">consequently </w:t>
      </w:r>
      <w:r w:rsidR="00CF6BEC" w:rsidRPr="003C6E10">
        <w:rPr>
          <w:szCs w:val="24"/>
        </w:rPr>
        <w:t>reducing the levels of serotonin</w:t>
      </w:r>
      <w:r w:rsidR="00723A4B" w:rsidRPr="003C6E10">
        <w:rPr>
          <w:noProof/>
          <w:sz w:val="20"/>
          <w:vertAlign w:val="superscript"/>
        </w:rPr>
        <w:t>64</w:t>
      </w:r>
      <w:r w:rsidRPr="003C6E10">
        <w:rPr>
          <w:szCs w:val="24"/>
        </w:rPr>
        <w:t xml:space="preserve">. Taken collectively, research here suggests potential mediating mechanisms between inflammatory responses and suicidal behavior may in fact stem from </w:t>
      </w:r>
      <w:r w:rsidR="0025738D" w:rsidRPr="003C6E10">
        <w:rPr>
          <w:szCs w:val="24"/>
        </w:rPr>
        <w:t xml:space="preserve">the </w:t>
      </w:r>
      <w:r w:rsidRPr="003C6E10">
        <w:rPr>
          <w:szCs w:val="24"/>
        </w:rPr>
        <w:t>effects in serotonin</w:t>
      </w:r>
      <w:r w:rsidR="002205A0" w:rsidRPr="003C6E10">
        <w:rPr>
          <w:szCs w:val="24"/>
        </w:rPr>
        <w:t xml:space="preserve"> </w:t>
      </w:r>
      <w:r w:rsidRPr="003C6E10">
        <w:rPr>
          <w:szCs w:val="24"/>
        </w:rPr>
        <w:t>levels. Further study is needed to distinguish the strength of such effects as well as additional mechanisms in which the inflammation-suicide relationship is influenced</w:t>
      </w:r>
      <w:r w:rsidR="002205A0" w:rsidRPr="003C6E10">
        <w:rPr>
          <w:szCs w:val="24"/>
        </w:rPr>
        <w:t>.</w:t>
      </w:r>
    </w:p>
    <w:p w14:paraId="6197471A" w14:textId="6E4BD2BE" w:rsidR="00543F46" w:rsidRPr="003C6E10" w:rsidRDefault="00543F46" w:rsidP="00F85FED">
      <w:pPr>
        <w:spacing w:line="480" w:lineRule="auto"/>
        <w:ind w:firstLineChars="50" w:firstLine="120"/>
        <w:contextualSpacing/>
        <w:rPr>
          <w:i/>
          <w:szCs w:val="24"/>
        </w:rPr>
      </w:pPr>
      <w:r w:rsidRPr="003C6E10">
        <w:rPr>
          <w:i/>
          <w:szCs w:val="24"/>
        </w:rPr>
        <w:t xml:space="preserve">HPA </w:t>
      </w:r>
      <w:r w:rsidR="00723A4B">
        <w:rPr>
          <w:i/>
          <w:szCs w:val="24"/>
        </w:rPr>
        <w:t>A</w:t>
      </w:r>
      <w:r w:rsidRPr="003C6E10">
        <w:rPr>
          <w:i/>
          <w:szCs w:val="24"/>
        </w:rPr>
        <w:t>xis</w:t>
      </w:r>
    </w:p>
    <w:p w14:paraId="011E5CE1" w14:textId="4B46AFC8" w:rsidR="006D2588" w:rsidRPr="003C6E10" w:rsidRDefault="006D2588" w:rsidP="00F85FED">
      <w:pPr>
        <w:spacing w:line="480" w:lineRule="auto"/>
        <w:ind w:firstLineChars="100" w:firstLine="240"/>
        <w:contextualSpacing/>
        <w:rPr>
          <w:szCs w:val="24"/>
        </w:rPr>
      </w:pPr>
      <w:r w:rsidRPr="003C6E10">
        <w:rPr>
          <w:szCs w:val="24"/>
        </w:rPr>
        <w:t xml:space="preserve">IFN-α treatments </w:t>
      </w:r>
      <w:r w:rsidR="00323A6A" w:rsidRPr="003C6E10">
        <w:rPr>
          <w:szCs w:val="24"/>
        </w:rPr>
        <w:t xml:space="preserve">have demonstrated to </w:t>
      </w:r>
      <w:r w:rsidRPr="003C6E10">
        <w:rPr>
          <w:szCs w:val="24"/>
        </w:rPr>
        <w:t>activate the HPA axis by increasing the level of cortisol and adrenocorticotropic hormone levels. Such forms of HPA axis activation are associated with the onset of depressive symptoms compared to those who did not receive treatment</w:t>
      </w:r>
      <w:r w:rsidR="00723A4B" w:rsidRPr="003C6E10">
        <w:rPr>
          <w:noProof/>
          <w:sz w:val="20"/>
          <w:vertAlign w:val="superscript"/>
        </w:rPr>
        <w:t>65</w:t>
      </w:r>
      <w:r w:rsidRPr="003C6E10">
        <w:rPr>
          <w:szCs w:val="24"/>
        </w:rPr>
        <w:t>. In addition, a systematic review of HPA axis dysregulation in association with various pathophysiological processes including mood disorders and suicidal behaviors</w:t>
      </w:r>
      <w:r w:rsidR="00323A6A" w:rsidRPr="003C6E10">
        <w:rPr>
          <w:szCs w:val="24"/>
        </w:rPr>
        <w:t>,</w:t>
      </w:r>
      <w:r w:rsidRPr="003C6E10">
        <w:rPr>
          <w:szCs w:val="24"/>
        </w:rPr>
        <w:t xml:space="preserve"> have </w:t>
      </w:r>
      <w:r w:rsidRPr="003C6E10">
        <w:rPr>
          <w:szCs w:val="24"/>
        </w:rPr>
        <w:lastRenderedPageBreak/>
        <w:t xml:space="preserve">reported HPA axis activity to be involved in </w:t>
      </w:r>
      <w:r w:rsidR="00386725" w:rsidRPr="003C6E10">
        <w:rPr>
          <w:szCs w:val="24"/>
        </w:rPr>
        <w:t>suicide</w:t>
      </w:r>
      <w:r w:rsidRPr="003C6E10">
        <w:rPr>
          <w:szCs w:val="24"/>
        </w:rPr>
        <w:t xml:space="preserve"> risk regardless of the presence or absence of other psychiatric conditions</w:t>
      </w:r>
      <w:r w:rsidR="00723A4B" w:rsidRPr="003C6E10">
        <w:rPr>
          <w:noProof/>
          <w:szCs w:val="24"/>
          <w:vertAlign w:val="superscript"/>
        </w:rPr>
        <w:t>66</w:t>
      </w:r>
      <w:r w:rsidRPr="003C6E10">
        <w:rPr>
          <w:szCs w:val="24"/>
        </w:rPr>
        <w:t xml:space="preserve">. </w:t>
      </w:r>
    </w:p>
    <w:p w14:paraId="12B2F51F" w14:textId="13BF217A" w:rsidR="00CA50AC" w:rsidRPr="003C6E10" w:rsidRDefault="003C37C5" w:rsidP="00F85FED">
      <w:pPr>
        <w:spacing w:line="480" w:lineRule="auto"/>
        <w:ind w:firstLineChars="100" w:firstLine="240"/>
        <w:contextualSpacing/>
        <w:rPr>
          <w:szCs w:val="24"/>
        </w:rPr>
      </w:pPr>
      <w:r w:rsidRPr="003C6E10">
        <w:rPr>
          <w:szCs w:val="24"/>
        </w:rPr>
        <w:t>In contrast</w:t>
      </w:r>
      <w:r w:rsidR="00737D0C" w:rsidRPr="003C6E10">
        <w:rPr>
          <w:szCs w:val="24"/>
        </w:rPr>
        <w:t>,</w:t>
      </w:r>
      <w:r w:rsidR="00CA50AC" w:rsidRPr="003C6E10">
        <w:rPr>
          <w:szCs w:val="24"/>
        </w:rPr>
        <w:t xml:space="preserve"> cytokines have shown to activate the HPA axis, which induces a change in the levels of corticotropin-releasing hormone and cortisol that leads to detrimental effects on neurons</w:t>
      </w:r>
      <w:r w:rsidR="00723A4B" w:rsidRPr="003C6E10">
        <w:rPr>
          <w:noProof/>
          <w:sz w:val="20"/>
          <w:vertAlign w:val="superscript"/>
        </w:rPr>
        <w:t>40</w:t>
      </w:r>
      <w:r w:rsidR="00CA50AC" w:rsidRPr="003C6E10">
        <w:rPr>
          <w:szCs w:val="24"/>
        </w:rPr>
        <w:t>. In one study, administration of cytokines such as IL-1, IL-6, and TNF-α activated the HPA axis in both animals and humans</w:t>
      </w:r>
      <w:r w:rsidR="00723A4B" w:rsidRPr="003C6E10">
        <w:rPr>
          <w:noProof/>
          <w:sz w:val="20"/>
          <w:vertAlign w:val="superscript"/>
        </w:rPr>
        <w:t>67</w:t>
      </w:r>
      <w:r w:rsidR="00CA50AC" w:rsidRPr="003C6E10">
        <w:rPr>
          <w:szCs w:val="24"/>
        </w:rPr>
        <w:t xml:space="preserve">. Likewise, previous literature has described cytokines to affect the neuroendocrine function through the increase of HPA axis activity, specifically with acute cytokine administration associated with the increase in </w:t>
      </w:r>
      <w:r w:rsidR="00D72148" w:rsidRPr="00D72148">
        <w:rPr>
          <w:szCs w:val="24"/>
        </w:rPr>
        <w:t>corticotropin</w:t>
      </w:r>
      <w:r w:rsidR="00CA50AC" w:rsidRPr="003C6E10">
        <w:rPr>
          <w:szCs w:val="24"/>
        </w:rPr>
        <w:t>-releasing hormone (CRH), adrenocorticotropic hormone (ACTH), and cortisol release. All these increases have been presented in patients with depressive disorders</w:t>
      </w:r>
      <w:r w:rsidR="00723A4B" w:rsidRPr="003C6E10">
        <w:rPr>
          <w:noProof/>
          <w:szCs w:val="24"/>
          <w:vertAlign w:val="superscript"/>
        </w:rPr>
        <w:t>68</w:t>
      </w:r>
      <w:r w:rsidR="00CA50AC" w:rsidRPr="003C6E10">
        <w:rPr>
          <w:szCs w:val="24"/>
        </w:rPr>
        <w:t>.</w:t>
      </w:r>
      <w:r w:rsidR="00CA50AC" w:rsidRPr="003C6E10">
        <w:rPr>
          <w:rFonts w:eastAsiaTheme="minorEastAsia"/>
          <w:szCs w:val="24"/>
          <w:lang w:eastAsia="ko-KR"/>
        </w:rPr>
        <w:t xml:space="preserve"> Henceforth, this demonstrates cytokines activating </w:t>
      </w:r>
      <w:r w:rsidR="00CA50AC" w:rsidRPr="003C6E10">
        <w:rPr>
          <w:szCs w:val="24"/>
        </w:rPr>
        <w:t xml:space="preserve">HPA axis </w:t>
      </w:r>
      <w:r w:rsidR="002320F5" w:rsidRPr="003C6E10">
        <w:rPr>
          <w:szCs w:val="24"/>
        </w:rPr>
        <w:t>and</w:t>
      </w:r>
      <w:r w:rsidR="00CA50AC" w:rsidRPr="003C6E10">
        <w:rPr>
          <w:szCs w:val="24"/>
        </w:rPr>
        <w:t xml:space="preserve"> its </w:t>
      </w:r>
      <w:r w:rsidR="002320F5" w:rsidRPr="003C6E10">
        <w:rPr>
          <w:szCs w:val="24"/>
        </w:rPr>
        <w:t>relevance to</w:t>
      </w:r>
      <w:r w:rsidR="00CA50AC" w:rsidRPr="003C6E10">
        <w:rPr>
          <w:szCs w:val="24"/>
        </w:rPr>
        <w:t xml:space="preserve"> one’s suicidality.</w:t>
      </w:r>
    </w:p>
    <w:p w14:paraId="27F2FE2B" w14:textId="5F6388F8" w:rsidR="00543F46" w:rsidRPr="003C6E10" w:rsidRDefault="00543F46" w:rsidP="00F85FED">
      <w:pPr>
        <w:pStyle w:val="MDPI21heading1"/>
        <w:spacing w:line="480" w:lineRule="auto"/>
        <w:jc w:val="both"/>
        <w:rPr>
          <w:rFonts w:ascii="Times New Roman" w:hAnsi="Times New Roman"/>
          <w:sz w:val="24"/>
          <w:szCs w:val="24"/>
        </w:rPr>
      </w:pPr>
      <w:r w:rsidRPr="003C6E10">
        <w:rPr>
          <w:rFonts w:ascii="Times New Roman" w:hAnsi="Times New Roman"/>
          <w:sz w:val="24"/>
          <w:szCs w:val="24"/>
        </w:rPr>
        <w:t xml:space="preserve">Infection and </w:t>
      </w:r>
      <w:r w:rsidR="00106B3A">
        <w:rPr>
          <w:rFonts w:ascii="Times New Roman" w:hAnsi="Times New Roman"/>
          <w:sz w:val="24"/>
          <w:szCs w:val="24"/>
        </w:rPr>
        <w:t>S</w:t>
      </w:r>
      <w:r w:rsidRPr="003C6E10">
        <w:rPr>
          <w:rFonts w:ascii="Times New Roman" w:hAnsi="Times New Roman"/>
          <w:sz w:val="24"/>
          <w:szCs w:val="24"/>
        </w:rPr>
        <w:t>uicide</w:t>
      </w:r>
    </w:p>
    <w:p w14:paraId="300D7A4F" w14:textId="0E2DBA83" w:rsidR="00543F46" w:rsidRPr="003C6E10" w:rsidRDefault="00543F46" w:rsidP="00F85FED">
      <w:pPr>
        <w:spacing w:line="480" w:lineRule="auto"/>
        <w:ind w:firstLineChars="100" w:firstLine="240"/>
        <w:rPr>
          <w:szCs w:val="24"/>
        </w:rPr>
      </w:pPr>
      <w:r w:rsidRPr="003C6E10">
        <w:rPr>
          <w:szCs w:val="24"/>
        </w:rPr>
        <w:t>Infection induce</w:t>
      </w:r>
      <w:r w:rsidR="003A2CE4" w:rsidRPr="003C6E10">
        <w:rPr>
          <w:szCs w:val="24"/>
        </w:rPr>
        <w:t>d</w:t>
      </w:r>
      <w:r w:rsidRPr="003C6E10">
        <w:rPr>
          <w:szCs w:val="24"/>
        </w:rPr>
        <w:t xml:space="preserve"> inflammation</w:t>
      </w:r>
      <w:r w:rsidR="00F12CB2" w:rsidRPr="003C6E10">
        <w:rPr>
          <w:szCs w:val="24"/>
        </w:rPr>
        <w:t>s</w:t>
      </w:r>
      <w:r w:rsidRPr="003C6E10">
        <w:rPr>
          <w:szCs w:val="24"/>
        </w:rPr>
        <w:t xml:space="preserve"> may</w:t>
      </w:r>
      <w:r w:rsidR="00F12CB2" w:rsidRPr="003C6E10">
        <w:rPr>
          <w:szCs w:val="24"/>
        </w:rPr>
        <w:t xml:space="preserve"> also</w:t>
      </w:r>
      <w:r w:rsidRPr="003C6E10">
        <w:rPr>
          <w:szCs w:val="24"/>
        </w:rPr>
        <w:t xml:space="preserve"> indirectly lead to </w:t>
      </w:r>
      <w:r w:rsidR="00386725" w:rsidRPr="003C6E10">
        <w:rPr>
          <w:szCs w:val="24"/>
        </w:rPr>
        <w:t>suicidality</w:t>
      </w:r>
      <w:r w:rsidRPr="003C6E10">
        <w:rPr>
          <w:szCs w:val="24"/>
        </w:rPr>
        <w:t>. These infections can affect the brain directly or reach the brain through peripheral inflammation that generate molecular mediators like cytokines.</w:t>
      </w:r>
    </w:p>
    <w:p w14:paraId="1019F581" w14:textId="2C0F5AC2" w:rsidR="00543F46" w:rsidRPr="003C6E10" w:rsidRDefault="00543F46" w:rsidP="00F85FED">
      <w:pPr>
        <w:spacing w:line="480" w:lineRule="auto"/>
        <w:ind w:firstLineChars="100" w:firstLine="240"/>
        <w:contextualSpacing/>
        <w:rPr>
          <w:szCs w:val="24"/>
        </w:rPr>
      </w:pPr>
      <w:r w:rsidRPr="003C6E10">
        <w:rPr>
          <w:szCs w:val="24"/>
        </w:rPr>
        <w:t>Compared to the general population, patients with chronic hepatitis C virus infection showed a higher prevalence of depression and suicide risk</w:t>
      </w:r>
      <w:r w:rsidR="00723A4B" w:rsidRPr="003C6E10">
        <w:rPr>
          <w:noProof/>
          <w:sz w:val="20"/>
          <w:vertAlign w:val="superscript"/>
        </w:rPr>
        <w:t>69</w:t>
      </w:r>
      <w:r w:rsidRPr="003C6E10">
        <w:rPr>
          <w:szCs w:val="24"/>
        </w:rPr>
        <w:t xml:space="preserve">. A study by Okusaga </w:t>
      </w:r>
      <w:r w:rsidRPr="00413689">
        <w:rPr>
          <w:szCs w:val="24"/>
          <w:highlight w:val="yellow"/>
        </w:rPr>
        <w:t>et al</w:t>
      </w:r>
      <w:r w:rsidR="00413689" w:rsidRPr="003C6E10">
        <w:rPr>
          <w:noProof/>
          <w:sz w:val="20"/>
          <w:vertAlign w:val="superscript"/>
        </w:rPr>
        <w:t>70</w:t>
      </w:r>
      <w:r w:rsidRPr="003C6E10">
        <w:rPr>
          <w:szCs w:val="24"/>
        </w:rPr>
        <w:t xml:space="preserve"> showed that seropositivity for influenza A, B, and coronaviruses was related to a history of mood disorders. Also, seropositivity for influenza B was higher in patients with a history of attempted suicide. </w:t>
      </w:r>
    </w:p>
    <w:p w14:paraId="4EEC104F" w14:textId="0ABAE71E" w:rsidR="00543F46" w:rsidRPr="003C6E10" w:rsidRDefault="00543F46" w:rsidP="00F85FED">
      <w:pPr>
        <w:spacing w:line="480" w:lineRule="auto"/>
        <w:ind w:firstLineChars="100" w:firstLine="240"/>
        <w:contextualSpacing/>
        <w:rPr>
          <w:szCs w:val="24"/>
        </w:rPr>
      </w:pPr>
      <w:r w:rsidRPr="003C6E10">
        <w:rPr>
          <w:szCs w:val="24"/>
        </w:rPr>
        <w:lastRenderedPageBreak/>
        <w:t xml:space="preserve">Lyme and associated diseases (LAD) are another infection that are linked to </w:t>
      </w:r>
      <w:r w:rsidR="00386725" w:rsidRPr="003C6E10">
        <w:rPr>
          <w:szCs w:val="24"/>
        </w:rPr>
        <w:t xml:space="preserve">suicidality </w:t>
      </w:r>
      <w:r w:rsidRPr="003C6E10">
        <w:rPr>
          <w:szCs w:val="24"/>
        </w:rPr>
        <w:t>and combined suicidal and homicidal tendencies in individuals after being infected</w:t>
      </w:r>
      <w:r w:rsidR="00723A4B" w:rsidRPr="003C6E10">
        <w:rPr>
          <w:noProof/>
          <w:sz w:val="20"/>
          <w:vertAlign w:val="superscript"/>
        </w:rPr>
        <w:t>71</w:t>
      </w:r>
      <w:r w:rsidRPr="003C6E10">
        <w:rPr>
          <w:szCs w:val="24"/>
        </w:rPr>
        <w:t xml:space="preserve">. It was found that chronic infections of </w:t>
      </w:r>
      <w:r w:rsidRPr="003C6E10">
        <w:rPr>
          <w:i/>
          <w:iCs/>
          <w:szCs w:val="24"/>
        </w:rPr>
        <w:t>Borrelia burgdorferi</w:t>
      </w:r>
      <w:r w:rsidRPr="003C6E10">
        <w:rPr>
          <w:szCs w:val="24"/>
        </w:rPr>
        <w:t xml:space="preserve"> showed increased quinolinic acid in cerebrospinal fluid</w:t>
      </w:r>
      <w:r w:rsidR="00723A4B" w:rsidRPr="003C6E10">
        <w:rPr>
          <w:noProof/>
          <w:sz w:val="20"/>
          <w:vertAlign w:val="superscript"/>
        </w:rPr>
        <w:t>72</w:t>
      </w:r>
      <w:r w:rsidRPr="003C6E10">
        <w:rPr>
          <w:szCs w:val="24"/>
        </w:rPr>
        <w:t xml:space="preserve">. </w:t>
      </w:r>
    </w:p>
    <w:p w14:paraId="513A7440" w14:textId="5F0EC1B4" w:rsidR="00543F46" w:rsidRPr="003C6E10" w:rsidRDefault="00543F46" w:rsidP="00F85FED">
      <w:pPr>
        <w:spacing w:line="480" w:lineRule="auto"/>
        <w:ind w:firstLineChars="100" w:firstLine="240"/>
        <w:contextualSpacing/>
        <w:rPr>
          <w:szCs w:val="24"/>
        </w:rPr>
      </w:pPr>
      <w:r w:rsidRPr="003C6E10">
        <w:rPr>
          <w:szCs w:val="24"/>
        </w:rPr>
        <w:t xml:space="preserve">The risk for </w:t>
      </w:r>
      <w:r w:rsidR="00386725" w:rsidRPr="003C6E10">
        <w:rPr>
          <w:szCs w:val="24"/>
        </w:rPr>
        <w:t>suicidality</w:t>
      </w:r>
      <w:r w:rsidRPr="003C6E10">
        <w:rPr>
          <w:szCs w:val="24"/>
        </w:rPr>
        <w:t xml:space="preserve"> was increased in human immunodeficiency virus (HIV) infection, and according to the study by Serafini </w:t>
      </w:r>
      <w:r w:rsidRPr="00413689">
        <w:rPr>
          <w:szCs w:val="24"/>
          <w:highlight w:val="yellow"/>
        </w:rPr>
        <w:t>et al</w:t>
      </w:r>
      <w:r w:rsidR="00413689" w:rsidRPr="003C6E10">
        <w:rPr>
          <w:noProof/>
          <w:sz w:val="20"/>
          <w:vertAlign w:val="superscript"/>
        </w:rPr>
        <w:t>73</w:t>
      </w:r>
      <w:r w:rsidRPr="003C6E10">
        <w:rPr>
          <w:szCs w:val="24"/>
        </w:rPr>
        <w:t xml:space="preserve">, HIV patients’ prevalence of MDD, suicidal ideation, and suicide attempts ranged from 14.0% to 27.2%, 13.6% to 31%, and 3.9% to 33% respectively. In addition, individuals with HIV </w:t>
      </w:r>
      <w:r w:rsidR="009A7F6C" w:rsidRPr="003C6E10">
        <w:rPr>
          <w:szCs w:val="24"/>
        </w:rPr>
        <w:t>have</w:t>
      </w:r>
      <w:r w:rsidRPr="003C6E10">
        <w:rPr>
          <w:szCs w:val="24"/>
        </w:rPr>
        <w:t xml:space="preserve"> reported a consistent association</w:t>
      </w:r>
      <w:r w:rsidRPr="003C6E10">
        <w:rPr>
          <w:rFonts w:eastAsiaTheme="minorEastAsia"/>
          <w:szCs w:val="24"/>
          <w:lang w:eastAsia="ko-KR"/>
        </w:rPr>
        <w:t xml:space="preserve"> </w:t>
      </w:r>
      <w:r w:rsidRPr="003C6E10">
        <w:rPr>
          <w:szCs w:val="24"/>
        </w:rPr>
        <w:t>between MDD, suicidal ideation, and</w:t>
      </w:r>
      <w:r w:rsidRPr="003C6E10">
        <w:rPr>
          <w:rFonts w:eastAsiaTheme="minorEastAsia"/>
          <w:szCs w:val="24"/>
          <w:lang w:eastAsia="ko-KR"/>
        </w:rPr>
        <w:t xml:space="preserve"> </w:t>
      </w:r>
      <w:r w:rsidRPr="003C6E10">
        <w:rPr>
          <w:szCs w:val="24"/>
        </w:rPr>
        <w:t xml:space="preserve">poor quality of life. </w:t>
      </w:r>
      <w:r w:rsidRPr="003C6E10">
        <w:rPr>
          <w:i/>
          <w:szCs w:val="24"/>
        </w:rPr>
        <w:t>Toxoplasma gondii</w:t>
      </w:r>
      <w:r w:rsidRPr="003C6E10">
        <w:rPr>
          <w:szCs w:val="24"/>
        </w:rPr>
        <w:t xml:space="preserve"> is another pathogen studied in this field, and its latent infection was identified to be a risk factor of suicides and suicide attempts</w:t>
      </w:r>
      <w:r w:rsidR="00723A4B" w:rsidRPr="003C6E10">
        <w:rPr>
          <w:noProof/>
          <w:sz w:val="20"/>
          <w:vertAlign w:val="superscript"/>
        </w:rPr>
        <w:t>74</w:t>
      </w:r>
      <w:r w:rsidRPr="003C6E10">
        <w:rPr>
          <w:szCs w:val="24"/>
        </w:rPr>
        <w:t>. It is known that</w:t>
      </w:r>
      <w:r w:rsidRPr="003C6E10">
        <w:rPr>
          <w:i/>
          <w:szCs w:val="24"/>
        </w:rPr>
        <w:t xml:space="preserve"> T. gondii </w:t>
      </w:r>
      <w:r w:rsidRPr="003C6E10">
        <w:rPr>
          <w:szCs w:val="24"/>
        </w:rPr>
        <w:t>alters the glutamatergic and dopaminergic neurotransmission by increasing the levels of cytokines, QUIN, and dopamine, which may lead to suicidal behavior</w:t>
      </w:r>
      <w:r w:rsidR="00723A4B" w:rsidRPr="003C6E10">
        <w:rPr>
          <w:noProof/>
          <w:sz w:val="20"/>
          <w:vertAlign w:val="superscript"/>
        </w:rPr>
        <w:t>8</w:t>
      </w:r>
      <w:r w:rsidRPr="003C6E10">
        <w:rPr>
          <w:szCs w:val="24"/>
        </w:rPr>
        <w:t xml:space="preserve">. These kinds of neurotropic pathogens may induce severe psychiatric symptoms, as they can directly invade the brain and induce neuroinflammation. </w:t>
      </w:r>
    </w:p>
    <w:p w14:paraId="4A8A9504" w14:textId="3EF1D45C" w:rsidR="00543F46" w:rsidRPr="003C6E10" w:rsidRDefault="00543F46" w:rsidP="00F85FED">
      <w:pPr>
        <w:spacing w:line="480" w:lineRule="auto"/>
        <w:ind w:firstLineChars="100" w:firstLine="240"/>
        <w:rPr>
          <w:bCs/>
          <w:noProof/>
          <w:szCs w:val="24"/>
        </w:rPr>
      </w:pPr>
      <w:r w:rsidRPr="003C6E10">
        <w:rPr>
          <w:szCs w:val="24"/>
        </w:rPr>
        <w:t xml:space="preserve">According to the cohort study by Lund-Sørensen </w:t>
      </w:r>
      <w:r w:rsidRPr="00413689">
        <w:rPr>
          <w:szCs w:val="24"/>
          <w:highlight w:val="yellow"/>
        </w:rPr>
        <w:t>et al</w:t>
      </w:r>
      <w:r w:rsidR="00413689" w:rsidRPr="003C6E10">
        <w:rPr>
          <w:noProof/>
          <w:sz w:val="20"/>
          <w:vertAlign w:val="superscript"/>
        </w:rPr>
        <w:t>75</w:t>
      </w:r>
      <w:r w:rsidRPr="003C6E10">
        <w:rPr>
          <w:szCs w:val="24"/>
        </w:rPr>
        <w:t>, people who have had hospital contact due to infections had a more than 40% increased risk of death by suicide, even after controlling for the psychological effect of being hospitalized. Also, both peripheral and central nervous system infections were found to be related to an increased suicide risk. Among those infections, the highest risk was found in patients with hepatitis infection and HIV infection or acquired immune deficiency syndrome.</w:t>
      </w:r>
    </w:p>
    <w:p w14:paraId="41838528" w14:textId="7BFF2B56" w:rsidR="00543F46" w:rsidRPr="003C6E10" w:rsidRDefault="00543F46" w:rsidP="00F85FED">
      <w:pPr>
        <w:pStyle w:val="MDPI21heading1"/>
        <w:spacing w:line="480" w:lineRule="auto"/>
        <w:jc w:val="both"/>
        <w:rPr>
          <w:rFonts w:ascii="Times New Roman" w:hAnsi="Times New Roman"/>
          <w:sz w:val="24"/>
          <w:szCs w:val="24"/>
        </w:rPr>
      </w:pPr>
      <w:r w:rsidRPr="003C6E10">
        <w:rPr>
          <w:rFonts w:ascii="Times New Roman" w:hAnsi="Times New Roman"/>
          <w:sz w:val="24"/>
          <w:szCs w:val="24"/>
        </w:rPr>
        <w:lastRenderedPageBreak/>
        <w:t xml:space="preserve">COVID-19 </w:t>
      </w:r>
      <w:r w:rsidR="00106B3A">
        <w:rPr>
          <w:rFonts w:ascii="Times New Roman" w:hAnsi="Times New Roman"/>
          <w:sz w:val="24"/>
          <w:szCs w:val="24"/>
        </w:rPr>
        <w:t>I</w:t>
      </w:r>
      <w:r w:rsidRPr="003C6E10">
        <w:rPr>
          <w:rFonts w:ascii="Times New Roman" w:hAnsi="Times New Roman"/>
          <w:sz w:val="24"/>
          <w:szCs w:val="24"/>
        </w:rPr>
        <w:t xml:space="preserve">nfection </w:t>
      </w:r>
      <w:r w:rsidR="00106B3A">
        <w:rPr>
          <w:rFonts w:ascii="Times New Roman" w:hAnsi="Times New Roman"/>
          <w:sz w:val="24"/>
          <w:szCs w:val="24"/>
        </w:rPr>
        <w:t>A</w:t>
      </w:r>
      <w:r w:rsidRPr="003C6E10">
        <w:rPr>
          <w:rFonts w:ascii="Times New Roman" w:hAnsi="Times New Roman"/>
          <w:sz w:val="24"/>
          <w:szCs w:val="24"/>
        </w:rPr>
        <w:t xml:space="preserve">ssociated with </w:t>
      </w:r>
      <w:r w:rsidR="00106B3A">
        <w:rPr>
          <w:rFonts w:ascii="Times New Roman" w:hAnsi="Times New Roman"/>
          <w:sz w:val="24"/>
          <w:szCs w:val="24"/>
        </w:rPr>
        <w:t>S</w:t>
      </w:r>
      <w:r w:rsidRPr="003C6E10">
        <w:rPr>
          <w:rFonts w:ascii="Times New Roman" w:hAnsi="Times New Roman"/>
          <w:sz w:val="24"/>
          <w:szCs w:val="24"/>
        </w:rPr>
        <w:t>uicide</w:t>
      </w:r>
    </w:p>
    <w:p w14:paraId="6D982D0A" w14:textId="3CCD8C35" w:rsidR="00543F46" w:rsidRPr="003C6E10" w:rsidRDefault="00543F46" w:rsidP="00F85FED">
      <w:pPr>
        <w:spacing w:line="480" w:lineRule="auto"/>
        <w:ind w:firstLineChars="100" w:firstLine="240"/>
        <w:rPr>
          <w:szCs w:val="24"/>
        </w:rPr>
      </w:pPr>
      <w:r w:rsidRPr="003C6E10">
        <w:rPr>
          <w:szCs w:val="24"/>
        </w:rPr>
        <w:t>Our attention now turns to COVID-19 infection and suicide. We posit here the COVID-19 pandemic can induce suicidal behavior through the interaction of many different factors</w:t>
      </w:r>
      <w:r w:rsidR="003B325A">
        <w:rPr>
          <w:szCs w:val="24"/>
        </w:rPr>
        <w:t xml:space="preserve"> </w:t>
      </w:r>
      <w:r w:rsidRPr="003C6E10">
        <w:rPr>
          <w:szCs w:val="24"/>
        </w:rPr>
        <w:t>(Figure 1</w:t>
      </w:r>
      <w:r w:rsidRPr="003B325A">
        <w:rPr>
          <w:szCs w:val="24"/>
          <w:highlight w:val="yellow"/>
        </w:rPr>
        <w:t>)</w:t>
      </w:r>
      <w:r w:rsidR="003B325A" w:rsidRPr="003B325A">
        <w:rPr>
          <w:szCs w:val="24"/>
          <w:highlight w:val="yellow"/>
        </w:rPr>
        <w:t>.</w:t>
      </w:r>
      <w:r w:rsidRPr="003C6E10">
        <w:rPr>
          <w:szCs w:val="24"/>
        </w:rPr>
        <w:t xml:space="preserve"> </w:t>
      </w:r>
    </w:p>
    <w:p w14:paraId="0204CCDA" w14:textId="10E8FE01" w:rsidR="00543F46" w:rsidRPr="003C6E10" w:rsidRDefault="00543F46" w:rsidP="00F85FED">
      <w:pPr>
        <w:spacing w:line="480" w:lineRule="auto"/>
        <w:ind w:firstLineChars="100" w:firstLine="240"/>
        <w:contextualSpacing/>
        <w:rPr>
          <w:szCs w:val="24"/>
        </w:rPr>
      </w:pPr>
      <w:r w:rsidRPr="003C6E10">
        <w:rPr>
          <w:szCs w:val="24"/>
        </w:rPr>
        <w:t>Considering infection factors, immune cell infection and the recruitment of uninfected cells can induce massive inflammatory responses. In viral infections, host response and clearance generally depend on type I interferon (T1IFN) expression. Once the viral infection is sensed by pattern associated molecular patterns (PAMPs), expression of T1IFN, and pro-inflammatory cytokines (IL-1, IL-6, TNF-α through NFκB) increases</w:t>
      </w:r>
      <w:r w:rsidR="00723A4B" w:rsidRPr="003C6E10">
        <w:rPr>
          <w:noProof/>
          <w:sz w:val="20"/>
          <w:vertAlign w:val="superscript"/>
        </w:rPr>
        <w:t>76</w:t>
      </w:r>
      <w:r w:rsidRPr="003C6E10">
        <w:rPr>
          <w:szCs w:val="24"/>
        </w:rPr>
        <w:t>. Indeed, patients infected with COVID-19 have high amounts of IL-1</w:t>
      </w:r>
      <w:r w:rsidRPr="003C6E10">
        <w:rPr>
          <w:bCs/>
          <w:szCs w:val="24"/>
        </w:rPr>
        <w:t>β</w:t>
      </w:r>
      <w:r w:rsidRPr="003C6E10">
        <w:rPr>
          <w:szCs w:val="24"/>
        </w:rPr>
        <w:t>, IFN-γ, IP10, and MCP1, which may lead to Th1 cell response activation</w:t>
      </w:r>
      <w:r w:rsidR="00723A4B" w:rsidRPr="003C6E10">
        <w:rPr>
          <w:noProof/>
          <w:sz w:val="20"/>
          <w:vertAlign w:val="superscript"/>
        </w:rPr>
        <w:t>9</w:t>
      </w:r>
      <w:r w:rsidRPr="003C6E10">
        <w:rPr>
          <w:szCs w:val="24"/>
        </w:rPr>
        <w:t>. Also, Th2 cytokines (e.g., IL-4 and IL-10) were increased in COVID-19 infection</w:t>
      </w:r>
      <w:r w:rsidR="001529C1" w:rsidRPr="003C6E10">
        <w:rPr>
          <w:szCs w:val="24"/>
          <w:vertAlign w:val="superscript"/>
        </w:rPr>
        <w:t xml:space="preserve"> </w:t>
      </w:r>
      <w:r w:rsidR="00723A4B" w:rsidRPr="003C6E10">
        <w:rPr>
          <w:noProof/>
          <w:sz w:val="20"/>
          <w:vertAlign w:val="superscript"/>
        </w:rPr>
        <w:t>9</w:t>
      </w:r>
      <w:r w:rsidRPr="003C6E10">
        <w:rPr>
          <w:szCs w:val="24"/>
        </w:rPr>
        <w:t>. Like other infections, an increase in these molecular mediators can affect the brain via the mechanisms mentioned above.</w:t>
      </w:r>
    </w:p>
    <w:p w14:paraId="0D33702F" w14:textId="642083B7" w:rsidR="00543F46" w:rsidRPr="003C6E10" w:rsidRDefault="00543F46" w:rsidP="00F85FED">
      <w:pPr>
        <w:spacing w:line="480" w:lineRule="auto"/>
        <w:ind w:firstLineChars="100" w:firstLine="240"/>
        <w:contextualSpacing/>
        <w:rPr>
          <w:szCs w:val="24"/>
        </w:rPr>
      </w:pPr>
      <w:r w:rsidRPr="003C6E10">
        <w:rPr>
          <w:szCs w:val="24"/>
        </w:rPr>
        <w:t>In addition, the neurotropic potential of COVID-19 has been proposed. A recent review reported that 25% of COVID-19 patients show neurological manifestations</w:t>
      </w:r>
      <w:r w:rsidR="00723A4B" w:rsidRPr="003C6E10">
        <w:rPr>
          <w:noProof/>
          <w:sz w:val="20"/>
          <w:vertAlign w:val="superscript"/>
        </w:rPr>
        <w:t>77</w:t>
      </w:r>
      <w:r w:rsidRPr="003C6E10">
        <w:rPr>
          <w:szCs w:val="24"/>
        </w:rPr>
        <w:t>. In COVID-19 patients, neurological conditions like headache, dizziness, ataxia, seizures, and others have been observed</w:t>
      </w:r>
      <w:r w:rsidR="00723A4B" w:rsidRPr="003C6E10">
        <w:rPr>
          <w:noProof/>
          <w:sz w:val="20"/>
          <w:vertAlign w:val="superscript"/>
        </w:rPr>
        <w:t>78</w:t>
      </w:r>
      <w:r w:rsidRPr="003C6E10">
        <w:rPr>
          <w:szCs w:val="24"/>
        </w:rPr>
        <w:t>. These neurological symptoms seem to develop in more severe patients than in mild or moderate patients</w:t>
      </w:r>
      <w:r w:rsidR="00723A4B" w:rsidRPr="003C6E10">
        <w:rPr>
          <w:noProof/>
          <w:sz w:val="20"/>
          <w:vertAlign w:val="superscript"/>
        </w:rPr>
        <w:t>79</w:t>
      </w:r>
      <w:r w:rsidRPr="003C6E10">
        <w:rPr>
          <w:szCs w:val="24"/>
        </w:rPr>
        <w:t>. Also, brain tissue edema and partial neuronal degeneration were reported based on autopsy</w:t>
      </w:r>
      <w:r w:rsidR="00723A4B" w:rsidRPr="003C6E10">
        <w:rPr>
          <w:noProof/>
          <w:sz w:val="20"/>
          <w:vertAlign w:val="superscript"/>
        </w:rPr>
        <w:t>80</w:t>
      </w:r>
      <w:r w:rsidRPr="003C6E10">
        <w:rPr>
          <w:szCs w:val="24"/>
        </w:rPr>
        <w:t xml:space="preserve">. </w:t>
      </w:r>
    </w:p>
    <w:p w14:paraId="09637C45" w14:textId="7FF1878C" w:rsidR="00543F46" w:rsidRPr="003C6E10" w:rsidRDefault="00543F46" w:rsidP="00F85FED">
      <w:pPr>
        <w:spacing w:line="480" w:lineRule="auto"/>
        <w:ind w:firstLineChars="100" w:firstLine="240"/>
        <w:contextualSpacing/>
        <w:rPr>
          <w:bCs/>
          <w:szCs w:val="24"/>
        </w:rPr>
      </w:pPr>
      <w:r w:rsidRPr="003C6E10">
        <w:rPr>
          <w:szCs w:val="24"/>
        </w:rPr>
        <w:t xml:space="preserve">For these reasons, COVID-19 has the possibility of inducing suicidal behavior through inflammatory mechanisms. Indeed, a case of suicide in COVID-19 patients without any </w:t>
      </w:r>
      <w:r w:rsidRPr="003C6E10">
        <w:rPr>
          <w:bCs/>
          <w:szCs w:val="24"/>
        </w:rPr>
        <w:lastRenderedPageBreak/>
        <w:t>respiratory symptoms or fever has been reported</w:t>
      </w:r>
      <w:r w:rsidR="00723A4B" w:rsidRPr="003C6E10">
        <w:rPr>
          <w:bCs/>
          <w:noProof/>
          <w:sz w:val="20"/>
          <w:vertAlign w:val="superscript"/>
        </w:rPr>
        <w:t>32</w:t>
      </w:r>
      <w:r w:rsidRPr="003C6E10">
        <w:rPr>
          <w:bCs/>
          <w:szCs w:val="24"/>
        </w:rPr>
        <w:t>. However, whether COVID-19 can directly invade the brain is still unclear, as COVID-19 patients with neurological symptoms showed low or undetectable COVID-19 RNA levels in CSF</w:t>
      </w:r>
      <w:r w:rsidR="00723A4B" w:rsidRPr="003C6E10">
        <w:rPr>
          <w:bCs/>
          <w:noProof/>
          <w:sz w:val="20"/>
          <w:vertAlign w:val="superscript"/>
        </w:rPr>
        <w:t>81</w:t>
      </w:r>
      <w:r w:rsidRPr="003C6E10">
        <w:rPr>
          <w:bCs/>
          <w:szCs w:val="24"/>
        </w:rPr>
        <w:t xml:space="preserve">. Moreover, </w:t>
      </w:r>
      <w:r w:rsidR="007E16DF" w:rsidRPr="003C6E10">
        <w:rPr>
          <w:bCs/>
          <w:szCs w:val="24"/>
        </w:rPr>
        <w:t xml:space="preserve">the </w:t>
      </w:r>
      <w:r w:rsidRPr="003C6E10">
        <w:rPr>
          <w:bCs/>
          <w:szCs w:val="24"/>
        </w:rPr>
        <w:t xml:space="preserve">meta-analysis data about cytokines and COVID-19 infection study does not always exhibit the same tendency (Table </w:t>
      </w:r>
      <w:r w:rsidR="009117DC" w:rsidRPr="009117DC">
        <w:rPr>
          <w:bCs/>
          <w:szCs w:val="24"/>
        </w:rPr>
        <w:t>I</w:t>
      </w:r>
      <w:r w:rsidRPr="003C6E10">
        <w:rPr>
          <w:bCs/>
          <w:szCs w:val="24"/>
        </w:rPr>
        <w:t xml:space="preserve">). </w:t>
      </w:r>
      <w:r w:rsidR="00154C9B" w:rsidRPr="003C6E10">
        <w:rPr>
          <w:bCs/>
          <w:szCs w:val="24"/>
        </w:rPr>
        <w:t>Whilst it</w:t>
      </w:r>
      <w:r w:rsidRPr="003C6E10">
        <w:rPr>
          <w:bCs/>
          <w:szCs w:val="24"/>
        </w:rPr>
        <w:t xml:space="preserve"> has indicated </w:t>
      </w:r>
      <w:r w:rsidR="00154C9B" w:rsidRPr="003C6E10">
        <w:rPr>
          <w:bCs/>
          <w:szCs w:val="24"/>
        </w:rPr>
        <w:t xml:space="preserve">the </w:t>
      </w:r>
      <w:r w:rsidRPr="003C6E10">
        <w:rPr>
          <w:bCs/>
          <w:szCs w:val="24"/>
        </w:rPr>
        <w:t xml:space="preserve">relationships between lower IL-2 and suicidal behavior, most infections including COVID-19 showed increased IL-2 plasma level. Importantly while lower IL-4 was reported in both suicidal and non-suicidal patients compared to healthy controls, COVID-19 patients exhibited increased IL-4. Although </w:t>
      </w:r>
      <w:r w:rsidRPr="003C6E10">
        <w:rPr>
          <w:szCs w:val="24"/>
        </w:rPr>
        <w:t xml:space="preserve">IL-1β and IL-6 displayed a similar tendency, </w:t>
      </w:r>
      <w:r w:rsidRPr="003C6E10">
        <w:rPr>
          <w:bCs/>
          <w:szCs w:val="24"/>
        </w:rPr>
        <w:t xml:space="preserve">further studies concerning inflammatory </w:t>
      </w:r>
      <w:r w:rsidR="003E3A7C" w:rsidRPr="003C6E10">
        <w:rPr>
          <w:bCs/>
          <w:szCs w:val="24"/>
        </w:rPr>
        <w:t xml:space="preserve">responses </w:t>
      </w:r>
      <w:r w:rsidRPr="003C6E10">
        <w:rPr>
          <w:bCs/>
          <w:szCs w:val="24"/>
        </w:rPr>
        <w:t xml:space="preserve">of suicide itself and relationship in COVID-19 patients are now required. </w:t>
      </w:r>
      <w:r w:rsidR="007553F4" w:rsidRPr="003C6E10">
        <w:rPr>
          <w:bCs/>
          <w:szCs w:val="24"/>
        </w:rPr>
        <w:t xml:space="preserve">The neurotropic potential of COVID-19 should also be studied. </w:t>
      </w:r>
      <w:r w:rsidR="007647FD" w:rsidRPr="003C6E10">
        <w:rPr>
          <w:bCs/>
          <w:szCs w:val="24"/>
        </w:rPr>
        <w:t xml:space="preserve">Currently, there are very few studies on COVID-19 and related cytokine </w:t>
      </w:r>
      <w:r w:rsidR="007C7A18" w:rsidRPr="003C6E10">
        <w:rPr>
          <w:bCs/>
          <w:szCs w:val="24"/>
        </w:rPr>
        <w:t>aberration</w:t>
      </w:r>
      <w:r w:rsidR="007647FD" w:rsidRPr="003C6E10">
        <w:rPr>
          <w:bCs/>
          <w:szCs w:val="24"/>
        </w:rPr>
        <w:t xml:space="preserve">, and it is difficult to generalize aforementioned cytokine </w:t>
      </w:r>
      <w:r w:rsidR="007C7A18" w:rsidRPr="003C6E10">
        <w:rPr>
          <w:bCs/>
          <w:szCs w:val="24"/>
        </w:rPr>
        <w:t>alteration</w:t>
      </w:r>
      <w:r w:rsidR="007647FD" w:rsidRPr="003C6E10">
        <w:rPr>
          <w:bCs/>
          <w:szCs w:val="24"/>
        </w:rPr>
        <w:t xml:space="preserve"> in COVID-19 infection. </w:t>
      </w:r>
    </w:p>
    <w:p w14:paraId="48A30839" w14:textId="569274D1" w:rsidR="00543F46" w:rsidRPr="003C6E10" w:rsidRDefault="00543F46" w:rsidP="00F85FED">
      <w:pPr>
        <w:spacing w:line="480" w:lineRule="auto"/>
        <w:ind w:firstLineChars="100" w:firstLine="240"/>
        <w:rPr>
          <w:bCs/>
          <w:szCs w:val="24"/>
        </w:rPr>
      </w:pPr>
      <w:r w:rsidRPr="003C6E10">
        <w:rPr>
          <w:bCs/>
          <w:szCs w:val="24"/>
        </w:rPr>
        <w:t>In conclusion, COVID-19 pandemic is a worldwide problem with a rising death count and outcomes related to it merit consideration, such as suicide.</w:t>
      </w:r>
      <w:r w:rsidRPr="003C6E10">
        <w:rPr>
          <w:rFonts w:eastAsiaTheme="minorEastAsia"/>
          <w:bCs/>
          <w:szCs w:val="24"/>
          <w:lang w:eastAsia="ko-KR"/>
        </w:rPr>
        <w:t xml:space="preserve"> </w:t>
      </w:r>
      <w:r w:rsidRPr="003C6E10">
        <w:rPr>
          <w:bCs/>
          <w:szCs w:val="24"/>
        </w:rPr>
        <w:t xml:space="preserve">It can be postulated that </w:t>
      </w:r>
      <w:r w:rsidRPr="003C6E10">
        <w:rPr>
          <w:rFonts w:eastAsiaTheme="minorEastAsia"/>
          <w:bCs/>
          <w:szCs w:val="24"/>
          <w:lang w:eastAsia="ko-KR"/>
        </w:rPr>
        <w:t>kynurenine pathway, monoamine metabolism, and HPA-axis effect brain functions and induce suicidal behaviors via cytokines produced by COVID-19 infection. Though p</w:t>
      </w:r>
      <w:r w:rsidRPr="003C6E10">
        <w:rPr>
          <w:bCs/>
          <w:szCs w:val="24"/>
        </w:rPr>
        <w:t>andemic can serve as significant environmental factor contributing directly to increased suicide risk, role of inflammation by infection should not be overlooked.</w:t>
      </w:r>
    </w:p>
    <w:p w14:paraId="317F40E3" w14:textId="77777777" w:rsidR="00543F46" w:rsidRPr="003C6E10" w:rsidRDefault="00543F46" w:rsidP="009117DC">
      <w:pPr>
        <w:spacing w:line="480" w:lineRule="auto"/>
        <w:ind w:firstLineChars="50" w:firstLine="120"/>
        <w:rPr>
          <w:bCs/>
          <w:szCs w:val="24"/>
        </w:rPr>
        <w:sectPr w:rsidR="00543F46" w:rsidRPr="003C6E10" w:rsidSect="00543F46">
          <w:headerReference w:type="even" r:id="rId7"/>
          <w:headerReference w:type="default" r:id="rId8"/>
          <w:foot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pPr>
    </w:p>
    <w:p w14:paraId="79E910AA" w14:textId="72170257" w:rsidR="00543F46" w:rsidRPr="009117DC" w:rsidRDefault="00543F46" w:rsidP="009117DC">
      <w:pPr>
        <w:pStyle w:val="Caption"/>
        <w:spacing w:line="480" w:lineRule="auto"/>
        <w:contextualSpacing/>
        <w:rPr>
          <w:rFonts w:ascii="Times New Roman" w:hAnsi="Times New Roman" w:cs="Times New Roman"/>
          <w:b w:val="0"/>
          <w:bCs w:val="0"/>
        </w:rPr>
      </w:pPr>
      <w:r w:rsidRPr="009117DC">
        <w:rPr>
          <w:rFonts w:ascii="Times New Roman" w:hAnsi="Times New Roman" w:cs="Times New Roman"/>
        </w:rPr>
        <w:lastRenderedPageBreak/>
        <w:t xml:space="preserve">Table </w:t>
      </w:r>
      <w:r w:rsidR="009117DC" w:rsidRPr="009117DC">
        <w:rPr>
          <w:rFonts w:ascii="Times New Roman" w:hAnsi="Times New Roman" w:cs="Times New Roman"/>
          <w:szCs w:val="24"/>
        </w:rPr>
        <w:t>I</w:t>
      </w:r>
      <w:r w:rsidRPr="009117DC">
        <w:rPr>
          <w:rFonts w:ascii="Times New Roman" w:hAnsi="Times New Roman" w:cs="Times New Roman"/>
        </w:rPr>
        <w:t xml:space="preserve">. </w:t>
      </w:r>
      <w:r w:rsidRPr="009117DC">
        <w:rPr>
          <w:rFonts w:ascii="Times New Roman" w:hAnsi="Times New Roman" w:cs="Times New Roman"/>
          <w:b w:val="0"/>
          <w:bCs w:val="0"/>
        </w:rPr>
        <w:t>Cytokine aberrations found in people with suicidal behavior and COVID-19 infection</w:t>
      </w:r>
      <w:r w:rsidR="009117DC">
        <w:rPr>
          <w:rFonts w:ascii="Times New Roman" w:hAnsi="Times New Roman" w:cs="Times New Roman"/>
          <w:b w:val="0"/>
          <w:bCs w:val="0"/>
        </w:rPr>
        <w:t>.</w:t>
      </w:r>
    </w:p>
    <w:tbl>
      <w:tblPr>
        <w:tblStyle w:val="TableGrid"/>
        <w:tblW w:w="14560" w:type="dxa"/>
        <w:tblLook w:val="04A0" w:firstRow="1" w:lastRow="0" w:firstColumn="1" w:lastColumn="0" w:noHBand="0" w:noVBand="1"/>
      </w:tblPr>
      <w:tblGrid>
        <w:gridCol w:w="1011"/>
        <w:gridCol w:w="1248"/>
        <w:gridCol w:w="732"/>
        <w:gridCol w:w="847"/>
        <w:gridCol w:w="811"/>
        <w:gridCol w:w="2472"/>
        <w:gridCol w:w="741"/>
        <w:gridCol w:w="1318"/>
        <w:gridCol w:w="1002"/>
        <w:gridCol w:w="912"/>
        <w:gridCol w:w="811"/>
        <w:gridCol w:w="1830"/>
        <w:gridCol w:w="825"/>
      </w:tblGrid>
      <w:tr w:rsidR="00356FA4" w:rsidRPr="009117DC" w14:paraId="0D19E2D0" w14:textId="77777777" w:rsidTr="00413689">
        <w:tc>
          <w:tcPr>
            <w:tcW w:w="1011" w:type="dxa"/>
            <w:vMerge w:val="restart"/>
            <w:vAlign w:val="center"/>
          </w:tcPr>
          <w:p w14:paraId="366E7D20" w14:textId="77777777" w:rsidR="001529C1" w:rsidRPr="009117DC" w:rsidRDefault="001529C1" w:rsidP="009117DC">
            <w:pPr>
              <w:spacing w:after="160" w:line="480" w:lineRule="auto"/>
              <w:contextualSpacing/>
              <w:rPr>
                <w:sz w:val="16"/>
              </w:rPr>
            </w:pPr>
            <w:r w:rsidRPr="009117DC">
              <w:rPr>
                <w:sz w:val="16"/>
              </w:rPr>
              <w:t>Cytokines</w:t>
            </w:r>
          </w:p>
        </w:tc>
        <w:tc>
          <w:tcPr>
            <w:tcW w:w="6851" w:type="dxa"/>
            <w:gridSpan w:val="6"/>
          </w:tcPr>
          <w:p w14:paraId="47C2F4C3" w14:textId="77777777" w:rsidR="001529C1" w:rsidRPr="009117DC" w:rsidRDefault="001529C1" w:rsidP="009117DC">
            <w:pPr>
              <w:spacing w:after="160" w:line="480" w:lineRule="auto"/>
              <w:contextualSpacing/>
              <w:jc w:val="center"/>
              <w:rPr>
                <w:sz w:val="16"/>
              </w:rPr>
            </w:pPr>
            <w:r w:rsidRPr="009117DC">
              <w:rPr>
                <w:sz w:val="16"/>
              </w:rPr>
              <w:t>Meta-analysis about cytokines and suicidal behavior</w:t>
            </w:r>
          </w:p>
        </w:tc>
        <w:tc>
          <w:tcPr>
            <w:tcW w:w="6698" w:type="dxa"/>
            <w:gridSpan w:val="6"/>
          </w:tcPr>
          <w:p w14:paraId="1D34C943" w14:textId="77777777" w:rsidR="001529C1" w:rsidRPr="009117DC" w:rsidRDefault="001529C1" w:rsidP="009117DC">
            <w:pPr>
              <w:spacing w:after="160" w:line="480" w:lineRule="auto"/>
              <w:contextualSpacing/>
              <w:jc w:val="center"/>
              <w:rPr>
                <w:sz w:val="16"/>
              </w:rPr>
            </w:pPr>
            <w:r w:rsidRPr="009117DC">
              <w:rPr>
                <w:sz w:val="16"/>
              </w:rPr>
              <w:t>Studies of cytokines and COVID-19 infection</w:t>
            </w:r>
          </w:p>
        </w:tc>
      </w:tr>
      <w:tr w:rsidR="00356FA4" w:rsidRPr="009117DC" w14:paraId="659D2234" w14:textId="77777777" w:rsidTr="00413689">
        <w:tc>
          <w:tcPr>
            <w:tcW w:w="1011" w:type="dxa"/>
            <w:vMerge/>
            <w:vAlign w:val="center"/>
          </w:tcPr>
          <w:p w14:paraId="351F0660" w14:textId="77777777" w:rsidR="001529C1" w:rsidRPr="009117DC" w:rsidRDefault="001529C1" w:rsidP="009117DC">
            <w:pPr>
              <w:spacing w:line="480" w:lineRule="auto"/>
              <w:contextualSpacing/>
              <w:rPr>
                <w:sz w:val="16"/>
              </w:rPr>
            </w:pPr>
          </w:p>
        </w:tc>
        <w:tc>
          <w:tcPr>
            <w:tcW w:w="1248" w:type="dxa"/>
            <w:vAlign w:val="center"/>
          </w:tcPr>
          <w:p w14:paraId="02446F4A" w14:textId="77777777" w:rsidR="001529C1" w:rsidRPr="009117DC" w:rsidRDefault="001529C1" w:rsidP="009117DC">
            <w:pPr>
              <w:spacing w:line="480" w:lineRule="auto"/>
              <w:contextualSpacing/>
              <w:jc w:val="center"/>
              <w:rPr>
                <w:sz w:val="16"/>
              </w:rPr>
            </w:pPr>
            <w:r w:rsidRPr="009117DC">
              <w:rPr>
                <w:sz w:val="16"/>
              </w:rPr>
              <w:t>Studies</w:t>
            </w:r>
          </w:p>
        </w:tc>
        <w:tc>
          <w:tcPr>
            <w:tcW w:w="732" w:type="dxa"/>
            <w:vAlign w:val="center"/>
          </w:tcPr>
          <w:p w14:paraId="166E1844"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Study design</w:t>
            </w:r>
          </w:p>
        </w:tc>
        <w:tc>
          <w:tcPr>
            <w:tcW w:w="847" w:type="dxa"/>
            <w:vAlign w:val="center"/>
          </w:tcPr>
          <w:p w14:paraId="18A5ACE5" w14:textId="77777777" w:rsidR="001529C1" w:rsidRPr="009117DC" w:rsidRDefault="001529C1" w:rsidP="009117DC">
            <w:pPr>
              <w:spacing w:line="480" w:lineRule="auto"/>
              <w:contextualSpacing/>
              <w:jc w:val="center"/>
              <w:rPr>
                <w:sz w:val="16"/>
              </w:rPr>
            </w:pPr>
            <w:r w:rsidRPr="009117DC">
              <w:rPr>
                <w:sz w:val="16"/>
              </w:rPr>
              <w:t>Tendency</w:t>
            </w:r>
          </w:p>
        </w:tc>
        <w:tc>
          <w:tcPr>
            <w:tcW w:w="811" w:type="dxa"/>
            <w:vAlign w:val="center"/>
          </w:tcPr>
          <w:p w14:paraId="26E67C8C"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Country</w:t>
            </w:r>
          </w:p>
        </w:tc>
        <w:tc>
          <w:tcPr>
            <w:tcW w:w="2472" w:type="dxa"/>
            <w:vAlign w:val="center"/>
          </w:tcPr>
          <w:p w14:paraId="7344D8E7"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Sample size</w:t>
            </w:r>
          </w:p>
        </w:tc>
        <w:tc>
          <w:tcPr>
            <w:tcW w:w="741" w:type="dxa"/>
            <w:vAlign w:val="center"/>
          </w:tcPr>
          <w:p w14:paraId="33421226" w14:textId="77777777" w:rsidR="001529C1" w:rsidRPr="009117DC" w:rsidRDefault="001529C1" w:rsidP="009117DC">
            <w:pPr>
              <w:spacing w:line="480" w:lineRule="auto"/>
              <w:contextualSpacing/>
              <w:jc w:val="center"/>
              <w:rPr>
                <w:sz w:val="16"/>
              </w:rPr>
            </w:pPr>
            <w:r w:rsidRPr="009117DC">
              <w:rPr>
                <w:sz w:val="16"/>
              </w:rPr>
              <w:t>Sample</w:t>
            </w:r>
          </w:p>
        </w:tc>
        <w:tc>
          <w:tcPr>
            <w:tcW w:w="1318" w:type="dxa"/>
            <w:vAlign w:val="center"/>
          </w:tcPr>
          <w:p w14:paraId="08BF1BF1" w14:textId="77777777" w:rsidR="001529C1" w:rsidRPr="009117DC" w:rsidRDefault="001529C1" w:rsidP="009117DC">
            <w:pPr>
              <w:spacing w:line="480" w:lineRule="auto"/>
              <w:contextualSpacing/>
              <w:jc w:val="center"/>
              <w:rPr>
                <w:sz w:val="16"/>
              </w:rPr>
            </w:pPr>
            <w:r w:rsidRPr="009117DC">
              <w:rPr>
                <w:sz w:val="16"/>
              </w:rPr>
              <w:t>Studies</w:t>
            </w:r>
          </w:p>
        </w:tc>
        <w:tc>
          <w:tcPr>
            <w:tcW w:w="1002" w:type="dxa"/>
            <w:vAlign w:val="center"/>
          </w:tcPr>
          <w:p w14:paraId="269FA1C0"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Study design</w:t>
            </w:r>
          </w:p>
        </w:tc>
        <w:tc>
          <w:tcPr>
            <w:tcW w:w="912" w:type="dxa"/>
            <w:vAlign w:val="center"/>
          </w:tcPr>
          <w:p w14:paraId="550D1B3D" w14:textId="77777777" w:rsidR="001529C1" w:rsidRPr="009117DC" w:rsidRDefault="001529C1" w:rsidP="009117DC">
            <w:pPr>
              <w:spacing w:line="480" w:lineRule="auto"/>
              <w:contextualSpacing/>
              <w:jc w:val="center"/>
              <w:rPr>
                <w:sz w:val="16"/>
              </w:rPr>
            </w:pPr>
            <w:r w:rsidRPr="009117DC">
              <w:rPr>
                <w:sz w:val="16"/>
              </w:rPr>
              <w:t>Tendency</w:t>
            </w:r>
          </w:p>
        </w:tc>
        <w:tc>
          <w:tcPr>
            <w:tcW w:w="811" w:type="dxa"/>
            <w:vAlign w:val="center"/>
          </w:tcPr>
          <w:p w14:paraId="72DAE0DA"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Country</w:t>
            </w:r>
          </w:p>
        </w:tc>
        <w:tc>
          <w:tcPr>
            <w:tcW w:w="1830" w:type="dxa"/>
            <w:vAlign w:val="center"/>
          </w:tcPr>
          <w:p w14:paraId="51F10866"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Sample size</w:t>
            </w:r>
          </w:p>
        </w:tc>
        <w:tc>
          <w:tcPr>
            <w:tcW w:w="825" w:type="dxa"/>
            <w:vAlign w:val="center"/>
          </w:tcPr>
          <w:p w14:paraId="26DC1EFA" w14:textId="77777777" w:rsidR="001529C1" w:rsidRPr="009117DC" w:rsidRDefault="001529C1" w:rsidP="009117DC">
            <w:pPr>
              <w:spacing w:line="480" w:lineRule="auto"/>
              <w:contextualSpacing/>
              <w:jc w:val="center"/>
              <w:rPr>
                <w:sz w:val="16"/>
              </w:rPr>
            </w:pPr>
            <w:r w:rsidRPr="009117DC">
              <w:rPr>
                <w:sz w:val="16"/>
              </w:rPr>
              <w:t>Sample</w:t>
            </w:r>
          </w:p>
        </w:tc>
      </w:tr>
      <w:tr w:rsidR="00356FA4" w:rsidRPr="009117DC" w14:paraId="332553CF" w14:textId="77777777" w:rsidTr="00413689">
        <w:tc>
          <w:tcPr>
            <w:tcW w:w="1011" w:type="dxa"/>
            <w:vAlign w:val="center"/>
          </w:tcPr>
          <w:p w14:paraId="5836065F" w14:textId="77777777" w:rsidR="001529C1" w:rsidRPr="009117DC" w:rsidRDefault="001529C1" w:rsidP="009117DC">
            <w:pPr>
              <w:spacing w:after="160" w:line="480" w:lineRule="auto"/>
              <w:contextualSpacing/>
              <w:jc w:val="center"/>
              <w:rPr>
                <w:sz w:val="16"/>
              </w:rPr>
            </w:pPr>
            <w:r w:rsidRPr="009117DC">
              <w:rPr>
                <w:sz w:val="16"/>
              </w:rPr>
              <w:t>IL-1β</w:t>
            </w:r>
          </w:p>
        </w:tc>
        <w:tc>
          <w:tcPr>
            <w:tcW w:w="1248" w:type="dxa"/>
            <w:vAlign w:val="center"/>
          </w:tcPr>
          <w:p w14:paraId="2B9F506A" w14:textId="2686C589" w:rsidR="001529C1" w:rsidRPr="00FA0A5D" w:rsidRDefault="001529C1" w:rsidP="00D72148">
            <w:pPr>
              <w:spacing w:line="480" w:lineRule="auto"/>
              <w:contextualSpacing/>
              <w:jc w:val="center"/>
              <w:rPr>
                <w:rFonts w:eastAsia="Yu Mincho"/>
                <w:sz w:val="16"/>
                <w:highlight w:val="yellow"/>
                <w:lang w:eastAsia="ja-JP"/>
              </w:rPr>
            </w:pPr>
            <w:r w:rsidRPr="00FA0A5D">
              <w:rPr>
                <w:sz w:val="16"/>
                <w:highlight w:val="yellow"/>
              </w:rPr>
              <w:t>Black et al</w:t>
            </w:r>
            <w:r w:rsidR="00413689" w:rsidRPr="00FA0A5D">
              <w:rPr>
                <w:noProof/>
                <w:sz w:val="16"/>
                <w:highlight w:val="yellow"/>
                <w:vertAlign w:val="superscript"/>
              </w:rPr>
              <w:t>41</w:t>
            </w:r>
            <w:r w:rsidRPr="00FA0A5D">
              <w:rPr>
                <w:sz w:val="16"/>
                <w:highlight w:val="yellow"/>
              </w:rPr>
              <w:t>, 2015</w:t>
            </w:r>
          </w:p>
        </w:tc>
        <w:tc>
          <w:tcPr>
            <w:tcW w:w="732" w:type="dxa"/>
            <w:vAlign w:val="center"/>
          </w:tcPr>
          <w:p w14:paraId="19DCCD8C"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Meta analysis</w:t>
            </w:r>
          </w:p>
        </w:tc>
        <w:tc>
          <w:tcPr>
            <w:tcW w:w="847" w:type="dxa"/>
            <w:vAlign w:val="center"/>
          </w:tcPr>
          <w:p w14:paraId="46C641EF" w14:textId="77777777" w:rsidR="001529C1" w:rsidRPr="009117DC" w:rsidRDefault="001529C1" w:rsidP="009117DC">
            <w:pPr>
              <w:spacing w:line="480" w:lineRule="auto"/>
              <w:contextualSpacing/>
              <w:jc w:val="center"/>
              <w:rPr>
                <w:sz w:val="16"/>
              </w:rPr>
            </w:pPr>
            <w:r w:rsidRPr="009117DC">
              <w:rPr>
                <w:sz w:val="16"/>
              </w:rPr>
              <w:t>Increase</w:t>
            </w:r>
          </w:p>
        </w:tc>
        <w:tc>
          <w:tcPr>
            <w:tcW w:w="811" w:type="dxa"/>
            <w:vAlign w:val="center"/>
          </w:tcPr>
          <w:p w14:paraId="3EDC5201"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U.S</w:t>
            </w:r>
          </w:p>
        </w:tc>
        <w:tc>
          <w:tcPr>
            <w:tcW w:w="2472" w:type="dxa"/>
            <w:vAlign w:val="center"/>
          </w:tcPr>
          <w:p w14:paraId="2542C496" w14:textId="77777777" w:rsidR="001529C1" w:rsidRPr="009117DC" w:rsidRDefault="001529C1" w:rsidP="009117DC">
            <w:pPr>
              <w:spacing w:line="480" w:lineRule="auto"/>
              <w:contextualSpacing/>
              <w:jc w:val="center"/>
              <w:rPr>
                <w:sz w:val="16"/>
              </w:rPr>
            </w:pPr>
            <w:r w:rsidRPr="009117DC">
              <w:rPr>
                <w:sz w:val="16"/>
              </w:rPr>
              <w:t xml:space="preserve">583 patients with suicidality, </w:t>
            </w:r>
            <w:r w:rsidRPr="009117DC">
              <w:rPr>
                <w:sz w:val="16"/>
              </w:rPr>
              <w:br/>
              <w:t>315 patients</w:t>
            </w:r>
            <w:r w:rsidRPr="009117DC">
              <w:rPr>
                <w:rFonts w:eastAsiaTheme="minorEastAsia"/>
                <w:sz w:val="16"/>
                <w:lang w:eastAsia="ko-KR"/>
              </w:rPr>
              <w:t xml:space="preserve"> </w:t>
            </w:r>
            <w:r w:rsidRPr="009117DC">
              <w:rPr>
                <w:sz w:val="16"/>
              </w:rPr>
              <w:t>without suicidality, and 845 healthy control</w:t>
            </w:r>
          </w:p>
        </w:tc>
        <w:tc>
          <w:tcPr>
            <w:tcW w:w="741" w:type="dxa"/>
            <w:vAlign w:val="center"/>
          </w:tcPr>
          <w:p w14:paraId="0D7C6844" w14:textId="77777777" w:rsidR="001529C1" w:rsidRPr="009117DC" w:rsidRDefault="001529C1" w:rsidP="009117DC">
            <w:pPr>
              <w:spacing w:line="480" w:lineRule="auto"/>
              <w:contextualSpacing/>
              <w:jc w:val="center"/>
              <w:rPr>
                <w:sz w:val="16"/>
              </w:rPr>
            </w:pPr>
            <w:r w:rsidRPr="009117DC">
              <w:rPr>
                <w:sz w:val="16"/>
              </w:rPr>
              <w:t>Plasma</w:t>
            </w:r>
          </w:p>
        </w:tc>
        <w:tc>
          <w:tcPr>
            <w:tcW w:w="1318" w:type="dxa"/>
            <w:vAlign w:val="center"/>
          </w:tcPr>
          <w:p w14:paraId="78B8ADE6" w14:textId="17609F47" w:rsidR="001529C1" w:rsidRPr="00FA0A5D" w:rsidRDefault="00413689" w:rsidP="00D72148">
            <w:pPr>
              <w:spacing w:line="480" w:lineRule="auto"/>
              <w:contextualSpacing/>
              <w:jc w:val="center"/>
              <w:rPr>
                <w:sz w:val="16"/>
                <w:highlight w:val="yellow"/>
              </w:rPr>
            </w:pPr>
            <w:r w:rsidRPr="00FA0A5D">
              <w:rPr>
                <w:sz w:val="16"/>
                <w:highlight w:val="yellow"/>
              </w:rPr>
              <w:t>Huang, C. et al</w:t>
            </w:r>
            <w:r w:rsidRPr="00FA0A5D">
              <w:rPr>
                <w:noProof/>
                <w:sz w:val="16"/>
                <w:highlight w:val="yellow"/>
                <w:vertAlign w:val="superscript"/>
              </w:rPr>
              <w:t>9</w:t>
            </w:r>
            <w:r w:rsidR="001529C1" w:rsidRPr="00FA0A5D">
              <w:rPr>
                <w:sz w:val="16"/>
                <w:highlight w:val="yellow"/>
              </w:rPr>
              <w:t>, 2020</w:t>
            </w:r>
          </w:p>
        </w:tc>
        <w:tc>
          <w:tcPr>
            <w:tcW w:w="1002" w:type="dxa"/>
            <w:vAlign w:val="center"/>
          </w:tcPr>
          <w:p w14:paraId="5FF44F68"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Observation study</w:t>
            </w:r>
          </w:p>
        </w:tc>
        <w:tc>
          <w:tcPr>
            <w:tcW w:w="912" w:type="dxa"/>
            <w:vAlign w:val="center"/>
          </w:tcPr>
          <w:p w14:paraId="3A97368D" w14:textId="77777777" w:rsidR="001529C1" w:rsidRPr="009117DC" w:rsidRDefault="001529C1" w:rsidP="009117DC">
            <w:pPr>
              <w:spacing w:line="480" w:lineRule="auto"/>
              <w:contextualSpacing/>
              <w:jc w:val="center"/>
              <w:rPr>
                <w:sz w:val="16"/>
              </w:rPr>
            </w:pPr>
            <w:r w:rsidRPr="009117DC">
              <w:rPr>
                <w:sz w:val="16"/>
              </w:rPr>
              <w:t>Increase</w:t>
            </w:r>
          </w:p>
        </w:tc>
        <w:tc>
          <w:tcPr>
            <w:tcW w:w="811" w:type="dxa"/>
            <w:vAlign w:val="center"/>
          </w:tcPr>
          <w:p w14:paraId="56149D08"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China</w:t>
            </w:r>
          </w:p>
        </w:tc>
        <w:tc>
          <w:tcPr>
            <w:tcW w:w="1830" w:type="dxa"/>
            <w:vAlign w:val="center"/>
          </w:tcPr>
          <w:p w14:paraId="6FD925A1" w14:textId="77777777" w:rsidR="001529C1" w:rsidRPr="009117DC" w:rsidRDefault="001529C1" w:rsidP="009117DC">
            <w:pPr>
              <w:spacing w:line="480" w:lineRule="auto"/>
              <w:contextualSpacing/>
              <w:jc w:val="center"/>
              <w:rPr>
                <w:sz w:val="16"/>
              </w:rPr>
            </w:pPr>
            <w:r w:rsidRPr="009117DC">
              <w:rPr>
                <w:sz w:val="16"/>
              </w:rPr>
              <w:t>41 patients diagnosed with COVID-19</w:t>
            </w:r>
          </w:p>
        </w:tc>
        <w:tc>
          <w:tcPr>
            <w:tcW w:w="825" w:type="dxa"/>
            <w:vAlign w:val="center"/>
          </w:tcPr>
          <w:p w14:paraId="788576A3" w14:textId="77777777" w:rsidR="001529C1" w:rsidRPr="009117DC" w:rsidRDefault="001529C1" w:rsidP="009117DC">
            <w:pPr>
              <w:spacing w:line="480" w:lineRule="auto"/>
              <w:contextualSpacing/>
              <w:jc w:val="center"/>
              <w:rPr>
                <w:sz w:val="16"/>
              </w:rPr>
            </w:pPr>
            <w:r w:rsidRPr="009117DC">
              <w:rPr>
                <w:sz w:val="16"/>
              </w:rPr>
              <w:t>Plasma</w:t>
            </w:r>
          </w:p>
        </w:tc>
      </w:tr>
      <w:tr w:rsidR="00356FA4" w:rsidRPr="009117DC" w14:paraId="31CD5A85" w14:textId="77777777" w:rsidTr="00413689">
        <w:trPr>
          <w:trHeight w:val="617"/>
        </w:trPr>
        <w:tc>
          <w:tcPr>
            <w:tcW w:w="1011" w:type="dxa"/>
            <w:vMerge w:val="restart"/>
            <w:vAlign w:val="center"/>
          </w:tcPr>
          <w:p w14:paraId="3A0D0B22" w14:textId="77777777" w:rsidR="001529C1" w:rsidRPr="009117DC" w:rsidRDefault="001529C1" w:rsidP="009117DC">
            <w:pPr>
              <w:spacing w:after="160" w:line="480" w:lineRule="auto"/>
              <w:contextualSpacing/>
              <w:jc w:val="center"/>
              <w:rPr>
                <w:sz w:val="16"/>
              </w:rPr>
            </w:pPr>
            <w:r w:rsidRPr="009117DC">
              <w:rPr>
                <w:sz w:val="16"/>
              </w:rPr>
              <w:t>IL-6</w:t>
            </w:r>
          </w:p>
        </w:tc>
        <w:tc>
          <w:tcPr>
            <w:tcW w:w="1248" w:type="dxa"/>
            <w:vMerge w:val="restart"/>
            <w:vAlign w:val="center"/>
          </w:tcPr>
          <w:p w14:paraId="2170F683" w14:textId="05E69DCF" w:rsidR="001529C1" w:rsidRPr="00FA0A5D" w:rsidRDefault="001529C1" w:rsidP="00D72148">
            <w:pPr>
              <w:spacing w:line="480" w:lineRule="auto"/>
              <w:contextualSpacing/>
              <w:jc w:val="center"/>
              <w:rPr>
                <w:sz w:val="16"/>
                <w:highlight w:val="yellow"/>
              </w:rPr>
            </w:pPr>
            <w:r w:rsidRPr="00FA0A5D">
              <w:rPr>
                <w:sz w:val="16"/>
                <w:highlight w:val="yellow"/>
              </w:rPr>
              <w:t>Black et al</w:t>
            </w:r>
            <w:r w:rsidR="00413689" w:rsidRPr="00FA0A5D">
              <w:rPr>
                <w:noProof/>
                <w:sz w:val="16"/>
                <w:highlight w:val="yellow"/>
                <w:vertAlign w:val="superscript"/>
              </w:rPr>
              <w:t>41</w:t>
            </w:r>
            <w:r w:rsidRPr="00FA0A5D">
              <w:rPr>
                <w:sz w:val="16"/>
                <w:highlight w:val="yellow"/>
              </w:rPr>
              <w:t>, 2015</w:t>
            </w:r>
          </w:p>
        </w:tc>
        <w:tc>
          <w:tcPr>
            <w:tcW w:w="732" w:type="dxa"/>
            <w:vMerge w:val="restart"/>
            <w:vAlign w:val="center"/>
          </w:tcPr>
          <w:p w14:paraId="05ADCD4B"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Meta analysis</w:t>
            </w:r>
          </w:p>
        </w:tc>
        <w:tc>
          <w:tcPr>
            <w:tcW w:w="847" w:type="dxa"/>
            <w:vMerge w:val="restart"/>
            <w:vAlign w:val="center"/>
          </w:tcPr>
          <w:p w14:paraId="77A97795" w14:textId="77777777" w:rsidR="001529C1" w:rsidRPr="009117DC" w:rsidRDefault="001529C1" w:rsidP="009117DC">
            <w:pPr>
              <w:spacing w:line="480" w:lineRule="auto"/>
              <w:contextualSpacing/>
              <w:jc w:val="center"/>
              <w:rPr>
                <w:sz w:val="16"/>
              </w:rPr>
            </w:pPr>
            <w:r w:rsidRPr="009117DC">
              <w:rPr>
                <w:sz w:val="16"/>
              </w:rPr>
              <w:t>Increase</w:t>
            </w:r>
          </w:p>
        </w:tc>
        <w:tc>
          <w:tcPr>
            <w:tcW w:w="811" w:type="dxa"/>
            <w:vMerge w:val="restart"/>
            <w:vAlign w:val="center"/>
          </w:tcPr>
          <w:p w14:paraId="3B5D77F4"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U.S</w:t>
            </w:r>
          </w:p>
        </w:tc>
        <w:tc>
          <w:tcPr>
            <w:tcW w:w="2472" w:type="dxa"/>
            <w:vMerge w:val="restart"/>
            <w:vAlign w:val="center"/>
          </w:tcPr>
          <w:p w14:paraId="0BCFA9FB" w14:textId="77777777" w:rsidR="001529C1" w:rsidRPr="009117DC" w:rsidRDefault="001529C1" w:rsidP="009117DC">
            <w:pPr>
              <w:spacing w:line="480" w:lineRule="auto"/>
              <w:contextualSpacing/>
              <w:jc w:val="center"/>
              <w:rPr>
                <w:sz w:val="16"/>
              </w:rPr>
            </w:pPr>
            <w:r w:rsidRPr="009117DC">
              <w:rPr>
                <w:sz w:val="16"/>
              </w:rPr>
              <w:t xml:space="preserve">583 patients with suicidality, </w:t>
            </w:r>
            <w:r w:rsidRPr="009117DC">
              <w:rPr>
                <w:sz w:val="16"/>
              </w:rPr>
              <w:br/>
              <w:t>315 patients</w:t>
            </w:r>
            <w:r w:rsidRPr="009117DC">
              <w:rPr>
                <w:rFonts w:eastAsiaTheme="minorEastAsia"/>
                <w:sz w:val="16"/>
                <w:lang w:eastAsia="ko-KR"/>
              </w:rPr>
              <w:t xml:space="preserve"> </w:t>
            </w:r>
            <w:r w:rsidRPr="009117DC">
              <w:rPr>
                <w:sz w:val="16"/>
              </w:rPr>
              <w:t>without suicidality, and 845 healthy control</w:t>
            </w:r>
          </w:p>
        </w:tc>
        <w:tc>
          <w:tcPr>
            <w:tcW w:w="741" w:type="dxa"/>
            <w:vMerge w:val="restart"/>
            <w:vAlign w:val="center"/>
          </w:tcPr>
          <w:p w14:paraId="38B8A999" w14:textId="77777777" w:rsidR="001529C1" w:rsidRPr="009117DC" w:rsidRDefault="001529C1" w:rsidP="009117DC">
            <w:pPr>
              <w:spacing w:line="480" w:lineRule="auto"/>
              <w:contextualSpacing/>
              <w:jc w:val="center"/>
              <w:rPr>
                <w:sz w:val="16"/>
              </w:rPr>
            </w:pPr>
            <w:r w:rsidRPr="009117DC">
              <w:rPr>
                <w:sz w:val="16"/>
              </w:rPr>
              <w:t>Plasma</w:t>
            </w:r>
          </w:p>
        </w:tc>
        <w:tc>
          <w:tcPr>
            <w:tcW w:w="1318" w:type="dxa"/>
            <w:vAlign w:val="center"/>
          </w:tcPr>
          <w:p w14:paraId="1F4F1AE4" w14:textId="6421FE3E" w:rsidR="001529C1" w:rsidRPr="00FA0A5D" w:rsidRDefault="001529C1" w:rsidP="00D72148">
            <w:pPr>
              <w:spacing w:line="480" w:lineRule="auto"/>
              <w:contextualSpacing/>
              <w:jc w:val="center"/>
              <w:rPr>
                <w:sz w:val="16"/>
                <w:highlight w:val="yellow"/>
                <w:lang w:val="fr-FR"/>
              </w:rPr>
            </w:pPr>
            <w:r w:rsidRPr="00FA0A5D">
              <w:rPr>
                <w:sz w:val="16"/>
                <w:highlight w:val="yellow"/>
                <w:lang w:val="fr-FR"/>
              </w:rPr>
              <w:t>Huang</w:t>
            </w:r>
            <w:r w:rsidR="00003833">
              <w:rPr>
                <w:sz w:val="16"/>
                <w:highlight w:val="yellow"/>
                <w:lang w:val="fr-FR"/>
              </w:rPr>
              <w:t xml:space="preserve"> C</w:t>
            </w:r>
            <w:r w:rsidRPr="00FA0A5D">
              <w:rPr>
                <w:sz w:val="16"/>
                <w:highlight w:val="yellow"/>
                <w:lang w:val="fr-FR"/>
              </w:rPr>
              <w:t xml:space="preserve"> et al</w:t>
            </w:r>
            <w:r w:rsidR="00413689" w:rsidRPr="00FA0A5D">
              <w:rPr>
                <w:noProof/>
                <w:sz w:val="16"/>
                <w:highlight w:val="yellow"/>
                <w:vertAlign w:val="superscript"/>
              </w:rPr>
              <w:t>9</w:t>
            </w:r>
            <w:r w:rsidRPr="00FA0A5D">
              <w:rPr>
                <w:sz w:val="16"/>
                <w:highlight w:val="yellow"/>
                <w:lang w:val="fr-FR"/>
              </w:rPr>
              <w:t>, 2020</w:t>
            </w:r>
          </w:p>
        </w:tc>
        <w:tc>
          <w:tcPr>
            <w:tcW w:w="1002" w:type="dxa"/>
            <w:vMerge w:val="restart"/>
            <w:vAlign w:val="center"/>
          </w:tcPr>
          <w:p w14:paraId="38C75B2B" w14:textId="77777777" w:rsidR="001529C1" w:rsidRPr="009117DC" w:rsidRDefault="001529C1" w:rsidP="009117DC">
            <w:pPr>
              <w:spacing w:line="480" w:lineRule="auto"/>
              <w:contextualSpacing/>
              <w:jc w:val="center"/>
              <w:rPr>
                <w:sz w:val="16"/>
              </w:rPr>
            </w:pPr>
            <w:r w:rsidRPr="009117DC">
              <w:rPr>
                <w:rFonts w:eastAsiaTheme="minorEastAsia"/>
                <w:sz w:val="16"/>
                <w:lang w:eastAsia="ko-KR"/>
              </w:rPr>
              <w:t>Observation study</w:t>
            </w:r>
          </w:p>
        </w:tc>
        <w:tc>
          <w:tcPr>
            <w:tcW w:w="912" w:type="dxa"/>
            <w:vMerge w:val="restart"/>
            <w:vAlign w:val="center"/>
          </w:tcPr>
          <w:p w14:paraId="53015F41" w14:textId="77777777" w:rsidR="001529C1" w:rsidRPr="009117DC" w:rsidRDefault="001529C1" w:rsidP="009117DC">
            <w:pPr>
              <w:spacing w:line="480" w:lineRule="auto"/>
              <w:contextualSpacing/>
              <w:jc w:val="center"/>
              <w:rPr>
                <w:sz w:val="16"/>
              </w:rPr>
            </w:pPr>
            <w:r w:rsidRPr="009117DC">
              <w:rPr>
                <w:sz w:val="16"/>
              </w:rPr>
              <w:t>Increase</w:t>
            </w:r>
          </w:p>
        </w:tc>
        <w:tc>
          <w:tcPr>
            <w:tcW w:w="811" w:type="dxa"/>
            <w:vMerge w:val="restart"/>
            <w:vAlign w:val="center"/>
          </w:tcPr>
          <w:p w14:paraId="76B02A42"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China</w:t>
            </w:r>
          </w:p>
        </w:tc>
        <w:tc>
          <w:tcPr>
            <w:tcW w:w="1830" w:type="dxa"/>
            <w:vAlign w:val="center"/>
          </w:tcPr>
          <w:p w14:paraId="5F522A86" w14:textId="77777777" w:rsidR="001529C1" w:rsidRPr="009117DC" w:rsidRDefault="001529C1" w:rsidP="009117DC">
            <w:pPr>
              <w:spacing w:line="480" w:lineRule="auto"/>
              <w:contextualSpacing/>
              <w:jc w:val="center"/>
              <w:rPr>
                <w:sz w:val="16"/>
              </w:rPr>
            </w:pPr>
            <w:r w:rsidRPr="009117DC">
              <w:rPr>
                <w:sz w:val="16"/>
              </w:rPr>
              <w:t>41 patients diagnosed with COVID-19</w:t>
            </w:r>
          </w:p>
        </w:tc>
        <w:tc>
          <w:tcPr>
            <w:tcW w:w="825" w:type="dxa"/>
            <w:vMerge w:val="restart"/>
            <w:vAlign w:val="center"/>
          </w:tcPr>
          <w:p w14:paraId="6E363CF4" w14:textId="77777777" w:rsidR="001529C1" w:rsidRPr="009117DC" w:rsidRDefault="001529C1" w:rsidP="009117DC">
            <w:pPr>
              <w:spacing w:line="480" w:lineRule="auto"/>
              <w:contextualSpacing/>
              <w:jc w:val="center"/>
              <w:rPr>
                <w:sz w:val="16"/>
              </w:rPr>
            </w:pPr>
            <w:r w:rsidRPr="009117DC">
              <w:rPr>
                <w:sz w:val="16"/>
              </w:rPr>
              <w:t>Plasma</w:t>
            </w:r>
          </w:p>
        </w:tc>
      </w:tr>
      <w:tr w:rsidR="00356FA4" w:rsidRPr="009117DC" w14:paraId="24968A11" w14:textId="77777777" w:rsidTr="00413689">
        <w:trPr>
          <w:trHeight w:val="616"/>
        </w:trPr>
        <w:tc>
          <w:tcPr>
            <w:tcW w:w="1011" w:type="dxa"/>
            <w:vMerge/>
            <w:vAlign w:val="center"/>
          </w:tcPr>
          <w:p w14:paraId="2E168027" w14:textId="77777777" w:rsidR="001529C1" w:rsidRPr="009117DC" w:rsidRDefault="001529C1" w:rsidP="009117DC">
            <w:pPr>
              <w:spacing w:after="160" w:line="480" w:lineRule="auto"/>
              <w:contextualSpacing/>
              <w:jc w:val="center"/>
              <w:rPr>
                <w:sz w:val="16"/>
              </w:rPr>
            </w:pPr>
          </w:p>
        </w:tc>
        <w:tc>
          <w:tcPr>
            <w:tcW w:w="1248" w:type="dxa"/>
            <w:vMerge/>
            <w:vAlign w:val="center"/>
          </w:tcPr>
          <w:p w14:paraId="303F17DC" w14:textId="77777777" w:rsidR="001529C1" w:rsidRPr="00FA0A5D" w:rsidRDefault="001529C1" w:rsidP="009117DC">
            <w:pPr>
              <w:spacing w:line="480" w:lineRule="auto"/>
              <w:contextualSpacing/>
              <w:jc w:val="center"/>
              <w:rPr>
                <w:sz w:val="16"/>
                <w:highlight w:val="yellow"/>
              </w:rPr>
            </w:pPr>
          </w:p>
        </w:tc>
        <w:tc>
          <w:tcPr>
            <w:tcW w:w="732" w:type="dxa"/>
            <w:vMerge/>
            <w:vAlign w:val="center"/>
          </w:tcPr>
          <w:p w14:paraId="7F831588" w14:textId="77777777" w:rsidR="001529C1" w:rsidRPr="009117DC" w:rsidRDefault="001529C1" w:rsidP="009117DC">
            <w:pPr>
              <w:spacing w:line="480" w:lineRule="auto"/>
              <w:contextualSpacing/>
              <w:jc w:val="center"/>
              <w:rPr>
                <w:rFonts w:eastAsiaTheme="minorEastAsia"/>
                <w:sz w:val="16"/>
                <w:lang w:eastAsia="ko-KR"/>
              </w:rPr>
            </w:pPr>
          </w:p>
        </w:tc>
        <w:tc>
          <w:tcPr>
            <w:tcW w:w="847" w:type="dxa"/>
            <w:vMerge/>
            <w:vAlign w:val="center"/>
          </w:tcPr>
          <w:p w14:paraId="62DDEE9A" w14:textId="77777777" w:rsidR="001529C1" w:rsidRPr="009117DC" w:rsidRDefault="001529C1" w:rsidP="009117DC">
            <w:pPr>
              <w:spacing w:line="480" w:lineRule="auto"/>
              <w:contextualSpacing/>
              <w:jc w:val="center"/>
              <w:rPr>
                <w:sz w:val="16"/>
              </w:rPr>
            </w:pPr>
          </w:p>
        </w:tc>
        <w:tc>
          <w:tcPr>
            <w:tcW w:w="811" w:type="dxa"/>
            <w:vMerge/>
            <w:vAlign w:val="center"/>
          </w:tcPr>
          <w:p w14:paraId="77176EDF" w14:textId="77777777" w:rsidR="001529C1" w:rsidRPr="009117DC" w:rsidRDefault="001529C1" w:rsidP="009117DC">
            <w:pPr>
              <w:spacing w:line="480" w:lineRule="auto"/>
              <w:contextualSpacing/>
              <w:jc w:val="center"/>
              <w:rPr>
                <w:rFonts w:eastAsiaTheme="minorEastAsia"/>
                <w:sz w:val="16"/>
                <w:lang w:eastAsia="ko-KR"/>
              </w:rPr>
            </w:pPr>
          </w:p>
        </w:tc>
        <w:tc>
          <w:tcPr>
            <w:tcW w:w="2472" w:type="dxa"/>
            <w:vMerge/>
            <w:vAlign w:val="center"/>
          </w:tcPr>
          <w:p w14:paraId="5905548D" w14:textId="77777777" w:rsidR="001529C1" w:rsidRPr="009117DC" w:rsidRDefault="001529C1" w:rsidP="009117DC">
            <w:pPr>
              <w:spacing w:line="480" w:lineRule="auto"/>
              <w:contextualSpacing/>
              <w:jc w:val="center"/>
              <w:rPr>
                <w:sz w:val="16"/>
              </w:rPr>
            </w:pPr>
          </w:p>
        </w:tc>
        <w:tc>
          <w:tcPr>
            <w:tcW w:w="741" w:type="dxa"/>
            <w:vMerge/>
            <w:vAlign w:val="center"/>
          </w:tcPr>
          <w:p w14:paraId="3C8982A9" w14:textId="77777777" w:rsidR="001529C1" w:rsidRPr="009117DC" w:rsidRDefault="001529C1" w:rsidP="009117DC">
            <w:pPr>
              <w:spacing w:line="480" w:lineRule="auto"/>
              <w:contextualSpacing/>
              <w:jc w:val="center"/>
              <w:rPr>
                <w:sz w:val="16"/>
              </w:rPr>
            </w:pPr>
          </w:p>
        </w:tc>
        <w:tc>
          <w:tcPr>
            <w:tcW w:w="1318" w:type="dxa"/>
            <w:vAlign w:val="center"/>
          </w:tcPr>
          <w:p w14:paraId="02665448" w14:textId="0548306E" w:rsidR="001529C1" w:rsidRPr="00FA0A5D" w:rsidRDefault="001529C1" w:rsidP="00D72148">
            <w:pPr>
              <w:spacing w:line="480" w:lineRule="auto"/>
              <w:contextualSpacing/>
              <w:jc w:val="center"/>
              <w:rPr>
                <w:sz w:val="16"/>
                <w:highlight w:val="yellow"/>
                <w:lang w:val="fr-FR"/>
              </w:rPr>
            </w:pPr>
            <w:r w:rsidRPr="00FA0A5D">
              <w:rPr>
                <w:sz w:val="16"/>
                <w:highlight w:val="yellow"/>
                <w:lang w:val="fr-FR"/>
              </w:rPr>
              <w:t>Yanlei et al</w:t>
            </w:r>
            <w:r w:rsidR="00413689" w:rsidRPr="00FA0A5D">
              <w:rPr>
                <w:noProof/>
                <w:sz w:val="16"/>
                <w:highlight w:val="yellow"/>
                <w:vertAlign w:val="superscript"/>
              </w:rPr>
              <w:t>82</w:t>
            </w:r>
            <w:r w:rsidRPr="00FA0A5D">
              <w:rPr>
                <w:sz w:val="16"/>
                <w:highlight w:val="yellow"/>
                <w:lang w:val="fr-FR"/>
              </w:rPr>
              <w:t xml:space="preserve">, 2020 </w:t>
            </w:r>
          </w:p>
        </w:tc>
        <w:tc>
          <w:tcPr>
            <w:tcW w:w="1002" w:type="dxa"/>
            <w:vMerge/>
            <w:vAlign w:val="center"/>
          </w:tcPr>
          <w:p w14:paraId="2ABBFB31" w14:textId="77777777" w:rsidR="001529C1" w:rsidRPr="009117DC" w:rsidRDefault="001529C1" w:rsidP="009117DC">
            <w:pPr>
              <w:spacing w:line="480" w:lineRule="auto"/>
              <w:contextualSpacing/>
              <w:jc w:val="center"/>
              <w:rPr>
                <w:rFonts w:eastAsiaTheme="minorEastAsia"/>
                <w:sz w:val="16"/>
                <w:lang w:eastAsia="ko-KR"/>
              </w:rPr>
            </w:pPr>
          </w:p>
        </w:tc>
        <w:tc>
          <w:tcPr>
            <w:tcW w:w="912" w:type="dxa"/>
            <w:vMerge/>
            <w:vAlign w:val="center"/>
          </w:tcPr>
          <w:p w14:paraId="08A040A7" w14:textId="77777777" w:rsidR="001529C1" w:rsidRPr="009117DC" w:rsidRDefault="001529C1" w:rsidP="009117DC">
            <w:pPr>
              <w:spacing w:line="480" w:lineRule="auto"/>
              <w:contextualSpacing/>
              <w:jc w:val="center"/>
              <w:rPr>
                <w:sz w:val="16"/>
              </w:rPr>
            </w:pPr>
          </w:p>
        </w:tc>
        <w:tc>
          <w:tcPr>
            <w:tcW w:w="811" w:type="dxa"/>
            <w:vMerge/>
            <w:vAlign w:val="center"/>
          </w:tcPr>
          <w:p w14:paraId="06DCF37B" w14:textId="77777777" w:rsidR="001529C1" w:rsidRPr="009117DC" w:rsidRDefault="001529C1" w:rsidP="009117DC">
            <w:pPr>
              <w:spacing w:line="480" w:lineRule="auto"/>
              <w:contextualSpacing/>
              <w:jc w:val="center"/>
              <w:rPr>
                <w:rFonts w:eastAsiaTheme="minorEastAsia"/>
                <w:sz w:val="16"/>
                <w:lang w:eastAsia="ko-KR"/>
              </w:rPr>
            </w:pPr>
          </w:p>
        </w:tc>
        <w:tc>
          <w:tcPr>
            <w:tcW w:w="1830" w:type="dxa"/>
            <w:vAlign w:val="center"/>
          </w:tcPr>
          <w:p w14:paraId="65755A9F" w14:textId="77777777" w:rsidR="001529C1" w:rsidRPr="009117DC" w:rsidRDefault="001529C1" w:rsidP="009117DC">
            <w:pPr>
              <w:spacing w:line="480" w:lineRule="auto"/>
              <w:contextualSpacing/>
              <w:jc w:val="center"/>
              <w:rPr>
                <w:sz w:val="16"/>
              </w:rPr>
            </w:pPr>
            <w:r w:rsidRPr="009117DC">
              <w:rPr>
                <w:sz w:val="16"/>
              </w:rPr>
              <w:t>54 patients diagnosed</w:t>
            </w:r>
          </w:p>
          <w:p w14:paraId="622274A7" w14:textId="77777777" w:rsidR="001529C1" w:rsidRPr="009117DC" w:rsidRDefault="001529C1" w:rsidP="009117DC">
            <w:pPr>
              <w:spacing w:line="480" w:lineRule="auto"/>
              <w:contextualSpacing/>
              <w:jc w:val="center"/>
              <w:rPr>
                <w:sz w:val="16"/>
              </w:rPr>
            </w:pPr>
            <w:r w:rsidRPr="009117DC">
              <w:rPr>
                <w:sz w:val="16"/>
              </w:rPr>
              <w:t>with COVID-19</w:t>
            </w:r>
          </w:p>
        </w:tc>
        <w:tc>
          <w:tcPr>
            <w:tcW w:w="825" w:type="dxa"/>
            <w:vMerge/>
            <w:vAlign w:val="center"/>
          </w:tcPr>
          <w:p w14:paraId="5EE22446" w14:textId="77777777" w:rsidR="001529C1" w:rsidRPr="009117DC" w:rsidRDefault="001529C1" w:rsidP="009117DC">
            <w:pPr>
              <w:spacing w:line="480" w:lineRule="auto"/>
              <w:contextualSpacing/>
              <w:jc w:val="center"/>
              <w:rPr>
                <w:sz w:val="16"/>
              </w:rPr>
            </w:pPr>
          </w:p>
        </w:tc>
      </w:tr>
      <w:tr w:rsidR="00356FA4" w:rsidRPr="009117DC" w14:paraId="088206DB" w14:textId="77777777" w:rsidTr="00413689">
        <w:trPr>
          <w:trHeight w:val="47"/>
        </w:trPr>
        <w:tc>
          <w:tcPr>
            <w:tcW w:w="1011" w:type="dxa"/>
            <w:vAlign w:val="center"/>
          </w:tcPr>
          <w:p w14:paraId="3E3B7296" w14:textId="77777777" w:rsidR="001529C1" w:rsidRPr="009117DC" w:rsidRDefault="001529C1" w:rsidP="009117DC">
            <w:pPr>
              <w:spacing w:line="480" w:lineRule="auto"/>
              <w:contextualSpacing/>
              <w:jc w:val="center"/>
              <w:rPr>
                <w:sz w:val="16"/>
              </w:rPr>
            </w:pPr>
            <w:r w:rsidRPr="009117DC">
              <w:rPr>
                <w:sz w:val="16"/>
              </w:rPr>
              <w:t>IL-2</w:t>
            </w:r>
          </w:p>
        </w:tc>
        <w:tc>
          <w:tcPr>
            <w:tcW w:w="1248" w:type="dxa"/>
            <w:vAlign w:val="center"/>
          </w:tcPr>
          <w:p w14:paraId="09A7B81E" w14:textId="5458102D" w:rsidR="001529C1" w:rsidRPr="00FA0A5D" w:rsidRDefault="001529C1" w:rsidP="00D72148">
            <w:pPr>
              <w:spacing w:line="480" w:lineRule="auto"/>
              <w:contextualSpacing/>
              <w:jc w:val="center"/>
              <w:rPr>
                <w:sz w:val="16"/>
                <w:highlight w:val="yellow"/>
              </w:rPr>
            </w:pPr>
            <w:r w:rsidRPr="00FA0A5D">
              <w:rPr>
                <w:sz w:val="16"/>
                <w:highlight w:val="yellow"/>
              </w:rPr>
              <w:t>Ducasse et al</w:t>
            </w:r>
            <w:r w:rsidR="00413689" w:rsidRPr="00FA0A5D">
              <w:rPr>
                <w:noProof/>
                <w:sz w:val="16"/>
                <w:highlight w:val="yellow"/>
                <w:vertAlign w:val="superscript"/>
              </w:rPr>
              <w:t>83</w:t>
            </w:r>
            <w:r w:rsidRPr="00FA0A5D">
              <w:rPr>
                <w:sz w:val="16"/>
                <w:highlight w:val="yellow"/>
              </w:rPr>
              <w:t>, 2015</w:t>
            </w:r>
          </w:p>
        </w:tc>
        <w:tc>
          <w:tcPr>
            <w:tcW w:w="732" w:type="dxa"/>
            <w:vAlign w:val="center"/>
          </w:tcPr>
          <w:p w14:paraId="024EFF4A"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Meta analysis</w:t>
            </w:r>
          </w:p>
        </w:tc>
        <w:tc>
          <w:tcPr>
            <w:tcW w:w="847" w:type="dxa"/>
            <w:vAlign w:val="center"/>
          </w:tcPr>
          <w:p w14:paraId="2BA469B0" w14:textId="77777777" w:rsidR="001529C1" w:rsidRPr="009117DC" w:rsidRDefault="001529C1" w:rsidP="009117DC">
            <w:pPr>
              <w:spacing w:line="480" w:lineRule="auto"/>
              <w:contextualSpacing/>
              <w:jc w:val="center"/>
              <w:rPr>
                <w:sz w:val="16"/>
              </w:rPr>
            </w:pPr>
            <w:r w:rsidRPr="009117DC">
              <w:rPr>
                <w:sz w:val="16"/>
              </w:rPr>
              <w:t>Decrease</w:t>
            </w:r>
          </w:p>
        </w:tc>
        <w:tc>
          <w:tcPr>
            <w:tcW w:w="811" w:type="dxa"/>
            <w:vAlign w:val="center"/>
          </w:tcPr>
          <w:p w14:paraId="5D775A6E"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France</w:t>
            </w:r>
          </w:p>
        </w:tc>
        <w:tc>
          <w:tcPr>
            <w:tcW w:w="2472" w:type="dxa"/>
            <w:vAlign w:val="center"/>
          </w:tcPr>
          <w:p w14:paraId="46D52878" w14:textId="77777777" w:rsidR="001529C1" w:rsidRPr="009117DC" w:rsidRDefault="001529C1" w:rsidP="009117DC">
            <w:pPr>
              <w:spacing w:line="480" w:lineRule="auto"/>
              <w:contextualSpacing/>
              <w:jc w:val="center"/>
              <w:rPr>
                <w:sz w:val="16"/>
              </w:rPr>
            </w:pPr>
            <w:r w:rsidRPr="009117DC">
              <w:rPr>
                <w:sz w:val="16"/>
              </w:rPr>
              <w:t xml:space="preserve">494 suicidal patients, </w:t>
            </w:r>
            <w:r w:rsidRPr="009117DC">
              <w:rPr>
                <w:sz w:val="16"/>
              </w:rPr>
              <w:br/>
              <w:t xml:space="preserve">497 non-suicidal patients </w:t>
            </w:r>
            <w:r w:rsidRPr="009117DC">
              <w:rPr>
                <w:sz w:val="16"/>
              </w:rPr>
              <w:br/>
              <w:t>and 398 healthy controls.</w:t>
            </w:r>
          </w:p>
        </w:tc>
        <w:tc>
          <w:tcPr>
            <w:tcW w:w="741" w:type="dxa"/>
            <w:vAlign w:val="center"/>
          </w:tcPr>
          <w:p w14:paraId="7A7E5CC1" w14:textId="77777777" w:rsidR="001529C1" w:rsidRPr="009117DC" w:rsidRDefault="001529C1" w:rsidP="009117DC">
            <w:pPr>
              <w:spacing w:line="480" w:lineRule="auto"/>
              <w:contextualSpacing/>
              <w:jc w:val="center"/>
              <w:rPr>
                <w:sz w:val="16"/>
              </w:rPr>
            </w:pPr>
            <w:r w:rsidRPr="009117DC">
              <w:rPr>
                <w:sz w:val="16"/>
              </w:rPr>
              <w:t>Plasma</w:t>
            </w:r>
          </w:p>
        </w:tc>
        <w:tc>
          <w:tcPr>
            <w:tcW w:w="1318" w:type="dxa"/>
            <w:vAlign w:val="center"/>
          </w:tcPr>
          <w:p w14:paraId="5CB95E29" w14:textId="53DBEA44" w:rsidR="001529C1" w:rsidRPr="00FA0A5D" w:rsidRDefault="001529C1" w:rsidP="00D72148">
            <w:pPr>
              <w:spacing w:line="480" w:lineRule="auto"/>
              <w:contextualSpacing/>
              <w:jc w:val="center"/>
              <w:rPr>
                <w:sz w:val="16"/>
                <w:highlight w:val="yellow"/>
              </w:rPr>
            </w:pPr>
            <w:r w:rsidRPr="00FA0A5D">
              <w:rPr>
                <w:sz w:val="16"/>
                <w:highlight w:val="yellow"/>
              </w:rPr>
              <w:t>Huang, C. et al</w:t>
            </w:r>
            <w:r w:rsidR="00413689" w:rsidRPr="00FA0A5D">
              <w:rPr>
                <w:noProof/>
                <w:sz w:val="16"/>
                <w:highlight w:val="yellow"/>
                <w:vertAlign w:val="superscript"/>
              </w:rPr>
              <w:t>9</w:t>
            </w:r>
            <w:r w:rsidRPr="00FA0A5D">
              <w:rPr>
                <w:sz w:val="16"/>
                <w:highlight w:val="yellow"/>
              </w:rPr>
              <w:t>, 2020</w:t>
            </w:r>
          </w:p>
        </w:tc>
        <w:tc>
          <w:tcPr>
            <w:tcW w:w="1002" w:type="dxa"/>
            <w:vAlign w:val="center"/>
          </w:tcPr>
          <w:p w14:paraId="4E5E2316" w14:textId="77777777" w:rsidR="001529C1" w:rsidRPr="009117DC" w:rsidRDefault="001529C1" w:rsidP="009117DC">
            <w:pPr>
              <w:spacing w:line="480" w:lineRule="auto"/>
              <w:contextualSpacing/>
              <w:jc w:val="center"/>
              <w:rPr>
                <w:sz w:val="16"/>
              </w:rPr>
            </w:pPr>
            <w:r w:rsidRPr="009117DC">
              <w:rPr>
                <w:rFonts w:eastAsiaTheme="minorEastAsia"/>
                <w:sz w:val="16"/>
                <w:lang w:eastAsia="ko-KR"/>
              </w:rPr>
              <w:t>Observation study</w:t>
            </w:r>
          </w:p>
        </w:tc>
        <w:tc>
          <w:tcPr>
            <w:tcW w:w="912" w:type="dxa"/>
            <w:vAlign w:val="center"/>
          </w:tcPr>
          <w:p w14:paraId="0C74D4D1" w14:textId="77777777" w:rsidR="001529C1" w:rsidRPr="009117DC" w:rsidRDefault="001529C1" w:rsidP="009117DC">
            <w:pPr>
              <w:spacing w:line="480" w:lineRule="auto"/>
              <w:contextualSpacing/>
              <w:jc w:val="center"/>
              <w:rPr>
                <w:sz w:val="16"/>
              </w:rPr>
            </w:pPr>
            <w:r w:rsidRPr="009117DC">
              <w:rPr>
                <w:sz w:val="16"/>
              </w:rPr>
              <w:t>Increase</w:t>
            </w:r>
          </w:p>
        </w:tc>
        <w:tc>
          <w:tcPr>
            <w:tcW w:w="811" w:type="dxa"/>
            <w:vAlign w:val="center"/>
          </w:tcPr>
          <w:p w14:paraId="791516E3"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China</w:t>
            </w:r>
          </w:p>
        </w:tc>
        <w:tc>
          <w:tcPr>
            <w:tcW w:w="1830" w:type="dxa"/>
            <w:vAlign w:val="center"/>
          </w:tcPr>
          <w:p w14:paraId="391BEED0" w14:textId="77777777" w:rsidR="001529C1" w:rsidRPr="009117DC" w:rsidRDefault="001529C1" w:rsidP="009117DC">
            <w:pPr>
              <w:spacing w:line="480" w:lineRule="auto"/>
              <w:contextualSpacing/>
              <w:jc w:val="center"/>
              <w:rPr>
                <w:sz w:val="16"/>
              </w:rPr>
            </w:pPr>
            <w:r w:rsidRPr="009117DC">
              <w:rPr>
                <w:sz w:val="16"/>
              </w:rPr>
              <w:t>41 patients diagnosed with COVID-19</w:t>
            </w:r>
          </w:p>
        </w:tc>
        <w:tc>
          <w:tcPr>
            <w:tcW w:w="825" w:type="dxa"/>
            <w:vAlign w:val="center"/>
          </w:tcPr>
          <w:p w14:paraId="7FA56E36" w14:textId="77777777" w:rsidR="001529C1" w:rsidRPr="009117DC" w:rsidRDefault="001529C1" w:rsidP="009117DC">
            <w:pPr>
              <w:spacing w:line="480" w:lineRule="auto"/>
              <w:contextualSpacing/>
              <w:jc w:val="center"/>
              <w:rPr>
                <w:sz w:val="16"/>
              </w:rPr>
            </w:pPr>
            <w:r w:rsidRPr="009117DC">
              <w:rPr>
                <w:sz w:val="16"/>
              </w:rPr>
              <w:t>Plasma</w:t>
            </w:r>
          </w:p>
        </w:tc>
      </w:tr>
      <w:tr w:rsidR="00356FA4" w:rsidRPr="009117DC" w14:paraId="00E64298" w14:textId="77777777" w:rsidTr="00413689">
        <w:tc>
          <w:tcPr>
            <w:tcW w:w="1011" w:type="dxa"/>
            <w:vAlign w:val="center"/>
          </w:tcPr>
          <w:p w14:paraId="7F4DAF22" w14:textId="77777777" w:rsidR="001529C1" w:rsidRPr="009117DC" w:rsidRDefault="001529C1" w:rsidP="009117DC">
            <w:pPr>
              <w:spacing w:after="160" w:line="480" w:lineRule="auto"/>
              <w:contextualSpacing/>
              <w:jc w:val="center"/>
              <w:rPr>
                <w:sz w:val="16"/>
              </w:rPr>
            </w:pPr>
            <w:r w:rsidRPr="009117DC">
              <w:rPr>
                <w:sz w:val="16"/>
              </w:rPr>
              <w:t>IL-4</w:t>
            </w:r>
          </w:p>
        </w:tc>
        <w:tc>
          <w:tcPr>
            <w:tcW w:w="1248" w:type="dxa"/>
            <w:vAlign w:val="center"/>
          </w:tcPr>
          <w:p w14:paraId="6244B8AA" w14:textId="30A07BED" w:rsidR="001529C1" w:rsidRPr="00FA0A5D" w:rsidRDefault="001529C1" w:rsidP="00D72148">
            <w:pPr>
              <w:spacing w:line="480" w:lineRule="auto"/>
              <w:contextualSpacing/>
              <w:jc w:val="center"/>
              <w:rPr>
                <w:sz w:val="16"/>
                <w:highlight w:val="yellow"/>
              </w:rPr>
            </w:pPr>
            <w:r w:rsidRPr="00FA0A5D">
              <w:rPr>
                <w:sz w:val="16"/>
                <w:highlight w:val="yellow"/>
              </w:rPr>
              <w:t>Ducasse et al</w:t>
            </w:r>
            <w:r w:rsidR="00413689" w:rsidRPr="00FA0A5D">
              <w:rPr>
                <w:noProof/>
                <w:sz w:val="16"/>
                <w:highlight w:val="yellow"/>
                <w:vertAlign w:val="superscript"/>
              </w:rPr>
              <w:t>83</w:t>
            </w:r>
            <w:r w:rsidRPr="00FA0A5D">
              <w:rPr>
                <w:sz w:val="16"/>
                <w:highlight w:val="yellow"/>
              </w:rPr>
              <w:t>, 2015</w:t>
            </w:r>
          </w:p>
        </w:tc>
        <w:tc>
          <w:tcPr>
            <w:tcW w:w="732" w:type="dxa"/>
            <w:vAlign w:val="center"/>
          </w:tcPr>
          <w:p w14:paraId="016D41C8"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Meta analysis</w:t>
            </w:r>
          </w:p>
        </w:tc>
        <w:tc>
          <w:tcPr>
            <w:tcW w:w="847" w:type="dxa"/>
            <w:vAlign w:val="center"/>
          </w:tcPr>
          <w:p w14:paraId="578137F9" w14:textId="77777777" w:rsidR="001529C1" w:rsidRPr="009117DC" w:rsidRDefault="001529C1" w:rsidP="009117DC">
            <w:pPr>
              <w:spacing w:line="480" w:lineRule="auto"/>
              <w:contextualSpacing/>
              <w:jc w:val="center"/>
              <w:rPr>
                <w:sz w:val="16"/>
              </w:rPr>
            </w:pPr>
            <w:r w:rsidRPr="009117DC">
              <w:rPr>
                <w:sz w:val="16"/>
              </w:rPr>
              <w:t>Decrease</w:t>
            </w:r>
          </w:p>
        </w:tc>
        <w:tc>
          <w:tcPr>
            <w:tcW w:w="811" w:type="dxa"/>
            <w:vAlign w:val="center"/>
          </w:tcPr>
          <w:p w14:paraId="134D2CA5" w14:textId="77777777" w:rsidR="001529C1" w:rsidRPr="009117DC" w:rsidRDefault="001529C1" w:rsidP="009117DC">
            <w:pPr>
              <w:spacing w:line="480" w:lineRule="auto"/>
              <w:contextualSpacing/>
              <w:jc w:val="center"/>
              <w:rPr>
                <w:sz w:val="16"/>
              </w:rPr>
            </w:pPr>
            <w:r w:rsidRPr="009117DC">
              <w:rPr>
                <w:rFonts w:eastAsiaTheme="minorEastAsia"/>
                <w:sz w:val="16"/>
                <w:lang w:eastAsia="ko-KR"/>
              </w:rPr>
              <w:t>France</w:t>
            </w:r>
          </w:p>
        </w:tc>
        <w:tc>
          <w:tcPr>
            <w:tcW w:w="2472" w:type="dxa"/>
            <w:vAlign w:val="center"/>
          </w:tcPr>
          <w:p w14:paraId="12B66513" w14:textId="77777777" w:rsidR="001529C1" w:rsidRPr="009117DC" w:rsidRDefault="001529C1" w:rsidP="009117DC">
            <w:pPr>
              <w:spacing w:line="480" w:lineRule="auto"/>
              <w:contextualSpacing/>
              <w:jc w:val="center"/>
              <w:rPr>
                <w:sz w:val="16"/>
              </w:rPr>
            </w:pPr>
            <w:r w:rsidRPr="009117DC">
              <w:rPr>
                <w:sz w:val="16"/>
              </w:rPr>
              <w:t xml:space="preserve">494 suicidal patients, </w:t>
            </w:r>
            <w:r w:rsidRPr="009117DC">
              <w:rPr>
                <w:sz w:val="16"/>
              </w:rPr>
              <w:br/>
              <w:t xml:space="preserve">497 non-suicidal patients </w:t>
            </w:r>
            <w:r w:rsidRPr="009117DC">
              <w:rPr>
                <w:sz w:val="16"/>
              </w:rPr>
              <w:br/>
              <w:t>and 398 healthy controls.</w:t>
            </w:r>
          </w:p>
        </w:tc>
        <w:tc>
          <w:tcPr>
            <w:tcW w:w="741" w:type="dxa"/>
            <w:vAlign w:val="center"/>
          </w:tcPr>
          <w:p w14:paraId="7A50470A" w14:textId="77777777" w:rsidR="001529C1" w:rsidRPr="009117DC" w:rsidRDefault="001529C1" w:rsidP="009117DC">
            <w:pPr>
              <w:spacing w:line="480" w:lineRule="auto"/>
              <w:contextualSpacing/>
              <w:jc w:val="center"/>
              <w:rPr>
                <w:sz w:val="16"/>
              </w:rPr>
            </w:pPr>
            <w:r w:rsidRPr="009117DC">
              <w:rPr>
                <w:sz w:val="16"/>
              </w:rPr>
              <w:t>Plasma</w:t>
            </w:r>
          </w:p>
        </w:tc>
        <w:tc>
          <w:tcPr>
            <w:tcW w:w="1318" w:type="dxa"/>
            <w:vAlign w:val="center"/>
          </w:tcPr>
          <w:p w14:paraId="74C25339" w14:textId="4CD3F1E4" w:rsidR="001529C1" w:rsidRPr="00FA0A5D" w:rsidRDefault="001529C1" w:rsidP="00D72148">
            <w:pPr>
              <w:spacing w:line="480" w:lineRule="auto"/>
              <w:contextualSpacing/>
              <w:jc w:val="center"/>
              <w:rPr>
                <w:sz w:val="16"/>
                <w:highlight w:val="yellow"/>
              </w:rPr>
            </w:pPr>
            <w:r w:rsidRPr="00FA0A5D">
              <w:rPr>
                <w:sz w:val="16"/>
                <w:highlight w:val="yellow"/>
              </w:rPr>
              <w:t>Huang, C. et al</w:t>
            </w:r>
            <w:r w:rsidR="00413689" w:rsidRPr="00FA0A5D">
              <w:rPr>
                <w:noProof/>
                <w:sz w:val="16"/>
                <w:highlight w:val="yellow"/>
                <w:vertAlign w:val="superscript"/>
              </w:rPr>
              <w:t>9</w:t>
            </w:r>
            <w:r w:rsidRPr="00FA0A5D">
              <w:rPr>
                <w:sz w:val="16"/>
                <w:highlight w:val="yellow"/>
              </w:rPr>
              <w:t xml:space="preserve">, 2020 </w:t>
            </w:r>
          </w:p>
        </w:tc>
        <w:tc>
          <w:tcPr>
            <w:tcW w:w="1002" w:type="dxa"/>
            <w:vAlign w:val="center"/>
          </w:tcPr>
          <w:p w14:paraId="5DFFB701" w14:textId="77777777" w:rsidR="001529C1" w:rsidRPr="009117DC" w:rsidRDefault="001529C1" w:rsidP="009117DC">
            <w:pPr>
              <w:spacing w:line="480" w:lineRule="auto"/>
              <w:contextualSpacing/>
              <w:jc w:val="center"/>
              <w:rPr>
                <w:sz w:val="16"/>
              </w:rPr>
            </w:pPr>
            <w:r w:rsidRPr="009117DC">
              <w:rPr>
                <w:rFonts w:eastAsiaTheme="minorEastAsia"/>
                <w:sz w:val="16"/>
                <w:lang w:eastAsia="ko-KR"/>
              </w:rPr>
              <w:t>Observation study</w:t>
            </w:r>
          </w:p>
        </w:tc>
        <w:tc>
          <w:tcPr>
            <w:tcW w:w="912" w:type="dxa"/>
            <w:vAlign w:val="center"/>
          </w:tcPr>
          <w:p w14:paraId="361C8099" w14:textId="77777777" w:rsidR="001529C1" w:rsidRPr="009117DC" w:rsidRDefault="001529C1" w:rsidP="009117DC">
            <w:pPr>
              <w:spacing w:line="480" w:lineRule="auto"/>
              <w:contextualSpacing/>
              <w:jc w:val="center"/>
              <w:rPr>
                <w:sz w:val="16"/>
              </w:rPr>
            </w:pPr>
            <w:r w:rsidRPr="009117DC">
              <w:rPr>
                <w:sz w:val="16"/>
              </w:rPr>
              <w:t>Increase</w:t>
            </w:r>
          </w:p>
        </w:tc>
        <w:tc>
          <w:tcPr>
            <w:tcW w:w="811" w:type="dxa"/>
            <w:vAlign w:val="center"/>
          </w:tcPr>
          <w:p w14:paraId="7E7E423F"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China</w:t>
            </w:r>
          </w:p>
        </w:tc>
        <w:tc>
          <w:tcPr>
            <w:tcW w:w="1830" w:type="dxa"/>
            <w:vAlign w:val="center"/>
          </w:tcPr>
          <w:p w14:paraId="4CC074D4" w14:textId="77777777" w:rsidR="001529C1" w:rsidRPr="009117DC" w:rsidRDefault="001529C1" w:rsidP="009117DC">
            <w:pPr>
              <w:spacing w:line="480" w:lineRule="auto"/>
              <w:contextualSpacing/>
              <w:jc w:val="center"/>
              <w:rPr>
                <w:sz w:val="16"/>
              </w:rPr>
            </w:pPr>
            <w:r w:rsidRPr="009117DC">
              <w:rPr>
                <w:sz w:val="16"/>
              </w:rPr>
              <w:t>41 patients diagnosed with COVID-19</w:t>
            </w:r>
          </w:p>
        </w:tc>
        <w:tc>
          <w:tcPr>
            <w:tcW w:w="825" w:type="dxa"/>
            <w:vAlign w:val="center"/>
          </w:tcPr>
          <w:p w14:paraId="0E4ED24B" w14:textId="77777777" w:rsidR="001529C1" w:rsidRPr="009117DC" w:rsidRDefault="001529C1" w:rsidP="009117DC">
            <w:pPr>
              <w:spacing w:line="480" w:lineRule="auto"/>
              <w:contextualSpacing/>
              <w:jc w:val="center"/>
              <w:rPr>
                <w:sz w:val="16"/>
              </w:rPr>
            </w:pPr>
            <w:r w:rsidRPr="009117DC">
              <w:rPr>
                <w:sz w:val="16"/>
              </w:rPr>
              <w:t>Plasma</w:t>
            </w:r>
          </w:p>
        </w:tc>
      </w:tr>
      <w:tr w:rsidR="00356FA4" w:rsidRPr="009117DC" w14:paraId="265A38C0" w14:textId="77777777" w:rsidTr="00413689">
        <w:trPr>
          <w:trHeight w:val="50"/>
        </w:trPr>
        <w:tc>
          <w:tcPr>
            <w:tcW w:w="1011" w:type="dxa"/>
            <w:vAlign w:val="center"/>
          </w:tcPr>
          <w:p w14:paraId="1C956F4D" w14:textId="77777777" w:rsidR="001529C1" w:rsidRPr="009117DC" w:rsidRDefault="001529C1" w:rsidP="009117DC">
            <w:pPr>
              <w:spacing w:line="480" w:lineRule="auto"/>
              <w:contextualSpacing/>
              <w:jc w:val="center"/>
              <w:rPr>
                <w:sz w:val="16"/>
              </w:rPr>
            </w:pPr>
            <w:r w:rsidRPr="009117DC">
              <w:rPr>
                <w:sz w:val="16"/>
              </w:rPr>
              <w:t>TGF- β</w:t>
            </w:r>
          </w:p>
        </w:tc>
        <w:tc>
          <w:tcPr>
            <w:tcW w:w="1248" w:type="dxa"/>
            <w:vAlign w:val="center"/>
          </w:tcPr>
          <w:p w14:paraId="2BDBABA6" w14:textId="6613BC4E" w:rsidR="001529C1" w:rsidRPr="00FA0A5D" w:rsidRDefault="001529C1" w:rsidP="00D72148">
            <w:pPr>
              <w:spacing w:line="480" w:lineRule="auto"/>
              <w:contextualSpacing/>
              <w:jc w:val="center"/>
              <w:rPr>
                <w:sz w:val="16"/>
                <w:highlight w:val="yellow"/>
              </w:rPr>
            </w:pPr>
            <w:r w:rsidRPr="00FA0A5D">
              <w:rPr>
                <w:sz w:val="16"/>
                <w:highlight w:val="yellow"/>
              </w:rPr>
              <w:t>Ducasse et al</w:t>
            </w:r>
            <w:r w:rsidR="00413689" w:rsidRPr="00FA0A5D">
              <w:rPr>
                <w:noProof/>
                <w:sz w:val="16"/>
                <w:highlight w:val="yellow"/>
                <w:vertAlign w:val="superscript"/>
              </w:rPr>
              <w:t>83</w:t>
            </w:r>
            <w:r w:rsidRPr="00FA0A5D">
              <w:rPr>
                <w:sz w:val="16"/>
                <w:highlight w:val="yellow"/>
              </w:rPr>
              <w:t>, 2015</w:t>
            </w:r>
          </w:p>
        </w:tc>
        <w:tc>
          <w:tcPr>
            <w:tcW w:w="732" w:type="dxa"/>
            <w:vAlign w:val="center"/>
          </w:tcPr>
          <w:p w14:paraId="2554DA02"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Meta analysis</w:t>
            </w:r>
          </w:p>
        </w:tc>
        <w:tc>
          <w:tcPr>
            <w:tcW w:w="847" w:type="dxa"/>
            <w:vAlign w:val="center"/>
          </w:tcPr>
          <w:p w14:paraId="433C40A0" w14:textId="77777777" w:rsidR="001529C1" w:rsidRPr="009117DC" w:rsidRDefault="001529C1" w:rsidP="009117DC">
            <w:pPr>
              <w:spacing w:line="480" w:lineRule="auto"/>
              <w:contextualSpacing/>
              <w:jc w:val="center"/>
              <w:rPr>
                <w:sz w:val="16"/>
              </w:rPr>
            </w:pPr>
            <w:r w:rsidRPr="009117DC">
              <w:rPr>
                <w:sz w:val="16"/>
              </w:rPr>
              <w:t>Decrease</w:t>
            </w:r>
          </w:p>
        </w:tc>
        <w:tc>
          <w:tcPr>
            <w:tcW w:w="811" w:type="dxa"/>
            <w:vAlign w:val="center"/>
          </w:tcPr>
          <w:p w14:paraId="79881DAA" w14:textId="77777777" w:rsidR="001529C1" w:rsidRPr="009117DC" w:rsidRDefault="001529C1" w:rsidP="009117DC">
            <w:pPr>
              <w:spacing w:line="480" w:lineRule="auto"/>
              <w:contextualSpacing/>
              <w:jc w:val="center"/>
              <w:rPr>
                <w:sz w:val="16"/>
              </w:rPr>
            </w:pPr>
            <w:r w:rsidRPr="009117DC">
              <w:rPr>
                <w:rFonts w:eastAsiaTheme="minorEastAsia"/>
                <w:sz w:val="16"/>
                <w:lang w:eastAsia="ko-KR"/>
              </w:rPr>
              <w:t>France</w:t>
            </w:r>
          </w:p>
        </w:tc>
        <w:tc>
          <w:tcPr>
            <w:tcW w:w="2472" w:type="dxa"/>
            <w:vAlign w:val="center"/>
          </w:tcPr>
          <w:p w14:paraId="75E6FBB0" w14:textId="77777777" w:rsidR="001529C1" w:rsidRPr="009117DC" w:rsidRDefault="001529C1" w:rsidP="009117DC">
            <w:pPr>
              <w:spacing w:line="480" w:lineRule="auto"/>
              <w:contextualSpacing/>
              <w:jc w:val="center"/>
              <w:rPr>
                <w:sz w:val="16"/>
              </w:rPr>
            </w:pPr>
            <w:r w:rsidRPr="009117DC">
              <w:rPr>
                <w:sz w:val="16"/>
              </w:rPr>
              <w:t xml:space="preserve">494 suicidal patients, </w:t>
            </w:r>
            <w:r w:rsidRPr="009117DC">
              <w:rPr>
                <w:sz w:val="16"/>
              </w:rPr>
              <w:br/>
              <w:t xml:space="preserve">497 non-suicidal patients </w:t>
            </w:r>
            <w:r w:rsidRPr="009117DC">
              <w:rPr>
                <w:sz w:val="16"/>
              </w:rPr>
              <w:br/>
              <w:t>and 398 healthy controls.</w:t>
            </w:r>
          </w:p>
        </w:tc>
        <w:tc>
          <w:tcPr>
            <w:tcW w:w="741" w:type="dxa"/>
            <w:vAlign w:val="center"/>
          </w:tcPr>
          <w:p w14:paraId="395295BC" w14:textId="77777777" w:rsidR="001529C1" w:rsidRPr="009117DC" w:rsidRDefault="001529C1" w:rsidP="009117DC">
            <w:pPr>
              <w:spacing w:line="480" w:lineRule="auto"/>
              <w:contextualSpacing/>
              <w:jc w:val="center"/>
              <w:rPr>
                <w:sz w:val="16"/>
              </w:rPr>
            </w:pPr>
            <w:r w:rsidRPr="009117DC">
              <w:rPr>
                <w:sz w:val="16"/>
              </w:rPr>
              <w:t>Plasma</w:t>
            </w:r>
          </w:p>
        </w:tc>
        <w:tc>
          <w:tcPr>
            <w:tcW w:w="1318" w:type="dxa"/>
            <w:vAlign w:val="center"/>
          </w:tcPr>
          <w:p w14:paraId="30471E72" w14:textId="77777777" w:rsidR="001529C1" w:rsidRPr="009117DC" w:rsidRDefault="001529C1" w:rsidP="009117DC">
            <w:pPr>
              <w:spacing w:line="480" w:lineRule="auto"/>
              <w:contextualSpacing/>
              <w:jc w:val="center"/>
              <w:rPr>
                <w:sz w:val="16"/>
              </w:rPr>
            </w:pPr>
            <w:r w:rsidRPr="009117DC">
              <w:rPr>
                <w:sz w:val="16"/>
              </w:rPr>
              <w:t>N/A</w:t>
            </w:r>
          </w:p>
        </w:tc>
        <w:tc>
          <w:tcPr>
            <w:tcW w:w="1002" w:type="dxa"/>
            <w:vAlign w:val="center"/>
          </w:tcPr>
          <w:p w14:paraId="3367CA64"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N/A</w:t>
            </w:r>
          </w:p>
        </w:tc>
        <w:tc>
          <w:tcPr>
            <w:tcW w:w="912" w:type="dxa"/>
            <w:vAlign w:val="center"/>
          </w:tcPr>
          <w:p w14:paraId="2FCC230A" w14:textId="77777777" w:rsidR="001529C1" w:rsidRPr="009117DC" w:rsidRDefault="001529C1" w:rsidP="009117DC">
            <w:pPr>
              <w:spacing w:line="480" w:lineRule="auto"/>
              <w:contextualSpacing/>
              <w:jc w:val="center"/>
              <w:rPr>
                <w:sz w:val="16"/>
              </w:rPr>
            </w:pPr>
            <w:r w:rsidRPr="009117DC">
              <w:rPr>
                <w:sz w:val="16"/>
              </w:rPr>
              <w:t>N/A</w:t>
            </w:r>
          </w:p>
        </w:tc>
        <w:tc>
          <w:tcPr>
            <w:tcW w:w="811" w:type="dxa"/>
            <w:vAlign w:val="center"/>
          </w:tcPr>
          <w:p w14:paraId="4568FFC3"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N/A</w:t>
            </w:r>
          </w:p>
        </w:tc>
        <w:tc>
          <w:tcPr>
            <w:tcW w:w="1830" w:type="dxa"/>
            <w:vAlign w:val="center"/>
          </w:tcPr>
          <w:p w14:paraId="6828C077" w14:textId="77777777" w:rsidR="001529C1" w:rsidRPr="009117DC" w:rsidRDefault="001529C1" w:rsidP="009117DC">
            <w:pPr>
              <w:spacing w:line="480" w:lineRule="auto"/>
              <w:contextualSpacing/>
              <w:jc w:val="center"/>
              <w:rPr>
                <w:rFonts w:eastAsiaTheme="minorEastAsia"/>
                <w:sz w:val="16"/>
                <w:lang w:eastAsia="ko-KR"/>
              </w:rPr>
            </w:pPr>
            <w:r w:rsidRPr="009117DC">
              <w:rPr>
                <w:rFonts w:eastAsiaTheme="minorEastAsia"/>
                <w:sz w:val="16"/>
                <w:lang w:eastAsia="ko-KR"/>
              </w:rPr>
              <w:t>N/A</w:t>
            </w:r>
          </w:p>
        </w:tc>
        <w:tc>
          <w:tcPr>
            <w:tcW w:w="825" w:type="dxa"/>
            <w:vAlign w:val="center"/>
          </w:tcPr>
          <w:p w14:paraId="7E6C9342" w14:textId="77777777" w:rsidR="001529C1" w:rsidRPr="009117DC" w:rsidRDefault="001529C1" w:rsidP="009117DC">
            <w:pPr>
              <w:spacing w:line="480" w:lineRule="auto"/>
              <w:contextualSpacing/>
              <w:jc w:val="center"/>
              <w:rPr>
                <w:sz w:val="16"/>
              </w:rPr>
            </w:pPr>
            <w:r w:rsidRPr="009117DC">
              <w:rPr>
                <w:sz w:val="16"/>
              </w:rPr>
              <w:t>N/A</w:t>
            </w:r>
          </w:p>
        </w:tc>
      </w:tr>
    </w:tbl>
    <w:p w14:paraId="77A34370" w14:textId="77777777" w:rsidR="00543F46" w:rsidRPr="009117DC" w:rsidRDefault="00543F46" w:rsidP="009117DC">
      <w:pPr>
        <w:spacing w:line="480" w:lineRule="auto"/>
        <w:contextualSpacing/>
        <w:rPr>
          <w:sz w:val="20"/>
        </w:rPr>
      </w:pPr>
      <w:r w:rsidRPr="009117DC">
        <w:rPr>
          <w:sz w:val="20"/>
          <w:lang w:val="fr-FR"/>
        </w:rPr>
        <w:t>COVID-19, coronavirus disease 2019. IL-1</w:t>
      </w:r>
      <w:r w:rsidRPr="009117DC">
        <w:rPr>
          <w:sz w:val="20"/>
        </w:rPr>
        <w:t>β</w:t>
      </w:r>
      <w:r w:rsidRPr="009117DC">
        <w:rPr>
          <w:sz w:val="20"/>
          <w:lang w:val="fr-FR"/>
        </w:rPr>
        <w:t>, interleukin-1</w:t>
      </w:r>
      <w:r w:rsidRPr="009117DC">
        <w:rPr>
          <w:sz w:val="20"/>
        </w:rPr>
        <w:t>β</w:t>
      </w:r>
      <w:r w:rsidRPr="009117DC">
        <w:rPr>
          <w:sz w:val="20"/>
          <w:lang w:val="fr-FR"/>
        </w:rPr>
        <w:t xml:space="preserve">. IL-4, interleukin-4. </w:t>
      </w:r>
      <w:r w:rsidRPr="009117DC">
        <w:rPr>
          <w:sz w:val="20"/>
        </w:rPr>
        <w:t>IL-6, interleukin-6. TGF- β, transforming growth factor- β.</w:t>
      </w:r>
    </w:p>
    <w:p w14:paraId="547429B7" w14:textId="726131AB" w:rsidR="00543F46" w:rsidRPr="00106B3A" w:rsidRDefault="00543F46" w:rsidP="009117DC">
      <w:pPr>
        <w:spacing w:line="480" w:lineRule="auto"/>
        <w:jc w:val="left"/>
      </w:pPr>
      <w:r w:rsidRPr="009117DC">
        <w:rPr>
          <w:sz w:val="20"/>
        </w:rPr>
        <w:br w:type="page"/>
      </w:r>
      <w:r w:rsidRPr="00106B3A">
        <w:rPr>
          <w:b/>
        </w:rPr>
        <w:lastRenderedPageBreak/>
        <w:t>Figure</w:t>
      </w:r>
      <w:r w:rsidR="00106B3A" w:rsidRPr="00106B3A">
        <w:rPr>
          <w:b/>
        </w:rPr>
        <w:t xml:space="preserve"> 1</w:t>
      </w:r>
      <w:r w:rsidRPr="00106B3A">
        <w:rPr>
          <w:b/>
        </w:rPr>
        <w:t>.</w:t>
      </w:r>
      <w:r w:rsidRPr="00106B3A">
        <w:t xml:space="preserve"> Mechanisms of suicidal behavior during pandemics. </w:t>
      </w:r>
    </w:p>
    <w:p w14:paraId="07713D88" w14:textId="77777777" w:rsidR="00543F46" w:rsidRPr="009117DC" w:rsidRDefault="00543F46" w:rsidP="009117DC">
      <w:pPr>
        <w:spacing w:line="480" w:lineRule="auto"/>
        <w:jc w:val="center"/>
        <w:rPr>
          <w:b/>
          <w:sz w:val="20"/>
        </w:rPr>
      </w:pPr>
      <w:r w:rsidRPr="009117DC">
        <w:rPr>
          <w:b/>
          <w:noProof/>
          <w:sz w:val="20"/>
          <w:lang w:eastAsia="ko-KR"/>
        </w:rPr>
        <w:drawing>
          <wp:inline distT="0" distB="0" distL="0" distR="0" wp14:anchorId="2749F38B" wp14:editId="5B10D185">
            <wp:extent cx="8866909" cy="4548370"/>
            <wp:effectExtent l="0" t="0" r="0" b="508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84497" cy="4557392"/>
                    </a:xfrm>
                    <a:prstGeom prst="rect">
                      <a:avLst/>
                    </a:prstGeom>
                    <a:noFill/>
                    <a:ln>
                      <a:noFill/>
                    </a:ln>
                  </pic:spPr>
                </pic:pic>
              </a:graphicData>
            </a:graphic>
          </wp:inline>
        </w:drawing>
      </w:r>
    </w:p>
    <w:p w14:paraId="1E523B09" w14:textId="77777777" w:rsidR="00543F46" w:rsidRPr="009117DC" w:rsidRDefault="00543F46" w:rsidP="009117DC">
      <w:pPr>
        <w:pStyle w:val="Caption"/>
        <w:spacing w:line="480" w:lineRule="auto"/>
        <w:contextualSpacing/>
        <w:rPr>
          <w:rFonts w:ascii="Times New Roman" w:hAnsi="Times New Roman" w:cs="Times New Roman"/>
          <w:b w:val="0"/>
        </w:rPr>
        <w:sectPr w:rsidR="00543F46" w:rsidRPr="009117DC" w:rsidSect="007A138C">
          <w:pgSz w:w="16838" w:h="11906" w:orient="landscape" w:code="9"/>
          <w:pgMar w:top="1531" w:right="1417" w:bottom="1531" w:left="1077" w:header="1020" w:footer="850" w:gutter="0"/>
          <w:pgNumType w:start="1"/>
          <w:cols w:space="425"/>
          <w:titlePg/>
          <w:docGrid w:type="lines" w:linePitch="326"/>
        </w:sectPr>
      </w:pPr>
      <w:r w:rsidRPr="009117DC">
        <w:rPr>
          <w:rFonts w:ascii="Times New Roman" w:hAnsi="Times New Roman" w:cs="Times New Roman"/>
          <w:b w:val="0"/>
        </w:rPr>
        <w:lastRenderedPageBreak/>
        <w:t>TLR, Toll-like receptors; IL-1β, interleukin-1β; IL-6, interleukin-6; IDO, indoleamine 2,3-dioxygenase; TDO, tryptophan 2,3-dioxygenase; KYNA, kynurenic acid; QUIN, quinolinic acid; NMDA, N-methyl-D aspartic acid; AMPA, α-amino-3-hydroxy-5-methyl-4-isoxazole propionic acid; ROS, reactive oxygen species; HPA, hypothalamic-pituitary-adrena</w:t>
      </w:r>
    </w:p>
    <w:p w14:paraId="608BDE25" w14:textId="27BD8C23" w:rsidR="001529C1" w:rsidRDefault="00543F46" w:rsidP="009117DC">
      <w:pPr>
        <w:pStyle w:val="MDPI62Acknowledgments"/>
        <w:spacing w:line="480" w:lineRule="auto"/>
        <w:jc w:val="center"/>
        <w:rPr>
          <w:rFonts w:ascii="Times New Roman" w:eastAsiaTheme="minorEastAsia" w:hAnsi="Times New Roman"/>
          <w:sz w:val="22"/>
          <w:szCs w:val="22"/>
          <w:lang w:eastAsia="ko-KR"/>
        </w:rPr>
      </w:pPr>
      <w:r w:rsidRPr="0044543D">
        <w:rPr>
          <w:rFonts w:ascii="Times New Roman" w:eastAsiaTheme="minorEastAsia" w:hAnsi="Times New Roman" w:hint="eastAsia"/>
          <w:b/>
          <w:sz w:val="24"/>
          <w:szCs w:val="24"/>
          <w:lang w:eastAsia="ko-KR"/>
        </w:rPr>
        <w:lastRenderedPageBreak/>
        <w:t>References</w:t>
      </w:r>
    </w:p>
    <w:p w14:paraId="757B6373" w14:textId="2C8AE70E" w:rsidR="00723A4B" w:rsidRPr="00723A4B" w:rsidRDefault="00723A4B" w:rsidP="00723A4B">
      <w:pPr>
        <w:pStyle w:val="EndNoteBibliography"/>
        <w:ind w:left="720" w:hanging="720"/>
      </w:pPr>
      <w:bookmarkStart w:id="5" w:name="_ENREF_1"/>
      <w:r w:rsidRPr="00723A4B">
        <w:t>1)</w:t>
      </w:r>
      <w:r w:rsidRPr="00723A4B">
        <w:tab/>
        <w:t xml:space="preserve">World Health Organization. Coronavirus disease 2019 (COVID-19): situation report, 209. Available at: </w:t>
      </w:r>
      <w:r w:rsidRPr="008F4A5D">
        <w:t>https://www.who.int/docs/default-source/coronaviruse/situation-reports/20200816-covid-19-sitrep-209.pdf?sfvrsn=5dde1ca2_2</w:t>
      </w:r>
      <w:r w:rsidRPr="00723A4B">
        <w:t>.</w:t>
      </w:r>
      <w:bookmarkEnd w:id="5"/>
    </w:p>
    <w:p w14:paraId="57DAF907" w14:textId="77777777" w:rsidR="00723A4B" w:rsidRPr="00723A4B" w:rsidRDefault="00723A4B" w:rsidP="00723A4B">
      <w:pPr>
        <w:pStyle w:val="EndNoteBibliography"/>
        <w:ind w:left="720" w:hanging="720"/>
      </w:pPr>
      <w:bookmarkStart w:id="6" w:name="_ENREF_2"/>
      <w:r w:rsidRPr="00723A4B">
        <w:t>2)</w:t>
      </w:r>
      <w:r w:rsidRPr="00723A4B">
        <w:tab/>
        <w:t>Brooks SK, Webster RK, Smith LE, Woodland L, Wessely S, Greenberg N, Rubin GJ. The psychological impact of quarantine and how to reduce it: rapid review of the evidence. Lancet 2020; 395: 912-920.</w:t>
      </w:r>
      <w:bookmarkEnd w:id="6"/>
    </w:p>
    <w:p w14:paraId="2806F82E" w14:textId="77777777" w:rsidR="00723A4B" w:rsidRPr="00723A4B" w:rsidRDefault="00723A4B" w:rsidP="00723A4B">
      <w:pPr>
        <w:pStyle w:val="EndNoteBibliography"/>
        <w:ind w:left="720" w:hanging="720"/>
      </w:pPr>
      <w:bookmarkStart w:id="7" w:name="_ENREF_3"/>
      <w:r w:rsidRPr="00723A4B">
        <w:t>3)</w:t>
      </w:r>
      <w:r w:rsidRPr="00723A4B">
        <w:tab/>
        <w:t>Barbisch D, Koenig KL, Shih F-Y. Is there a case for quarantine? Perspectives from SARS to Ebola. Disaster Med Public Health Prep 2015; 9: 547-553.</w:t>
      </w:r>
      <w:bookmarkEnd w:id="7"/>
    </w:p>
    <w:p w14:paraId="773E517B" w14:textId="77777777" w:rsidR="00723A4B" w:rsidRPr="00723A4B" w:rsidRDefault="00723A4B" w:rsidP="00723A4B">
      <w:pPr>
        <w:pStyle w:val="EndNoteBibliography"/>
        <w:ind w:left="720" w:hanging="720"/>
      </w:pPr>
      <w:bookmarkStart w:id="8" w:name="_ENREF_4"/>
      <w:r w:rsidRPr="00723A4B">
        <w:t>4)</w:t>
      </w:r>
      <w:r w:rsidRPr="00723A4B">
        <w:tab/>
        <w:t>Sher L. An infectious disease pandemic and increased suicide risk. Braz J Psychiatry 2020; 42: 239-240.</w:t>
      </w:r>
      <w:bookmarkEnd w:id="8"/>
    </w:p>
    <w:p w14:paraId="338011B2" w14:textId="77777777" w:rsidR="00723A4B" w:rsidRPr="00723A4B" w:rsidRDefault="00723A4B" w:rsidP="00723A4B">
      <w:pPr>
        <w:pStyle w:val="EndNoteBibliography"/>
        <w:ind w:left="720" w:hanging="720"/>
      </w:pPr>
      <w:bookmarkStart w:id="9" w:name="_ENREF_5"/>
      <w:r w:rsidRPr="00723A4B">
        <w:t>5)</w:t>
      </w:r>
      <w:r w:rsidRPr="00723A4B">
        <w:tab/>
        <w:t>Isung J, Aeinehband S, Mobarrez F, Mårtensson B, Nordström P, Asberg M, Piehl F, Jokinen J. Low vascular endothelial growth factor and interleukin-8 in cerebrospinal fluid of suicide attempters. Transl Psychiatry 2012; 2: e196.</w:t>
      </w:r>
      <w:bookmarkEnd w:id="9"/>
    </w:p>
    <w:p w14:paraId="6EB0E8B7" w14:textId="77777777" w:rsidR="00723A4B" w:rsidRPr="00723A4B" w:rsidRDefault="00723A4B" w:rsidP="00723A4B">
      <w:pPr>
        <w:pStyle w:val="EndNoteBibliography"/>
        <w:ind w:left="720" w:hanging="720"/>
      </w:pPr>
      <w:bookmarkStart w:id="10" w:name="_ENREF_6"/>
      <w:r w:rsidRPr="00723A4B">
        <w:t>6)</w:t>
      </w:r>
      <w:r w:rsidRPr="00723A4B">
        <w:tab/>
        <w:t>Pandey GN, Rizavi HS, Ren X, Fareed J, Hoppensteadt DA, Roberts RC, Conley RR, Dwivedi Y. Proinflammatory cytokines in the prefrontal cortex of teenage suicide victims. J Psychiatr Res 2012; 46: 57-63.</w:t>
      </w:r>
      <w:bookmarkEnd w:id="10"/>
    </w:p>
    <w:p w14:paraId="287CDD21" w14:textId="77777777" w:rsidR="00723A4B" w:rsidRPr="00723A4B" w:rsidRDefault="00723A4B" w:rsidP="00723A4B">
      <w:pPr>
        <w:pStyle w:val="EndNoteBibliography"/>
        <w:ind w:left="720" w:hanging="720"/>
      </w:pPr>
      <w:bookmarkStart w:id="11" w:name="_ENREF_7"/>
      <w:r w:rsidRPr="00723A4B">
        <w:t>7)</w:t>
      </w:r>
      <w:r w:rsidRPr="00723A4B">
        <w:tab/>
        <w:t>Janelidze S, Mattei D, Westrin Å, Träskman-Bendz L, Brundin L. Cytokine levels in the blood may distinguish suicide attempters from depressed patients. Brain Behav Immun 2011; 25: 335-339.</w:t>
      </w:r>
      <w:bookmarkEnd w:id="11"/>
    </w:p>
    <w:p w14:paraId="6F4E6DD3" w14:textId="77777777" w:rsidR="00723A4B" w:rsidRPr="00723A4B" w:rsidRDefault="00723A4B" w:rsidP="00723A4B">
      <w:pPr>
        <w:pStyle w:val="EndNoteBibliography"/>
        <w:ind w:left="720" w:hanging="720"/>
      </w:pPr>
      <w:bookmarkStart w:id="12" w:name="_ENREF_8"/>
      <w:r w:rsidRPr="00723A4B">
        <w:t>8)</w:t>
      </w:r>
      <w:r w:rsidRPr="00723A4B">
        <w:tab/>
        <w:t>Brundin L, Bryleva EY, Thirtamara Rajamani K. Role of inflammation in suicide: from mechanisms to treatment. Neuropsychopharmacology 2017; 42: 271-283.</w:t>
      </w:r>
      <w:bookmarkEnd w:id="12"/>
    </w:p>
    <w:p w14:paraId="2886A902" w14:textId="77777777" w:rsidR="00723A4B" w:rsidRPr="00723A4B" w:rsidRDefault="00723A4B" w:rsidP="00723A4B">
      <w:pPr>
        <w:pStyle w:val="EndNoteBibliography"/>
        <w:ind w:left="720" w:hanging="720"/>
      </w:pPr>
      <w:bookmarkStart w:id="13" w:name="_ENREF_9"/>
      <w:r w:rsidRPr="00723A4B">
        <w:t>9)</w:t>
      </w:r>
      <w:r w:rsidRPr="00723A4B">
        <w:tab/>
        <w:t>Huang C, Wang Y, Li X, Ren L, Zhao J, Hu Y, Zhang L, Fan G, Xu J, Gu X, Cheng Z, Yu T, Xia J, Wei Y, Wu W, Xie X, Yin W, Li H, Liu M, Xiao Y, Gao H, Guo L, Xie J, Wang G, Jiang R, Gao Z, Jin Q, Wang J, Cao B. Clinical features of patients infected with 2019 novel coronavirus in Wuhan, China. Lancet 2020; 395: 497-506.</w:t>
      </w:r>
      <w:bookmarkEnd w:id="13"/>
    </w:p>
    <w:p w14:paraId="35DC2D8C" w14:textId="77777777" w:rsidR="00723A4B" w:rsidRPr="00723A4B" w:rsidRDefault="00723A4B" w:rsidP="00723A4B">
      <w:pPr>
        <w:pStyle w:val="EndNoteBibliography"/>
        <w:ind w:left="720" w:hanging="720"/>
      </w:pPr>
      <w:bookmarkStart w:id="14" w:name="_ENREF_10"/>
      <w:r w:rsidRPr="00723A4B">
        <w:t>10)</w:t>
      </w:r>
      <w:r w:rsidRPr="00723A4B">
        <w:tab/>
        <w:t>Nock MK, Borges G, Bromet EJ, Cha CB, Kessler RC, Lee S. Suicide and suicidal behavior. Epidemiol Rev 2008; 30: 133-154.</w:t>
      </w:r>
      <w:bookmarkEnd w:id="14"/>
    </w:p>
    <w:p w14:paraId="64F0E9FC" w14:textId="77777777" w:rsidR="00723A4B" w:rsidRPr="00723A4B" w:rsidRDefault="00723A4B" w:rsidP="00723A4B">
      <w:pPr>
        <w:pStyle w:val="EndNoteBibliography"/>
        <w:ind w:left="720" w:hanging="720"/>
      </w:pPr>
      <w:bookmarkStart w:id="15" w:name="_ENREF_11"/>
      <w:r w:rsidRPr="00723A4B">
        <w:lastRenderedPageBreak/>
        <w:t>11)</w:t>
      </w:r>
      <w:r w:rsidRPr="00723A4B">
        <w:tab/>
        <w:t>World Health Organization. Preventing suicide: A global imperative. World Health Organization, 2014.</w:t>
      </w:r>
      <w:bookmarkEnd w:id="15"/>
    </w:p>
    <w:p w14:paraId="4998B6C8" w14:textId="77777777" w:rsidR="00723A4B" w:rsidRPr="00723A4B" w:rsidRDefault="00723A4B" w:rsidP="00723A4B">
      <w:pPr>
        <w:pStyle w:val="EndNoteBibliography"/>
        <w:ind w:left="720" w:hanging="720"/>
      </w:pPr>
      <w:bookmarkStart w:id="16" w:name="_ENREF_12"/>
      <w:r w:rsidRPr="00723A4B">
        <w:t>12)</w:t>
      </w:r>
      <w:r w:rsidRPr="00723A4B">
        <w:tab/>
        <w:t>Turecki G, Brent DA, Gunnell D, O'Connor RC, Oquendo MA, Pirkis J, Stanley BH. Suicide and suicide risk. Nat Rev Dis Primers 2019; 5: 74.</w:t>
      </w:r>
      <w:bookmarkEnd w:id="16"/>
    </w:p>
    <w:p w14:paraId="2430A00E" w14:textId="77777777" w:rsidR="00723A4B" w:rsidRPr="00723A4B" w:rsidRDefault="00723A4B" w:rsidP="00723A4B">
      <w:pPr>
        <w:pStyle w:val="EndNoteBibliography"/>
        <w:ind w:left="720" w:hanging="720"/>
      </w:pPr>
      <w:bookmarkStart w:id="17" w:name="_ENREF_13"/>
      <w:r w:rsidRPr="00723A4B">
        <w:t>13)</w:t>
      </w:r>
      <w:r w:rsidRPr="00723A4B">
        <w:tab/>
        <w:t>Klonsky ED, May AM, Saffer BY. Suicide, suicide attempts, and suicidal ideation. Annu Rev Clin Psychol 2016; 12: 307-330.</w:t>
      </w:r>
      <w:bookmarkEnd w:id="17"/>
    </w:p>
    <w:p w14:paraId="0BC5844A" w14:textId="77777777" w:rsidR="00723A4B" w:rsidRPr="00723A4B" w:rsidRDefault="00723A4B" w:rsidP="00723A4B">
      <w:pPr>
        <w:pStyle w:val="EndNoteBibliography"/>
        <w:ind w:left="720" w:hanging="720"/>
      </w:pPr>
      <w:bookmarkStart w:id="18" w:name="_ENREF_14"/>
      <w:r w:rsidRPr="00723A4B">
        <w:t>14)</w:t>
      </w:r>
      <w:r w:rsidRPr="00723A4B">
        <w:tab/>
        <w:t>Turecki G, Brent DA. Suicide and suicidal behaviour. Lancet 2016; 387: 1227-1239.</w:t>
      </w:r>
      <w:bookmarkEnd w:id="18"/>
    </w:p>
    <w:p w14:paraId="52298089" w14:textId="77777777" w:rsidR="00723A4B" w:rsidRPr="00723A4B" w:rsidRDefault="00723A4B" w:rsidP="00723A4B">
      <w:pPr>
        <w:pStyle w:val="EndNoteBibliography"/>
        <w:ind w:left="720" w:hanging="720"/>
      </w:pPr>
      <w:bookmarkStart w:id="19" w:name="_ENREF_15"/>
      <w:r w:rsidRPr="00723A4B">
        <w:t>15)</w:t>
      </w:r>
      <w:r w:rsidRPr="00723A4B">
        <w:tab/>
        <w:t>Naghavi M, Global Burden of Disease Self-Harm C. Global, regional, and national burden of suicide mortality 1990 to 2016: systematic analysis for the Global Burden of Disease Study 2016. BMJ 2019; 364: l94.</w:t>
      </w:r>
      <w:bookmarkEnd w:id="19"/>
    </w:p>
    <w:p w14:paraId="0FB77B3F" w14:textId="77777777" w:rsidR="00723A4B" w:rsidRPr="00723A4B" w:rsidRDefault="00723A4B" w:rsidP="00723A4B">
      <w:pPr>
        <w:pStyle w:val="EndNoteBibliography"/>
        <w:ind w:left="720" w:hanging="720"/>
      </w:pPr>
      <w:bookmarkStart w:id="20" w:name="_ENREF_16"/>
      <w:r w:rsidRPr="00723A4B">
        <w:t>16)</w:t>
      </w:r>
      <w:r w:rsidRPr="00723A4B">
        <w:tab/>
        <w:t>O'Connor RC, Nock MK. The psychology of suicidal behaviour. Lancet Psychiatry 2014; 1: 73-85.</w:t>
      </w:r>
      <w:bookmarkEnd w:id="20"/>
    </w:p>
    <w:p w14:paraId="4C9EB0FE" w14:textId="77777777" w:rsidR="00723A4B" w:rsidRPr="00723A4B" w:rsidRDefault="00723A4B" w:rsidP="00723A4B">
      <w:pPr>
        <w:pStyle w:val="EndNoteBibliography"/>
        <w:ind w:left="720" w:hanging="720"/>
      </w:pPr>
      <w:bookmarkStart w:id="21" w:name="_ENREF_17"/>
      <w:r w:rsidRPr="00723A4B">
        <w:t>17)</w:t>
      </w:r>
      <w:r w:rsidRPr="00723A4B">
        <w:tab/>
        <w:t>Engel GL. The need for a new medical model: a challenge for biomedicine. Science (1979) 1977; 196: 129-136.</w:t>
      </w:r>
      <w:bookmarkEnd w:id="21"/>
    </w:p>
    <w:p w14:paraId="47E2C26B" w14:textId="77777777" w:rsidR="00723A4B" w:rsidRPr="00723A4B" w:rsidRDefault="00723A4B" w:rsidP="00723A4B">
      <w:pPr>
        <w:pStyle w:val="EndNoteBibliography"/>
        <w:ind w:left="720" w:hanging="720"/>
      </w:pPr>
      <w:bookmarkStart w:id="22" w:name="_ENREF_18"/>
      <w:r w:rsidRPr="00723A4B">
        <w:t>18)</w:t>
      </w:r>
      <w:r w:rsidRPr="00723A4B">
        <w:tab/>
        <w:t>Engel GL. The clinical application of the biopsychosocial model. J Med Philos 1981; 6: 101-124.</w:t>
      </w:r>
      <w:bookmarkEnd w:id="22"/>
    </w:p>
    <w:p w14:paraId="1D344285" w14:textId="77777777" w:rsidR="00723A4B" w:rsidRPr="00723A4B" w:rsidRDefault="00723A4B" w:rsidP="00723A4B">
      <w:pPr>
        <w:pStyle w:val="EndNoteBibliography"/>
        <w:ind w:left="720" w:hanging="720"/>
      </w:pPr>
      <w:bookmarkStart w:id="23" w:name="_ENREF_19"/>
      <w:r w:rsidRPr="00723A4B">
        <w:t>19)</w:t>
      </w:r>
      <w:r w:rsidRPr="00723A4B">
        <w:tab/>
        <w:t>Statham DJ, Heath AC, Madden PA, Bucholz KK, Bierut L, Dinwiddie SH, Slutske W, Dunne M, Martin N. Suicidal behaviour: an epidemiological and genetic study. Psychol Med 1998; 28: 839-855.</w:t>
      </w:r>
      <w:bookmarkEnd w:id="23"/>
    </w:p>
    <w:p w14:paraId="0E688F86" w14:textId="77777777" w:rsidR="00723A4B" w:rsidRPr="00723A4B" w:rsidRDefault="00723A4B" w:rsidP="00723A4B">
      <w:pPr>
        <w:pStyle w:val="EndNoteBibliography"/>
        <w:ind w:left="720" w:hanging="720"/>
      </w:pPr>
      <w:bookmarkStart w:id="24" w:name="_ENREF_20"/>
      <w:r w:rsidRPr="00723A4B">
        <w:t>20)</w:t>
      </w:r>
      <w:r w:rsidRPr="00723A4B">
        <w:tab/>
        <w:t>Brezo J, Paris J, Vitaro F, Hebert M, Tremblay RE, Turecki G. Predicting suicide attempts in young adults with histories of childhood abuse. Br J Psychiatry 2008; 193: 134-139.</w:t>
      </w:r>
      <w:bookmarkEnd w:id="24"/>
    </w:p>
    <w:p w14:paraId="1142CF5B" w14:textId="77777777" w:rsidR="00723A4B" w:rsidRPr="00723A4B" w:rsidRDefault="00723A4B" w:rsidP="00723A4B">
      <w:pPr>
        <w:pStyle w:val="EndNoteBibliography"/>
        <w:ind w:left="720" w:hanging="720"/>
      </w:pPr>
      <w:bookmarkStart w:id="25" w:name="_ENREF_21"/>
      <w:r w:rsidRPr="00723A4B">
        <w:t>21)</w:t>
      </w:r>
      <w:r w:rsidRPr="00723A4B">
        <w:tab/>
        <w:t>Fountoulakis KN, Kawohl W, Theodorakis PN, Kerkhof AJ, Navickas A, Höschl C, Lecic-Tosevski D, Sorel E, Rancans E, Palova E. Relationship of suicide rates to economic variables in Europe: 2000–2011. Br J Psychiatry 2014; 205: 486-496.</w:t>
      </w:r>
      <w:bookmarkEnd w:id="25"/>
    </w:p>
    <w:p w14:paraId="7CECE9B7" w14:textId="77777777" w:rsidR="00723A4B" w:rsidRPr="00723A4B" w:rsidRDefault="00723A4B" w:rsidP="00723A4B">
      <w:pPr>
        <w:pStyle w:val="EndNoteBibliography"/>
        <w:ind w:left="720" w:hanging="720"/>
      </w:pPr>
      <w:bookmarkStart w:id="26" w:name="_ENREF_22"/>
      <w:r w:rsidRPr="00723A4B">
        <w:t>22)</w:t>
      </w:r>
      <w:r w:rsidRPr="00723A4B">
        <w:tab/>
        <w:t>Hoertel N, Franco S, Wall MM, Oquendo MA, Kerridge BT, Limosin F, Blanco C. Mental disorders and risk of suicide attempt: a national prospective study. Mol Psychiatry 2015; 20: 718-726.</w:t>
      </w:r>
      <w:bookmarkEnd w:id="26"/>
    </w:p>
    <w:p w14:paraId="6161356A" w14:textId="77777777" w:rsidR="00723A4B" w:rsidRPr="00723A4B" w:rsidRDefault="00723A4B" w:rsidP="00723A4B">
      <w:pPr>
        <w:pStyle w:val="EndNoteBibliography"/>
        <w:ind w:left="720" w:hanging="720"/>
      </w:pPr>
      <w:bookmarkStart w:id="27" w:name="_ENREF_23"/>
      <w:r w:rsidRPr="00723A4B">
        <w:lastRenderedPageBreak/>
        <w:t>23)</w:t>
      </w:r>
      <w:r w:rsidRPr="00723A4B">
        <w:tab/>
        <w:t>Yip PS, Cheung YT, Chau PH, Law YW. The impact of epidemic outbreak: the case of severe acute respiratory syndrome (SARS) and suicide among older adults in Hong Kong. Crisis 2010; 31: 86-92.</w:t>
      </w:r>
      <w:bookmarkEnd w:id="27"/>
    </w:p>
    <w:p w14:paraId="615FF024" w14:textId="77777777" w:rsidR="00723A4B" w:rsidRPr="00723A4B" w:rsidRDefault="00723A4B" w:rsidP="00723A4B">
      <w:pPr>
        <w:pStyle w:val="EndNoteBibliography"/>
        <w:ind w:left="720" w:hanging="720"/>
      </w:pPr>
      <w:bookmarkStart w:id="28" w:name="_ENREF_24"/>
      <w:r w:rsidRPr="00723A4B">
        <w:t>24)</w:t>
      </w:r>
      <w:r w:rsidRPr="00723A4B">
        <w:tab/>
        <w:t>Holmes EA, O'Connor RC, Perry VH, Tracey I, Wessely S, Arseneault L, Ballard C, Christensen H, Cohen Silver R, Everall I, Ford T, John A, Kabir T, King K, Madan I, Michie S, Przybylski AK, Shafran R, Sweeney A, Worthman CM, Yardley L, Cowan K, Cope C, Hotopf M, Bullmore E. Multidisciplinary research priorities for the COVID-19 pandemic: a call for action for mental health science. Lancet Psychiatry 2020; 7: 547-560.</w:t>
      </w:r>
      <w:bookmarkEnd w:id="28"/>
    </w:p>
    <w:p w14:paraId="1A064A71" w14:textId="77777777" w:rsidR="00723A4B" w:rsidRPr="00723A4B" w:rsidRDefault="00723A4B" w:rsidP="00723A4B">
      <w:pPr>
        <w:pStyle w:val="EndNoteBibliography"/>
        <w:ind w:left="720" w:hanging="720"/>
      </w:pPr>
      <w:bookmarkStart w:id="29" w:name="_ENREF_25"/>
      <w:r w:rsidRPr="00723A4B">
        <w:t>25)</w:t>
      </w:r>
      <w:r w:rsidRPr="00723A4B">
        <w:tab/>
        <w:t>Sher L. Resilience as a focus of suicide research and prevention. Acta Psychiatr Scand 2019; 140: 169-180.</w:t>
      </w:r>
      <w:bookmarkEnd w:id="29"/>
    </w:p>
    <w:p w14:paraId="285D0B5C" w14:textId="77777777" w:rsidR="00723A4B" w:rsidRPr="00723A4B" w:rsidRDefault="00723A4B" w:rsidP="00723A4B">
      <w:pPr>
        <w:pStyle w:val="EndNoteBibliography"/>
        <w:ind w:left="720" w:hanging="720"/>
      </w:pPr>
      <w:bookmarkStart w:id="30" w:name="_ENREF_26"/>
      <w:r w:rsidRPr="00723A4B">
        <w:t>26)</w:t>
      </w:r>
      <w:r w:rsidRPr="00723A4B">
        <w:tab/>
        <w:t>Mann JJ, Metts AV. The economy and suicide. Crisis 2017; 38: 141-146.</w:t>
      </w:r>
      <w:bookmarkEnd w:id="30"/>
    </w:p>
    <w:p w14:paraId="44798FBA" w14:textId="77777777" w:rsidR="00723A4B" w:rsidRPr="00723A4B" w:rsidRDefault="00723A4B" w:rsidP="00723A4B">
      <w:pPr>
        <w:pStyle w:val="EndNoteBibliography"/>
        <w:ind w:left="720" w:hanging="720"/>
      </w:pPr>
      <w:bookmarkStart w:id="31" w:name="_ENREF_27"/>
      <w:r w:rsidRPr="00723A4B">
        <w:t>27)</w:t>
      </w:r>
      <w:r w:rsidRPr="00723A4B">
        <w:tab/>
        <w:t>Ornell F, Schuch JB, Sordi AO, Kessler FHP. “Pandemic fear” and COVID-19: mental health burden and strategies. Braz J Psychiatry 2020; 42: 232-235.</w:t>
      </w:r>
      <w:bookmarkEnd w:id="31"/>
    </w:p>
    <w:p w14:paraId="1B943F6B" w14:textId="77777777" w:rsidR="00723A4B" w:rsidRPr="00723A4B" w:rsidRDefault="00723A4B" w:rsidP="00723A4B">
      <w:pPr>
        <w:pStyle w:val="EndNoteBibliography"/>
        <w:ind w:left="720" w:hanging="720"/>
      </w:pPr>
      <w:bookmarkStart w:id="32" w:name="_ENREF_28"/>
      <w:r w:rsidRPr="00723A4B">
        <w:t>28)</w:t>
      </w:r>
      <w:r w:rsidRPr="00723A4B">
        <w:tab/>
        <w:t>Kahil K, Cheaito MA, El Hayek R, Nofal M, El Halabi S, Kudva KG, Pereira-Sanchez V, El Hayek S. Suicide during COVID-19 and other major international respiratory outbreaks: A systematic review. Asian J Psychiatr 2021; 56: 102509.</w:t>
      </w:r>
      <w:bookmarkEnd w:id="32"/>
    </w:p>
    <w:p w14:paraId="527D94F6" w14:textId="77777777" w:rsidR="00723A4B" w:rsidRPr="00723A4B" w:rsidRDefault="00723A4B" w:rsidP="00723A4B">
      <w:pPr>
        <w:pStyle w:val="EndNoteBibliography"/>
        <w:ind w:left="720" w:hanging="720"/>
      </w:pPr>
      <w:bookmarkStart w:id="33" w:name="_ENREF_29"/>
      <w:r w:rsidRPr="00723A4B">
        <w:t>29)</w:t>
      </w:r>
      <w:r w:rsidRPr="00723A4B">
        <w:tab/>
        <w:t>Wilder-Smith A. COVID-19 in comparison with other emerging viral diseases: risk of geographic spread via travel. Trop Dis Travel Med Vaccines 2021; 7: 3.</w:t>
      </w:r>
      <w:bookmarkEnd w:id="33"/>
    </w:p>
    <w:p w14:paraId="1C536DF3" w14:textId="77777777" w:rsidR="00723A4B" w:rsidRPr="00723A4B" w:rsidRDefault="00723A4B" w:rsidP="00723A4B">
      <w:pPr>
        <w:pStyle w:val="EndNoteBibliography"/>
        <w:ind w:left="720" w:hanging="720"/>
      </w:pPr>
      <w:bookmarkStart w:id="34" w:name="_ENREF_30"/>
      <w:r w:rsidRPr="00723A4B">
        <w:t>30)</w:t>
      </w:r>
      <w:r w:rsidRPr="00723A4B">
        <w:tab/>
        <w:t>Sher L. The impact of the COVID-19 pandemic on suicide rates. QJM 2020; 113: 707-712.</w:t>
      </w:r>
      <w:bookmarkEnd w:id="34"/>
    </w:p>
    <w:p w14:paraId="6E431C0B" w14:textId="77777777" w:rsidR="00723A4B" w:rsidRPr="00723A4B" w:rsidRDefault="00723A4B" w:rsidP="00723A4B">
      <w:pPr>
        <w:pStyle w:val="EndNoteBibliography"/>
        <w:ind w:left="720" w:hanging="720"/>
      </w:pPr>
      <w:bookmarkStart w:id="35" w:name="_ENREF_31"/>
      <w:r w:rsidRPr="00723A4B">
        <w:t>31)</w:t>
      </w:r>
      <w:r w:rsidRPr="00723A4B">
        <w:tab/>
        <w:t>Caballero-Dominguez CC, Jimenez-Villamizar MP, Campo-Arias A. Suicide risk during the lockdown due to coronavirus disease (COVID-19) in Colombia. Death Stud 2020. Doi:10.1080/07481187.2020.1784312.</w:t>
      </w:r>
      <w:bookmarkEnd w:id="35"/>
    </w:p>
    <w:p w14:paraId="4D0F5A65" w14:textId="77777777" w:rsidR="00723A4B" w:rsidRPr="00723A4B" w:rsidRDefault="00723A4B" w:rsidP="00723A4B">
      <w:pPr>
        <w:pStyle w:val="EndNoteBibliography"/>
        <w:ind w:left="720" w:hanging="720"/>
      </w:pPr>
      <w:bookmarkStart w:id="36" w:name="_ENREF_32"/>
      <w:r w:rsidRPr="00723A4B">
        <w:t>32)</w:t>
      </w:r>
      <w:r w:rsidRPr="00723A4B">
        <w:tab/>
        <w:t>Epstein D, Andrawis W, Lipsky AM, Ziad HA, Matan M. Anxiety and suicidality in a hospitalized patient with COVID-19 Infection. Eur J Case Rep Intern Med 2020; 7: 001651.</w:t>
      </w:r>
      <w:bookmarkEnd w:id="36"/>
    </w:p>
    <w:p w14:paraId="109737C4" w14:textId="77777777" w:rsidR="00723A4B" w:rsidRPr="00723A4B" w:rsidRDefault="00723A4B" w:rsidP="00723A4B">
      <w:pPr>
        <w:pStyle w:val="EndNoteBibliography"/>
        <w:ind w:left="720" w:hanging="720"/>
      </w:pPr>
      <w:bookmarkStart w:id="37" w:name="_ENREF_33"/>
      <w:r w:rsidRPr="00723A4B">
        <w:lastRenderedPageBreak/>
        <w:t>33)</w:t>
      </w:r>
      <w:r w:rsidRPr="00723A4B">
        <w:tab/>
        <w:t>Weise J, Schomerus G, Speerforck S. The SARS-CoV-2 pandemic and an attempted suicide of a patient with delusional disorder. Psychiatr Prax 2020; 47: 218-220.</w:t>
      </w:r>
      <w:bookmarkEnd w:id="37"/>
    </w:p>
    <w:p w14:paraId="69DB501E" w14:textId="77777777" w:rsidR="00723A4B" w:rsidRPr="00723A4B" w:rsidRDefault="00723A4B" w:rsidP="00723A4B">
      <w:pPr>
        <w:pStyle w:val="EndNoteBibliography"/>
        <w:ind w:left="720" w:hanging="720"/>
      </w:pPr>
      <w:bookmarkStart w:id="38" w:name="_ENREF_34"/>
      <w:r w:rsidRPr="00723A4B">
        <w:t>34)</w:t>
      </w:r>
      <w:r w:rsidRPr="00723A4B">
        <w:tab/>
        <w:t>Goyal K, Chauhan P, Chhikara K, Gupta P, Singh MP. Fear of COVID 2019: First suicidal case in India ! Asian J Psychiatr 2020; 49: 101989.</w:t>
      </w:r>
      <w:bookmarkEnd w:id="38"/>
    </w:p>
    <w:p w14:paraId="5BBCDCB9" w14:textId="77777777" w:rsidR="00723A4B" w:rsidRPr="00723A4B" w:rsidRDefault="00723A4B" w:rsidP="00723A4B">
      <w:pPr>
        <w:pStyle w:val="EndNoteBibliography"/>
        <w:ind w:left="720" w:hanging="720"/>
      </w:pPr>
      <w:bookmarkStart w:id="39" w:name="_ENREF_35"/>
      <w:r w:rsidRPr="00723A4B">
        <w:t>35)</w:t>
      </w:r>
      <w:r w:rsidRPr="00723A4B">
        <w:tab/>
        <w:t>Serafini G, Pompili M, Elena Seretti M, Stefani H, Palermo M, Coryell W, Girardi P. The role of inflammatory cytokines in suicidal behavior: a systematic review. Eur Neuropsychopharmacol 2013; 23: 1672-1686.</w:t>
      </w:r>
      <w:bookmarkEnd w:id="39"/>
    </w:p>
    <w:p w14:paraId="1206C086" w14:textId="77777777" w:rsidR="00723A4B" w:rsidRPr="00723A4B" w:rsidRDefault="00723A4B" w:rsidP="00723A4B">
      <w:pPr>
        <w:pStyle w:val="EndNoteBibliography"/>
        <w:ind w:left="720" w:hanging="720"/>
      </w:pPr>
      <w:bookmarkStart w:id="40" w:name="_ENREF_36"/>
      <w:r w:rsidRPr="00723A4B">
        <w:t>36)</w:t>
      </w:r>
      <w:r w:rsidRPr="00723A4B">
        <w:tab/>
        <w:t>Buter J, de Vries EG, Sleijfer DT, Willemse PH, Mulder NH. Neuropsychiatric symptoms during treatment with interleukin-2. Lancet 1993; 341: 628.</w:t>
      </w:r>
      <w:bookmarkEnd w:id="40"/>
    </w:p>
    <w:p w14:paraId="39E5B39B" w14:textId="77777777" w:rsidR="00723A4B" w:rsidRPr="00723A4B" w:rsidRDefault="00723A4B" w:rsidP="00723A4B">
      <w:pPr>
        <w:pStyle w:val="EndNoteBibliography"/>
        <w:ind w:left="720" w:hanging="720"/>
      </w:pPr>
      <w:bookmarkStart w:id="41" w:name="_ENREF_37"/>
      <w:r w:rsidRPr="00723A4B">
        <w:t>37)</w:t>
      </w:r>
      <w:r w:rsidRPr="00723A4B">
        <w:tab/>
        <w:t>Renault PF, Hoofnagle JH, Park Y, Mullen KD, Peters M, Jones DB, Rustgi V, Jones EA. Psychiatric complications of long-term interferon alfa therapy. Arch Intern Med 1987; 147: 1577-1580.</w:t>
      </w:r>
      <w:bookmarkEnd w:id="41"/>
    </w:p>
    <w:p w14:paraId="48ADA4C8" w14:textId="77777777" w:rsidR="00723A4B" w:rsidRPr="00723A4B" w:rsidRDefault="00723A4B" w:rsidP="00723A4B">
      <w:pPr>
        <w:pStyle w:val="EndNoteBibliography"/>
        <w:ind w:left="720" w:hanging="720"/>
      </w:pPr>
      <w:bookmarkStart w:id="42" w:name="_ENREF_38"/>
      <w:r w:rsidRPr="00723A4B">
        <w:t>38)</w:t>
      </w:r>
      <w:r w:rsidRPr="00723A4B">
        <w:tab/>
        <w:t>Kim YK, Lee SW, Kim SH, Shim SH, Han SW, Choi SH, Lee BH. Differences in cytokines between non-suicidal patients and suicidal patients in major depression. Prog Neuropsychopharmacol Biol Psychiatry 2008; 32: 356-361.</w:t>
      </w:r>
      <w:bookmarkEnd w:id="42"/>
    </w:p>
    <w:p w14:paraId="6FF7D9EC" w14:textId="77777777" w:rsidR="00723A4B" w:rsidRPr="00723A4B" w:rsidRDefault="00723A4B" w:rsidP="00723A4B">
      <w:pPr>
        <w:pStyle w:val="EndNoteBibliography"/>
        <w:ind w:left="720" w:hanging="720"/>
      </w:pPr>
      <w:bookmarkStart w:id="43" w:name="_ENREF_39"/>
      <w:r w:rsidRPr="00723A4B">
        <w:t>39)</w:t>
      </w:r>
      <w:r w:rsidRPr="00723A4B">
        <w:tab/>
        <w:t>Tonelli LH, Stiller J, Rujescu D, Giegling I, Schneider B, Maurer K, Schnabel A, Möller HJ, Chen H-H, Postolache TT. Elevated cytokine expression in the orbitofrontal cortex of victims of suicide. Acta Psychiatr Scand 2008; 117: 198-206.</w:t>
      </w:r>
      <w:bookmarkEnd w:id="43"/>
    </w:p>
    <w:p w14:paraId="7E19C9BD" w14:textId="77777777" w:rsidR="00723A4B" w:rsidRPr="00723A4B" w:rsidRDefault="00723A4B" w:rsidP="00723A4B">
      <w:pPr>
        <w:pStyle w:val="EndNoteBibliography"/>
        <w:ind w:left="720" w:hanging="720"/>
      </w:pPr>
      <w:bookmarkStart w:id="44" w:name="_ENREF_40"/>
      <w:r w:rsidRPr="00723A4B">
        <w:t>40)</w:t>
      </w:r>
      <w:r w:rsidRPr="00723A4B">
        <w:tab/>
        <w:t>Postolache TT, Komarow H, Tonelli LH. Allergy: a risk factor for suicide? Curr Treat Options Neurol 2008; 10: 363-376.</w:t>
      </w:r>
      <w:bookmarkEnd w:id="44"/>
    </w:p>
    <w:p w14:paraId="1E0C0A84" w14:textId="77777777" w:rsidR="00723A4B" w:rsidRPr="00723A4B" w:rsidRDefault="00723A4B" w:rsidP="00723A4B">
      <w:pPr>
        <w:pStyle w:val="EndNoteBibliography"/>
        <w:ind w:left="720" w:hanging="720"/>
      </w:pPr>
      <w:bookmarkStart w:id="45" w:name="_ENREF_41"/>
      <w:r w:rsidRPr="00723A4B">
        <w:t>41)</w:t>
      </w:r>
      <w:r w:rsidRPr="00723A4B">
        <w:tab/>
        <w:t>Black C, Miller BJ. Meta-analysis of cytokines and chemokines in suicidality: distinguishing suicidal versus nonsuicidal patients. Biol Psychiatry 2015; 78: 28-37.</w:t>
      </w:r>
      <w:bookmarkEnd w:id="45"/>
    </w:p>
    <w:p w14:paraId="23BC7B99" w14:textId="77777777" w:rsidR="00723A4B" w:rsidRPr="00723A4B" w:rsidRDefault="00723A4B" w:rsidP="00723A4B">
      <w:pPr>
        <w:pStyle w:val="EndNoteBibliography"/>
        <w:ind w:left="720" w:hanging="720"/>
      </w:pPr>
      <w:bookmarkStart w:id="46" w:name="_ENREF_42"/>
      <w:r w:rsidRPr="00723A4B">
        <w:t>42)</w:t>
      </w:r>
      <w:r w:rsidRPr="00723A4B">
        <w:tab/>
        <w:t>Ducasse D, Oli</w:t>
      </w:r>
      <w:r w:rsidRPr="00723A4B">
        <w:rPr>
          <w:rFonts w:hint="eastAsia"/>
        </w:rPr>
        <w:t>é</w:t>
      </w:r>
      <w:r w:rsidRPr="00723A4B">
        <w:t xml:space="preserve"> E, Guillaume S, Artéro S, Courtet P. A meta-analysis of cytokines in suicidal behavior. Brain Behav Immun 2015; 46: 203-211.</w:t>
      </w:r>
      <w:bookmarkEnd w:id="46"/>
    </w:p>
    <w:p w14:paraId="6439C286" w14:textId="77777777" w:rsidR="00723A4B" w:rsidRPr="00723A4B" w:rsidRDefault="00723A4B" w:rsidP="00723A4B">
      <w:pPr>
        <w:pStyle w:val="EndNoteBibliography"/>
        <w:ind w:left="720" w:hanging="720"/>
      </w:pPr>
      <w:bookmarkStart w:id="47" w:name="_ENREF_43"/>
      <w:r w:rsidRPr="00723A4B">
        <w:t>43)</w:t>
      </w:r>
      <w:r w:rsidRPr="00723A4B">
        <w:tab/>
        <w:t>Hanke ML, Kielian T. Toll-like receptors in health and disease in the brain: mechanisms and therapeutic potential. Clin Sci (Lond) 2011; 121: 367-387.</w:t>
      </w:r>
      <w:bookmarkEnd w:id="47"/>
    </w:p>
    <w:p w14:paraId="72344BFA" w14:textId="77777777" w:rsidR="00723A4B" w:rsidRPr="00723A4B" w:rsidRDefault="00723A4B" w:rsidP="00723A4B">
      <w:pPr>
        <w:pStyle w:val="EndNoteBibliography"/>
        <w:ind w:left="720" w:hanging="720"/>
      </w:pPr>
      <w:bookmarkStart w:id="48" w:name="_ENREF_44"/>
      <w:r w:rsidRPr="00723A4B">
        <w:t>44)</w:t>
      </w:r>
      <w:r w:rsidRPr="00723A4B">
        <w:tab/>
        <w:t>Bohmwald K, Gálvez NMS, Ríos M, Kalergis AM. Neurologic alterations due to respiratory virus infections. Front Cell Neurosci 2018; 12: 386.</w:t>
      </w:r>
      <w:bookmarkEnd w:id="48"/>
    </w:p>
    <w:p w14:paraId="24C8615E" w14:textId="77777777" w:rsidR="00723A4B" w:rsidRPr="00723A4B" w:rsidRDefault="00723A4B" w:rsidP="00723A4B">
      <w:pPr>
        <w:pStyle w:val="EndNoteBibliography"/>
        <w:ind w:left="720" w:hanging="720"/>
      </w:pPr>
      <w:bookmarkStart w:id="49" w:name="_ENREF_45"/>
      <w:r w:rsidRPr="00723A4B">
        <w:lastRenderedPageBreak/>
        <w:t>45)</w:t>
      </w:r>
      <w:r w:rsidRPr="00723A4B">
        <w:tab/>
        <w:t>Ventorp F, Barzilay R, Erhardt S, Samuelsson M, Träskman-Bendz L, Janelidze S, Weizman A, Offen D, Brundin L. The CD44 ligand hyaluronic acid is elevated in the cerebrospinal fluid of suicide attempters and is associated with increased blood-brain barrier permeability. J Affect Disord 2016; 193: 349-354.</w:t>
      </w:r>
      <w:bookmarkEnd w:id="49"/>
    </w:p>
    <w:p w14:paraId="15CC0F02" w14:textId="77777777" w:rsidR="00723A4B" w:rsidRPr="00723A4B" w:rsidRDefault="00723A4B" w:rsidP="00723A4B">
      <w:pPr>
        <w:pStyle w:val="EndNoteBibliography"/>
        <w:ind w:left="720" w:hanging="720"/>
      </w:pPr>
      <w:bookmarkStart w:id="50" w:name="_ENREF_46"/>
      <w:r w:rsidRPr="00723A4B">
        <w:t>46)</w:t>
      </w:r>
      <w:r w:rsidRPr="00723A4B">
        <w:tab/>
        <w:t>Sublette ME, Galfalvy HC, Fuchs D, Lapidus M, Grunebaum MF, Oquendo MA, Mann JJ, Postolache TT. Plasma kynurenine levels are elevated in suicide attempters with major depressive disorder. Brain Behav Immun 2011; 25: 1272-1278.</w:t>
      </w:r>
      <w:bookmarkEnd w:id="50"/>
    </w:p>
    <w:p w14:paraId="57456829" w14:textId="77777777" w:rsidR="00723A4B" w:rsidRPr="00723A4B" w:rsidRDefault="00723A4B" w:rsidP="00723A4B">
      <w:pPr>
        <w:pStyle w:val="EndNoteBibliography"/>
        <w:ind w:left="720" w:hanging="720"/>
      </w:pPr>
      <w:bookmarkStart w:id="51" w:name="_ENREF_47"/>
      <w:r w:rsidRPr="00723A4B">
        <w:t>47)</w:t>
      </w:r>
      <w:r w:rsidRPr="00723A4B">
        <w:tab/>
        <w:t>Mándi Y, Vécsei L. The kynurenine system and immunoregulation. J Neural Transm (Vienna) 2012; 119: 197-209.</w:t>
      </w:r>
      <w:bookmarkEnd w:id="51"/>
    </w:p>
    <w:p w14:paraId="21218EB4" w14:textId="77777777" w:rsidR="00723A4B" w:rsidRPr="00723A4B" w:rsidRDefault="00723A4B" w:rsidP="00723A4B">
      <w:pPr>
        <w:pStyle w:val="EndNoteBibliography"/>
        <w:ind w:left="720" w:hanging="720"/>
      </w:pPr>
      <w:bookmarkStart w:id="52" w:name="_ENREF_48"/>
      <w:r w:rsidRPr="00723A4B">
        <w:t>48)</w:t>
      </w:r>
      <w:r w:rsidRPr="00723A4B">
        <w:tab/>
        <w:t>Schwieler L, Larsson MK, Skogh E, Kegel ME, Orhan F, Abdelmoaty S, Finn A, Bhat M, Samuelsson M, Lundberg K, Dahl ML, Sellgren C, Schuppe-Koistinen I, Svensson C, Erhardt S, Engberg G. Increased levels of IL-6 in the cerebrospinal fluid of patients with chronic schizophrenia--significance for activation of the kynurenine pathway. J Psychiatry Neurosci 2015; 40: 126-133.</w:t>
      </w:r>
      <w:bookmarkEnd w:id="52"/>
    </w:p>
    <w:p w14:paraId="22467B3E" w14:textId="77777777" w:rsidR="00723A4B" w:rsidRPr="00723A4B" w:rsidRDefault="00723A4B" w:rsidP="00723A4B">
      <w:pPr>
        <w:pStyle w:val="EndNoteBibliography"/>
        <w:ind w:left="720" w:hanging="720"/>
      </w:pPr>
      <w:bookmarkStart w:id="53" w:name="_ENREF_49"/>
      <w:r w:rsidRPr="00723A4B">
        <w:t>49)</w:t>
      </w:r>
      <w:r w:rsidRPr="00723A4B">
        <w:tab/>
        <w:t>Urata Y, Koga K, Hirota Y, Akiyama I, Izumi G, Takamura M, Nagai M, Harada M, Hirata T, Yoshino O, Kawana K, Fujii T, Osuga Y. IL-1β increases expression of tryptophan 2,3-dioxygenase and stimulates tryptophan catabolism in endometrioma stromal cells. Am J Reprod Immunol 2014; 72: 496-503.</w:t>
      </w:r>
      <w:bookmarkEnd w:id="53"/>
    </w:p>
    <w:p w14:paraId="69319510" w14:textId="77777777" w:rsidR="00723A4B" w:rsidRPr="00723A4B" w:rsidRDefault="00723A4B" w:rsidP="00723A4B">
      <w:pPr>
        <w:pStyle w:val="EndNoteBibliography"/>
        <w:ind w:left="720" w:hanging="720"/>
      </w:pPr>
      <w:bookmarkStart w:id="54" w:name="_ENREF_50"/>
      <w:r w:rsidRPr="00723A4B">
        <w:t>50)</w:t>
      </w:r>
      <w:r w:rsidRPr="00723A4B">
        <w:tab/>
        <w:t>Schwarcz R, Whetsell WO, Jr., Mangano RM. Quinolinic acid: an endogenous metabolite that produces axon-sparing lesions in rat brain. Science (1979) 1983; 219: 316-318.</w:t>
      </w:r>
      <w:bookmarkEnd w:id="54"/>
    </w:p>
    <w:p w14:paraId="11B66FCF" w14:textId="77777777" w:rsidR="00723A4B" w:rsidRPr="00723A4B" w:rsidRDefault="00723A4B" w:rsidP="00723A4B">
      <w:pPr>
        <w:pStyle w:val="EndNoteBibliography"/>
        <w:ind w:left="720" w:hanging="720"/>
      </w:pPr>
      <w:bookmarkStart w:id="55" w:name="_ENREF_51"/>
      <w:r w:rsidRPr="00723A4B">
        <w:t>51)</w:t>
      </w:r>
      <w:r w:rsidRPr="00723A4B">
        <w:tab/>
        <w:t>Stone TW. Neuropharmacology of quinolinic and kynurenic acids. Pharmacol Rev 1993; 45: 309-379.</w:t>
      </w:r>
      <w:bookmarkEnd w:id="55"/>
    </w:p>
    <w:p w14:paraId="128DEE65" w14:textId="77777777" w:rsidR="00723A4B" w:rsidRPr="00723A4B" w:rsidRDefault="00723A4B" w:rsidP="00723A4B">
      <w:pPr>
        <w:pStyle w:val="EndNoteBibliography"/>
        <w:ind w:left="720" w:hanging="720"/>
      </w:pPr>
      <w:bookmarkStart w:id="56" w:name="_ENREF_52"/>
      <w:r w:rsidRPr="00723A4B">
        <w:t>52)</w:t>
      </w:r>
      <w:r w:rsidRPr="00723A4B">
        <w:tab/>
        <w:t>de Carvalho LP, Bochet P, Rossier J. The endogenous agonist quinolinic acid and the non endogenous homoquinolinic acid discriminate between NMDAR2 receptor subunits. Neurochem Int 1996; 28: 445-452.</w:t>
      </w:r>
      <w:bookmarkEnd w:id="56"/>
    </w:p>
    <w:p w14:paraId="7E463907" w14:textId="77777777" w:rsidR="00723A4B" w:rsidRPr="00723A4B" w:rsidRDefault="00723A4B" w:rsidP="00723A4B">
      <w:pPr>
        <w:pStyle w:val="EndNoteBibliography"/>
        <w:ind w:left="720" w:hanging="720"/>
      </w:pPr>
      <w:bookmarkStart w:id="57" w:name="_ENREF_53"/>
      <w:r w:rsidRPr="00723A4B">
        <w:lastRenderedPageBreak/>
        <w:t>53)</w:t>
      </w:r>
      <w:r w:rsidRPr="00723A4B">
        <w:tab/>
        <w:t>Pláteník J, Stopka P, Vejrazka M, Stípek S. Quinolinic acid-iron(ii) complexes: slow autoxidation, but enhanced hydroxyl radical production in the Fenton reaction. Free Radic Res 2001; 34: 445-459.</w:t>
      </w:r>
      <w:bookmarkEnd w:id="57"/>
    </w:p>
    <w:p w14:paraId="1D10DF0A" w14:textId="77777777" w:rsidR="00723A4B" w:rsidRPr="00723A4B" w:rsidRDefault="00723A4B" w:rsidP="00723A4B">
      <w:pPr>
        <w:pStyle w:val="EndNoteBibliography"/>
        <w:ind w:left="720" w:hanging="720"/>
      </w:pPr>
      <w:bookmarkStart w:id="58" w:name="_ENREF_54"/>
      <w:r w:rsidRPr="00723A4B">
        <w:t>54)</w:t>
      </w:r>
      <w:r w:rsidRPr="00723A4B">
        <w:tab/>
        <w:t>Tavares RG, Tasca CI, Santos CE, Wajner M, Souza DO, Dutra-Filho CS. Quinolinic acid inhibits glutamate uptake into synaptic vesicles from rat brain. Neuroreport 2000; 11: 249-253.</w:t>
      </w:r>
      <w:bookmarkEnd w:id="58"/>
    </w:p>
    <w:p w14:paraId="325765BA" w14:textId="77777777" w:rsidR="00723A4B" w:rsidRPr="00723A4B" w:rsidRDefault="00723A4B" w:rsidP="00723A4B">
      <w:pPr>
        <w:pStyle w:val="EndNoteBibliography"/>
        <w:ind w:left="720" w:hanging="720"/>
      </w:pPr>
      <w:bookmarkStart w:id="59" w:name="_ENREF_55"/>
      <w:r w:rsidRPr="00723A4B">
        <w:t>55)</w:t>
      </w:r>
      <w:r w:rsidRPr="00723A4B">
        <w:tab/>
        <w:t>Guillemin GJ, Croitoru-Lamoury J, Dormont D, Armati PJ, Brew BJ. Quinolinic acid upregulates chemokine production and chemokine receptor expression in astrocytes. Glia 2003; 41: 371-381.</w:t>
      </w:r>
      <w:bookmarkEnd w:id="59"/>
    </w:p>
    <w:p w14:paraId="1685827D" w14:textId="77777777" w:rsidR="00723A4B" w:rsidRPr="00723A4B" w:rsidRDefault="00723A4B" w:rsidP="00723A4B">
      <w:pPr>
        <w:pStyle w:val="EndNoteBibliography"/>
        <w:ind w:left="720" w:hanging="720"/>
      </w:pPr>
      <w:bookmarkStart w:id="60" w:name="_ENREF_56"/>
      <w:r w:rsidRPr="00723A4B">
        <w:t>56)</w:t>
      </w:r>
      <w:r w:rsidRPr="00723A4B">
        <w:tab/>
        <w:t>Stone TW, Stoy N, Darlington LG. An expanding range of targets for kynurenine metabolites of tryptophan. Trends Pharmacol Sci 2013; 34: 136-143.</w:t>
      </w:r>
      <w:bookmarkEnd w:id="60"/>
    </w:p>
    <w:p w14:paraId="3CCDFE03" w14:textId="77777777" w:rsidR="00723A4B" w:rsidRPr="00723A4B" w:rsidRDefault="00723A4B" w:rsidP="00723A4B">
      <w:pPr>
        <w:pStyle w:val="EndNoteBibliography"/>
        <w:ind w:left="720" w:hanging="720"/>
      </w:pPr>
      <w:bookmarkStart w:id="61" w:name="_ENREF_57"/>
      <w:r w:rsidRPr="00723A4B">
        <w:t>57)</w:t>
      </w:r>
      <w:r w:rsidRPr="00723A4B">
        <w:tab/>
        <w:t>Erhardt S, Olsson SK, Engberg G. Pharmacological manipulation of kynurenic acid: potential in the treatment of psychiatric disorders. CNS Drugs 2009; 23: 91-101.</w:t>
      </w:r>
      <w:bookmarkEnd w:id="61"/>
    </w:p>
    <w:p w14:paraId="28A2A223" w14:textId="77777777" w:rsidR="00723A4B" w:rsidRPr="00723A4B" w:rsidRDefault="00723A4B" w:rsidP="00723A4B">
      <w:pPr>
        <w:pStyle w:val="EndNoteBibliography"/>
        <w:ind w:left="720" w:hanging="720"/>
      </w:pPr>
      <w:bookmarkStart w:id="62" w:name="_ENREF_58"/>
      <w:r w:rsidRPr="00723A4B">
        <w:t>58)</w:t>
      </w:r>
      <w:r w:rsidRPr="00723A4B">
        <w:tab/>
        <w:t>Linderholm KR, Skogh E, Olsson SK, Dahl ML, Holtze M, Engberg G, Samuelsson M, Erhardt S. Increased levels of kynurenine and kynurenic acid in the CSF of patients with schizophrenia. Schizophr Bull 2012; 38: 426-432.</w:t>
      </w:r>
      <w:bookmarkEnd w:id="62"/>
    </w:p>
    <w:p w14:paraId="0A601B5B" w14:textId="77777777" w:rsidR="00723A4B" w:rsidRPr="00723A4B" w:rsidRDefault="00723A4B" w:rsidP="00723A4B">
      <w:pPr>
        <w:pStyle w:val="EndNoteBibliography"/>
        <w:ind w:left="720" w:hanging="720"/>
      </w:pPr>
      <w:bookmarkStart w:id="63" w:name="_ENREF_59"/>
      <w:r w:rsidRPr="00723A4B">
        <w:t>59)</w:t>
      </w:r>
      <w:r w:rsidRPr="00723A4B">
        <w:tab/>
        <w:t>Brundin L, Sellgren CM, Lim CK, Grit J, Pålsson E, Landén M, Samuelsson M, Lundgren K, Brundin P, Fuchs D, Postolache TT, Traskman-Bendz L, Guillemin GJ, Erhardt S. An enzyme in the kynurenine pathway that governs vulnerability to suicidal behavior by regulating excitotoxicity and neuroinflammation. Transl Psychiatry 2016; 6: e865.</w:t>
      </w:r>
      <w:bookmarkEnd w:id="63"/>
    </w:p>
    <w:p w14:paraId="5C49D6A1" w14:textId="77777777" w:rsidR="00723A4B" w:rsidRPr="00723A4B" w:rsidRDefault="00723A4B" w:rsidP="00723A4B">
      <w:pPr>
        <w:pStyle w:val="EndNoteBibliography"/>
        <w:ind w:left="720" w:hanging="720"/>
      </w:pPr>
      <w:bookmarkStart w:id="64" w:name="_ENREF_60"/>
      <w:r w:rsidRPr="00723A4B">
        <w:t>60)</w:t>
      </w:r>
      <w:r w:rsidRPr="00723A4B">
        <w:tab/>
        <w:t>Erhardt S, Lim CK, Linderholm KR, Janelidze S, Lindqvist D, Samuelsson M, Lundberg K, Postolache TT, Träskman-Bendz L, Guillemin GJ, Brundin L. Connecting inflammation with glutamate agonism in suicidality. Neuropsychopharmacology 2013; 38: 743-752.</w:t>
      </w:r>
      <w:bookmarkEnd w:id="64"/>
    </w:p>
    <w:p w14:paraId="11DF8ABC" w14:textId="77777777" w:rsidR="00723A4B" w:rsidRPr="00723A4B" w:rsidRDefault="00723A4B" w:rsidP="00723A4B">
      <w:pPr>
        <w:pStyle w:val="EndNoteBibliography"/>
        <w:ind w:left="720" w:hanging="720"/>
      </w:pPr>
      <w:bookmarkStart w:id="65" w:name="_ENREF_61"/>
      <w:r w:rsidRPr="00723A4B">
        <w:t>61)</w:t>
      </w:r>
      <w:r w:rsidRPr="00723A4B">
        <w:tab/>
        <w:t xml:space="preserve">Bay-Richter C, Linderholm KR, Lim CK, Samuelsson M, Träskman-Bendz L, Guillemin GJ, Erhardt S, Brundin L. A role for inflammatory metabolites as </w:t>
      </w:r>
      <w:r w:rsidRPr="00723A4B">
        <w:lastRenderedPageBreak/>
        <w:t>modulators of the glutamate N-methyl-D-aspartate receptor in depression and suicidality. Brain Behav Immun 2015; 43: 110-117.</w:t>
      </w:r>
      <w:bookmarkEnd w:id="65"/>
    </w:p>
    <w:p w14:paraId="14237C58" w14:textId="77777777" w:rsidR="00723A4B" w:rsidRPr="00723A4B" w:rsidRDefault="00723A4B" w:rsidP="00723A4B">
      <w:pPr>
        <w:pStyle w:val="EndNoteBibliography"/>
        <w:ind w:left="720" w:hanging="720"/>
      </w:pPr>
      <w:bookmarkStart w:id="66" w:name="_ENREF_62"/>
      <w:r w:rsidRPr="00723A4B">
        <w:t>62)</w:t>
      </w:r>
      <w:r w:rsidRPr="00723A4B">
        <w:tab/>
        <w:t>Pandey GN. Biological basis of suicide and suicidal behavior. Bipolar Disord 2013; 15: 524-541.</w:t>
      </w:r>
      <w:bookmarkEnd w:id="66"/>
    </w:p>
    <w:p w14:paraId="3ACB47B1" w14:textId="77777777" w:rsidR="00723A4B" w:rsidRPr="00723A4B" w:rsidRDefault="00723A4B" w:rsidP="00723A4B">
      <w:pPr>
        <w:pStyle w:val="EndNoteBibliography"/>
        <w:ind w:left="720" w:hanging="720"/>
      </w:pPr>
      <w:bookmarkStart w:id="67" w:name="_ENREF_63"/>
      <w:r w:rsidRPr="00723A4B">
        <w:t>63)</w:t>
      </w:r>
      <w:r w:rsidRPr="00723A4B">
        <w:tab/>
        <w:t>Oquendo MA, Sullivan GM, Sudol K, Baca-Garcia E, Stanley BH, Sublette ME, Mann JJ. Toward a biosignature for suicide. Am J Psychiatry 2014; 171: 1259-1277.</w:t>
      </w:r>
      <w:bookmarkEnd w:id="67"/>
    </w:p>
    <w:p w14:paraId="3AB27CA8" w14:textId="77777777" w:rsidR="00723A4B" w:rsidRPr="00723A4B" w:rsidRDefault="00723A4B" w:rsidP="00723A4B">
      <w:pPr>
        <w:pStyle w:val="EndNoteBibliography"/>
        <w:ind w:left="720" w:hanging="720"/>
      </w:pPr>
      <w:bookmarkStart w:id="68" w:name="_ENREF_64"/>
      <w:r w:rsidRPr="00723A4B">
        <w:t>64)</w:t>
      </w:r>
      <w:r w:rsidRPr="00723A4B">
        <w:tab/>
        <w:t>Zhu CB, Blakely RD, Hewlett WA. The proinflammatory cytokines interleukin-1beta and tumor necrosis factor-alpha activate serotonin transporters. Neuropsychopharmacology 2006; 31: 2121-2131.</w:t>
      </w:r>
      <w:bookmarkEnd w:id="68"/>
    </w:p>
    <w:p w14:paraId="313C527C" w14:textId="77777777" w:rsidR="00723A4B" w:rsidRPr="00723A4B" w:rsidRDefault="00723A4B" w:rsidP="00723A4B">
      <w:pPr>
        <w:pStyle w:val="EndNoteBibliography"/>
        <w:ind w:left="720" w:hanging="720"/>
      </w:pPr>
      <w:bookmarkStart w:id="69" w:name="_ENREF_65"/>
      <w:r w:rsidRPr="00723A4B">
        <w:t>65)</w:t>
      </w:r>
      <w:r w:rsidRPr="00723A4B">
        <w:tab/>
        <w:t>Capuron L, Raison CL, Musselman DL, Lawson DH, Nemeroff CB, Miller AH. Association of exaggerated HPA axis response to the initial injection of interferon-alpha with development of depression during interferon-alpha therapy. Am J Psychiatry 2003; 160: 1342-1345.</w:t>
      </w:r>
      <w:bookmarkEnd w:id="69"/>
    </w:p>
    <w:p w14:paraId="75C80AC1" w14:textId="77777777" w:rsidR="00723A4B" w:rsidRPr="00723A4B" w:rsidRDefault="00723A4B" w:rsidP="00723A4B">
      <w:pPr>
        <w:pStyle w:val="EndNoteBibliography"/>
        <w:ind w:left="720" w:hanging="720"/>
      </w:pPr>
      <w:bookmarkStart w:id="70" w:name="_ENREF_66"/>
      <w:r w:rsidRPr="00723A4B">
        <w:t>66)</w:t>
      </w:r>
      <w:r w:rsidRPr="00723A4B">
        <w:tab/>
        <w:t>Berardelli I, Serafini G, Cortese N, Fiaschè F, O’connor RC, Pompili M. The Involvement of Hypothalamus–Pituitary–Adrenal (HPA) Axis in Suicide Risk. Brain Sci 2020; 10: 653.</w:t>
      </w:r>
      <w:bookmarkEnd w:id="70"/>
    </w:p>
    <w:p w14:paraId="4E35B48E" w14:textId="77777777" w:rsidR="00723A4B" w:rsidRPr="00723A4B" w:rsidRDefault="00723A4B" w:rsidP="00723A4B">
      <w:pPr>
        <w:pStyle w:val="EndNoteBibliography"/>
        <w:ind w:left="720" w:hanging="720"/>
      </w:pPr>
      <w:bookmarkStart w:id="71" w:name="_ENREF_67"/>
      <w:r w:rsidRPr="00723A4B">
        <w:t>67)</w:t>
      </w:r>
      <w:r w:rsidRPr="00723A4B">
        <w:tab/>
        <w:t>Dunn AJ. Cytokine activation of the HPA axis. Ann N Y Acad Sci 2000; 917: 608-617.</w:t>
      </w:r>
      <w:bookmarkEnd w:id="71"/>
    </w:p>
    <w:p w14:paraId="6E0B3006" w14:textId="77777777" w:rsidR="00723A4B" w:rsidRPr="00723A4B" w:rsidRDefault="00723A4B" w:rsidP="00723A4B">
      <w:pPr>
        <w:pStyle w:val="EndNoteBibliography"/>
        <w:ind w:left="720" w:hanging="720"/>
      </w:pPr>
      <w:bookmarkStart w:id="72" w:name="_ENREF_68"/>
      <w:r w:rsidRPr="00723A4B">
        <w:t>68)</w:t>
      </w:r>
      <w:r w:rsidRPr="00723A4B">
        <w:tab/>
        <w:t>Himmerich H, Patsalos O, Lichtblau N, Ibrahim MA, Dalton B. Cytokine research in depression: principles, challenges, and open questions. Front Psychiatry 2019; 10: 30.</w:t>
      </w:r>
      <w:bookmarkEnd w:id="72"/>
    </w:p>
    <w:p w14:paraId="763D3986" w14:textId="77777777" w:rsidR="00723A4B" w:rsidRPr="00723A4B" w:rsidRDefault="00723A4B" w:rsidP="00723A4B">
      <w:pPr>
        <w:pStyle w:val="EndNoteBibliography"/>
        <w:ind w:left="720" w:hanging="720"/>
      </w:pPr>
      <w:bookmarkStart w:id="73" w:name="_ENREF_69"/>
      <w:r w:rsidRPr="00723A4B">
        <w:t>69)</w:t>
      </w:r>
      <w:r w:rsidRPr="00723A4B">
        <w:tab/>
        <w:t>Lucaciu LA, Dumitrascu DL. Depression and suicide ideation in chronic hepatitis C patients untreated and treated with interferon: prevalence, prevention, and treatment. Ann Gastroenterol 2015; 28: 440-447.</w:t>
      </w:r>
      <w:bookmarkEnd w:id="73"/>
    </w:p>
    <w:p w14:paraId="71B53A8A" w14:textId="77777777" w:rsidR="00723A4B" w:rsidRPr="00723A4B" w:rsidRDefault="00723A4B" w:rsidP="00723A4B">
      <w:pPr>
        <w:pStyle w:val="EndNoteBibliography"/>
        <w:ind w:left="720" w:hanging="720"/>
      </w:pPr>
      <w:bookmarkStart w:id="74" w:name="_ENREF_70"/>
      <w:r w:rsidRPr="00723A4B">
        <w:t>70)</w:t>
      </w:r>
      <w:r w:rsidRPr="00723A4B">
        <w:tab/>
        <w:t>Okusaga O, Yolken RH, Langenberg P, Lapidus M, Arling TA, Dickerson FB, Scrandis DA, Severance E, Cabassa JA, Balis T, Postolache TT. Association of seropositivity for influenza and coronaviruses with history of mood disorders and suicide attempts. J Affect Disord 2011; 130: 220-225.</w:t>
      </w:r>
      <w:bookmarkEnd w:id="74"/>
    </w:p>
    <w:p w14:paraId="4C2D18AF" w14:textId="77777777" w:rsidR="00723A4B" w:rsidRPr="00723A4B" w:rsidRDefault="00723A4B" w:rsidP="00723A4B">
      <w:pPr>
        <w:pStyle w:val="EndNoteBibliography"/>
        <w:ind w:left="720" w:hanging="720"/>
      </w:pPr>
      <w:bookmarkStart w:id="75" w:name="_ENREF_71"/>
      <w:r w:rsidRPr="00723A4B">
        <w:lastRenderedPageBreak/>
        <w:t>71)</w:t>
      </w:r>
      <w:r w:rsidRPr="00723A4B">
        <w:tab/>
        <w:t>Bransfield RC. Suicide and Lyme and associated diseases. Neuropsychiatr Dis Treat 2017; 13: 1575-1587.</w:t>
      </w:r>
      <w:bookmarkEnd w:id="75"/>
    </w:p>
    <w:p w14:paraId="46351F35" w14:textId="77777777" w:rsidR="00723A4B" w:rsidRPr="00723A4B" w:rsidRDefault="00723A4B" w:rsidP="00723A4B">
      <w:pPr>
        <w:pStyle w:val="EndNoteBibliography"/>
        <w:ind w:left="720" w:hanging="720"/>
      </w:pPr>
      <w:bookmarkStart w:id="76" w:name="_ENREF_72"/>
      <w:r w:rsidRPr="00723A4B">
        <w:t>72)</w:t>
      </w:r>
      <w:r w:rsidRPr="00723A4B">
        <w:tab/>
        <w:t>Halperin JJ, Heyes MP. Neuroactive kynurenines in Lyme borreliosis. Neurology 1992; 42: 43-50.</w:t>
      </w:r>
      <w:bookmarkEnd w:id="76"/>
    </w:p>
    <w:p w14:paraId="0F8232D0" w14:textId="77777777" w:rsidR="00723A4B" w:rsidRPr="00723A4B" w:rsidRDefault="00723A4B" w:rsidP="00723A4B">
      <w:pPr>
        <w:pStyle w:val="EndNoteBibliography"/>
        <w:ind w:left="720" w:hanging="720"/>
      </w:pPr>
      <w:bookmarkStart w:id="77" w:name="_ENREF_73"/>
      <w:r w:rsidRPr="00723A4B">
        <w:t>73)</w:t>
      </w:r>
      <w:r w:rsidRPr="00723A4B">
        <w:tab/>
        <w:t>Serafini G, Montebovi F, Lamis DA, Erbuto D, Girardi P, Amore M, Pompili M. Associations among depression, suicidal behavior, and quality of life in patients with human immunodeficiency virus. World J Virol 2015; 4: 303-312.</w:t>
      </w:r>
      <w:bookmarkEnd w:id="77"/>
    </w:p>
    <w:p w14:paraId="249A335D" w14:textId="77777777" w:rsidR="00723A4B" w:rsidRPr="00723A4B" w:rsidRDefault="00723A4B" w:rsidP="00723A4B">
      <w:pPr>
        <w:pStyle w:val="EndNoteBibliography"/>
        <w:ind w:left="720" w:hanging="720"/>
      </w:pPr>
      <w:bookmarkStart w:id="78" w:name="_ENREF_74"/>
      <w:r w:rsidRPr="00723A4B">
        <w:t>74)</w:t>
      </w:r>
      <w:r w:rsidRPr="00723A4B">
        <w:tab/>
        <w:t>Ling VJ, Lester D, Mortensen PB, Langenberg PW, Postolache TT. Toxoplasma gondii seropositivity and suicide rates in women. J Nerv Ment Dis 2011; 199: 440-444.</w:t>
      </w:r>
      <w:bookmarkEnd w:id="78"/>
    </w:p>
    <w:p w14:paraId="2F83F083" w14:textId="77777777" w:rsidR="00723A4B" w:rsidRPr="00723A4B" w:rsidRDefault="00723A4B" w:rsidP="00723A4B">
      <w:pPr>
        <w:pStyle w:val="EndNoteBibliography"/>
        <w:ind w:left="720" w:hanging="720"/>
      </w:pPr>
      <w:bookmarkStart w:id="79" w:name="_ENREF_75"/>
      <w:r w:rsidRPr="00723A4B">
        <w:t>75)</w:t>
      </w:r>
      <w:r w:rsidRPr="00723A4B">
        <w:tab/>
        <w:t>Lund-Sørensen H, Benros ME, Madsen T, Sørensen HJ, Eaton WW, Postolache TT, Nordentoft M, Erlangsen A. A nationwide cohort study of the association between hospitalization with infection and risk of death by suicide. JAMA Psychiatry 2016; 73: 912-919.</w:t>
      </w:r>
      <w:bookmarkEnd w:id="79"/>
    </w:p>
    <w:p w14:paraId="0FD9624A" w14:textId="77777777" w:rsidR="00723A4B" w:rsidRPr="00723A4B" w:rsidRDefault="00723A4B" w:rsidP="00723A4B">
      <w:pPr>
        <w:pStyle w:val="EndNoteBibliography"/>
        <w:ind w:left="720" w:hanging="720"/>
      </w:pPr>
      <w:bookmarkStart w:id="80" w:name="_ENREF_76"/>
      <w:r w:rsidRPr="00723A4B">
        <w:t>76)</w:t>
      </w:r>
      <w:r w:rsidRPr="00723A4B">
        <w:tab/>
        <w:t>Felsenstein S, Herbert JA, McNamara PS, Hedrich CM. COVID-19: Immunology and treatment options. Clin Immunol 2020; 215: 108448.</w:t>
      </w:r>
      <w:bookmarkEnd w:id="80"/>
    </w:p>
    <w:p w14:paraId="3C77A6CE" w14:textId="77777777" w:rsidR="00723A4B" w:rsidRPr="00723A4B" w:rsidRDefault="00723A4B" w:rsidP="00723A4B">
      <w:pPr>
        <w:pStyle w:val="EndNoteBibliography"/>
        <w:ind w:left="720" w:hanging="720"/>
      </w:pPr>
      <w:bookmarkStart w:id="81" w:name="_ENREF_77"/>
      <w:r w:rsidRPr="00723A4B">
        <w:t>77)</w:t>
      </w:r>
      <w:r w:rsidRPr="00723A4B">
        <w:tab/>
        <w:t>Asadi-Pooya AA, Simani L. Central nervous system manifestations of COVID-19: A systematic review. J Neurol Sci 2020; 413: 116832.</w:t>
      </w:r>
      <w:bookmarkEnd w:id="81"/>
    </w:p>
    <w:p w14:paraId="1F0EE116" w14:textId="77777777" w:rsidR="00723A4B" w:rsidRPr="00723A4B" w:rsidRDefault="00723A4B" w:rsidP="00723A4B">
      <w:pPr>
        <w:pStyle w:val="EndNoteBibliography"/>
        <w:ind w:left="720" w:hanging="720"/>
      </w:pPr>
      <w:bookmarkStart w:id="82" w:name="_ENREF_78"/>
      <w:r w:rsidRPr="00723A4B">
        <w:t>78)</w:t>
      </w:r>
      <w:r w:rsidRPr="00723A4B">
        <w:tab/>
        <w:t>Sher L. Are COVID-19 survivors at increased risk for suicide? Acta Neuropsychiatr 2020; 32: 270.</w:t>
      </w:r>
      <w:bookmarkEnd w:id="82"/>
    </w:p>
    <w:p w14:paraId="193A9945" w14:textId="77777777" w:rsidR="00723A4B" w:rsidRPr="00723A4B" w:rsidRDefault="00723A4B" w:rsidP="00723A4B">
      <w:pPr>
        <w:pStyle w:val="EndNoteBibliography"/>
        <w:ind w:left="720" w:hanging="720"/>
      </w:pPr>
      <w:bookmarkStart w:id="83" w:name="_ENREF_79"/>
      <w:r w:rsidRPr="00723A4B">
        <w:t>79)</w:t>
      </w:r>
      <w:r w:rsidRPr="00723A4B">
        <w:tab/>
        <w:t>Mao L, Jin H, Wang M, Hu Y, Chen S, He Q, Chang J, Hong C, Zhou Y, Wang D, Miao X, Li Y, Hu B. Neurologic manifestations of hospitalized patients with coronavirus disease 2019 in Wuhan, China. JAMA Neurol 2020; 77: 683-690.</w:t>
      </w:r>
      <w:bookmarkEnd w:id="83"/>
    </w:p>
    <w:p w14:paraId="3096B5FA" w14:textId="77777777" w:rsidR="00723A4B" w:rsidRPr="00723A4B" w:rsidRDefault="00723A4B" w:rsidP="00723A4B">
      <w:pPr>
        <w:pStyle w:val="EndNoteBibliography"/>
        <w:ind w:left="720" w:hanging="720"/>
      </w:pPr>
      <w:bookmarkStart w:id="84" w:name="_ENREF_80"/>
      <w:r w:rsidRPr="00723A4B">
        <w:t>80)</w:t>
      </w:r>
      <w:r w:rsidRPr="00723A4B">
        <w:tab/>
        <w:t>Wu Y, Xu X, Chen Z, Duan J, Hashimoto K, Yang L, Liu C, Yang C. Nervous system involvement after infection with COVID-19 and other coronaviruses. Brain Behav Immun 2020; 87: 18-22.</w:t>
      </w:r>
      <w:bookmarkEnd w:id="84"/>
    </w:p>
    <w:p w14:paraId="1187973A" w14:textId="77777777" w:rsidR="00723A4B" w:rsidRPr="00723A4B" w:rsidRDefault="00723A4B" w:rsidP="00723A4B">
      <w:pPr>
        <w:pStyle w:val="EndNoteBibliography"/>
        <w:ind w:left="720" w:hanging="720"/>
      </w:pPr>
      <w:bookmarkStart w:id="85" w:name="_ENREF_81"/>
      <w:r w:rsidRPr="00723A4B">
        <w:t>81)</w:t>
      </w:r>
      <w:r w:rsidRPr="00723A4B">
        <w:tab/>
        <w:t xml:space="preserve">Espindola OM, Siqueira M, Soares CN, Lima M, Leite A, Araujo AQC, Brandao CO, Silva MTT. Patients with COVID-19 and neurological manifestations show </w:t>
      </w:r>
      <w:r w:rsidRPr="00723A4B">
        <w:lastRenderedPageBreak/>
        <w:t>undetectable SARS-CoV-2 RNA levels in the cerebrospinal fluid. Int J Infect Dis 2020; 96: 567-569.</w:t>
      </w:r>
      <w:bookmarkEnd w:id="85"/>
    </w:p>
    <w:p w14:paraId="34A0D71C" w14:textId="77777777" w:rsidR="00723A4B" w:rsidRPr="00723A4B" w:rsidRDefault="00723A4B" w:rsidP="00723A4B">
      <w:pPr>
        <w:pStyle w:val="EndNoteBibliography"/>
        <w:ind w:left="720" w:hanging="720"/>
      </w:pPr>
      <w:bookmarkStart w:id="86" w:name="_ENREF_82"/>
      <w:r w:rsidRPr="00723A4B">
        <w:t>82)</w:t>
      </w:r>
      <w:r w:rsidRPr="00723A4B">
        <w:tab/>
        <w:t>Li Y, Hu Y, Yu J, Ma T. Retrospective analysis of laboratory testing in 54 patients with severe- or critical-type 2019 novel coronavirus pneumonia. Lab Invest 2020; 100: 794-800.</w:t>
      </w:r>
      <w:bookmarkEnd w:id="86"/>
    </w:p>
    <w:p w14:paraId="6FA06B90" w14:textId="77777777" w:rsidR="00723A4B" w:rsidRPr="00723A4B" w:rsidRDefault="00723A4B" w:rsidP="00723A4B">
      <w:pPr>
        <w:pStyle w:val="EndNoteBibliography"/>
        <w:ind w:left="720" w:hanging="720"/>
      </w:pPr>
      <w:bookmarkStart w:id="87" w:name="_ENREF_83"/>
      <w:r w:rsidRPr="00723A4B">
        <w:t>83)</w:t>
      </w:r>
      <w:r w:rsidRPr="00723A4B">
        <w:tab/>
        <w:t>Courtet P, Giner L, Seneque M, Guillaume S, Olie E, Ducasse D. Neuroinflammation in suicide: Toward a comprehensive model. World J Biol Psychiatry 2016; 17: 564-586.</w:t>
      </w:r>
      <w:bookmarkEnd w:id="87"/>
    </w:p>
    <w:p w14:paraId="1D3C44D0" w14:textId="6DC4A8C1" w:rsidR="00A93E81" w:rsidRDefault="00A93E81" w:rsidP="009117DC">
      <w:pPr>
        <w:pStyle w:val="MDPI62Acknowledgments"/>
        <w:spacing w:line="480" w:lineRule="auto"/>
        <w:rPr>
          <w:rFonts w:eastAsiaTheme="minorEastAsia"/>
          <w:lang w:eastAsia="ko-KR"/>
        </w:rPr>
      </w:pPr>
    </w:p>
    <w:p w14:paraId="644FF1FB" w14:textId="1CBD8317" w:rsidR="00A93E81" w:rsidRPr="00A93E81" w:rsidRDefault="00A93E81" w:rsidP="009117DC">
      <w:pPr>
        <w:tabs>
          <w:tab w:val="left" w:pos="3710"/>
        </w:tabs>
        <w:spacing w:line="480" w:lineRule="auto"/>
        <w:rPr>
          <w:rFonts w:eastAsiaTheme="minorEastAsia"/>
          <w:lang w:eastAsia="ko-KR" w:bidi="en-US"/>
        </w:rPr>
      </w:pPr>
      <w:r>
        <w:rPr>
          <w:rFonts w:eastAsiaTheme="minorEastAsia"/>
          <w:lang w:eastAsia="ko-KR" w:bidi="en-US"/>
        </w:rPr>
        <w:tab/>
      </w:r>
    </w:p>
    <w:sectPr w:rsidR="00A93E81" w:rsidRPr="00A93E81" w:rsidSect="007A138C">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6026D" w14:textId="77777777" w:rsidR="004E114F" w:rsidRDefault="004E114F">
      <w:pPr>
        <w:spacing w:line="240" w:lineRule="auto"/>
      </w:pPr>
      <w:r>
        <w:separator/>
      </w:r>
    </w:p>
  </w:endnote>
  <w:endnote w:type="continuationSeparator" w:id="0">
    <w:p w14:paraId="5DF86DEA" w14:textId="77777777" w:rsidR="004E114F" w:rsidRDefault="004E114F">
      <w:pPr>
        <w:spacing w:line="240" w:lineRule="auto"/>
      </w:pPr>
      <w:r>
        <w:continuationSeparator/>
      </w:r>
    </w:p>
  </w:endnote>
  <w:endnote w:type="continuationNotice" w:id="1">
    <w:p w14:paraId="1FA381CB" w14:textId="77777777" w:rsidR="004E114F" w:rsidRDefault="004E11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1훈솜사탕 R">
    <w:altName w:val="바탕"/>
    <w:charset w:val="81"/>
    <w:family w:val="roman"/>
    <w:pitch w:val="variable"/>
    <w:sig w:usb0="800002A7" w:usb1="09D77CF9" w:usb2="00000010" w:usb3="00000000" w:csb0="00080001"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8531752"/>
      <w:docPartObj>
        <w:docPartGallery w:val="Page Numbers (Bottom of Page)"/>
        <w:docPartUnique/>
      </w:docPartObj>
    </w:sdtPr>
    <w:sdtEndPr/>
    <w:sdtContent>
      <w:p w14:paraId="33126FDD" w14:textId="4C20BF97" w:rsidR="00046896" w:rsidRDefault="00046896">
        <w:pPr>
          <w:pStyle w:val="Footer"/>
          <w:jc w:val="center"/>
        </w:pPr>
        <w:r>
          <w:fldChar w:fldCharType="begin"/>
        </w:r>
        <w:r>
          <w:instrText>PAGE   \* MERGEFORMAT</w:instrText>
        </w:r>
        <w:r>
          <w:fldChar w:fldCharType="separate"/>
        </w:r>
        <w:r w:rsidR="0092199D" w:rsidRPr="0092199D">
          <w:rPr>
            <w:noProof/>
            <w:lang w:val="ko-KR" w:eastAsia="ko-KR"/>
          </w:rPr>
          <w:t>5</w:t>
        </w:r>
        <w:r>
          <w:fldChar w:fldCharType="end"/>
        </w:r>
      </w:p>
    </w:sdtContent>
  </w:sdt>
  <w:p w14:paraId="37FAFEEC" w14:textId="77777777" w:rsidR="00046896" w:rsidRDefault="000468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852510"/>
      <w:docPartObj>
        <w:docPartGallery w:val="Page Numbers (Bottom of Page)"/>
        <w:docPartUnique/>
      </w:docPartObj>
    </w:sdtPr>
    <w:sdtEndPr/>
    <w:sdtContent>
      <w:p w14:paraId="6C1CF21B" w14:textId="6E323CEC" w:rsidR="00046896" w:rsidRDefault="00046896">
        <w:pPr>
          <w:pStyle w:val="Footer"/>
          <w:jc w:val="center"/>
        </w:pPr>
        <w:r>
          <w:fldChar w:fldCharType="begin"/>
        </w:r>
        <w:r>
          <w:instrText>PAGE   \* MERGEFORMAT</w:instrText>
        </w:r>
        <w:r>
          <w:fldChar w:fldCharType="separate"/>
        </w:r>
        <w:r w:rsidR="0092199D" w:rsidRPr="0092199D">
          <w:rPr>
            <w:noProof/>
            <w:lang w:val="ko-KR" w:eastAsia="ko-KR"/>
          </w:rPr>
          <w:t>1</w:t>
        </w:r>
        <w:r>
          <w:fldChar w:fldCharType="end"/>
        </w:r>
      </w:p>
    </w:sdtContent>
  </w:sdt>
  <w:p w14:paraId="1203F12C" w14:textId="77777777" w:rsidR="00046896" w:rsidRDefault="000468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B45FB" w14:textId="77777777" w:rsidR="004E114F" w:rsidRDefault="004E114F">
      <w:pPr>
        <w:spacing w:line="240" w:lineRule="auto"/>
      </w:pPr>
      <w:r>
        <w:separator/>
      </w:r>
    </w:p>
  </w:footnote>
  <w:footnote w:type="continuationSeparator" w:id="0">
    <w:p w14:paraId="62D61CB0" w14:textId="77777777" w:rsidR="004E114F" w:rsidRDefault="004E114F">
      <w:pPr>
        <w:spacing w:line="240" w:lineRule="auto"/>
      </w:pPr>
      <w:r>
        <w:continuationSeparator/>
      </w:r>
    </w:p>
  </w:footnote>
  <w:footnote w:type="continuationNotice" w:id="1">
    <w:p w14:paraId="6114B680" w14:textId="77777777" w:rsidR="004E114F" w:rsidRDefault="004E114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1755B" w14:textId="77777777" w:rsidR="00046896" w:rsidRDefault="00046896" w:rsidP="004E30CF">
    <w:pPr>
      <w:pStyle w:val="Header"/>
      <w:pBdr>
        <w:bottom w:val="none" w:sz="0" w:space="0" w:color="auto"/>
      </w:pBdr>
    </w:pPr>
  </w:p>
  <w:p w14:paraId="51501187" w14:textId="77777777" w:rsidR="00046896" w:rsidRDefault="000468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2F3B0" w14:textId="0A1FEF06" w:rsidR="00046896" w:rsidRPr="00A568EE" w:rsidRDefault="00046896" w:rsidP="00A568EE">
    <w:pPr>
      <w:tabs>
        <w:tab w:val="right" w:pos="8844"/>
      </w:tabs>
      <w:adjustRightInd w:val="0"/>
      <w:snapToGrid w:val="0"/>
      <w:spacing w:after="240" w:line="240" w:lineRule="auto"/>
      <w:rPr>
        <w:rFonts w:ascii="Palatino Linotype" w:hAnsi="Palatino Linotype"/>
        <w:sz w:val="16"/>
      </w:rPr>
    </w:pPr>
    <w:r>
      <w:rPr>
        <w:rFonts w:ascii="Palatino Linotype" w:hAnsi="Palatino Linotype"/>
        <w:sz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DC5A" w14:textId="59A24A46" w:rsidR="00046896" w:rsidRDefault="00046896" w:rsidP="004E30CF">
    <w:pPr>
      <w:pStyle w:val="MDPIheaderjournallogo"/>
    </w:pPr>
    <w:r>
      <w:rPr>
        <w:noProof/>
        <w:lang w:eastAsia="ko-KR"/>
      </w:rPr>
      <mc:AlternateContent>
        <mc:Choice Requires="wps">
          <w:drawing>
            <wp:anchor distT="45720" distB="45720" distL="114300" distR="114300" simplePos="0" relativeHeight="251658240" behindDoc="1" locked="0" layoutInCell="1" allowOverlap="1" wp14:anchorId="6FBE1E15" wp14:editId="5F65A61B">
              <wp:simplePos x="0" y="0"/>
              <wp:positionH relativeFrom="page">
                <wp:posOffset>6029960</wp:posOffset>
              </wp:positionH>
              <wp:positionV relativeFrom="page">
                <wp:posOffset>647700</wp:posOffset>
              </wp:positionV>
              <wp:extent cx="114935" cy="70929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709295"/>
                      </a:xfrm>
                      <a:prstGeom prst="rect">
                        <a:avLst/>
                      </a:prstGeom>
                      <a:solidFill>
                        <a:srgbClr val="FFFFFF"/>
                      </a:solidFill>
                      <a:ln w="9525">
                        <a:noFill/>
                        <a:miter lim="800000"/>
                        <a:headEnd/>
                        <a:tailEnd/>
                      </a:ln>
                    </wps:spPr>
                    <wps:txbx>
                      <w:txbxContent>
                        <w:p w14:paraId="2F42B3BC" w14:textId="77777777" w:rsidR="00046896" w:rsidRDefault="00046896" w:rsidP="004E30CF">
                          <w:pPr>
                            <w:pStyle w:val="MDPIheaderjournallogo"/>
                            <w:jc w:val="center"/>
                            <w:textboxTightWrap w:val="allLines"/>
                            <w:rPr>
                              <w:i w:val="0"/>
                              <w:szCs w:val="16"/>
                            </w:rPr>
                          </w:pP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BE1E15" id="_x0000_t202" coordsize="21600,21600" o:spt="202" path="m,l,21600r21600,l21600,xe">
              <v:stroke joinstyle="miter"/>
              <v:path gradientshapeok="t" o:connecttype="rect"/>
            </v:shapetype>
            <v:shape id="Text Box 2" o:spid="_x0000_s1026" type="#_x0000_t202" style="position:absolute;margin-left:474.8pt;margin-top:51pt;width:9.05pt;height:55.85pt;z-index:-251658240;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" stroked="f">
              <v:textbox inset="0,0,0,0">
                <w:txbxContent>
                  <w:p w14:paraId="2F42B3BC" w14:textId="77777777" w:rsidR="00046896" w:rsidRDefault="00046896" w:rsidP="004E30CF">
                    <w:pPr>
                      <w:pStyle w:val="MDPIheaderjournallogo"/>
                      <w:jc w:val="center"/>
                      <w:textboxTightWrap w:val="allLines"/>
                      <w:rPr>
                        <w:i w:val="0"/>
                        <w:szCs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defaultTabStop w:val="4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ur Rev Med Pharmacol Sci&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ableBibliographyCategories&gt;0&lt;/EnableBibliographyCategories&gt;&lt;/ENLayout&gt;"/>
    <w:docVar w:name="EN.Libraries" w:val="&lt;Libraries&gt;&lt;item db-id=&quot;2zv2tsdwqpaf9eevfw4vvaz0dp502szxe0wt&quot;&gt;Suicide associated with COVID-19 infection&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record-ids&gt;&lt;/item&gt;&lt;/Libraries&gt;"/>
  </w:docVars>
  <w:rsids>
    <w:rsidRoot w:val="0048202F"/>
    <w:rsid w:val="00000E84"/>
    <w:rsid w:val="00003833"/>
    <w:rsid w:val="00003934"/>
    <w:rsid w:val="00006223"/>
    <w:rsid w:val="00010A18"/>
    <w:rsid w:val="00011495"/>
    <w:rsid w:val="0001628F"/>
    <w:rsid w:val="0002356F"/>
    <w:rsid w:val="000246AD"/>
    <w:rsid w:val="000326B8"/>
    <w:rsid w:val="000335D2"/>
    <w:rsid w:val="0003422D"/>
    <w:rsid w:val="0003674A"/>
    <w:rsid w:val="000405CA"/>
    <w:rsid w:val="00046896"/>
    <w:rsid w:val="00074543"/>
    <w:rsid w:val="00080C5A"/>
    <w:rsid w:val="00081195"/>
    <w:rsid w:val="000841ED"/>
    <w:rsid w:val="000851FE"/>
    <w:rsid w:val="00091FA9"/>
    <w:rsid w:val="000970ED"/>
    <w:rsid w:val="0009754D"/>
    <w:rsid w:val="00097576"/>
    <w:rsid w:val="000A6185"/>
    <w:rsid w:val="000A79B6"/>
    <w:rsid w:val="000B00C5"/>
    <w:rsid w:val="000B221C"/>
    <w:rsid w:val="000B3571"/>
    <w:rsid w:val="000B699B"/>
    <w:rsid w:val="000C13C9"/>
    <w:rsid w:val="000C2D68"/>
    <w:rsid w:val="000C6894"/>
    <w:rsid w:val="000D16CB"/>
    <w:rsid w:val="000D4ADA"/>
    <w:rsid w:val="000D608A"/>
    <w:rsid w:val="000D7E7B"/>
    <w:rsid w:val="000E2EC2"/>
    <w:rsid w:val="000E3740"/>
    <w:rsid w:val="000E3ADF"/>
    <w:rsid w:val="000E5D80"/>
    <w:rsid w:val="000F3BC3"/>
    <w:rsid w:val="000F5F64"/>
    <w:rsid w:val="000F656B"/>
    <w:rsid w:val="00101D63"/>
    <w:rsid w:val="00103896"/>
    <w:rsid w:val="00106B3A"/>
    <w:rsid w:val="00110CAF"/>
    <w:rsid w:val="00110DDB"/>
    <w:rsid w:val="001146EE"/>
    <w:rsid w:val="00114AE6"/>
    <w:rsid w:val="00125A15"/>
    <w:rsid w:val="0012717F"/>
    <w:rsid w:val="001339C3"/>
    <w:rsid w:val="00140C14"/>
    <w:rsid w:val="00142894"/>
    <w:rsid w:val="0014397C"/>
    <w:rsid w:val="00144D34"/>
    <w:rsid w:val="001508F0"/>
    <w:rsid w:val="0015284F"/>
    <w:rsid w:val="001529C1"/>
    <w:rsid w:val="00154C9B"/>
    <w:rsid w:val="001608AE"/>
    <w:rsid w:val="00166D3A"/>
    <w:rsid w:val="00167E7D"/>
    <w:rsid w:val="0017367C"/>
    <w:rsid w:val="001863A0"/>
    <w:rsid w:val="0019011F"/>
    <w:rsid w:val="00190851"/>
    <w:rsid w:val="00191E55"/>
    <w:rsid w:val="00195DE1"/>
    <w:rsid w:val="00197747"/>
    <w:rsid w:val="001C571F"/>
    <w:rsid w:val="001C670B"/>
    <w:rsid w:val="001C7D8E"/>
    <w:rsid w:val="001D54A2"/>
    <w:rsid w:val="001D5A57"/>
    <w:rsid w:val="001E2AEB"/>
    <w:rsid w:val="001E37E3"/>
    <w:rsid w:val="0020329D"/>
    <w:rsid w:val="002034CB"/>
    <w:rsid w:val="00203968"/>
    <w:rsid w:val="00204371"/>
    <w:rsid w:val="00207336"/>
    <w:rsid w:val="0021316E"/>
    <w:rsid w:val="00214C62"/>
    <w:rsid w:val="002202CC"/>
    <w:rsid w:val="002205A0"/>
    <w:rsid w:val="00220650"/>
    <w:rsid w:val="002227BE"/>
    <w:rsid w:val="00226058"/>
    <w:rsid w:val="002267E1"/>
    <w:rsid w:val="002320F5"/>
    <w:rsid w:val="0023609C"/>
    <w:rsid w:val="00236B12"/>
    <w:rsid w:val="00240ECE"/>
    <w:rsid w:val="00247BD7"/>
    <w:rsid w:val="00251B08"/>
    <w:rsid w:val="00255111"/>
    <w:rsid w:val="00256100"/>
    <w:rsid w:val="0025738D"/>
    <w:rsid w:val="00260D06"/>
    <w:rsid w:val="00263D4D"/>
    <w:rsid w:val="00273606"/>
    <w:rsid w:val="00280833"/>
    <w:rsid w:val="00280D29"/>
    <w:rsid w:val="00280D4A"/>
    <w:rsid w:val="00282683"/>
    <w:rsid w:val="00291823"/>
    <w:rsid w:val="002926C9"/>
    <w:rsid w:val="002942C7"/>
    <w:rsid w:val="0029632F"/>
    <w:rsid w:val="0029636D"/>
    <w:rsid w:val="002A2839"/>
    <w:rsid w:val="002A4B0D"/>
    <w:rsid w:val="002B7CC1"/>
    <w:rsid w:val="002C2F6A"/>
    <w:rsid w:val="002D3084"/>
    <w:rsid w:val="002E373F"/>
    <w:rsid w:val="002F4057"/>
    <w:rsid w:val="002F4E8E"/>
    <w:rsid w:val="002F5B0E"/>
    <w:rsid w:val="00301815"/>
    <w:rsid w:val="00305109"/>
    <w:rsid w:val="0031079B"/>
    <w:rsid w:val="00315BD7"/>
    <w:rsid w:val="00320C00"/>
    <w:rsid w:val="00321B29"/>
    <w:rsid w:val="00323A6A"/>
    <w:rsid w:val="00326141"/>
    <w:rsid w:val="00346334"/>
    <w:rsid w:val="00350F56"/>
    <w:rsid w:val="003512E3"/>
    <w:rsid w:val="00353315"/>
    <w:rsid w:val="003557F4"/>
    <w:rsid w:val="00356FA4"/>
    <w:rsid w:val="00362A77"/>
    <w:rsid w:val="0037367B"/>
    <w:rsid w:val="00385CA7"/>
    <w:rsid w:val="00386131"/>
    <w:rsid w:val="00386725"/>
    <w:rsid w:val="0039244C"/>
    <w:rsid w:val="003932EC"/>
    <w:rsid w:val="00395C31"/>
    <w:rsid w:val="00395FEF"/>
    <w:rsid w:val="00397EA0"/>
    <w:rsid w:val="003A1E94"/>
    <w:rsid w:val="003A2CE4"/>
    <w:rsid w:val="003A37D0"/>
    <w:rsid w:val="003A4378"/>
    <w:rsid w:val="003B0493"/>
    <w:rsid w:val="003B086D"/>
    <w:rsid w:val="003B325A"/>
    <w:rsid w:val="003B6E8A"/>
    <w:rsid w:val="003C1D6A"/>
    <w:rsid w:val="003C311F"/>
    <w:rsid w:val="003C37C5"/>
    <w:rsid w:val="003C41AE"/>
    <w:rsid w:val="003C6E10"/>
    <w:rsid w:val="003D45B2"/>
    <w:rsid w:val="003E1449"/>
    <w:rsid w:val="003E3A7C"/>
    <w:rsid w:val="003E43D1"/>
    <w:rsid w:val="003E446E"/>
    <w:rsid w:val="003E6A8B"/>
    <w:rsid w:val="003E7EED"/>
    <w:rsid w:val="003F481D"/>
    <w:rsid w:val="003F649B"/>
    <w:rsid w:val="00401D30"/>
    <w:rsid w:val="0040402D"/>
    <w:rsid w:val="00411B6C"/>
    <w:rsid w:val="00413689"/>
    <w:rsid w:val="00414669"/>
    <w:rsid w:val="0041693A"/>
    <w:rsid w:val="00416B67"/>
    <w:rsid w:val="0042406B"/>
    <w:rsid w:val="0042407F"/>
    <w:rsid w:val="004270F3"/>
    <w:rsid w:val="004346D1"/>
    <w:rsid w:val="00444872"/>
    <w:rsid w:val="0044543D"/>
    <w:rsid w:val="00446C57"/>
    <w:rsid w:val="004470D0"/>
    <w:rsid w:val="00451E77"/>
    <w:rsid w:val="004566CD"/>
    <w:rsid w:val="0046509A"/>
    <w:rsid w:val="00473ECC"/>
    <w:rsid w:val="00475B10"/>
    <w:rsid w:val="00477574"/>
    <w:rsid w:val="0048202F"/>
    <w:rsid w:val="004841B1"/>
    <w:rsid w:val="00486C64"/>
    <w:rsid w:val="0049199C"/>
    <w:rsid w:val="004A4E51"/>
    <w:rsid w:val="004B1D99"/>
    <w:rsid w:val="004B4193"/>
    <w:rsid w:val="004C08BB"/>
    <w:rsid w:val="004C0D1E"/>
    <w:rsid w:val="004C3975"/>
    <w:rsid w:val="004C444C"/>
    <w:rsid w:val="004C5EF0"/>
    <w:rsid w:val="004D120C"/>
    <w:rsid w:val="004D2ED8"/>
    <w:rsid w:val="004D3356"/>
    <w:rsid w:val="004E0910"/>
    <w:rsid w:val="004E114F"/>
    <w:rsid w:val="004E30CF"/>
    <w:rsid w:val="004E3925"/>
    <w:rsid w:val="004F2006"/>
    <w:rsid w:val="004F34D1"/>
    <w:rsid w:val="004F3783"/>
    <w:rsid w:val="004F7314"/>
    <w:rsid w:val="005166B8"/>
    <w:rsid w:val="00516AC6"/>
    <w:rsid w:val="00517072"/>
    <w:rsid w:val="005213C2"/>
    <w:rsid w:val="00526C49"/>
    <w:rsid w:val="00527A46"/>
    <w:rsid w:val="005311D6"/>
    <w:rsid w:val="00531386"/>
    <w:rsid w:val="00543F46"/>
    <w:rsid w:val="005544A9"/>
    <w:rsid w:val="00556972"/>
    <w:rsid w:val="00557124"/>
    <w:rsid w:val="00570AAD"/>
    <w:rsid w:val="0057471F"/>
    <w:rsid w:val="005876CC"/>
    <w:rsid w:val="0059002F"/>
    <w:rsid w:val="00590605"/>
    <w:rsid w:val="00593AE3"/>
    <w:rsid w:val="005953CC"/>
    <w:rsid w:val="005A0884"/>
    <w:rsid w:val="005A7A01"/>
    <w:rsid w:val="005B26FF"/>
    <w:rsid w:val="005C2700"/>
    <w:rsid w:val="005C78A8"/>
    <w:rsid w:val="005D1488"/>
    <w:rsid w:val="005D2531"/>
    <w:rsid w:val="005D35A1"/>
    <w:rsid w:val="005D3A7A"/>
    <w:rsid w:val="005E02F1"/>
    <w:rsid w:val="005E050E"/>
    <w:rsid w:val="005E12FE"/>
    <w:rsid w:val="005E33C4"/>
    <w:rsid w:val="005F14F6"/>
    <w:rsid w:val="00603396"/>
    <w:rsid w:val="0061211D"/>
    <w:rsid w:val="00615772"/>
    <w:rsid w:val="006163F4"/>
    <w:rsid w:val="00624716"/>
    <w:rsid w:val="006307F8"/>
    <w:rsid w:val="006327A7"/>
    <w:rsid w:val="006369A3"/>
    <w:rsid w:val="00637DF6"/>
    <w:rsid w:val="00645B25"/>
    <w:rsid w:val="0065519B"/>
    <w:rsid w:val="00656D3D"/>
    <w:rsid w:val="0066445C"/>
    <w:rsid w:val="006716F1"/>
    <w:rsid w:val="00672714"/>
    <w:rsid w:val="00672F7C"/>
    <w:rsid w:val="006808FA"/>
    <w:rsid w:val="00683677"/>
    <w:rsid w:val="00692393"/>
    <w:rsid w:val="00692D5D"/>
    <w:rsid w:val="006961C9"/>
    <w:rsid w:val="006C46C5"/>
    <w:rsid w:val="006D2588"/>
    <w:rsid w:val="006D6494"/>
    <w:rsid w:val="006D6B65"/>
    <w:rsid w:val="006E30A7"/>
    <w:rsid w:val="006E3A88"/>
    <w:rsid w:val="006F1D5E"/>
    <w:rsid w:val="006F211C"/>
    <w:rsid w:val="006F4D61"/>
    <w:rsid w:val="006F55BE"/>
    <w:rsid w:val="006F6363"/>
    <w:rsid w:val="00703C82"/>
    <w:rsid w:val="00720924"/>
    <w:rsid w:val="00723A4B"/>
    <w:rsid w:val="00724A70"/>
    <w:rsid w:val="00725D9C"/>
    <w:rsid w:val="00737698"/>
    <w:rsid w:val="00737BB8"/>
    <w:rsid w:val="00737D0C"/>
    <w:rsid w:val="007420EA"/>
    <w:rsid w:val="00745239"/>
    <w:rsid w:val="007553F4"/>
    <w:rsid w:val="0075670D"/>
    <w:rsid w:val="00763C07"/>
    <w:rsid w:val="007647FD"/>
    <w:rsid w:val="00771957"/>
    <w:rsid w:val="00771FF5"/>
    <w:rsid w:val="007828DE"/>
    <w:rsid w:val="00783D80"/>
    <w:rsid w:val="0078497E"/>
    <w:rsid w:val="007871BE"/>
    <w:rsid w:val="00790DA5"/>
    <w:rsid w:val="0079495B"/>
    <w:rsid w:val="007959E2"/>
    <w:rsid w:val="007A138C"/>
    <w:rsid w:val="007A6C22"/>
    <w:rsid w:val="007B210B"/>
    <w:rsid w:val="007B5BA1"/>
    <w:rsid w:val="007B7888"/>
    <w:rsid w:val="007C3318"/>
    <w:rsid w:val="007C3CD0"/>
    <w:rsid w:val="007C7A18"/>
    <w:rsid w:val="007D2DE7"/>
    <w:rsid w:val="007D65D3"/>
    <w:rsid w:val="007D71C6"/>
    <w:rsid w:val="007E0AC2"/>
    <w:rsid w:val="007E16DF"/>
    <w:rsid w:val="007E1B9A"/>
    <w:rsid w:val="007E449B"/>
    <w:rsid w:val="007E4E77"/>
    <w:rsid w:val="007F288C"/>
    <w:rsid w:val="0080350A"/>
    <w:rsid w:val="00803C5B"/>
    <w:rsid w:val="008072D5"/>
    <w:rsid w:val="00811FA5"/>
    <w:rsid w:val="00814011"/>
    <w:rsid w:val="00820ECF"/>
    <w:rsid w:val="00830B30"/>
    <w:rsid w:val="00832DF3"/>
    <w:rsid w:val="00833D0D"/>
    <w:rsid w:val="00836431"/>
    <w:rsid w:val="008376FB"/>
    <w:rsid w:val="008438A6"/>
    <w:rsid w:val="0085473B"/>
    <w:rsid w:val="00855DCD"/>
    <w:rsid w:val="00862610"/>
    <w:rsid w:val="0086326E"/>
    <w:rsid w:val="00863F15"/>
    <w:rsid w:val="00870B7B"/>
    <w:rsid w:val="00874C27"/>
    <w:rsid w:val="00876FC7"/>
    <w:rsid w:val="008815F8"/>
    <w:rsid w:val="00881A5D"/>
    <w:rsid w:val="008858FF"/>
    <w:rsid w:val="00885BFF"/>
    <w:rsid w:val="0088610D"/>
    <w:rsid w:val="008914A9"/>
    <w:rsid w:val="008A1191"/>
    <w:rsid w:val="008B6699"/>
    <w:rsid w:val="008B6958"/>
    <w:rsid w:val="008C3DC6"/>
    <w:rsid w:val="008D0567"/>
    <w:rsid w:val="008D5668"/>
    <w:rsid w:val="008D7E13"/>
    <w:rsid w:val="008E6DE9"/>
    <w:rsid w:val="008E7EF5"/>
    <w:rsid w:val="008F06E7"/>
    <w:rsid w:val="008F490F"/>
    <w:rsid w:val="008F4A5D"/>
    <w:rsid w:val="008F6037"/>
    <w:rsid w:val="00902FA3"/>
    <w:rsid w:val="00905855"/>
    <w:rsid w:val="00907487"/>
    <w:rsid w:val="009117DC"/>
    <w:rsid w:val="00917F71"/>
    <w:rsid w:val="00920852"/>
    <w:rsid w:val="0092199D"/>
    <w:rsid w:val="00923845"/>
    <w:rsid w:val="009302B6"/>
    <w:rsid w:val="00930599"/>
    <w:rsid w:val="00931F27"/>
    <w:rsid w:val="00941497"/>
    <w:rsid w:val="00942BF0"/>
    <w:rsid w:val="009514AB"/>
    <w:rsid w:val="00956453"/>
    <w:rsid w:val="0095786A"/>
    <w:rsid w:val="00960AB3"/>
    <w:rsid w:val="00960E39"/>
    <w:rsid w:val="00961E78"/>
    <w:rsid w:val="0096381C"/>
    <w:rsid w:val="00964C3E"/>
    <w:rsid w:val="0097192E"/>
    <w:rsid w:val="00974152"/>
    <w:rsid w:val="0097517B"/>
    <w:rsid w:val="00982E82"/>
    <w:rsid w:val="009911C7"/>
    <w:rsid w:val="009A1C6C"/>
    <w:rsid w:val="009A407D"/>
    <w:rsid w:val="009A7F6C"/>
    <w:rsid w:val="009B0595"/>
    <w:rsid w:val="009B0DE4"/>
    <w:rsid w:val="009C30CF"/>
    <w:rsid w:val="009C3DC9"/>
    <w:rsid w:val="009C6B55"/>
    <w:rsid w:val="009D1BE9"/>
    <w:rsid w:val="009D6944"/>
    <w:rsid w:val="009E2DF4"/>
    <w:rsid w:val="009F70E6"/>
    <w:rsid w:val="009F7543"/>
    <w:rsid w:val="00A00C37"/>
    <w:rsid w:val="00A113F0"/>
    <w:rsid w:val="00A15749"/>
    <w:rsid w:val="00A17507"/>
    <w:rsid w:val="00A23A9B"/>
    <w:rsid w:val="00A34CD4"/>
    <w:rsid w:val="00A3574C"/>
    <w:rsid w:val="00A507BB"/>
    <w:rsid w:val="00A5207F"/>
    <w:rsid w:val="00A54086"/>
    <w:rsid w:val="00A567D2"/>
    <w:rsid w:val="00A568EE"/>
    <w:rsid w:val="00A66114"/>
    <w:rsid w:val="00A66AC3"/>
    <w:rsid w:val="00A72A8E"/>
    <w:rsid w:val="00A737C9"/>
    <w:rsid w:val="00A77435"/>
    <w:rsid w:val="00A818AF"/>
    <w:rsid w:val="00A81C73"/>
    <w:rsid w:val="00A849F7"/>
    <w:rsid w:val="00A872AE"/>
    <w:rsid w:val="00A93E81"/>
    <w:rsid w:val="00A94DC3"/>
    <w:rsid w:val="00A94E96"/>
    <w:rsid w:val="00AA622D"/>
    <w:rsid w:val="00AB0ADE"/>
    <w:rsid w:val="00AB3A88"/>
    <w:rsid w:val="00AB40E7"/>
    <w:rsid w:val="00AB4F62"/>
    <w:rsid w:val="00AB5498"/>
    <w:rsid w:val="00AB60B5"/>
    <w:rsid w:val="00AC0B82"/>
    <w:rsid w:val="00AC13C0"/>
    <w:rsid w:val="00AC2893"/>
    <w:rsid w:val="00AC7DE0"/>
    <w:rsid w:val="00AD5236"/>
    <w:rsid w:val="00AD63D5"/>
    <w:rsid w:val="00AE1210"/>
    <w:rsid w:val="00AE1777"/>
    <w:rsid w:val="00AE4B26"/>
    <w:rsid w:val="00AE7BB3"/>
    <w:rsid w:val="00AF0B48"/>
    <w:rsid w:val="00AF3001"/>
    <w:rsid w:val="00B129C3"/>
    <w:rsid w:val="00B17A17"/>
    <w:rsid w:val="00B2321C"/>
    <w:rsid w:val="00B26109"/>
    <w:rsid w:val="00B26928"/>
    <w:rsid w:val="00B2739B"/>
    <w:rsid w:val="00B312D2"/>
    <w:rsid w:val="00B34FA2"/>
    <w:rsid w:val="00B4210B"/>
    <w:rsid w:val="00B424E5"/>
    <w:rsid w:val="00B438A3"/>
    <w:rsid w:val="00B47399"/>
    <w:rsid w:val="00B62441"/>
    <w:rsid w:val="00B6349C"/>
    <w:rsid w:val="00B64525"/>
    <w:rsid w:val="00B70087"/>
    <w:rsid w:val="00B75926"/>
    <w:rsid w:val="00B760BE"/>
    <w:rsid w:val="00B80E81"/>
    <w:rsid w:val="00B81F11"/>
    <w:rsid w:val="00B85FAD"/>
    <w:rsid w:val="00B870DB"/>
    <w:rsid w:val="00B91DD4"/>
    <w:rsid w:val="00B92F9A"/>
    <w:rsid w:val="00B93C39"/>
    <w:rsid w:val="00B95C31"/>
    <w:rsid w:val="00BA027F"/>
    <w:rsid w:val="00BA067A"/>
    <w:rsid w:val="00BA34D6"/>
    <w:rsid w:val="00BA5DA9"/>
    <w:rsid w:val="00BA5E17"/>
    <w:rsid w:val="00BA6584"/>
    <w:rsid w:val="00BB00F9"/>
    <w:rsid w:val="00BB75FE"/>
    <w:rsid w:val="00BC0349"/>
    <w:rsid w:val="00BC206C"/>
    <w:rsid w:val="00BC2919"/>
    <w:rsid w:val="00BC4791"/>
    <w:rsid w:val="00BC6B67"/>
    <w:rsid w:val="00BD0E3F"/>
    <w:rsid w:val="00BD4AD8"/>
    <w:rsid w:val="00BD7273"/>
    <w:rsid w:val="00BE709D"/>
    <w:rsid w:val="00BF7415"/>
    <w:rsid w:val="00C01F9A"/>
    <w:rsid w:val="00C0489C"/>
    <w:rsid w:val="00C07460"/>
    <w:rsid w:val="00C101A8"/>
    <w:rsid w:val="00C11596"/>
    <w:rsid w:val="00C12568"/>
    <w:rsid w:val="00C1256F"/>
    <w:rsid w:val="00C125A4"/>
    <w:rsid w:val="00C21928"/>
    <w:rsid w:val="00C2404A"/>
    <w:rsid w:val="00C262F3"/>
    <w:rsid w:val="00C27A64"/>
    <w:rsid w:val="00C30795"/>
    <w:rsid w:val="00C31099"/>
    <w:rsid w:val="00C35619"/>
    <w:rsid w:val="00C36405"/>
    <w:rsid w:val="00C4206B"/>
    <w:rsid w:val="00C43530"/>
    <w:rsid w:val="00C46873"/>
    <w:rsid w:val="00C46FEB"/>
    <w:rsid w:val="00C52E0C"/>
    <w:rsid w:val="00C53F6E"/>
    <w:rsid w:val="00C56BFA"/>
    <w:rsid w:val="00C7417D"/>
    <w:rsid w:val="00C76F0E"/>
    <w:rsid w:val="00C83BA4"/>
    <w:rsid w:val="00C871DD"/>
    <w:rsid w:val="00C876E8"/>
    <w:rsid w:val="00C87D2C"/>
    <w:rsid w:val="00C93BBA"/>
    <w:rsid w:val="00CA0767"/>
    <w:rsid w:val="00CA35A2"/>
    <w:rsid w:val="00CA460C"/>
    <w:rsid w:val="00CA50AC"/>
    <w:rsid w:val="00CB0874"/>
    <w:rsid w:val="00CC6CD7"/>
    <w:rsid w:val="00CC7048"/>
    <w:rsid w:val="00CD350A"/>
    <w:rsid w:val="00CD6961"/>
    <w:rsid w:val="00CE0AB1"/>
    <w:rsid w:val="00CE0C97"/>
    <w:rsid w:val="00CF1EF7"/>
    <w:rsid w:val="00CF583B"/>
    <w:rsid w:val="00CF58D1"/>
    <w:rsid w:val="00CF6BEC"/>
    <w:rsid w:val="00D02A1C"/>
    <w:rsid w:val="00D0374F"/>
    <w:rsid w:val="00D0436D"/>
    <w:rsid w:val="00D04C23"/>
    <w:rsid w:val="00D07BD2"/>
    <w:rsid w:val="00D118F1"/>
    <w:rsid w:val="00D1661B"/>
    <w:rsid w:val="00D20D22"/>
    <w:rsid w:val="00D22C87"/>
    <w:rsid w:val="00D2355D"/>
    <w:rsid w:val="00D3734E"/>
    <w:rsid w:val="00D37AD9"/>
    <w:rsid w:val="00D37EAB"/>
    <w:rsid w:val="00D453B0"/>
    <w:rsid w:val="00D4640A"/>
    <w:rsid w:val="00D5649C"/>
    <w:rsid w:val="00D611A0"/>
    <w:rsid w:val="00D631E3"/>
    <w:rsid w:val="00D63F1A"/>
    <w:rsid w:val="00D7122B"/>
    <w:rsid w:val="00D71A39"/>
    <w:rsid w:val="00D72148"/>
    <w:rsid w:val="00D72AD4"/>
    <w:rsid w:val="00D77D98"/>
    <w:rsid w:val="00D90924"/>
    <w:rsid w:val="00DA29F8"/>
    <w:rsid w:val="00DB43B5"/>
    <w:rsid w:val="00DB5E55"/>
    <w:rsid w:val="00DB71C0"/>
    <w:rsid w:val="00DC02E5"/>
    <w:rsid w:val="00DC432E"/>
    <w:rsid w:val="00DD0437"/>
    <w:rsid w:val="00DD5896"/>
    <w:rsid w:val="00DE0844"/>
    <w:rsid w:val="00DE5B4D"/>
    <w:rsid w:val="00DF0A91"/>
    <w:rsid w:val="00DF2B2C"/>
    <w:rsid w:val="00DF4508"/>
    <w:rsid w:val="00DF630B"/>
    <w:rsid w:val="00E122B3"/>
    <w:rsid w:val="00E17CE9"/>
    <w:rsid w:val="00E20122"/>
    <w:rsid w:val="00E23748"/>
    <w:rsid w:val="00E243CA"/>
    <w:rsid w:val="00E2440F"/>
    <w:rsid w:val="00E3033C"/>
    <w:rsid w:val="00E30F60"/>
    <w:rsid w:val="00E31568"/>
    <w:rsid w:val="00E33BDD"/>
    <w:rsid w:val="00E3489D"/>
    <w:rsid w:val="00E47FA5"/>
    <w:rsid w:val="00E55197"/>
    <w:rsid w:val="00E55E20"/>
    <w:rsid w:val="00E70C03"/>
    <w:rsid w:val="00E744AD"/>
    <w:rsid w:val="00E76B94"/>
    <w:rsid w:val="00E82A39"/>
    <w:rsid w:val="00E84BBB"/>
    <w:rsid w:val="00E85395"/>
    <w:rsid w:val="00E855AD"/>
    <w:rsid w:val="00E914F9"/>
    <w:rsid w:val="00E918D9"/>
    <w:rsid w:val="00E943D1"/>
    <w:rsid w:val="00E945ED"/>
    <w:rsid w:val="00EA1A0A"/>
    <w:rsid w:val="00EA3C66"/>
    <w:rsid w:val="00EA5AB7"/>
    <w:rsid w:val="00ED728A"/>
    <w:rsid w:val="00EE07A7"/>
    <w:rsid w:val="00EE3FBE"/>
    <w:rsid w:val="00EF0EB9"/>
    <w:rsid w:val="00EF49C9"/>
    <w:rsid w:val="00F00132"/>
    <w:rsid w:val="00F0600D"/>
    <w:rsid w:val="00F07D00"/>
    <w:rsid w:val="00F101E6"/>
    <w:rsid w:val="00F12CB2"/>
    <w:rsid w:val="00F13F1E"/>
    <w:rsid w:val="00F14A91"/>
    <w:rsid w:val="00F163E7"/>
    <w:rsid w:val="00F23A81"/>
    <w:rsid w:val="00F24D79"/>
    <w:rsid w:val="00F307EA"/>
    <w:rsid w:val="00F34D4A"/>
    <w:rsid w:val="00F415FD"/>
    <w:rsid w:val="00F43182"/>
    <w:rsid w:val="00F47DFF"/>
    <w:rsid w:val="00F600D3"/>
    <w:rsid w:val="00F60370"/>
    <w:rsid w:val="00F61397"/>
    <w:rsid w:val="00F6652D"/>
    <w:rsid w:val="00F77C22"/>
    <w:rsid w:val="00F77F9F"/>
    <w:rsid w:val="00F83880"/>
    <w:rsid w:val="00F83EA1"/>
    <w:rsid w:val="00F8515D"/>
    <w:rsid w:val="00F85FED"/>
    <w:rsid w:val="00F866D5"/>
    <w:rsid w:val="00F9033D"/>
    <w:rsid w:val="00F946B2"/>
    <w:rsid w:val="00FA059A"/>
    <w:rsid w:val="00FA0A5D"/>
    <w:rsid w:val="00FA68EE"/>
    <w:rsid w:val="00FB2ABE"/>
    <w:rsid w:val="00FB32EC"/>
    <w:rsid w:val="00FB3E8A"/>
    <w:rsid w:val="00FB4DA9"/>
    <w:rsid w:val="00FB7E5A"/>
    <w:rsid w:val="00FC7AB3"/>
    <w:rsid w:val="00FD3AAD"/>
    <w:rsid w:val="00FD4468"/>
    <w:rsid w:val="00FE2C91"/>
    <w:rsid w:val="00FE79D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8EA3C0"/>
  <w15:docId w15:val="{7F612828-CD3C-487A-929E-04860B8CB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BD7"/>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247BD7"/>
    <w:pPr>
      <w:spacing w:before="240" w:line="240" w:lineRule="auto"/>
      <w:ind w:firstLine="0"/>
      <w:jc w:val="left"/>
    </w:pPr>
    <w:rPr>
      <w:i/>
    </w:rPr>
  </w:style>
  <w:style w:type="paragraph" w:customStyle="1" w:styleId="MDPI12title">
    <w:name w:val="MDPI_1.2_title"/>
    <w:next w:val="MDPI13authornames"/>
    <w:qFormat/>
    <w:rsid w:val="00247BD7"/>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247BD7"/>
    <w:pPr>
      <w:spacing w:after="120"/>
      <w:ind w:firstLine="0"/>
      <w:jc w:val="left"/>
    </w:pPr>
    <w:rPr>
      <w:b/>
      <w:snapToGrid/>
    </w:rPr>
  </w:style>
  <w:style w:type="paragraph" w:customStyle="1" w:styleId="MDPI14history">
    <w:name w:val="MDPI_1.4_history"/>
    <w:basedOn w:val="MDPI62Acknowledgments"/>
    <w:next w:val="Normal"/>
    <w:qFormat/>
    <w:rsid w:val="00247BD7"/>
    <w:pPr>
      <w:ind w:left="113"/>
      <w:jc w:val="left"/>
    </w:pPr>
    <w:rPr>
      <w:snapToGrid/>
    </w:rPr>
  </w:style>
  <w:style w:type="paragraph" w:customStyle="1" w:styleId="MDPI16affiliation">
    <w:name w:val="MDPI_1.6_affiliation"/>
    <w:basedOn w:val="MDPI62Acknowledgments"/>
    <w:qFormat/>
    <w:rsid w:val="00247BD7"/>
    <w:pPr>
      <w:spacing w:before="0"/>
      <w:ind w:left="311" w:hanging="198"/>
      <w:jc w:val="left"/>
    </w:pPr>
    <w:rPr>
      <w:snapToGrid/>
      <w:szCs w:val="18"/>
    </w:rPr>
  </w:style>
  <w:style w:type="paragraph" w:customStyle="1" w:styleId="MDPI17abstract">
    <w:name w:val="MDPI_1.7_abstract"/>
    <w:basedOn w:val="MDPI31text"/>
    <w:next w:val="MDPI18keywords"/>
    <w:qFormat/>
    <w:rsid w:val="00247BD7"/>
    <w:pPr>
      <w:spacing w:before="240"/>
      <w:ind w:left="113" w:firstLine="0"/>
    </w:pPr>
    <w:rPr>
      <w:snapToGrid/>
    </w:rPr>
  </w:style>
  <w:style w:type="paragraph" w:customStyle="1" w:styleId="MDPI18keywords">
    <w:name w:val="MDPI_1.8_keywords"/>
    <w:basedOn w:val="MDPI31text"/>
    <w:next w:val="Normal"/>
    <w:qFormat/>
    <w:rsid w:val="00247BD7"/>
    <w:pPr>
      <w:spacing w:before="240"/>
      <w:ind w:left="113" w:firstLine="0"/>
    </w:pPr>
  </w:style>
  <w:style w:type="paragraph" w:customStyle="1" w:styleId="MDPI19line">
    <w:name w:val="MDPI_1.9_line"/>
    <w:basedOn w:val="MDPI31text"/>
    <w:qFormat/>
    <w:rsid w:val="00247BD7"/>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247BD7"/>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247BD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47BD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247BD7"/>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247BD7"/>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247BD7"/>
    <w:pPr>
      <w:ind w:firstLine="0"/>
    </w:pPr>
  </w:style>
  <w:style w:type="paragraph" w:customStyle="1" w:styleId="MDPI33textspaceafter">
    <w:name w:val="MDPI_3.3_text_space_after"/>
    <w:basedOn w:val="MDPI31text"/>
    <w:qFormat/>
    <w:rsid w:val="00247BD7"/>
    <w:pPr>
      <w:spacing w:after="240"/>
    </w:pPr>
  </w:style>
  <w:style w:type="paragraph" w:customStyle="1" w:styleId="MDPI35textbeforelist">
    <w:name w:val="MDPI_3.5_text_before_list"/>
    <w:basedOn w:val="MDPI31text"/>
    <w:qFormat/>
    <w:rsid w:val="00247BD7"/>
    <w:pPr>
      <w:spacing w:after="120"/>
    </w:pPr>
  </w:style>
  <w:style w:type="paragraph" w:customStyle="1" w:styleId="MDPI36textafterlist">
    <w:name w:val="MDPI_3.6_text_after_list"/>
    <w:basedOn w:val="MDPI31text"/>
    <w:qFormat/>
    <w:rsid w:val="00247BD7"/>
    <w:pPr>
      <w:spacing w:before="120"/>
    </w:pPr>
  </w:style>
  <w:style w:type="paragraph" w:customStyle="1" w:styleId="MDPI37itemize">
    <w:name w:val="MDPI_3.7_itemize"/>
    <w:basedOn w:val="MDPI31text"/>
    <w:qFormat/>
    <w:rsid w:val="00247BD7"/>
    <w:pPr>
      <w:numPr>
        <w:numId w:val="1"/>
      </w:numPr>
      <w:ind w:left="425" w:hanging="425"/>
    </w:pPr>
  </w:style>
  <w:style w:type="paragraph" w:customStyle="1" w:styleId="MDPI38bullet">
    <w:name w:val="MDPI_3.8_bullet"/>
    <w:basedOn w:val="MDPI31text"/>
    <w:qFormat/>
    <w:rsid w:val="00247BD7"/>
    <w:pPr>
      <w:numPr>
        <w:numId w:val="2"/>
      </w:numPr>
      <w:ind w:left="425" w:hanging="425"/>
    </w:pPr>
  </w:style>
  <w:style w:type="paragraph" w:customStyle="1" w:styleId="MDPI39equation">
    <w:name w:val="MDPI_3.9_equation"/>
    <w:basedOn w:val="MDPI31text"/>
    <w:qFormat/>
    <w:rsid w:val="00247BD7"/>
    <w:pPr>
      <w:spacing w:before="120" w:after="120"/>
      <w:ind w:left="709" w:firstLine="0"/>
      <w:jc w:val="center"/>
    </w:pPr>
  </w:style>
  <w:style w:type="paragraph" w:customStyle="1" w:styleId="MDPI3aequationnumber">
    <w:name w:val="MDPI_3.a_equation_number"/>
    <w:basedOn w:val="MDPI31text"/>
    <w:qFormat/>
    <w:rsid w:val="00247BD7"/>
    <w:pPr>
      <w:spacing w:before="120" w:after="120" w:line="240" w:lineRule="auto"/>
      <w:ind w:firstLine="0"/>
      <w:jc w:val="right"/>
    </w:pPr>
  </w:style>
  <w:style w:type="paragraph" w:customStyle="1" w:styleId="MDPI62Acknowledgments">
    <w:name w:val="MDPI_6.2_Acknowledgments"/>
    <w:link w:val="MDPI62AcknowledgmentsChar"/>
    <w:qFormat/>
    <w:rsid w:val="00247BD7"/>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247BD7"/>
    <w:pPr>
      <w:spacing w:before="240" w:after="120" w:line="260" w:lineRule="atLeast"/>
      <w:ind w:left="425" w:right="425"/>
    </w:pPr>
    <w:rPr>
      <w:snapToGrid/>
      <w:szCs w:val="22"/>
    </w:rPr>
  </w:style>
  <w:style w:type="paragraph" w:customStyle="1" w:styleId="MDPI42tablebody">
    <w:name w:val="MDPI_4.2_table_body"/>
    <w:qFormat/>
    <w:rsid w:val="00637DF6"/>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247BD7"/>
    <w:pPr>
      <w:spacing w:before="0"/>
      <w:ind w:left="0" w:right="0"/>
    </w:pPr>
  </w:style>
  <w:style w:type="paragraph" w:customStyle="1" w:styleId="MDPI51figurecaption">
    <w:name w:val="MDPI_5.1_figure_caption"/>
    <w:basedOn w:val="MDPI62Acknowledgments"/>
    <w:qFormat/>
    <w:rsid w:val="00247BD7"/>
    <w:pPr>
      <w:spacing w:after="240" w:line="260" w:lineRule="atLeast"/>
      <w:ind w:left="425" w:right="425"/>
    </w:pPr>
    <w:rPr>
      <w:snapToGrid/>
    </w:rPr>
  </w:style>
  <w:style w:type="paragraph" w:customStyle="1" w:styleId="MDPI52figure">
    <w:name w:val="MDPI_5.2_figure"/>
    <w:qFormat/>
    <w:rsid w:val="00247BD7"/>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247BD7"/>
    <w:pPr>
      <w:spacing w:before="240"/>
    </w:pPr>
    <w:rPr>
      <w:lang w:eastAsia="en-US"/>
    </w:rPr>
  </w:style>
  <w:style w:type="paragraph" w:customStyle="1" w:styleId="MDPI63AuthorContributions">
    <w:name w:val="MDPI_6.3_AuthorContributions"/>
    <w:basedOn w:val="MDPI62Acknowledgments"/>
    <w:qFormat/>
    <w:rsid w:val="00247BD7"/>
    <w:rPr>
      <w:rFonts w:eastAsia="SimSun"/>
      <w:color w:val="auto"/>
      <w:lang w:eastAsia="en-US"/>
    </w:rPr>
  </w:style>
  <w:style w:type="paragraph" w:customStyle="1" w:styleId="MDPI64CoI">
    <w:name w:val="MDPI_6.4_CoI"/>
    <w:basedOn w:val="MDPI62Acknowledgments"/>
    <w:qFormat/>
    <w:rsid w:val="00247BD7"/>
  </w:style>
  <w:style w:type="paragraph" w:customStyle="1" w:styleId="MDPI31text">
    <w:name w:val="MDPI_3.1_text"/>
    <w:qFormat/>
    <w:rsid w:val="00247BD7"/>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247BD7"/>
    <w:pPr>
      <w:spacing w:before="240" w:after="120"/>
      <w:ind w:firstLine="0"/>
      <w:jc w:val="left"/>
      <w:outlineLvl w:val="2"/>
    </w:pPr>
  </w:style>
  <w:style w:type="paragraph" w:customStyle="1" w:styleId="MDPI21heading1">
    <w:name w:val="MDPI_2.1_heading1"/>
    <w:basedOn w:val="MDPI23heading3"/>
    <w:qFormat/>
    <w:rsid w:val="00247BD7"/>
    <w:pPr>
      <w:outlineLvl w:val="0"/>
    </w:pPr>
    <w:rPr>
      <w:b/>
    </w:rPr>
  </w:style>
  <w:style w:type="paragraph" w:customStyle="1" w:styleId="MDPI22heading2">
    <w:name w:val="MDPI_2.2_heading2"/>
    <w:basedOn w:val="Normal"/>
    <w:qFormat/>
    <w:rsid w:val="00247BD7"/>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247BD7"/>
    <w:pPr>
      <w:numPr>
        <w:numId w:val="3"/>
      </w:numPr>
      <w:spacing w:before="0" w:line="260" w:lineRule="atLeast"/>
      <w:ind w:left="425" w:hanging="425"/>
    </w:pPr>
  </w:style>
  <w:style w:type="character" w:styleId="Emphasis">
    <w:name w:val="Emphasis"/>
    <w:uiPriority w:val="20"/>
    <w:qFormat/>
    <w:rsid w:val="00247BD7"/>
    <w:rPr>
      <w:i/>
      <w:iCs/>
    </w:rPr>
  </w:style>
  <w:style w:type="paragraph" w:styleId="BalloonText">
    <w:name w:val="Balloon Text"/>
    <w:basedOn w:val="Normal"/>
    <w:link w:val="BalloonTextChar"/>
    <w:uiPriority w:val="99"/>
    <w:semiHidden/>
    <w:unhideWhenUsed/>
    <w:rsid w:val="00247BD7"/>
    <w:pPr>
      <w:spacing w:line="240" w:lineRule="auto"/>
    </w:pPr>
    <w:rPr>
      <w:sz w:val="18"/>
      <w:szCs w:val="18"/>
    </w:rPr>
  </w:style>
  <w:style w:type="character" w:customStyle="1" w:styleId="BalloonTextChar">
    <w:name w:val="Balloon Text Char"/>
    <w:link w:val="BalloonText"/>
    <w:uiPriority w:val="99"/>
    <w:semiHidden/>
    <w:rsid w:val="00247BD7"/>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247BD7"/>
  </w:style>
  <w:style w:type="table" w:customStyle="1" w:styleId="MDPI41threelinetable">
    <w:name w:val="MDPI_4.1_three_line_table"/>
    <w:basedOn w:val="TableNormal"/>
    <w:uiPriority w:val="99"/>
    <w:rsid w:val="00637DF6"/>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4F34D1"/>
    <w:rPr>
      <w:color w:val="0563C1"/>
      <w:u w:val="single"/>
    </w:rPr>
  </w:style>
  <w:style w:type="character" w:customStyle="1" w:styleId="1">
    <w:name w:val="확인되지 않은 멘션1"/>
    <w:uiPriority w:val="99"/>
    <w:semiHidden/>
    <w:unhideWhenUsed/>
    <w:rsid w:val="00672F7C"/>
    <w:rPr>
      <w:color w:val="605E5C"/>
      <w:shd w:val="clear" w:color="auto" w:fill="E1DFDD"/>
    </w:rPr>
  </w:style>
  <w:style w:type="paragraph" w:styleId="Footer">
    <w:name w:val="footer"/>
    <w:basedOn w:val="Normal"/>
    <w:link w:val="FooterChar"/>
    <w:uiPriority w:val="99"/>
    <w:unhideWhenUsed/>
    <w:rsid w:val="00E23748"/>
    <w:pPr>
      <w:tabs>
        <w:tab w:val="center" w:pos="4153"/>
        <w:tab w:val="right" w:pos="8306"/>
      </w:tabs>
    </w:pPr>
  </w:style>
  <w:style w:type="character" w:customStyle="1" w:styleId="FooterChar">
    <w:name w:val="Footer Char"/>
    <w:link w:val="Footer"/>
    <w:uiPriority w:val="99"/>
    <w:rsid w:val="00E23748"/>
    <w:rPr>
      <w:rFonts w:ascii="Times New Roman" w:eastAsia="Times New Roman" w:hAnsi="Times New Roman"/>
      <w:color w:val="000000"/>
      <w:sz w:val="24"/>
      <w:lang w:eastAsia="de-DE"/>
    </w:rPr>
  </w:style>
  <w:style w:type="table" w:styleId="PlainTable4">
    <w:name w:val="Plain Table 4"/>
    <w:basedOn w:val="TableNormal"/>
    <w:uiPriority w:val="44"/>
    <w:rsid w:val="00E2374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Caption">
    <w:name w:val="caption"/>
    <w:basedOn w:val="Normal"/>
    <w:next w:val="Normal"/>
    <w:uiPriority w:val="35"/>
    <w:unhideWhenUsed/>
    <w:qFormat/>
    <w:rsid w:val="00A568EE"/>
    <w:pPr>
      <w:spacing w:after="160" w:line="276" w:lineRule="auto"/>
    </w:pPr>
    <w:rPr>
      <w:rFonts w:asciiTheme="minorHAnsi" w:eastAsiaTheme="minorEastAsia" w:hAnsiTheme="minorHAnsi" w:cstheme="minorBidi"/>
      <w:b/>
      <w:bCs/>
      <w:color w:val="auto"/>
      <w:kern w:val="2"/>
      <w:sz w:val="20"/>
      <w:lang w:eastAsia="ko-KR"/>
    </w:rPr>
  </w:style>
  <w:style w:type="paragraph" w:customStyle="1" w:styleId="EndNoteBibliography">
    <w:name w:val="EndNote Bibliography"/>
    <w:basedOn w:val="Normal"/>
    <w:link w:val="EndNoteBibliographyChar"/>
    <w:rsid w:val="00A568EE"/>
    <w:pPr>
      <w:spacing w:line="480" w:lineRule="atLeast"/>
    </w:pPr>
    <w:rPr>
      <w:noProof/>
      <w:lang w:val="de-DE"/>
    </w:rPr>
  </w:style>
  <w:style w:type="character" w:customStyle="1" w:styleId="EndNoteBibliographyChar">
    <w:name w:val="EndNote Bibliography Char"/>
    <w:basedOn w:val="DefaultParagraphFont"/>
    <w:link w:val="EndNoteBibliography"/>
    <w:rsid w:val="00A568EE"/>
    <w:rPr>
      <w:rFonts w:ascii="Times New Roman" w:eastAsia="Times New Roman" w:hAnsi="Times New Roman"/>
      <w:noProof/>
      <w:color w:val="000000"/>
      <w:sz w:val="24"/>
      <w:lang w:val="de-DE" w:eastAsia="de-DE"/>
    </w:rPr>
  </w:style>
  <w:style w:type="paragraph" w:customStyle="1" w:styleId="EndNoteBibliographyTitle">
    <w:name w:val="EndNote Bibliography Title"/>
    <w:basedOn w:val="Normal"/>
    <w:link w:val="EndNoteBibliographyTitleChar"/>
    <w:rsid w:val="00A568EE"/>
    <w:pPr>
      <w:jc w:val="center"/>
    </w:pPr>
    <w:rPr>
      <w:noProof/>
      <w:lang w:val="de-DE"/>
    </w:rPr>
  </w:style>
  <w:style w:type="character" w:customStyle="1" w:styleId="MDPI62AcknowledgmentsChar">
    <w:name w:val="MDPI_6.2_Acknowledgments Char"/>
    <w:basedOn w:val="DefaultParagraphFont"/>
    <w:link w:val="MDPI62Acknowledgments"/>
    <w:rsid w:val="00A568EE"/>
    <w:rPr>
      <w:rFonts w:ascii="Palatino Linotype" w:eastAsia="Times New Roman" w:hAnsi="Palatino Linotype"/>
      <w:snapToGrid w:val="0"/>
      <w:color w:val="000000"/>
      <w:sz w:val="18"/>
      <w:lang w:eastAsia="de-DE" w:bidi="en-US"/>
    </w:rPr>
  </w:style>
  <w:style w:type="character" w:customStyle="1" w:styleId="EndNoteBibliographyTitleChar">
    <w:name w:val="EndNote Bibliography Title Char"/>
    <w:basedOn w:val="MDPI62AcknowledgmentsChar"/>
    <w:link w:val="EndNoteBibliographyTitle"/>
    <w:rsid w:val="00A568EE"/>
    <w:rPr>
      <w:rFonts w:ascii="Times New Roman" w:eastAsia="Times New Roman" w:hAnsi="Times New Roman"/>
      <w:noProof/>
      <w:snapToGrid/>
      <w:color w:val="000000"/>
      <w:sz w:val="24"/>
      <w:lang w:val="de-DE" w:eastAsia="de-DE" w:bidi="en-US"/>
    </w:rPr>
  </w:style>
  <w:style w:type="character" w:customStyle="1" w:styleId="2">
    <w:name w:val="확인되지 않은 멘션2"/>
    <w:basedOn w:val="DefaultParagraphFont"/>
    <w:uiPriority w:val="99"/>
    <w:semiHidden/>
    <w:unhideWhenUsed/>
    <w:rsid w:val="00A568EE"/>
    <w:rPr>
      <w:color w:val="605E5C"/>
      <w:shd w:val="clear" w:color="auto" w:fill="E1DFDD"/>
    </w:rPr>
  </w:style>
  <w:style w:type="character" w:styleId="CommentReference">
    <w:name w:val="annotation reference"/>
    <w:basedOn w:val="DefaultParagraphFont"/>
    <w:uiPriority w:val="99"/>
    <w:semiHidden/>
    <w:unhideWhenUsed/>
    <w:rsid w:val="000970ED"/>
    <w:rPr>
      <w:sz w:val="18"/>
      <w:szCs w:val="18"/>
    </w:rPr>
  </w:style>
  <w:style w:type="paragraph" w:styleId="CommentText">
    <w:name w:val="annotation text"/>
    <w:basedOn w:val="Normal"/>
    <w:link w:val="CommentTextChar"/>
    <w:uiPriority w:val="99"/>
    <w:unhideWhenUsed/>
    <w:rsid w:val="000970ED"/>
    <w:pPr>
      <w:jc w:val="left"/>
    </w:pPr>
  </w:style>
  <w:style w:type="character" w:customStyle="1" w:styleId="CommentTextChar">
    <w:name w:val="Comment Text Char"/>
    <w:basedOn w:val="DefaultParagraphFont"/>
    <w:link w:val="CommentText"/>
    <w:uiPriority w:val="99"/>
    <w:rsid w:val="000970ED"/>
    <w:rPr>
      <w:rFonts w:ascii="Times New Roman" w:eastAsia="Times New Roman" w:hAnsi="Times New Roman"/>
      <w:color w:val="000000"/>
      <w:sz w:val="24"/>
      <w:lang w:eastAsia="de-DE"/>
    </w:rPr>
  </w:style>
  <w:style w:type="paragraph" w:styleId="CommentSubject">
    <w:name w:val="annotation subject"/>
    <w:basedOn w:val="CommentText"/>
    <w:next w:val="CommentText"/>
    <w:link w:val="CommentSubjectChar"/>
    <w:uiPriority w:val="99"/>
    <w:semiHidden/>
    <w:unhideWhenUsed/>
    <w:rsid w:val="000970ED"/>
    <w:rPr>
      <w:b/>
      <w:bCs/>
    </w:rPr>
  </w:style>
  <w:style w:type="character" w:customStyle="1" w:styleId="CommentSubjectChar">
    <w:name w:val="Comment Subject Char"/>
    <w:basedOn w:val="CommentTextChar"/>
    <w:link w:val="CommentSubject"/>
    <w:uiPriority w:val="99"/>
    <w:semiHidden/>
    <w:rsid w:val="000970ED"/>
    <w:rPr>
      <w:rFonts w:ascii="Times New Roman" w:eastAsia="Times New Roman" w:hAnsi="Times New Roman"/>
      <w:b/>
      <w:bCs/>
      <w:color w:val="000000"/>
      <w:sz w:val="24"/>
      <w:lang w:eastAsia="de-DE"/>
    </w:rPr>
  </w:style>
  <w:style w:type="character" w:customStyle="1" w:styleId="3">
    <w:name w:val="확인되지 않은 멘션3"/>
    <w:basedOn w:val="DefaultParagraphFont"/>
    <w:uiPriority w:val="99"/>
    <w:semiHidden/>
    <w:unhideWhenUsed/>
    <w:rsid w:val="009E2DF4"/>
    <w:rPr>
      <w:color w:val="605E5C"/>
      <w:shd w:val="clear" w:color="auto" w:fill="E1DFDD"/>
    </w:rPr>
  </w:style>
  <w:style w:type="character" w:customStyle="1" w:styleId="4">
    <w:name w:val="확인되지 않은 멘션4"/>
    <w:basedOn w:val="DefaultParagraphFont"/>
    <w:uiPriority w:val="99"/>
    <w:semiHidden/>
    <w:unhideWhenUsed/>
    <w:rsid w:val="00D02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55690">
      <w:bodyDiv w:val="1"/>
      <w:marLeft w:val="0"/>
      <w:marRight w:val="0"/>
      <w:marTop w:val="0"/>
      <w:marBottom w:val="0"/>
      <w:divBdr>
        <w:top w:val="none" w:sz="0" w:space="0" w:color="auto"/>
        <w:left w:val="none" w:sz="0" w:space="0" w:color="auto"/>
        <w:bottom w:val="none" w:sz="0" w:space="0" w:color="auto"/>
        <w:right w:val="none" w:sz="0" w:space="0" w:color="auto"/>
      </w:divBdr>
    </w:div>
    <w:div w:id="342705531">
      <w:bodyDiv w:val="1"/>
      <w:marLeft w:val="0"/>
      <w:marRight w:val="0"/>
      <w:marTop w:val="0"/>
      <w:marBottom w:val="0"/>
      <w:divBdr>
        <w:top w:val="none" w:sz="0" w:space="0" w:color="auto"/>
        <w:left w:val="none" w:sz="0" w:space="0" w:color="auto"/>
        <w:bottom w:val="none" w:sz="0" w:space="0" w:color="auto"/>
        <w:right w:val="none" w:sz="0" w:space="0" w:color="auto"/>
      </w:divBdr>
    </w:div>
    <w:div w:id="212877041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ra\Downloads\&#44397;&#49884;\brainsci-template.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brainsci-template</Template>
  <TotalTime>0</TotalTime>
  <Pages>30</Pages>
  <Words>7126</Words>
  <Characters>40622</Characters>
  <Application>Microsoft Office Word</Application>
  <DocSecurity>0</DocSecurity>
  <Lines>338</Lines>
  <Paragraphs>95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C</dc:creator>
  <cp:keywords/>
  <dc:description/>
  <cp:lastModifiedBy>Smith, Lee</cp:lastModifiedBy>
  <cp:revision>2</cp:revision>
  <cp:lastPrinted>2021-08-09T18:43:00Z</cp:lastPrinted>
  <dcterms:created xsi:type="dcterms:W3CDTF">2021-09-14T07:12:00Z</dcterms:created>
  <dcterms:modified xsi:type="dcterms:W3CDTF">2021-09-14T07:12:00Z</dcterms:modified>
</cp:coreProperties>
</file>