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DEE98" w14:textId="77777777" w:rsidR="006E2DDB" w:rsidRPr="005F60D7" w:rsidRDefault="006E2DDB" w:rsidP="005F60D7">
      <w:pPr>
        <w:pStyle w:val="Title"/>
      </w:pPr>
      <w:r w:rsidRPr="005F60D7">
        <w:t>Chemical profiling of the street cocktail drug ‘</w:t>
      </w:r>
      <w:proofErr w:type="spellStart"/>
      <w:r w:rsidRPr="005F60D7">
        <w:t>nyaope</w:t>
      </w:r>
      <w:proofErr w:type="spellEnd"/>
      <w:r w:rsidRPr="005F60D7">
        <w:t>’ in South Africa using GC–MS III: A validated method for drug extraction and GC – MS analysis for the identification and comparison of ‘</w:t>
      </w:r>
      <w:proofErr w:type="spellStart"/>
      <w:r w:rsidRPr="005F60D7">
        <w:t>nyaope</w:t>
      </w:r>
      <w:proofErr w:type="spellEnd"/>
      <w:r w:rsidRPr="005F60D7">
        <w:t>’ samples.</w:t>
      </w:r>
    </w:p>
    <w:p w14:paraId="01370108" w14:textId="77777777" w:rsidR="006E2DDB" w:rsidRPr="002D5780" w:rsidRDefault="006E2DDB" w:rsidP="006E2DDB">
      <w:pPr>
        <w:spacing w:line="360" w:lineRule="auto"/>
        <w:jc w:val="both"/>
        <w:rPr>
          <w:rFonts w:ascii="Arial" w:eastAsia="Times New Roman" w:hAnsi="Arial" w:cs="Arial"/>
          <w:bCs/>
          <w:color w:val="000000"/>
          <w:sz w:val="22"/>
          <w:szCs w:val="22"/>
        </w:rPr>
      </w:pPr>
    </w:p>
    <w:p w14:paraId="362F5225" w14:textId="77777777" w:rsidR="006E2DDB" w:rsidRPr="002D5780" w:rsidRDefault="006E2DDB" w:rsidP="006E2DDB">
      <w:pPr>
        <w:spacing w:line="480" w:lineRule="auto"/>
        <w:jc w:val="both"/>
        <w:rPr>
          <w:rFonts w:ascii="Arial" w:eastAsia="Times New Roman" w:hAnsi="Arial" w:cs="Arial"/>
          <w:bCs/>
          <w:color w:val="000000"/>
          <w:sz w:val="22"/>
          <w:szCs w:val="22"/>
        </w:rPr>
      </w:pPr>
      <w:r w:rsidRPr="002D5780">
        <w:rPr>
          <w:rFonts w:ascii="Arial" w:eastAsia="Times New Roman" w:hAnsi="Arial" w:cs="Arial"/>
          <w:bCs/>
          <w:color w:val="000000"/>
          <w:sz w:val="22"/>
          <w:szCs w:val="22"/>
        </w:rPr>
        <w:t xml:space="preserve">P.M. </w:t>
      </w:r>
      <w:proofErr w:type="spellStart"/>
      <w:proofErr w:type="gramStart"/>
      <w:r w:rsidRPr="002D5780">
        <w:rPr>
          <w:rFonts w:ascii="Arial" w:eastAsia="Times New Roman" w:hAnsi="Arial" w:cs="Arial"/>
          <w:bCs/>
          <w:color w:val="000000"/>
          <w:sz w:val="22"/>
          <w:szCs w:val="22"/>
        </w:rPr>
        <w:t>Mthembi</w:t>
      </w:r>
      <w:r w:rsidRPr="002D5780">
        <w:rPr>
          <w:rFonts w:ascii="Arial" w:eastAsia="Times New Roman" w:hAnsi="Arial" w:cs="Arial"/>
          <w:bCs/>
          <w:color w:val="000000"/>
          <w:sz w:val="22"/>
          <w:szCs w:val="22"/>
          <w:vertAlign w:val="superscript"/>
        </w:rPr>
        <w:t>a,b</w:t>
      </w:r>
      <w:proofErr w:type="spellEnd"/>
      <w:proofErr w:type="gramEnd"/>
      <w:r w:rsidRPr="002D5780">
        <w:rPr>
          <w:rFonts w:ascii="Arial" w:eastAsia="Times New Roman" w:hAnsi="Arial" w:cs="Arial"/>
          <w:bCs/>
          <w:color w:val="000000"/>
          <w:sz w:val="22"/>
          <w:szCs w:val="22"/>
          <w:vertAlign w:val="superscript"/>
        </w:rPr>
        <w:t>,*</w:t>
      </w:r>
      <w:r w:rsidRPr="002D5780">
        <w:rPr>
          <w:rFonts w:ascii="Arial" w:eastAsia="Times New Roman" w:hAnsi="Arial" w:cs="Arial"/>
          <w:bCs/>
          <w:color w:val="000000"/>
          <w:sz w:val="22"/>
          <w:szCs w:val="22"/>
        </w:rPr>
        <w:t xml:space="preserve">, E.M. </w:t>
      </w:r>
      <w:proofErr w:type="spellStart"/>
      <w:r w:rsidRPr="002D5780">
        <w:rPr>
          <w:rFonts w:ascii="Arial" w:eastAsia="Times New Roman" w:hAnsi="Arial" w:cs="Arial"/>
          <w:bCs/>
          <w:color w:val="000000"/>
          <w:sz w:val="22"/>
          <w:szCs w:val="22"/>
        </w:rPr>
        <w:t>Mwenesongole</w:t>
      </w:r>
      <w:r w:rsidRPr="002D5780">
        <w:rPr>
          <w:rFonts w:ascii="Arial" w:eastAsia="Times New Roman" w:hAnsi="Arial" w:cs="Arial"/>
          <w:bCs/>
          <w:color w:val="000000"/>
          <w:sz w:val="22"/>
          <w:szCs w:val="22"/>
          <w:vertAlign w:val="superscript"/>
        </w:rPr>
        <w:t>a,c</w:t>
      </w:r>
      <w:proofErr w:type="spellEnd"/>
      <w:r w:rsidRPr="002D5780">
        <w:rPr>
          <w:rFonts w:ascii="Arial" w:eastAsia="Times New Roman" w:hAnsi="Arial" w:cs="Arial"/>
          <w:bCs/>
          <w:color w:val="000000"/>
          <w:sz w:val="22"/>
          <w:szCs w:val="22"/>
        </w:rPr>
        <w:t xml:space="preserve">, M.D. </w:t>
      </w:r>
      <w:proofErr w:type="spellStart"/>
      <w:r w:rsidRPr="002D5780">
        <w:rPr>
          <w:rFonts w:ascii="Arial" w:eastAsia="Times New Roman" w:hAnsi="Arial" w:cs="Arial"/>
          <w:bCs/>
          <w:color w:val="000000"/>
          <w:sz w:val="22"/>
          <w:szCs w:val="22"/>
        </w:rPr>
        <w:t>Cole</w:t>
      </w:r>
      <w:r w:rsidRPr="002D5780">
        <w:rPr>
          <w:rFonts w:ascii="Arial" w:eastAsia="Times New Roman" w:hAnsi="Arial" w:cs="Arial"/>
          <w:bCs/>
          <w:color w:val="000000"/>
          <w:sz w:val="22"/>
          <w:szCs w:val="22"/>
          <w:vertAlign w:val="superscript"/>
        </w:rPr>
        <w:t>d</w:t>
      </w:r>
      <w:proofErr w:type="spellEnd"/>
    </w:p>
    <w:p w14:paraId="506F1ECC" w14:textId="77777777" w:rsidR="006E2DDB" w:rsidRPr="002D5780" w:rsidRDefault="006E2DDB" w:rsidP="006E2DDB">
      <w:pPr>
        <w:spacing w:line="480" w:lineRule="auto"/>
        <w:jc w:val="both"/>
        <w:rPr>
          <w:rFonts w:ascii="Arial" w:eastAsia="Times New Roman" w:hAnsi="Arial" w:cs="Arial"/>
          <w:bCs/>
          <w:color w:val="000000"/>
          <w:sz w:val="22"/>
          <w:szCs w:val="22"/>
        </w:rPr>
      </w:pPr>
      <w:r w:rsidRPr="002D5780">
        <w:rPr>
          <w:rFonts w:ascii="Arial" w:eastAsia="Times New Roman" w:hAnsi="Arial" w:cs="Arial"/>
          <w:bCs/>
          <w:color w:val="000000"/>
          <w:sz w:val="22"/>
          <w:szCs w:val="22"/>
          <w:vertAlign w:val="superscript"/>
        </w:rPr>
        <w:t>a</w:t>
      </w:r>
      <w:r w:rsidRPr="002D5780">
        <w:rPr>
          <w:rFonts w:ascii="Arial" w:eastAsia="Times New Roman" w:hAnsi="Arial" w:cs="Arial"/>
          <w:bCs/>
          <w:color w:val="000000"/>
          <w:sz w:val="22"/>
          <w:szCs w:val="22"/>
        </w:rPr>
        <w:t xml:space="preserve"> Department of Genetics, University of the Free State, P.O. Box 339, Bloemfontein, 9300, South Africa</w:t>
      </w:r>
    </w:p>
    <w:p w14:paraId="51FD56BE" w14:textId="77777777" w:rsidR="006E2DDB" w:rsidRPr="002D5780" w:rsidRDefault="006E2DDB" w:rsidP="006E2DDB">
      <w:pPr>
        <w:spacing w:line="480" w:lineRule="auto"/>
        <w:jc w:val="both"/>
        <w:rPr>
          <w:rFonts w:ascii="Arial" w:eastAsia="Times New Roman" w:hAnsi="Arial" w:cs="Arial"/>
          <w:bCs/>
          <w:color w:val="000000"/>
          <w:sz w:val="22"/>
          <w:szCs w:val="22"/>
        </w:rPr>
      </w:pPr>
      <w:r w:rsidRPr="002D5780">
        <w:rPr>
          <w:rFonts w:ascii="Arial" w:eastAsia="Times New Roman" w:hAnsi="Arial" w:cs="Arial"/>
          <w:bCs/>
          <w:color w:val="000000"/>
          <w:sz w:val="22"/>
          <w:szCs w:val="22"/>
          <w:vertAlign w:val="superscript"/>
        </w:rPr>
        <w:t>b</w:t>
      </w:r>
      <w:r w:rsidRPr="002D5780">
        <w:rPr>
          <w:rFonts w:ascii="Arial" w:eastAsia="Times New Roman" w:hAnsi="Arial" w:cs="Arial"/>
          <w:bCs/>
          <w:color w:val="000000"/>
          <w:sz w:val="22"/>
          <w:szCs w:val="22"/>
        </w:rPr>
        <w:t xml:space="preserve"> South African Police Services Forensic Science Laboratory, Chemistry Section, Private Bag X620, Pretoria, 0001, South Africa</w:t>
      </w:r>
    </w:p>
    <w:p w14:paraId="7EF5A0AB" w14:textId="77777777" w:rsidR="006E2DDB" w:rsidRPr="002D5780" w:rsidRDefault="006E2DDB" w:rsidP="006E2DDB">
      <w:pPr>
        <w:spacing w:line="480" w:lineRule="auto"/>
        <w:jc w:val="both"/>
        <w:rPr>
          <w:rFonts w:ascii="Arial" w:eastAsia="Times New Roman" w:hAnsi="Arial" w:cs="Arial"/>
          <w:bCs/>
          <w:color w:val="000000"/>
          <w:sz w:val="22"/>
          <w:szCs w:val="22"/>
        </w:rPr>
      </w:pPr>
      <w:r w:rsidRPr="002D5780">
        <w:rPr>
          <w:rFonts w:ascii="Arial" w:eastAsia="Times New Roman" w:hAnsi="Arial" w:cs="Arial"/>
          <w:bCs/>
          <w:color w:val="000000"/>
          <w:sz w:val="22"/>
          <w:szCs w:val="22"/>
          <w:vertAlign w:val="superscript"/>
        </w:rPr>
        <w:t>c</w:t>
      </w:r>
      <w:r w:rsidRPr="002D5780">
        <w:rPr>
          <w:rFonts w:ascii="Arial" w:eastAsia="Times New Roman" w:hAnsi="Arial" w:cs="Arial"/>
          <w:bCs/>
          <w:color w:val="000000"/>
          <w:sz w:val="22"/>
          <w:szCs w:val="22"/>
        </w:rPr>
        <w:t xml:space="preserve"> Department of Chemical and Forensic Sciences, Botswana International University of Science and Technology, </w:t>
      </w:r>
      <w:proofErr w:type="spellStart"/>
      <w:r w:rsidRPr="002D5780">
        <w:rPr>
          <w:rFonts w:ascii="Arial" w:eastAsia="Times New Roman" w:hAnsi="Arial" w:cs="Arial"/>
          <w:bCs/>
          <w:color w:val="000000"/>
          <w:sz w:val="22"/>
          <w:szCs w:val="22"/>
        </w:rPr>
        <w:t>Palapye</w:t>
      </w:r>
      <w:proofErr w:type="spellEnd"/>
      <w:r w:rsidRPr="002D5780">
        <w:rPr>
          <w:rFonts w:ascii="Arial" w:eastAsia="Times New Roman" w:hAnsi="Arial" w:cs="Arial"/>
          <w:bCs/>
          <w:color w:val="000000"/>
          <w:sz w:val="22"/>
          <w:szCs w:val="22"/>
        </w:rPr>
        <w:t>, Botswana</w:t>
      </w:r>
    </w:p>
    <w:p w14:paraId="3021C4AC" w14:textId="77777777" w:rsidR="006E2DDB" w:rsidRPr="002D5780" w:rsidRDefault="006E2DDB" w:rsidP="006E2DDB">
      <w:pPr>
        <w:spacing w:line="480" w:lineRule="auto"/>
        <w:jc w:val="both"/>
        <w:rPr>
          <w:rFonts w:ascii="Arial" w:eastAsia="Times New Roman" w:hAnsi="Arial" w:cs="Arial"/>
          <w:bCs/>
          <w:color w:val="000000"/>
          <w:sz w:val="22"/>
          <w:szCs w:val="22"/>
        </w:rPr>
      </w:pPr>
      <w:r w:rsidRPr="002D5780">
        <w:rPr>
          <w:rFonts w:ascii="Arial" w:eastAsia="Times New Roman" w:hAnsi="Arial" w:cs="Arial"/>
          <w:bCs/>
          <w:color w:val="000000"/>
          <w:sz w:val="22"/>
          <w:szCs w:val="22"/>
          <w:vertAlign w:val="superscript"/>
        </w:rPr>
        <w:t>d</w:t>
      </w:r>
      <w:r w:rsidRPr="002D5780">
        <w:rPr>
          <w:rFonts w:ascii="Arial" w:eastAsia="Times New Roman" w:hAnsi="Arial" w:cs="Arial"/>
          <w:bCs/>
          <w:color w:val="000000"/>
          <w:sz w:val="22"/>
          <w:szCs w:val="22"/>
        </w:rPr>
        <w:t xml:space="preserve"> Faculty of Science &amp; Engineering, Anglia Ruskin University, Cambridge, United Kingdom</w:t>
      </w:r>
    </w:p>
    <w:p w14:paraId="1A82BA67" w14:textId="77777777" w:rsidR="006E2DDB" w:rsidRPr="00A31154" w:rsidRDefault="006E2DDB" w:rsidP="006E2DDB">
      <w:pPr>
        <w:spacing w:line="480" w:lineRule="auto"/>
        <w:jc w:val="both"/>
        <w:rPr>
          <w:rFonts w:ascii="Arial" w:eastAsia="Times New Roman" w:hAnsi="Arial" w:cs="Arial"/>
          <w:bCs/>
          <w:color w:val="000000"/>
        </w:rPr>
      </w:pPr>
    </w:p>
    <w:p w14:paraId="2435B293" w14:textId="77777777" w:rsidR="006E2DDB" w:rsidRPr="00A31154" w:rsidRDefault="006E2DDB" w:rsidP="006E2DDB">
      <w:pPr>
        <w:spacing w:line="480" w:lineRule="auto"/>
        <w:jc w:val="both"/>
        <w:rPr>
          <w:rFonts w:ascii="Arial" w:eastAsia="Times New Roman" w:hAnsi="Arial" w:cs="Arial"/>
          <w:bCs/>
          <w:color w:val="000000"/>
        </w:rPr>
      </w:pPr>
      <w:r w:rsidRPr="00A31154">
        <w:rPr>
          <w:rFonts w:ascii="Arial" w:eastAsia="Times New Roman" w:hAnsi="Arial" w:cs="Arial"/>
          <w:bCs/>
          <w:color w:val="000000"/>
        </w:rPr>
        <w:t>* Corresponding author.</w:t>
      </w:r>
    </w:p>
    <w:p w14:paraId="3B106ADF" w14:textId="77777777" w:rsidR="006E2DDB" w:rsidRPr="00A31154" w:rsidRDefault="006E2DDB" w:rsidP="006E2DDB">
      <w:pPr>
        <w:spacing w:after="160" w:line="480" w:lineRule="auto"/>
        <w:rPr>
          <w:rFonts w:ascii="Arial" w:eastAsia="Calibri" w:hAnsi="Arial" w:cs="Arial"/>
          <w:sz w:val="22"/>
          <w:szCs w:val="22"/>
        </w:rPr>
      </w:pPr>
      <w:r w:rsidRPr="00A31154">
        <w:rPr>
          <w:rFonts w:ascii="Arial" w:eastAsia="Calibri" w:hAnsi="Arial" w:cs="Arial"/>
          <w:sz w:val="22"/>
          <w:szCs w:val="22"/>
        </w:rPr>
        <w:t xml:space="preserve">*Email: </w:t>
      </w:r>
      <w:hyperlink r:id="rId6" w:history="1">
        <w:r w:rsidRPr="00A31154">
          <w:rPr>
            <w:rFonts w:ascii="Arial" w:eastAsia="Calibri" w:hAnsi="Arial" w:cs="Arial"/>
            <w:color w:val="0563C1"/>
            <w:sz w:val="22"/>
            <w:szCs w:val="22"/>
            <w:u w:val="single"/>
          </w:rPr>
          <w:t>mthembim@saps.gov.za</w:t>
        </w:r>
      </w:hyperlink>
      <w:r w:rsidRPr="00A31154">
        <w:rPr>
          <w:rFonts w:ascii="Arial" w:eastAsia="Calibri" w:hAnsi="Arial" w:cs="Arial"/>
          <w:sz w:val="22"/>
          <w:szCs w:val="22"/>
        </w:rPr>
        <w:t xml:space="preserve"> Tel.: +27 12 401 3319</w:t>
      </w:r>
    </w:p>
    <w:p w14:paraId="5BAA0066" w14:textId="77777777" w:rsidR="00C11759" w:rsidRPr="00A31154" w:rsidRDefault="00C11759" w:rsidP="0016122E">
      <w:pPr>
        <w:spacing w:after="160" w:line="360" w:lineRule="auto"/>
        <w:rPr>
          <w:rFonts w:ascii="Arial" w:eastAsia="Calibri" w:hAnsi="Arial" w:cs="Arial"/>
          <w:sz w:val="22"/>
          <w:szCs w:val="22"/>
        </w:rPr>
      </w:pPr>
    </w:p>
    <w:p w14:paraId="6C44BCE4" w14:textId="23DE2957" w:rsidR="00C11759" w:rsidRPr="00A31154" w:rsidRDefault="00C11759" w:rsidP="0016122E">
      <w:pPr>
        <w:spacing w:line="360" w:lineRule="auto"/>
        <w:jc w:val="both"/>
        <w:rPr>
          <w:rFonts w:ascii="Arial" w:eastAsia="Calibri" w:hAnsi="Arial" w:cs="Arial"/>
          <w:b/>
          <w:sz w:val="22"/>
          <w:szCs w:val="22"/>
        </w:rPr>
      </w:pPr>
      <w:r w:rsidRPr="00A31154">
        <w:rPr>
          <w:rFonts w:ascii="Arial" w:eastAsia="Calibri" w:hAnsi="Arial" w:cs="Arial"/>
          <w:b/>
          <w:sz w:val="22"/>
          <w:szCs w:val="22"/>
        </w:rPr>
        <w:t>Abstract</w:t>
      </w:r>
    </w:p>
    <w:p w14:paraId="1CE4B1BE" w14:textId="533C93C6" w:rsidR="00C11759" w:rsidRPr="00A31154" w:rsidRDefault="00C11759" w:rsidP="0016122E">
      <w:pPr>
        <w:spacing w:line="360" w:lineRule="auto"/>
        <w:jc w:val="both"/>
        <w:rPr>
          <w:rFonts w:ascii="Arial" w:eastAsia="Calibri" w:hAnsi="Arial" w:cs="Arial"/>
          <w:sz w:val="22"/>
          <w:szCs w:val="22"/>
          <w:u w:val="single"/>
        </w:rPr>
      </w:pPr>
      <w:r w:rsidRPr="00A31154">
        <w:rPr>
          <w:rFonts w:ascii="Arial" w:eastAsia="Calibri" w:hAnsi="Arial" w:cs="Arial"/>
          <w:sz w:val="22"/>
          <w:szCs w:val="22"/>
          <w:u w:val="single"/>
        </w:rPr>
        <w:t>_____________________________________________</w:t>
      </w:r>
      <w:r w:rsidR="002D5780">
        <w:rPr>
          <w:rFonts w:ascii="Arial" w:eastAsia="Calibri" w:hAnsi="Arial" w:cs="Arial"/>
          <w:sz w:val="22"/>
          <w:szCs w:val="22"/>
          <w:u w:val="single"/>
        </w:rPr>
        <w:t>_______________________</w:t>
      </w:r>
      <w:r w:rsidRPr="00A31154">
        <w:rPr>
          <w:rFonts w:ascii="Arial" w:eastAsia="Calibri" w:hAnsi="Arial" w:cs="Arial"/>
          <w:sz w:val="22"/>
          <w:szCs w:val="22"/>
          <w:u w:val="single"/>
        </w:rPr>
        <w:t>_____</w:t>
      </w:r>
    </w:p>
    <w:p w14:paraId="33155F5C" w14:textId="627B0F1C" w:rsidR="002D5780" w:rsidRDefault="00C11759" w:rsidP="0016122E">
      <w:pPr>
        <w:spacing w:after="160" w:line="360" w:lineRule="auto"/>
        <w:jc w:val="both"/>
        <w:rPr>
          <w:rFonts w:ascii="Arial" w:eastAsia="Calibri" w:hAnsi="Arial" w:cs="Arial"/>
          <w:sz w:val="22"/>
          <w:szCs w:val="22"/>
        </w:rPr>
      </w:pPr>
      <w:proofErr w:type="spellStart"/>
      <w:r w:rsidRPr="00A31154">
        <w:rPr>
          <w:rFonts w:ascii="Arial" w:eastAsia="Calibri" w:hAnsi="Arial" w:cs="Arial"/>
          <w:sz w:val="22"/>
          <w:szCs w:val="22"/>
        </w:rPr>
        <w:t>Nyaope</w:t>
      </w:r>
      <w:proofErr w:type="spellEnd"/>
      <w:r w:rsidRPr="00A31154">
        <w:rPr>
          <w:rFonts w:ascii="Arial" w:eastAsia="Calibri" w:hAnsi="Arial" w:cs="Arial"/>
          <w:sz w:val="22"/>
          <w:szCs w:val="22"/>
        </w:rPr>
        <w:t xml:space="preserve">, a Tswana word for a mixture, or “mish-mash” describes a drug cocktail comprising heroin, cannabis, in addition, on occasion, to other controlled substances and to warfarin. It is highly addictive with extremely unpleasant side effects caused by withdrawal from the drug. It is a problem drug especially in the townships in South Africa. However, it’s prevalence in neighbouring Southern African states or further afield is not yet known. </w:t>
      </w:r>
      <w:r w:rsidRPr="0015368A">
        <w:rPr>
          <w:rFonts w:ascii="Arial" w:eastAsia="Calibri" w:hAnsi="Arial" w:cs="Arial"/>
          <w:color w:val="000000" w:themeColor="text1"/>
          <w:sz w:val="22"/>
          <w:szCs w:val="22"/>
        </w:rPr>
        <w:t xml:space="preserve">There is </w:t>
      </w:r>
      <w:r w:rsidR="00974473" w:rsidRPr="0015368A">
        <w:rPr>
          <w:rFonts w:ascii="Arial" w:eastAsia="Calibri" w:hAnsi="Arial" w:cs="Arial"/>
          <w:color w:val="000000" w:themeColor="text1"/>
          <w:sz w:val="22"/>
          <w:szCs w:val="22"/>
        </w:rPr>
        <w:t>currently no</w:t>
      </w:r>
      <w:r w:rsidRPr="0015368A">
        <w:rPr>
          <w:rFonts w:ascii="Arial" w:eastAsia="Calibri" w:hAnsi="Arial" w:cs="Arial"/>
          <w:color w:val="000000" w:themeColor="text1"/>
          <w:sz w:val="22"/>
          <w:szCs w:val="22"/>
        </w:rPr>
        <w:t xml:space="preserve"> validated method for the analysis and comparison of </w:t>
      </w:r>
      <w:proofErr w:type="spellStart"/>
      <w:r w:rsidRPr="0015368A">
        <w:rPr>
          <w:rFonts w:ascii="Arial" w:eastAsia="Calibri" w:hAnsi="Arial" w:cs="Arial"/>
          <w:color w:val="000000" w:themeColor="text1"/>
          <w:sz w:val="22"/>
          <w:szCs w:val="22"/>
        </w:rPr>
        <w:t>nyaope</w:t>
      </w:r>
      <w:proofErr w:type="spellEnd"/>
      <w:r w:rsidRPr="0015368A">
        <w:rPr>
          <w:rFonts w:ascii="Arial" w:eastAsia="Calibri" w:hAnsi="Arial" w:cs="Arial"/>
          <w:color w:val="000000" w:themeColor="text1"/>
          <w:sz w:val="22"/>
          <w:szCs w:val="22"/>
        </w:rPr>
        <w:t>.</w:t>
      </w:r>
      <w:r w:rsidRPr="00A31154">
        <w:rPr>
          <w:rFonts w:ascii="Arial" w:eastAsia="Calibri" w:hAnsi="Arial" w:cs="Arial"/>
          <w:sz w:val="22"/>
          <w:szCs w:val="22"/>
        </w:rPr>
        <w:t xml:space="preserve"> This paper describes a validated method for the gas chromatography-mass spectrometry analysis of </w:t>
      </w:r>
      <w:proofErr w:type="spellStart"/>
      <w:r w:rsidRPr="00A31154">
        <w:rPr>
          <w:rFonts w:ascii="Arial" w:eastAsia="Calibri" w:hAnsi="Arial" w:cs="Arial"/>
          <w:sz w:val="22"/>
          <w:szCs w:val="22"/>
        </w:rPr>
        <w:t>nyaope</w:t>
      </w:r>
      <w:proofErr w:type="spellEnd"/>
      <w:r w:rsidRPr="00A31154">
        <w:rPr>
          <w:rFonts w:ascii="Arial" w:eastAsia="Calibri" w:hAnsi="Arial" w:cs="Arial"/>
          <w:sz w:val="22"/>
          <w:szCs w:val="22"/>
        </w:rPr>
        <w:t xml:space="preserve"> so that within batch and between batch comparisons of </w:t>
      </w:r>
      <w:proofErr w:type="spellStart"/>
      <w:r w:rsidRPr="00A31154">
        <w:rPr>
          <w:rFonts w:ascii="Arial" w:eastAsia="Calibri" w:hAnsi="Arial" w:cs="Arial"/>
          <w:sz w:val="22"/>
          <w:szCs w:val="22"/>
        </w:rPr>
        <w:t>nyaope</w:t>
      </w:r>
      <w:proofErr w:type="spellEnd"/>
      <w:r w:rsidRPr="00A31154">
        <w:rPr>
          <w:rFonts w:ascii="Arial" w:eastAsia="Calibri" w:hAnsi="Arial" w:cs="Arial"/>
          <w:sz w:val="22"/>
          <w:szCs w:val="22"/>
        </w:rPr>
        <w:t xml:space="preserve"> can successfully be made for the first time.</w:t>
      </w:r>
      <w:r w:rsidRPr="00A31154">
        <w:rPr>
          <w:rFonts w:ascii="Arial" w:eastAsia="Calibri" w:hAnsi="Arial" w:cs="Arial"/>
          <w:iCs/>
          <w:sz w:val="22"/>
          <w:szCs w:val="22"/>
          <w:lang w:val="en-ZA"/>
        </w:rPr>
        <w:t xml:space="preserve"> The validated method managed an accuracy within the range 80% - 120%, the precision was less than 20% for all analytes and managed linearity with R</w:t>
      </w:r>
      <w:r w:rsidRPr="00A31154">
        <w:rPr>
          <w:rFonts w:ascii="Arial" w:eastAsia="Calibri" w:hAnsi="Arial" w:cs="Arial"/>
          <w:iCs/>
          <w:sz w:val="22"/>
          <w:szCs w:val="22"/>
          <w:vertAlign w:val="superscript"/>
          <w:lang w:val="en-ZA"/>
        </w:rPr>
        <w:t xml:space="preserve">2 </w:t>
      </w:r>
      <w:r w:rsidRPr="00A31154">
        <w:rPr>
          <w:rFonts w:ascii="Arial" w:eastAsia="Calibri" w:hAnsi="Arial" w:cs="Arial"/>
          <w:iCs/>
          <w:sz w:val="22"/>
          <w:szCs w:val="22"/>
          <w:lang w:val="en-ZA"/>
        </w:rPr>
        <w:t>≥ 0.99. The detection limits for diamorphine, efavirenz, nevirapine and Δ</w:t>
      </w:r>
      <w:r w:rsidRPr="00A31154">
        <w:rPr>
          <w:rFonts w:ascii="Arial" w:eastAsia="Calibri" w:hAnsi="Arial" w:cs="Arial"/>
          <w:iCs/>
          <w:sz w:val="22"/>
          <w:szCs w:val="22"/>
          <w:vertAlign w:val="superscript"/>
          <w:lang w:val="en-ZA"/>
        </w:rPr>
        <w:t>9</w:t>
      </w:r>
      <w:r w:rsidRPr="00A31154">
        <w:rPr>
          <w:rFonts w:ascii="Arial" w:eastAsia="Calibri" w:hAnsi="Arial" w:cs="Arial"/>
          <w:iCs/>
          <w:sz w:val="22"/>
          <w:szCs w:val="22"/>
          <w:lang w:val="en-ZA"/>
        </w:rPr>
        <w:t xml:space="preserve">-tetrahydrocannabinol were 14.2, 18.6, 18.7 and 9.94 </w:t>
      </w:r>
      <w:proofErr w:type="spellStart"/>
      <w:r w:rsidRPr="00A31154">
        <w:rPr>
          <w:rFonts w:ascii="Arial" w:eastAsia="Calibri" w:hAnsi="Arial" w:cs="Arial"/>
          <w:iCs/>
          <w:sz w:val="22"/>
          <w:szCs w:val="22"/>
          <w:lang w:val="en-ZA"/>
        </w:rPr>
        <w:t>pg</w:t>
      </w:r>
      <w:proofErr w:type="spellEnd"/>
      <w:r w:rsidRPr="00A31154">
        <w:rPr>
          <w:rFonts w:ascii="Arial" w:eastAsia="Calibri" w:hAnsi="Arial" w:cs="Arial"/>
          <w:iCs/>
          <w:sz w:val="22"/>
          <w:szCs w:val="22"/>
          <w:lang w:val="en-ZA"/>
        </w:rPr>
        <w:t xml:space="preserve"> on </w:t>
      </w:r>
      <w:r w:rsidRPr="0015368A">
        <w:rPr>
          <w:rFonts w:ascii="Arial" w:eastAsia="Calibri" w:hAnsi="Arial" w:cs="Arial"/>
          <w:iCs/>
          <w:color w:val="000000" w:themeColor="text1"/>
          <w:sz w:val="22"/>
          <w:szCs w:val="22"/>
          <w:lang w:val="en-ZA"/>
        </w:rPr>
        <w:t>column</w:t>
      </w:r>
      <w:r w:rsidR="00974473" w:rsidRPr="0015368A">
        <w:rPr>
          <w:rFonts w:ascii="Arial" w:eastAsia="Calibri" w:hAnsi="Arial" w:cs="Arial"/>
          <w:iCs/>
          <w:color w:val="000000" w:themeColor="text1"/>
          <w:sz w:val="22"/>
          <w:szCs w:val="22"/>
          <w:lang w:val="en-ZA"/>
        </w:rPr>
        <w:t>,</w:t>
      </w:r>
      <w:r w:rsidRPr="004F65C7">
        <w:rPr>
          <w:rFonts w:ascii="Arial" w:eastAsia="Calibri" w:hAnsi="Arial" w:cs="Arial"/>
          <w:iCs/>
          <w:color w:val="FF0000"/>
          <w:sz w:val="22"/>
          <w:szCs w:val="22"/>
          <w:lang w:val="en-ZA"/>
        </w:rPr>
        <w:t xml:space="preserve"> </w:t>
      </w:r>
      <w:r w:rsidRPr="00A31154">
        <w:rPr>
          <w:rFonts w:ascii="Arial" w:eastAsia="Calibri" w:hAnsi="Arial" w:cs="Arial"/>
          <w:iCs/>
          <w:sz w:val="22"/>
          <w:szCs w:val="22"/>
          <w:lang w:val="en-ZA"/>
        </w:rPr>
        <w:t xml:space="preserve">respectively and the limit of quantitation were 43.1, 56.3, 56.6 and 30.1 </w:t>
      </w:r>
      <w:proofErr w:type="spellStart"/>
      <w:r w:rsidRPr="00A31154">
        <w:rPr>
          <w:rFonts w:ascii="Arial" w:eastAsia="Calibri" w:hAnsi="Arial" w:cs="Arial"/>
          <w:iCs/>
          <w:sz w:val="22"/>
          <w:szCs w:val="22"/>
          <w:lang w:val="en-ZA"/>
        </w:rPr>
        <w:t>pg</w:t>
      </w:r>
      <w:proofErr w:type="spellEnd"/>
      <w:r w:rsidRPr="00A31154">
        <w:rPr>
          <w:rFonts w:ascii="Arial" w:eastAsia="Calibri" w:hAnsi="Arial" w:cs="Arial"/>
          <w:iCs/>
          <w:sz w:val="22"/>
          <w:szCs w:val="22"/>
          <w:lang w:val="en-ZA"/>
        </w:rPr>
        <w:t xml:space="preserve"> on </w:t>
      </w:r>
      <w:r w:rsidRPr="0015368A">
        <w:rPr>
          <w:rFonts w:ascii="Arial" w:eastAsia="Calibri" w:hAnsi="Arial" w:cs="Arial"/>
          <w:iCs/>
          <w:color w:val="000000" w:themeColor="text1"/>
          <w:sz w:val="22"/>
          <w:szCs w:val="22"/>
          <w:lang w:val="en-ZA"/>
        </w:rPr>
        <w:t>column</w:t>
      </w:r>
      <w:r w:rsidR="00974473" w:rsidRPr="0015368A">
        <w:rPr>
          <w:rFonts w:ascii="Arial" w:eastAsia="Calibri" w:hAnsi="Arial" w:cs="Arial"/>
          <w:iCs/>
          <w:color w:val="000000" w:themeColor="text1"/>
          <w:sz w:val="22"/>
          <w:szCs w:val="22"/>
          <w:lang w:val="en-ZA"/>
        </w:rPr>
        <w:t>,</w:t>
      </w:r>
      <w:r w:rsidRPr="0015368A">
        <w:rPr>
          <w:rFonts w:ascii="Arial" w:eastAsia="Calibri" w:hAnsi="Arial" w:cs="Arial"/>
          <w:iCs/>
          <w:color w:val="000000" w:themeColor="text1"/>
          <w:sz w:val="22"/>
          <w:szCs w:val="22"/>
          <w:lang w:val="en-ZA"/>
        </w:rPr>
        <w:t xml:space="preserve"> </w:t>
      </w:r>
      <w:proofErr w:type="gramStart"/>
      <w:r w:rsidRPr="00A31154">
        <w:rPr>
          <w:rFonts w:ascii="Arial" w:eastAsia="Calibri" w:hAnsi="Arial" w:cs="Arial"/>
          <w:iCs/>
          <w:sz w:val="22"/>
          <w:szCs w:val="22"/>
          <w:lang w:val="en-ZA"/>
        </w:rPr>
        <w:t>respectively.</w:t>
      </w:r>
      <w:r w:rsidRPr="00A31154">
        <w:rPr>
          <w:rFonts w:ascii="Arial" w:eastAsia="Calibri" w:hAnsi="Arial" w:cs="Arial"/>
          <w:sz w:val="22"/>
          <w:szCs w:val="22"/>
        </w:rPr>
        <w:t>The</w:t>
      </w:r>
      <w:proofErr w:type="gramEnd"/>
      <w:r w:rsidRPr="00A31154">
        <w:rPr>
          <w:rFonts w:ascii="Arial" w:eastAsia="Calibri" w:hAnsi="Arial" w:cs="Arial"/>
          <w:sz w:val="22"/>
          <w:szCs w:val="22"/>
        </w:rPr>
        <w:t xml:space="preserve"> simulated and case work samples were successfully </w:t>
      </w:r>
      <w:r w:rsidRPr="00A31154">
        <w:rPr>
          <w:rFonts w:ascii="Arial" w:eastAsia="Calibri" w:hAnsi="Arial" w:cs="Arial"/>
          <w:sz w:val="22"/>
          <w:szCs w:val="22"/>
        </w:rPr>
        <w:lastRenderedPageBreak/>
        <w:t xml:space="preserve">discriminated into original batches using the identified </w:t>
      </w:r>
      <w:proofErr w:type="spellStart"/>
      <w:r w:rsidRPr="00A31154">
        <w:rPr>
          <w:rFonts w:ascii="Arial" w:eastAsia="Calibri" w:hAnsi="Arial" w:cs="Arial"/>
          <w:sz w:val="22"/>
          <w:szCs w:val="22"/>
        </w:rPr>
        <w:t>nyaope</w:t>
      </w:r>
      <w:proofErr w:type="spellEnd"/>
      <w:r w:rsidRPr="00A31154">
        <w:rPr>
          <w:rFonts w:ascii="Arial" w:eastAsia="Calibri" w:hAnsi="Arial" w:cs="Arial"/>
          <w:sz w:val="22"/>
          <w:szCs w:val="22"/>
        </w:rPr>
        <w:t xml:space="preserve"> components, the unsupervised chemometric methods principal component analysis and hierarchical clustering, as well as chromatographic profiles. </w:t>
      </w:r>
    </w:p>
    <w:p w14:paraId="25FF96B1" w14:textId="77777777" w:rsidR="00756E90" w:rsidRPr="00A31154" w:rsidRDefault="00756E90" w:rsidP="0016122E">
      <w:pPr>
        <w:spacing w:after="160" w:line="360" w:lineRule="auto"/>
        <w:jc w:val="both"/>
        <w:rPr>
          <w:rFonts w:ascii="Arial" w:eastAsia="Calibri" w:hAnsi="Arial" w:cs="Arial"/>
          <w:sz w:val="22"/>
          <w:szCs w:val="22"/>
        </w:rPr>
      </w:pPr>
    </w:p>
    <w:p w14:paraId="25E391B1" w14:textId="77777777" w:rsidR="00C11759" w:rsidRPr="00A31154" w:rsidRDefault="00C11759" w:rsidP="0016122E">
      <w:pPr>
        <w:spacing w:after="160" w:line="360" w:lineRule="auto"/>
        <w:jc w:val="both"/>
        <w:rPr>
          <w:rFonts w:ascii="Arial" w:eastAsia="Calibri" w:hAnsi="Arial" w:cs="Arial"/>
          <w:b/>
          <w:sz w:val="22"/>
          <w:szCs w:val="22"/>
        </w:rPr>
      </w:pPr>
      <w:r w:rsidRPr="00A31154">
        <w:rPr>
          <w:rFonts w:ascii="Arial" w:eastAsia="Calibri" w:hAnsi="Arial" w:cs="Arial"/>
          <w:b/>
          <w:sz w:val="22"/>
          <w:szCs w:val="22"/>
        </w:rPr>
        <w:t>Significance:</w:t>
      </w:r>
    </w:p>
    <w:p w14:paraId="2658E9ED" w14:textId="77777777" w:rsidR="00C11759" w:rsidRPr="00A31154" w:rsidRDefault="00C11759" w:rsidP="0016122E">
      <w:pPr>
        <w:spacing w:after="160" w:line="360" w:lineRule="auto"/>
        <w:jc w:val="both"/>
        <w:rPr>
          <w:rFonts w:ascii="Arial" w:eastAsia="Calibri" w:hAnsi="Arial" w:cs="Arial"/>
          <w:sz w:val="22"/>
          <w:szCs w:val="22"/>
        </w:rPr>
      </w:pPr>
      <w:r w:rsidRPr="00A31154">
        <w:rPr>
          <w:rFonts w:ascii="Arial" w:eastAsia="Calibri" w:hAnsi="Arial" w:cs="Arial"/>
          <w:sz w:val="22"/>
          <w:szCs w:val="22"/>
        </w:rPr>
        <w:t xml:space="preserve">This allows for data exchange between law enforcement agencies in South Africa and, provided the appropriate quality control measures are in place, between South Africa, neighbouring </w:t>
      </w:r>
      <w:proofErr w:type="gramStart"/>
      <w:r w:rsidRPr="00A31154">
        <w:rPr>
          <w:rFonts w:ascii="Arial" w:eastAsia="Calibri" w:hAnsi="Arial" w:cs="Arial"/>
          <w:sz w:val="22"/>
          <w:szCs w:val="22"/>
        </w:rPr>
        <w:t>states</w:t>
      </w:r>
      <w:proofErr w:type="gramEnd"/>
      <w:r w:rsidRPr="00A31154">
        <w:rPr>
          <w:rFonts w:ascii="Arial" w:eastAsia="Calibri" w:hAnsi="Arial" w:cs="Arial"/>
          <w:sz w:val="22"/>
          <w:szCs w:val="22"/>
        </w:rPr>
        <w:t xml:space="preserve"> and countries further afield. </w:t>
      </w:r>
    </w:p>
    <w:p w14:paraId="3C12EC89" w14:textId="77777777" w:rsidR="00C11759" w:rsidRPr="00A31154" w:rsidRDefault="00C11759" w:rsidP="0016122E">
      <w:pPr>
        <w:spacing w:after="160" w:line="360" w:lineRule="auto"/>
        <w:jc w:val="both"/>
        <w:rPr>
          <w:rFonts w:ascii="Arial" w:eastAsia="Calibri" w:hAnsi="Arial" w:cs="Arial"/>
          <w:sz w:val="22"/>
          <w:szCs w:val="22"/>
        </w:rPr>
      </w:pPr>
      <w:r w:rsidRPr="00A31154">
        <w:rPr>
          <w:rFonts w:ascii="Arial" w:eastAsia="Calibri" w:hAnsi="Arial" w:cs="Arial"/>
          <w:sz w:val="22"/>
          <w:szCs w:val="22"/>
        </w:rPr>
        <w:t xml:space="preserve">Additionally, public health measures can be put in place now that it is possible to use a validated methods to determine the contents of </w:t>
      </w:r>
      <w:proofErr w:type="spellStart"/>
      <w:r w:rsidRPr="00A31154">
        <w:rPr>
          <w:rFonts w:ascii="Arial" w:eastAsia="Calibri" w:hAnsi="Arial" w:cs="Arial"/>
          <w:sz w:val="22"/>
          <w:szCs w:val="22"/>
        </w:rPr>
        <w:t>nyaope</w:t>
      </w:r>
      <w:proofErr w:type="spellEnd"/>
      <w:r w:rsidRPr="00A31154">
        <w:rPr>
          <w:rFonts w:ascii="Arial" w:eastAsia="Calibri" w:hAnsi="Arial" w:cs="Arial"/>
          <w:sz w:val="22"/>
          <w:szCs w:val="22"/>
        </w:rPr>
        <w:t>.</w:t>
      </w:r>
    </w:p>
    <w:p w14:paraId="2144E24D" w14:textId="77777777" w:rsidR="00C11759" w:rsidRPr="00A31154" w:rsidRDefault="00C11759" w:rsidP="0016122E">
      <w:pPr>
        <w:spacing w:line="360" w:lineRule="auto"/>
        <w:rPr>
          <w:rFonts w:ascii="Arial" w:hAnsi="Arial" w:cs="Arial"/>
          <w:b/>
          <w:bCs/>
          <w:color w:val="000000" w:themeColor="text1"/>
          <w:sz w:val="22"/>
          <w:szCs w:val="22"/>
        </w:rPr>
      </w:pPr>
    </w:p>
    <w:p w14:paraId="755C5ED0" w14:textId="6D9C72CA" w:rsidR="000921F7" w:rsidRPr="00A31154" w:rsidRDefault="00782F97" w:rsidP="0016122E">
      <w:pPr>
        <w:spacing w:line="360" w:lineRule="auto"/>
        <w:rPr>
          <w:rFonts w:ascii="Arial" w:hAnsi="Arial" w:cs="Arial"/>
          <w:b/>
          <w:bCs/>
          <w:color w:val="000000" w:themeColor="text1"/>
          <w:sz w:val="22"/>
          <w:szCs w:val="22"/>
        </w:rPr>
      </w:pPr>
      <w:r>
        <w:rPr>
          <w:rFonts w:ascii="Arial" w:hAnsi="Arial" w:cs="Arial"/>
          <w:b/>
          <w:bCs/>
          <w:color w:val="000000" w:themeColor="text1"/>
          <w:sz w:val="22"/>
          <w:szCs w:val="22"/>
        </w:rPr>
        <w:t xml:space="preserve">1. </w:t>
      </w:r>
      <w:r w:rsidR="00BD688A" w:rsidRPr="00A31154">
        <w:rPr>
          <w:rFonts w:ascii="Arial" w:hAnsi="Arial" w:cs="Arial"/>
          <w:b/>
          <w:bCs/>
          <w:color w:val="000000" w:themeColor="text1"/>
          <w:sz w:val="22"/>
          <w:szCs w:val="22"/>
        </w:rPr>
        <w:t>Introduction</w:t>
      </w:r>
    </w:p>
    <w:p w14:paraId="73AE495F" w14:textId="0A916ADA" w:rsidR="007E7F06" w:rsidRPr="00BE43C8" w:rsidRDefault="00950872" w:rsidP="0016122E">
      <w:pPr>
        <w:spacing w:line="360" w:lineRule="auto"/>
        <w:jc w:val="both"/>
        <w:rPr>
          <w:rFonts w:ascii="Arial" w:hAnsi="Arial" w:cs="Arial"/>
          <w:color w:val="000000" w:themeColor="text1"/>
          <w:sz w:val="22"/>
          <w:szCs w:val="22"/>
        </w:rPr>
      </w:pPr>
      <w:r w:rsidRPr="00A31154">
        <w:rPr>
          <w:rFonts w:ascii="Arial" w:hAnsi="Arial" w:cs="Arial"/>
          <w:color w:val="000000" w:themeColor="text1"/>
          <w:sz w:val="22"/>
          <w:szCs w:val="22"/>
        </w:rPr>
        <w:t>Despite being reported in the early 2000’s</w:t>
      </w:r>
      <w:r w:rsidR="007548C8" w:rsidRPr="00A31154">
        <w:rPr>
          <w:rFonts w:ascii="Arial" w:hAnsi="Arial" w:cs="Arial"/>
          <w:color w:val="000000" w:themeColor="text1"/>
          <w:sz w:val="22"/>
          <w:szCs w:val="22"/>
          <w:vertAlign w:val="superscript"/>
        </w:rPr>
        <w:t>1,</w:t>
      </w:r>
      <w:proofErr w:type="gramStart"/>
      <w:r w:rsidR="007548C8" w:rsidRPr="00A31154">
        <w:rPr>
          <w:rFonts w:ascii="Arial" w:hAnsi="Arial" w:cs="Arial"/>
          <w:color w:val="000000" w:themeColor="text1"/>
          <w:sz w:val="22"/>
          <w:szCs w:val="22"/>
          <w:vertAlign w:val="superscript"/>
        </w:rPr>
        <w:t>2</w:t>
      </w:r>
      <w:r w:rsidRPr="00A31154">
        <w:rPr>
          <w:rFonts w:ascii="Arial" w:hAnsi="Arial" w:cs="Arial"/>
          <w:color w:val="000000" w:themeColor="text1"/>
          <w:sz w:val="22"/>
          <w:szCs w:val="22"/>
        </w:rPr>
        <w:t xml:space="preserve">  there</w:t>
      </w:r>
      <w:proofErr w:type="gramEnd"/>
      <w:r w:rsidRPr="00A31154">
        <w:rPr>
          <w:rFonts w:ascii="Arial" w:hAnsi="Arial" w:cs="Arial"/>
          <w:color w:val="000000" w:themeColor="text1"/>
          <w:sz w:val="22"/>
          <w:szCs w:val="22"/>
        </w:rPr>
        <w:t xml:space="preserve"> remains a dearth of </w:t>
      </w:r>
      <w:r w:rsidR="00414BB2" w:rsidRPr="00A31154">
        <w:rPr>
          <w:rFonts w:ascii="Arial" w:hAnsi="Arial" w:cs="Arial"/>
          <w:color w:val="000000" w:themeColor="text1"/>
          <w:sz w:val="22"/>
          <w:szCs w:val="22"/>
        </w:rPr>
        <w:t xml:space="preserve">analytical chemistry </w:t>
      </w:r>
      <w:r w:rsidR="00414BB2" w:rsidRPr="00BE43C8">
        <w:rPr>
          <w:rFonts w:ascii="Arial" w:hAnsi="Arial" w:cs="Arial"/>
          <w:color w:val="000000" w:themeColor="text1"/>
          <w:sz w:val="22"/>
          <w:szCs w:val="22"/>
        </w:rPr>
        <w:t xml:space="preserve">and </w:t>
      </w:r>
      <w:r w:rsidR="002739B6" w:rsidRPr="00BE43C8">
        <w:rPr>
          <w:rFonts w:ascii="Arial" w:hAnsi="Arial" w:cs="Arial"/>
          <w:color w:val="000000" w:themeColor="text1"/>
          <w:sz w:val="22"/>
          <w:szCs w:val="22"/>
        </w:rPr>
        <w:t xml:space="preserve">forensic science </w:t>
      </w:r>
      <w:r w:rsidRPr="00BE43C8">
        <w:rPr>
          <w:rFonts w:ascii="Arial" w:hAnsi="Arial" w:cs="Arial"/>
          <w:color w:val="000000" w:themeColor="text1"/>
          <w:sz w:val="22"/>
          <w:szCs w:val="22"/>
        </w:rPr>
        <w:t>literature on the drug ‘</w:t>
      </w:r>
      <w:proofErr w:type="spellStart"/>
      <w:r w:rsidRPr="00BE43C8">
        <w:rPr>
          <w:rFonts w:ascii="Arial" w:hAnsi="Arial" w:cs="Arial"/>
          <w:color w:val="000000" w:themeColor="text1"/>
          <w:sz w:val="22"/>
          <w:szCs w:val="22"/>
        </w:rPr>
        <w:t>nyaope</w:t>
      </w:r>
      <w:proofErr w:type="spellEnd"/>
      <w:r w:rsidRPr="00BE43C8">
        <w:rPr>
          <w:rFonts w:ascii="Arial" w:hAnsi="Arial" w:cs="Arial"/>
          <w:color w:val="000000" w:themeColor="text1"/>
          <w:sz w:val="22"/>
          <w:szCs w:val="22"/>
        </w:rPr>
        <w:t xml:space="preserve">’. </w:t>
      </w:r>
      <w:proofErr w:type="spellStart"/>
      <w:r w:rsidRPr="00BE43C8">
        <w:rPr>
          <w:rFonts w:ascii="Arial" w:hAnsi="Arial" w:cs="Arial"/>
          <w:color w:val="000000" w:themeColor="text1"/>
          <w:sz w:val="22"/>
          <w:szCs w:val="22"/>
        </w:rPr>
        <w:t>Nyaope</w:t>
      </w:r>
      <w:proofErr w:type="spellEnd"/>
      <w:r w:rsidRPr="00BE43C8">
        <w:rPr>
          <w:rFonts w:ascii="Arial" w:hAnsi="Arial" w:cs="Arial"/>
          <w:color w:val="000000" w:themeColor="text1"/>
          <w:sz w:val="22"/>
          <w:szCs w:val="22"/>
        </w:rPr>
        <w:t>, the name of which is derived from the Tswana wor</w:t>
      </w:r>
      <w:r w:rsidR="007548C8">
        <w:rPr>
          <w:rFonts w:ascii="Arial" w:hAnsi="Arial" w:cs="Arial"/>
          <w:color w:val="000000" w:themeColor="text1"/>
          <w:sz w:val="22"/>
          <w:szCs w:val="22"/>
        </w:rPr>
        <w:t xml:space="preserve">d for </w:t>
      </w:r>
      <w:proofErr w:type="gramStart"/>
      <w:r w:rsidR="007548C8">
        <w:rPr>
          <w:rFonts w:ascii="Arial" w:hAnsi="Arial" w:cs="Arial"/>
          <w:color w:val="000000" w:themeColor="text1"/>
          <w:sz w:val="22"/>
          <w:szCs w:val="22"/>
        </w:rPr>
        <w:t>mixture</w:t>
      </w:r>
      <w:proofErr w:type="gramEnd"/>
      <w:r w:rsidR="007548C8">
        <w:rPr>
          <w:rFonts w:ascii="Arial" w:hAnsi="Arial" w:cs="Arial"/>
          <w:color w:val="000000" w:themeColor="text1"/>
          <w:sz w:val="22"/>
          <w:szCs w:val="22"/>
        </w:rPr>
        <w:t xml:space="preserve"> or “mish-mash”</w:t>
      </w:r>
      <w:r w:rsidR="007548C8">
        <w:rPr>
          <w:rFonts w:ascii="Arial" w:hAnsi="Arial" w:cs="Arial"/>
          <w:color w:val="000000" w:themeColor="text1"/>
          <w:sz w:val="22"/>
          <w:szCs w:val="22"/>
          <w:vertAlign w:val="superscript"/>
        </w:rPr>
        <w:t>2</w:t>
      </w:r>
      <w:r w:rsidRPr="00BE43C8">
        <w:rPr>
          <w:rFonts w:ascii="Arial" w:hAnsi="Arial" w:cs="Arial"/>
          <w:color w:val="000000" w:themeColor="text1"/>
          <w:sz w:val="22"/>
          <w:szCs w:val="22"/>
        </w:rPr>
        <w:t xml:space="preserve"> is </w:t>
      </w:r>
      <w:r w:rsidR="003713B0" w:rsidRPr="00BE43C8">
        <w:rPr>
          <w:rFonts w:ascii="Arial" w:hAnsi="Arial" w:cs="Arial"/>
          <w:color w:val="000000" w:themeColor="text1"/>
          <w:sz w:val="22"/>
          <w:szCs w:val="22"/>
        </w:rPr>
        <w:t>reported</w:t>
      </w:r>
      <w:r w:rsidRPr="00BE43C8">
        <w:rPr>
          <w:rFonts w:ascii="Arial" w:hAnsi="Arial" w:cs="Arial"/>
          <w:color w:val="000000" w:themeColor="text1"/>
          <w:sz w:val="22"/>
          <w:szCs w:val="22"/>
        </w:rPr>
        <w:t xml:space="preserve"> to be a mixture of </w:t>
      </w:r>
      <w:r w:rsidR="00865CFC" w:rsidRPr="00BE43C8">
        <w:rPr>
          <w:rFonts w:ascii="Arial" w:hAnsi="Arial" w:cs="Arial"/>
          <w:color w:val="000000" w:themeColor="text1"/>
          <w:sz w:val="22"/>
          <w:szCs w:val="22"/>
        </w:rPr>
        <w:t xml:space="preserve">powdered </w:t>
      </w:r>
      <w:r w:rsidRPr="00BE43C8">
        <w:rPr>
          <w:rFonts w:ascii="Arial" w:hAnsi="Arial" w:cs="Arial"/>
          <w:color w:val="000000" w:themeColor="text1"/>
          <w:sz w:val="22"/>
          <w:szCs w:val="22"/>
        </w:rPr>
        <w:t xml:space="preserve">heroin, </w:t>
      </w:r>
      <w:r w:rsidR="00865CFC" w:rsidRPr="00BE43C8">
        <w:rPr>
          <w:rFonts w:ascii="Arial" w:hAnsi="Arial" w:cs="Arial"/>
          <w:color w:val="000000" w:themeColor="text1"/>
          <w:sz w:val="22"/>
          <w:szCs w:val="22"/>
        </w:rPr>
        <w:t xml:space="preserve">herbal </w:t>
      </w:r>
      <w:r w:rsidRPr="00BE43C8">
        <w:rPr>
          <w:rFonts w:ascii="Arial" w:hAnsi="Arial" w:cs="Arial"/>
          <w:color w:val="000000" w:themeColor="text1"/>
          <w:sz w:val="22"/>
          <w:szCs w:val="22"/>
        </w:rPr>
        <w:t xml:space="preserve">cannabis and </w:t>
      </w:r>
      <w:r w:rsidR="00865CFC" w:rsidRPr="00BE43C8">
        <w:rPr>
          <w:rFonts w:ascii="Arial" w:hAnsi="Arial" w:cs="Arial"/>
          <w:color w:val="000000" w:themeColor="text1"/>
          <w:sz w:val="22"/>
          <w:szCs w:val="22"/>
        </w:rPr>
        <w:t xml:space="preserve">prescription </w:t>
      </w:r>
      <w:r w:rsidRPr="00BE43C8">
        <w:rPr>
          <w:rFonts w:ascii="Arial" w:hAnsi="Arial" w:cs="Arial"/>
          <w:color w:val="000000" w:themeColor="text1"/>
          <w:sz w:val="22"/>
          <w:szCs w:val="22"/>
        </w:rPr>
        <w:t>anti-</w:t>
      </w:r>
      <w:proofErr w:type="spellStart"/>
      <w:r w:rsidRPr="00BE43C8">
        <w:rPr>
          <w:rFonts w:ascii="Arial" w:hAnsi="Arial" w:cs="Arial"/>
          <w:color w:val="000000" w:themeColor="text1"/>
          <w:sz w:val="22"/>
          <w:szCs w:val="22"/>
        </w:rPr>
        <w:t>retrovirals</w:t>
      </w:r>
      <w:proofErr w:type="spellEnd"/>
      <w:r w:rsidRPr="00BE43C8">
        <w:rPr>
          <w:rFonts w:ascii="Arial" w:hAnsi="Arial" w:cs="Arial"/>
          <w:color w:val="000000" w:themeColor="text1"/>
          <w:sz w:val="22"/>
          <w:szCs w:val="22"/>
        </w:rPr>
        <w:t>. It has also been reported to contain methamphetamine and warfarin</w:t>
      </w:r>
      <w:r w:rsidR="002739B6" w:rsidRPr="00BE43C8">
        <w:rPr>
          <w:rFonts w:ascii="Arial" w:hAnsi="Arial" w:cs="Arial"/>
          <w:color w:val="000000" w:themeColor="text1"/>
          <w:sz w:val="22"/>
          <w:szCs w:val="22"/>
        </w:rPr>
        <w:t xml:space="preserve"> although some of these claims are disputed</w:t>
      </w:r>
      <w:r w:rsidRPr="00BE43C8">
        <w:rPr>
          <w:rFonts w:ascii="Arial" w:hAnsi="Arial" w:cs="Arial"/>
          <w:color w:val="000000" w:themeColor="text1"/>
          <w:sz w:val="22"/>
          <w:szCs w:val="22"/>
        </w:rPr>
        <w:t xml:space="preserve">. </w:t>
      </w:r>
      <w:r w:rsidR="00006018" w:rsidRPr="00BE43C8">
        <w:rPr>
          <w:rFonts w:ascii="Arial" w:hAnsi="Arial" w:cs="Arial"/>
          <w:color w:val="000000" w:themeColor="text1"/>
          <w:sz w:val="22"/>
          <w:szCs w:val="22"/>
        </w:rPr>
        <w:t xml:space="preserve">An unpublished study reports a much wider range of drugs </w:t>
      </w:r>
      <w:r w:rsidR="0043637C" w:rsidRPr="00BE43C8">
        <w:rPr>
          <w:rFonts w:ascii="Arial" w:hAnsi="Arial" w:cs="Arial"/>
          <w:color w:val="000000" w:themeColor="text1"/>
          <w:sz w:val="22"/>
          <w:szCs w:val="22"/>
        </w:rPr>
        <w:t>found in</w:t>
      </w:r>
      <w:r w:rsidR="00006018" w:rsidRPr="00BE43C8">
        <w:rPr>
          <w:rFonts w:ascii="Arial" w:hAnsi="Arial" w:cs="Arial"/>
          <w:color w:val="000000" w:themeColor="text1"/>
          <w:sz w:val="22"/>
          <w:szCs w:val="22"/>
        </w:rPr>
        <w:t xml:space="preserve"> </w:t>
      </w:r>
      <w:proofErr w:type="spellStart"/>
      <w:r w:rsidR="00006018" w:rsidRPr="00BE43C8">
        <w:rPr>
          <w:rFonts w:ascii="Arial" w:hAnsi="Arial" w:cs="Arial"/>
          <w:color w:val="000000" w:themeColor="text1"/>
          <w:sz w:val="22"/>
          <w:szCs w:val="22"/>
        </w:rPr>
        <w:t>nyaope</w:t>
      </w:r>
      <w:proofErr w:type="spellEnd"/>
      <w:r w:rsidR="00006018" w:rsidRPr="00BE43C8">
        <w:rPr>
          <w:rFonts w:ascii="Arial" w:hAnsi="Arial" w:cs="Arial"/>
          <w:color w:val="000000" w:themeColor="text1"/>
          <w:sz w:val="22"/>
          <w:szCs w:val="22"/>
        </w:rPr>
        <w:t xml:space="preserve"> samples</w:t>
      </w:r>
      <w:r w:rsidR="007548C8">
        <w:rPr>
          <w:rFonts w:ascii="Arial" w:hAnsi="Arial" w:cs="Arial"/>
          <w:color w:val="000000" w:themeColor="text1"/>
          <w:sz w:val="22"/>
          <w:szCs w:val="22"/>
          <w:vertAlign w:val="superscript"/>
        </w:rPr>
        <w:t>3</w:t>
      </w:r>
      <w:r w:rsidR="00006018" w:rsidRPr="00BE43C8">
        <w:rPr>
          <w:rFonts w:ascii="Arial" w:hAnsi="Arial" w:cs="Arial"/>
          <w:color w:val="000000" w:themeColor="text1"/>
          <w:sz w:val="22"/>
          <w:szCs w:val="22"/>
        </w:rPr>
        <w:t xml:space="preserve">. </w:t>
      </w:r>
      <w:r w:rsidRPr="00BE43C8">
        <w:rPr>
          <w:rFonts w:ascii="Arial" w:hAnsi="Arial" w:cs="Arial"/>
          <w:color w:val="000000" w:themeColor="text1"/>
          <w:sz w:val="22"/>
          <w:szCs w:val="22"/>
        </w:rPr>
        <w:t xml:space="preserve">In parts of South </w:t>
      </w:r>
      <w:proofErr w:type="gramStart"/>
      <w:r w:rsidRPr="00BE43C8">
        <w:rPr>
          <w:rFonts w:ascii="Arial" w:hAnsi="Arial" w:cs="Arial"/>
          <w:color w:val="000000" w:themeColor="text1"/>
          <w:sz w:val="22"/>
          <w:szCs w:val="22"/>
        </w:rPr>
        <w:t>Africa</w:t>
      </w:r>
      <w:proofErr w:type="gramEnd"/>
      <w:r w:rsidRPr="00BE43C8">
        <w:rPr>
          <w:rFonts w:ascii="Arial" w:hAnsi="Arial" w:cs="Arial"/>
          <w:color w:val="000000" w:themeColor="text1"/>
          <w:sz w:val="22"/>
          <w:szCs w:val="22"/>
        </w:rPr>
        <w:t xml:space="preserve"> it is known as “</w:t>
      </w:r>
      <w:proofErr w:type="spellStart"/>
      <w:r w:rsidRPr="00BE43C8">
        <w:rPr>
          <w:rFonts w:ascii="Arial" w:hAnsi="Arial" w:cs="Arial"/>
          <w:color w:val="000000" w:themeColor="text1"/>
          <w:sz w:val="22"/>
          <w:szCs w:val="22"/>
        </w:rPr>
        <w:t>Woonga</w:t>
      </w:r>
      <w:proofErr w:type="spellEnd"/>
      <w:r w:rsidRPr="00BE43C8">
        <w:rPr>
          <w:rFonts w:ascii="Arial" w:hAnsi="Arial" w:cs="Arial"/>
          <w:color w:val="000000" w:themeColor="text1"/>
          <w:sz w:val="22"/>
          <w:szCs w:val="22"/>
        </w:rPr>
        <w:t xml:space="preserve">” </w:t>
      </w:r>
      <w:r w:rsidR="001223F8" w:rsidRPr="00BE43C8">
        <w:rPr>
          <w:rFonts w:ascii="Arial" w:hAnsi="Arial" w:cs="Arial"/>
          <w:color w:val="000000" w:themeColor="text1"/>
          <w:sz w:val="22"/>
          <w:szCs w:val="22"/>
        </w:rPr>
        <w:t>(spelled “</w:t>
      </w:r>
      <w:proofErr w:type="spellStart"/>
      <w:r w:rsidR="001223F8" w:rsidRPr="00BE43C8">
        <w:rPr>
          <w:rFonts w:ascii="Arial" w:hAnsi="Arial" w:cs="Arial"/>
          <w:color w:val="000000" w:themeColor="text1"/>
          <w:sz w:val="22"/>
          <w:szCs w:val="22"/>
        </w:rPr>
        <w:t>Wunga</w:t>
      </w:r>
      <w:proofErr w:type="spellEnd"/>
      <w:r w:rsidR="001223F8" w:rsidRPr="00BE43C8">
        <w:rPr>
          <w:rFonts w:ascii="Arial" w:hAnsi="Arial" w:cs="Arial"/>
          <w:color w:val="000000" w:themeColor="text1"/>
          <w:sz w:val="22"/>
          <w:szCs w:val="22"/>
        </w:rPr>
        <w:t>” in Zulu</w:t>
      </w:r>
      <w:r w:rsidR="007548C8">
        <w:rPr>
          <w:rFonts w:ascii="Arial" w:hAnsi="Arial" w:cs="Arial"/>
          <w:color w:val="000000" w:themeColor="text1"/>
          <w:sz w:val="22"/>
          <w:szCs w:val="22"/>
          <w:vertAlign w:val="superscript"/>
        </w:rPr>
        <w:t>2</w:t>
      </w:r>
      <w:r w:rsidR="001223F8" w:rsidRPr="00BE43C8">
        <w:rPr>
          <w:rFonts w:ascii="Arial" w:hAnsi="Arial" w:cs="Arial"/>
          <w:color w:val="000000" w:themeColor="text1"/>
          <w:sz w:val="22"/>
          <w:szCs w:val="22"/>
        </w:rPr>
        <w:t>). It has no single composition and mixtures follow trends</w:t>
      </w:r>
      <w:r w:rsidR="007548C8">
        <w:rPr>
          <w:rFonts w:ascii="Arial" w:hAnsi="Arial" w:cs="Arial"/>
          <w:color w:val="000000" w:themeColor="text1"/>
          <w:sz w:val="22"/>
          <w:szCs w:val="22"/>
          <w:vertAlign w:val="superscript"/>
        </w:rPr>
        <w:t>4</w:t>
      </w:r>
      <w:r w:rsidR="001223F8" w:rsidRPr="00BE43C8">
        <w:rPr>
          <w:rFonts w:ascii="Arial" w:hAnsi="Arial" w:cs="Arial"/>
          <w:color w:val="000000" w:themeColor="text1"/>
          <w:sz w:val="22"/>
          <w:szCs w:val="22"/>
        </w:rPr>
        <w:t xml:space="preserve"> although the predominant drug </w:t>
      </w:r>
      <w:r w:rsidR="005C1B11">
        <w:rPr>
          <w:rFonts w:ascii="Arial" w:hAnsi="Arial" w:cs="Arial"/>
          <w:color w:val="000000" w:themeColor="text1"/>
          <w:sz w:val="22"/>
          <w:szCs w:val="22"/>
        </w:rPr>
        <w:t xml:space="preserve">by mass </w:t>
      </w:r>
      <w:r w:rsidR="001223F8" w:rsidRPr="00BE43C8">
        <w:rPr>
          <w:rFonts w:ascii="Arial" w:hAnsi="Arial" w:cs="Arial"/>
          <w:color w:val="000000" w:themeColor="text1"/>
          <w:sz w:val="22"/>
          <w:szCs w:val="22"/>
        </w:rPr>
        <w:t>is cannabis, followed by heroin.</w:t>
      </w:r>
      <w:r w:rsidR="00F300F0" w:rsidRPr="00BE43C8">
        <w:rPr>
          <w:rFonts w:ascii="Arial" w:hAnsi="Arial" w:cs="Arial"/>
          <w:color w:val="000000" w:themeColor="text1"/>
          <w:sz w:val="22"/>
          <w:szCs w:val="22"/>
        </w:rPr>
        <w:t xml:space="preserve"> </w:t>
      </w:r>
      <w:r w:rsidR="00865CFC" w:rsidRPr="00BE43C8">
        <w:rPr>
          <w:rFonts w:ascii="Arial" w:hAnsi="Arial" w:cs="Arial"/>
          <w:color w:val="000000" w:themeColor="text1"/>
          <w:sz w:val="22"/>
          <w:szCs w:val="22"/>
        </w:rPr>
        <w:t xml:space="preserve">It is typically smoked </w:t>
      </w:r>
      <w:r w:rsidR="007D78CC" w:rsidRPr="00BE43C8">
        <w:rPr>
          <w:rFonts w:ascii="Arial" w:hAnsi="Arial" w:cs="Arial"/>
          <w:color w:val="000000" w:themeColor="text1"/>
          <w:sz w:val="22"/>
          <w:szCs w:val="22"/>
        </w:rPr>
        <w:t xml:space="preserve">after being mixed with </w:t>
      </w:r>
      <w:r w:rsidR="00865CFC" w:rsidRPr="00BE43C8">
        <w:rPr>
          <w:rFonts w:ascii="Arial" w:hAnsi="Arial" w:cs="Arial"/>
          <w:color w:val="000000" w:themeColor="text1"/>
          <w:sz w:val="22"/>
          <w:szCs w:val="22"/>
        </w:rPr>
        <w:t>tobacco.</w:t>
      </w:r>
    </w:p>
    <w:p w14:paraId="0041AC70" w14:textId="77777777" w:rsidR="007E7F06" w:rsidRPr="00BE43C8" w:rsidRDefault="007E7F06" w:rsidP="0016122E">
      <w:pPr>
        <w:spacing w:line="360" w:lineRule="auto"/>
        <w:rPr>
          <w:rFonts w:ascii="Arial" w:hAnsi="Arial" w:cs="Arial"/>
          <w:color w:val="000000" w:themeColor="text1"/>
          <w:sz w:val="22"/>
          <w:szCs w:val="22"/>
        </w:rPr>
      </w:pPr>
    </w:p>
    <w:p w14:paraId="7280FFF4" w14:textId="6AFEA858" w:rsidR="0043637C" w:rsidRPr="00BE43C8" w:rsidRDefault="00856889" w:rsidP="0016122E">
      <w:pPr>
        <w:spacing w:line="360" w:lineRule="auto"/>
        <w:jc w:val="both"/>
        <w:rPr>
          <w:rFonts w:ascii="Arial" w:hAnsi="Arial" w:cs="Arial"/>
          <w:color w:val="000000" w:themeColor="text1"/>
          <w:sz w:val="22"/>
          <w:szCs w:val="22"/>
        </w:rPr>
      </w:pPr>
      <w:proofErr w:type="spellStart"/>
      <w:r w:rsidRPr="00BE43C8">
        <w:rPr>
          <w:rFonts w:ascii="Arial" w:hAnsi="Arial" w:cs="Arial"/>
          <w:color w:val="000000" w:themeColor="text1"/>
          <w:sz w:val="22"/>
          <w:szCs w:val="22"/>
        </w:rPr>
        <w:t>Nyaope</w:t>
      </w:r>
      <w:proofErr w:type="spellEnd"/>
      <w:r w:rsidRPr="00BE43C8">
        <w:rPr>
          <w:rFonts w:ascii="Arial" w:hAnsi="Arial" w:cs="Arial"/>
          <w:color w:val="000000" w:themeColor="text1"/>
          <w:sz w:val="22"/>
          <w:szCs w:val="22"/>
        </w:rPr>
        <w:t xml:space="preserve"> contains substances that are controlled by the S</w:t>
      </w:r>
      <w:r w:rsidR="007D78CC" w:rsidRPr="00BE43C8">
        <w:rPr>
          <w:rFonts w:ascii="Arial" w:hAnsi="Arial" w:cs="Arial"/>
          <w:color w:val="000000" w:themeColor="text1"/>
          <w:sz w:val="22"/>
          <w:szCs w:val="22"/>
        </w:rPr>
        <w:t>outh African</w:t>
      </w:r>
      <w:r w:rsidRPr="00BE43C8">
        <w:rPr>
          <w:rFonts w:ascii="Arial" w:hAnsi="Arial" w:cs="Arial"/>
          <w:color w:val="000000" w:themeColor="text1"/>
          <w:sz w:val="22"/>
          <w:szCs w:val="22"/>
        </w:rPr>
        <w:t xml:space="preserve"> Drug and Drug Trafficking Act which have been controlled from as far back as 1992. The name </w:t>
      </w:r>
      <w:proofErr w:type="spellStart"/>
      <w:r w:rsidRPr="00BE43C8">
        <w:rPr>
          <w:rFonts w:ascii="Arial" w:hAnsi="Arial" w:cs="Arial"/>
          <w:color w:val="000000" w:themeColor="text1"/>
          <w:sz w:val="22"/>
          <w:szCs w:val="22"/>
        </w:rPr>
        <w:t>nyaope</w:t>
      </w:r>
      <w:proofErr w:type="spellEnd"/>
      <w:r w:rsidRPr="00BE43C8">
        <w:rPr>
          <w:rFonts w:ascii="Arial" w:hAnsi="Arial" w:cs="Arial"/>
          <w:color w:val="000000" w:themeColor="text1"/>
          <w:sz w:val="22"/>
          <w:szCs w:val="22"/>
        </w:rPr>
        <w:t xml:space="preserve"> itself is a street name and therefore cannot be listed in the Act.</w:t>
      </w:r>
      <w:r w:rsidR="00F300F0" w:rsidRPr="00BE43C8">
        <w:rPr>
          <w:rFonts w:ascii="Arial" w:hAnsi="Arial" w:cs="Arial"/>
          <w:color w:val="000000" w:themeColor="text1"/>
          <w:sz w:val="22"/>
          <w:szCs w:val="22"/>
        </w:rPr>
        <w:t xml:space="preserve"> It is inexpensive</w:t>
      </w:r>
      <w:r w:rsidR="002739B6" w:rsidRPr="00BE43C8">
        <w:rPr>
          <w:rFonts w:ascii="Arial" w:hAnsi="Arial" w:cs="Arial"/>
          <w:color w:val="000000" w:themeColor="text1"/>
          <w:sz w:val="22"/>
          <w:szCs w:val="22"/>
        </w:rPr>
        <w:t xml:space="preserve"> with </w:t>
      </w:r>
      <w:r w:rsidR="00F300F0" w:rsidRPr="00BE43C8">
        <w:rPr>
          <w:rFonts w:ascii="Arial" w:hAnsi="Arial" w:cs="Arial"/>
          <w:color w:val="000000" w:themeColor="text1"/>
          <w:sz w:val="22"/>
          <w:szCs w:val="22"/>
        </w:rPr>
        <w:t>a single dose costing R20.00 – R30.00 (circa US$ 2)</w:t>
      </w:r>
      <w:r w:rsidR="007548C8">
        <w:rPr>
          <w:rFonts w:ascii="Arial" w:hAnsi="Arial" w:cs="Arial"/>
          <w:color w:val="000000" w:themeColor="text1"/>
          <w:sz w:val="22"/>
          <w:szCs w:val="22"/>
          <w:vertAlign w:val="superscript"/>
        </w:rPr>
        <w:t>4</w:t>
      </w:r>
      <w:r w:rsidR="00F300F0" w:rsidRPr="00BE43C8">
        <w:rPr>
          <w:rFonts w:ascii="Arial" w:hAnsi="Arial" w:cs="Arial"/>
          <w:color w:val="000000" w:themeColor="text1"/>
          <w:sz w:val="22"/>
          <w:szCs w:val="22"/>
        </w:rPr>
        <w:t xml:space="preserve"> and is widely used by the Coloured and Black communities in the townships, by addicts who are sometimes as young as 12 or 13 years old</w:t>
      </w:r>
      <w:r w:rsidR="002832A9">
        <w:rPr>
          <w:rFonts w:ascii="Arial" w:hAnsi="Arial" w:cs="Arial"/>
          <w:color w:val="000000" w:themeColor="text1"/>
          <w:sz w:val="22"/>
          <w:szCs w:val="22"/>
          <w:vertAlign w:val="superscript"/>
        </w:rPr>
        <w:t>4</w:t>
      </w:r>
      <w:r w:rsidR="00F300F0" w:rsidRPr="00BE43C8">
        <w:rPr>
          <w:rFonts w:ascii="Arial" w:hAnsi="Arial" w:cs="Arial"/>
          <w:color w:val="000000" w:themeColor="text1"/>
          <w:sz w:val="22"/>
          <w:szCs w:val="22"/>
        </w:rPr>
        <w:t xml:space="preserve">. </w:t>
      </w:r>
      <w:r w:rsidR="003F0834" w:rsidRPr="00BE43C8">
        <w:rPr>
          <w:rFonts w:ascii="Arial" w:hAnsi="Arial" w:cs="Arial"/>
          <w:color w:val="000000" w:themeColor="text1"/>
          <w:sz w:val="22"/>
          <w:szCs w:val="22"/>
        </w:rPr>
        <w:t xml:space="preserve">Although the drug is widely reported in South Africa, nothing is known of </w:t>
      </w:r>
      <w:proofErr w:type="spellStart"/>
      <w:proofErr w:type="gramStart"/>
      <w:r w:rsidR="003F0834" w:rsidRPr="00BE43C8">
        <w:rPr>
          <w:rFonts w:ascii="Arial" w:hAnsi="Arial" w:cs="Arial"/>
          <w:color w:val="000000" w:themeColor="text1"/>
          <w:sz w:val="22"/>
          <w:szCs w:val="22"/>
        </w:rPr>
        <w:t>it’s</w:t>
      </w:r>
      <w:proofErr w:type="spellEnd"/>
      <w:proofErr w:type="gramEnd"/>
      <w:r w:rsidR="003F0834" w:rsidRPr="00BE43C8">
        <w:rPr>
          <w:rFonts w:ascii="Arial" w:hAnsi="Arial" w:cs="Arial"/>
          <w:color w:val="000000" w:themeColor="text1"/>
          <w:sz w:val="22"/>
          <w:szCs w:val="22"/>
        </w:rPr>
        <w:t xml:space="preserve"> distribution in neighbouring Mozambique, Zimbabwe, Botswana and Namibia, although there are anecdotal reports that it may have been reported in Angola</w:t>
      </w:r>
      <w:r w:rsidR="002832A9">
        <w:rPr>
          <w:rFonts w:ascii="Arial" w:hAnsi="Arial" w:cs="Arial"/>
          <w:color w:val="000000" w:themeColor="text1"/>
          <w:sz w:val="22"/>
          <w:szCs w:val="22"/>
          <w:vertAlign w:val="superscript"/>
        </w:rPr>
        <w:t>5</w:t>
      </w:r>
      <w:r w:rsidR="003F0834" w:rsidRPr="00BE43C8">
        <w:rPr>
          <w:rFonts w:ascii="Arial" w:hAnsi="Arial" w:cs="Arial"/>
          <w:color w:val="000000" w:themeColor="text1"/>
          <w:sz w:val="22"/>
          <w:szCs w:val="22"/>
        </w:rPr>
        <w:t xml:space="preserve">. </w:t>
      </w:r>
      <w:r w:rsidR="00F300F0" w:rsidRPr="00BE43C8">
        <w:rPr>
          <w:rFonts w:ascii="Arial" w:hAnsi="Arial" w:cs="Arial"/>
          <w:color w:val="000000" w:themeColor="text1"/>
          <w:sz w:val="22"/>
          <w:szCs w:val="22"/>
        </w:rPr>
        <w:t xml:space="preserve">Due to the severe form that the addiction </w:t>
      </w:r>
      <w:r w:rsidR="0043637C" w:rsidRPr="00BE43C8">
        <w:rPr>
          <w:rFonts w:ascii="Arial" w:hAnsi="Arial" w:cs="Arial"/>
          <w:color w:val="000000" w:themeColor="text1"/>
          <w:sz w:val="22"/>
          <w:szCs w:val="22"/>
        </w:rPr>
        <w:t xml:space="preserve">to </w:t>
      </w:r>
      <w:proofErr w:type="spellStart"/>
      <w:r w:rsidR="0043637C" w:rsidRPr="00BE43C8">
        <w:rPr>
          <w:rFonts w:ascii="Arial" w:hAnsi="Arial" w:cs="Arial"/>
          <w:color w:val="000000" w:themeColor="text1"/>
          <w:sz w:val="22"/>
          <w:szCs w:val="22"/>
        </w:rPr>
        <w:t>nyaope</w:t>
      </w:r>
      <w:proofErr w:type="spellEnd"/>
      <w:r w:rsidR="0043637C" w:rsidRPr="00BE43C8">
        <w:rPr>
          <w:rFonts w:ascii="Arial" w:hAnsi="Arial" w:cs="Arial"/>
          <w:color w:val="000000" w:themeColor="text1"/>
          <w:sz w:val="22"/>
          <w:szCs w:val="22"/>
        </w:rPr>
        <w:t xml:space="preserve"> </w:t>
      </w:r>
      <w:r w:rsidR="00F300F0" w:rsidRPr="00BE43C8">
        <w:rPr>
          <w:rFonts w:ascii="Arial" w:hAnsi="Arial" w:cs="Arial"/>
          <w:color w:val="000000" w:themeColor="text1"/>
          <w:sz w:val="22"/>
          <w:szCs w:val="22"/>
        </w:rPr>
        <w:t>can take and the intensity and nature of the withdrawal symptoms</w:t>
      </w:r>
      <w:r w:rsidR="002739B6" w:rsidRPr="00BE43C8">
        <w:rPr>
          <w:rFonts w:ascii="Arial" w:hAnsi="Arial" w:cs="Arial"/>
          <w:color w:val="000000" w:themeColor="text1"/>
          <w:sz w:val="22"/>
          <w:szCs w:val="22"/>
        </w:rPr>
        <w:t>, the social cost of this drug is enormous</w:t>
      </w:r>
      <w:r w:rsidR="002832A9">
        <w:rPr>
          <w:rFonts w:ascii="Arial" w:hAnsi="Arial" w:cs="Arial"/>
          <w:color w:val="000000" w:themeColor="text1"/>
          <w:sz w:val="22"/>
          <w:szCs w:val="22"/>
          <w:vertAlign w:val="superscript"/>
        </w:rPr>
        <w:t>6</w:t>
      </w:r>
      <w:r w:rsidR="002739B6" w:rsidRPr="00BE43C8">
        <w:rPr>
          <w:rFonts w:ascii="Arial" w:hAnsi="Arial" w:cs="Arial"/>
          <w:color w:val="000000" w:themeColor="text1"/>
          <w:sz w:val="22"/>
          <w:szCs w:val="22"/>
        </w:rPr>
        <w:t xml:space="preserve"> and addicts, including children, adopt chaotic lifestyles, dropping out of school and engaging in criminal activity including theft and prostitu</w:t>
      </w:r>
      <w:r w:rsidR="002832A9">
        <w:rPr>
          <w:rFonts w:ascii="Arial" w:hAnsi="Arial" w:cs="Arial"/>
          <w:color w:val="000000" w:themeColor="text1"/>
          <w:sz w:val="22"/>
          <w:szCs w:val="22"/>
        </w:rPr>
        <w:t>tion to fund their drug taking</w:t>
      </w:r>
      <w:r w:rsidR="002832A9">
        <w:rPr>
          <w:rFonts w:ascii="Arial" w:hAnsi="Arial" w:cs="Arial"/>
          <w:color w:val="000000" w:themeColor="text1"/>
          <w:sz w:val="22"/>
          <w:szCs w:val="22"/>
          <w:vertAlign w:val="superscript"/>
        </w:rPr>
        <w:t>4</w:t>
      </w:r>
      <w:r w:rsidR="002739B6" w:rsidRPr="00BE43C8">
        <w:rPr>
          <w:rFonts w:ascii="Arial" w:hAnsi="Arial" w:cs="Arial"/>
          <w:color w:val="000000" w:themeColor="text1"/>
          <w:sz w:val="22"/>
          <w:szCs w:val="22"/>
        </w:rPr>
        <w:t>.</w:t>
      </w:r>
      <w:r w:rsidR="009363D2" w:rsidRPr="00BE43C8">
        <w:rPr>
          <w:rFonts w:ascii="Arial" w:hAnsi="Arial" w:cs="Arial"/>
          <w:color w:val="000000" w:themeColor="text1"/>
          <w:sz w:val="22"/>
          <w:szCs w:val="22"/>
        </w:rPr>
        <w:t xml:space="preserve"> </w:t>
      </w:r>
    </w:p>
    <w:p w14:paraId="59E8277B" w14:textId="77777777" w:rsidR="0043637C" w:rsidRPr="00BE43C8" w:rsidRDefault="0043637C" w:rsidP="0016122E">
      <w:pPr>
        <w:spacing w:line="360" w:lineRule="auto"/>
        <w:rPr>
          <w:rFonts w:ascii="Arial" w:hAnsi="Arial" w:cs="Arial"/>
          <w:color w:val="000000" w:themeColor="text1"/>
          <w:sz w:val="22"/>
          <w:szCs w:val="22"/>
        </w:rPr>
      </w:pPr>
    </w:p>
    <w:p w14:paraId="3A3F7ADE" w14:textId="17167AE5" w:rsidR="000921F7" w:rsidRPr="00BE43C8" w:rsidRDefault="009363D2" w:rsidP="0016122E">
      <w:pPr>
        <w:spacing w:line="360" w:lineRule="auto"/>
        <w:jc w:val="both"/>
        <w:rPr>
          <w:rFonts w:ascii="Arial" w:hAnsi="Arial" w:cs="Arial"/>
          <w:color w:val="000000" w:themeColor="text1"/>
          <w:sz w:val="22"/>
          <w:szCs w:val="22"/>
        </w:rPr>
      </w:pPr>
      <w:r w:rsidRPr="00BE43C8">
        <w:rPr>
          <w:rFonts w:ascii="Arial" w:hAnsi="Arial" w:cs="Arial"/>
          <w:color w:val="000000" w:themeColor="text1"/>
          <w:sz w:val="22"/>
          <w:szCs w:val="22"/>
        </w:rPr>
        <w:lastRenderedPageBreak/>
        <w:t xml:space="preserve">The health risks associated with using </w:t>
      </w:r>
      <w:proofErr w:type="spellStart"/>
      <w:r w:rsidRPr="00BE43C8">
        <w:rPr>
          <w:rFonts w:ascii="Arial" w:hAnsi="Arial" w:cs="Arial"/>
          <w:color w:val="000000" w:themeColor="text1"/>
          <w:sz w:val="22"/>
          <w:szCs w:val="22"/>
        </w:rPr>
        <w:t>Nyaope</w:t>
      </w:r>
      <w:proofErr w:type="spellEnd"/>
      <w:r w:rsidRPr="00BE43C8">
        <w:rPr>
          <w:rFonts w:ascii="Arial" w:hAnsi="Arial" w:cs="Arial"/>
          <w:color w:val="000000" w:themeColor="text1"/>
          <w:sz w:val="22"/>
          <w:szCs w:val="22"/>
        </w:rPr>
        <w:t xml:space="preserve"> are not well investigated but </w:t>
      </w:r>
      <w:r w:rsidR="00FA45A4" w:rsidRPr="00BE43C8">
        <w:rPr>
          <w:rFonts w:ascii="Arial" w:hAnsi="Arial" w:cs="Arial"/>
          <w:color w:val="000000" w:themeColor="text1"/>
          <w:sz w:val="22"/>
          <w:szCs w:val="22"/>
        </w:rPr>
        <w:t xml:space="preserve">reports </w:t>
      </w:r>
      <w:r w:rsidRPr="00BE43C8">
        <w:rPr>
          <w:rFonts w:ascii="Arial" w:hAnsi="Arial" w:cs="Arial"/>
          <w:color w:val="000000" w:themeColor="text1"/>
          <w:sz w:val="22"/>
          <w:szCs w:val="22"/>
        </w:rPr>
        <w:t>include restriction of growth and development of neo-nates</w:t>
      </w:r>
      <w:r w:rsidR="002832A9">
        <w:rPr>
          <w:rFonts w:ascii="Arial" w:hAnsi="Arial" w:cs="Arial"/>
          <w:color w:val="000000" w:themeColor="text1"/>
          <w:sz w:val="22"/>
          <w:szCs w:val="22"/>
          <w:vertAlign w:val="superscript"/>
        </w:rPr>
        <w:t>7</w:t>
      </w:r>
      <w:r w:rsidR="00FA45A4" w:rsidRPr="00BE43C8">
        <w:rPr>
          <w:rFonts w:ascii="Arial" w:hAnsi="Arial" w:cs="Arial"/>
          <w:color w:val="000000" w:themeColor="text1"/>
          <w:sz w:val="22"/>
          <w:szCs w:val="22"/>
        </w:rPr>
        <w:t xml:space="preserve"> and </w:t>
      </w:r>
      <w:r w:rsidR="007842A2" w:rsidRPr="00BE43C8">
        <w:rPr>
          <w:rFonts w:ascii="Arial" w:hAnsi="Arial" w:cs="Arial"/>
          <w:color w:val="000000" w:themeColor="text1"/>
          <w:sz w:val="22"/>
          <w:szCs w:val="22"/>
        </w:rPr>
        <w:t>infective endocarditis</w:t>
      </w:r>
      <w:r w:rsidR="002832A9">
        <w:rPr>
          <w:rFonts w:ascii="Arial" w:hAnsi="Arial" w:cs="Arial"/>
          <w:color w:val="000000" w:themeColor="text1"/>
          <w:sz w:val="22"/>
          <w:szCs w:val="22"/>
          <w:vertAlign w:val="superscript"/>
        </w:rPr>
        <w:t>8</w:t>
      </w:r>
      <w:r w:rsidR="007E7F06" w:rsidRPr="00BE43C8">
        <w:rPr>
          <w:rFonts w:ascii="Arial" w:hAnsi="Arial" w:cs="Arial"/>
          <w:color w:val="000000" w:themeColor="text1"/>
          <w:sz w:val="22"/>
          <w:szCs w:val="22"/>
        </w:rPr>
        <w:t xml:space="preserve"> </w:t>
      </w:r>
      <w:r w:rsidR="007842A2" w:rsidRPr="00BE43C8">
        <w:rPr>
          <w:rFonts w:ascii="Arial" w:hAnsi="Arial" w:cs="Arial"/>
          <w:color w:val="000000" w:themeColor="text1"/>
          <w:sz w:val="22"/>
          <w:szCs w:val="22"/>
        </w:rPr>
        <w:t>which had been misdiagnosed elsewhere as pulmonary tuberculosis or pneumonia</w:t>
      </w:r>
      <w:r w:rsidR="002832A9">
        <w:rPr>
          <w:rFonts w:ascii="Arial" w:hAnsi="Arial" w:cs="Arial"/>
          <w:color w:val="000000" w:themeColor="text1"/>
          <w:sz w:val="22"/>
          <w:szCs w:val="22"/>
          <w:vertAlign w:val="superscript"/>
        </w:rPr>
        <w:t>9</w:t>
      </w:r>
      <w:r w:rsidR="007842A2" w:rsidRPr="00BE43C8">
        <w:rPr>
          <w:rFonts w:ascii="Arial" w:hAnsi="Arial" w:cs="Arial"/>
          <w:color w:val="000000" w:themeColor="text1"/>
          <w:sz w:val="22"/>
          <w:szCs w:val="22"/>
        </w:rPr>
        <w:t>.</w:t>
      </w:r>
      <w:r w:rsidR="00006018" w:rsidRPr="00BE43C8">
        <w:rPr>
          <w:rFonts w:ascii="Arial" w:hAnsi="Arial" w:cs="Arial"/>
          <w:color w:val="000000" w:themeColor="text1"/>
          <w:sz w:val="22"/>
          <w:szCs w:val="22"/>
        </w:rPr>
        <w:t xml:space="preserve"> </w:t>
      </w:r>
      <w:proofErr w:type="gramStart"/>
      <w:r w:rsidR="00006018" w:rsidRPr="00BE43C8">
        <w:rPr>
          <w:rFonts w:ascii="Arial" w:hAnsi="Arial" w:cs="Arial"/>
          <w:color w:val="000000" w:themeColor="text1"/>
          <w:sz w:val="22"/>
          <w:szCs w:val="22"/>
        </w:rPr>
        <w:t>The vast majority of</w:t>
      </w:r>
      <w:proofErr w:type="gramEnd"/>
      <w:r w:rsidR="00006018" w:rsidRPr="00BE43C8">
        <w:rPr>
          <w:rFonts w:ascii="Arial" w:hAnsi="Arial" w:cs="Arial"/>
          <w:color w:val="000000" w:themeColor="text1"/>
          <w:sz w:val="22"/>
          <w:szCs w:val="22"/>
        </w:rPr>
        <w:t xml:space="preserve"> users are HIV positive</w:t>
      </w:r>
      <w:r w:rsidR="002832A9">
        <w:rPr>
          <w:rFonts w:ascii="Arial" w:hAnsi="Arial" w:cs="Arial"/>
          <w:color w:val="000000" w:themeColor="text1"/>
          <w:sz w:val="22"/>
          <w:szCs w:val="22"/>
          <w:vertAlign w:val="superscript"/>
        </w:rPr>
        <w:t>8</w:t>
      </w:r>
      <w:r w:rsidR="00006018" w:rsidRPr="00BE43C8">
        <w:rPr>
          <w:rFonts w:ascii="Arial" w:hAnsi="Arial" w:cs="Arial"/>
          <w:color w:val="000000" w:themeColor="text1"/>
          <w:sz w:val="22"/>
          <w:szCs w:val="22"/>
        </w:rPr>
        <w:t>.</w:t>
      </w:r>
      <w:r w:rsidR="007E7F06" w:rsidRPr="00BE43C8">
        <w:rPr>
          <w:rFonts w:ascii="Arial" w:hAnsi="Arial" w:cs="Arial"/>
          <w:color w:val="000000" w:themeColor="text1"/>
          <w:sz w:val="22"/>
          <w:szCs w:val="22"/>
        </w:rPr>
        <w:t xml:space="preserve"> Other problems associated with </w:t>
      </w:r>
      <w:proofErr w:type="spellStart"/>
      <w:r w:rsidR="007E7F06" w:rsidRPr="00BE43C8">
        <w:rPr>
          <w:rFonts w:ascii="Arial" w:hAnsi="Arial" w:cs="Arial"/>
          <w:color w:val="000000" w:themeColor="text1"/>
          <w:sz w:val="22"/>
          <w:szCs w:val="22"/>
        </w:rPr>
        <w:t>nyaope</w:t>
      </w:r>
      <w:proofErr w:type="spellEnd"/>
      <w:r w:rsidR="007E7F06" w:rsidRPr="00BE43C8">
        <w:rPr>
          <w:rFonts w:ascii="Arial" w:hAnsi="Arial" w:cs="Arial"/>
          <w:color w:val="000000" w:themeColor="text1"/>
          <w:sz w:val="22"/>
          <w:szCs w:val="22"/>
        </w:rPr>
        <w:t xml:space="preserve"> use include </w:t>
      </w:r>
      <w:r w:rsidR="00865CFC" w:rsidRPr="00BE43C8">
        <w:rPr>
          <w:rFonts w:ascii="Arial" w:hAnsi="Arial" w:cs="Arial"/>
          <w:color w:val="000000" w:themeColor="text1"/>
          <w:sz w:val="22"/>
          <w:szCs w:val="22"/>
        </w:rPr>
        <w:t>damaged</w:t>
      </w:r>
      <w:r w:rsidR="007E7F06" w:rsidRPr="00BE43C8">
        <w:rPr>
          <w:rFonts w:ascii="Arial" w:hAnsi="Arial" w:cs="Arial"/>
          <w:color w:val="000000" w:themeColor="text1"/>
          <w:sz w:val="22"/>
          <w:szCs w:val="22"/>
        </w:rPr>
        <w:t xml:space="preserve"> and infected veins, damaged heart valves, tissue infections, liver failure, kidney disease and lung problems</w:t>
      </w:r>
      <w:r w:rsidR="002832A9">
        <w:rPr>
          <w:rFonts w:ascii="Arial" w:hAnsi="Arial" w:cs="Arial"/>
          <w:color w:val="000000" w:themeColor="text1"/>
          <w:sz w:val="22"/>
          <w:szCs w:val="22"/>
          <w:vertAlign w:val="superscript"/>
        </w:rPr>
        <w:t>10</w:t>
      </w:r>
      <w:r w:rsidR="00865CFC" w:rsidRPr="00BE43C8">
        <w:rPr>
          <w:rFonts w:ascii="Arial" w:hAnsi="Arial" w:cs="Arial"/>
          <w:color w:val="000000" w:themeColor="text1"/>
          <w:sz w:val="22"/>
          <w:szCs w:val="22"/>
        </w:rPr>
        <w:t>.</w:t>
      </w:r>
      <w:r w:rsidR="007D78CC" w:rsidRPr="00BE43C8">
        <w:rPr>
          <w:rFonts w:ascii="Arial" w:hAnsi="Arial" w:cs="Arial"/>
          <w:color w:val="000000" w:themeColor="text1"/>
          <w:sz w:val="22"/>
          <w:szCs w:val="22"/>
        </w:rPr>
        <w:t xml:space="preserve"> It therefore represents a significant public health risk.</w:t>
      </w:r>
    </w:p>
    <w:p w14:paraId="305960AE" w14:textId="77777777" w:rsidR="00006018" w:rsidRPr="00BE43C8" w:rsidRDefault="00006018" w:rsidP="0016122E">
      <w:pPr>
        <w:spacing w:line="360" w:lineRule="auto"/>
        <w:rPr>
          <w:rFonts w:ascii="Arial" w:hAnsi="Arial" w:cs="Arial"/>
          <w:color w:val="000000" w:themeColor="text1"/>
          <w:sz w:val="22"/>
          <w:szCs w:val="22"/>
        </w:rPr>
      </w:pPr>
    </w:p>
    <w:p w14:paraId="6FDEB85E" w14:textId="67D02F89" w:rsidR="00C51570" w:rsidRPr="00BE43C8" w:rsidRDefault="00006018" w:rsidP="0016122E">
      <w:pPr>
        <w:spacing w:line="360" w:lineRule="auto"/>
        <w:jc w:val="both"/>
        <w:rPr>
          <w:rFonts w:ascii="Arial" w:hAnsi="Arial" w:cs="Arial"/>
          <w:color w:val="000000" w:themeColor="text1"/>
          <w:sz w:val="22"/>
          <w:szCs w:val="22"/>
        </w:rPr>
      </w:pPr>
      <w:r w:rsidRPr="00BE43C8">
        <w:rPr>
          <w:rFonts w:ascii="Arial" w:hAnsi="Arial" w:cs="Arial"/>
          <w:color w:val="000000" w:themeColor="text1"/>
          <w:sz w:val="22"/>
          <w:szCs w:val="22"/>
        </w:rPr>
        <w:t xml:space="preserve">In South Africa, at present, </w:t>
      </w:r>
      <w:r w:rsidR="00974473">
        <w:rPr>
          <w:rFonts w:ascii="Arial" w:hAnsi="Arial" w:cs="Arial"/>
          <w:color w:val="000000" w:themeColor="text1"/>
          <w:sz w:val="22"/>
          <w:szCs w:val="22"/>
        </w:rPr>
        <w:t>the Criminal Law punishes</w:t>
      </w:r>
      <w:r w:rsidR="00974473" w:rsidRPr="0015368A">
        <w:rPr>
          <w:rFonts w:ascii="Arial" w:hAnsi="Arial" w:cs="Arial"/>
          <w:color w:val="000000" w:themeColor="text1"/>
          <w:sz w:val="22"/>
          <w:szCs w:val="22"/>
        </w:rPr>
        <w:t xml:space="preserve"> drug</w:t>
      </w:r>
      <w:r w:rsidR="00C51570" w:rsidRPr="0015368A">
        <w:rPr>
          <w:rFonts w:ascii="Arial" w:hAnsi="Arial" w:cs="Arial"/>
          <w:color w:val="000000" w:themeColor="text1"/>
          <w:sz w:val="22"/>
          <w:szCs w:val="22"/>
        </w:rPr>
        <w:t xml:space="preserve"> related </w:t>
      </w:r>
      <w:r w:rsidR="00C51570" w:rsidRPr="00BE43C8">
        <w:rPr>
          <w:rFonts w:ascii="Arial" w:hAnsi="Arial" w:cs="Arial"/>
          <w:color w:val="000000" w:themeColor="text1"/>
          <w:sz w:val="22"/>
          <w:szCs w:val="22"/>
        </w:rPr>
        <w:t xml:space="preserve">offences by </w:t>
      </w:r>
      <w:r w:rsidR="00D924B4" w:rsidRPr="00BE43C8">
        <w:rPr>
          <w:rFonts w:ascii="Arial" w:hAnsi="Arial" w:cs="Arial"/>
          <w:color w:val="000000" w:themeColor="text1"/>
          <w:sz w:val="22"/>
          <w:szCs w:val="22"/>
        </w:rPr>
        <w:t xml:space="preserve">a fine or </w:t>
      </w:r>
      <w:r w:rsidR="00C51570" w:rsidRPr="00BE43C8">
        <w:rPr>
          <w:rFonts w:ascii="Arial" w:hAnsi="Arial" w:cs="Arial"/>
          <w:color w:val="000000" w:themeColor="text1"/>
          <w:sz w:val="22"/>
          <w:szCs w:val="22"/>
        </w:rPr>
        <w:t xml:space="preserve">imprisonment. </w:t>
      </w:r>
      <w:r w:rsidR="0043637C" w:rsidRPr="00BE43C8">
        <w:rPr>
          <w:rFonts w:ascii="Arial" w:hAnsi="Arial" w:cs="Arial"/>
          <w:color w:val="000000" w:themeColor="text1"/>
          <w:sz w:val="22"/>
          <w:szCs w:val="22"/>
        </w:rPr>
        <w:t xml:space="preserve">The scale of the </w:t>
      </w:r>
      <w:proofErr w:type="spellStart"/>
      <w:r w:rsidR="0043637C" w:rsidRPr="00BE43C8">
        <w:rPr>
          <w:rFonts w:ascii="Arial" w:hAnsi="Arial" w:cs="Arial"/>
          <w:color w:val="000000" w:themeColor="text1"/>
          <w:sz w:val="22"/>
          <w:szCs w:val="22"/>
        </w:rPr>
        <w:t>nyaope</w:t>
      </w:r>
      <w:proofErr w:type="spellEnd"/>
      <w:r w:rsidR="0043637C" w:rsidRPr="00BE43C8">
        <w:rPr>
          <w:rFonts w:ascii="Arial" w:hAnsi="Arial" w:cs="Arial"/>
          <w:color w:val="000000" w:themeColor="text1"/>
          <w:sz w:val="22"/>
          <w:szCs w:val="22"/>
        </w:rPr>
        <w:t xml:space="preserve"> problem is difficult to quantify. </w:t>
      </w:r>
      <w:r w:rsidR="00522C19" w:rsidRPr="00BE43C8">
        <w:rPr>
          <w:rFonts w:ascii="Arial" w:hAnsi="Arial" w:cs="Arial"/>
          <w:color w:val="000000" w:themeColor="text1"/>
          <w:sz w:val="22"/>
          <w:szCs w:val="22"/>
        </w:rPr>
        <w:t>At the present time t</w:t>
      </w:r>
      <w:r w:rsidR="0043637C" w:rsidRPr="00BE43C8">
        <w:rPr>
          <w:rFonts w:ascii="Arial" w:hAnsi="Arial" w:cs="Arial"/>
          <w:color w:val="000000" w:themeColor="text1"/>
          <w:sz w:val="22"/>
          <w:szCs w:val="22"/>
        </w:rPr>
        <w:t xml:space="preserve">here are </w:t>
      </w:r>
      <w:r w:rsidR="00D924B4" w:rsidRPr="00BE43C8">
        <w:rPr>
          <w:rFonts w:ascii="Arial" w:hAnsi="Arial" w:cs="Arial"/>
          <w:color w:val="000000" w:themeColor="text1"/>
          <w:sz w:val="22"/>
          <w:szCs w:val="22"/>
        </w:rPr>
        <w:t xml:space="preserve">few </w:t>
      </w:r>
      <w:r w:rsidR="0043637C" w:rsidRPr="00BE43C8">
        <w:rPr>
          <w:rFonts w:ascii="Arial" w:hAnsi="Arial" w:cs="Arial"/>
          <w:color w:val="000000" w:themeColor="text1"/>
          <w:sz w:val="22"/>
          <w:szCs w:val="22"/>
        </w:rPr>
        <w:t xml:space="preserve">representative surveys on drug use and abuse in South Africa. </w:t>
      </w:r>
      <w:r w:rsidR="00D924B4" w:rsidRPr="00BE43C8">
        <w:rPr>
          <w:rFonts w:ascii="Arial" w:hAnsi="Arial" w:cs="Arial"/>
          <w:color w:val="000000" w:themeColor="text1"/>
          <w:sz w:val="22"/>
          <w:szCs w:val="22"/>
        </w:rPr>
        <w:t>A recent policy brief summarises the rise in trafficking and abuse of heroin in South Africa</w:t>
      </w:r>
      <w:r w:rsidR="002832A9">
        <w:rPr>
          <w:rFonts w:ascii="Arial" w:hAnsi="Arial" w:cs="Arial"/>
          <w:color w:val="000000" w:themeColor="text1"/>
          <w:sz w:val="22"/>
          <w:szCs w:val="22"/>
          <w:vertAlign w:val="superscript"/>
        </w:rPr>
        <w:t>11</w:t>
      </w:r>
      <w:r w:rsidR="00D22357" w:rsidRPr="00BE43C8">
        <w:rPr>
          <w:rFonts w:ascii="Arial" w:hAnsi="Arial" w:cs="Arial"/>
          <w:color w:val="000000" w:themeColor="text1"/>
          <w:sz w:val="22"/>
          <w:szCs w:val="22"/>
        </w:rPr>
        <w:t>.</w:t>
      </w:r>
      <w:r w:rsidR="00D924B4" w:rsidRPr="00BE43C8">
        <w:rPr>
          <w:rFonts w:ascii="Arial" w:hAnsi="Arial" w:cs="Arial"/>
          <w:color w:val="000000" w:themeColor="text1"/>
          <w:sz w:val="22"/>
          <w:szCs w:val="22"/>
        </w:rPr>
        <w:t xml:space="preserve"> </w:t>
      </w:r>
      <w:r w:rsidR="00C51570" w:rsidRPr="00BE43C8">
        <w:rPr>
          <w:rFonts w:ascii="Arial" w:hAnsi="Arial" w:cs="Arial"/>
          <w:color w:val="000000" w:themeColor="text1"/>
          <w:sz w:val="22"/>
          <w:szCs w:val="22"/>
        </w:rPr>
        <w:t xml:space="preserve">However, there is a growing thesis that to tackle the drug problem in South Africa, including that associated with </w:t>
      </w:r>
      <w:proofErr w:type="spellStart"/>
      <w:r w:rsidR="00C51570" w:rsidRPr="00BE43C8">
        <w:rPr>
          <w:rFonts w:ascii="Arial" w:hAnsi="Arial" w:cs="Arial"/>
          <w:color w:val="000000" w:themeColor="text1"/>
          <w:sz w:val="22"/>
          <w:szCs w:val="22"/>
        </w:rPr>
        <w:t>nyaope</w:t>
      </w:r>
      <w:proofErr w:type="spellEnd"/>
      <w:r w:rsidR="002C5FE1" w:rsidRPr="00BE43C8">
        <w:rPr>
          <w:rFonts w:ascii="Arial" w:hAnsi="Arial" w:cs="Arial"/>
          <w:color w:val="000000" w:themeColor="text1"/>
          <w:sz w:val="22"/>
          <w:szCs w:val="22"/>
        </w:rPr>
        <w:t>,</w:t>
      </w:r>
      <w:r w:rsidR="00C51570" w:rsidRPr="00BE43C8">
        <w:rPr>
          <w:rFonts w:ascii="Arial" w:hAnsi="Arial" w:cs="Arial"/>
          <w:color w:val="000000" w:themeColor="text1"/>
          <w:sz w:val="22"/>
          <w:szCs w:val="22"/>
        </w:rPr>
        <w:t xml:space="preserve"> </w:t>
      </w:r>
      <w:proofErr w:type="gramStart"/>
      <w:r w:rsidR="00C51570" w:rsidRPr="00BE43C8">
        <w:rPr>
          <w:rFonts w:ascii="Arial" w:hAnsi="Arial" w:cs="Arial"/>
          <w:color w:val="000000" w:themeColor="text1"/>
          <w:sz w:val="22"/>
          <w:szCs w:val="22"/>
        </w:rPr>
        <w:t>a number of</w:t>
      </w:r>
      <w:proofErr w:type="gramEnd"/>
      <w:r w:rsidR="00C51570" w:rsidRPr="00BE43C8">
        <w:rPr>
          <w:rFonts w:ascii="Arial" w:hAnsi="Arial" w:cs="Arial"/>
          <w:color w:val="000000" w:themeColor="text1"/>
          <w:sz w:val="22"/>
          <w:szCs w:val="22"/>
        </w:rPr>
        <w:t xml:space="preserve"> approaches need to be taken</w:t>
      </w:r>
      <w:r w:rsidR="002832A9">
        <w:rPr>
          <w:rFonts w:ascii="Arial" w:hAnsi="Arial" w:cs="Arial"/>
          <w:color w:val="000000" w:themeColor="text1"/>
          <w:sz w:val="22"/>
          <w:szCs w:val="22"/>
          <w:vertAlign w:val="superscript"/>
        </w:rPr>
        <w:t>4</w:t>
      </w:r>
      <w:r w:rsidR="00C51570" w:rsidRPr="00BE43C8">
        <w:rPr>
          <w:rFonts w:ascii="Arial" w:hAnsi="Arial" w:cs="Arial"/>
          <w:color w:val="000000" w:themeColor="text1"/>
          <w:sz w:val="22"/>
          <w:szCs w:val="22"/>
        </w:rPr>
        <w:t>. This includes (</w:t>
      </w:r>
      <w:proofErr w:type="spellStart"/>
      <w:r w:rsidR="00C51570" w:rsidRPr="00BE43C8">
        <w:rPr>
          <w:rFonts w:ascii="Arial" w:hAnsi="Arial" w:cs="Arial"/>
          <w:color w:val="000000" w:themeColor="text1"/>
          <w:sz w:val="22"/>
          <w:szCs w:val="22"/>
        </w:rPr>
        <w:t>i</w:t>
      </w:r>
      <w:proofErr w:type="spellEnd"/>
      <w:r w:rsidR="00C51570" w:rsidRPr="00BE43C8">
        <w:rPr>
          <w:rFonts w:ascii="Arial" w:hAnsi="Arial" w:cs="Arial"/>
          <w:color w:val="000000" w:themeColor="text1"/>
          <w:sz w:val="22"/>
          <w:szCs w:val="22"/>
        </w:rPr>
        <w:t xml:space="preserve">) punishment of those manufacturing, </w:t>
      </w:r>
      <w:proofErr w:type="gramStart"/>
      <w:r w:rsidR="00C51570" w:rsidRPr="00BE43C8">
        <w:rPr>
          <w:rFonts w:ascii="Arial" w:hAnsi="Arial" w:cs="Arial"/>
          <w:color w:val="000000" w:themeColor="text1"/>
          <w:sz w:val="22"/>
          <w:szCs w:val="22"/>
        </w:rPr>
        <w:t>trafficking</w:t>
      </w:r>
      <w:proofErr w:type="gramEnd"/>
      <w:r w:rsidR="00C51570" w:rsidRPr="00BE43C8">
        <w:rPr>
          <w:rFonts w:ascii="Arial" w:hAnsi="Arial" w:cs="Arial"/>
          <w:color w:val="000000" w:themeColor="text1"/>
          <w:sz w:val="22"/>
          <w:szCs w:val="22"/>
        </w:rPr>
        <w:t xml:space="preserve"> and distributing the drug. Additionally, a forensic care process is proposed </w:t>
      </w:r>
      <w:r w:rsidR="0043637C" w:rsidRPr="00BE43C8">
        <w:rPr>
          <w:rFonts w:ascii="Arial" w:hAnsi="Arial" w:cs="Arial"/>
          <w:color w:val="000000" w:themeColor="text1"/>
          <w:sz w:val="22"/>
          <w:szCs w:val="22"/>
        </w:rPr>
        <w:t xml:space="preserve">towards addressing the </w:t>
      </w:r>
      <w:proofErr w:type="spellStart"/>
      <w:r w:rsidR="0043637C" w:rsidRPr="00BE43C8">
        <w:rPr>
          <w:rFonts w:ascii="Arial" w:hAnsi="Arial" w:cs="Arial"/>
          <w:color w:val="000000" w:themeColor="text1"/>
          <w:sz w:val="22"/>
          <w:szCs w:val="22"/>
        </w:rPr>
        <w:t>nyaope</w:t>
      </w:r>
      <w:proofErr w:type="spellEnd"/>
      <w:r w:rsidR="0043637C" w:rsidRPr="00BE43C8">
        <w:rPr>
          <w:rFonts w:ascii="Arial" w:hAnsi="Arial" w:cs="Arial"/>
          <w:color w:val="000000" w:themeColor="text1"/>
          <w:sz w:val="22"/>
          <w:szCs w:val="22"/>
        </w:rPr>
        <w:t xml:space="preserve"> problem</w:t>
      </w:r>
      <w:r w:rsidR="002832A9">
        <w:rPr>
          <w:rFonts w:ascii="Arial" w:hAnsi="Arial" w:cs="Arial"/>
          <w:color w:val="000000" w:themeColor="text1"/>
          <w:sz w:val="22"/>
          <w:szCs w:val="22"/>
          <w:vertAlign w:val="superscript"/>
        </w:rPr>
        <w:t>4</w:t>
      </w:r>
      <w:r w:rsidR="00C51570" w:rsidRPr="00BE43C8">
        <w:rPr>
          <w:rFonts w:ascii="Arial" w:hAnsi="Arial" w:cs="Arial"/>
          <w:color w:val="000000" w:themeColor="text1"/>
          <w:sz w:val="22"/>
          <w:szCs w:val="22"/>
        </w:rPr>
        <w:t xml:space="preserve"> where (ii) drug users are proper</w:t>
      </w:r>
      <w:r w:rsidR="0043637C" w:rsidRPr="00BE43C8">
        <w:rPr>
          <w:rFonts w:ascii="Arial" w:hAnsi="Arial" w:cs="Arial"/>
          <w:color w:val="000000" w:themeColor="text1"/>
          <w:sz w:val="22"/>
          <w:szCs w:val="22"/>
        </w:rPr>
        <w:t>ly</w:t>
      </w:r>
      <w:r w:rsidR="00C51570" w:rsidRPr="00BE43C8">
        <w:rPr>
          <w:rFonts w:ascii="Arial" w:hAnsi="Arial" w:cs="Arial"/>
          <w:color w:val="000000" w:themeColor="text1"/>
          <w:sz w:val="22"/>
          <w:szCs w:val="22"/>
        </w:rPr>
        <w:t xml:space="preserve"> catered for by rehabilitation schemes, (iii) the social circumstances of the drug users are changed and (iv) implementation of a Public Health Awareness Scheme. Of course, this </w:t>
      </w:r>
      <w:r w:rsidR="003713B0" w:rsidRPr="00BE43C8">
        <w:rPr>
          <w:rFonts w:ascii="Arial" w:hAnsi="Arial" w:cs="Arial"/>
          <w:color w:val="000000" w:themeColor="text1"/>
          <w:sz w:val="22"/>
          <w:szCs w:val="22"/>
        </w:rPr>
        <w:t xml:space="preserve">approach </w:t>
      </w:r>
      <w:r w:rsidR="00C51570" w:rsidRPr="00BE43C8">
        <w:rPr>
          <w:rFonts w:ascii="Arial" w:hAnsi="Arial" w:cs="Arial"/>
          <w:color w:val="000000" w:themeColor="text1"/>
          <w:sz w:val="22"/>
          <w:szCs w:val="22"/>
        </w:rPr>
        <w:t>could be applied to many drug problems across the globe.</w:t>
      </w:r>
    </w:p>
    <w:p w14:paraId="4E53E117" w14:textId="77777777" w:rsidR="00C51570" w:rsidRPr="00BE43C8" w:rsidRDefault="00C51570" w:rsidP="0016122E">
      <w:pPr>
        <w:spacing w:line="360" w:lineRule="auto"/>
        <w:rPr>
          <w:rFonts w:ascii="Arial" w:hAnsi="Arial" w:cs="Arial"/>
          <w:color w:val="000000" w:themeColor="text1"/>
          <w:sz w:val="22"/>
          <w:szCs w:val="22"/>
        </w:rPr>
      </w:pPr>
    </w:p>
    <w:p w14:paraId="02EEFB69" w14:textId="403D5DFD" w:rsidR="00006018" w:rsidRPr="00BE43C8" w:rsidRDefault="00C51570" w:rsidP="0016122E">
      <w:pPr>
        <w:spacing w:line="360" w:lineRule="auto"/>
        <w:jc w:val="both"/>
        <w:rPr>
          <w:rFonts w:ascii="Arial" w:hAnsi="Arial" w:cs="Arial"/>
          <w:color w:val="000000" w:themeColor="text1"/>
          <w:sz w:val="22"/>
          <w:szCs w:val="22"/>
        </w:rPr>
      </w:pPr>
      <w:r w:rsidRPr="00BE43C8">
        <w:rPr>
          <w:rFonts w:ascii="Arial" w:hAnsi="Arial" w:cs="Arial"/>
          <w:color w:val="000000" w:themeColor="text1"/>
          <w:sz w:val="22"/>
          <w:szCs w:val="22"/>
        </w:rPr>
        <w:t>In order that (</w:t>
      </w:r>
      <w:proofErr w:type="spellStart"/>
      <w:r w:rsidRPr="00BE43C8">
        <w:rPr>
          <w:rFonts w:ascii="Arial" w:hAnsi="Arial" w:cs="Arial"/>
          <w:color w:val="000000" w:themeColor="text1"/>
          <w:sz w:val="22"/>
          <w:szCs w:val="22"/>
        </w:rPr>
        <w:t>i</w:t>
      </w:r>
      <w:proofErr w:type="spellEnd"/>
      <w:r w:rsidRPr="00BE43C8">
        <w:rPr>
          <w:rFonts w:ascii="Arial" w:hAnsi="Arial" w:cs="Arial"/>
          <w:color w:val="000000" w:themeColor="text1"/>
          <w:sz w:val="22"/>
          <w:szCs w:val="22"/>
        </w:rPr>
        <w:t xml:space="preserve">) and (iv) can be achieved </w:t>
      </w:r>
      <w:r w:rsidR="002C5FE1" w:rsidRPr="00BE43C8">
        <w:rPr>
          <w:rFonts w:ascii="Arial" w:hAnsi="Arial" w:cs="Arial"/>
          <w:color w:val="000000" w:themeColor="text1"/>
          <w:sz w:val="22"/>
          <w:szCs w:val="22"/>
        </w:rPr>
        <w:t xml:space="preserve">and supported </w:t>
      </w:r>
      <w:r w:rsidRPr="00BE43C8">
        <w:rPr>
          <w:rFonts w:ascii="Arial" w:hAnsi="Arial" w:cs="Arial"/>
          <w:color w:val="000000" w:themeColor="text1"/>
          <w:sz w:val="22"/>
          <w:szCs w:val="22"/>
        </w:rPr>
        <w:t xml:space="preserve">it is necessary to prove that the drug is </w:t>
      </w:r>
      <w:r w:rsidR="007E7F06" w:rsidRPr="00BE43C8">
        <w:rPr>
          <w:rFonts w:ascii="Arial" w:hAnsi="Arial" w:cs="Arial"/>
          <w:color w:val="000000" w:themeColor="text1"/>
          <w:sz w:val="22"/>
          <w:szCs w:val="22"/>
        </w:rPr>
        <w:t xml:space="preserve">identified as </w:t>
      </w:r>
      <w:proofErr w:type="spellStart"/>
      <w:r w:rsidRPr="00BE43C8">
        <w:rPr>
          <w:rFonts w:ascii="Arial" w:hAnsi="Arial" w:cs="Arial"/>
          <w:color w:val="000000" w:themeColor="text1"/>
          <w:sz w:val="22"/>
          <w:szCs w:val="22"/>
        </w:rPr>
        <w:t>nyaope</w:t>
      </w:r>
      <w:proofErr w:type="spellEnd"/>
      <w:r w:rsidRPr="00BE43C8">
        <w:rPr>
          <w:rFonts w:ascii="Arial" w:hAnsi="Arial" w:cs="Arial"/>
          <w:color w:val="000000" w:themeColor="text1"/>
          <w:sz w:val="22"/>
          <w:szCs w:val="22"/>
        </w:rPr>
        <w:t xml:space="preserve"> and then </w:t>
      </w:r>
      <w:r w:rsidR="007E7F06" w:rsidRPr="00BE43C8">
        <w:rPr>
          <w:rFonts w:ascii="Arial" w:hAnsi="Arial" w:cs="Arial"/>
          <w:color w:val="000000" w:themeColor="text1"/>
          <w:sz w:val="22"/>
          <w:szCs w:val="22"/>
        </w:rPr>
        <w:t xml:space="preserve">to </w:t>
      </w:r>
      <w:r w:rsidRPr="00BE43C8">
        <w:rPr>
          <w:rFonts w:ascii="Arial" w:hAnsi="Arial" w:cs="Arial"/>
          <w:color w:val="000000" w:themeColor="text1"/>
          <w:sz w:val="22"/>
          <w:szCs w:val="22"/>
        </w:rPr>
        <w:t xml:space="preserve">identify and quantify the drug contents. </w:t>
      </w:r>
      <w:proofErr w:type="gramStart"/>
      <w:r w:rsidRPr="00BE43C8">
        <w:rPr>
          <w:rFonts w:ascii="Arial" w:hAnsi="Arial" w:cs="Arial"/>
          <w:color w:val="000000" w:themeColor="text1"/>
          <w:sz w:val="22"/>
          <w:szCs w:val="22"/>
        </w:rPr>
        <w:t>In order to</w:t>
      </w:r>
      <w:proofErr w:type="gramEnd"/>
      <w:r w:rsidRPr="00BE43C8">
        <w:rPr>
          <w:rFonts w:ascii="Arial" w:hAnsi="Arial" w:cs="Arial"/>
          <w:color w:val="000000" w:themeColor="text1"/>
          <w:sz w:val="22"/>
          <w:szCs w:val="22"/>
        </w:rPr>
        <w:t xml:space="preserve"> achieve this a validated analytical method for </w:t>
      </w:r>
      <w:r w:rsidR="007D78CC" w:rsidRPr="00BE43C8">
        <w:rPr>
          <w:rFonts w:ascii="Arial" w:hAnsi="Arial" w:cs="Arial"/>
          <w:color w:val="000000" w:themeColor="text1"/>
          <w:sz w:val="22"/>
          <w:szCs w:val="22"/>
        </w:rPr>
        <w:t xml:space="preserve">the analysis of the contents of and comparison of </w:t>
      </w:r>
      <w:proofErr w:type="spellStart"/>
      <w:r w:rsidR="00BC68BA" w:rsidRPr="00BE43C8">
        <w:rPr>
          <w:rFonts w:ascii="Arial" w:hAnsi="Arial" w:cs="Arial"/>
          <w:color w:val="000000" w:themeColor="text1"/>
          <w:sz w:val="22"/>
          <w:szCs w:val="22"/>
        </w:rPr>
        <w:t>n</w:t>
      </w:r>
      <w:r w:rsidRPr="00BE43C8">
        <w:rPr>
          <w:rFonts w:ascii="Arial" w:hAnsi="Arial" w:cs="Arial"/>
          <w:color w:val="000000" w:themeColor="text1"/>
          <w:sz w:val="22"/>
          <w:szCs w:val="22"/>
        </w:rPr>
        <w:t>yaope</w:t>
      </w:r>
      <w:proofErr w:type="spellEnd"/>
      <w:r w:rsidRPr="00BE43C8">
        <w:rPr>
          <w:rFonts w:ascii="Arial" w:hAnsi="Arial" w:cs="Arial"/>
          <w:color w:val="000000" w:themeColor="text1"/>
          <w:sz w:val="22"/>
          <w:szCs w:val="22"/>
        </w:rPr>
        <w:t xml:space="preserve"> is required</w:t>
      </w:r>
      <w:r w:rsidR="007D78CC" w:rsidRPr="00BE43C8">
        <w:rPr>
          <w:rFonts w:ascii="Arial" w:hAnsi="Arial" w:cs="Arial"/>
          <w:color w:val="000000" w:themeColor="text1"/>
          <w:sz w:val="22"/>
          <w:szCs w:val="22"/>
        </w:rPr>
        <w:t xml:space="preserve"> – to date no such method has been developed</w:t>
      </w:r>
      <w:r w:rsidRPr="00BE43C8">
        <w:rPr>
          <w:rFonts w:ascii="Arial" w:hAnsi="Arial" w:cs="Arial"/>
          <w:color w:val="000000" w:themeColor="text1"/>
          <w:sz w:val="22"/>
          <w:szCs w:val="22"/>
        </w:rPr>
        <w:t xml:space="preserve">. </w:t>
      </w:r>
      <w:r w:rsidR="00D22357" w:rsidRPr="00BE43C8">
        <w:rPr>
          <w:rFonts w:ascii="Arial" w:hAnsi="Arial" w:cs="Arial"/>
          <w:color w:val="000000" w:themeColor="text1"/>
          <w:sz w:val="22"/>
          <w:szCs w:val="22"/>
        </w:rPr>
        <w:t xml:space="preserve">This is further exacerbated by the fact that the usual methods for cannabis analysis cause heroin to break down and conversely those used for heroin cause cannabis to break down. </w:t>
      </w:r>
      <w:r w:rsidR="002C5FE1" w:rsidRPr="00BE43C8">
        <w:rPr>
          <w:rFonts w:ascii="Arial" w:hAnsi="Arial" w:cs="Arial"/>
          <w:color w:val="000000" w:themeColor="text1"/>
          <w:sz w:val="22"/>
          <w:szCs w:val="22"/>
        </w:rPr>
        <w:t>Our p</w:t>
      </w:r>
      <w:r w:rsidRPr="00BE43C8">
        <w:rPr>
          <w:rFonts w:ascii="Arial" w:hAnsi="Arial" w:cs="Arial"/>
          <w:color w:val="000000" w:themeColor="text1"/>
          <w:sz w:val="22"/>
          <w:szCs w:val="22"/>
        </w:rPr>
        <w:t xml:space="preserve">revious studies have identified that the forensic science question needs to be identified before police operations involving </w:t>
      </w:r>
      <w:proofErr w:type="spellStart"/>
      <w:r w:rsidRPr="00BE43C8">
        <w:rPr>
          <w:rFonts w:ascii="Arial" w:hAnsi="Arial" w:cs="Arial"/>
          <w:color w:val="000000" w:themeColor="text1"/>
          <w:sz w:val="22"/>
          <w:szCs w:val="22"/>
        </w:rPr>
        <w:t>nyaope</w:t>
      </w:r>
      <w:proofErr w:type="spellEnd"/>
      <w:r w:rsidRPr="00BE43C8">
        <w:rPr>
          <w:rFonts w:ascii="Arial" w:hAnsi="Arial" w:cs="Arial"/>
          <w:color w:val="000000" w:themeColor="text1"/>
          <w:sz w:val="22"/>
          <w:szCs w:val="22"/>
        </w:rPr>
        <w:t xml:space="preserve"> </w:t>
      </w:r>
      <w:r w:rsidR="007E7F06" w:rsidRPr="00BE43C8">
        <w:rPr>
          <w:rFonts w:ascii="Arial" w:hAnsi="Arial" w:cs="Arial"/>
          <w:color w:val="000000" w:themeColor="text1"/>
          <w:sz w:val="22"/>
          <w:szCs w:val="22"/>
        </w:rPr>
        <w:t>commence</w:t>
      </w:r>
      <w:r w:rsidR="002832A9">
        <w:rPr>
          <w:rFonts w:ascii="Arial" w:hAnsi="Arial" w:cs="Arial"/>
          <w:color w:val="000000" w:themeColor="text1"/>
          <w:sz w:val="22"/>
          <w:szCs w:val="22"/>
          <w:vertAlign w:val="superscript"/>
        </w:rPr>
        <w:t>12</w:t>
      </w:r>
      <w:r w:rsidR="002C5FE1" w:rsidRPr="00BE43C8">
        <w:rPr>
          <w:rFonts w:ascii="Arial" w:hAnsi="Arial" w:cs="Arial"/>
          <w:color w:val="000000" w:themeColor="text1"/>
          <w:sz w:val="22"/>
          <w:szCs w:val="22"/>
        </w:rPr>
        <w:t>,</w:t>
      </w:r>
      <w:r w:rsidRPr="00BE43C8">
        <w:rPr>
          <w:rFonts w:ascii="Arial" w:hAnsi="Arial" w:cs="Arial"/>
          <w:color w:val="000000" w:themeColor="text1"/>
          <w:sz w:val="22"/>
          <w:szCs w:val="22"/>
        </w:rPr>
        <w:t xml:space="preserve"> how </w:t>
      </w:r>
      <w:proofErr w:type="spellStart"/>
      <w:r w:rsidRPr="00BE43C8">
        <w:rPr>
          <w:rFonts w:ascii="Arial" w:hAnsi="Arial" w:cs="Arial"/>
          <w:color w:val="000000" w:themeColor="text1"/>
          <w:sz w:val="22"/>
          <w:szCs w:val="22"/>
        </w:rPr>
        <w:t>nyaope</w:t>
      </w:r>
      <w:proofErr w:type="spellEnd"/>
      <w:r w:rsidRPr="00BE43C8">
        <w:rPr>
          <w:rFonts w:ascii="Arial" w:hAnsi="Arial" w:cs="Arial"/>
          <w:color w:val="000000" w:themeColor="text1"/>
          <w:sz w:val="22"/>
          <w:szCs w:val="22"/>
        </w:rPr>
        <w:t xml:space="preserve"> should be stored post seizure</w:t>
      </w:r>
      <w:r w:rsidR="002832A9">
        <w:rPr>
          <w:rFonts w:ascii="Arial" w:hAnsi="Arial" w:cs="Arial"/>
          <w:color w:val="000000" w:themeColor="text1"/>
          <w:sz w:val="22"/>
          <w:szCs w:val="22"/>
          <w:vertAlign w:val="superscript"/>
        </w:rPr>
        <w:t>12</w:t>
      </w:r>
      <w:r w:rsidRPr="00BE43C8">
        <w:rPr>
          <w:rFonts w:ascii="Arial" w:hAnsi="Arial" w:cs="Arial"/>
          <w:color w:val="000000" w:themeColor="text1"/>
          <w:sz w:val="22"/>
          <w:szCs w:val="22"/>
        </w:rPr>
        <w:t xml:space="preserve">, and how the drug should be prepared prior to </w:t>
      </w:r>
      <w:r w:rsidR="00865CFC" w:rsidRPr="00BE43C8">
        <w:rPr>
          <w:rFonts w:ascii="Arial" w:hAnsi="Arial" w:cs="Arial"/>
          <w:color w:val="000000" w:themeColor="text1"/>
          <w:sz w:val="22"/>
          <w:szCs w:val="22"/>
        </w:rPr>
        <w:t xml:space="preserve">analysis by </w:t>
      </w:r>
      <w:r w:rsidRPr="00BE43C8">
        <w:rPr>
          <w:rFonts w:ascii="Arial" w:hAnsi="Arial" w:cs="Arial"/>
          <w:color w:val="000000" w:themeColor="text1"/>
          <w:sz w:val="22"/>
          <w:szCs w:val="22"/>
        </w:rPr>
        <w:t>gas chrom</w:t>
      </w:r>
      <w:r w:rsidR="00D22357" w:rsidRPr="00BE43C8">
        <w:rPr>
          <w:rFonts w:ascii="Arial" w:hAnsi="Arial" w:cs="Arial"/>
          <w:color w:val="000000" w:themeColor="text1"/>
          <w:sz w:val="22"/>
          <w:szCs w:val="22"/>
        </w:rPr>
        <w:t>a</w:t>
      </w:r>
      <w:r w:rsidRPr="00BE43C8">
        <w:rPr>
          <w:rFonts w:ascii="Arial" w:hAnsi="Arial" w:cs="Arial"/>
          <w:color w:val="000000" w:themeColor="text1"/>
          <w:sz w:val="22"/>
          <w:szCs w:val="22"/>
        </w:rPr>
        <w:t>tography – mass spectrometry (GC – MS)</w:t>
      </w:r>
      <w:r w:rsidR="002832A9">
        <w:rPr>
          <w:rFonts w:ascii="Arial" w:hAnsi="Arial" w:cs="Arial"/>
          <w:color w:val="000000" w:themeColor="text1"/>
          <w:sz w:val="22"/>
          <w:szCs w:val="22"/>
          <w:vertAlign w:val="superscript"/>
        </w:rPr>
        <w:t>13</w:t>
      </w:r>
      <w:r w:rsidR="002C5FE1" w:rsidRPr="00BE43C8">
        <w:rPr>
          <w:rFonts w:ascii="Arial" w:hAnsi="Arial" w:cs="Arial"/>
          <w:color w:val="000000" w:themeColor="text1"/>
          <w:sz w:val="22"/>
          <w:szCs w:val="22"/>
        </w:rPr>
        <w:t>.</w:t>
      </w:r>
      <w:r w:rsidR="007E7F06" w:rsidRPr="00BE43C8">
        <w:rPr>
          <w:rFonts w:ascii="Arial" w:hAnsi="Arial" w:cs="Arial"/>
          <w:color w:val="000000" w:themeColor="text1"/>
          <w:sz w:val="22"/>
          <w:szCs w:val="22"/>
        </w:rPr>
        <w:t xml:space="preserve"> In this </w:t>
      </w:r>
      <w:r w:rsidR="003F0834" w:rsidRPr="00BE43C8">
        <w:rPr>
          <w:rFonts w:ascii="Arial" w:hAnsi="Arial" w:cs="Arial"/>
          <w:color w:val="000000" w:themeColor="text1"/>
          <w:sz w:val="22"/>
          <w:szCs w:val="22"/>
        </w:rPr>
        <w:t>paper</w:t>
      </w:r>
      <w:r w:rsidR="007E7F06" w:rsidRPr="00BE43C8">
        <w:rPr>
          <w:rFonts w:ascii="Arial" w:hAnsi="Arial" w:cs="Arial"/>
          <w:color w:val="000000" w:themeColor="text1"/>
          <w:sz w:val="22"/>
          <w:szCs w:val="22"/>
        </w:rPr>
        <w:t xml:space="preserve"> we present</w:t>
      </w:r>
      <w:r w:rsidR="005C1B11">
        <w:rPr>
          <w:rFonts w:ascii="Arial" w:hAnsi="Arial" w:cs="Arial"/>
          <w:color w:val="000000" w:themeColor="text1"/>
          <w:sz w:val="22"/>
          <w:szCs w:val="22"/>
        </w:rPr>
        <w:t>, for the first time,</w:t>
      </w:r>
      <w:r w:rsidR="007E7F06" w:rsidRPr="00BE43C8">
        <w:rPr>
          <w:rFonts w:ascii="Arial" w:hAnsi="Arial" w:cs="Arial"/>
          <w:color w:val="000000" w:themeColor="text1"/>
          <w:sz w:val="22"/>
          <w:szCs w:val="22"/>
        </w:rPr>
        <w:t xml:space="preserve"> a validated analytical method for the identification of </w:t>
      </w:r>
      <w:proofErr w:type="spellStart"/>
      <w:r w:rsidR="007E7F06" w:rsidRPr="00BE43C8">
        <w:rPr>
          <w:rFonts w:ascii="Arial" w:hAnsi="Arial" w:cs="Arial"/>
          <w:color w:val="000000" w:themeColor="text1"/>
          <w:sz w:val="22"/>
          <w:szCs w:val="22"/>
        </w:rPr>
        <w:t>nyaope</w:t>
      </w:r>
      <w:proofErr w:type="spellEnd"/>
      <w:r w:rsidR="007E7F06" w:rsidRPr="00BE43C8">
        <w:rPr>
          <w:rFonts w:ascii="Arial" w:hAnsi="Arial" w:cs="Arial"/>
          <w:color w:val="000000" w:themeColor="text1"/>
          <w:sz w:val="22"/>
          <w:szCs w:val="22"/>
        </w:rPr>
        <w:t xml:space="preserve"> and quantification of the drug components</w:t>
      </w:r>
      <w:r w:rsidR="00D22357" w:rsidRPr="00BE43C8">
        <w:rPr>
          <w:rFonts w:ascii="Arial" w:hAnsi="Arial" w:cs="Arial"/>
          <w:color w:val="000000" w:themeColor="text1"/>
          <w:sz w:val="22"/>
          <w:szCs w:val="22"/>
        </w:rPr>
        <w:t xml:space="preserve"> which addresses the analysis of heroin and cannabis when contained in the same drug sample</w:t>
      </w:r>
      <w:r w:rsidR="007E7F06" w:rsidRPr="00BE43C8">
        <w:rPr>
          <w:rFonts w:ascii="Arial" w:hAnsi="Arial" w:cs="Arial"/>
          <w:color w:val="000000" w:themeColor="text1"/>
          <w:sz w:val="22"/>
          <w:szCs w:val="22"/>
        </w:rPr>
        <w:t xml:space="preserve">. We further demonstrate that with correct collection, </w:t>
      </w:r>
      <w:proofErr w:type="gramStart"/>
      <w:r w:rsidR="007E7F06" w:rsidRPr="00BE43C8">
        <w:rPr>
          <w:rFonts w:ascii="Arial" w:hAnsi="Arial" w:cs="Arial"/>
          <w:color w:val="000000" w:themeColor="text1"/>
          <w:sz w:val="22"/>
          <w:szCs w:val="22"/>
        </w:rPr>
        <w:t>storage</w:t>
      </w:r>
      <w:proofErr w:type="gramEnd"/>
      <w:r w:rsidR="007E7F06" w:rsidRPr="00BE43C8">
        <w:rPr>
          <w:rFonts w:ascii="Arial" w:hAnsi="Arial" w:cs="Arial"/>
          <w:color w:val="000000" w:themeColor="text1"/>
          <w:sz w:val="22"/>
          <w:szCs w:val="22"/>
        </w:rPr>
        <w:t xml:space="preserve"> and sample preparation it is possible to compare </w:t>
      </w:r>
      <w:proofErr w:type="spellStart"/>
      <w:r w:rsidR="00BC68BA" w:rsidRPr="00BE43C8">
        <w:rPr>
          <w:rFonts w:ascii="Arial" w:hAnsi="Arial" w:cs="Arial"/>
          <w:color w:val="000000" w:themeColor="text1"/>
          <w:sz w:val="22"/>
          <w:szCs w:val="22"/>
        </w:rPr>
        <w:t>n</w:t>
      </w:r>
      <w:r w:rsidR="007E7F06" w:rsidRPr="00BE43C8">
        <w:rPr>
          <w:rFonts w:ascii="Arial" w:hAnsi="Arial" w:cs="Arial"/>
          <w:color w:val="000000" w:themeColor="text1"/>
          <w:sz w:val="22"/>
          <w:szCs w:val="22"/>
        </w:rPr>
        <w:t>yaope</w:t>
      </w:r>
      <w:proofErr w:type="spellEnd"/>
      <w:r w:rsidR="007E7F06" w:rsidRPr="00BE43C8">
        <w:rPr>
          <w:rFonts w:ascii="Arial" w:hAnsi="Arial" w:cs="Arial"/>
          <w:color w:val="000000" w:themeColor="text1"/>
          <w:sz w:val="22"/>
          <w:szCs w:val="22"/>
        </w:rPr>
        <w:t xml:space="preserve"> samples, identifying those which are related and discriminating between those that are not</w:t>
      </w:r>
      <w:r w:rsidR="005C1B11">
        <w:rPr>
          <w:rFonts w:ascii="Arial" w:hAnsi="Arial" w:cs="Arial"/>
          <w:color w:val="000000" w:themeColor="text1"/>
          <w:sz w:val="22"/>
          <w:szCs w:val="22"/>
        </w:rPr>
        <w:t>,</w:t>
      </w:r>
      <w:r w:rsidR="005C1B11" w:rsidRPr="005C1B11">
        <w:t xml:space="preserve"> </w:t>
      </w:r>
      <w:r w:rsidR="005C1B11" w:rsidRPr="005C1B11">
        <w:rPr>
          <w:rFonts w:ascii="Arial" w:hAnsi="Arial" w:cs="Arial"/>
          <w:color w:val="000000" w:themeColor="text1"/>
          <w:sz w:val="22"/>
          <w:szCs w:val="22"/>
        </w:rPr>
        <w:t>using, for the first time, chemometric clustering techniques</w:t>
      </w:r>
      <w:r w:rsidR="007E7F06" w:rsidRPr="00BE43C8">
        <w:rPr>
          <w:rFonts w:ascii="Arial" w:hAnsi="Arial" w:cs="Arial"/>
          <w:color w:val="000000" w:themeColor="text1"/>
          <w:sz w:val="22"/>
          <w:szCs w:val="22"/>
        </w:rPr>
        <w:t xml:space="preserve">.  How this method will assist law enforcement and public health officials </w:t>
      </w:r>
      <w:r w:rsidR="005C1B11" w:rsidRPr="005C1B11">
        <w:rPr>
          <w:rFonts w:ascii="Arial" w:hAnsi="Arial" w:cs="Arial"/>
          <w:color w:val="000000" w:themeColor="text1"/>
          <w:sz w:val="22"/>
          <w:szCs w:val="22"/>
        </w:rPr>
        <w:t xml:space="preserve">in South Africa, and further afield, </w:t>
      </w:r>
      <w:r w:rsidR="007E7F06" w:rsidRPr="00BE43C8">
        <w:rPr>
          <w:rFonts w:ascii="Arial" w:hAnsi="Arial" w:cs="Arial"/>
          <w:color w:val="000000" w:themeColor="text1"/>
          <w:sz w:val="22"/>
          <w:szCs w:val="22"/>
        </w:rPr>
        <w:t>is</w:t>
      </w:r>
      <w:r w:rsidR="00FF7CF6" w:rsidRPr="00BE43C8">
        <w:rPr>
          <w:rFonts w:ascii="Arial" w:hAnsi="Arial" w:cs="Arial"/>
          <w:color w:val="000000" w:themeColor="text1"/>
          <w:sz w:val="22"/>
          <w:szCs w:val="22"/>
        </w:rPr>
        <w:t xml:space="preserve"> also</w:t>
      </w:r>
      <w:r w:rsidR="007E7F06" w:rsidRPr="00BE43C8">
        <w:rPr>
          <w:rFonts w:ascii="Arial" w:hAnsi="Arial" w:cs="Arial"/>
          <w:color w:val="000000" w:themeColor="text1"/>
          <w:sz w:val="22"/>
          <w:szCs w:val="22"/>
        </w:rPr>
        <w:t xml:space="preserve"> discussed.</w:t>
      </w:r>
    </w:p>
    <w:p w14:paraId="04EC2C73" w14:textId="77777777" w:rsidR="00113A45" w:rsidRPr="00BE43C8" w:rsidRDefault="00113A45" w:rsidP="0016122E">
      <w:pPr>
        <w:spacing w:line="360" w:lineRule="auto"/>
        <w:rPr>
          <w:rFonts w:ascii="Arial" w:hAnsi="Arial" w:cs="Arial"/>
          <w:b/>
          <w:bCs/>
          <w:color w:val="000000" w:themeColor="text1"/>
          <w:sz w:val="22"/>
          <w:szCs w:val="22"/>
        </w:rPr>
      </w:pPr>
    </w:p>
    <w:p w14:paraId="252FACA2" w14:textId="4C557166" w:rsidR="000921F7" w:rsidRPr="00BE43C8" w:rsidRDefault="005A5CBB" w:rsidP="0016122E">
      <w:pPr>
        <w:spacing w:line="360" w:lineRule="auto"/>
        <w:rPr>
          <w:rFonts w:ascii="Arial" w:hAnsi="Arial" w:cs="Arial"/>
          <w:b/>
          <w:bCs/>
          <w:color w:val="000000" w:themeColor="text1"/>
          <w:sz w:val="22"/>
          <w:szCs w:val="22"/>
        </w:rPr>
      </w:pPr>
      <w:r w:rsidRPr="00BE43C8">
        <w:rPr>
          <w:rFonts w:ascii="Arial" w:hAnsi="Arial" w:cs="Arial"/>
          <w:b/>
          <w:bCs/>
          <w:color w:val="000000" w:themeColor="text1"/>
          <w:sz w:val="22"/>
          <w:szCs w:val="22"/>
        </w:rPr>
        <w:t>2. Materials and methods.</w:t>
      </w:r>
    </w:p>
    <w:p w14:paraId="30FE9341" w14:textId="77777777" w:rsidR="002A3272" w:rsidRPr="00BE43C8" w:rsidRDefault="002A3272" w:rsidP="0016122E">
      <w:pPr>
        <w:spacing w:line="360" w:lineRule="auto"/>
        <w:rPr>
          <w:rFonts w:ascii="Arial" w:hAnsi="Arial" w:cs="Arial"/>
          <w:color w:val="000000" w:themeColor="text1"/>
          <w:sz w:val="22"/>
          <w:szCs w:val="22"/>
        </w:rPr>
      </w:pPr>
    </w:p>
    <w:p w14:paraId="5B487A5E" w14:textId="4DD5FD49" w:rsidR="0063532D" w:rsidRPr="00BD688A" w:rsidRDefault="00BD688A" w:rsidP="0016122E">
      <w:pPr>
        <w:spacing w:line="360" w:lineRule="auto"/>
        <w:rPr>
          <w:rFonts w:ascii="Arial" w:hAnsi="Arial" w:cs="Arial"/>
          <w:b/>
          <w:color w:val="000000" w:themeColor="text1"/>
          <w:sz w:val="22"/>
          <w:szCs w:val="22"/>
          <w:lang w:val="en-US"/>
        </w:rPr>
      </w:pPr>
      <w:r>
        <w:rPr>
          <w:rFonts w:ascii="Arial" w:hAnsi="Arial" w:cs="Arial"/>
          <w:b/>
          <w:color w:val="000000" w:themeColor="text1"/>
          <w:sz w:val="22"/>
          <w:szCs w:val="22"/>
          <w:lang w:val="en-US"/>
        </w:rPr>
        <w:t>2.1</w:t>
      </w:r>
      <w:r>
        <w:rPr>
          <w:rFonts w:ascii="Arial" w:hAnsi="Arial" w:cs="Arial"/>
          <w:b/>
          <w:color w:val="000000" w:themeColor="text1"/>
          <w:sz w:val="22"/>
          <w:szCs w:val="22"/>
          <w:lang w:val="en-US"/>
        </w:rPr>
        <w:tab/>
        <w:t>Chemicals</w:t>
      </w:r>
      <w:r>
        <w:rPr>
          <w:rFonts w:ascii="Arial" w:hAnsi="Arial" w:cs="Arial"/>
          <w:b/>
          <w:color w:val="000000" w:themeColor="text1"/>
          <w:sz w:val="22"/>
          <w:szCs w:val="22"/>
          <w:lang w:val="en-US"/>
        </w:rPr>
        <w:tab/>
      </w:r>
    </w:p>
    <w:p w14:paraId="527310EF" w14:textId="77777777" w:rsidR="001808EE" w:rsidRDefault="002A3272" w:rsidP="0016122E">
      <w:pPr>
        <w:spacing w:line="360" w:lineRule="auto"/>
        <w:jc w:val="both"/>
        <w:rPr>
          <w:rFonts w:ascii="Arial" w:hAnsi="Arial" w:cs="Arial"/>
          <w:color w:val="000000" w:themeColor="text1"/>
          <w:sz w:val="22"/>
          <w:szCs w:val="22"/>
          <w:lang w:val="en-US"/>
        </w:rPr>
      </w:pPr>
      <w:r w:rsidRPr="00BE43C8">
        <w:rPr>
          <w:rFonts w:ascii="Arial" w:hAnsi="Arial" w:cs="Arial"/>
          <w:color w:val="000000" w:themeColor="text1"/>
          <w:sz w:val="22"/>
          <w:szCs w:val="22"/>
          <w:lang w:val="en-US"/>
        </w:rPr>
        <w:t>Tert</w:t>
      </w:r>
      <w:r w:rsidR="00722421" w:rsidRPr="00BE43C8">
        <w:rPr>
          <w:rFonts w:ascii="Arial" w:hAnsi="Arial" w:cs="Arial"/>
          <w:color w:val="000000" w:themeColor="text1"/>
          <w:sz w:val="22"/>
          <w:szCs w:val="22"/>
          <w:lang w:val="en-US"/>
        </w:rPr>
        <w:t>iary butyl alcohol (t-</w:t>
      </w:r>
      <w:proofErr w:type="spellStart"/>
      <w:r w:rsidR="00722421" w:rsidRPr="00BE43C8">
        <w:rPr>
          <w:rFonts w:ascii="Arial" w:hAnsi="Arial" w:cs="Arial"/>
          <w:color w:val="000000" w:themeColor="text1"/>
          <w:sz w:val="22"/>
          <w:szCs w:val="22"/>
          <w:lang w:val="en-US"/>
        </w:rPr>
        <w:t>BuOH</w:t>
      </w:r>
      <w:proofErr w:type="spellEnd"/>
      <w:r w:rsidR="00722421" w:rsidRPr="00BE43C8">
        <w:rPr>
          <w:rFonts w:ascii="Arial" w:hAnsi="Arial" w:cs="Arial"/>
          <w:color w:val="000000" w:themeColor="text1"/>
          <w:sz w:val="22"/>
          <w:szCs w:val="22"/>
          <w:lang w:val="en-US"/>
        </w:rPr>
        <w:t>) was</w:t>
      </w:r>
      <w:r w:rsidRPr="00BE43C8">
        <w:rPr>
          <w:rFonts w:ascii="Arial" w:hAnsi="Arial" w:cs="Arial"/>
          <w:color w:val="000000" w:themeColor="text1"/>
          <w:sz w:val="22"/>
          <w:szCs w:val="22"/>
          <w:lang w:val="en-US"/>
        </w:rPr>
        <w:t xml:space="preserve"> purchased from Merck, tetracosane (TC)-99% was purchased from Sigma-Aldrich, isopropanol (</w:t>
      </w:r>
      <w:proofErr w:type="spellStart"/>
      <w:r w:rsidRPr="00BE43C8">
        <w:rPr>
          <w:rFonts w:ascii="Arial" w:hAnsi="Arial" w:cs="Arial"/>
          <w:color w:val="000000" w:themeColor="text1"/>
          <w:sz w:val="22"/>
          <w:szCs w:val="22"/>
          <w:lang w:val="en-US"/>
        </w:rPr>
        <w:t>i-PrOH</w:t>
      </w:r>
      <w:proofErr w:type="spellEnd"/>
      <w:r w:rsidRPr="00BE43C8">
        <w:rPr>
          <w:rFonts w:ascii="Arial" w:hAnsi="Arial" w:cs="Arial"/>
          <w:color w:val="000000" w:themeColor="text1"/>
          <w:sz w:val="22"/>
          <w:szCs w:val="22"/>
          <w:lang w:val="en-US"/>
        </w:rPr>
        <w:t xml:space="preserve">)-AR grade was purchased from Associated Chemical Enterprise. </w:t>
      </w:r>
      <w:r w:rsidR="00007F0E" w:rsidRPr="00BE43C8">
        <w:rPr>
          <w:rFonts w:ascii="Arial" w:hAnsi="Arial" w:cs="Arial"/>
          <w:color w:val="000000" w:themeColor="text1"/>
          <w:sz w:val="22"/>
          <w:szCs w:val="22"/>
          <w:lang w:val="en-US"/>
        </w:rPr>
        <w:t xml:space="preserve">Representative compounds, identified in casework samples of </w:t>
      </w:r>
      <w:proofErr w:type="spellStart"/>
      <w:r w:rsidR="00007F0E" w:rsidRPr="00BE43C8">
        <w:rPr>
          <w:rFonts w:ascii="Arial" w:hAnsi="Arial" w:cs="Arial"/>
          <w:color w:val="000000" w:themeColor="text1"/>
          <w:sz w:val="22"/>
          <w:szCs w:val="22"/>
          <w:lang w:val="en-US"/>
        </w:rPr>
        <w:t>nyaope</w:t>
      </w:r>
      <w:proofErr w:type="spellEnd"/>
      <w:r w:rsidR="00007F0E" w:rsidRPr="00BE43C8">
        <w:rPr>
          <w:rFonts w:ascii="Arial" w:hAnsi="Arial" w:cs="Arial"/>
          <w:color w:val="000000" w:themeColor="text1"/>
          <w:sz w:val="22"/>
          <w:szCs w:val="22"/>
          <w:lang w:val="en-US"/>
        </w:rPr>
        <w:t xml:space="preserve"> by the South African Police Service (SAPS), were used to validate the GC – MS method. </w:t>
      </w:r>
      <w:r w:rsidRPr="00BE43C8">
        <w:rPr>
          <w:rFonts w:ascii="Arial" w:hAnsi="Arial" w:cs="Arial"/>
          <w:color w:val="000000" w:themeColor="text1"/>
          <w:sz w:val="22"/>
          <w:szCs w:val="22"/>
          <w:lang w:val="en-US"/>
        </w:rPr>
        <w:t xml:space="preserve">Certified reference </w:t>
      </w:r>
      <w:r w:rsidR="00007F0E" w:rsidRPr="00BE43C8">
        <w:rPr>
          <w:rFonts w:ascii="Arial" w:hAnsi="Arial" w:cs="Arial"/>
          <w:color w:val="000000" w:themeColor="text1"/>
          <w:sz w:val="22"/>
          <w:szCs w:val="22"/>
          <w:lang w:val="en-US"/>
        </w:rPr>
        <w:t>s</w:t>
      </w:r>
      <w:r w:rsidRPr="00BE43C8">
        <w:rPr>
          <w:rFonts w:ascii="Arial" w:hAnsi="Arial" w:cs="Arial"/>
          <w:color w:val="000000" w:themeColor="text1"/>
          <w:sz w:val="22"/>
          <w:szCs w:val="22"/>
          <w:lang w:val="en-US"/>
        </w:rPr>
        <w:t>tandard</w:t>
      </w:r>
      <w:r w:rsidR="00007F0E" w:rsidRPr="00BE43C8">
        <w:rPr>
          <w:rFonts w:ascii="Arial" w:hAnsi="Arial" w:cs="Arial"/>
          <w:color w:val="000000" w:themeColor="text1"/>
          <w:sz w:val="22"/>
          <w:szCs w:val="22"/>
          <w:lang w:val="en-US"/>
        </w:rPr>
        <w:t xml:space="preserve">s of </w:t>
      </w:r>
      <w:r w:rsidRPr="00BE43C8">
        <w:rPr>
          <w:rFonts w:ascii="Arial" w:hAnsi="Arial" w:cs="Arial"/>
          <w:color w:val="000000" w:themeColor="text1"/>
          <w:sz w:val="22"/>
          <w:szCs w:val="22"/>
          <w:lang w:val="en-US"/>
        </w:rPr>
        <w:t>Δ</w:t>
      </w:r>
      <w:r w:rsidRPr="00BE43C8">
        <w:rPr>
          <w:rFonts w:ascii="Arial" w:hAnsi="Arial" w:cs="Arial"/>
          <w:color w:val="000000" w:themeColor="text1"/>
          <w:sz w:val="22"/>
          <w:szCs w:val="22"/>
          <w:vertAlign w:val="superscript"/>
          <w:lang w:val="en-US"/>
        </w:rPr>
        <w:t>9</w:t>
      </w:r>
      <w:r w:rsidRPr="00BE43C8">
        <w:rPr>
          <w:rFonts w:ascii="Arial" w:hAnsi="Arial" w:cs="Arial"/>
          <w:color w:val="000000" w:themeColor="text1"/>
          <w:sz w:val="22"/>
          <w:szCs w:val="22"/>
          <w:lang w:val="en-US"/>
        </w:rPr>
        <w:t>-Tetrah</w:t>
      </w:r>
      <w:r w:rsidR="003713B0" w:rsidRPr="00BE43C8">
        <w:rPr>
          <w:rFonts w:ascii="Arial" w:hAnsi="Arial" w:cs="Arial"/>
          <w:color w:val="000000" w:themeColor="text1"/>
          <w:sz w:val="22"/>
          <w:szCs w:val="22"/>
          <w:lang w:val="en-US"/>
        </w:rPr>
        <w:t>y</w:t>
      </w:r>
      <w:r w:rsidRPr="00BE43C8">
        <w:rPr>
          <w:rFonts w:ascii="Arial" w:hAnsi="Arial" w:cs="Arial"/>
          <w:color w:val="000000" w:themeColor="text1"/>
          <w:sz w:val="22"/>
          <w:szCs w:val="22"/>
          <w:lang w:val="en-US"/>
        </w:rPr>
        <w:t xml:space="preserve">drocannabinol </w:t>
      </w:r>
      <w:r w:rsidR="003713B0" w:rsidRPr="00BE43C8">
        <w:rPr>
          <w:rFonts w:ascii="Arial" w:hAnsi="Arial" w:cs="Arial"/>
          <w:color w:val="000000" w:themeColor="text1"/>
          <w:sz w:val="22"/>
          <w:szCs w:val="22"/>
          <w:lang w:val="en-US"/>
        </w:rPr>
        <w:t>(</w:t>
      </w:r>
      <w:r w:rsidR="007D557D" w:rsidRPr="00BE43C8">
        <w:rPr>
          <w:rFonts w:ascii="Arial" w:hAnsi="Arial" w:cs="Arial"/>
          <w:color w:val="000000" w:themeColor="text1"/>
          <w:sz w:val="22"/>
          <w:szCs w:val="22"/>
          <w:lang w:val="en-US"/>
        </w:rPr>
        <w:t>Δ</w:t>
      </w:r>
      <w:r w:rsidR="007D557D" w:rsidRPr="00BE43C8">
        <w:rPr>
          <w:rFonts w:ascii="Arial" w:hAnsi="Arial" w:cs="Arial"/>
          <w:color w:val="000000" w:themeColor="text1"/>
          <w:sz w:val="22"/>
          <w:szCs w:val="22"/>
          <w:vertAlign w:val="superscript"/>
          <w:lang w:val="en-US"/>
        </w:rPr>
        <w:t>9</w:t>
      </w:r>
      <w:r w:rsidR="007D557D" w:rsidRPr="00BE43C8">
        <w:rPr>
          <w:rFonts w:ascii="Arial" w:hAnsi="Arial" w:cs="Arial"/>
          <w:color w:val="000000" w:themeColor="text1"/>
          <w:sz w:val="22"/>
          <w:szCs w:val="22"/>
          <w:lang w:val="en-US"/>
        </w:rPr>
        <w:t xml:space="preserve">-THC) </w:t>
      </w:r>
      <w:r w:rsidRPr="00BE43C8">
        <w:rPr>
          <w:rFonts w:ascii="Arial" w:hAnsi="Arial" w:cs="Arial"/>
          <w:color w:val="000000" w:themeColor="text1"/>
          <w:sz w:val="22"/>
          <w:szCs w:val="22"/>
          <w:lang w:val="en-US"/>
        </w:rPr>
        <w:t xml:space="preserve">and </w:t>
      </w:r>
      <w:r w:rsidR="007D557D" w:rsidRPr="00BE43C8">
        <w:rPr>
          <w:rFonts w:ascii="Arial" w:hAnsi="Arial" w:cs="Arial"/>
          <w:color w:val="000000" w:themeColor="text1"/>
          <w:sz w:val="22"/>
          <w:szCs w:val="22"/>
          <w:lang w:val="en-US"/>
        </w:rPr>
        <w:t xml:space="preserve">diamorphine </w:t>
      </w:r>
      <w:r w:rsidR="00007F0E" w:rsidRPr="00BE43C8">
        <w:rPr>
          <w:rFonts w:ascii="Arial" w:hAnsi="Arial" w:cs="Arial"/>
          <w:color w:val="000000" w:themeColor="text1"/>
          <w:sz w:val="22"/>
          <w:szCs w:val="22"/>
          <w:lang w:val="en-US"/>
        </w:rPr>
        <w:t>(</w:t>
      </w:r>
      <w:r w:rsidRPr="00BE43C8">
        <w:rPr>
          <w:rFonts w:ascii="Arial" w:hAnsi="Arial" w:cs="Arial"/>
          <w:color w:val="000000" w:themeColor="text1"/>
          <w:sz w:val="22"/>
          <w:szCs w:val="22"/>
          <w:lang w:val="en-US"/>
        </w:rPr>
        <w:t>both 1 mg/</w:t>
      </w:r>
      <w:r w:rsidR="007D557D" w:rsidRPr="00BE43C8">
        <w:rPr>
          <w:rFonts w:ascii="Arial" w:hAnsi="Arial" w:cs="Arial"/>
          <w:color w:val="000000" w:themeColor="text1"/>
          <w:sz w:val="22"/>
          <w:szCs w:val="22"/>
          <w:lang w:val="en-US"/>
        </w:rPr>
        <w:t>mL</w:t>
      </w:r>
      <w:r w:rsidR="00007F0E" w:rsidRPr="00BE43C8">
        <w:rPr>
          <w:rFonts w:ascii="Arial" w:hAnsi="Arial" w:cs="Arial"/>
          <w:color w:val="000000" w:themeColor="text1"/>
          <w:sz w:val="22"/>
          <w:szCs w:val="22"/>
          <w:lang w:val="en-US"/>
        </w:rPr>
        <w:t>)</w:t>
      </w:r>
      <w:r w:rsidR="007D557D" w:rsidRPr="00BE43C8">
        <w:rPr>
          <w:rFonts w:ascii="Arial" w:hAnsi="Arial" w:cs="Arial"/>
          <w:color w:val="000000" w:themeColor="text1"/>
          <w:sz w:val="22"/>
          <w:szCs w:val="22"/>
          <w:lang w:val="en-US"/>
        </w:rPr>
        <w:t xml:space="preserve"> </w:t>
      </w:r>
      <w:r w:rsidRPr="00BE43C8">
        <w:rPr>
          <w:rFonts w:ascii="Arial" w:hAnsi="Arial" w:cs="Arial"/>
          <w:color w:val="000000" w:themeColor="text1"/>
          <w:sz w:val="22"/>
          <w:szCs w:val="22"/>
          <w:lang w:val="en-US"/>
        </w:rPr>
        <w:t xml:space="preserve">were purchased from </w:t>
      </w:r>
      <w:proofErr w:type="spellStart"/>
      <w:r w:rsidRPr="00BE43C8">
        <w:rPr>
          <w:rFonts w:ascii="Arial" w:hAnsi="Arial" w:cs="Arial"/>
          <w:color w:val="000000" w:themeColor="text1"/>
          <w:sz w:val="22"/>
          <w:szCs w:val="22"/>
          <w:lang w:val="en-US"/>
        </w:rPr>
        <w:t>Ceriliant</w:t>
      </w:r>
      <w:proofErr w:type="spellEnd"/>
      <w:r w:rsidRPr="00BE43C8">
        <w:rPr>
          <w:rFonts w:ascii="Arial" w:hAnsi="Arial" w:cs="Arial"/>
          <w:color w:val="000000" w:themeColor="text1"/>
          <w:sz w:val="22"/>
          <w:szCs w:val="22"/>
          <w:lang w:val="en-US"/>
        </w:rPr>
        <w:t>-Sigma Aldrich. Caffeine and phenacetin were purchased from the US-Pharmacopeia as an USP powder reference standards while efavirenz and nevirapine were purchased from WHO International Chemical Reference Substances as ICRS powder reference substance</w:t>
      </w:r>
      <w:r w:rsidR="0063532D" w:rsidRPr="00BE43C8">
        <w:rPr>
          <w:rFonts w:ascii="Arial" w:hAnsi="Arial" w:cs="Arial"/>
          <w:color w:val="000000" w:themeColor="text1"/>
          <w:sz w:val="22"/>
          <w:szCs w:val="22"/>
          <w:lang w:val="en-US"/>
        </w:rPr>
        <w:t>s</w:t>
      </w:r>
      <w:r w:rsidRPr="00BE43C8">
        <w:rPr>
          <w:rFonts w:ascii="Arial" w:hAnsi="Arial" w:cs="Arial"/>
          <w:color w:val="000000" w:themeColor="text1"/>
          <w:sz w:val="22"/>
          <w:szCs w:val="22"/>
          <w:lang w:val="en-US"/>
        </w:rPr>
        <w:t>.</w:t>
      </w:r>
    </w:p>
    <w:p w14:paraId="5C72AEDF" w14:textId="3D5C32AE" w:rsidR="00782F97" w:rsidRDefault="00782F97" w:rsidP="0016122E">
      <w:pPr>
        <w:spacing w:line="360" w:lineRule="auto"/>
        <w:jc w:val="both"/>
        <w:rPr>
          <w:rFonts w:ascii="Arial" w:hAnsi="Arial" w:cs="Arial"/>
          <w:color w:val="000000" w:themeColor="text1"/>
          <w:sz w:val="22"/>
          <w:szCs w:val="22"/>
          <w:lang w:val="en-US"/>
        </w:rPr>
      </w:pPr>
    </w:p>
    <w:p w14:paraId="7A961C90" w14:textId="55962CF5" w:rsidR="0063532D" w:rsidRPr="00BD688A" w:rsidRDefault="002A3272" w:rsidP="0016122E">
      <w:pPr>
        <w:spacing w:line="360" w:lineRule="auto"/>
        <w:jc w:val="both"/>
        <w:rPr>
          <w:rFonts w:ascii="Arial" w:hAnsi="Arial" w:cs="Arial"/>
          <w:b/>
          <w:color w:val="000000" w:themeColor="text1"/>
          <w:sz w:val="22"/>
          <w:szCs w:val="22"/>
        </w:rPr>
      </w:pPr>
      <w:r w:rsidRPr="00BE43C8">
        <w:rPr>
          <w:rFonts w:ascii="Arial" w:hAnsi="Arial" w:cs="Arial"/>
          <w:b/>
          <w:color w:val="000000" w:themeColor="text1"/>
          <w:sz w:val="22"/>
          <w:szCs w:val="22"/>
          <w:lang w:val="en-US"/>
        </w:rPr>
        <w:t>2.2</w:t>
      </w:r>
      <w:r w:rsidRPr="00BE43C8">
        <w:rPr>
          <w:rFonts w:ascii="Arial" w:hAnsi="Arial" w:cs="Arial"/>
          <w:b/>
          <w:color w:val="000000" w:themeColor="text1"/>
          <w:sz w:val="22"/>
          <w:szCs w:val="22"/>
          <w:lang w:val="en-US"/>
        </w:rPr>
        <w:tab/>
      </w:r>
      <w:r w:rsidRPr="00BE43C8">
        <w:rPr>
          <w:rFonts w:ascii="Arial" w:hAnsi="Arial" w:cs="Arial"/>
          <w:b/>
          <w:color w:val="000000" w:themeColor="text1"/>
          <w:sz w:val="22"/>
          <w:szCs w:val="22"/>
        </w:rPr>
        <w:t>Pr</w:t>
      </w:r>
      <w:r w:rsidR="00BD688A">
        <w:rPr>
          <w:rFonts w:ascii="Arial" w:hAnsi="Arial" w:cs="Arial"/>
          <w:b/>
          <w:color w:val="000000" w:themeColor="text1"/>
          <w:sz w:val="22"/>
          <w:szCs w:val="22"/>
        </w:rPr>
        <w:t>eparation of internal standards</w:t>
      </w:r>
    </w:p>
    <w:p w14:paraId="760058EF" w14:textId="6A7024F5" w:rsidR="002A3272" w:rsidRPr="00BE43C8" w:rsidRDefault="00660245" w:rsidP="0016122E">
      <w:pPr>
        <w:spacing w:line="360" w:lineRule="auto"/>
        <w:jc w:val="both"/>
        <w:rPr>
          <w:rFonts w:ascii="Arial" w:hAnsi="Arial" w:cs="Arial"/>
          <w:color w:val="000000" w:themeColor="text1"/>
          <w:sz w:val="22"/>
          <w:szCs w:val="22"/>
        </w:rPr>
      </w:pPr>
      <w:r>
        <w:rPr>
          <w:rFonts w:ascii="Arial" w:hAnsi="Arial" w:cs="Arial"/>
          <w:color w:val="000000" w:themeColor="text1"/>
          <w:sz w:val="22"/>
          <w:szCs w:val="22"/>
        </w:rPr>
        <w:t>T</w:t>
      </w:r>
      <w:r w:rsidR="002A3272" w:rsidRPr="00BE43C8">
        <w:rPr>
          <w:rFonts w:ascii="Arial" w:hAnsi="Arial" w:cs="Arial"/>
          <w:color w:val="000000" w:themeColor="text1"/>
          <w:sz w:val="22"/>
          <w:szCs w:val="22"/>
        </w:rPr>
        <w:t>he internal standard</w:t>
      </w:r>
      <w:r w:rsidR="00B67880" w:rsidRPr="0015368A">
        <w:rPr>
          <w:rFonts w:ascii="Arial" w:hAnsi="Arial" w:cs="Arial"/>
          <w:color w:val="000000" w:themeColor="text1"/>
          <w:sz w:val="22"/>
          <w:szCs w:val="22"/>
          <w:lang w:val="en-ZA"/>
        </w:rPr>
        <w:t xml:space="preserve"> </w:t>
      </w:r>
      <w:r w:rsidR="002A3272" w:rsidRPr="0015368A">
        <w:rPr>
          <w:rFonts w:ascii="Arial" w:hAnsi="Arial" w:cs="Arial"/>
          <w:color w:val="000000" w:themeColor="text1"/>
          <w:sz w:val="22"/>
          <w:szCs w:val="22"/>
        </w:rPr>
        <w:t>solution (ISTD)</w:t>
      </w:r>
      <w:r w:rsidR="0074369A" w:rsidRPr="0015368A">
        <w:rPr>
          <w:rFonts w:ascii="Arial" w:hAnsi="Arial" w:cs="Arial"/>
          <w:color w:val="000000" w:themeColor="text1"/>
          <w:sz w:val="22"/>
          <w:szCs w:val="22"/>
        </w:rPr>
        <w:t>,</w:t>
      </w:r>
      <w:r w:rsidR="002A3272" w:rsidRPr="0015368A">
        <w:rPr>
          <w:rFonts w:ascii="Arial" w:hAnsi="Arial" w:cs="Arial"/>
          <w:color w:val="000000" w:themeColor="text1"/>
          <w:sz w:val="22"/>
          <w:szCs w:val="22"/>
        </w:rPr>
        <w:t xml:space="preserve"> </w:t>
      </w:r>
      <w:r w:rsidR="0074369A" w:rsidRPr="0015368A">
        <w:rPr>
          <w:rFonts w:ascii="Arial" w:hAnsi="Arial" w:cs="Arial"/>
          <w:color w:val="000000" w:themeColor="text1"/>
          <w:sz w:val="22"/>
          <w:szCs w:val="22"/>
          <w:lang w:val="en-ZA"/>
        </w:rPr>
        <w:t>tetracosane (C</w:t>
      </w:r>
      <w:r w:rsidR="0074369A" w:rsidRPr="0015368A">
        <w:rPr>
          <w:rFonts w:ascii="Arial" w:hAnsi="Arial" w:cs="Arial"/>
          <w:color w:val="000000" w:themeColor="text1"/>
          <w:sz w:val="22"/>
          <w:szCs w:val="22"/>
          <w:vertAlign w:val="subscript"/>
          <w:lang w:val="en-ZA"/>
        </w:rPr>
        <w:t>24</w:t>
      </w:r>
      <w:r w:rsidR="0074369A" w:rsidRPr="0015368A">
        <w:rPr>
          <w:rFonts w:ascii="Arial" w:hAnsi="Arial" w:cs="Arial"/>
          <w:color w:val="000000" w:themeColor="text1"/>
          <w:sz w:val="22"/>
          <w:szCs w:val="22"/>
          <w:lang w:val="en-ZA"/>
        </w:rPr>
        <w:t xml:space="preserve">), </w:t>
      </w:r>
      <w:r w:rsidR="002A3272" w:rsidRPr="00BE43C8">
        <w:rPr>
          <w:rFonts w:ascii="Arial" w:hAnsi="Arial" w:cs="Arial"/>
          <w:color w:val="000000" w:themeColor="text1"/>
          <w:sz w:val="22"/>
          <w:szCs w:val="22"/>
        </w:rPr>
        <w:t xml:space="preserve">was prepared at a final concentration of 0.02 mg/mL in </w:t>
      </w:r>
      <w:r w:rsidR="002A3272" w:rsidRPr="00BE43C8">
        <w:rPr>
          <w:rFonts w:ascii="Arial" w:hAnsi="Arial" w:cs="Arial"/>
          <w:color w:val="000000" w:themeColor="text1"/>
          <w:sz w:val="22"/>
          <w:szCs w:val="22"/>
          <w:lang w:val="en-US"/>
        </w:rPr>
        <w:t>tertiary butyl alcohol</w:t>
      </w:r>
      <w:r w:rsidR="002A3272" w:rsidRPr="00BE43C8">
        <w:rPr>
          <w:rFonts w:ascii="Arial" w:hAnsi="Arial" w:cs="Arial"/>
          <w:color w:val="000000" w:themeColor="text1"/>
          <w:sz w:val="22"/>
          <w:szCs w:val="22"/>
        </w:rPr>
        <w:t xml:space="preserve">. Tertiary butyl alcohol has previously been shown to be the solvent of choice for presenting </w:t>
      </w:r>
      <w:proofErr w:type="spellStart"/>
      <w:r w:rsidR="002A3272" w:rsidRPr="00BE43C8">
        <w:rPr>
          <w:rFonts w:ascii="Arial" w:hAnsi="Arial" w:cs="Arial"/>
          <w:color w:val="000000" w:themeColor="text1"/>
          <w:sz w:val="22"/>
          <w:szCs w:val="22"/>
        </w:rPr>
        <w:t>nyaope</w:t>
      </w:r>
      <w:proofErr w:type="spellEnd"/>
      <w:r w:rsidR="002A3272" w:rsidRPr="00BE43C8">
        <w:rPr>
          <w:rFonts w:ascii="Arial" w:hAnsi="Arial" w:cs="Arial"/>
          <w:color w:val="000000" w:themeColor="text1"/>
          <w:sz w:val="22"/>
          <w:szCs w:val="22"/>
        </w:rPr>
        <w:t xml:space="preserve"> extracts to the GC</w:t>
      </w:r>
      <w:r w:rsidR="008F1B8C" w:rsidRPr="00BE43C8">
        <w:rPr>
          <w:rFonts w:ascii="Arial" w:hAnsi="Arial" w:cs="Arial"/>
          <w:color w:val="000000" w:themeColor="text1"/>
          <w:sz w:val="22"/>
          <w:szCs w:val="22"/>
        </w:rPr>
        <w:t>-</w:t>
      </w:r>
      <w:r w:rsidR="002A3272" w:rsidRPr="00BE43C8">
        <w:rPr>
          <w:rFonts w:ascii="Arial" w:hAnsi="Arial" w:cs="Arial"/>
          <w:color w:val="000000" w:themeColor="text1"/>
          <w:sz w:val="22"/>
          <w:szCs w:val="22"/>
        </w:rPr>
        <w:t>MS</w:t>
      </w:r>
      <w:r w:rsidR="002832A9">
        <w:rPr>
          <w:rFonts w:ascii="Arial" w:hAnsi="Arial" w:cs="Arial"/>
          <w:color w:val="000000" w:themeColor="text1"/>
          <w:sz w:val="22"/>
          <w:szCs w:val="22"/>
          <w:vertAlign w:val="superscript"/>
        </w:rPr>
        <w:t>13</w:t>
      </w:r>
      <w:r w:rsidR="002A3272" w:rsidRPr="00BE43C8">
        <w:rPr>
          <w:rFonts w:ascii="Arial" w:hAnsi="Arial" w:cs="Arial"/>
          <w:color w:val="000000" w:themeColor="text1"/>
          <w:sz w:val="22"/>
          <w:szCs w:val="22"/>
        </w:rPr>
        <w:t>. The internal standard solution was used to dilute the certified reference standards, and other samples, before GC</w:t>
      </w:r>
      <w:r w:rsidR="008F1B8C" w:rsidRPr="00BE43C8">
        <w:rPr>
          <w:rFonts w:ascii="Arial" w:hAnsi="Arial" w:cs="Arial"/>
          <w:color w:val="000000" w:themeColor="text1"/>
          <w:sz w:val="22"/>
          <w:szCs w:val="22"/>
        </w:rPr>
        <w:t>-</w:t>
      </w:r>
      <w:r w:rsidR="002A3272" w:rsidRPr="00BE43C8">
        <w:rPr>
          <w:rFonts w:ascii="Arial" w:hAnsi="Arial" w:cs="Arial"/>
          <w:color w:val="000000" w:themeColor="text1"/>
          <w:sz w:val="22"/>
          <w:szCs w:val="22"/>
        </w:rPr>
        <w:t>MS analysis.</w:t>
      </w:r>
    </w:p>
    <w:p w14:paraId="0D030F9A" w14:textId="016A641B" w:rsidR="00911267" w:rsidRPr="00BE43C8" w:rsidRDefault="00911267" w:rsidP="0016122E">
      <w:pPr>
        <w:spacing w:line="360" w:lineRule="auto"/>
        <w:rPr>
          <w:rFonts w:ascii="Arial" w:hAnsi="Arial" w:cs="Arial"/>
          <w:b/>
          <w:color w:val="000000" w:themeColor="text1"/>
          <w:sz w:val="22"/>
          <w:szCs w:val="22"/>
        </w:rPr>
      </w:pPr>
    </w:p>
    <w:p w14:paraId="29944A27" w14:textId="3D044B5D" w:rsidR="0063532D" w:rsidRPr="00BD688A" w:rsidRDefault="003A09E9" w:rsidP="0016122E">
      <w:pPr>
        <w:spacing w:line="360" w:lineRule="auto"/>
        <w:rPr>
          <w:rFonts w:ascii="Arial" w:hAnsi="Arial" w:cs="Arial"/>
          <w:b/>
          <w:color w:val="000000" w:themeColor="text1"/>
          <w:sz w:val="22"/>
          <w:szCs w:val="22"/>
        </w:rPr>
      </w:pPr>
      <w:r w:rsidRPr="00BE43C8">
        <w:rPr>
          <w:rFonts w:ascii="Arial" w:hAnsi="Arial" w:cs="Arial"/>
          <w:b/>
          <w:color w:val="000000" w:themeColor="text1"/>
          <w:sz w:val="22"/>
          <w:szCs w:val="22"/>
        </w:rPr>
        <w:t>2.3</w:t>
      </w:r>
      <w:r w:rsidRPr="00BE43C8">
        <w:rPr>
          <w:rFonts w:ascii="Arial" w:hAnsi="Arial" w:cs="Arial"/>
          <w:b/>
          <w:color w:val="000000" w:themeColor="text1"/>
          <w:sz w:val="22"/>
          <w:szCs w:val="22"/>
        </w:rPr>
        <w:tab/>
        <w:t>Preparation of c</w:t>
      </w:r>
      <w:r w:rsidR="00BD688A">
        <w:rPr>
          <w:rFonts w:ascii="Arial" w:hAnsi="Arial" w:cs="Arial"/>
          <w:b/>
          <w:color w:val="000000" w:themeColor="text1"/>
          <w:sz w:val="22"/>
          <w:szCs w:val="22"/>
        </w:rPr>
        <w:t>alibration standards</w:t>
      </w:r>
    </w:p>
    <w:p w14:paraId="37588D57" w14:textId="00B7367B" w:rsidR="003A09E9" w:rsidRPr="00BE43C8" w:rsidRDefault="0063532D" w:rsidP="0016122E">
      <w:pPr>
        <w:spacing w:line="360" w:lineRule="auto"/>
        <w:jc w:val="both"/>
        <w:rPr>
          <w:rFonts w:ascii="Arial" w:hAnsi="Arial" w:cs="Arial"/>
          <w:color w:val="000000" w:themeColor="text1"/>
          <w:sz w:val="22"/>
          <w:szCs w:val="22"/>
        </w:rPr>
      </w:pPr>
      <w:r w:rsidRPr="00BE43C8">
        <w:rPr>
          <w:rFonts w:ascii="Arial" w:hAnsi="Arial" w:cs="Arial"/>
          <w:color w:val="000000" w:themeColor="text1"/>
          <w:sz w:val="22"/>
          <w:szCs w:val="22"/>
        </w:rPr>
        <w:t>S</w:t>
      </w:r>
      <w:r w:rsidR="003A09E9" w:rsidRPr="00BE43C8">
        <w:rPr>
          <w:rFonts w:ascii="Arial" w:hAnsi="Arial" w:cs="Arial"/>
          <w:color w:val="000000" w:themeColor="text1"/>
          <w:sz w:val="22"/>
          <w:szCs w:val="22"/>
        </w:rPr>
        <w:t>tock solution</w:t>
      </w:r>
      <w:r w:rsidRPr="00BE43C8">
        <w:rPr>
          <w:rFonts w:ascii="Arial" w:hAnsi="Arial" w:cs="Arial"/>
          <w:color w:val="000000" w:themeColor="text1"/>
          <w:sz w:val="22"/>
          <w:szCs w:val="22"/>
        </w:rPr>
        <w:t>s</w:t>
      </w:r>
      <w:r w:rsidR="003A09E9" w:rsidRPr="00BE43C8">
        <w:rPr>
          <w:rFonts w:ascii="Arial" w:hAnsi="Arial" w:cs="Arial"/>
          <w:color w:val="000000" w:themeColor="text1"/>
          <w:sz w:val="22"/>
          <w:szCs w:val="22"/>
        </w:rPr>
        <w:t xml:space="preserve"> (</w:t>
      </w:r>
      <w:r w:rsidRPr="00BE43C8">
        <w:rPr>
          <w:rFonts w:ascii="Arial" w:hAnsi="Arial" w:cs="Arial"/>
          <w:color w:val="000000" w:themeColor="text1"/>
          <w:sz w:val="22"/>
          <w:szCs w:val="22"/>
        </w:rPr>
        <w:t xml:space="preserve">1 mL at </w:t>
      </w:r>
      <w:r w:rsidR="003A09E9" w:rsidRPr="00BE43C8">
        <w:rPr>
          <w:rFonts w:ascii="Arial" w:hAnsi="Arial" w:cs="Arial"/>
          <w:color w:val="000000" w:themeColor="text1"/>
          <w:sz w:val="22"/>
          <w:szCs w:val="22"/>
        </w:rPr>
        <w:t xml:space="preserve">1 mg/mL) </w:t>
      </w:r>
      <w:r w:rsidRPr="00BE43C8">
        <w:rPr>
          <w:rFonts w:ascii="Arial" w:hAnsi="Arial" w:cs="Arial"/>
          <w:color w:val="000000" w:themeColor="text1"/>
          <w:sz w:val="22"/>
          <w:szCs w:val="22"/>
        </w:rPr>
        <w:t xml:space="preserve">of </w:t>
      </w:r>
      <w:r w:rsidR="003A09E9" w:rsidRPr="00BE43C8">
        <w:rPr>
          <w:rFonts w:ascii="Arial" w:hAnsi="Arial" w:cs="Arial"/>
          <w:color w:val="000000" w:themeColor="text1"/>
          <w:sz w:val="22"/>
          <w:szCs w:val="22"/>
          <w:lang w:val="en-US"/>
        </w:rPr>
        <w:t>Δ</w:t>
      </w:r>
      <w:r w:rsidR="003A09E9" w:rsidRPr="00BE43C8">
        <w:rPr>
          <w:rFonts w:ascii="Arial" w:hAnsi="Arial" w:cs="Arial"/>
          <w:color w:val="000000" w:themeColor="text1"/>
          <w:sz w:val="22"/>
          <w:szCs w:val="22"/>
          <w:vertAlign w:val="superscript"/>
          <w:lang w:val="en-US"/>
        </w:rPr>
        <w:t>9</w:t>
      </w:r>
      <w:r w:rsidR="003A09E9" w:rsidRPr="00BE43C8">
        <w:rPr>
          <w:rFonts w:ascii="Arial" w:hAnsi="Arial" w:cs="Arial"/>
          <w:color w:val="000000" w:themeColor="text1"/>
          <w:sz w:val="22"/>
          <w:szCs w:val="22"/>
          <w:lang w:val="en-US"/>
        </w:rPr>
        <w:t>-</w:t>
      </w:r>
      <w:r w:rsidR="003713B0" w:rsidRPr="00BE43C8">
        <w:rPr>
          <w:rFonts w:ascii="Arial" w:hAnsi="Arial" w:cs="Arial"/>
          <w:color w:val="000000" w:themeColor="text1"/>
          <w:sz w:val="22"/>
          <w:szCs w:val="22"/>
          <w:lang w:val="en-US"/>
        </w:rPr>
        <w:t xml:space="preserve">THC </w:t>
      </w:r>
      <w:r w:rsidRPr="00BE43C8">
        <w:rPr>
          <w:rFonts w:ascii="Arial" w:hAnsi="Arial" w:cs="Arial"/>
          <w:color w:val="000000" w:themeColor="text1"/>
          <w:sz w:val="22"/>
          <w:szCs w:val="22"/>
          <w:lang w:val="en-US"/>
        </w:rPr>
        <w:t xml:space="preserve">in methanol </w:t>
      </w:r>
      <w:r w:rsidR="003A09E9" w:rsidRPr="00BE43C8">
        <w:rPr>
          <w:rFonts w:ascii="Arial" w:hAnsi="Arial" w:cs="Arial"/>
          <w:color w:val="000000" w:themeColor="text1"/>
          <w:sz w:val="22"/>
          <w:szCs w:val="22"/>
          <w:lang w:val="en-US"/>
        </w:rPr>
        <w:t xml:space="preserve">and </w:t>
      </w:r>
      <w:r w:rsidRPr="00BE43C8">
        <w:rPr>
          <w:rFonts w:ascii="Arial" w:hAnsi="Arial" w:cs="Arial"/>
          <w:color w:val="000000" w:themeColor="text1"/>
          <w:sz w:val="22"/>
          <w:szCs w:val="22"/>
          <w:lang w:val="en-US"/>
        </w:rPr>
        <w:t xml:space="preserve">diamorphine in </w:t>
      </w:r>
      <w:r w:rsidR="003A09E9" w:rsidRPr="00BE43C8">
        <w:rPr>
          <w:rFonts w:ascii="Arial" w:hAnsi="Arial" w:cs="Arial"/>
          <w:color w:val="000000" w:themeColor="text1"/>
          <w:sz w:val="22"/>
          <w:szCs w:val="22"/>
          <w:lang w:val="en-US"/>
        </w:rPr>
        <w:t>acetonitrile</w:t>
      </w:r>
      <w:r w:rsidRPr="00BE43C8">
        <w:rPr>
          <w:rFonts w:ascii="Arial" w:hAnsi="Arial" w:cs="Arial"/>
          <w:color w:val="000000" w:themeColor="text1"/>
          <w:sz w:val="22"/>
          <w:szCs w:val="22"/>
          <w:lang w:val="en-US"/>
        </w:rPr>
        <w:t xml:space="preserve"> </w:t>
      </w:r>
      <w:r w:rsidR="003A09E9" w:rsidRPr="00BE43C8">
        <w:rPr>
          <w:rFonts w:ascii="Arial" w:hAnsi="Arial" w:cs="Arial"/>
          <w:color w:val="000000" w:themeColor="text1"/>
          <w:sz w:val="22"/>
          <w:szCs w:val="22"/>
        </w:rPr>
        <w:t>w</w:t>
      </w:r>
      <w:r w:rsidRPr="00BE43C8">
        <w:rPr>
          <w:rFonts w:ascii="Arial" w:hAnsi="Arial" w:cs="Arial"/>
          <w:color w:val="000000" w:themeColor="text1"/>
          <w:sz w:val="22"/>
          <w:szCs w:val="22"/>
        </w:rPr>
        <w:t>ere</w:t>
      </w:r>
      <w:r w:rsidR="003A09E9" w:rsidRPr="00BE43C8">
        <w:rPr>
          <w:rFonts w:ascii="Arial" w:hAnsi="Arial" w:cs="Arial"/>
          <w:color w:val="000000" w:themeColor="text1"/>
          <w:sz w:val="22"/>
          <w:szCs w:val="22"/>
        </w:rPr>
        <w:t xml:space="preserve"> placed in an amber GC</w:t>
      </w:r>
      <w:r w:rsidR="008F1B8C" w:rsidRPr="00BE43C8">
        <w:rPr>
          <w:rFonts w:ascii="Arial" w:hAnsi="Arial" w:cs="Arial"/>
          <w:color w:val="000000" w:themeColor="text1"/>
          <w:sz w:val="22"/>
          <w:szCs w:val="22"/>
        </w:rPr>
        <w:t>-</w:t>
      </w:r>
      <w:r w:rsidR="003A09E9" w:rsidRPr="00BE43C8">
        <w:rPr>
          <w:rFonts w:ascii="Arial" w:hAnsi="Arial" w:cs="Arial"/>
          <w:color w:val="000000" w:themeColor="text1"/>
          <w:sz w:val="22"/>
          <w:szCs w:val="22"/>
        </w:rPr>
        <w:t>MS vial</w:t>
      </w:r>
      <w:r w:rsidRPr="00BE43C8">
        <w:rPr>
          <w:rFonts w:ascii="Arial" w:hAnsi="Arial" w:cs="Arial"/>
          <w:color w:val="000000" w:themeColor="text1"/>
          <w:sz w:val="22"/>
          <w:szCs w:val="22"/>
        </w:rPr>
        <w:t xml:space="preserve">, </w:t>
      </w:r>
      <w:r w:rsidR="003A09E9" w:rsidRPr="00BE43C8">
        <w:rPr>
          <w:rFonts w:ascii="Arial" w:hAnsi="Arial" w:cs="Arial"/>
          <w:color w:val="000000" w:themeColor="text1"/>
          <w:sz w:val="22"/>
          <w:szCs w:val="22"/>
        </w:rPr>
        <w:t>evaporated to dryness under nitrogen and</w:t>
      </w:r>
      <w:r w:rsidRPr="00BE43C8">
        <w:rPr>
          <w:rFonts w:ascii="Arial" w:hAnsi="Arial" w:cs="Arial"/>
          <w:color w:val="000000" w:themeColor="text1"/>
          <w:sz w:val="22"/>
          <w:szCs w:val="22"/>
        </w:rPr>
        <w:t xml:space="preserve"> then</w:t>
      </w:r>
      <w:r w:rsidR="003A09E9" w:rsidRPr="00BE43C8">
        <w:rPr>
          <w:rFonts w:ascii="Arial" w:hAnsi="Arial" w:cs="Arial"/>
          <w:color w:val="000000" w:themeColor="text1"/>
          <w:sz w:val="22"/>
          <w:szCs w:val="22"/>
        </w:rPr>
        <w:t xml:space="preserve"> re-dissolved in 1 mL of the ISTD to give stock solutions at 1</w:t>
      </w:r>
      <w:r w:rsidR="00E35CA2">
        <w:rPr>
          <w:rFonts w:ascii="Arial" w:hAnsi="Arial" w:cs="Arial"/>
          <w:color w:val="000000" w:themeColor="text1"/>
          <w:sz w:val="22"/>
          <w:szCs w:val="22"/>
        </w:rPr>
        <w:t xml:space="preserve"> </w:t>
      </w:r>
      <w:r w:rsidR="003A09E9" w:rsidRPr="00BE43C8">
        <w:rPr>
          <w:rFonts w:ascii="Arial" w:hAnsi="Arial" w:cs="Arial"/>
          <w:color w:val="000000" w:themeColor="text1"/>
          <w:sz w:val="22"/>
          <w:szCs w:val="22"/>
        </w:rPr>
        <w:t>mg/</w:t>
      </w:r>
      <w:proofErr w:type="spellStart"/>
      <w:r w:rsidR="003A09E9" w:rsidRPr="00BE43C8">
        <w:rPr>
          <w:rFonts w:ascii="Arial" w:hAnsi="Arial" w:cs="Arial"/>
          <w:color w:val="000000" w:themeColor="text1"/>
          <w:sz w:val="22"/>
          <w:szCs w:val="22"/>
        </w:rPr>
        <w:t>mL.</w:t>
      </w:r>
      <w:proofErr w:type="spellEnd"/>
      <w:r w:rsidR="007D557D" w:rsidRPr="00BE43C8">
        <w:rPr>
          <w:rFonts w:ascii="Arial" w:hAnsi="Arial" w:cs="Arial"/>
          <w:color w:val="000000" w:themeColor="text1"/>
          <w:sz w:val="22"/>
          <w:szCs w:val="22"/>
        </w:rPr>
        <w:t xml:space="preserve"> </w:t>
      </w:r>
      <w:r w:rsidRPr="00BE43C8">
        <w:rPr>
          <w:rFonts w:ascii="Arial" w:hAnsi="Arial" w:cs="Arial"/>
          <w:color w:val="000000" w:themeColor="text1"/>
          <w:sz w:val="22"/>
          <w:szCs w:val="22"/>
        </w:rPr>
        <w:t>P</w:t>
      </w:r>
      <w:r w:rsidR="007D557D" w:rsidRPr="00BE43C8">
        <w:rPr>
          <w:rFonts w:ascii="Arial" w:hAnsi="Arial" w:cs="Arial"/>
          <w:color w:val="000000" w:themeColor="text1"/>
          <w:sz w:val="22"/>
          <w:szCs w:val="22"/>
        </w:rPr>
        <w:t>henacetin</w:t>
      </w:r>
      <w:r w:rsidRPr="00BE43C8">
        <w:rPr>
          <w:rFonts w:ascii="Arial" w:hAnsi="Arial" w:cs="Arial"/>
          <w:color w:val="000000" w:themeColor="text1"/>
          <w:sz w:val="22"/>
          <w:szCs w:val="22"/>
        </w:rPr>
        <w:t xml:space="preserve">, </w:t>
      </w:r>
      <w:r w:rsidR="007D557D" w:rsidRPr="00BE43C8">
        <w:rPr>
          <w:rFonts w:ascii="Arial" w:hAnsi="Arial" w:cs="Arial"/>
          <w:color w:val="000000" w:themeColor="text1"/>
          <w:sz w:val="22"/>
          <w:szCs w:val="22"/>
        </w:rPr>
        <w:t>caffeine</w:t>
      </w:r>
      <w:r w:rsidRPr="00BE43C8">
        <w:rPr>
          <w:rFonts w:ascii="Arial" w:hAnsi="Arial" w:cs="Arial"/>
          <w:color w:val="000000" w:themeColor="text1"/>
          <w:sz w:val="22"/>
          <w:szCs w:val="22"/>
        </w:rPr>
        <w:t xml:space="preserve">, </w:t>
      </w:r>
      <w:r w:rsidR="007D557D" w:rsidRPr="00BE43C8">
        <w:rPr>
          <w:rFonts w:ascii="Arial" w:hAnsi="Arial" w:cs="Arial"/>
          <w:color w:val="000000" w:themeColor="text1"/>
          <w:sz w:val="22"/>
          <w:szCs w:val="22"/>
        </w:rPr>
        <w:t xml:space="preserve">efavirenz </w:t>
      </w:r>
      <w:r w:rsidRPr="00BE43C8">
        <w:rPr>
          <w:rFonts w:ascii="Arial" w:hAnsi="Arial" w:cs="Arial"/>
          <w:color w:val="000000" w:themeColor="text1"/>
          <w:sz w:val="22"/>
          <w:szCs w:val="22"/>
        </w:rPr>
        <w:t xml:space="preserve">and </w:t>
      </w:r>
      <w:r w:rsidR="007D557D" w:rsidRPr="00BE43C8">
        <w:rPr>
          <w:rFonts w:ascii="Arial" w:hAnsi="Arial" w:cs="Arial"/>
          <w:color w:val="000000" w:themeColor="text1"/>
          <w:sz w:val="22"/>
          <w:szCs w:val="22"/>
        </w:rPr>
        <w:t>nevirapine</w:t>
      </w:r>
      <w:r w:rsidRPr="00BE43C8">
        <w:rPr>
          <w:rFonts w:ascii="Arial" w:hAnsi="Arial" w:cs="Arial"/>
          <w:color w:val="000000" w:themeColor="text1"/>
          <w:sz w:val="22"/>
          <w:szCs w:val="22"/>
        </w:rPr>
        <w:t xml:space="preserve"> </w:t>
      </w:r>
      <w:r w:rsidR="003A09E9" w:rsidRPr="00BE43C8">
        <w:rPr>
          <w:rFonts w:ascii="Arial" w:hAnsi="Arial" w:cs="Arial"/>
          <w:color w:val="000000" w:themeColor="text1"/>
          <w:sz w:val="22"/>
          <w:szCs w:val="22"/>
        </w:rPr>
        <w:t xml:space="preserve">were </w:t>
      </w:r>
      <w:r w:rsidR="00C96997" w:rsidRPr="00BE43C8">
        <w:rPr>
          <w:rFonts w:ascii="Arial" w:hAnsi="Arial" w:cs="Arial"/>
          <w:color w:val="000000" w:themeColor="text1"/>
          <w:sz w:val="22"/>
          <w:szCs w:val="22"/>
        </w:rPr>
        <w:t>dissolved</w:t>
      </w:r>
      <w:r w:rsidR="003A09E9" w:rsidRPr="00BE43C8">
        <w:rPr>
          <w:rFonts w:ascii="Arial" w:hAnsi="Arial" w:cs="Arial"/>
          <w:color w:val="000000" w:themeColor="text1"/>
          <w:sz w:val="22"/>
          <w:szCs w:val="22"/>
        </w:rPr>
        <w:t xml:space="preserve"> at concentrations of 1.03, 1.00, 0.998 and</w:t>
      </w:r>
      <w:r w:rsidR="003A09E9" w:rsidRPr="0015368A">
        <w:rPr>
          <w:rFonts w:ascii="Arial" w:hAnsi="Arial" w:cs="Arial"/>
          <w:color w:val="000000" w:themeColor="text1"/>
          <w:sz w:val="22"/>
          <w:szCs w:val="22"/>
        </w:rPr>
        <w:t xml:space="preserve"> 1.05 mg/mL</w:t>
      </w:r>
      <w:r w:rsidR="00AF56C9" w:rsidRPr="0015368A">
        <w:rPr>
          <w:rFonts w:ascii="Arial" w:hAnsi="Arial" w:cs="Arial"/>
          <w:color w:val="000000" w:themeColor="text1"/>
          <w:sz w:val="22"/>
          <w:szCs w:val="22"/>
        </w:rPr>
        <w:t>,</w:t>
      </w:r>
      <w:r w:rsidR="003A09E9" w:rsidRPr="0015368A">
        <w:rPr>
          <w:rFonts w:ascii="Arial" w:hAnsi="Arial" w:cs="Arial"/>
          <w:color w:val="000000" w:themeColor="text1"/>
          <w:sz w:val="22"/>
          <w:szCs w:val="22"/>
        </w:rPr>
        <w:t xml:space="preserve"> respectively </w:t>
      </w:r>
      <w:r w:rsidR="003A09E9" w:rsidRPr="00BE43C8">
        <w:rPr>
          <w:rFonts w:ascii="Arial" w:hAnsi="Arial" w:cs="Arial"/>
          <w:color w:val="000000" w:themeColor="text1"/>
          <w:sz w:val="22"/>
          <w:szCs w:val="22"/>
        </w:rPr>
        <w:t xml:space="preserve">in the ISTD solution. From these, </w:t>
      </w:r>
      <w:r w:rsidR="00C96997" w:rsidRPr="00BE43C8">
        <w:rPr>
          <w:rFonts w:ascii="Arial" w:hAnsi="Arial" w:cs="Arial"/>
          <w:color w:val="000000" w:themeColor="text1"/>
          <w:sz w:val="22"/>
          <w:szCs w:val="22"/>
        </w:rPr>
        <w:t xml:space="preserve">14 </w:t>
      </w:r>
      <w:r w:rsidR="003A09E9" w:rsidRPr="00BE43C8">
        <w:rPr>
          <w:rFonts w:ascii="Arial" w:hAnsi="Arial" w:cs="Arial"/>
          <w:color w:val="000000" w:themeColor="text1"/>
          <w:sz w:val="22"/>
          <w:szCs w:val="22"/>
        </w:rPr>
        <w:t xml:space="preserve">standards </w:t>
      </w:r>
      <w:r w:rsidRPr="00BE43C8">
        <w:rPr>
          <w:rFonts w:ascii="Arial" w:hAnsi="Arial" w:cs="Arial"/>
          <w:color w:val="000000" w:themeColor="text1"/>
          <w:sz w:val="22"/>
          <w:szCs w:val="22"/>
        </w:rPr>
        <w:t>in the concentration range 0 – 1.0 mg/</w:t>
      </w:r>
      <w:r w:rsidR="003A09E9" w:rsidRPr="00BE43C8">
        <w:rPr>
          <w:rFonts w:ascii="Arial" w:hAnsi="Arial" w:cs="Arial"/>
          <w:color w:val="000000" w:themeColor="text1"/>
          <w:sz w:val="22"/>
          <w:szCs w:val="22"/>
        </w:rPr>
        <w:t>mL</w:t>
      </w:r>
      <w:r w:rsidR="00C96997" w:rsidRPr="00BE43C8">
        <w:rPr>
          <w:rFonts w:ascii="Arial" w:hAnsi="Arial" w:cs="Arial"/>
          <w:color w:val="000000" w:themeColor="text1"/>
          <w:sz w:val="22"/>
          <w:szCs w:val="22"/>
        </w:rPr>
        <w:t>, at notional concentrations of 0, 0.001, 0.0025, 0.005, 0.0075, 0.01, 0.025, 0.05, 0.075, 0.1, 0.25, 0.5, 0.75 and 1.0</w:t>
      </w:r>
      <w:r w:rsidR="003A09E9" w:rsidRPr="00BE43C8">
        <w:rPr>
          <w:rFonts w:ascii="Arial" w:hAnsi="Arial" w:cs="Arial"/>
          <w:color w:val="000000" w:themeColor="text1"/>
          <w:sz w:val="22"/>
          <w:szCs w:val="22"/>
        </w:rPr>
        <w:t xml:space="preserve"> </w:t>
      </w:r>
      <w:r w:rsidR="00C96997" w:rsidRPr="00BE43C8">
        <w:rPr>
          <w:rFonts w:ascii="Arial" w:hAnsi="Arial" w:cs="Arial"/>
          <w:color w:val="000000" w:themeColor="text1"/>
          <w:sz w:val="22"/>
          <w:szCs w:val="22"/>
        </w:rPr>
        <w:t xml:space="preserve">mg/mL </w:t>
      </w:r>
      <w:r w:rsidR="003A09E9" w:rsidRPr="00BE43C8">
        <w:rPr>
          <w:rFonts w:ascii="Arial" w:hAnsi="Arial" w:cs="Arial"/>
          <w:color w:val="000000" w:themeColor="text1"/>
          <w:sz w:val="22"/>
          <w:szCs w:val="22"/>
        </w:rPr>
        <w:t>were prepared.</w:t>
      </w:r>
    </w:p>
    <w:p w14:paraId="6CCBA99C" w14:textId="77777777" w:rsidR="003A09E9" w:rsidRPr="00BE43C8" w:rsidRDefault="003A09E9" w:rsidP="0016122E">
      <w:pPr>
        <w:spacing w:line="360" w:lineRule="auto"/>
        <w:jc w:val="both"/>
        <w:rPr>
          <w:rFonts w:ascii="Arial" w:hAnsi="Arial" w:cs="Arial"/>
          <w:b/>
          <w:color w:val="000000" w:themeColor="text1"/>
          <w:sz w:val="22"/>
          <w:szCs w:val="22"/>
        </w:rPr>
      </w:pPr>
    </w:p>
    <w:p w14:paraId="38DC8662" w14:textId="68CC15CF" w:rsidR="0063532D" w:rsidRPr="00BD688A" w:rsidRDefault="003A09E9" w:rsidP="0016122E">
      <w:pPr>
        <w:spacing w:line="360" w:lineRule="auto"/>
        <w:rPr>
          <w:rFonts w:ascii="Arial" w:hAnsi="Arial" w:cs="Arial"/>
          <w:color w:val="000000" w:themeColor="text1"/>
          <w:sz w:val="22"/>
          <w:szCs w:val="22"/>
          <w:lang w:val="en-US"/>
        </w:rPr>
      </w:pPr>
      <w:r w:rsidRPr="00BE43C8">
        <w:rPr>
          <w:rFonts w:ascii="Arial" w:hAnsi="Arial" w:cs="Arial"/>
          <w:b/>
          <w:color w:val="000000" w:themeColor="text1"/>
          <w:sz w:val="22"/>
          <w:szCs w:val="22"/>
          <w:lang w:val="en-US"/>
        </w:rPr>
        <w:t>2.4</w:t>
      </w:r>
      <w:r w:rsidRPr="00BE43C8">
        <w:rPr>
          <w:rFonts w:ascii="Arial" w:hAnsi="Arial" w:cs="Arial"/>
          <w:b/>
          <w:color w:val="000000" w:themeColor="text1"/>
          <w:sz w:val="22"/>
          <w:szCs w:val="22"/>
          <w:lang w:val="en-US"/>
        </w:rPr>
        <w:tab/>
        <w:t xml:space="preserve">Instrumentation </w:t>
      </w:r>
    </w:p>
    <w:p w14:paraId="786D9D08" w14:textId="698F01C0" w:rsidR="00BD688A" w:rsidRDefault="003A09E9" w:rsidP="0016122E">
      <w:pPr>
        <w:spacing w:line="360" w:lineRule="auto"/>
        <w:jc w:val="both"/>
        <w:rPr>
          <w:rFonts w:ascii="Arial" w:hAnsi="Arial" w:cs="Arial"/>
          <w:color w:val="000000" w:themeColor="text1"/>
          <w:sz w:val="22"/>
          <w:szCs w:val="22"/>
        </w:rPr>
      </w:pPr>
      <w:r w:rsidRPr="00BE43C8">
        <w:rPr>
          <w:rFonts w:ascii="Arial" w:hAnsi="Arial" w:cs="Arial"/>
          <w:color w:val="000000" w:themeColor="text1"/>
          <w:sz w:val="22"/>
          <w:szCs w:val="22"/>
        </w:rPr>
        <w:t>GC-MS analysis was carried out using an Agilent Technologies system (</w:t>
      </w:r>
      <w:proofErr w:type="spellStart"/>
      <w:r w:rsidRPr="00BE43C8">
        <w:rPr>
          <w:rFonts w:ascii="Arial" w:hAnsi="Arial" w:cs="Arial"/>
          <w:color w:val="000000" w:themeColor="text1"/>
          <w:sz w:val="22"/>
          <w:szCs w:val="22"/>
        </w:rPr>
        <w:t>Chemetrix</w:t>
      </w:r>
      <w:proofErr w:type="spellEnd"/>
      <w:r w:rsidRPr="00BE43C8">
        <w:rPr>
          <w:rFonts w:ascii="Arial" w:hAnsi="Arial" w:cs="Arial"/>
          <w:color w:val="000000" w:themeColor="text1"/>
          <w:sz w:val="22"/>
          <w:szCs w:val="22"/>
        </w:rPr>
        <w:t xml:space="preserve">, RSA) consisting of a gas chromatograph (GC), Agilent 7890A, and mass selective (MS) detector (Agilent 5975 CVL MSD) with an auto sampler 7683 B series (1 µL injection). Chromatographic separation was performed </w:t>
      </w:r>
      <w:r w:rsidR="007D557D" w:rsidRPr="00BE43C8">
        <w:rPr>
          <w:rFonts w:ascii="Arial" w:hAnsi="Arial" w:cs="Arial"/>
          <w:color w:val="000000" w:themeColor="text1"/>
          <w:sz w:val="22"/>
          <w:szCs w:val="22"/>
        </w:rPr>
        <w:t xml:space="preserve">using </w:t>
      </w:r>
      <w:r w:rsidRPr="00BE43C8">
        <w:rPr>
          <w:rFonts w:ascii="Arial" w:hAnsi="Arial" w:cs="Arial"/>
          <w:color w:val="000000" w:themeColor="text1"/>
          <w:sz w:val="22"/>
          <w:szCs w:val="22"/>
        </w:rPr>
        <w:t>a computer controlled auto sampler with a fused-silica capillary column HP-5MS (30 m x 0.25 mm</w:t>
      </w:r>
      <w:r w:rsidR="007D557D" w:rsidRPr="00BE43C8">
        <w:rPr>
          <w:rFonts w:ascii="Arial" w:hAnsi="Arial" w:cs="Arial"/>
          <w:color w:val="000000" w:themeColor="text1"/>
          <w:sz w:val="22"/>
          <w:szCs w:val="22"/>
        </w:rPr>
        <w:t xml:space="preserve"> i.d.,</w:t>
      </w:r>
      <w:r w:rsidRPr="00BE43C8">
        <w:rPr>
          <w:rFonts w:ascii="Arial" w:hAnsi="Arial" w:cs="Arial"/>
          <w:color w:val="000000" w:themeColor="text1"/>
          <w:sz w:val="22"/>
          <w:szCs w:val="22"/>
        </w:rPr>
        <w:t xml:space="preserve"> film thickness 0.25 </w:t>
      </w:r>
      <w:proofErr w:type="gramStart"/>
      <w:r w:rsidRPr="00BE43C8">
        <w:rPr>
          <w:rFonts w:ascii="Arial" w:hAnsi="Arial" w:cs="Arial"/>
          <w:color w:val="000000" w:themeColor="text1"/>
          <w:sz w:val="22"/>
          <w:szCs w:val="22"/>
        </w:rPr>
        <w:t>µm;</w:t>
      </w:r>
      <w:proofErr w:type="gramEnd"/>
      <w:r w:rsidRPr="00BE43C8">
        <w:rPr>
          <w:rFonts w:ascii="Arial" w:hAnsi="Arial" w:cs="Arial"/>
          <w:color w:val="000000" w:themeColor="text1"/>
          <w:sz w:val="22"/>
          <w:szCs w:val="22"/>
        </w:rPr>
        <w:t xml:space="preserve"> J&amp;W Scientific, Folsom, CA, USA). </w:t>
      </w:r>
      <w:proofErr w:type="spellStart"/>
      <w:r w:rsidRPr="00BE43C8">
        <w:rPr>
          <w:rFonts w:ascii="Arial" w:hAnsi="Arial" w:cs="Arial"/>
          <w:color w:val="000000" w:themeColor="text1"/>
          <w:sz w:val="22"/>
          <w:szCs w:val="22"/>
        </w:rPr>
        <w:t>Splitless</w:t>
      </w:r>
      <w:proofErr w:type="spellEnd"/>
      <w:r w:rsidRPr="00BE43C8">
        <w:rPr>
          <w:rFonts w:ascii="Arial" w:hAnsi="Arial" w:cs="Arial"/>
          <w:color w:val="000000" w:themeColor="text1"/>
          <w:sz w:val="22"/>
          <w:szCs w:val="22"/>
        </w:rPr>
        <w:t xml:space="preserve"> injection was used at 280 </w:t>
      </w:r>
      <w:proofErr w:type="spellStart"/>
      <w:r w:rsidRPr="00BE43C8">
        <w:rPr>
          <w:rFonts w:ascii="Arial" w:hAnsi="Arial" w:cs="Arial"/>
          <w:color w:val="000000" w:themeColor="text1"/>
          <w:sz w:val="22"/>
          <w:szCs w:val="22"/>
          <w:vertAlign w:val="superscript"/>
        </w:rPr>
        <w:t>o</w:t>
      </w:r>
      <w:r w:rsidRPr="00BE43C8">
        <w:rPr>
          <w:rFonts w:ascii="Arial" w:hAnsi="Arial" w:cs="Arial"/>
          <w:color w:val="000000" w:themeColor="text1"/>
          <w:sz w:val="22"/>
          <w:szCs w:val="22"/>
        </w:rPr>
        <w:t>C.</w:t>
      </w:r>
      <w:proofErr w:type="spellEnd"/>
      <w:r w:rsidRPr="00BE43C8">
        <w:rPr>
          <w:rFonts w:ascii="Arial" w:hAnsi="Arial" w:cs="Arial"/>
          <w:color w:val="000000" w:themeColor="text1"/>
          <w:sz w:val="22"/>
          <w:szCs w:val="22"/>
        </w:rPr>
        <w:t xml:space="preserve">  The GC oven temperature programme consisted of an initial temperature of 100 </w:t>
      </w:r>
      <w:proofErr w:type="spellStart"/>
      <w:r w:rsidRPr="00BE43C8">
        <w:rPr>
          <w:rFonts w:ascii="Arial" w:hAnsi="Arial" w:cs="Arial"/>
          <w:color w:val="000000" w:themeColor="text1"/>
          <w:sz w:val="22"/>
          <w:szCs w:val="22"/>
          <w:vertAlign w:val="superscript"/>
        </w:rPr>
        <w:t>o</w:t>
      </w:r>
      <w:r w:rsidRPr="00BE43C8">
        <w:rPr>
          <w:rFonts w:ascii="Arial" w:hAnsi="Arial" w:cs="Arial"/>
          <w:color w:val="000000" w:themeColor="text1"/>
          <w:sz w:val="22"/>
          <w:szCs w:val="22"/>
        </w:rPr>
        <w:t>C</w:t>
      </w:r>
      <w:proofErr w:type="spellEnd"/>
      <w:r w:rsidRPr="00BE43C8">
        <w:rPr>
          <w:rFonts w:ascii="Arial" w:hAnsi="Arial" w:cs="Arial"/>
          <w:color w:val="000000" w:themeColor="text1"/>
          <w:sz w:val="22"/>
          <w:szCs w:val="22"/>
        </w:rPr>
        <w:t xml:space="preserve"> for 0.4 min, raised to 290 </w:t>
      </w:r>
      <w:proofErr w:type="spellStart"/>
      <w:r w:rsidRPr="00BE43C8">
        <w:rPr>
          <w:rFonts w:ascii="Arial" w:hAnsi="Arial" w:cs="Arial"/>
          <w:color w:val="000000" w:themeColor="text1"/>
          <w:sz w:val="22"/>
          <w:szCs w:val="22"/>
          <w:vertAlign w:val="superscript"/>
        </w:rPr>
        <w:t>o</w:t>
      </w:r>
      <w:r w:rsidRPr="00BE43C8">
        <w:rPr>
          <w:rFonts w:ascii="Arial" w:hAnsi="Arial" w:cs="Arial"/>
          <w:color w:val="000000" w:themeColor="text1"/>
          <w:sz w:val="22"/>
          <w:szCs w:val="22"/>
        </w:rPr>
        <w:t>C</w:t>
      </w:r>
      <w:proofErr w:type="spellEnd"/>
      <w:r w:rsidRPr="00BE43C8">
        <w:rPr>
          <w:rFonts w:ascii="Arial" w:hAnsi="Arial" w:cs="Arial"/>
          <w:color w:val="000000" w:themeColor="text1"/>
          <w:sz w:val="22"/>
          <w:szCs w:val="22"/>
        </w:rPr>
        <w:t xml:space="preserve"> at a rate of 60 </w:t>
      </w:r>
      <w:proofErr w:type="spellStart"/>
      <w:r w:rsidRPr="00BE43C8">
        <w:rPr>
          <w:rFonts w:ascii="Arial" w:hAnsi="Arial" w:cs="Arial"/>
          <w:color w:val="000000" w:themeColor="text1"/>
          <w:sz w:val="22"/>
          <w:szCs w:val="22"/>
          <w:vertAlign w:val="superscript"/>
        </w:rPr>
        <w:t>o</w:t>
      </w:r>
      <w:r w:rsidRPr="00BE43C8">
        <w:rPr>
          <w:rFonts w:ascii="Arial" w:hAnsi="Arial" w:cs="Arial"/>
          <w:color w:val="000000" w:themeColor="text1"/>
          <w:sz w:val="22"/>
          <w:szCs w:val="22"/>
        </w:rPr>
        <w:t>C</w:t>
      </w:r>
      <w:proofErr w:type="spellEnd"/>
      <w:r w:rsidRPr="00BE43C8">
        <w:rPr>
          <w:rFonts w:ascii="Arial" w:hAnsi="Arial" w:cs="Arial"/>
          <w:color w:val="000000" w:themeColor="text1"/>
          <w:sz w:val="22"/>
          <w:szCs w:val="22"/>
        </w:rPr>
        <w:t xml:space="preserve">/min, held at 290 </w:t>
      </w:r>
      <w:proofErr w:type="spellStart"/>
      <w:r w:rsidRPr="00BE43C8">
        <w:rPr>
          <w:rFonts w:ascii="Arial" w:hAnsi="Arial" w:cs="Arial"/>
          <w:color w:val="000000" w:themeColor="text1"/>
          <w:sz w:val="22"/>
          <w:szCs w:val="22"/>
          <w:vertAlign w:val="superscript"/>
        </w:rPr>
        <w:t>o</w:t>
      </w:r>
      <w:r w:rsidRPr="00BE43C8">
        <w:rPr>
          <w:rFonts w:ascii="Arial" w:hAnsi="Arial" w:cs="Arial"/>
          <w:color w:val="000000" w:themeColor="text1"/>
          <w:sz w:val="22"/>
          <w:szCs w:val="22"/>
        </w:rPr>
        <w:t>C</w:t>
      </w:r>
      <w:proofErr w:type="spellEnd"/>
      <w:r w:rsidRPr="00BE43C8">
        <w:rPr>
          <w:rFonts w:ascii="Arial" w:hAnsi="Arial" w:cs="Arial"/>
          <w:color w:val="000000" w:themeColor="text1"/>
          <w:sz w:val="22"/>
          <w:szCs w:val="22"/>
        </w:rPr>
        <w:t xml:space="preserve"> for 2.4 min then raised to reach 316 </w:t>
      </w:r>
      <w:proofErr w:type="spellStart"/>
      <w:r w:rsidRPr="00BE43C8">
        <w:rPr>
          <w:rFonts w:ascii="Arial" w:hAnsi="Arial" w:cs="Arial"/>
          <w:color w:val="000000" w:themeColor="text1"/>
          <w:sz w:val="22"/>
          <w:szCs w:val="22"/>
          <w:vertAlign w:val="superscript"/>
        </w:rPr>
        <w:t>o</w:t>
      </w:r>
      <w:r w:rsidRPr="00BE43C8">
        <w:rPr>
          <w:rFonts w:ascii="Arial" w:hAnsi="Arial" w:cs="Arial"/>
          <w:color w:val="000000" w:themeColor="text1"/>
          <w:sz w:val="22"/>
          <w:szCs w:val="22"/>
        </w:rPr>
        <w:t>C</w:t>
      </w:r>
      <w:proofErr w:type="spellEnd"/>
      <w:r w:rsidRPr="00BE43C8">
        <w:rPr>
          <w:rFonts w:ascii="Arial" w:hAnsi="Arial" w:cs="Arial"/>
          <w:color w:val="000000" w:themeColor="text1"/>
          <w:sz w:val="22"/>
          <w:szCs w:val="22"/>
        </w:rPr>
        <w:t xml:space="preserve"> at 60 </w:t>
      </w:r>
      <w:proofErr w:type="spellStart"/>
      <w:r w:rsidRPr="00BE43C8">
        <w:rPr>
          <w:rFonts w:ascii="Arial" w:hAnsi="Arial" w:cs="Arial"/>
          <w:color w:val="000000" w:themeColor="text1"/>
          <w:sz w:val="22"/>
          <w:szCs w:val="22"/>
          <w:vertAlign w:val="superscript"/>
        </w:rPr>
        <w:t>o</w:t>
      </w:r>
      <w:r w:rsidRPr="00BE43C8">
        <w:rPr>
          <w:rFonts w:ascii="Arial" w:hAnsi="Arial" w:cs="Arial"/>
          <w:color w:val="000000" w:themeColor="text1"/>
          <w:sz w:val="22"/>
          <w:szCs w:val="22"/>
        </w:rPr>
        <w:t>C</w:t>
      </w:r>
      <w:proofErr w:type="spellEnd"/>
      <w:r w:rsidRPr="00BE43C8">
        <w:rPr>
          <w:rFonts w:ascii="Arial" w:hAnsi="Arial" w:cs="Arial"/>
          <w:color w:val="000000" w:themeColor="text1"/>
          <w:sz w:val="22"/>
          <w:szCs w:val="22"/>
        </w:rPr>
        <w:t xml:space="preserve">/min and held for </w:t>
      </w:r>
      <w:r w:rsidRPr="00BE43C8">
        <w:rPr>
          <w:rFonts w:ascii="Arial" w:hAnsi="Arial" w:cs="Arial"/>
          <w:color w:val="000000" w:themeColor="text1"/>
          <w:sz w:val="22"/>
          <w:szCs w:val="22"/>
        </w:rPr>
        <w:lastRenderedPageBreak/>
        <w:t xml:space="preserve">3 min. The total run time was 9.40 minutes.  High-purity helium (99.9995%) was used as the carrier gas, at flow rate of 1 mL/min. The MS parameters used was performed as follows: the interface temperature </w:t>
      </w:r>
      <w:r w:rsidR="007D557D" w:rsidRPr="00BE43C8">
        <w:rPr>
          <w:rFonts w:ascii="Arial" w:hAnsi="Arial" w:cs="Arial"/>
          <w:color w:val="000000" w:themeColor="text1"/>
          <w:sz w:val="22"/>
          <w:szCs w:val="22"/>
        </w:rPr>
        <w:t xml:space="preserve">was </w:t>
      </w:r>
      <w:r w:rsidRPr="00BE43C8">
        <w:rPr>
          <w:rFonts w:ascii="Arial" w:hAnsi="Arial" w:cs="Arial"/>
          <w:color w:val="000000" w:themeColor="text1"/>
          <w:sz w:val="22"/>
          <w:szCs w:val="22"/>
        </w:rPr>
        <w:t xml:space="preserve">280 </w:t>
      </w:r>
      <w:proofErr w:type="spellStart"/>
      <w:r w:rsidRPr="00BE43C8">
        <w:rPr>
          <w:rFonts w:ascii="Arial" w:hAnsi="Arial" w:cs="Arial"/>
          <w:color w:val="000000" w:themeColor="text1"/>
          <w:sz w:val="22"/>
          <w:szCs w:val="22"/>
          <w:vertAlign w:val="superscript"/>
        </w:rPr>
        <w:t>o</w:t>
      </w:r>
      <w:r w:rsidRPr="00BE43C8">
        <w:rPr>
          <w:rFonts w:ascii="Arial" w:hAnsi="Arial" w:cs="Arial"/>
          <w:color w:val="000000" w:themeColor="text1"/>
          <w:sz w:val="22"/>
          <w:szCs w:val="22"/>
        </w:rPr>
        <w:t>C</w:t>
      </w:r>
      <w:proofErr w:type="spellEnd"/>
      <w:r w:rsidRPr="00BE43C8">
        <w:rPr>
          <w:rFonts w:ascii="Arial" w:hAnsi="Arial" w:cs="Arial"/>
          <w:color w:val="000000" w:themeColor="text1"/>
          <w:sz w:val="22"/>
          <w:szCs w:val="22"/>
        </w:rPr>
        <w:t>, the inlet temperature</w:t>
      </w:r>
      <w:r w:rsidR="007D557D" w:rsidRPr="00BE43C8">
        <w:rPr>
          <w:rFonts w:ascii="Arial" w:hAnsi="Arial" w:cs="Arial"/>
          <w:color w:val="000000" w:themeColor="text1"/>
          <w:sz w:val="22"/>
          <w:szCs w:val="22"/>
        </w:rPr>
        <w:t xml:space="preserve"> </w:t>
      </w:r>
      <w:r w:rsidRPr="00BE43C8">
        <w:rPr>
          <w:rFonts w:ascii="Arial" w:hAnsi="Arial" w:cs="Arial"/>
          <w:color w:val="000000" w:themeColor="text1"/>
          <w:sz w:val="22"/>
          <w:szCs w:val="22"/>
        </w:rPr>
        <w:t xml:space="preserve">250 </w:t>
      </w:r>
      <w:proofErr w:type="spellStart"/>
      <w:r w:rsidRPr="00BE43C8">
        <w:rPr>
          <w:rFonts w:ascii="Arial" w:hAnsi="Arial" w:cs="Arial"/>
          <w:color w:val="000000" w:themeColor="text1"/>
          <w:sz w:val="22"/>
          <w:szCs w:val="22"/>
          <w:vertAlign w:val="superscript"/>
        </w:rPr>
        <w:t>o</w:t>
      </w:r>
      <w:r w:rsidRPr="00BE43C8">
        <w:rPr>
          <w:rFonts w:ascii="Arial" w:hAnsi="Arial" w:cs="Arial"/>
          <w:color w:val="000000" w:themeColor="text1"/>
          <w:sz w:val="22"/>
          <w:szCs w:val="22"/>
        </w:rPr>
        <w:t>C</w:t>
      </w:r>
      <w:proofErr w:type="spellEnd"/>
      <w:r w:rsidRPr="00BE43C8">
        <w:rPr>
          <w:rFonts w:ascii="Arial" w:hAnsi="Arial" w:cs="Arial"/>
          <w:color w:val="000000" w:themeColor="text1"/>
          <w:sz w:val="22"/>
          <w:szCs w:val="22"/>
        </w:rPr>
        <w:t>, the ion-source temperature</w:t>
      </w:r>
      <w:r w:rsidR="007D557D" w:rsidRPr="00BE43C8">
        <w:rPr>
          <w:rFonts w:ascii="Arial" w:hAnsi="Arial" w:cs="Arial"/>
          <w:color w:val="000000" w:themeColor="text1"/>
          <w:sz w:val="22"/>
          <w:szCs w:val="22"/>
        </w:rPr>
        <w:t xml:space="preserve"> </w:t>
      </w:r>
      <w:r w:rsidRPr="00BE43C8">
        <w:rPr>
          <w:rFonts w:ascii="Arial" w:hAnsi="Arial" w:cs="Arial"/>
          <w:color w:val="000000" w:themeColor="text1"/>
          <w:sz w:val="22"/>
          <w:szCs w:val="22"/>
        </w:rPr>
        <w:t xml:space="preserve">230 </w:t>
      </w:r>
      <w:proofErr w:type="spellStart"/>
      <w:r w:rsidRPr="00BE43C8">
        <w:rPr>
          <w:rFonts w:ascii="Arial" w:hAnsi="Arial" w:cs="Arial"/>
          <w:color w:val="000000" w:themeColor="text1"/>
          <w:sz w:val="22"/>
          <w:szCs w:val="22"/>
          <w:vertAlign w:val="superscript"/>
        </w:rPr>
        <w:t>o</w:t>
      </w:r>
      <w:r w:rsidRPr="00BE43C8">
        <w:rPr>
          <w:rFonts w:ascii="Arial" w:hAnsi="Arial" w:cs="Arial"/>
          <w:color w:val="000000" w:themeColor="text1"/>
          <w:sz w:val="22"/>
          <w:szCs w:val="22"/>
        </w:rPr>
        <w:t>C</w:t>
      </w:r>
      <w:proofErr w:type="spellEnd"/>
      <w:r w:rsidRPr="00BE43C8">
        <w:rPr>
          <w:rFonts w:ascii="Arial" w:hAnsi="Arial" w:cs="Arial"/>
          <w:color w:val="000000" w:themeColor="text1"/>
          <w:sz w:val="22"/>
          <w:szCs w:val="22"/>
        </w:rPr>
        <w:t xml:space="preserve">, electron ionization (EI) </w:t>
      </w:r>
      <w:r w:rsidR="007D557D" w:rsidRPr="00BE43C8">
        <w:rPr>
          <w:rFonts w:ascii="Arial" w:hAnsi="Arial" w:cs="Arial"/>
          <w:color w:val="000000" w:themeColor="text1"/>
          <w:sz w:val="22"/>
          <w:szCs w:val="22"/>
        </w:rPr>
        <w:t xml:space="preserve">was achieved with a source voltage of </w:t>
      </w:r>
      <w:r w:rsidRPr="00BE43C8">
        <w:rPr>
          <w:rFonts w:ascii="Arial" w:hAnsi="Arial" w:cs="Arial"/>
          <w:color w:val="000000" w:themeColor="text1"/>
          <w:sz w:val="22"/>
          <w:szCs w:val="22"/>
        </w:rPr>
        <w:t xml:space="preserve">70 eV and the mass spectrometer (quadrupole) </w:t>
      </w:r>
      <w:r w:rsidR="007D557D" w:rsidRPr="00BE43C8">
        <w:rPr>
          <w:rFonts w:ascii="Arial" w:hAnsi="Arial" w:cs="Arial"/>
          <w:color w:val="000000" w:themeColor="text1"/>
          <w:sz w:val="22"/>
          <w:szCs w:val="22"/>
        </w:rPr>
        <w:t xml:space="preserve">was </w:t>
      </w:r>
      <w:r w:rsidRPr="00BE43C8">
        <w:rPr>
          <w:rFonts w:ascii="Arial" w:hAnsi="Arial" w:cs="Arial"/>
          <w:color w:val="000000" w:themeColor="text1"/>
          <w:sz w:val="22"/>
          <w:szCs w:val="22"/>
        </w:rPr>
        <w:t>used in scan mode. The spectra were recorded in the scan range</w:t>
      </w:r>
      <w:r w:rsidR="007D557D" w:rsidRPr="00BE43C8">
        <w:rPr>
          <w:rFonts w:ascii="Arial" w:hAnsi="Arial" w:cs="Arial"/>
          <w:color w:val="000000" w:themeColor="text1"/>
          <w:sz w:val="22"/>
          <w:szCs w:val="22"/>
        </w:rPr>
        <w:t xml:space="preserve"> </w:t>
      </w:r>
      <w:r w:rsidRPr="00BE43C8">
        <w:rPr>
          <w:rFonts w:ascii="Arial" w:hAnsi="Arial" w:cs="Arial"/>
          <w:color w:val="000000" w:themeColor="text1"/>
          <w:sz w:val="22"/>
          <w:szCs w:val="22"/>
        </w:rPr>
        <w:t>(m/z)</w:t>
      </w:r>
      <w:r w:rsidR="007D557D" w:rsidRPr="00BE43C8">
        <w:rPr>
          <w:rFonts w:ascii="Arial" w:hAnsi="Arial" w:cs="Arial"/>
          <w:color w:val="000000" w:themeColor="text1"/>
          <w:sz w:val="22"/>
          <w:szCs w:val="22"/>
        </w:rPr>
        <w:t xml:space="preserve"> </w:t>
      </w:r>
      <w:r w:rsidRPr="00BE43C8">
        <w:rPr>
          <w:rFonts w:ascii="Arial" w:hAnsi="Arial" w:cs="Arial"/>
          <w:color w:val="000000" w:themeColor="text1"/>
          <w:sz w:val="22"/>
          <w:szCs w:val="22"/>
        </w:rPr>
        <w:t xml:space="preserve">35 to 550 amu, at a scan </w:t>
      </w:r>
      <w:r w:rsidR="007D557D" w:rsidRPr="00BE43C8">
        <w:rPr>
          <w:rFonts w:ascii="Arial" w:hAnsi="Arial" w:cs="Arial"/>
          <w:color w:val="000000" w:themeColor="text1"/>
          <w:sz w:val="22"/>
          <w:szCs w:val="22"/>
        </w:rPr>
        <w:t xml:space="preserve">rate </w:t>
      </w:r>
      <w:r w:rsidRPr="00BE43C8">
        <w:rPr>
          <w:rFonts w:ascii="Arial" w:hAnsi="Arial" w:cs="Arial"/>
          <w:color w:val="000000" w:themeColor="text1"/>
          <w:sz w:val="22"/>
          <w:szCs w:val="22"/>
        </w:rPr>
        <w:t xml:space="preserve">of 1 scan/sec.  </w:t>
      </w:r>
    </w:p>
    <w:p w14:paraId="2E430775" w14:textId="77777777" w:rsidR="00A31154" w:rsidRDefault="00A31154" w:rsidP="0016122E">
      <w:pPr>
        <w:spacing w:line="360" w:lineRule="auto"/>
        <w:jc w:val="both"/>
        <w:rPr>
          <w:rFonts w:ascii="Arial" w:hAnsi="Arial" w:cs="Arial"/>
          <w:color w:val="000000" w:themeColor="text1"/>
          <w:sz w:val="22"/>
          <w:szCs w:val="22"/>
        </w:rPr>
      </w:pPr>
    </w:p>
    <w:p w14:paraId="5701A449" w14:textId="202E3F42" w:rsidR="00113A45" w:rsidRPr="00BE43C8" w:rsidRDefault="00113A45" w:rsidP="0016122E">
      <w:pPr>
        <w:spacing w:line="360" w:lineRule="auto"/>
        <w:rPr>
          <w:rFonts w:ascii="Arial" w:hAnsi="Arial" w:cs="Arial"/>
          <w:b/>
          <w:bCs/>
          <w:color w:val="000000" w:themeColor="text1"/>
          <w:sz w:val="22"/>
          <w:szCs w:val="22"/>
        </w:rPr>
      </w:pPr>
      <w:r w:rsidRPr="00BE43C8">
        <w:rPr>
          <w:rFonts w:ascii="Arial" w:hAnsi="Arial" w:cs="Arial"/>
          <w:b/>
          <w:bCs/>
          <w:color w:val="000000" w:themeColor="text1"/>
          <w:sz w:val="22"/>
          <w:szCs w:val="22"/>
        </w:rPr>
        <w:t>2.5 Method validation.</w:t>
      </w:r>
    </w:p>
    <w:p w14:paraId="30420968" w14:textId="41A084EF" w:rsidR="00861B41" w:rsidRPr="00BE43C8" w:rsidRDefault="00113A45" w:rsidP="0016122E">
      <w:pPr>
        <w:spacing w:line="360" w:lineRule="auto"/>
        <w:jc w:val="both"/>
        <w:rPr>
          <w:rFonts w:ascii="Arial" w:hAnsi="Arial" w:cs="Arial"/>
          <w:color w:val="000000" w:themeColor="text1"/>
          <w:sz w:val="22"/>
          <w:szCs w:val="22"/>
        </w:rPr>
      </w:pPr>
      <w:r w:rsidRPr="00BE43C8">
        <w:rPr>
          <w:rFonts w:ascii="Arial" w:hAnsi="Arial" w:cs="Arial"/>
          <w:color w:val="000000" w:themeColor="text1"/>
          <w:sz w:val="22"/>
          <w:szCs w:val="22"/>
        </w:rPr>
        <w:t>The method was validated by determining the precision of the retention index of each compound, the linearity of detector response, the limit of detection (LOD) and of quantitation (LOQ)</w:t>
      </w:r>
      <w:r w:rsidR="00CA4177" w:rsidRPr="00BE43C8">
        <w:rPr>
          <w:rFonts w:ascii="Arial" w:hAnsi="Arial" w:cs="Arial"/>
          <w:color w:val="000000" w:themeColor="text1"/>
          <w:sz w:val="22"/>
          <w:szCs w:val="22"/>
        </w:rPr>
        <w:t>,</w:t>
      </w:r>
      <w:r w:rsidR="00CA4177" w:rsidRPr="0015368A">
        <w:rPr>
          <w:rFonts w:ascii="Arial" w:hAnsi="Arial" w:cs="Arial"/>
          <w:color w:val="000000" w:themeColor="text1"/>
          <w:sz w:val="22"/>
          <w:szCs w:val="22"/>
        </w:rPr>
        <w:t xml:space="preserve"> </w:t>
      </w:r>
      <w:r w:rsidR="00861B41" w:rsidRPr="0015368A">
        <w:rPr>
          <w:rFonts w:ascii="Arial" w:hAnsi="Arial" w:cs="Arial"/>
          <w:color w:val="000000" w:themeColor="text1"/>
          <w:sz w:val="22"/>
          <w:szCs w:val="22"/>
        </w:rPr>
        <w:t>repeatability</w:t>
      </w:r>
      <w:r w:rsidR="007C50FE" w:rsidRPr="0015368A">
        <w:rPr>
          <w:rFonts w:ascii="Arial" w:hAnsi="Arial" w:cs="Arial"/>
          <w:color w:val="000000" w:themeColor="text1"/>
          <w:sz w:val="22"/>
          <w:szCs w:val="22"/>
        </w:rPr>
        <w:t xml:space="preserve"> </w:t>
      </w:r>
      <w:r w:rsidR="00DC0B34" w:rsidRPr="0015368A">
        <w:rPr>
          <w:rFonts w:ascii="Arial" w:hAnsi="Arial" w:cs="Arial"/>
          <w:color w:val="000000" w:themeColor="text1"/>
          <w:sz w:val="22"/>
          <w:szCs w:val="22"/>
        </w:rPr>
        <w:t>and</w:t>
      </w:r>
      <w:r w:rsidR="007C50FE" w:rsidRPr="0015368A">
        <w:rPr>
          <w:rFonts w:ascii="Arial" w:hAnsi="Arial" w:cs="Arial"/>
          <w:color w:val="000000" w:themeColor="text1"/>
          <w:sz w:val="22"/>
          <w:szCs w:val="22"/>
        </w:rPr>
        <w:t xml:space="preserve"> </w:t>
      </w:r>
      <w:r w:rsidR="00DC0B34" w:rsidRPr="0015368A">
        <w:rPr>
          <w:rFonts w:ascii="Arial" w:hAnsi="Arial" w:cs="Arial"/>
          <w:color w:val="000000" w:themeColor="text1"/>
          <w:sz w:val="22"/>
          <w:szCs w:val="22"/>
        </w:rPr>
        <w:t xml:space="preserve">the </w:t>
      </w:r>
      <w:r w:rsidR="007C50FE" w:rsidRPr="0015368A">
        <w:rPr>
          <w:rFonts w:ascii="Arial" w:hAnsi="Arial" w:cs="Arial"/>
          <w:color w:val="000000" w:themeColor="text1"/>
          <w:sz w:val="22"/>
          <w:szCs w:val="22"/>
        </w:rPr>
        <w:t>reproducibility</w:t>
      </w:r>
      <w:r w:rsidR="00007F0E" w:rsidRPr="0015368A">
        <w:rPr>
          <w:rFonts w:ascii="Arial" w:hAnsi="Arial" w:cs="Arial"/>
          <w:color w:val="000000" w:themeColor="text1"/>
          <w:sz w:val="22"/>
          <w:szCs w:val="22"/>
        </w:rPr>
        <w:t xml:space="preserve"> </w:t>
      </w:r>
      <w:r w:rsidR="008E46CD" w:rsidRPr="0015368A">
        <w:rPr>
          <w:rFonts w:ascii="Arial" w:hAnsi="Arial" w:cs="Arial"/>
          <w:color w:val="000000" w:themeColor="text1"/>
          <w:sz w:val="22"/>
          <w:szCs w:val="22"/>
        </w:rPr>
        <w:t xml:space="preserve">of the </w:t>
      </w:r>
      <w:r w:rsidR="008E46CD" w:rsidRPr="00BE43C8">
        <w:rPr>
          <w:rFonts w:ascii="Arial" w:hAnsi="Arial" w:cs="Arial"/>
          <w:color w:val="000000" w:themeColor="text1"/>
          <w:sz w:val="22"/>
          <w:szCs w:val="22"/>
        </w:rPr>
        <w:t>measurements</w:t>
      </w:r>
      <w:r w:rsidR="002832A9">
        <w:rPr>
          <w:rFonts w:ascii="Arial" w:hAnsi="Arial" w:cs="Arial"/>
          <w:color w:val="000000" w:themeColor="text1"/>
          <w:sz w:val="22"/>
          <w:szCs w:val="22"/>
          <w:vertAlign w:val="superscript"/>
        </w:rPr>
        <w:t>14,15</w:t>
      </w:r>
      <w:r w:rsidR="00861B41" w:rsidRPr="00BE43C8">
        <w:rPr>
          <w:rFonts w:ascii="Arial" w:hAnsi="Arial" w:cs="Arial"/>
          <w:color w:val="000000" w:themeColor="text1"/>
          <w:sz w:val="22"/>
          <w:szCs w:val="22"/>
        </w:rPr>
        <w:t>.</w:t>
      </w:r>
      <w:r w:rsidR="00007F0E" w:rsidRPr="00BE43C8">
        <w:rPr>
          <w:rFonts w:ascii="Arial" w:hAnsi="Arial" w:cs="Arial"/>
          <w:color w:val="000000" w:themeColor="text1"/>
          <w:sz w:val="22"/>
          <w:szCs w:val="22"/>
        </w:rPr>
        <w:t xml:space="preserve"> </w:t>
      </w:r>
      <w:r w:rsidR="00861B41" w:rsidRPr="00BE43C8">
        <w:rPr>
          <w:rFonts w:ascii="Arial" w:hAnsi="Arial" w:cs="Arial"/>
          <w:color w:val="000000" w:themeColor="text1"/>
          <w:sz w:val="22"/>
          <w:szCs w:val="22"/>
        </w:rPr>
        <w:t>The precision of the retention index was obtained for each compound (</w:t>
      </w:r>
      <w:r w:rsidR="007D557D" w:rsidRPr="00BE43C8">
        <w:rPr>
          <w:rFonts w:ascii="Arial" w:hAnsi="Arial" w:cs="Arial"/>
          <w:color w:val="000000" w:themeColor="text1"/>
          <w:sz w:val="22"/>
          <w:szCs w:val="22"/>
        </w:rPr>
        <w:t xml:space="preserve">phenacetin, caffeine, efavirenz, nevirapine, </w:t>
      </w:r>
      <w:r w:rsidR="007D557D" w:rsidRPr="00BE43C8">
        <w:rPr>
          <w:rFonts w:ascii="Arial" w:hAnsi="Arial" w:cs="Arial"/>
          <w:color w:val="000000" w:themeColor="text1"/>
          <w:sz w:val="22"/>
          <w:szCs w:val="22"/>
          <w:lang w:val="en-US"/>
        </w:rPr>
        <w:t>Δ</w:t>
      </w:r>
      <w:r w:rsidR="007D557D" w:rsidRPr="00BE43C8">
        <w:rPr>
          <w:rFonts w:ascii="Arial" w:hAnsi="Arial" w:cs="Arial"/>
          <w:color w:val="000000" w:themeColor="text1"/>
          <w:sz w:val="22"/>
          <w:szCs w:val="22"/>
          <w:vertAlign w:val="superscript"/>
          <w:lang w:val="en-US"/>
        </w:rPr>
        <w:t>9</w:t>
      </w:r>
      <w:r w:rsidR="007D557D" w:rsidRPr="00BE43C8">
        <w:rPr>
          <w:rFonts w:ascii="Arial" w:hAnsi="Arial" w:cs="Arial"/>
          <w:color w:val="000000" w:themeColor="text1"/>
          <w:sz w:val="22"/>
          <w:szCs w:val="22"/>
          <w:lang w:val="en-US"/>
        </w:rPr>
        <w:t>-THC and diamorphine</w:t>
      </w:r>
      <w:r w:rsidR="00861B41" w:rsidRPr="00BE43C8">
        <w:rPr>
          <w:rFonts w:ascii="Arial" w:hAnsi="Arial" w:cs="Arial"/>
          <w:color w:val="000000" w:themeColor="text1"/>
          <w:sz w:val="22"/>
          <w:szCs w:val="22"/>
        </w:rPr>
        <w:t>) by calculating the mean, standard deviation and relative standard deviation of the re</w:t>
      </w:r>
      <w:r w:rsidR="000F7A29" w:rsidRPr="00BE43C8">
        <w:rPr>
          <w:rFonts w:ascii="Arial" w:hAnsi="Arial" w:cs="Arial"/>
          <w:color w:val="000000" w:themeColor="text1"/>
          <w:sz w:val="22"/>
          <w:szCs w:val="22"/>
        </w:rPr>
        <w:t>te</w:t>
      </w:r>
      <w:r w:rsidR="00861B41" w:rsidRPr="00BE43C8">
        <w:rPr>
          <w:rFonts w:ascii="Arial" w:hAnsi="Arial" w:cs="Arial"/>
          <w:color w:val="000000" w:themeColor="text1"/>
          <w:sz w:val="22"/>
          <w:szCs w:val="22"/>
        </w:rPr>
        <w:t>ntion index</w:t>
      </w:r>
      <w:r w:rsidR="007D557D" w:rsidRPr="00BE43C8">
        <w:rPr>
          <w:rFonts w:ascii="Arial" w:hAnsi="Arial" w:cs="Arial"/>
          <w:color w:val="000000" w:themeColor="text1"/>
          <w:sz w:val="22"/>
          <w:szCs w:val="22"/>
        </w:rPr>
        <w:t>, relative to tetracosane,</w:t>
      </w:r>
      <w:r w:rsidR="00861B41" w:rsidRPr="00BE43C8">
        <w:rPr>
          <w:rFonts w:ascii="Arial" w:hAnsi="Arial" w:cs="Arial"/>
          <w:color w:val="000000" w:themeColor="text1"/>
          <w:sz w:val="22"/>
          <w:szCs w:val="22"/>
        </w:rPr>
        <w:t xml:space="preserve"> for 10 replicate analyses.</w:t>
      </w:r>
    </w:p>
    <w:p w14:paraId="6F80693C" w14:textId="77777777" w:rsidR="008E46CD" w:rsidRPr="00BE43C8" w:rsidRDefault="008E46CD" w:rsidP="0016122E">
      <w:pPr>
        <w:spacing w:line="360" w:lineRule="auto"/>
        <w:rPr>
          <w:rFonts w:ascii="Arial" w:hAnsi="Arial" w:cs="Arial"/>
          <w:color w:val="000000" w:themeColor="text1"/>
          <w:sz w:val="22"/>
          <w:szCs w:val="22"/>
        </w:rPr>
      </w:pPr>
    </w:p>
    <w:p w14:paraId="65C7694D" w14:textId="4A6F0DC0" w:rsidR="00113A45" w:rsidRPr="00BE43C8" w:rsidRDefault="00113A45" w:rsidP="00756E90">
      <w:pPr>
        <w:spacing w:line="360" w:lineRule="auto"/>
        <w:jc w:val="both"/>
        <w:rPr>
          <w:rFonts w:ascii="Arial" w:hAnsi="Arial" w:cs="Arial"/>
          <w:color w:val="000000" w:themeColor="text1"/>
          <w:sz w:val="22"/>
          <w:szCs w:val="22"/>
        </w:rPr>
      </w:pPr>
      <w:r w:rsidRPr="00BE43C8">
        <w:rPr>
          <w:rFonts w:ascii="Arial" w:hAnsi="Arial" w:cs="Arial"/>
          <w:color w:val="000000" w:themeColor="text1"/>
          <w:sz w:val="22"/>
          <w:szCs w:val="22"/>
        </w:rPr>
        <w:t>Linearity of the d</w:t>
      </w:r>
      <w:r w:rsidR="00197BBC" w:rsidRPr="00BE43C8">
        <w:rPr>
          <w:rFonts w:ascii="Arial" w:hAnsi="Arial" w:cs="Arial"/>
          <w:color w:val="000000" w:themeColor="text1"/>
          <w:sz w:val="22"/>
          <w:szCs w:val="22"/>
        </w:rPr>
        <w:t xml:space="preserve">etector response to </w:t>
      </w:r>
      <w:r w:rsidR="003172E3" w:rsidRPr="00BE43C8">
        <w:rPr>
          <w:rFonts w:ascii="Arial" w:hAnsi="Arial" w:cs="Arial"/>
          <w:color w:val="000000" w:themeColor="text1"/>
          <w:sz w:val="22"/>
          <w:szCs w:val="22"/>
        </w:rPr>
        <w:t>the exemplar drugs</w:t>
      </w:r>
      <w:r w:rsidR="007D557D" w:rsidRPr="00BE43C8" w:rsidDel="007D557D">
        <w:rPr>
          <w:rFonts w:ascii="Arial" w:hAnsi="Arial" w:cs="Arial"/>
          <w:color w:val="000000" w:themeColor="text1"/>
          <w:sz w:val="22"/>
          <w:szCs w:val="22"/>
        </w:rPr>
        <w:t xml:space="preserve"> </w:t>
      </w:r>
      <w:r w:rsidRPr="00BE43C8">
        <w:rPr>
          <w:rFonts w:ascii="Arial" w:hAnsi="Arial" w:cs="Arial"/>
          <w:color w:val="000000" w:themeColor="text1"/>
          <w:sz w:val="22"/>
          <w:szCs w:val="22"/>
        </w:rPr>
        <w:t>was determined by</w:t>
      </w:r>
      <w:r w:rsidR="003713B0" w:rsidRPr="00BE43C8">
        <w:rPr>
          <w:rFonts w:ascii="Arial" w:hAnsi="Arial" w:cs="Arial"/>
          <w:color w:val="000000" w:themeColor="text1"/>
          <w:sz w:val="22"/>
          <w:szCs w:val="22"/>
        </w:rPr>
        <w:t xml:space="preserve"> preparation of calibration curves for samples in the concentration range 0.00 – 1.00 mg/</w:t>
      </w:r>
      <w:proofErr w:type="spellStart"/>
      <w:r w:rsidR="003713B0" w:rsidRPr="00BE43C8">
        <w:rPr>
          <w:rFonts w:ascii="Arial" w:hAnsi="Arial" w:cs="Arial"/>
          <w:color w:val="000000" w:themeColor="text1"/>
          <w:sz w:val="22"/>
          <w:szCs w:val="22"/>
        </w:rPr>
        <w:t>mL.</w:t>
      </w:r>
      <w:proofErr w:type="spellEnd"/>
      <w:r w:rsidR="003713B0" w:rsidRPr="00BE43C8">
        <w:rPr>
          <w:rFonts w:ascii="Arial" w:hAnsi="Arial" w:cs="Arial"/>
          <w:color w:val="000000" w:themeColor="text1"/>
          <w:sz w:val="22"/>
          <w:szCs w:val="22"/>
        </w:rPr>
        <w:t xml:space="preserve"> The regression equations for detector response relative to the internal standard, the value of R</w:t>
      </w:r>
      <w:r w:rsidR="003713B0" w:rsidRPr="00BE43C8">
        <w:rPr>
          <w:rFonts w:ascii="Arial" w:hAnsi="Arial" w:cs="Arial"/>
          <w:color w:val="000000" w:themeColor="text1"/>
          <w:sz w:val="22"/>
          <w:szCs w:val="22"/>
          <w:vertAlign w:val="superscript"/>
        </w:rPr>
        <w:t>2</w:t>
      </w:r>
      <w:r w:rsidR="003713B0" w:rsidRPr="00BE43C8">
        <w:rPr>
          <w:rFonts w:ascii="Arial" w:hAnsi="Arial" w:cs="Arial"/>
          <w:color w:val="000000" w:themeColor="text1"/>
          <w:sz w:val="22"/>
          <w:szCs w:val="22"/>
        </w:rPr>
        <w:t xml:space="preserve"> and residual plot analysis was used to confirm linearity of detector response.</w:t>
      </w:r>
    </w:p>
    <w:p w14:paraId="68E687C8" w14:textId="3CD3F9BE" w:rsidR="008E46CD" w:rsidRPr="00BE43C8" w:rsidRDefault="007D557D" w:rsidP="0016122E">
      <w:pPr>
        <w:spacing w:line="360" w:lineRule="auto"/>
        <w:jc w:val="both"/>
        <w:rPr>
          <w:rFonts w:ascii="Arial" w:hAnsi="Arial" w:cs="Arial"/>
          <w:color w:val="000000" w:themeColor="text1"/>
          <w:sz w:val="22"/>
          <w:szCs w:val="22"/>
        </w:rPr>
      </w:pPr>
      <w:r w:rsidRPr="00BE43C8">
        <w:rPr>
          <w:rFonts w:ascii="Arial" w:hAnsi="Arial" w:cs="Arial"/>
          <w:color w:val="000000" w:themeColor="text1"/>
          <w:sz w:val="22"/>
          <w:szCs w:val="22"/>
        </w:rPr>
        <w:t>Limit of detection (</w:t>
      </w:r>
      <w:r w:rsidR="00113A45" w:rsidRPr="00BE43C8">
        <w:rPr>
          <w:rFonts w:ascii="Arial" w:hAnsi="Arial" w:cs="Arial"/>
          <w:color w:val="000000" w:themeColor="text1"/>
          <w:sz w:val="22"/>
          <w:szCs w:val="22"/>
        </w:rPr>
        <w:t>LOD</w:t>
      </w:r>
      <w:r w:rsidRPr="00BE43C8">
        <w:rPr>
          <w:rFonts w:ascii="Arial" w:hAnsi="Arial" w:cs="Arial"/>
          <w:color w:val="000000" w:themeColor="text1"/>
          <w:sz w:val="22"/>
          <w:szCs w:val="22"/>
        </w:rPr>
        <w:t>)</w:t>
      </w:r>
      <w:r w:rsidR="00113A45" w:rsidRPr="00BE43C8">
        <w:rPr>
          <w:rFonts w:ascii="Arial" w:hAnsi="Arial" w:cs="Arial"/>
          <w:color w:val="000000" w:themeColor="text1"/>
          <w:sz w:val="22"/>
          <w:szCs w:val="22"/>
        </w:rPr>
        <w:t xml:space="preserve"> and </w:t>
      </w:r>
      <w:r w:rsidRPr="00BE43C8">
        <w:rPr>
          <w:rFonts w:ascii="Arial" w:hAnsi="Arial" w:cs="Arial"/>
          <w:color w:val="000000" w:themeColor="text1"/>
          <w:sz w:val="22"/>
          <w:szCs w:val="22"/>
        </w:rPr>
        <w:t>limit of quantitation (</w:t>
      </w:r>
      <w:r w:rsidR="00113A45" w:rsidRPr="00BE43C8">
        <w:rPr>
          <w:rFonts w:ascii="Arial" w:hAnsi="Arial" w:cs="Arial"/>
          <w:color w:val="000000" w:themeColor="text1"/>
          <w:sz w:val="22"/>
          <w:szCs w:val="22"/>
        </w:rPr>
        <w:t>LOQ</w:t>
      </w:r>
      <w:r w:rsidRPr="00BE43C8">
        <w:rPr>
          <w:rFonts w:ascii="Arial" w:hAnsi="Arial" w:cs="Arial"/>
          <w:color w:val="000000" w:themeColor="text1"/>
          <w:sz w:val="22"/>
          <w:szCs w:val="22"/>
        </w:rPr>
        <w:t>)</w:t>
      </w:r>
      <w:r w:rsidR="00113A45" w:rsidRPr="00BE43C8">
        <w:rPr>
          <w:rFonts w:ascii="Arial" w:hAnsi="Arial" w:cs="Arial"/>
          <w:color w:val="000000" w:themeColor="text1"/>
          <w:sz w:val="22"/>
          <w:szCs w:val="22"/>
        </w:rPr>
        <w:t xml:space="preserve"> were determined </w:t>
      </w:r>
      <w:r w:rsidR="008E46CD" w:rsidRPr="00BE43C8">
        <w:rPr>
          <w:rFonts w:ascii="Arial" w:hAnsi="Arial" w:cs="Arial"/>
          <w:color w:val="000000" w:themeColor="text1"/>
          <w:sz w:val="22"/>
          <w:szCs w:val="22"/>
        </w:rPr>
        <w:t>using</w:t>
      </w:r>
      <w:r w:rsidR="00113A45" w:rsidRPr="00BE43C8">
        <w:rPr>
          <w:rFonts w:ascii="Arial" w:hAnsi="Arial" w:cs="Arial"/>
          <w:color w:val="000000" w:themeColor="text1"/>
          <w:sz w:val="22"/>
          <w:szCs w:val="22"/>
        </w:rPr>
        <w:t xml:space="preserve"> the calibration curve slope using reference sample solutions with concentrations in the vicinity of the </w:t>
      </w:r>
      <w:r w:rsidR="008E46CD" w:rsidRPr="00BE43C8">
        <w:rPr>
          <w:rFonts w:ascii="Arial" w:hAnsi="Arial" w:cs="Arial"/>
          <w:color w:val="000000" w:themeColor="text1"/>
          <w:sz w:val="22"/>
          <w:szCs w:val="22"/>
        </w:rPr>
        <w:t>LOD</w:t>
      </w:r>
      <w:r w:rsidR="002832A9">
        <w:rPr>
          <w:rFonts w:ascii="Arial" w:hAnsi="Arial" w:cs="Arial"/>
          <w:color w:val="000000" w:themeColor="text1"/>
          <w:sz w:val="22"/>
          <w:szCs w:val="22"/>
          <w:vertAlign w:val="superscript"/>
        </w:rPr>
        <w:t>16</w:t>
      </w:r>
      <w:r w:rsidR="008E46CD" w:rsidRPr="00BE43C8">
        <w:rPr>
          <w:rFonts w:ascii="Arial" w:hAnsi="Arial" w:cs="Arial"/>
          <w:color w:val="000000" w:themeColor="text1"/>
          <w:sz w:val="22"/>
          <w:szCs w:val="22"/>
        </w:rPr>
        <w:t>, namely 0.000, 0.001, 0.0025, 0.005, 0.01 and 0.05 mg/mL and the equations:</w:t>
      </w:r>
    </w:p>
    <w:p w14:paraId="202B58C8" w14:textId="77777777" w:rsidR="008E46CD" w:rsidRPr="00BE43C8" w:rsidRDefault="008E46CD" w:rsidP="0016122E">
      <w:pPr>
        <w:spacing w:line="360" w:lineRule="auto"/>
        <w:rPr>
          <w:rFonts w:ascii="Arial" w:hAnsi="Arial" w:cs="Arial"/>
          <w:color w:val="000000" w:themeColor="text1"/>
          <w:sz w:val="22"/>
          <w:szCs w:val="22"/>
        </w:rPr>
      </w:pPr>
    </w:p>
    <w:p w14:paraId="1A1FA0E5" w14:textId="39ABD472" w:rsidR="00113A45" w:rsidRPr="00BE43C8" w:rsidRDefault="00113A45" w:rsidP="0016122E">
      <w:pPr>
        <w:spacing w:line="360" w:lineRule="auto"/>
        <w:rPr>
          <w:rFonts w:ascii="Arial" w:hAnsi="Arial" w:cs="Arial"/>
          <w:color w:val="000000" w:themeColor="text1"/>
          <w:sz w:val="22"/>
          <w:szCs w:val="22"/>
        </w:rPr>
      </w:pPr>
      <m:oMath>
        <m:r>
          <w:rPr>
            <w:rFonts w:ascii="Cambria Math" w:hAnsi="Cambria Math" w:cs="Arial"/>
            <w:color w:val="000000" w:themeColor="text1"/>
            <w:sz w:val="22"/>
            <w:szCs w:val="22"/>
          </w:rPr>
          <m:t>LOD=</m:t>
        </m:r>
        <m:f>
          <m:fPr>
            <m:ctrlPr>
              <w:rPr>
                <w:rFonts w:ascii="Cambria Math" w:hAnsi="Cambria Math" w:cs="Arial"/>
                <w:i/>
                <w:iCs/>
                <w:color w:val="000000" w:themeColor="text1"/>
                <w:sz w:val="22"/>
                <w:szCs w:val="22"/>
              </w:rPr>
            </m:ctrlPr>
          </m:fPr>
          <m:num>
            <m:r>
              <w:rPr>
                <w:rFonts w:ascii="Cambria Math" w:hAnsi="Cambria Math" w:cs="Arial"/>
                <w:color w:val="000000" w:themeColor="text1"/>
                <w:sz w:val="22"/>
                <w:szCs w:val="22"/>
              </w:rPr>
              <m:t>3.3×σ×</m:t>
            </m:r>
            <m:sSub>
              <m:sSubPr>
                <m:ctrlPr>
                  <w:rPr>
                    <w:rFonts w:ascii="Cambria Math" w:hAnsi="Cambria Math" w:cs="Arial"/>
                    <w:i/>
                    <w:iCs/>
                    <w:color w:val="000000" w:themeColor="text1"/>
                    <w:sz w:val="22"/>
                    <w:szCs w:val="22"/>
                  </w:rPr>
                </m:ctrlPr>
              </m:sSubPr>
              <m:e>
                <m:r>
                  <w:rPr>
                    <w:rFonts w:ascii="Cambria Math" w:hAnsi="Cambria Math" w:cs="Arial"/>
                    <w:color w:val="000000" w:themeColor="text1"/>
                    <w:sz w:val="22"/>
                    <w:szCs w:val="22"/>
                  </w:rPr>
                  <m:t>C</m:t>
                </m:r>
              </m:e>
              <m:sub>
                <m:r>
                  <w:rPr>
                    <w:rFonts w:ascii="Cambria Math" w:hAnsi="Cambria Math" w:cs="Arial"/>
                    <w:color w:val="000000" w:themeColor="text1"/>
                    <w:sz w:val="22"/>
                    <w:szCs w:val="22"/>
                  </w:rPr>
                  <m:t>IS</m:t>
                </m:r>
              </m:sub>
            </m:sSub>
          </m:num>
          <m:den>
            <m:r>
              <w:rPr>
                <w:rFonts w:ascii="Cambria Math" w:hAnsi="Cambria Math" w:cs="Arial"/>
                <w:color w:val="000000" w:themeColor="text1"/>
                <w:sz w:val="22"/>
                <w:szCs w:val="22"/>
              </w:rPr>
              <m:t>s</m:t>
            </m:r>
          </m:den>
        </m:f>
      </m:oMath>
      <w:r w:rsidRPr="00BE43C8">
        <w:rPr>
          <w:rFonts w:ascii="Arial" w:hAnsi="Arial" w:cs="Arial"/>
          <w:color w:val="000000" w:themeColor="text1"/>
          <w:sz w:val="22"/>
          <w:szCs w:val="22"/>
        </w:rPr>
        <w:tab/>
      </w:r>
      <w:r w:rsidRPr="00BE43C8">
        <w:rPr>
          <w:rFonts w:ascii="Arial" w:hAnsi="Arial" w:cs="Arial"/>
          <w:color w:val="000000" w:themeColor="text1"/>
          <w:sz w:val="22"/>
          <w:szCs w:val="22"/>
        </w:rPr>
        <w:tab/>
      </w:r>
      <w:r w:rsidRPr="00BE43C8">
        <w:rPr>
          <w:rFonts w:ascii="Arial" w:hAnsi="Arial" w:cs="Arial"/>
          <w:color w:val="000000" w:themeColor="text1"/>
          <w:sz w:val="22"/>
          <w:szCs w:val="22"/>
        </w:rPr>
        <w:tab/>
      </w:r>
      <w:r w:rsidRPr="00BE43C8">
        <w:rPr>
          <w:rFonts w:ascii="Arial" w:hAnsi="Arial" w:cs="Arial"/>
          <w:color w:val="000000" w:themeColor="text1"/>
          <w:sz w:val="22"/>
          <w:szCs w:val="22"/>
        </w:rPr>
        <w:tab/>
      </w:r>
      <w:r w:rsidRPr="00BE43C8">
        <w:rPr>
          <w:rFonts w:ascii="Arial" w:hAnsi="Arial" w:cs="Arial"/>
          <w:color w:val="000000" w:themeColor="text1"/>
          <w:sz w:val="22"/>
          <w:szCs w:val="22"/>
        </w:rPr>
        <w:tab/>
      </w:r>
      <w:r w:rsidRPr="00BE43C8">
        <w:rPr>
          <w:rFonts w:ascii="Arial" w:hAnsi="Arial" w:cs="Arial"/>
          <w:color w:val="000000" w:themeColor="text1"/>
          <w:sz w:val="22"/>
          <w:szCs w:val="22"/>
        </w:rPr>
        <w:tab/>
      </w:r>
      <w:r w:rsidRPr="00BE43C8">
        <w:rPr>
          <w:rFonts w:ascii="Arial" w:hAnsi="Arial" w:cs="Arial"/>
          <w:color w:val="000000" w:themeColor="text1"/>
          <w:sz w:val="22"/>
          <w:szCs w:val="22"/>
        </w:rPr>
        <w:tab/>
      </w:r>
      <w:r w:rsidRPr="00BE43C8">
        <w:rPr>
          <w:rFonts w:ascii="Arial" w:hAnsi="Arial" w:cs="Arial"/>
          <w:color w:val="000000" w:themeColor="text1"/>
          <w:sz w:val="22"/>
          <w:szCs w:val="22"/>
        </w:rPr>
        <w:tab/>
      </w:r>
      <w:r w:rsidRPr="00BE43C8">
        <w:rPr>
          <w:rFonts w:ascii="Arial" w:hAnsi="Arial" w:cs="Arial"/>
          <w:color w:val="000000" w:themeColor="text1"/>
          <w:sz w:val="22"/>
          <w:szCs w:val="22"/>
        </w:rPr>
        <w:tab/>
      </w:r>
      <w:r w:rsidRPr="00BE43C8">
        <w:rPr>
          <w:rFonts w:ascii="Arial" w:hAnsi="Arial" w:cs="Arial"/>
          <w:color w:val="000000" w:themeColor="text1"/>
          <w:sz w:val="22"/>
          <w:szCs w:val="22"/>
        </w:rPr>
        <w:tab/>
      </w:r>
      <w:r w:rsidRPr="00BE43C8">
        <w:rPr>
          <w:rFonts w:ascii="Arial" w:hAnsi="Arial" w:cs="Arial"/>
          <w:color w:val="000000" w:themeColor="text1"/>
          <w:sz w:val="22"/>
          <w:szCs w:val="22"/>
        </w:rPr>
        <w:tab/>
      </w:r>
      <w:r w:rsidRPr="00BE43C8">
        <w:rPr>
          <w:rFonts w:ascii="Arial" w:hAnsi="Arial" w:cs="Arial"/>
          <w:color w:val="000000" w:themeColor="text1"/>
          <w:sz w:val="22"/>
          <w:szCs w:val="22"/>
        </w:rPr>
        <w:tab/>
      </w:r>
      <w:r w:rsidRPr="00BE43C8">
        <w:rPr>
          <w:rFonts w:ascii="Arial" w:hAnsi="Arial" w:cs="Arial"/>
          <w:color w:val="000000" w:themeColor="text1"/>
          <w:sz w:val="22"/>
          <w:szCs w:val="22"/>
        </w:rPr>
        <w:tab/>
      </w:r>
      <w:r w:rsidRPr="00BE43C8">
        <w:rPr>
          <w:rFonts w:ascii="Arial" w:hAnsi="Arial" w:cs="Arial"/>
          <w:color w:val="000000" w:themeColor="text1"/>
          <w:sz w:val="22"/>
          <w:szCs w:val="22"/>
        </w:rPr>
        <w:tab/>
      </w:r>
      <w:r w:rsidRPr="00BE43C8">
        <w:rPr>
          <w:rFonts w:ascii="Arial" w:hAnsi="Arial" w:cs="Arial"/>
          <w:color w:val="000000" w:themeColor="text1"/>
          <w:sz w:val="22"/>
          <w:szCs w:val="22"/>
        </w:rPr>
        <w:tab/>
      </w:r>
      <w:r w:rsidRPr="00BE43C8">
        <w:rPr>
          <w:rFonts w:ascii="Arial" w:hAnsi="Arial" w:cs="Arial"/>
          <w:color w:val="000000" w:themeColor="text1"/>
          <w:sz w:val="22"/>
          <w:szCs w:val="22"/>
        </w:rPr>
        <w:tab/>
        <w:t xml:space="preserve">               </w:t>
      </w:r>
    </w:p>
    <w:p w14:paraId="4A6C1E39" w14:textId="7F8EE0FE" w:rsidR="00113A45" w:rsidRPr="00BE43C8" w:rsidRDefault="00113A45" w:rsidP="0016122E">
      <w:pPr>
        <w:spacing w:line="360" w:lineRule="auto"/>
        <w:rPr>
          <w:rFonts w:ascii="Arial" w:hAnsi="Arial" w:cs="Arial"/>
          <w:color w:val="000000" w:themeColor="text1"/>
          <w:sz w:val="22"/>
          <w:szCs w:val="22"/>
        </w:rPr>
      </w:pPr>
      <m:oMath>
        <m:r>
          <w:rPr>
            <w:rFonts w:ascii="Cambria Math" w:hAnsi="Cambria Math" w:cs="Arial"/>
            <w:color w:val="000000" w:themeColor="text1"/>
            <w:sz w:val="22"/>
            <w:szCs w:val="22"/>
          </w:rPr>
          <m:t>LOQ=</m:t>
        </m:r>
        <m:f>
          <m:fPr>
            <m:ctrlPr>
              <w:rPr>
                <w:rFonts w:ascii="Cambria Math" w:hAnsi="Cambria Math" w:cs="Arial"/>
                <w:i/>
                <w:iCs/>
                <w:color w:val="000000" w:themeColor="text1"/>
                <w:sz w:val="22"/>
                <w:szCs w:val="22"/>
              </w:rPr>
            </m:ctrlPr>
          </m:fPr>
          <m:num>
            <m:r>
              <w:rPr>
                <w:rFonts w:ascii="Cambria Math" w:hAnsi="Cambria Math" w:cs="Arial"/>
                <w:color w:val="000000" w:themeColor="text1"/>
                <w:sz w:val="22"/>
                <w:szCs w:val="22"/>
              </w:rPr>
              <m:t>10×σ×</m:t>
            </m:r>
            <m:sSub>
              <m:sSubPr>
                <m:ctrlPr>
                  <w:rPr>
                    <w:rFonts w:ascii="Cambria Math" w:hAnsi="Cambria Math" w:cs="Arial"/>
                    <w:i/>
                    <w:iCs/>
                    <w:color w:val="000000" w:themeColor="text1"/>
                    <w:sz w:val="22"/>
                    <w:szCs w:val="22"/>
                  </w:rPr>
                </m:ctrlPr>
              </m:sSubPr>
              <m:e>
                <m:r>
                  <w:rPr>
                    <w:rFonts w:ascii="Cambria Math" w:hAnsi="Cambria Math" w:cs="Arial"/>
                    <w:color w:val="000000" w:themeColor="text1"/>
                    <w:sz w:val="22"/>
                    <w:szCs w:val="22"/>
                  </w:rPr>
                  <m:t>C</m:t>
                </m:r>
              </m:e>
              <m:sub>
                <m:r>
                  <w:rPr>
                    <w:rFonts w:ascii="Cambria Math" w:hAnsi="Cambria Math" w:cs="Arial"/>
                    <w:color w:val="000000" w:themeColor="text1"/>
                    <w:sz w:val="22"/>
                    <w:szCs w:val="22"/>
                  </w:rPr>
                  <m:t>IS</m:t>
                </m:r>
              </m:sub>
            </m:sSub>
          </m:num>
          <m:den>
            <m:r>
              <w:rPr>
                <w:rFonts w:ascii="Cambria Math" w:hAnsi="Cambria Math" w:cs="Arial"/>
                <w:color w:val="000000" w:themeColor="text1"/>
                <w:sz w:val="22"/>
                <w:szCs w:val="22"/>
              </w:rPr>
              <m:t>s</m:t>
            </m:r>
          </m:den>
        </m:f>
      </m:oMath>
      <w:r w:rsidRPr="00BE43C8">
        <w:rPr>
          <w:rFonts w:ascii="Arial" w:hAnsi="Arial" w:cs="Arial"/>
          <w:color w:val="000000" w:themeColor="text1"/>
          <w:sz w:val="22"/>
          <w:szCs w:val="22"/>
        </w:rPr>
        <w:tab/>
      </w:r>
      <w:r w:rsidRPr="00BE43C8">
        <w:rPr>
          <w:rFonts w:ascii="Arial" w:hAnsi="Arial" w:cs="Arial"/>
          <w:color w:val="000000" w:themeColor="text1"/>
          <w:sz w:val="22"/>
          <w:szCs w:val="22"/>
        </w:rPr>
        <w:tab/>
      </w:r>
      <w:r w:rsidRPr="00BE43C8">
        <w:rPr>
          <w:rFonts w:ascii="Arial" w:hAnsi="Arial" w:cs="Arial"/>
          <w:color w:val="000000" w:themeColor="text1"/>
          <w:sz w:val="22"/>
          <w:szCs w:val="22"/>
        </w:rPr>
        <w:tab/>
      </w:r>
      <w:r w:rsidRPr="00BE43C8">
        <w:rPr>
          <w:rFonts w:ascii="Arial" w:hAnsi="Arial" w:cs="Arial"/>
          <w:color w:val="000000" w:themeColor="text1"/>
          <w:sz w:val="22"/>
          <w:szCs w:val="22"/>
        </w:rPr>
        <w:tab/>
      </w:r>
      <w:r w:rsidRPr="00BE43C8">
        <w:rPr>
          <w:rFonts w:ascii="Arial" w:hAnsi="Arial" w:cs="Arial"/>
          <w:color w:val="000000" w:themeColor="text1"/>
          <w:sz w:val="22"/>
          <w:szCs w:val="22"/>
        </w:rPr>
        <w:tab/>
      </w:r>
      <w:r w:rsidRPr="00BE43C8">
        <w:rPr>
          <w:rFonts w:ascii="Arial" w:hAnsi="Arial" w:cs="Arial"/>
          <w:color w:val="000000" w:themeColor="text1"/>
          <w:sz w:val="22"/>
          <w:szCs w:val="22"/>
        </w:rPr>
        <w:tab/>
      </w:r>
      <w:r w:rsidRPr="00BE43C8">
        <w:rPr>
          <w:rFonts w:ascii="Arial" w:hAnsi="Arial" w:cs="Arial"/>
          <w:color w:val="000000" w:themeColor="text1"/>
          <w:sz w:val="22"/>
          <w:szCs w:val="22"/>
        </w:rPr>
        <w:tab/>
      </w:r>
      <w:r w:rsidRPr="00BE43C8">
        <w:rPr>
          <w:rFonts w:ascii="Arial" w:hAnsi="Arial" w:cs="Arial"/>
          <w:color w:val="000000" w:themeColor="text1"/>
          <w:sz w:val="22"/>
          <w:szCs w:val="22"/>
        </w:rPr>
        <w:tab/>
      </w:r>
      <w:r w:rsidRPr="00BE43C8">
        <w:rPr>
          <w:rFonts w:ascii="Arial" w:hAnsi="Arial" w:cs="Arial"/>
          <w:color w:val="000000" w:themeColor="text1"/>
          <w:sz w:val="22"/>
          <w:szCs w:val="22"/>
        </w:rPr>
        <w:tab/>
      </w:r>
      <w:r w:rsidRPr="00BE43C8">
        <w:rPr>
          <w:rFonts w:ascii="Arial" w:hAnsi="Arial" w:cs="Arial"/>
          <w:color w:val="000000" w:themeColor="text1"/>
          <w:sz w:val="22"/>
          <w:szCs w:val="22"/>
        </w:rPr>
        <w:tab/>
      </w:r>
      <w:r w:rsidRPr="00BE43C8">
        <w:rPr>
          <w:rFonts w:ascii="Arial" w:hAnsi="Arial" w:cs="Arial"/>
          <w:color w:val="000000" w:themeColor="text1"/>
          <w:sz w:val="22"/>
          <w:szCs w:val="22"/>
        </w:rPr>
        <w:tab/>
      </w:r>
      <w:r w:rsidRPr="00BE43C8">
        <w:rPr>
          <w:rFonts w:ascii="Arial" w:hAnsi="Arial" w:cs="Arial"/>
          <w:color w:val="000000" w:themeColor="text1"/>
          <w:sz w:val="22"/>
          <w:szCs w:val="22"/>
        </w:rPr>
        <w:tab/>
      </w:r>
      <w:r w:rsidRPr="00BE43C8">
        <w:rPr>
          <w:rFonts w:ascii="Arial" w:hAnsi="Arial" w:cs="Arial"/>
          <w:color w:val="000000" w:themeColor="text1"/>
          <w:sz w:val="22"/>
          <w:szCs w:val="22"/>
        </w:rPr>
        <w:tab/>
      </w:r>
      <w:r w:rsidRPr="00BE43C8">
        <w:rPr>
          <w:rFonts w:ascii="Arial" w:hAnsi="Arial" w:cs="Arial"/>
          <w:color w:val="000000" w:themeColor="text1"/>
          <w:sz w:val="22"/>
          <w:szCs w:val="22"/>
        </w:rPr>
        <w:tab/>
      </w:r>
      <w:r w:rsidRPr="00BE43C8">
        <w:rPr>
          <w:rFonts w:ascii="Arial" w:hAnsi="Arial" w:cs="Arial"/>
          <w:color w:val="000000" w:themeColor="text1"/>
          <w:sz w:val="22"/>
          <w:szCs w:val="22"/>
        </w:rPr>
        <w:tab/>
      </w:r>
      <w:r w:rsidRPr="00BE43C8">
        <w:rPr>
          <w:rFonts w:ascii="Arial" w:hAnsi="Arial" w:cs="Arial"/>
          <w:color w:val="000000" w:themeColor="text1"/>
          <w:sz w:val="22"/>
          <w:szCs w:val="22"/>
        </w:rPr>
        <w:tab/>
        <w:t xml:space="preserve">              </w:t>
      </w:r>
    </w:p>
    <w:p w14:paraId="30D050EB" w14:textId="45FC887C" w:rsidR="00113A45" w:rsidRPr="00BE43C8" w:rsidRDefault="00113A45" w:rsidP="0016122E">
      <w:pPr>
        <w:spacing w:line="360" w:lineRule="auto"/>
        <w:rPr>
          <w:rFonts w:ascii="Arial" w:hAnsi="Arial" w:cs="Arial"/>
          <w:color w:val="000000" w:themeColor="text1"/>
          <w:sz w:val="22"/>
          <w:szCs w:val="22"/>
        </w:rPr>
      </w:pPr>
      <w:r w:rsidRPr="00BE43C8">
        <w:rPr>
          <w:rFonts w:ascii="Arial" w:hAnsi="Arial" w:cs="Arial"/>
          <w:color w:val="000000" w:themeColor="text1"/>
          <w:sz w:val="22"/>
          <w:szCs w:val="22"/>
        </w:rPr>
        <w:t>Where σ = standard error</w:t>
      </w:r>
      <w:r w:rsidR="008E46CD" w:rsidRPr="00BE43C8">
        <w:rPr>
          <w:rFonts w:ascii="Arial" w:hAnsi="Arial" w:cs="Arial"/>
          <w:color w:val="000000" w:themeColor="text1"/>
          <w:sz w:val="22"/>
          <w:szCs w:val="22"/>
        </w:rPr>
        <w:t xml:space="preserve"> of the measured response</w:t>
      </w:r>
    </w:p>
    <w:p w14:paraId="11AF7EB3" w14:textId="77777777" w:rsidR="007D557D" w:rsidRPr="00BE43C8" w:rsidRDefault="00113A45" w:rsidP="0016122E">
      <w:pPr>
        <w:spacing w:line="360" w:lineRule="auto"/>
        <w:rPr>
          <w:rFonts w:ascii="Arial" w:hAnsi="Arial" w:cs="Arial"/>
          <w:color w:val="000000" w:themeColor="text1"/>
          <w:sz w:val="22"/>
          <w:szCs w:val="22"/>
        </w:rPr>
      </w:pPr>
      <w:r w:rsidRPr="00BE43C8">
        <w:rPr>
          <w:rFonts w:ascii="Arial" w:hAnsi="Arial" w:cs="Arial"/>
          <w:color w:val="000000" w:themeColor="text1"/>
          <w:sz w:val="22"/>
          <w:szCs w:val="22"/>
        </w:rPr>
        <w:tab/>
      </w:r>
    </w:p>
    <w:p w14:paraId="42BD038A" w14:textId="66D1978A" w:rsidR="00113A45" w:rsidRPr="00BE43C8" w:rsidRDefault="00113A45" w:rsidP="0016122E">
      <w:pPr>
        <w:spacing w:line="360" w:lineRule="auto"/>
        <w:ind w:firstLine="720"/>
        <w:rPr>
          <w:rFonts w:ascii="Arial" w:hAnsi="Arial" w:cs="Arial"/>
          <w:color w:val="000000" w:themeColor="text1"/>
          <w:sz w:val="22"/>
          <w:szCs w:val="22"/>
        </w:rPr>
      </w:pPr>
      <w:r w:rsidRPr="00BE43C8">
        <w:rPr>
          <w:rFonts w:ascii="Arial" w:hAnsi="Arial" w:cs="Arial"/>
          <w:color w:val="000000" w:themeColor="text1"/>
          <w:sz w:val="22"/>
          <w:szCs w:val="22"/>
        </w:rPr>
        <w:t>S = slope of the regression line</w:t>
      </w:r>
    </w:p>
    <w:p w14:paraId="683D9980" w14:textId="6F8AA39D" w:rsidR="00113A45" w:rsidRPr="00BE43C8" w:rsidRDefault="00113A45" w:rsidP="0016122E">
      <w:pPr>
        <w:spacing w:line="360" w:lineRule="auto"/>
        <w:rPr>
          <w:rFonts w:ascii="Arial" w:hAnsi="Arial" w:cs="Arial"/>
          <w:color w:val="000000" w:themeColor="text1"/>
          <w:sz w:val="22"/>
          <w:szCs w:val="22"/>
        </w:rPr>
      </w:pPr>
      <w:r w:rsidRPr="00BE43C8">
        <w:rPr>
          <w:rFonts w:ascii="Arial" w:hAnsi="Arial" w:cs="Arial"/>
          <w:color w:val="000000" w:themeColor="text1"/>
          <w:sz w:val="22"/>
          <w:szCs w:val="22"/>
        </w:rPr>
        <w:tab/>
        <w:t>C</w:t>
      </w:r>
      <w:r w:rsidRPr="00BE43C8">
        <w:rPr>
          <w:rFonts w:ascii="Arial" w:hAnsi="Arial" w:cs="Arial"/>
          <w:color w:val="000000" w:themeColor="text1"/>
          <w:sz w:val="22"/>
          <w:szCs w:val="22"/>
          <w:vertAlign w:val="subscript"/>
        </w:rPr>
        <w:t>IS</w:t>
      </w:r>
      <w:r w:rsidRPr="00BE43C8">
        <w:rPr>
          <w:rFonts w:ascii="Arial" w:hAnsi="Arial" w:cs="Arial"/>
          <w:color w:val="000000" w:themeColor="text1"/>
          <w:sz w:val="22"/>
          <w:szCs w:val="22"/>
        </w:rPr>
        <w:t>= concentration of the internal standard = 0.018</w:t>
      </w:r>
      <w:r w:rsidR="008E46CD" w:rsidRPr="00BE43C8">
        <w:rPr>
          <w:rFonts w:ascii="Arial" w:hAnsi="Arial" w:cs="Arial"/>
          <w:color w:val="000000" w:themeColor="text1"/>
          <w:sz w:val="22"/>
          <w:szCs w:val="22"/>
        </w:rPr>
        <w:t xml:space="preserve"> mg/mL</w:t>
      </w:r>
    </w:p>
    <w:p w14:paraId="42993983" w14:textId="77777777" w:rsidR="00FF7CF6" w:rsidRPr="00BE43C8" w:rsidRDefault="00FF7CF6" w:rsidP="0016122E">
      <w:pPr>
        <w:spacing w:line="360" w:lineRule="auto"/>
        <w:rPr>
          <w:rFonts w:ascii="Arial" w:hAnsi="Arial" w:cs="Arial"/>
          <w:color w:val="000000" w:themeColor="text1"/>
          <w:sz w:val="22"/>
          <w:szCs w:val="22"/>
        </w:rPr>
      </w:pPr>
    </w:p>
    <w:p w14:paraId="2584475C" w14:textId="6779F28E" w:rsidR="004C45D5" w:rsidRPr="00BE43C8" w:rsidRDefault="007D557D" w:rsidP="0016122E">
      <w:pPr>
        <w:spacing w:line="360" w:lineRule="auto"/>
        <w:jc w:val="both"/>
        <w:rPr>
          <w:rFonts w:ascii="Arial" w:hAnsi="Arial" w:cs="Arial"/>
          <w:color w:val="000000" w:themeColor="text1"/>
          <w:sz w:val="22"/>
          <w:szCs w:val="22"/>
        </w:rPr>
      </w:pPr>
      <w:r w:rsidRPr="00BE43C8">
        <w:rPr>
          <w:rFonts w:ascii="Arial" w:hAnsi="Arial" w:cs="Arial"/>
          <w:color w:val="000000" w:themeColor="text1"/>
          <w:sz w:val="22"/>
          <w:szCs w:val="22"/>
        </w:rPr>
        <w:t xml:space="preserve">To measure the accuracy of the method (closeness to true concentration), </w:t>
      </w:r>
      <w:r w:rsidR="004C45D5" w:rsidRPr="00BE43C8">
        <w:rPr>
          <w:rFonts w:ascii="Arial" w:hAnsi="Arial" w:cs="Arial"/>
          <w:color w:val="000000" w:themeColor="text1"/>
          <w:sz w:val="22"/>
          <w:szCs w:val="22"/>
        </w:rPr>
        <w:t xml:space="preserve">10 replicate measurements of standards of known concentrations </w:t>
      </w:r>
      <w:r w:rsidRPr="00BE43C8">
        <w:rPr>
          <w:rFonts w:ascii="Arial" w:hAnsi="Arial" w:cs="Arial"/>
          <w:color w:val="000000" w:themeColor="text1"/>
          <w:sz w:val="22"/>
          <w:szCs w:val="22"/>
        </w:rPr>
        <w:t xml:space="preserve">were made, the experimental concentrations determined and the equation </w:t>
      </w:r>
    </w:p>
    <w:p w14:paraId="6918A589" w14:textId="77777777" w:rsidR="007D557D" w:rsidRPr="00BE43C8" w:rsidRDefault="007D557D" w:rsidP="0016122E">
      <w:pPr>
        <w:spacing w:line="360" w:lineRule="auto"/>
        <w:rPr>
          <w:rFonts w:ascii="Arial" w:hAnsi="Arial" w:cs="Arial"/>
          <w:color w:val="000000" w:themeColor="text1"/>
          <w:sz w:val="22"/>
          <w:szCs w:val="22"/>
        </w:rPr>
      </w:pPr>
    </w:p>
    <w:p w14:paraId="5A35A581" w14:textId="0B403095" w:rsidR="004C45D5" w:rsidRPr="00BE43C8" w:rsidRDefault="004C45D5" w:rsidP="0016122E">
      <w:pPr>
        <w:spacing w:line="360" w:lineRule="auto"/>
        <w:rPr>
          <w:rFonts w:ascii="Arial" w:hAnsi="Arial" w:cs="Arial"/>
          <w:color w:val="000000" w:themeColor="text1"/>
          <w:sz w:val="22"/>
          <w:szCs w:val="22"/>
        </w:rPr>
      </w:pPr>
      <m:oMath>
        <m:r>
          <w:rPr>
            <w:rFonts w:ascii="Cambria Math" w:hAnsi="Cambria Math" w:cs="Arial"/>
            <w:color w:val="000000" w:themeColor="text1"/>
            <w:sz w:val="22"/>
            <w:szCs w:val="22"/>
          </w:rPr>
          <w:lastRenderedPageBreak/>
          <m:t>% Accuracy=</m:t>
        </m:r>
        <m:f>
          <m:fPr>
            <m:ctrlPr>
              <w:rPr>
                <w:rFonts w:ascii="Cambria Math" w:hAnsi="Cambria Math" w:cs="Arial"/>
                <w:i/>
                <w:color w:val="000000" w:themeColor="text1"/>
                <w:sz w:val="22"/>
                <w:szCs w:val="22"/>
              </w:rPr>
            </m:ctrlPr>
          </m:fPr>
          <m:num>
            <m:r>
              <w:rPr>
                <w:rFonts w:ascii="Cambria Math" w:hAnsi="Cambria Math" w:cs="Arial"/>
                <w:color w:val="000000" w:themeColor="text1"/>
                <w:sz w:val="22"/>
                <w:szCs w:val="22"/>
              </w:rPr>
              <m:t>Measured concentration</m:t>
            </m:r>
          </m:num>
          <m:den>
            <m:r>
              <w:rPr>
                <w:rFonts w:ascii="Cambria Math" w:hAnsi="Cambria Math" w:cs="Arial"/>
                <w:color w:val="000000" w:themeColor="text1"/>
                <w:sz w:val="22"/>
                <w:szCs w:val="22"/>
              </w:rPr>
              <m:t>actual concentration</m:t>
            </m:r>
          </m:den>
        </m:f>
        <m:r>
          <w:rPr>
            <w:rFonts w:ascii="Cambria Math" w:hAnsi="Cambria Math" w:cs="Arial"/>
            <w:color w:val="000000" w:themeColor="text1"/>
            <w:sz w:val="22"/>
            <w:szCs w:val="22"/>
          </w:rPr>
          <m:t>×100</m:t>
        </m:r>
      </m:oMath>
      <w:r w:rsidRPr="00BE43C8">
        <w:rPr>
          <w:rFonts w:ascii="Arial" w:hAnsi="Arial" w:cs="Arial"/>
          <w:color w:val="000000" w:themeColor="text1"/>
          <w:sz w:val="22"/>
          <w:szCs w:val="22"/>
        </w:rPr>
        <w:tab/>
      </w:r>
    </w:p>
    <w:p w14:paraId="46E10AF5" w14:textId="27295DE0" w:rsidR="004C45D5" w:rsidRPr="00BE43C8" w:rsidRDefault="00007F0E" w:rsidP="0016122E">
      <w:pPr>
        <w:spacing w:line="360" w:lineRule="auto"/>
        <w:rPr>
          <w:rFonts w:ascii="Arial" w:hAnsi="Arial" w:cs="Arial"/>
          <w:color w:val="000000" w:themeColor="text1"/>
          <w:sz w:val="22"/>
          <w:szCs w:val="22"/>
        </w:rPr>
      </w:pPr>
      <w:r w:rsidRPr="00BE43C8">
        <w:rPr>
          <w:rFonts w:ascii="Arial" w:hAnsi="Arial" w:cs="Arial"/>
          <w:color w:val="000000" w:themeColor="text1"/>
          <w:sz w:val="22"/>
          <w:szCs w:val="22"/>
        </w:rPr>
        <w:t>a</w:t>
      </w:r>
      <w:r w:rsidR="007D557D" w:rsidRPr="00BE43C8">
        <w:rPr>
          <w:rFonts w:ascii="Arial" w:hAnsi="Arial" w:cs="Arial"/>
          <w:color w:val="000000" w:themeColor="text1"/>
          <w:sz w:val="22"/>
          <w:szCs w:val="22"/>
        </w:rPr>
        <w:t>pplied.</w:t>
      </w:r>
    </w:p>
    <w:p w14:paraId="6AC947B3" w14:textId="09D9AF0C" w:rsidR="006647AD" w:rsidRDefault="002A3272" w:rsidP="0016122E">
      <w:pPr>
        <w:spacing w:line="360" w:lineRule="auto"/>
        <w:jc w:val="both"/>
        <w:rPr>
          <w:rFonts w:ascii="Arial" w:hAnsi="Arial" w:cs="Arial"/>
          <w:color w:val="000000" w:themeColor="text1"/>
          <w:sz w:val="22"/>
          <w:szCs w:val="22"/>
        </w:rPr>
      </w:pPr>
      <w:r w:rsidRPr="00BE43C8">
        <w:rPr>
          <w:rFonts w:ascii="Arial" w:hAnsi="Arial" w:cs="Arial"/>
          <w:color w:val="000000" w:themeColor="text1"/>
          <w:sz w:val="22"/>
          <w:szCs w:val="22"/>
        </w:rPr>
        <w:t>Precision</w:t>
      </w:r>
      <w:r w:rsidR="00007F0E" w:rsidRPr="00BE43C8">
        <w:rPr>
          <w:rFonts w:ascii="Arial" w:hAnsi="Arial" w:cs="Arial"/>
          <w:color w:val="000000" w:themeColor="text1"/>
          <w:sz w:val="22"/>
          <w:szCs w:val="22"/>
        </w:rPr>
        <w:t xml:space="preserve"> is </w:t>
      </w:r>
      <w:r w:rsidRPr="00BE43C8">
        <w:rPr>
          <w:rFonts w:ascii="Arial" w:hAnsi="Arial" w:cs="Arial"/>
          <w:color w:val="000000" w:themeColor="text1"/>
          <w:sz w:val="22"/>
          <w:szCs w:val="22"/>
        </w:rPr>
        <w:t>a measure of the closeness of the analytical results obtained from a series of replicate measurements of the same measure under the conditions of the method</w:t>
      </w:r>
      <w:r w:rsidRPr="0015368A">
        <w:rPr>
          <w:rFonts w:ascii="Arial" w:hAnsi="Arial" w:cs="Arial"/>
          <w:color w:val="000000" w:themeColor="text1"/>
          <w:sz w:val="22"/>
          <w:szCs w:val="22"/>
        </w:rPr>
        <w:t xml:space="preserve">.  </w:t>
      </w:r>
      <w:r w:rsidR="006647AD" w:rsidRPr="0015368A">
        <w:rPr>
          <w:rFonts w:ascii="Arial" w:hAnsi="Arial" w:cs="Arial"/>
          <w:color w:val="000000" w:themeColor="text1"/>
          <w:sz w:val="22"/>
          <w:szCs w:val="22"/>
        </w:rPr>
        <w:t>Intra-</w:t>
      </w:r>
      <w:r w:rsidR="00BE1A3F" w:rsidRPr="0015368A">
        <w:rPr>
          <w:rFonts w:ascii="Arial" w:hAnsi="Arial" w:cs="Arial"/>
          <w:color w:val="000000" w:themeColor="text1"/>
          <w:sz w:val="22"/>
          <w:szCs w:val="22"/>
        </w:rPr>
        <w:t xml:space="preserve">assay precision (repeatability) and inter-assay </w:t>
      </w:r>
      <w:r w:rsidR="006647AD" w:rsidRPr="0015368A">
        <w:rPr>
          <w:rFonts w:ascii="Arial" w:hAnsi="Arial" w:cs="Arial"/>
          <w:color w:val="000000" w:themeColor="text1"/>
          <w:sz w:val="22"/>
          <w:szCs w:val="22"/>
        </w:rPr>
        <w:t xml:space="preserve">precision </w:t>
      </w:r>
      <w:r w:rsidR="00BE1A3F" w:rsidRPr="0015368A">
        <w:rPr>
          <w:rFonts w:ascii="Arial" w:hAnsi="Arial" w:cs="Arial"/>
          <w:color w:val="000000" w:themeColor="text1"/>
          <w:sz w:val="22"/>
          <w:szCs w:val="22"/>
        </w:rPr>
        <w:t>(reproducibility) were</w:t>
      </w:r>
      <w:r w:rsidR="00CA4177" w:rsidRPr="0015368A">
        <w:rPr>
          <w:rFonts w:ascii="Arial" w:hAnsi="Arial" w:cs="Arial"/>
          <w:color w:val="000000" w:themeColor="text1"/>
          <w:sz w:val="22"/>
          <w:szCs w:val="22"/>
        </w:rPr>
        <w:t xml:space="preserve"> a</w:t>
      </w:r>
      <w:r w:rsidR="006647AD" w:rsidRPr="0015368A">
        <w:rPr>
          <w:rFonts w:ascii="Arial" w:hAnsi="Arial" w:cs="Arial"/>
          <w:color w:val="000000" w:themeColor="text1"/>
          <w:sz w:val="22"/>
          <w:szCs w:val="22"/>
        </w:rPr>
        <w:t xml:space="preserve">ssessed using drug standard mixtures of phenacetin, caffeine, efavirenz, nevirapine, </w:t>
      </w:r>
      <w:r w:rsidR="006647AD" w:rsidRPr="0015368A">
        <w:rPr>
          <w:rFonts w:ascii="Arial" w:hAnsi="Arial" w:cs="Arial"/>
          <w:color w:val="000000" w:themeColor="text1"/>
          <w:sz w:val="22"/>
          <w:szCs w:val="22"/>
          <w:lang w:val="en-US"/>
        </w:rPr>
        <w:t>Δ</w:t>
      </w:r>
      <w:r w:rsidR="006647AD" w:rsidRPr="0015368A">
        <w:rPr>
          <w:rFonts w:ascii="Arial" w:hAnsi="Arial" w:cs="Arial"/>
          <w:color w:val="000000" w:themeColor="text1"/>
          <w:sz w:val="22"/>
          <w:szCs w:val="22"/>
          <w:vertAlign w:val="superscript"/>
          <w:lang w:val="en-US"/>
        </w:rPr>
        <w:t>9</w:t>
      </w:r>
      <w:r w:rsidR="006647AD" w:rsidRPr="0015368A">
        <w:rPr>
          <w:rFonts w:ascii="Arial" w:hAnsi="Arial" w:cs="Arial"/>
          <w:color w:val="000000" w:themeColor="text1"/>
          <w:sz w:val="22"/>
          <w:szCs w:val="22"/>
          <w:lang w:val="en-US"/>
        </w:rPr>
        <w:t>-THC and diamorphine</w:t>
      </w:r>
      <w:r w:rsidR="006647AD" w:rsidRPr="0015368A" w:rsidDel="00007F0E">
        <w:rPr>
          <w:rFonts w:ascii="Arial" w:hAnsi="Arial" w:cs="Arial"/>
          <w:color w:val="000000" w:themeColor="text1"/>
          <w:sz w:val="22"/>
          <w:szCs w:val="22"/>
        </w:rPr>
        <w:t xml:space="preserve"> </w:t>
      </w:r>
      <w:r w:rsidR="006647AD" w:rsidRPr="0015368A">
        <w:rPr>
          <w:rFonts w:ascii="Arial" w:hAnsi="Arial" w:cs="Arial"/>
          <w:color w:val="000000" w:themeColor="text1"/>
          <w:sz w:val="22"/>
          <w:szCs w:val="22"/>
        </w:rPr>
        <w:t xml:space="preserve">at three concentration levels (0.01, 0.1 and 1.00 mg/mL). </w:t>
      </w:r>
      <w:r w:rsidR="00E770B4">
        <w:rPr>
          <w:rFonts w:ascii="Arial" w:hAnsi="Arial" w:cs="Arial"/>
          <w:color w:val="000000" w:themeColor="text1"/>
          <w:sz w:val="22"/>
          <w:szCs w:val="22"/>
        </w:rPr>
        <w:t>Repeatab</w:t>
      </w:r>
      <w:r w:rsidR="006647AD">
        <w:rPr>
          <w:rFonts w:ascii="Arial" w:hAnsi="Arial" w:cs="Arial"/>
          <w:color w:val="000000" w:themeColor="text1"/>
          <w:sz w:val="22"/>
          <w:szCs w:val="22"/>
        </w:rPr>
        <w:t>ility was assessed by making</w:t>
      </w:r>
      <w:r w:rsidR="00CA4177" w:rsidRPr="00BE43C8">
        <w:rPr>
          <w:rFonts w:ascii="Arial" w:hAnsi="Arial" w:cs="Arial"/>
          <w:color w:val="000000" w:themeColor="text1"/>
          <w:sz w:val="22"/>
          <w:szCs w:val="22"/>
        </w:rPr>
        <w:t xml:space="preserve"> ten replicate analyses of </w:t>
      </w:r>
      <w:r w:rsidR="006647AD">
        <w:rPr>
          <w:rFonts w:ascii="Arial" w:hAnsi="Arial" w:cs="Arial"/>
          <w:color w:val="000000" w:themeColor="text1"/>
          <w:sz w:val="22"/>
          <w:szCs w:val="22"/>
        </w:rPr>
        <w:t xml:space="preserve">the drug standards </w:t>
      </w:r>
      <w:r w:rsidR="00CA4177" w:rsidRPr="00BE43C8">
        <w:rPr>
          <w:rFonts w:ascii="Arial" w:hAnsi="Arial" w:cs="Arial"/>
          <w:color w:val="000000" w:themeColor="text1"/>
          <w:sz w:val="22"/>
          <w:szCs w:val="22"/>
        </w:rPr>
        <w:t>at three concentration l</w:t>
      </w:r>
      <w:r w:rsidR="006647AD">
        <w:rPr>
          <w:rFonts w:ascii="Arial" w:hAnsi="Arial" w:cs="Arial"/>
          <w:color w:val="000000" w:themeColor="text1"/>
          <w:sz w:val="22"/>
          <w:szCs w:val="22"/>
        </w:rPr>
        <w:t>evels and calculating</w:t>
      </w:r>
      <w:r w:rsidR="006647AD" w:rsidRPr="006647AD">
        <w:rPr>
          <w:rFonts w:ascii="Arial" w:hAnsi="Arial" w:cs="Arial"/>
          <w:color w:val="000000" w:themeColor="text1"/>
          <w:sz w:val="22"/>
          <w:szCs w:val="22"/>
          <w:lang w:val="en-US"/>
        </w:rPr>
        <w:t xml:space="preserve"> </w:t>
      </w:r>
      <w:r w:rsidR="006647AD">
        <w:rPr>
          <w:rFonts w:ascii="Arial" w:hAnsi="Arial" w:cs="Arial"/>
          <w:color w:val="000000" w:themeColor="text1"/>
          <w:sz w:val="22"/>
          <w:szCs w:val="22"/>
          <w:lang w:val="en-US"/>
        </w:rPr>
        <w:t xml:space="preserve">the </w:t>
      </w:r>
      <w:r w:rsidR="006647AD" w:rsidRPr="00BE43C8">
        <w:rPr>
          <w:rFonts w:ascii="Arial" w:hAnsi="Arial" w:cs="Arial"/>
          <w:color w:val="000000" w:themeColor="text1"/>
          <w:sz w:val="22"/>
          <w:szCs w:val="22"/>
        </w:rPr>
        <w:t xml:space="preserve">mean, standard </w:t>
      </w:r>
      <w:proofErr w:type="gramStart"/>
      <w:r w:rsidR="006647AD" w:rsidRPr="00BE43C8">
        <w:rPr>
          <w:rFonts w:ascii="Arial" w:hAnsi="Arial" w:cs="Arial"/>
          <w:color w:val="000000" w:themeColor="text1"/>
          <w:sz w:val="22"/>
          <w:szCs w:val="22"/>
        </w:rPr>
        <w:t>deviation</w:t>
      </w:r>
      <w:proofErr w:type="gramEnd"/>
      <w:r w:rsidR="006647AD" w:rsidRPr="00BE43C8">
        <w:rPr>
          <w:rFonts w:ascii="Arial" w:hAnsi="Arial" w:cs="Arial"/>
          <w:color w:val="000000" w:themeColor="text1"/>
          <w:sz w:val="22"/>
          <w:szCs w:val="22"/>
        </w:rPr>
        <w:t xml:space="preserve"> and relative standard deviation of the relative response to the internal standard</w:t>
      </w:r>
      <w:r w:rsidR="006647AD">
        <w:rPr>
          <w:rFonts w:ascii="Arial" w:hAnsi="Arial" w:cs="Arial"/>
          <w:color w:val="000000" w:themeColor="text1"/>
          <w:sz w:val="22"/>
          <w:szCs w:val="22"/>
        </w:rPr>
        <w:t>.</w:t>
      </w:r>
    </w:p>
    <w:p w14:paraId="69146B8D" w14:textId="6DDE9F31" w:rsidR="00861B41" w:rsidRPr="0015368A" w:rsidRDefault="006647AD" w:rsidP="0016122E">
      <w:pPr>
        <w:spacing w:line="360" w:lineRule="auto"/>
        <w:jc w:val="both"/>
        <w:rPr>
          <w:rFonts w:ascii="Arial" w:hAnsi="Arial" w:cs="Arial"/>
          <w:color w:val="000000" w:themeColor="text1"/>
          <w:sz w:val="22"/>
          <w:szCs w:val="22"/>
        </w:rPr>
      </w:pPr>
      <w:r w:rsidRPr="0015368A">
        <w:rPr>
          <w:rFonts w:ascii="Arial" w:hAnsi="Arial" w:cs="Arial"/>
          <w:color w:val="000000" w:themeColor="text1"/>
          <w:sz w:val="22"/>
          <w:szCs w:val="22"/>
        </w:rPr>
        <w:t xml:space="preserve">Reproducibility </w:t>
      </w:r>
      <w:r w:rsidR="00663D0E" w:rsidRPr="0015368A">
        <w:rPr>
          <w:rFonts w:ascii="Arial" w:hAnsi="Arial" w:cs="Arial"/>
          <w:color w:val="000000" w:themeColor="text1"/>
          <w:sz w:val="22"/>
          <w:szCs w:val="22"/>
        </w:rPr>
        <w:t xml:space="preserve">was assessed by making five replicate analyses of </w:t>
      </w:r>
      <w:r w:rsidRPr="0015368A">
        <w:rPr>
          <w:rFonts w:ascii="Arial" w:hAnsi="Arial" w:cs="Arial"/>
          <w:color w:val="000000" w:themeColor="text1"/>
          <w:sz w:val="22"/>
          <w:szCs w:val="22"/>
        </w:rPr>
        <w:t xml:space="preserve">the drug standards </w:t>
      </w:r>
      <w:r w:rsidR="00E770B4" w:rsidRPr="0015368A">
        <w:rPr>
          <w:rFonts w:ascii="Arial" w:hAnsi="Arial" w:cs="Arial"/>
          <w:color w:val="000000" w:themeColor="text1"/>
          <w:sz w:val="22"/>
          <w:szCs w:val="22"/>
        </w:rPr>
        <w:t>over</w:t>
      </w:r>
      <w:r w:rsidR="00663D0E" w:rsidRPr="0015368A">
        <w:rPr>
          <w:rFonts w:ascii="Arial" w:hAnsi="Arial" w:cs="Arial"/>
          <w:color w:val="000000" w:themeColor="text1"/>
          <w:sz w:val="22"/>
          <w:szCs w:val="22"/>
          <w:lang w:val="en-US"/>
        </w:rPr>
        <w:t xml:space="preserve"> five consecutive days at the three concentration levels</w:t>
      </w:r>
      <w:r w:rsidR="00E770B4" w:rsidRPr="0015368A">
        <w:rPr>
          <w:rFonts w:ascii="Arial" w:hAnsi="Arial" w:cs="Arial"/>
          <w:color w:val="000000" w:themeColor="text1"/>
          <w:sz w:val="22"/>
          <w:szCs w:val="22"/>
          <w:lang w:val="en-US"/>
        </w:rPr>
        <w:t xml:space="preserve"> and calculating both within group (W) and between group (B) precision</w:t>
      </w:r>
      <w:r w:rsidR="007C50FE" w:rsidRPr="0015368A">
        <w:rPr>
          <w:rFonts w:ascii="Arial" w:hAnsi="Arial" w:cs="Arial"/>
          <w:color w:val="000000" w:themeColor="text1"/>
          <w:sz w:val="22"/>
          <w:szCs w:val="22"/>
          <w:lang w:val="en-US"/>
        </w:rPr>
        <w:t xml:space="preserve"> using</w:t>
      </w:r>
      <w:r w:rsidR="007C50FE" w:rsidRPr="0015368A">
        <w:rPr>
          <w:rFonts w:ascii="Arial" w:hAnsi="Arial" w:cs="Arial"/>
          <w:color w:val="000000" w:themeColor="text1"/>
          <w:sz w:val="22"/>
          <w:szCs w:val="22"/>
        </w:rPr>
        <w:t xml:space="preserve"> one-way ANOVA (Group = Day) </w:t>
      </w:r>
      <w:r w:rsidR="007C50FE" w:rsidRPr="0015368A">
        <w:rPr>
          <w:rFonts w:ascii="Arial" w:hAnsi="Arial" w:cs="Arial"/>
          <w:color w:val="000000" w:themeColor="text1"/>
          <w:sz w:val="22"/>
          <w:szCs w:val="22"/>
          <w:lang w:val="en-US"/>
        </w:rPr>
        <w:t>the equations</w:t>
      </w:r>
      <w:r w:rsidR="00A23D11" w:rsidRPr="0015368A">
        <w:rPr>
          <w:rFonts w:ascii="Arial" w:hAnsi="Arial" w:cs="Arial"/>
          <w:color w:val="000000" w:themeColor="text1"/>
          <w:sz w:val="22"/>
          <w:szCs w:val="22"/>
          <w:vertAlign w:val="superscript"/>
          <w:lang w:val="en-US"/>
        </w:rPr>
        <w:t>17</w:t>
      </w:r>
      <w:r w:rsidR="007C50FE" w:rsidRPr="0015368A">
        <w:rPr>
          <w:rFonts w:ascii="Arial" w:hAnsi="Arial" w:cs="Arial"/>
          <w:color w:val="000000" w:themeColor="text1"/>
          <w:sz w:val="22"/>
          <w:szCs w:val="22"/>
          <w:lang w:val="en-US"/>
        </w:rPr>
        <w:t>:</w:t>
      </w:r>
    </w:p>
    <w:p w14:paraId="1A1C9EE1" w14:textId="77777777" w:rsidR="000629E7" w:rsidRPr="0015368A" w:rsidRDefault="000629E7" w:rsidP="0016122E">
      <w:pPr>
        <w:spacing w:line="360" w:lineRule="auto"/>
        <w:jc w:val="both"/>
        <w:rPr>
          <w:rFonts w:ascii="Arial" w:hAnsi="Arial" w:cs="Arial"/>
          <w:color w:val="000000" w:themeColor="text1"/>
          <w:sz w:val="22"/>
          <w:szCs w:val="22"/>
        </w:rPr>
      </w:pPr>
    </w:p>
    <w:p w14:paraId="5707EAFD" w14:textId="20019BD1" w:rsidR="000629E7" w:rsidRPr="0015368A" w:rsidRDefault="000629E7" w:rsidP="0016122E">
      <w:pPr>
        <w:spacing w:line="360" w:lineRule="auto"/>
        <w:jc w:val="both"/>
        <w:rPr>
          <w:rFonts w:ascii="Arial" w:hAnsi="Arial" w:cs="Arial"/>
          <w:i/>
          <w:iCs/>
          <w:color w:val="000000" w:themeColor="text1"/>
          <w:sz w:val="22"/>
          <w:szCs w:val="22"/>
        </w:rPr>
      </w:pPr>
      <m:oMath>
        <m:r>
          <w:rPr>
            <w:rFonts w:ascii="Cambria Math" w:hAnsi="Cambria Math" w:cs="Arial"/>
            <w:color w:val="000000" w:themeColor="text1"/>
            <w:sz w:val="22"/>
            <w:szCs w:val="22"/>
            <w:lang w:val="en-US"/>
          </w:rPr>
          <m:t>%</m:t>
        </m:r>
        <m:sSub>
          <m:sSubPr>
            <m:ctrlPr>
              <w:rPr>
                <w:rFonts w:ascii="Cambria Math" w:hAnsi="Cambria Math" w:cs="Arial"/>
                <w:i/>
                <w:iCs/>
                <w:color w:val="000000" w:themeColor="text1"/>
                <w:sz w:val="22"/>
                <w:szCs w:val="22"/>
                <w:lang w:val="en-US"/>
              </w:rPr>
            </m:ctrlPr>
          </m:sSubPr>
          <m:e>
            <m:r>
              <w:rPr>
                <w:rFonts w:ascii="Cambria Math" w:hAnsi="Cambria Math" w:cs="Arial"/>
                <w:color w:val="000000" w:themeColor="text1"/>
                <w:sz w:val="22"/>
                <w:szCs w:val="22"/>
                <w:lang w:val="en-US"/>
              </w:rPr>
              <m:t>RSD</m:t>
            </m:r>
          </m:e>
          <m:sub>
            <m:r>
              <w:rPr>
                <w:rFonts w:ascii="Cambria Math" w:hAnsi="Cambria Math" w:cs="Arial"/>
                <w:color w:val="000000" w:themeColor="text1"/>
                <w:sz w:val="22"/>
                <w:szCs w:val="22"/>
                <w:lang w:val="en-US"/>
              </w:rPr>
              <m:t>W</m:t>
            </m:r>
          </m:sub>
        </m:sSub>
        <m:r>
          <w:rPr>
            <w:rFonts w:ascii="Cambria Math" w:hAnsi="Cambria Math" w:cs="Arial"/>
            <w:color w:val="000000" w:themeColor="text1"/>
            <w:sz w:val="22"/>
            <w:szCs w:val="22"/>
            <w:lang w:val="en-US"/>
          </w:rPr>
          <m:t>=</m:t>
        </m:r>
        <m:f>
          <m:fPr>
            <m:ctrlPr>
              <w:rPr>
                <w:rFonts w:ascii="Cambria Math" w:hAnsi="Cambria Math" w:cs="Arial"/>
                <w:i/>
                <w:iCs/>
                <w:color w:val="000000" w:themeColor="text1"/>
                <w:sz w:val="22"/>
                <w:szCs w:val="22"/>
                <w:lang w:val="en-US"/>
              </w:rPr>
            </m:ctrlPr>
          </m:fPr>
          <m:num>
            <m:rad>
              <m:radPr>
                <m:degHide m:val="1"/>
                <m:ctrlPr>
                  <w:rPr>
                    <w:rFonts w:ascii="Cambria Math" w:hAnsi="Cambria Math" w:cs="Arial"/>
                    <w:i/>
                    <w:iCs/>
                    <w:color w:val="000000" w:themeColor="text1"/>
                    <w:sz w:val="22"/>
                    <w:szCs w:val="22"/>
                    <w:lang w:val="en-US"/>
                  </w:rPr>
                </m:ctrlPr>
              </m:radPr>
              <m:deg/>
              <m:e>
                <m:r>
                  <w:rPr>
                    <w:rFonts w:ascii="Cambria Math" w:hAnsi="Cambria Math" w:cs="Arial"/>
                    <w:color w:val="000000" w:themeColor="text1"/>
                    <w:sz w:val="22"/>
                    <w:szCs w:val="22"/>
                    <w:lang w:val="en-US"/>
                  </w:rPr>
                  <m:t>MSW</m:t>
                </m:r>
              </m:e>
            </m:rad>
          </m:num>
          <m:den>
            <m:r>
              <w:rPr>
                <w:rFonts w:ascii="Cambria Math" w:hAnsi="Cambria Math" w:cs="Arial"/>
                <w:color w:val="000000" w:themeColor="text1"/>
                <w:sz w:val="22"/>
                <w:szCs w:val="22"/>
                <w:lang w:val="en-US"/>
              </w:rPr>
              <m:t>X</m:t>
            </m:r>
          </m:den>
        </m:f>
        <m:r>
          <w:rPr>
            <w:rFonts w:ascii="Cambria Math" w:hAnsi="Cambria Math" w:cs="Arial"/>
            <w:color w:val="000000" w:themeColor="text1"/>
            <w:sz w:val="22"/>
            <w:szCs w:val="22"/>
            <w:lang w:val="en-US"/>
          </w:rPr>
          <m:t>×100</m:t>
        </m:r>
      </m:oMath>
      <w:r w:rsidR="00BE1A3F" w:rsidRPr="0015368A">
        <w:rPr>
          <w:rFonts w:ascii="Arial" w:hAnsi="Arial" w:cs="Arial"/>
          <w:i/>
          <w:iCs/>
          <w:color w:val="000000" w:themeColor="text1"/>
          <w:sz w:val="22"/>
          <w:szCs w:val="22"/>
        </w:rPr>
        <w:tab/>
      </w:r>
      <w:r w:rsidR="00BE1A3F" w:rsidRPr="0015368A">
        <w:rPr>
          <w:rFonts w:ascii="Arial" w:hAnsi="Arial" w:cs="Arial"/>
          <w:i/>
          <w:iCs/>
          <w:color w:val="000000" w:themeColor="text1"/>
          <w:sz w:val="22"/>
          <w:szCs w:val="22"/>
        </w:rPr>
        <w:tab/>
      </w:r>
      <w:r w:rsidR="00BE1A3F" w:rsidRPr="0015368A">
        <w:rPr>
          <w:rFonts w:ascii="Arial" w:hAnsi="Arial" w:cs="Arial"/>
          <w:i/>
          <w:iCs/>
          <w:color w:val="000000" w:themeColor="text1"/>
          <w:sz w:val="22"/>
          <w:szCs w:val="22"/>
        </w:rPr>
        <w:tab/>
      </w:r>
      <w:r w:rsidR="00BE1A3F" w:rsidRPr="0015368A">
        <w:rPr>
          <w:rFonts w:ascii="Arial" w:hAnsi="Arial" w:cs="Arial"/>
          <w:i/>
          <w:iCs/>
          <w:color w:val="000000" w:themeColor="text1"/>
          <w:sz w:val="22"/>
          <w:szCs w:val="22"/>
        </w:rPr>
        <w:tab/>
      </w:r>
      <w:r w:rsidR="00BE1A3F" w:rsidRPr="0015368A">
        <w:rPr>
          <w:rFonts w:ascii="Arial" w:hAnsi="Arial" w:cs="Arial"/>
          <w:i/>
          <w:iCs/>
          <w:color w:val="000000" w:themeColor="text1"/>
          <w:sz w:val="22"/>
          <w:szCs w:val="22"/>
        </w:rPr>
        <w:tab/>
      </w:r>
      <w:r w:rsidR="00BE1A3F" w:rsidRPr="0015368A">
        <w:rPr>
          <w:rFonts w:ascii="Arial" w:hAnsi="Arial" w:cs="Arial"/>
          <w:i/>
          <w:iCs/>
          <w:color w:val="000000" w:themeColor="text1"/>
          <w:sz w:val="22"/>
          <w:szCs w:val="22"/>
        </w:rPr>
        <w:tab/>
      </w:r>
      <w:r w:rsidR="00BE1A3F" w:rsidRPr="0015368A">
        <w:rPr>
          <w:rFonts w:ascii="Arial" w:hAnsi="Arial" w:cs="Arial"/>
          <w:i/>
          <w:iCs/>
          <w:color w:val="000000" w:themeColor="text1"/>
          <w:sz w:val="22"/>
          <w:szCs w:val="22"/>
        </w:rPr>
        <w:tab/>
      </w:r>
      <w:r w:rsidR="00BE1A3F" w:rsidRPr="0015368A">
        <w:rPr>
          <w:rFonts w:ascii="Arial" w:hAnsi="Arial" w:cs="Arial"/>
          <w:i/>
          <w:iCs/>
          <w:color w:val="000000" w:themeColor="text1"/>
          <w:sz w:val="22"/>
          <w:szCs w:val="22"/>
        </w:rPr>
        <w:tab/>
      </w:r>
      <w:r w:rsidRPr="0015368A">
        <w:rPr>
          <w:rFonts w:ascii="Arial" w:hAnsi="Arial" w:cs="Arial"/>
          <w:i/>
          <w:iCs/>
          <w:color w:val="000000" w:themeColor="text1"/>
          <w:sz w:val="22"/>
          <w:szCs w:val="22"/>
        </w:rPr>
        <w:tab/>
      </w:r>
      <w:r w:rsidRPr="0015368A">
        <w:rPr>
          <w:rFonts w:ascii="Arial" w:hAnsi="Arial" w:cs="Arial"/>
          <w:i/>
          <w:iCs/>
          <w:color w:val="000000" w:themeColor="text1"/>
          <w:sz w:val="22"/>
          <w:szCs w:val="22"/>
        </w:rPr>
        <w:tab/>
      </w:r>
      <w:r w:rsidRPr="0015368A">
        <w:rPr>
          <w:rFonts w:ascii="Arial" w:hAnsi="Arial" w:cs="Arial"/>
          <w:i/>
          <w:iCs/>
          <w:color w:val="000000" w:themeColor="text1"/>
          <w:sz w:val="22"/>
          <w:szCs w:val="22"/>
        </w:rPr>
        <w:tab/>
      </w:r>
      <w:r w:rsidRPr="0015368A">
        <w:rPr>
          <w:rFonts w:ascii="Arial" w:hAnsi="Arial" w:cs="Arial"/>
          <w:i/>
          <w:iCs/>
          <w:color w:val="000000" w:themeColor="text1"/>
          <w:sz w:val="22"/>
          <w:szCs w:val="22"/>
        </w:rPr>
        <w:tab/>
      </w:r>
      <w:r w:rsidRPr="0015368A">
        <w:rPr>
          <w:rFonts w:ascii="Arial" w:hAnsi="Arial" w:cs="Arial"/>
          <w:i/>
          <w:iCs/>
          <w:color w:val="000000" w:themeColor="text1"/>
          <w:sz w:val="22"/>
          <w:szCs w:val="22"/>
        </w:rPr>
        <w:tab/>
      </w:r>
      <w:r w:rsidRPr="0015368A">
        <w:rPr>
          <w:rFonts w:ascii="Arial" w:hAnsi="Arial" w:cs="Arial"/>
          <w:i/>
          <w:iCs/>
          <w:color w:val="000000" w:themeColor="text1"/>
          <w:sz w:val="22"/>
          <w:szCs w:val="22"/>
        </w:rPr>
        <w:tab/>
        <w:t xml:space="preserve">             </w:t>
      </w:r>
    </w:p>
    <w:p w14:paraId="65CED02A" w14:textId="46F8A19D" w:rsidR="000629E7" w:rsidRPr="0015368A" w:rsidRDefault="000629E7" w:rsidP="0016122E">
      <w:pPr>
        <w:spacing w:line="360" w:lineRule="auto"/>
        <w:jc w:val="both"/>
        <w:rPr>
          <w:rFonts w:ascii="Arial" w:hAnsi="Arial" w:cs="Arial"/>
          <w:i/>
          <w:iCs/>
          <w:color w:val="000000" w:themeColor="text1"/>
          <w:sz w:val="22"/>
          <w:szCs w:val="22"/>
        </w:rPr>
      </w:pPr>
      <m:oMath>
        <m:r>
          <w:rPr>
            <w:rFonts w:ascii="Cambria Math" w:hAnsi="Cambria Math" w:cs="Arial"/>
            <w:color w:val="000000" w:themeColor="text1"/>
            <w:sz w:val="22"/>
            <w:szCs w:val="22"/>
            <w:lang w:val="en-US"/>
          </w:rPr>
          <m:t>%</m:t>
        </m:r>
        <m:sSub>
          <m:sSubPr>
            <m:ctrlPr>
              <w:rPr>
                <w:rFonts w:ascii="Cambria Math" w:hAnsi="Cambria Math" w:cs="Arial"/>
                <w:i/>
                <w:iCs/>
                <w:color w:val="000000" w:themeColor="text1"/>
                <w:sz w:val="22"/>
                <w:szCs w:val="22"/>
                <w:lang w:val="en-US"/>
              </w:rPr>
            </m:ctrlPr>
          </m:sSubPr>
          <m:e>
            <m:r>
              <w:rPr>
                <w:rFonts w:ascii="Cambria Math" w:hAnsi="Cambria Math" w:cs="Arial"/>
                <w:color w:val="000000" w:themeColor="text1"/>
                <w:sz w:val="22"/>
                <w:szCs w:val="22"/>
                <w:lang w:val="en-US"/>
              </w:rPr>
              <m:t>RSD</m:t>
            </m:r>
          </m:e>
          <m:sub>
            <m:r>
              <w:rPr>
                <w:rFonts w:ascii="Cambria Math" w:hAnsi="Cambria Math" w:cs="Arial"/>
                <w:color w:val="000000" w:themeColor="text1"/>
                <w:sz w:val="22"/>
                <w:szCs w:val="22"/>
                <w:lang w:val="en-US"/>
              </w:rPr>
              <m:t>B</m:t>
            </m:r>
          </m:sub>
        </m:sSub>
        <m:r>
          <w:rPr>
            <w:rFonts w:ascii="Cambria Math" w:hAnsi="Cambria Math" w:cs="Arial"/>
            <w:color w:val="000000" w:themeColor="text1"/>
            <w:sz w:val="22"/>
            <w:szCs w:val="22"/>
            <w:lang w:val="en-US"/>
          </w:rPr>
          <m:t>=</m:t>
        </m:r>
        <m:f>
          <m:fPr>
            <m:ctrlPr>
              <w:rPr>
                <w:rFonts w:ascii="Cambria Math" w:hAnsi="Cambria Math" w:cs="Arial"/>
                <w:i/>
                <w:iCs/>
                <w:color w:val="000000" w:themeColor="text1"/>
                <w:sz w:val="22"/>
                <w:szCs w:val="22"/>
                <w:lang w:val="en-US"/>
              </w:rPr>
            </m:ctrlPr>
          </m:fPr>
          <m:num>
            <m:rad>
              <m:radPr>
                <m:degHide m:val="1"/>
                <m:ctrlPr>
                  <w:rPr>
                    <w:rFonts w:ascii="Cambria Math" w:hAnsi="Cambria Math" w:cs="Arial"/>
                    <w:i/>
                    <w:iCs/>
                    <w:color w:val="000000" w:themeColor="text1"/>
                    <w:sz w:val="22"/>
                    <w:szCs w:val="22"/>
                    <w:lang w:val="en-US"/>
                  </w:rPr>
                </m:ctrlPr>
              </m:radPr>
              <m:deg/>
              <m:e>
                <m:r>
                  <w:rPr>
                    <w:rFonts w:ascii="Cambria Math" w:hAnsi="Cambria Math" w:cs="Arial"/>
                    <w:color w:val="000000" w:themeColor="text1"/>
                    <w:sz w:val="22"/>
                    <w:szCs w:val="22"/>
                    <w:lang w:val="en-US"/>
                  </w:rPr>
                  <m:t>(MSB-MSW)/n</m:t>
                </m:r>
              </m:e>
            </m:rad>
          </m:num>
          <m:den>
            <m:r>
              <w:rPr>
                <w:rFonts w:ascii="Cambria Math" w:hAnsi="Cambria Math" w:cs="Arial"/>
                <w:color w:val="000000" w:themeColor="text1"/>
                <w:sz w:val="22"/>
                <w:szCs w:val="22"/>
                <w:lang w:val="en-US"/>
              </w:rPr>
              <m:t>X</m:t>
            </m:r>
          </m:den>
        </m:f>
        <m:r>
          <w:rPr>
            <w:rFonts w:ascii="Cambria Math" w:hAnsi="Cambria Math" w:cs="Arial"/>
            <w:color w:val="000000" w:themeColor="text1"/>
            <w:sz w:val="22"/>
            <w:szCs w:val="22"/>
            <w:lang w:val="en-US"/>
          </w:rPr>
          <m:t>×100</m:t>
        </m:r>
      </m:oMath>
      <w:r w:rsidRPr="0015368A">
        <w:rPr>
          <w:rFonts w:ascii="Arial" w:hAnsi="Arial" w:cs="Arial"/>
          <w:i/>
          <w:iCs/>
          <w:color w:val="000000" w:themeColor="text1"/>
          <w:sz w:val="22"/>
          <w:szCs w:val="22"/>
        </w:rPr>
        <w:t xml:space="preserve"> </w:t>
      </w:r>
      <w:r w:rsidRPr="0015368A">
        <w:rPr>
          <w:rFonts w:ascii="Arial" w:hAnsi="Arial" w:cs="Arial"/>
          <w:i/>
          <w:iCs/>
          <w:color w:val="000000" w:themeColor="text1"/>
          <w:sz w:val="22"/>
          <w:szCs w:val="22"/>
        </w:rPr>
        <w:tab/>
      </w:r>
      <w:r w:rsidRPr="0015368A">
        <w:rPr>
          <w:rFonts w:ascii="Arial" w:hAnsi="Arial" w:cs="Arial"/>
          <w:i/>
          <w:iCs/>
          <w:color w:val="000000" w:themeColor="text1"/>
          <w:sz w:val="22"/>
          <w:szCs w:val="22"/>
        </w:rPr>
        <w:tab/>
      </w:r>
      <w:r w:rsidRPr="0015368A">
        <w:rPr>
          <w:rFonts w:ascii="Arial" w:hAnsi="Arial" w:cs="Arial"/>
          <w:i/>
          <w:iCs/>
          <w:color w:val="000000" w:themeColor="text1"/>
          <w:sz w:val="22"/>
          <w:szCs w:val="22"/>
        </w:rPr>
        <w:tab/>
      </w:r>
      <w:r w:rsidRPr="0015368A">
        <w:rPr>
          <w:rFonts w:ascii="Arial" w:hAnsi="Arial" w:cs="Arial"/>
          <w:i/>
          <w:iCs/>
          <w:color w:val="000000" w:themeColor="text1"/>
          <w:sz w:val="22"/>
          <w:szCs w:val="22"/>
        </w:rPr>
        <w:tab/>
      </w:r>
      <w:r w:rsidRPr="0015368A">
        <w:rPr>
          <w:rFonts w:ascii="Arial" w:hAnsi="Arial" w:cs="Arial"/>
          <w:i/>
          <w:iCs/>
          <w:color w:val="000000" w:themeColor="text1"/>
          <w:sz w:val="22"/>
          <w:szCs w:val="22"/>
        </w:rPr>
        <w:tab/>
      </w:r>
      <w:r w:rsidRPr="0015368A">
        <w:rPr>
          <w:rFonts w:ascii="Arial" w:hAnsi="Arial" w:cs="Arial"/>
          <w:i/>
          <w:iCs/>
          <w:color w:val="000000" w:themeColor="text1"/>
          <w:sz w:val="22"/>
          <w:szCs w:val="22"/>
        </w:rPr>
        <w:tab/>
      </w:r>
      <w:r w:rsidRPr="0015368A">
        <w:rPr>
          <w:rFonts w:ascii="Arial" w:hAnsi="Arial" w:cs="Arial"/>
          <w:i/>
          <w:iCs/>
          <w:color w:val="000000" w:themeColor="text1"/>
          <w:sz w:val="22"/>
          <w:szCs w:val="22"/>
        </w:rPr>
        <w:tab/>
      </w:r>
      <w:r w:rsidRPr="0015368A">
        <w:rPr>
          <w:rFonts w:ascii="Arial" w:hAnsi="Arial" w:cs="Arial"/>
          <w:i/>
          <w:iCs/>
          <w:color w:val="000000" w:themeColor="text1"/>
          <w:sz w:val="22"/>
          <w:szCs w:val="22"/>
        </w:rPr>
        <w:tab/>
      </w:r>
    </w:p>
    <w:p w14:paraId="4A14B672" w14:textId="77777777" w:rsidR="000629E7" w:rsidRPr="0015368A" w:rsidRDefault="000629E7" w:rsidP="0016122E">
      <w:pPr>
        <w:spacing w:line="360" w:lineRule="auto"/>
        <w:jc w:val="both"/>
        <w:rPr>
          <w:rFonts w:ascii="Arial" w:hAnsi="Arial" w:cs="Arial"/>
          <w:color w:val="000000" w:themeColor="text1"/>
          <w:sz w:val="22"/>
          <w:szCs w:val="22"/>
        </w:rPr>
      </w:pPr>
    </w:p>
    <w:p w14:paraId="17A80F6E" w14:textId="77777777" w:rsidR="000629E7" w:rsidRPr="0015368A" w:rsidRDefault="000629E7" w:rsidP="0016122E">
      <w:pPr>
        <w:spacing w:line="360" w:lineRule="auto"/>
        <w:jc w:val="both"/>
        <w:rPr>
          <w:rFonts w:ascii="Arial" w:hAnsi="Arial" w:cs="Arial"/>
          <w:color w:val="000000" w:themeColor="text1"/>
          <w:sz w:val="22"/>
          <w:szCs w:val="22"/>
        </w:rPr>
      </w:pPr>
      <w:r w:rsidRPr="0015368A">
        <w:rPr>
          <w:rFonts w:ascii="Arial" w:hAnsi="Arial" w:cs="Arial"/>
          <w:color w:val="000000" w:themeColor="text1"/>
          <w:sz w:val="22"/>
          <w:szCs w:val="22"/>
        </w:rPr>
        <w:t>If MSB &lt; MSW, set %RSD</w:t>
      </w:r>
      <w:r w:rsidRPr="0015368A">
        <w:rPr>
          <w:rFonts w:ascii="Arial" w:hAnsi="Arial" w:cs="Arial"/>
          <w:color w:val="000000" w:themeColor="text1"/>
          <w:sz w:val="22"/>
          <w:szCs w:val="22"/>
          <w:vertAlign w:val="subscript"/>
        </w:rPr>
        <w:t>B</w:t>
      </w:r>
      <w:r w:rsidRPr="0015368A">
        <w:rPr>
          <w:rFonts w:ascii="Arial" w:hAnsi="Arial" w:cs="Arial"/>
          <w:color w:val="000000" w:themeColor="text1"/>
          <w:sz w:val="22"/>
          <w:szCs w:val="22"/>
        </w:rPr>
        <w:t xml:space="preserve"> = 0</w:t>
      </w:r>
    </w:p>
    <w:p w14:paraId="2564A489" w14:textId="77777777" w:rsidR="000629E7" w:rsidRPr="0015368A" w:rsidRDefault="000629E7" w:rsidP="0016122E">
      <w:pPr>
        <w:spacing w:line="360" w:lineRule="auto"/>
        <w:jc w:val="both"/>
        <w:rPr>
          <w:rFonts w:ascii="Arial" w:hAnsi="Arial" w:cs="Arial"/>
          <w:color w:val="000000" w:themeColor="text1"/>
          <w:sz w:val="22"/>
          <w:szCs w:val="22"/>
        </w:rPr>
      </w:pPr>
      <w:proofErr w:type="gramStart"/>
      <w:r w:rsidRPr="0015368A">
        <w:rPr>
          <w:rFonts w:ascii="Arial" w:hAnsi="Arial" w:cs="Arial"/>
          <w:color w:val="000000" w:themeColor="text1"/>
          <w:sz w:val="22"/>
          <w:szCs w:val="22"/>
        </w:rPr>
        <w:t>Where</w:t>
      </w:r>
      <w:proofErr w:type="gramEnd"/>
      <w:r w:rsidRPr="0015368A">
        <w:rPr>
          <w:rFonts w:ascii="Arial" w:hAnsi="Arial" w:cs="Arial"/>
          <w:color w:val="000000" w:themeColor="text1"/>
          <w:sz w:val="22"/>
          <w:szCs w:val="22"/>
        </w:rPr>
        <w:t>,</w:t>
      </w:r>
    </w:p>
    <w:p w14:paraId="2108F0BE" w14:textId="77777777" w:rsidR="000629E7" w:rsidRPr="0015368A" w:rsidRDefault="000629E7" w:rsidP="0016122E">
      <w:pPr>
        <w:spacing w:line="360" w:lineRule="auto"/>
        <w:ind w:firstLine="720"/>
        <w:jc w:val="both"/>
        <w:rPr>
          <w:rFonts w:ascii="Arial" w:hAnsi="Arial" w:cs="Arial"/>
          <w:color w:val="000000" w:themeColor="text1"/>
          <w:sz w:val="22"/>
          <w:szCs w:val="22"/>
        </w:rPr>
      </w:pPr>
      <w:r w:rsidRPr="0015368A">
        <w:rPr>
          <w:rFonts w:ascii="Arial" w:hAnsi="Arial" w:cs="Arial"/>
          <w:i/>
          <w:color w:val="000000" w:themeColor="text1"/>
          <w:sz w:val="22"/>
          <w:szCs w:val="22"/>
        </w:rPr>
        <w:t>X</w:t>
      </w:r>
      <w:r w:rsidRPr="0015368A">
        <w:rPr>
          <w:rFonts w:ascii="Arial" w:hAnsi="Arial" w:cs="Arial"/>
          <w:color w:val="000000" w:themeColor="text1"/>
          <w:sz w:val="22"/>
          <w:szCs w:val="22"/>
        </w:rPr>
        <w:t xml:space="preserve"> = Grand mean of all observations</w:t>
      </w:r>
    </w:p>
    <w:p w14:paraId="6F085BBF" w14:textId="77777777" w:rsidR="000629E7" w:rsidRPr="0015368A" w:rsidRDefault="000629E7" w:rsidP="0016122E">
      <w:pPr>
        <w:spacing w:line="360" w:lineRule="auto"/>
        <w:ind w:firstLine="720"/>
        <w:jc w:val="both"/>
        <w:rPr>
          <w:rFonts w:ascii="Arial" w:hAnsi="Arial" w:cs="Arial"/>
          <w:color w:val="000000" w:themeColor="text1"/>
          <w:sz w:val="22"/>
          <w:szCs w:val="22"/>
        </w:rPr>
      </w:pPr>
      <w:r w:rsidRPr="0015368A">
        <w:rPr>
          <w:rFonts w:ascii="Arial" w:hAnsi="Arial" w:cs="Arial"/>
          <w:i/>
          <w:color w:val="000000" w:themeColor="text1"/>
          <w:sz w:val="22"/>
          <w:szCs w:val="22"/>
        </w:rPr>
        <w:t>n</w:t>
      </w:r>
      <w:r w:rsidRPr="0015368A">
        <w:rPr>
          <w:rFonts w:ascii="Arial" w:hAnsi="Arial" w:cs="Arial"/>
          <w:color w:val="000000" w:themeColor="text1"/>
          <w:sz w:val="22"/>
          <w:szCs w:val="22"/>
        </w:rPr>
        <w:t xml:space="preserve"> = Number of observations in group</w:t>
      </w:r>
    </w:p>
    <w:p w14:paraId="2EB4AD77" w14:textId="77777777" w:rsidR="000629E7" w:rsidRPr="0015368A" w:rsidRDefault="000629E7" w:rsidP="0016122E">
      <w:pPr>
        <w:spacing w:line="360" w:lineRule="auto"/>
        <w:ind w:firstLine="720"/>
        <w:jc w:val="both"/>
        <w:rPr>
          <w:rFonts w:ascii="Arial" w:hAnsi="Arial" w:cs="Arial"/>
          <w:color w:val="000000" w:themeColor="text1"/>
          <w:sz w:val="22"/>
          <w:szCs w:val="22"/>
        </w:rPr>
      </w:pPr>
      <w:r w:rsidRPr="0015368A">
        <w:rPr>
          <w:rFonts w:ascii="Arial" w:hAnsi="Arial" w:cs="Arial"/>
          <w:i/>
          <w:color w:val="000000" w:themeColor="text1"/>
          <w:sz w:val="22"/>
          <w:szCs w:val="22"/>
        </w:rPr>
        <w:t>MSW</w:t>
      </w:r>
      <w:r w:rsidRPr="0015368A">
        <w:rPr>
          <w:rFonts w:ascii="Arial" w:hAnsi="Arial" w:cs="Arial"/>
          <w:color w:val="000000" w:themeColor="text1"/>
          <w:sz w:val="22"/>
          <w:szCs w:val="22"/>
        </w:rPr>
        <w:t xml:space="preserve"> = mean of squares within group</w:t>
      </w:r>
    </w:p>
    <w:p w14:paraId="646F8A77" w14:textId="77777777" w:rsidR="000629E7" w:rsidRPr="0015368A" w:rsidRDefault="000629E7" w:rsidP="0016122E">
      <w:pPr>
        <w:spacing w:line="360" w:lineRule="auto"/>
        <w:ind w:firstLine="720"/>
        <w:jc w:val="both"/>
        <w:rPr>
          <w:rFonts w:ascii="Arial" w:hAnsi="Arial" w:cs="Arial"/>
          <w:color w:val="000000" w:themeColor="text1"/>
          <w:sz w:val="22"/>
          <w:szCs w:val="22"/>
        </w:rPr>
      </w:pPr>
      <w:r w:rsidRPr="0015368A">
        <w:rPr>
          <w:rFonts w:ascii="Arial" w:hAnsi="Arial" w:cs="Arial"/>
          <w:i/>
          <w:color w:val="000000" w:themeColor="text1"/>
          <w:sz w:val="22"/>
          <w:szCs w:val="22"/>
        </w:rPr>
        <w:t>MSB</w:t>
      </w:r>
      <w:r w:rsidRPr="0015368A">
        <w:rPr>
          <w:rFonts w:ascii="Arial" w:hAnsi="Arial" w:cs="Arial"/>
          <w:color w:val="000000" w:themeColor="text1"/>
          <w:sz w:val="22"/>
          <w:szCs w:val="22"/>
        </w:rPr>
        <w:t xml:space="preserve"> = mean of squares between groups</w:t>
      </w:r>
    </w:p>
    <w:p w14:paraId="441F0E25" w14:textId="7F68D1AA" w:rsidR="00861B41" w:rsidRPr="00BE43C8" w:rsidRDefault="00861B41" w:rsidP="0016122E">
      <w:pPr>
        <w:tabs>
          <w:tab w:val="left" w:pos="2257"/>
        </w:tabs>
        <w:spacing w:line="360" w:lineRule="auto"/>
        <w:rPr>
          <w:rFonts w:ascii="Arial" w:hAnsi="Arial" w:cs="Arial"/>
          <w:color w:val="000000" w:themeColor="text1"/>
          <w:sz w:val="22"/>
          <w:szCs w:val="22"/>
        </w:rPr>
      </w:pPr>
    </w:p>
    <w:p w14:paraId="274FC2E9" w14:textId="38F6AA23" w:rsidR="00AE295D" w:rsidRPr="00BE43C8" w:rsidRDefault="00FF7285" w:rsidP="0016122E">
      <w:pPr>
        <w:spacing w:line="360" w:lineRule="auto"/>
        <w:rPr>
          <w:rFonts w:ascii="Arial" w:hAnsi="Arial" w:cs="Arial"/>
          <w:b/>
          <w:bCs/>
          <w:color w:val="000000" w:themeColor="text1"/>
          <w:sz w:val="22"/>
          <w:szCs w:val="22"/>
        </w:rPr>
      </w:pPr>
      <w:r>
        <w:rPr>
          <w:rFonts w:ascii="Arial" w:hAnsi="Arial" w:cs="Arial"/>
          <w:b/>
          <w:bCs/>
          <w:color w:val="000000" w:themeColor="text1"/>
          <w:sz w:val="22"/>
          <w:szCs w:val="22"/>
        </w:rPr>
        <w:t>2.6</w:t>
      </w:r>
      <w:r>
        <w:rPr>
          <w:rFonts w:ascii="Arial" w:hAnsi="Arial" w:cs="Arial"/>
          <w:b/>
          <w:bCs/>
          <w:color w:val="000000" w:themeColor="text1"/>
          <w:sz w:val="22"/>
          <w:szCs w:val="22"/>
        </w:rPr>
        <w:tab/>
      </w:r>
      <w:proofErr w:type="spellStart"/>
      <w:r w:rsidR="00AE295D" w:rsidRPr="00BE43C8">
        <w:rPr>
          <w:rFonts w:ascii="Arial" w:hAnsi="Arial" w:cs="Arial"/>
          <w:b/>
          <w:bCs/>
          <w:color w:val="000000" w:themeColor="text1"/>
          <w:sz w:val="22"/>
          <w:szCs w:val="22"/>
        </w:rPr>
        <w:t>Nyaope</w:t>
      </w:r>
      <w:proofErr w:type="spellEnd"/>
      <w:r w:rsidR="00AE295D" w:rsidRPr="00BE43C8">
        <w:rPr>
          <w:rFonts w:ascii="Arial" w:hAnsi="Arial" w:cs="Arial"/>
          <w:b/>
          <w:bCs/>
          <w:color w:val="000000" w:themeColor="text1"/>
          <w:sz w:val="22"/>
          <w:szCs w:val="22"/>
        </w:rPr>
        <w:t xml:space="preserve"> </w:t>
      </w:r>
      <w:r w:rsidR="00BD688A">
        <w:rPr>
          <w:rFonts w:ascii="Arial" w:hAnsi="Arial" w:cs="Arial"/>
          <w:b/>
          <w:bCs/>
          <w:color w:val="000000" w:themeColor="text1"/>
          <w:sz w:val="22"/>
          <w:szCs w:val="22"/>
        </w:rPr>
        <w:t>sample profiling and comparison</w:t>
      </w:r>
    </w:p>
    <w:p w14:paraId="3B05B7E7" w14:textId="63F51ADF" w:rsidR="00AE295D" w:rsidRPr="00BE43C8" w:rsidRDefault="00AE295D" w:rsidP="0016122E">
      <w:pPr>
        <w:spacing w:line="360" w:lineRule="auto"/>
        <w:jc w:val="both"/>
        <w:rPr>
          <w:rFonts w:ascii="Arial" w:hAnsi="Arial" w:cs="Arial"/>
          <w:i/>
          <w:color w:val="000000" w:themeColor="text1"/>
          <w:sz w:val="22"/>
          <w:szCs w:val="22"/>
        </w:rPr>
      </w:pPr>
      <w:proofErr w:type="gramStart"/>
      <w:r w:rsidRPr="00BE43C8">
        <w:rPr>
          <w:rFonts w:ascii="Arial" w:hAnsi="Arial" w:cs="Arial"/>
          <w:color w:val="000000" w:themeColor="text1"/>
          <w:sz w:val="22"/>
          <w:szCs w:val="22"/>
        </w:rPr>
        <w:t>In order to</w:t>
      </w:r>
      <w:proofErr w:type="gramEnd"/>
      <w:r w:rsidRPr="00BE43C8">
        <w:rPr>
          <w:rFonts w:ascii="Arial" w:hAnsi="Arial" w:cs="Arial"/>
          <w:color w:val="000000" w:themeColor="text1"/>
          <w:sz w:val="22"/>
          <w:szCs w:val="22"/>
        </w:rPr>
        <w:t xml:space="preserve"> investigate the validity of the method for </w:t>
      </w:r>
      <w:proofErr w:type="spellStart"/>
      <w:r w:rsidRPr="00BE43C8">
        <w:rPr>
          <w:rFonts w:ascii="Arial" w:hAnsi="Arial" w:cs="Arial"/>
          <w:color w:val="000000" w:themeColor="text1"/>
          <w:sz w:val="22"/>
          <w:szCs w:val="22"/>
        </w:rPr>
        <w:t>nyaope</w:t>
      </w:r>
      <w:proofErr w:type="spellEnd"/>
      <w:r w:rsidRPr="00BE43C8">
        <w:rPr>
          <w:rFonts w:ascii="Arial" w:hAnsi="Arial" w:cs="Arial"/>
          <w:color w:val="000000" w:themeColor="text1"/>
          <w:sz w:val="22"/>
          <w:szCs w:val="22"/>
        </w:rPr>
        <w:t xml:space="preserve"> sample </w:t>
      </w:r>
      <w:r w:rsidR="00007F0E" w:rsidRPr="00BE43C8">
        <w:rPr>
          <w:rFonts w:ascii="Arial" w:hAnsi="Arial" w:cs="Arial"/>
          <w:color w:val="000000" w:themeColor="text1"/>
          <w:sz w:val="22"/>
          <w:szCs w:val="22"/>
        </w:rPr>
        <w:t xml:space="preserve">identification </w:t>
      </w:r>
      <w:r w:rsidR="00601168" w:rsidRPr="00BE43C8">
        <w:rPr>
          <w:rFonts w:ascii="Arial" w:hAnsi="Arial" w:cs="Arial"/>
          <w:color w:val="000000" w:themeColor="text1"/>
          <w:sz w:val="22"/>
          <w:szCs w:val="22"/>
        </w:rPr>
        <w:t>and comparison</w:t>
      </w:r>
      <w:r w:rsidR="00FE2F02" w:rsidRPr="00BE43C8">
        <w:rPr>
          <w:rFonts w:ascii="Arial" w:hAnsi="Arial" w:cs="Arial"/>
          <w:color w:val="000000" w:themeColor="text1"/>
          <w:sz w:val="22"/>
          <w:szCs w:val="22"/>
        </w:rPr>
        <w:t>,</w:t>
      </w:r>
      <w:r w:rsidRPr="00BE43C8">
        <w:rPr>
          <w:rFonts w:ascii="Arial" w:hAnsi="Arial" w:cs="Arial"/>
          <w:color w:val="000000" w:themeColor="text1"/>
          <w:sz w:val="22"/>
          <w:szCs w:val="22"/>
        </w:rPr>
        <w:t xml:space="preserve"> both simulated samples and </w:t>
      </w:r>
      <w:r w:rsidR="00007F0E" w:rsidRPr="00BE43C8">
        <w:rPr>
          <w:rFonts w:ascii="Arial" w:hAnsi="Arial" w:cs="Arial"/>
          <w:color w:val="000000" w:themeColor="text1"/>
          <w:sz w:val="22"/>
          <w:szCs w:val="22"/>
        </w:rPr>
        <w:t xml:space="preserve">casework </w:t>
      </w:r>
      <w:r w:rsidRPr="00BE43C8">
        <w:rPr>
          <w:rFonts w:ascii="Arial" w:hAnsi="Arial" w:cs="Arial"/>
          <w:color w:val="000000" w:themeColor="text1"/>
          <w:sz w:val="22"/>
          <w:szCs w:val="22"/>
        </w:rPr>
        <w:t xml:space="preserve">samples of </w:t>
      </w:r>
      <w:proofErr w:type="spellStart"/>
      <w:r w:rsidRPr="00BE43C8">
        <w:rPr>
          <w:rFonts w:ascii="Arial" w:hAnsi="Arial" w:cs="Arial"/>
          <w:color w:val="000000" w:themeColor="text1"/>
          <w:sz w:val="22"/>
          <w:szCs w:val="22"/>
        </w:rPr>
        <w:t>nyaope</w:t>
      </w:r>
      <w:proofErr w:type="spellEnd"/>
      <w:r w:rsidRPr="00BE43C8">
        <w:rPr>
          <w:rFonts w:ascii="Arial" w:hAnsi="Arial" w:cs="Arial"/>
          <w:color w:val="000000" w:themeColor="text1"/>
          <w:sz w:val="22"/>
          <w:szCs w:val="22"/>
        </w:rPr>
        <w:t xml:space="preserve"> were investigated.</w:t>
      </w:r>
    </w:p>
    <w:p w14:paraId="39ECC617" w14:textId="5A36B268" w:rsidR="00F82AF4" w:rsidRPr="00BE43C8" w:rsidRDefault="00AE295D" w:rsidP="0016122E">
      <w:pPr>
        <w:spacing w:line="360" w:lineRule="auto"/>
        <w:jc w:val="both"/>
        <w:rPr>
          <w:rFonts w:ascii="Arial" w:hAnsi="Arial" w:cs="Arial"/>
          <w:color w:val="000000" w:themeColor="text1"/>
          <w:sz w:val="22"/>
          <w:szCs w:val="22"/>
        </w:rPr>
      </w:pPr>
      <w:r w:rsidRPr="00BE43C8">
        <w:rPr>
          <w:rFonts w:ascii="Arial" w:hAnsi="Arial" w:cs="Arial"/>
          <w:color w:val="000000" w:themeColor="text1"/>
          <w:sz w:val="22"/>
          <w:szCs w:val="22"/>
        </w:rPr>
        <w:t xml:space="preserve">Street cannabis and heroin samples seized by the SAPS were used to prepare simulated </w:t>
      </w:r>
      <w:proofErr w:type="spellStart"/>
      <w:r w:rsidRPr="00BE43C8">
        <w:rPr>
          <w:rFonts w:ascii="Arial" w:hAnsi="Arial" w:cs="Arial"/>
          <w:color w:val="000000" w:themeColor="text1"/>
          <w:sz w:val="22"/>
          <w:szCs w:val="22"/>
        </w:rPr>
        <w:t>nyaope</w:t>
      </w:r>
      <w:proofErr w:type="spellEnd"/>
      <w:r w:rsidRPr="00BE43C8">
        <w:rPr>
          <w:rFonts w:ascii="Arial" w:hAnsi="Arial" w:cs="Arial"/>
          <w:color w:val="000000" w:themeColor="text1"/>
          <w:sz w:val="22"/>
          <w:szCs w:val="22"/>
        </w:rPr>
        <w:t xml:space="preserve"> samples. Three </w:t>
      </w:r>
      <w:r w:rsidR="00696880" w:rsidRPr="00BE43C8">
        <w:rPr>
          <w:rFonts w:ascii="Arial" w:hAnsi="Arial" w:cs="Arial"/>
          <w:color w:val="000000" w:themeColor="text1"/>
          <w:sz w:val="22"/>
          <w:szCs w:val="22"/>
        </w:rPr>
        <w:t xml:space="preserve">blind </w:t>
      </w:r>
      <w:r w:rsidRPr="00BE43C8">
        <w:rPr>
          <w:rFonts w:ascii="Arial" w:hAnsi="Arial" w:cs="Arial"/>
          <w:color w:val="000000" w:themeColor="text1"/>
          <w:sz w:val="22"/>
          <w:szCs w:val="22"/>
        </w:rPr>
        <w:t xml:space="preserve">simulated samples were prepared by mixing a heroin street sample, a cannabis street sample, efavirenz tablets and nevirapine tablets, in different combinations and proportions, to mimic as closely as possible a typical street </w:t>
      </w:r>
      <w:proofErr w:type="spellStart"/>
      <w:r w:rsidRPr="00BE43C8">
        <w:rPr>
          <w:rFonts w:ascii="Arial" w:hAnsi="Arial" w:cs="Arial"/>
          <w:color w:val="000000" w:themeColor="text1"/>
          <w:sz w:val="22"/>
          <w:szCs w:val="22"/>
        </w:rPr>
        <w:t>nyaope</w:t>
      </w:r>
      <w:proofErr w:type="spellEnd"/>
      <w:r w:rsidRPr="00BE43C8">
        <w:rPr>
          <w:rFonts w:ascii="Arial" w:hAnsi="Arial" w:cs="Arial"/>
          <w:color w:val="000000" w:themeColor="text1"/>
          <w:sz w:val="22"/>
          <w:szCs w:val="22"/>
        </w:rPr>
        <w:t xml:space="preserve"> sample. The three mixtures were homogenised by grinding using a mortar and pestle. The samples were then further divided into six </w:t>
      </w:r>
      <w:r w:rsidR="00696880" w:rsidRPr="00BE43C8">
        <w:rPr>
          <w:rFonts w:ascii="Arial" w:hAnsi="Arial" w:cs="Arial"/>
          <w:color w:val="000000" w:themeColor="text1"/>
          <w:sz w:val="22"/>
          <w:szCs w:val="22"/>
        </w:rPr>
        <w:t xml:space="preserve">blind </w:t>
      </w:r>
      <w:r w:rsidRPr="00BE43C8">
        <w:rPr>
          <w:rFonts w:ascii="Arial" w:hAnsi="Arial" w:cs="Arial"/>
          <w:color w:val="000000" w:themeColor="text1"/>
          <w:sz w:val="22"/>
          <w:szCs w:val="22"/>
        </w:rPr>
        <w:t xml:space="preserve">sub-samples each to give a total of 18 samples marked </w:t>
      </w:r>
      <w:r w:rsidR="002C46EE" w:rsidRPr="00BE43C8">
        <w:rPr>
          <w:rFonts w:ascii="Arial" w:hAnsi="Arial" w:cs="Arial"/>
          <w:color w:val="000000" w:themeColor="text1"/>
          <w:sz w:val="22"/>
          <w:szCs w:val="22"/>
        </w:rPr>
        <w:t>S1 – S18</w:t>
      </w:r>
      <w:r w:rsidR="002C46EE" w:rsidRPr="0015368A">
        <w:rPr>
          <w:rFonts w:ascii="Arial" w:hAnsi="Arial" w:cs="Arial"/>
          <w:color w:val="000000" w:themeColor="text1"/>
          <w:sz w:val="22"/>
          <w:szCs w:val="22"/>
        </w:rPr>
        <w:t xml:space="preserve">. </w:t>
      </w:r>
      <w:r w:rsidRPr="0015368A">
        <w:rPr>
          <w:rFonts w:ascii="Arial" w:hAnsi="Arial" w:cs="Arial"/>
          <w:color w:val="000000" w:themeColor="text1"/>
          <w:sz w:val="22"/>
          <w:szCs w:val="22"/>
        </w:rPr>
        <w:t xml:space="preserve"> </w:t>
      </w:r>
      <w:r w:rsidR="004C7192" w:rsidRPr="0015368A">
        <w:rPr>
          <w:rFonts w:ascii="Arial" w:hAnsi="Arial" w:cs="Arial"/>
          <w:color w:val="000000" w:themeColor="text1"/>
          <w:sz w:val="22"/>
          <w:szCs w:val="22"/>
          <w:lang w:val="en-ZA"/>
        </w:rPr>
        <w:t xml:space="preserve">Homogenised samples </w:t>
      </w:r>
      <w:r w:rsidR="004C7192" w:rsidRPr="0015368A">
        <w:rPr>
          <w:rFonts w:ascii="Arial" w:hAnsi="Arial" w:cs="Arial"/>
          <w:color w:val="000000" w:themeColor="text1"/>
          <w:sz w:val="22"/>
          <w:szCs w:val="22"/>
        </w:rPr>
        <w:t>which</w:t>
      </w:r>
      <w:r w:rsidRPr="0015368A">
        <w:rPr>
          <w:rFonts w:ascii="Arial" w:hAnsi="Arial" w:cs="Arial"/>
          <w:color w:val="000000" w:themeColor="text1"/>
          <w:sz w:val="22"/>
          <w:szCs w:val="22"/>
        </w:rPr>
        <w:t xml:space="preserve"> </w:t>
      </w:r>
      <w:r w:rsidR="00D454CE" w:rsidRPr="0015368A">
        <w:rPr>
          <w:rFonts w:ascii="Arial" w:hAnsi="Arial" w:cs="Arial"/>
          <w:color w:val="000000" w:themeColor="text1"/>
          <w:sz w:val="22"/>
          <w:szCs w:val="22"/>
        </w:rPr>
        <w:t xml:space="preserve">had </w:t>
      </w:r>
      <w:r w:rsidR="004C7192" w:rsidRPr="0015368A">
        <w:rPr>
          <w:rFonts w:ascii="Arial" w:hAnsi="Arial" w:cs="Arial"/>
          <w:color w:val="000000" w:themeColor="text1"/>
          <w:sz w:val="22"/>
          <w:szCs w:val="22"/>
        </w:rPr>
        <w:t>mass</w:t>
      </w:r>
      <w:r w:rsidR="002C46EE" w:rsidRPr="0015368A">
        <w:rPr>
          <w:rFonts w:ascii="Arial" w:hAnsi="Arial" w:cs="Arial"/>
          <w:color w:val="000000" w:themeColor="text1"/>
          <w:sz w:val="22"/>
          <w:szCs w:val="22"/>
        </w:rPr>
        <w:t xml:space="preserve"> </w:t>
      </w:r>
      <w:r w:rsidR="004C7192" w:rsidRPr="0015368A">
        <w:rPr>
          <w:rFonts w:ascii="Arial" w:hAnsi="Arial" w:cs="Arial"/>
          <w:color w:val="000000" w:themeColor="text1"/>
          <w:sz w:val="22"/>
          <w:szCs w:val="22"/>
          <w:lang w:val="en-ZA"/>
        </w:rPr>
        <w:t>ranging</w:t>
      </w:r>
      <w:r w:rsidR="004C7192" w:rsidRPr="0015368A">
        <w:rPr>
          <w:rFonts w:ascii="Arial" w:hAnsi="Arial" w:cs="Arial"/>
          <w:color w:val="000000" w:themeColor="text1"/>
          <w:sz w:val="22"/>
          <w:szCs w:val="22"/>
        </w:rPr>
        <w:t xml:space="preserve"> </w:t>
      </w:r>
      <w:r w:rsidR="002C46EE" w:rsidRPr="0015368A">
        <w:rPr>
          <w:rFonts w:ascii="Arial" w:hAnsi="Arial" w:cs="Arial"/>
          <w:color w:val="000000" w:themeColor="text1"/>
          <w:sz w:val="22"/>
          <w:szCs w:val="22"/>
        </w:rPr>
        <w:t xml:space="preserve">between 12 and 14 mg </w:t>
      </w:r>
      <w:r w:rsidR="00E35CA2" w:rsidRPr="0015368A">
        <w:rPr>
          <w:rFonts w:ascii="Arial" w:hAnsi="Arial" w:cs="Arial"/>
          <w:color w:val="000000" w:themeColor="text1"/>
          <w:sz w:val="22"/>
          <w:szCs w:val="22"/>
          <w:lang w:val="en-ZA"/>
        </w:rPr>
        <w:t xml:space="preserve">were mixed </w:t>
      </w:r>
      <w:r w:rsidR="00E35CA2" w:rsidRPr="0015368A">
        <w:rPr>
          <w:rFonts w:ascii="Arial" w:hAnsi="Arial" w:cs="Arial"/>
          <w:color w:val="000000" w:themeColor="text1"/>
          <w:sz w:val="22"/>
          <w:szCs w:val="22"/>
          <w:lang w:val="en-ZA"/>
        </w:rPr>
        <w:lastRenderedPageBreak/>
        <w:t>with 3 mL</w:t>
      </w:r>
      <w:r w:rsidRPr="0015368A">
        <w:rPr>
          <w:rFonts w:ascii="Arial" w:hAnsi="Arial" w:cs="Arial"/>
          <w:color w:val="000000" w:themeColor="text1"/>
          <w:sz w:val="22"/>
          <w:szCs w:val="22"/>
        </w:rPr>
        <w:t xml:space="preserve"> of the inter</w:t>
      </w:r>
      <w:r w:rsidR="00E35CA2" w:rsidRPr="0015368A">
        <w:rPr>
          <w:rFonts w:ascii="Arial" w:hAnsi="Arial" w:cs="Arial"/>
          <w:color w:val="000000" w:themeColor="text1"/>
          <w:sz w:val="22"/>
          <w:szCs w:val="22"/>
        </w:rPr>
        <w:t>nal standard solution</w:t>
      </w:r>
      <w:r w:rsidR="00A23D11" w:rsidRPr="0015368A">
        <w:rPr>
          <w:rFonts w:ascii="Arial" w:hAnsi="Arial" w:cs="Arial"/>
          <w:color w:val="000000" w:themeColor="text1"/>
          <w:sz w:val="22"/>
          <w:szCs w:val="22"/>
        </w:rPr>
        <w:t xml:space="preserve"> (0.02 mg/mL tetracosane in tertiary butyl alcohol)</w:t>
      </w:r>
      <w:r w:rsidR="00E35CA2" w:rsidRPr="0015368A">
        <w:rPr>
          <w:rFonts w:ascii="Arial" w:hAnsi="Arial" w:cs="Arial"/>
          <w:color w:val="000000" w:themeColor="text1"/>
          <w:sz w:val="22"/>
          <w:szCs w:val="22"/>
        </w:rPr>
        <w:t xml:space="preserve"> in a 20 mL</w:t>
      </w:r>
      <w:r w:rsidRPr="0015368A">
        <w:rPr>
          <w:rFonts w:ascii="Arial" w:hAnsi="Arial" w:cs="Arial"/>
          <w:color w:val="000000" w:themeColor="text1"/>
          <w:sz w:val="22"/>
          <w:szCs w:val="22"/>
        </w:rPr>
        <w:t xml:space="preserve"> head space vial.</w:t>
      </w:r>
      <w:r w:rsidR="004C7192" w:rsidRPr="0015368A">
        <w:rPr>
          <w:rFonts w:ascii="Calibri" w:eastAsia="Calibri" w:hAnsi="Calibri" w:cs="Times New Roman"/>
          <w:color w:val="000000" w:themeColor="text1"/>
          <w:sz w:val="22"/>
          <w:szCs w:val="22"/>
          <w:lang w:val="en-ZA"/>
        </w:rPr>
        <w:t xml:space="preserve"> </w:t>
      </w:r>
      <w:r w:rsidR="004C7192" w:rsidRPr="0015368A">
        <w:rPr>
          <w:rFonts w:ascii="Arial" w:hAnsi="Arial" w:cs="Arial"/>
          <w:color w:val="000000" w:themeColor="text1"/>
          <w:sz w:val="22"/>
          <w:szCs w:val="22"/>
          <w:lang w:val="en-ZA"/>
        </w:rPr>
        <w:t>The mixture was sonicated for 15 minutes</w:t>
      </w:r>
      <w:r w:rsidR="00377AF2" w:rsidRPr="0015368A">
        <w:rPr>
          <w:rFonts w:ascii="Arial" w:hAnsi="Arial" w:cs="Arial"/>
          <w:color w:val="000000" w:themeColor="text1"/>
          <w:sz w:val="22"/>
          <w:szCs w:val="22"/>
          <w:vertAlign w:val="superscript"/>
          <w:lang w:val="en-ZA"/>
        </w:rPr>
        <w:t>13</w:t>
      </w:r>
      <w:r w:rsidR="005F7EB4" w:rsidRPr="0015368A">
        <w:rPr>
          <w:rFonts w:ascii="Arial" w:hAnsi="Arial" w:cs="Arial"/>
          <w:color w:val="000000" w:themeColor="text1"/>
          <w:sz w:val="22"/>
          <w:szCs w:val="22"/>
          <w:vertAlign w:val="superscript"/>
          <w:lang w:val="en-ZA"/>
        </w:rPr>
        <w:t>,18</w:t>
      </w:r>
      <w:r w:rsidR="00D454CE" w:rsidRPr="0015368A">
        <w:rPr>
          <w:rFonts w:ascii="Arial" w:hAnsi="Arial" w:cs="Arial"/>
          <w:color w:val="000000" w:themeColor="text1"/>
          <w:sz w:val="22"/>
          <w:szCs w:val="22"/>
          <w:vertAlign w:val="superscript"/>
          <w:lang w:val="en-ZA"/>
        </w:rPr>
        <w:t>,</w:t>
      </w:r>
      <w:r w:rsidR="005F7EB4" w:rsidRPr="0015368A">
        <w:rPr>
          <w:rFonts w:ascii="Arial" w:hAnsi="Arial" w:cs="Arial"/>
          <w:color w:val="000000" w:themeColor="text1"/>
          <w:sz w:val="22"/>
          <w:szCs w:val="22"/>
          <w:vertAlign w:val="superscript"/>
          <w:lang w:val="en-ZA"/>
        </w:rPr>
        <w:t>19</w:t>
      </w:r>
      <w:r w:rsidR="004C7192" w:rsidRPr="0015368A">
        <w:rPr>
          <w:rFonts w:ascii="Arial" w:hAnsi="Arial" w:cs="Arial"/>
          <w:color w:val="000000" w:themeColor="text1"/>
          <w:sz w:val="22"/>
          <w:szCs w:val="22"/>
          <w:lang w:val="en-ZA"/>
        </w:rPr>
        <w:t>, fi</w:t>
      </w:r>
      <w:r w:rsidR="00377AF2" w:rsidRPr="0015368A">
        <w:rPr>
          <w:rFonts w:ascii="Arial" w:hAnsi="Arial" w:cs="Arial"/>
          <w:color w:val="000000" w:themeColor="text1"/>
          <w:sz w:val="22"/>
          <w:szCs w:val="22"/>
          <w:lang w:val="en-ZA"/>
        </w:rPr>
        <w:t>ltered into amber GC-MS vials</w:t>
      </w:r>
      <w:r w:rsidR="00D454CE" w:rsidRPr="0015368A">
        <w:rPr>
          <w:rFonts w:ascii="Arial" w:hAnsi="Arial" w:cs="Arial"/>
          <w:color w:val="000000" w:themeColor="text1"/>
          <w:sz w:val="22"/>
          <w:szCs w:val="22"/>
          <w:lang w:val="en-ZA"/>
        </w:rPr>
        <w:t xml:space="preserve"> and analysed in triplicate</w:t>
      </w:r>
      <w:r w:rsidR="004C7192" w:rsidRPr="0015368A">
        <w:rPr>
          <w:rFonts w:ascii="Arial" w:hAnsi="Arial" w:cs="Arial"/>
          <w:color w:val="000000" w:themeColor="text1"/>
          <w:sz w:val="22"/>
          <w:szCs w:val="22"/>
          <w:lang w:val="en-ZA"/>
        </w:rPr>
        <w:t>.</w:t>
      </w:r>
      <w:r w:rsidR="00377AF2" w:rsidRPr="0015368A">
        <w:rPr>
          <w:rFonts w:ascii="Arial" w:hAnsi="Arial" w:cs="Arial"/>
          <w:color w:val="000000" w:themeColor="text1"/>
          <w:sz w:val="22"/>
          <w:szCs w:val="22"/>
          <w:lang w:val="en-ZA"/>
        </w:rPr>
        <w:t xml:space="preserve"> </w:t>
      </w:r>
      <w:r w:rsidR="00F82AF4" w:rsidRPr="00BE43C8">
        <w:rPr>
          <w:rFonts w:ascii="Arial" w:hAnsi="Arial" w:cs="Arial"/>
          <w:color w:val="000000" w:themeColor="text1"/>
          <w:sz w:val="22"/>
          <w:szCs w:val="22"/>
        </w:rPr>
        <w:t xml:space="preserve">Each of the </w:t>
      </w:r>
      <w:r w:rsidR="00A52778">
        <w:rPr>
          <w:rFonts w:ascii="Arial" w:hAnsi="Arial" w:cs="Arial"/>
          <w:color w:val="000000" w:themeColor="text1"/>
          <w:sz w:val="22"/>
          <w:szCs w:val="22"/>
        </w:rPr>
        <w:t xml:space="preserve">extracts of the </w:t>
      </w:r>
      <w:r w:rsidR="00F82AF4" w:rsidRPr="00BE43C8">
        <w:rPr>
          <w:rFonts w:ascii="Arial" w:hAnsi="Arial" w:cs="Arial"/>
          <w:color w:val="000000" w:themeColor="text1"/>
          <w:sz w:val="22"/>
          <w:szCs w:val="22"/>
        </w:rPr>
        <w:t xml:space="preserve">simulated samples S1 – S18 was analysed at 0, 24, 48 and 72 hours </w:t>
      </w:r>
      <w:proofErr w:type="gramStart"/>
      <w:r w:rsidR="00F82AF4" w:rsidRPr="00BE43C8">
        <w:rPr>
          <w:rFonts w:ascii="Arial" w:hAnsi="Arial" w:cs="Arial"/>
          <w:color w:val="000000" w:themeColor="text1"/>
          <w:sz w:val="22"/>
          <w:szCs w:val="22"/>
        </w:rPr>
        <w:t>in order to</w:t>
      </w:r>
      <w:proofErr w:type="gramEnd"/>
      <w:r w:rsidR="00F82AF4" w:rsidRPr="00BE43C8">
        <w:rPr>
          <w:rFonts w:ascii="Arial" w:hAnsi="Arial" w:cs="Arial"/>
          <w:color w:val="000000" w:themeColor="text1"/>
          <w:sz w:val="22"/>
          <w:szCs w:val="22"/>
        </w:rPr>
        <w:t xml:space="preserve"> confirm the stability of the extract once prepared</w:t>
      </w:r>
      <w:r w:rsidR="002832A9">
        <w:rPr>
          <w:rFonts w:ascii="Arial" w:hAnsi="Arial" w:cs="Arial"/>
          <w:color w:val="000000" w:themeColor="text1"/>
          <w:sz w:val="22"/>
          <w:szCs w:val="22"/>
          <w:vertAlign w:val="superscript"/>
        </w:rPr>
        <w:t>13</w:t>
      </w:r>
      <w:r w:rsidR="00F82AF4" w:rsidRPr="00BE43C8">
        <w:rPr>
          <w:rFonts w:ascii="Arial" w:hAnsi="Arial" w:cs="Arial"/>
          <w:color w:val="000000" w:themeColor="text1"/>
          <w:sz w:val="22"/>
          <w:szCs w:val="22"/>
        </w:rPr>
        <w:t xml:space="preserve">. Additionally, chromatograms of members of each of the three groups were compared at the same time intervals to determine whether samples from the same parent batch could be discriminated after these time intervals. </w:t>
      </w:r>
      <w:proofErr w:type="gramStart"/>
      <w:r w:rsidR="00F82AF4" w:rsidRPr="00BE43C8">
        <w:rPr>
          <w:rFonts w:ascii="Arial" w:hAnsi="Arial" w:cs="Arial"/>
          <w:color w:val="000000" w:themeColor="text1"/>
          <w:sz w:val="22"/>
          <w:szCs w:val="22"/>
        </w:rPr>
        <w:t>Finally</w:t>
      </w:r>
      <w:proofErr w:type="gramEnd"/>
      <w:r w:rsidR="00F82AF4" w:rsidRPr="00BE43C8">
        <w:rPr>
          <w:rFonts w:ascii="Arial" w:hAnsi="Arial" w:cs="Arial"/>
          <w:color w:val="000000" w:themeColor="text1"/>
          <w:sz w:val="22"/>
          <w:szCs w:val="22"/>
        </w:rPr>
        <w:t xml:space="preserve"> chromatograms from one member of each of the three groups were compared at these time intervals to demonstrate whether or not it is possible to discriminate between groups.</w:t>
      </w:r>
    </w:p>
    <w:p w14:paraId="39F522E9" w14:textId="383F0270" w:rsidR="00AE295D" w:rsidRPr="00BE43C8" w:rsidRDefault="00AE295D" w:rsidP="0016122E">
      <w:pPr>
        <w:spacing w:line="360" w:lineRule="auto"/>
        <w:jc w:val="both"/>
        <w:rPr>
          <w:rFonts w:ascii="Arial" w:hAnsi="Arial" w:cs="Arial"/>
          <w:color w:val="000000" w:themeColor="text1"/>
          <w:sz w:val="22"/>
          <w:szCs w:val="22"/>
        </w:rPr>
      </w:pPr>
    </w:p>
    <w:p w14:paraId="2F0A53D1" w14:textId="4B403A39" w:rsidR="002514BA" w:rsidRDefault="00AE295D" w:rsidP="0016122E">
      <w:pPr>
        <w:spacing w:line="360" w:lineRule="auto"/>
        <w:jc w:val="both"/>
        <w:rPr>
          <w:rFonts w:ascii="Arial" w:hAnsi="Arial" w:cs="Arial"/>
          <w:color w:val="000000" w:themeColor="text1"/>
          <w:sz w:val="22"/>
          <w:szCs w:val="22"/>
        </w:rPr>
      </w:pPr>
      <w:r w:rsidRPr="00BE43C8">
        <w:rPr>
          <w:rFonts w:ascii="Arial" w:hAnsi="Arial" w:cs="Arial"/>
          <w:color w:val="000000" w:themeColor="text1"/>
          <w:sz w:val="22"/>
          <w:szCs w:val="22"/>
        </w:rPr>
        <w:t xml:space="preserve">Five </w:t>
      </w:r>
      <w:r w:rsidR="00007F0E" w:rsidRPr="00BE43C8">
        <w:rPr>
          <w:rFonts w:ascii="Arial" w:hAnsi="Arial" w:cs="Arial"/>
          <w:color w:val="000000" w:themeColor="text1"/>
          <w:sz w:val="22"/>
          <w:szCs w:val="22"/>
        </w:rPr>
        <w:t xml:space="preserve">casework </w:t>
      </w:r>
      <w:r w:rsidRPr="00BE43C8">
        <w:rPr>
          <w:rFonts w:ascii="Arial" w:hAnsi="Arial" w:cs="Arial"/>
          <w:color w:val="000000" w:themeColor="text1"/>
          <w:sz w:val="22"/>
          <w:szCs w:val="22"/>
        </w:rPr>
        <w:t xml:space="preserve">samples of </w:t>
      </w:r>
      <w:proofErr w:type="spellStart"/>
      <w:r w:rsidRPr="00BE43C8">
        <w:rPr>
          <w:rFonts w:ascii="Arial" w:hAnsi="Arial" w:cs="Arial"/>
          <w:color w:val="000000" w:themeColor="text1"/>
          <w:sz w:val="22"/>
          <w:szCs w:val="22"/>
        </w:rPr>
        <w:t>nyaope</w:t>
      </w:r>
      <w:proofErr w:type="spellEnd"/>
      <w:r w:rsidRPr="00BE43C8">
        <w:rPr>
          <w:rFonts w:ascii="Arial" w:hAnsi="Arial" w:cs="Arial"/>
          <w:color w:val="000000" w:themeColor="text1"/>
          <w:sz w:val="22"/>
          <w:szCs w:val="22"/>
        </w:rPr>
        <w:t xml:space="preserve"> were ground into a fine powder using a mortar and pestle. </w:t>
      </w:r>
      <w:r w:rsidR="00094B0F" w:rsidRPr="00BE43C8">
        <w:rPr>
          <w:rFonts w:ascii="Arial" w:hAnsi="Arial" w:cs="Arial"/>
          <w:color w:val="000000" w:themeColor="text1"/>
          <w:sz w:val="22"/>
          <w:szCs w:val="22"/>
        </w:rPr>
        <w:t xml:space="preserve">Sub samples </w:t>
      </w:r>
      <w:r w:rsidR="00F82AF4" w:rsidRPr="00BE43C8">
        <w:rPr>
          <w:rFonts w:ascii="Arial" w:hAnsi="Arial" w:cs="Arial"/>
          <w:color w:val="000000" w:themeColor="text1"/>
          <w:sz w:val="22"/>
          <w:szCs w:val="22"/>
        </w:rPr>
        <w:t xml:space="preserve">(circa 12 – 14 mg) </w:t>
      </w:r>
      <w:r w:rsidR="00094B0F" w:rsidRPr="00BE43C8">
        <w:rPr>
          <w:rFonts w:ascii="Arial" w:hAnsi="Arial" w:cs="Arial"/>
          <w:color w:val="000000" w:themeColor="text1"/>
          <w:sz w:val="22"/>
          <w:szCs w:val="22"/>
        </w:rPr>
        <w:t>of these street samples were</w:t>
      </w:r>
      <w:r w:rsidR="002C46EE" w:rsidRPr="00BE43C8">
        <w:rPr>
          <w:rFonts w:ascii="Arial" w:hAnsi="Arial" w:cs="Arial"/>
          <w:color w:val="000000" w:themeColor="text1"/>
          <w:sz w:val="22"/>
          <w:szCs w:val="22"/>
        </w:rPr>
        <w:t xml:space="preserve"> placed </w:t>
      </w:r>
      <w:r w:rsidRPr="00BE43C8">
        <w:rPr>
          <w:rFonts w:ascii="Arial" w:hAnsi="Arial" w:cs="Arial"/>
          <w:color w:val="000000" w:themeColor="text1"/>
          <w:sz w:val="22"/>
          <w:szCs w:val="22"/>
        </w:rPr>
        <w:t>in</w:t>
      </w:r>
      <w:r w:rsidR="002C46EE" w:rsidRPr="00BE43C8">
        <w:rPr>
          <w:rFonts w:ascii="Arial" w:hAnsi="Arial" w:cs="Arial"/>
          <w:color w:val="000000" w:themeColor="text1"/>
          <w:sz w:val="22"/>
          <w:szCs w:val="22"/>
        </w:rPr>
        <w:t xml:space="preserve"> </w:t>
      </w:r>
      <w:r w:rsidR="00E35CA2">
        <w:rPr>
          <w:rFonts w:ascii="Arial" w:hAnsi="Arial" w:cs="Arial"/>
          <w:color w:val="000000" w:themeColor="text1"/>
          <w:sz w:val="22"/>
          <w:szCs w:val="22"/>
        </w:rPr>
        <w:t>a</w:t>
      </w:r>
      <w:r w:rsidR="00E35CA2" w:rsidRPr="0015368A">
        <w:rPr>
          <w:rFonts w:ascii="Arial" w:hAnsi="Arial" w:cs="Arial"/>
          <w:color w:val="000000" w:themeColor="text1"/>
          <w:sz w:val="22"/>
          <w:szCs w:val="22"/>
        </w:rPr>
        <w:t xml:space="preserve"> 20 mL </w:t>
      </w:r>
      <w:r w:rsidR="00E35CA2">
        <w:rPr>
          <w:rFonts w:ascii="Arial" w:hAnsi="Arial" w:cs="Arial"/>
          <w:color w:val="000000" w:themeColor="text1"/>
          <w:sz w:val="22"/>
          <w:szCs w:val="22"/>
        </w:rPr>
        <w:t>vial and extracted with</w:t>
      </w:r>
      <w:r w:rsidR="00E35CA2" w:rsidRPr="0015368A">
        <w:rPr>
          <w:rFonts w:ascii="Arial" w:hAnsi="Arial" w:cs="Arial"/>
          <w:color w:val="000000" w:themeColor="text1"/>
          <w:sz w:val="22"/>
          <w:szCs w:val="22"/>
        </w:rPr>
        <w:t xml:space="preserve"> 3 mL</w:t>
      </w:r>
      <w:r w:rsidRPr="0015368A">
        <w:rPr>
          <w:rFonts w:ascii="Arial" w:hAnsi="Arial" w:cs="Arial"/>
          <w:color w:val="000000" w:themeColor="text1"/>
          <w:sz w:val="22"/>
          <w:szCs w:val="22"/>
        </w:rPr>
        <w:t xml:space="preserve"> </w:t>
      </w:r>
      <w:r w:rsidRPr="00BE43C8">
        <w:rPr>
          <w:rFonts w:ascii="Arial" w:hAnsi="Arial" w:cs="Arial"/>
          <w:color w:val="000000" w:themeColor="text1"/>
          <w:sz w:val="22"/>
          <w:szCs w:val="22"/>
        </w:rPr>
        <w:t>of the internal standard solution</w:t>
      </w:r>
      <w:r w:rsidR="00094B0F" w:rsidRPr="00BE43C8">
        <w:rPr>
          <w:rFonts w:ascii="Arial" w:hAnsi="Arial" w:cs="Arial"/>
          <w:color w:val="000000" w:themeColor="text1"/>
          <w:sz w:val="22"/>
          <w:szCs w:val="22"/>
        </w:rPr>
        <w:t xml:space="preserve"> prior to analysis</w:t>
      </w:r>
      <w:r w:rsidRPr="00BE43C8">
        <w:rPr>
          <w:rFonts w:ascii="Arial" w:hAnsi="Arial" w:cs="Arial"/>
          <w:color w:val="000000" w:themeColor="text1"/>
          <w:sz w:val="22"/>
          <w:szCs w:val="22"/>
        </w:rPr>
        <w:t xml:space="preserve">. </w:t>
      </w:r>
      <w:r w:rsidR="002514BA" w:rsidRPr="00BE43C8">
        <w:rPr>
          <w:rFonts w:ascii="Arial" w:hAnsi="Arial" w:cs="Arial"/>
          <w:color w:val="000000" w:themeColor="text1"/>
          <w:sz w:val="22"/>
          <w:szCs w:val="22"/>
        </w:rPr>
        <w:t xml:space="preserve">Each of the </w:t>
      </w:r>
      <w:r w:rsidR="00007F0E" w:rsidRPr="00BE43C8">
        <w:rPr>
          <w:rFonts w:ascii="Arial" w:hAnsi="Arial" w:cs="Arial"/>
          <w:color w:val="000000" w:themeColor="text1"/>
          <w:sz w:val="22"/>
          <w:szCs w:val="22"/>
        </w:rPr>
        <w:t>casework</w:t>
      </w:r>
      <w:r w:rsidR="002514BA" w:rsidRPr="00BE43C8">
        <w:rPr>
          <w:rFonts w:ascii="Arial" w:hAnsi="Arial" w:cs="Arial"/>
          <w:color w:val="000000" w:themeColor="text1"/>
          <w:sz w:val="22"/>
          <w:szCs w:val="22"/>
        </w:rPr>
        <w:t xml:space="preserve"> samples were analysed </w:t>
      </w:r>
      <w:r w:rsidR="00DA697E" w:rsidRPr="00BE43C8">
        <w:rPr>
          <w:rFonts w:ascii="Arial" w:hAnsi="Arial" w:cs="Arial"/>
          <w:color w:val="000000" w:themeColor="text1"/>
          <w:sz w:val="22"/>
          <w:szCs w:val="22"/>
        </w:rPr>
        <w:t xml:space="preserve">in triplicate </w:t>
      </w:r>
      <w:r w:rsidR="002514BA" w:rsidRPr="00BE43C8">
        <w:rPr>
          <w:rFonts w:ascii="Arial" w:hAnsi="Arial" w:cs="Arial"/>
          <w:color w:val="000000" w:themeColor="text1"/>
          <w:sz w:val="22"/>
          <w:szCs w:val="22"/>
        </w:rPr>
        <w:t xml:space="preserve">by GC-MS at t=0 after extraction. </w:t>
      </w:r>
      <w:r w:rsidR="00466387" w:rsidRPr="00BE43C8">
        <w:rPr>
          <w:rFonts w:ascii="Arial" w:hAnsi="Arial" w:cs="Arial"/>
          <w:color w:val="000000" w:themeColor="text1"/>
          <w:sz w:val="22"/>
          <w:szCs w:val="22"/>
        </w:rPr>
        <w:t xml:space="preserve">The chromatograms were compared to determine whether it is possible to discriminate between street samples. </w:t>
      </w:r>
      <w:r w:rsidR="002514BA" w:rsidRPr="00BE43C8">
        <w:rPr>
          <w:rFonts w:ascii="Arial" w:hAnsi="Arial" w:cs="Arial"/>
          <w:color w:val="000000" w:themeColor="text1"/>
          <w:sz w:val="22"/>
          <w:szCs w:val="22"/>
        </w:rPr>
        <w:t xml:space="preserve">Each extract was then analysed after 24, 48 and 72 hours to demonstrate </w:t>
      </w:r>
      <w:r w:rsidR="00466387" w:rsidRPr="00BE43C8">
        <w:rPr>
          <w:rFonts w:ascii="Arial" w:hAnsi="Arial" w:cs="Arial"/>
          <w:color w:val="000000" w:themeColor="text1"/>
          <w:sz w:val="22"/>
          <w:szCs w:val="22"/>
        </w:rPr>
        <w:t>stability of extracts of such samples.</w:t>
      </w:r>
      <w:r w:rsidR="002514BA" w:rsidRPr="00BE43C8">
        <w:rPr>
          <w:rFonts w:ascii="Arial" w:hAnsi="Arial" w:cs="Arial"/>
          <w:color w:val="000000" w:themeColor="text1"/>
          <w:sz w:val="22"/>
          <w:szCs w:val="22"/>
        </w:rPr>
        <w:t xml:space="preserve"> </w:t>
      </w:r>
      <w:r w:rsidR="00DA697E" w:rsidRPr="00BE43C8">
        <w:rPr>
          <w:rFonts w:ascii="Arial" w:hAnsi="Arial" w:cs="Arial"/>
          <w:color w:val="000000" w:themeColor="text1"/>
          <w:sz w:val="22"/>
          <w:szCs w:val="22"/>
        </w:rPr>
        <w:t xml:space="preserve">Semi quantitation was conducted on caffeine, </w:t>
      </w:r>
      <w:proofErr w:type="gramStart"/>
      <w:r w:rsidR="00DA697E" w:rsidRPr="00BE43C8">
        <w:rPr>
          <w:rFonts w:ascii="Arial" w:hAnsi="Arial" w:cs="Arial"/>
          <w:color w:val="000000" w:themeColor="text1"/>
          <w:sz w:val="22"/>
          <w:szCs w:val="22"/>
        </w:rPr>
        <w:t>diamorphine</w:t>
      </w:r>
      <w:proofErr w:type="gramEnd"/>
      <w:r w:rsidR="00DA697E" w:rsidRPr="00BE43C8">
        <w:rPr>
          <w:rFonts w:ascii="Arial" w:hAnsi="Arial" w:cs="Arial"/>
          <w:color w:val="000000" w:themeColor="text1"/>
          <w:sz w:val="22"/>
          <w:szCs w:val="22"/>
        </w:rPr>
        <w:t xml:space="preserve"> and </w:t>
      </w:r>
      <w:r w:rsidR="00DA697E" w:rsidRPr="00BE43C8">
        <w:rPr>
          <w:rFonts w:ascii="Arial" w:hAnsi="Arial" w:cs="Arial"/>
          <w:color w:val="000000" w:themeColor="text1"/>
          <w:sz w:val="22"/>
          <w:szCs w:val="22"/>
          <w:lang w:val="en-US"/>
        </w:rPr>
        <w:t>Δ</w:t>
      </w:r>
      <w:r w:rsidR="00DA697E" w:rsidRPr="00BE43C8">
        <w:rPr>
          <w:rFonts w:ascii="Arial" w:hAnsi="Arial" w:cs="Arial"/>
          <w:color w:val="000000" w:themeColor="text1"/>
          <w:sz w:val="22"/>
          <w:szCs w:val="22"/>
          <w:vertAlign w:val="superscript"/>
          <w:lang w:val="en-US"/>
        </w:rPr>
        <w:t>9</w:t>
      </w:r>
      <w:r w:rsidR="00DA697E" w:rsidRPr="00BE43C8">
        <w:rPr>
          <w:rFonts w:ascii="Arial" w:hAnsi="Arial" w:cs="Arial"/>
          <w:color w:val="000000" w:themeColor="text1"/>
          <w:sz w:val="22"/>
          <w:szCs w:val="22"/>
          <w:lang w:val="en-US"/>
        </w:rPr>
        <w:t>-THC</w:t>
      </w:r>
      <w:r w:rsidR="00DA697E" w:rsidRPr="00BE43C8">
        <w:rPr>
          <w:rFonts w:ascii="Arial" w:hAnsi="Arial" w:cs="Arial"/>
          <w:color w:val="000000" w:themeColor="text1"/>
          <w:sz w:val="22"/>
          <w:szCs w:val="22"/>
        </w:rPr>
        <w:t xml:space="preserve"> for each of the five casework samples.</w:t>
      </w:r>
    </w:p>
    <w:p w14:paraId="6E6FD1D6" w14:textId="77777777" w:rsidR="00BE43C8" w:rsidRPr="00301012" w:rsidRDefault="00BE43C8" w:rsidP="0016122E">
      <w:pPr>
        <w:spacing w:line="360" w:lineRule="auto"/>
        <w:jc w:val="both"/>
        <w:rPr>
          <w:rFonts w:ascii="Arial" w:hAnsi="Arial" w:cs="Arial"/>
          <w:color w:val="000000" w:themeColor="text1"/>
          <w:sz w:val="22"/>
          <w:szCs w:val="22"/>
        </w:rPr>
      </w:pPr>
    </w:p>
    <w:p w14:paraId="03E9F79B" w14:textId="2F88B59C" w:rsidR="00696880" w:rsidRPr="00301012" w:rsidRDefault="00696880" w:rsidP="0016122E">
      <w:pPr>
        <w:spacing w:line="360" w:lineRule="auto"/>
        <w:jc w:val="both"/>
        <w:rPr>
          <w:rFonts w:ascii="Arial" w:hAnsi="Arial" w:cs="Arial"/>
          <w:color w:val="000000" w:themeColor="text1"/>
          <w:sz w:val="22"/>
          <w:szCs w:val="22"/>
        </w:rPr>
      </w:pPr>
      <w:r w:rsidRPr="00301012">
        <w:rPr>
          <w:rFonts w:ascii="Arial" w:hAnsi="Arial" w:cs="Arial"/>
          <w:color w:val="000000" w:themeColor="text1"/>
          <w:sz w:val="22"/>
          <w:szCs w:val="22"/>
        </w:rPr>
        <w:t>Two unsupervised chemometric methods, agglomerative h</w:t>
      </w:r>
      <w:r w:rsidR="00A12A78" w:rsidRPr="00301012">
        <w:rPr>
          <w:rFonts w:ascii="Arial" w:hAnsi="Arial" w:cs="Arial"/>
          <w:color w:val="000000" w:themeColor="text1"/>
          <w:sz w:val="22"/>
          <w:szCs w:val="22"/>
        </w:rPr>
        <w:t>ierarchical analysis (HCA) and p</w:t>
      </w:r>
      <w:r w:rsidRPr="00301012">
        <w:rPr>
          <w:rFonts w:ascii="Arial" w:hAnsi="Arial" w:cs="Arial"/>
          <w:color w:val="000000" w:themeColor="text1"/>
          <w:sz w:val="22"/>
          <w:szCs w:val="22"/>
        </w:rPr>
        <w:t>rincipal component analysis</w:t>
      </w:r>
      <w:r w:rsidR="00A52778" w:rsidRPr="00301012">
        <w:rPr>
          <w:rFonts w:ascii="Arial" w:hAnsi="Arial" w:cs="Arial"/>
          <w:color w:val="000000" w:themeColor="text1"/>
          <w:sz w:val="22"/>
          <w:szCs w:val="22"/>
        </w:rPr>
        <w:t xml:space="preserve"> (PCA),</w:t>
      </w:r>
      <w:r w:rsidRPr="00301012">
        <w:rPr>
          <w:rFonts w:ascii="Arial" w:hAnsi="Arial" w:cs="Arial"/>
          <w:color w:val="000000" w:themeColor="text1"/>
          <w:sz w:val="22"/>
          <w:szCs w:val="22"/>
        </w:rPr>
        <w:t xml:space="preserve"> was performed on both the blind simulated and case work </w:t>
      </w:r>
      <w:proofErr w:type="spellStart"/>
      <w:r w:rsidR="00A52778" w:rsidRPr="00301012">
        <w:rPr>
          <w:rFonts w:ascii="Arial" w:hAnsi="Arial" w:cs="Arial"/>
          <w:color w:val="000000" w:themeColor="text1"/>
          <w:sz w:val="22"/>
          <w:szCs w:val="22"/>
        </w:rPr>
        <w:t>nyaope</w:t>
      </w:r>
      <w:proofErr w:type="spellEnd"/>
      <w:r w:rsidR="00A52778" w:rsidRPr="00301012">
        <w:rPr>
          <w:rFonts w:ascii="Arial" w:hAnsi="Arial" w:cs="Arial"/>
          <w:color w:val="000000" w:themeColor="text1"/>
          <w:sz w:val="22"/>
          <w:szCs w:val="22"/>
        </w:rPr>
        <w:t xml:space="preserve"> </w:t>
      </w:r>
      <w:r w:rsidRPr="00301012">
        <w:rPr>
          <w:rFonts w:ascii="Arial" w:hAnsi="Arial" w:cs="Arial"/>
          <w:color w:val="000000" w:themeColor="text1"/>
          <w:sz w:val="22"/>
          <w:szCs w:val="22"/>
        </w:rPr>
        <w:t xml:space="preserve">samples using </w:t>
      </w:r>
      <w:r w:rsidR="00095E13">
        <w:rPr>
          <w:rFonts w:ascii="Arial" w:hAnsi="Arial" w:cs="Arial"/>
          <w:color w:val="FF0000"/>
          <w:sz w:val="22"/>
          <w:szCs w:val="22"/>
        </w:rPr>
        <w:t xml:space="preserve">the </w:t>
      </w:r>
      <w:r w:rsidR="00095E13" w:rsidRPr="00095E13">
        <w:rPr>
          <w:rFonts w:ascii="Arial" w:hAnsi="Arial" w:cs="Arial"/>
          <w:color w:val="FF0000"/>
          <w:sz w:val="22"/>
          <w:szCs w:val="22"/>
        </w:rPr>
        <w:t>XLSTAT statistical and data analysis solution</w:t>
      </w:r>
      <w:r w:rsidR="00633A1B" w:rsidRPr="00633A1B">
        <w:rPr>
          <w:rFonts w:ascii="Arial" w:hAnsi="Arial" w:cs="Arial"/>
          <w:color w:val="FF0000"/>
          <w:sz w:val="22"/>
          <w:szCs w:val="22"/>
          <w:vertAlign w:val="superscript"/>
        </w:rPr>
        <w:t xml:space="preserve"> </w:t>
      </w:r>
      <w:r w:rsidR="00633A1B" w:rsidRPr="00633A1B">
        <w:rPr>
          <w:rFonts w:ascii="Arial" w:hAnsi="Arial" w:cs="Arial"/>
          <w:color w:val="FF0000"/>
          <w:sz w:val="22"/>
          <w:szCs w:val="22"/>
        </w:rPr>
        <w:t xml:space="preserve">2019 </w:t>
      </w:r>
      <w:proofErr w:type="gramStart"/>
      <w:r w:rsidR="00633A1B" w:rsidRPr="00633A1B">
        <w:rPr>
          <w:rFonts w:ascii="Arial" w:hAnsi="Arial" w:cs="Arial"/>
          <w:color w:val="FF0000"/>
          <w:sz w:val="22"/>
          <w:szCs w:val="22"/>
        </w:rPr>
        <w:t>version</w:t>
      </w:r>
      <w:r w:rsidR="00633A1B">
        <w:rPr>
          <w:rFonts w:ascii="Arial" w:hAnsi="Arial" w:cs="Arial"/>
          <w:color w:val="000000" w:themeColor="text1"/>
          <w:sz w:val="22"/>
          <w:szCs w:val="22"/>
        </w:rPr>
        <w:t xml:space="preserve"> </w:t>
      </w:r>
      <w:r w:rsidR="00B32FB3" w:rsidRPr="00301012">
        <w:rPr>
          <w:rFonts w:ascii="Arial" w:hAnsi="Arial" w:cs="Arial"/>
          <w:color w:val="000000" w:themeColor="text1"/>
          <w:sz w:val="22"/>
          <w:szCs w:val="22"/>
        </w:rPr>
        <w:t>.</w:t>
      </w:r>
      <w:proofErr w:type="gramEnd"/>
      <w:r w:rsidR="00B32FB3" w:rsidRPr="00301012">
        <w:rPr>
          <w:rFonts w:ascii="Arial" w:hAnsi="Arial" w:cs="Arial"/>
          <w:color w:val="000000" w:themeColor="text1"/>
          <w:sz w:val="22"/>
          <w:szCs w:val="22"/>
        </w:rPr>
        <w:t xml:space="preserve"> The HCA and PCA analysis </w:t>
      </w:r>
      <w:proofErr w:type="gramStart"/>
      <w:r w:rsidR="00B32FB3" w:rsidRPr="00301012">
        <w:rPr>
          <w:rFonts w:ascii="Arial" w:hAnsi="Arial" w:cs="Arial"/>
          <w:color w:val="000000" w:themeColor="text1"/>
          <w:sz w:val="22"/>
          <w:szCs w:val="22"/>
        </w:rPr>
        <w:t>was</w:t>
      </w:r>
      <w:proofErr w:type="gramEnd"/>
      <w:r w:rsidR="00B32FB3" w:rsidRPr="00301012">
        <w:rPr>
          <w:rFonts w:ascii="Arial" w:hAnsi="Arial" w:cs="Arial"/>
          <w:color w:val="000000" w:themeColor="text1"/>
          <w:sz w:val="22"/>
          <w:szCs w:val="22"/>
        </w:rPr>
        <w:t xml:space="preserve"> conducted for the samples analysed at 0, 24, 48 and 72 hours.</w:t>
      </w:r>
    </w:p>
    <w:p w14:paraId="52D1DE6D" w14:textId="77777777" w:rsidR="00BE43C8" w:rsidRPr="00BE43C8" w:rsidRDefault="00BE43C8" w:rsidP="0016122E">
      <w:pPr>
        <w:spacing w:line="360" w:lineRule="auto"/>
        <w:rPr>
          <w:rFonts w:ascii="Arial" w:hAnsi="Arial" w:cs="Arial"/>
          <w:color w:val="000000" w:themeColor="text1"/>
          <w:sz w:val="22"/>
          <w:szCs w:val="22"/>
        </w:rPr>
      </w:pPr>
    </w:p>
    <w:p w14:paraId="57490C14" w14:textId="2C7DF9F1" w:rsidR="00911D5C" w:rsidRPr="00BE43C8" w:rsidRDefault="00911D5C" w:rsidP="0016122E">
      <w:pPr>
        <w:spacing w:line="360" w:lineRule="auto"/>
        <w:rPr>
          <w:rFonts w:ascii="Arial" w:hAnsi="Arial" w:cs="Arial"/>
          <w:b/>
          <w:bCs/>
          <w:color w:val="000000" w:themeColor="text1"/>
          <w:sz w:val="22"/>
          <w:szCs w:val="22"/>
        </w:rPr>
      </w:pPr>
      <w:r w:rsidRPr="00BE43C8">
        <w:rPr>
          <w:rFonts w:ascii="Arial" w:hAnsi="Arial" w:cs="Arial"/>
          <w:b/>
          <w:bCs/>
          <w:color w:val="000000" w:themeColor="text1"/>
          <w:sz w:val="22"/>
          <w:szCs w:val="22"/>
        </w:rPr>
        <w:t>3. Results and discussion</w:t>
      </w:r>
    </w:p>
    <w:p w14:paraId="77EA4ECA" w14:textId="72DD9D15" w:rsidR="00911D5C" w:rsidRPr="00BE43C8" w:rsidRDefault="00911D5C" w:rsidP="0016122E">
      <w:pPr>
        <w:spacing w:line="360" w:lineRule="auto"/>
        <w:rPr>
          <w:rFonts w:ascii="Arial" w:hAnsi="Arial" w:cs="Arial"/>
          <w:b/>
          <w:bCs/>
          <w:color w:val="000000" w:themeColor="text1"/>
          <w:sz w:val="22"/>
          <w:szCs w:val="22"/>
        </w:rPr>
      </w:pPr>
    </w:p>
    <w:p w14:paraId="2A2406A7" w14:textId="4B724B42" w:rsidR="00911D5C" w:rsidRPr="00BE43C8" w:rsidRDefault="00911D5C" w:rsidP="0016122E">
      <w:pPr>
        <w:spacing w:line="360" w:lineRule="auto"/>
        <w:rPr>
          <w:rFonts w:ascii="Arial" w:hAnsi="Arial" w:cs="Arial"/>
          <w:b/>
          <w:bCs/>
          <w:color w:val="000000" w:themeColor="text1"/>
          <w:sz w:val="22"/>
          <w:szCs w:val="22"/>
        </w:rPr>
      </w:pPr>
      <w:r w:rsidRPr="00BE43C8">
        <w:rPr>
          <w:rFonts w:ascii="Arial" w:hAnsi="Arial" w:cs="Arial"/>
          <w:b/>
          <w:bCs/>
          <w:color w:val="000000" w:themeColor="text1"/>
          <w:sz w:val="22"/>
          <w:szCs w:val="22"/>
        </w:rPr>
        <w:t xml:space="preserve">3.1 </w:t>
      </w:r>
      <w:r w:rsidR="00C925FE" w:rsidRPr="00BE43C8">
        <w:rPr>
          <w:rFonts w:ascii="Arial" w:hAnsi="Arial" w:cs="Arial"/>
          <w:b/>
          <w:bCs/>
          <w:color w:val="000000" w:themeColor="text1"/>
          <w:sz w:val="22"/>
          <w:szCs w:val="22"/>
        </w:rPr>
        <w:t>Compound identification - s</w:t>
      </w:r>
      <w:r w:rsidR="00BD688A">
        <w:rPr>
          <w:rFonts w:ascii="Arial" w:hAnsi="Arial" w:cs="Arial"/>
          <w:b/>
          <w:bCs/>
          <w:color w:val="000000" w:themeColor="text1"/>
          <w:sz w:val="22"/>
          <w:szCs w:val="22"/>
        </w:rPr>
        <w:t>tability of retention indices.</w:t>
      </w:r>
    </w:p>
    <w:p w14:paraId="23A9A9BD" w14:textId="01163CBD" w:rsidR="00EB6523" w:rsidRDefault="00911D5C" w:rsidP="0016122E">
      <w:pPr>
        <w:spacing w:line="360" w:lineRule="auto"/>
        <w:jc w:val="both"/>
        <w:rPr>
          <w:rFonts w:ascii="Arial" w:hAnsi="Arial" w:cs="Arial"/>
          <w:color w:val="000000" w:themeColor="text1"/>
          <w:sz w:val="22"/>
          <w:szCs w:val="22"/>
          <w:lang w:val="en-ZA"/>
        </w:rPr>
      </w:pPr>
      <w:r w:rsidRPr="00BE43C8">
        <w:rPr>
          <w:rFonts w:ascii="Arial" w:hAnsi="Arial" w:cs="Arial"/>
          <w:color w:val="000000" w:themeColor="text1"/>
          <w:sz w:val="22"/>
          <w:szCs w:val="22"/>
        </w:rPr>
        <w:t>It is important that retention indices are stable for a given analytical method if drug comparisons are to be made.</w:t>
      </w:r>
      <w:r w:rsidR="00EB6523" w:rsidRPr="00BE43C8">
        <w:rPr>
          <w:rFonts w:ascii="Arial" w:hAnsi="Arial" w:cs="Arial"/>
          <w:color w:val="000000" w:themeColor="text1"/>
          <w:sz w:val="22"/>
          <w:szCs w:val="22"/>
        </w:rPr>
        <w:t xml:space="preserve"> </w:t>
      </w:r>
      <w:r w:rsidR="00EB6523" w:rsidRPr="00BE43C8">
        <w:rPr>
          <w:rFonts w:ascii="Arial" w:hAnsi="Arial" w:cs="Arial"/>
          <w:color w:val="000000" w:themeColor="text1"/>
          <w:sz w:val="22"/>
          <w:szCs w:val="22"/>
          <w:lang w:val="en-ZA"/>
        </w:rPr>
        <w:t>The retention indices were evaluated over five days for each component</w:t>
      </w:r>
      <w:r w:rsidR="00777059" w:rsidRPr="00BE43C8">
        <w:rPr>
          <w:rFonts w:ascii="Arial" w:hAnsi="Arial" w:cs="Arial"/>
          <w:color w:val="000000" w:themeColor="text1"/>
          <w:sz w:val="22"/>
          <w:szCs w:val="22"/>
          <w:lang w:val="en-ZA"/>
        </w:rPr>
        <w:t>.</w:t>
      </w:r>
      <w:r w:rsidR="009B2C2D" w:rsidRPr="009B2C2D">
        <w:rPr>
          <w:rFonts w:ascii="Arial" w:hAnsi="Arial" w:cs="Arial"/>
          <w:color w:val="000000" w:themeColor="text1"/>
          <w:sz w:val="22"/>
          <w:szCs w:val="22"/>
          <w:lang w:val="en-ZA"/>
        </w:rPr>
        <w:t xml:space="preserve"> </w:t>
      </w:r>
      <w:r w:rsidR="009B2C2D" w:rsidRPr="0015368A">
        <w:rPr>
          <w:rFonts w:ascii="Arial" w:hAnsi="Arial" w:cs="Arial"/>
          <w:color w:val="000000" w:themeColor="text1"/>
          <w:sz w:val="22"/>
          <w:szCs w:val="22"/>
          <w:lang w:val="en-ZA"/>
        </w:rPr>
        <w:t xml:space="preserve">The stability data for representative components of </w:t>
      </w:r>
      <w:proofErr w:type="spellStart"/>
      <w:r w:rsidR="009B2C2D" w:rsidRPr="0015368A">
        <w:rPr>
          <w:rFonts w:ascii="Arial" w:hAnsi="Arial" w:cs="Arial"/>
          <w:color w:val="000000" w:themeColor="text1"/>
          <w:sz w:val="22"/>
          <w:szCs w:val="22"/>
          <w:lang w:val="en-ZA"/>
        </w:rPr>
        <w:t>nyaope</w:t>
      </w:r>
      <w:proofErr w:type="spellEnd"/>
      <w:r w:rsidR="009B2C2D" w:rsidRPr="0015368A">
        <w:rPr>
          <w:rFonts w:ascii="Arial" w:hAnsi="Arial" w:cs="Arial"/>
          <w:color w:val="000000" w:themeColor="text1"/>
          <w:sz w:val="22"/>
          <w:szCs w:val="22"/>
          <w:lang w:val="en-ZA"/>
        </w:rPr>
        <w:t xml:space="preserve"> are given in Table 1.</w:t>
      </w:r>
      <w:r w:rsidR="00777059" w:rsidRPr="0015368A">
        <w:rPr>
          <w:rFonts w:ascii="Arial" w:hAnsi="Arial" w:cs="Arial"/>
          <w:color w:val="000000" w:themeColor="text1"/>
          <w:sz w:val="22"/>
          <w:szCs w:val="22"/>
          <w:lang w:val="en-ZA"/>
        </w:rPr>
        <w:t xml:space="preserve"> </w:t>
      </w:r>
      <w:r w:rsidR="00777059" w:rsidRPr="00BE43C8">
        <w:rPr>
          <w:rFonts w:ascii="Arial" w:hAnsi="Arial" w:cs="Arial"/>
          <w:color w:val="000000" w:themeColor="text1"/>
          <w:sz w:val="22"/>
          <w:szCs w:val="22"/>
          <w:lang w:val="en-ZA"/>
        </w:rPr>
        <w:t>The</w:t>
      </w:r>
      <w:r w:rsidR="00EB6523" w:rsidRPr="00BE43C8">
        <w:rPr>
          <w:rFonts w:ascii="Arial" w:hAnsi="Arial" w:cs="Arial"/>
          <w:color w:val="000000" w:themeColor="text1"/>
          <w:sz w:val="22"/>
          <w:szCs w:val="22"/>
          <w:lang w:val="en-ZA"/>
        </w:rPr>
        <w:t xml:space="preserve"> ANOVA </w:t>
      </w:r>
      <w:r w:rsidR="00777059" w:rsidRPr="00BE43C8">
        <w:rPr>
          <w:rFonts w:ascii="Arial" w:hAnsi="Arial" w:cs="Arial"/>
          <w:color w:val="000000" w:themeColor="text1"/>
          <w:sz w:val="22"/>
          <w:szCs w:val="22"/>
          <w:lang w:val="en-ZA"/>
        </w:rPr>
        <w:t xml:space="preserve">test </w:t>
      </w:r>
      <w:r w:rsidR="00EB6523" w:rsidRPr="00BE43C8">
        <w:rPr>
          <w:rFonts w:ascii="Arial" w:hAnsi="Arial" w:cs="Arial"/>
          <w:color w:val="000000" w:themeColor="text1"/>
          <w:sz w:val="22"/>
          <w:szCs w:val="22"/>
          <w:lang w:val="en-ZA"/>
        </w:rPr>
        <w:t xml:space="preserve">(single factor) </w:t>
      </w:r>
      <w:r w:rsidR="00777059" w:rsidRPr="00BE43C8">
        <w:rPr>
          <w:rFonts w:ascii="Arial" w:hAnsi="Arial" w:cs="Arial"/>
          <w:color w:val="000000" w:themeColor="text1"/>
          <w:sz w:val="22"/>
          <w:szCs w:val="22"/>
          <w:lang w:val="en-ZA"/>
        </w:rPr>
        <w:t>demonstrated (</w:t>
      </w:r>
      <w:proofErr w:type="spellStart"/>
      <w:r w:rsidR="00EB6523" w:rsidRPr="00BE43C8">
        <w:rPr>
          <w:rFonts w:ascii="Arial" w:hAnsi="Arial" w:cs="Arial"/>
          <w:color w:val="000000" w:themeColor="text1"/>
          <w:sz w:val="22"/>
          <w:szCs w:val="22"/>
          <w:lang w:val="en-ZA"/>
        </w:rPr>
        <w:t>F</w:t>
      </w:r>
      <w:r w:rsidR="00EB6523" w:rsidRPr="00BE43C8">
        <w:rPr>
          <w:rFonts w:ascii="Arial" w:hAnsi="Arial" w:cs="Arial"/>
          <w:color w:val="000000" w:themeColor="text1"/>
          <w:sz w:val="22"/>
          <w:szCs w:val="22"/>
          <w:vertAlign w:val="subscript"/>
          <w:lang w:val="en-ZA"/>
        </w:rPr>
        <w:t>calc</w:t>
      </w:r>
      <w:proofErr w:type="spellEnd"/>
      <w:r w:rsidR="00EB6523" w:rsidRPr="00BE43C8">
        <w:rPr>
          <w:rFonts w:ascii="Arial" w:hAnsi="Arial" w:cs="Arial"/>
          <w:color w:val="000000" w:themeColor="text1"/>
          <w:sz w:val="22"/>
          <w:szCs w:val="22"/>
          <w:lang w:val="en-ZA"/>
        </w:rPr>
        <w:t xml:space="preserve"> = 0.029</w:t>
      </w:r>
      <w:r w:rsidR="00777059" w:rsidRPr="00BE43C8">
        <w:rPr>
          <w:rFonts w:ascii="Arial" w:hAnsi="Arial" w:cs="Arial"/>
          <w:color w:val="000000" w:themeColor="text1"/>
          <w:sz w:val="22"/>
          <w:szCs w:val="22"/>
          <w:lang w:val="en-ZA"/>
        </w:rPr>
        <w:t xml:space="preserve">, </w:t>
      </w:r>
      <w:proofErr w:type="spellStart"/>
      <w:r w:rsidR="00EB6523" w:rsidRPr="00BE43C8">
        <w:rPr>
          <w:rFonts w:ascii="Arial" w:hAnsi="Arial" w:cs="Arial"/>
          <w:color w:val="000000" w:themeColor="text1"/>
          <w:sz w:val="22"/>
          <w:szCs w:val="22"/>
          <w:lang w:val="en-ZA"/>
        </w:rPr>
        <w:t>F</w:t>
      </w:r>
      <w:r w:rsidR="00EB6523" w:rsidRPr="00BE43C8">
        <w:rPr>
          <w:rFonts w:ascii="Arial" w:hAnsi="Arial" w:cs="Arial"/>
          <w:color w:val="000000" w:themeColor="text1"/>
          <w:sz w:val="22"/>
          <w:szCs w:val="22"/>
          <w:vertAlign w:val="subscript"/>
          <w:lang w:val="en-ZA"/>
        </w:rPr>
        <w:t>crit</w:t>
      </w:r>
      <w:proofErr w:type="spellEnd"/>
      <w:r w:rsidR="00EB6523" w:rsidRPr="00BE43C8">
        <w:rPr>
          <w:rFonts w:ascii="Arial" w:hAnsi="Arial" w:cs="Arial"/>
          <w:color w:val="000000" w:themeColor="text1"/>
          <w:sz w:val="22"/>
          <w:szCs w:val="22"/>
          <w:lang w:val="en-ZA"/>
        </w:rPr>
        <w:t xml:space="preserve"> = 4.965</w:t>
      </w:r>
      <w:r w:rsidR="00777059" w:rsidRPr="00BE43C8">
        <w:rPr>
          <w:rFonts w:ascii="Arial" w:hAnsi="Arial" w:cs="Arial"/>
          <w:color w:val="000000" w:themeColor="text1"/>
          <w:sz w:val="22"/>
          <w:szCs w:val="22"/>
          <w:lang w:val="en-ZA"/>
        </w:rPr>
        <w:t>) that there was no significant difference between days and that the retention indices were stable.</w:t>
      </w:r>
    </w:p>
    <w:p w14:paraId="4D24C94B" w14:textId="174B29A7" w:rsidR="00E52F26" w:rsidRDefault="00E52F26" w:rsidP="0016122E">
      <w:pPr>
        <w:spacing w:line="360" w:lineRule="auto"/>
        <w:jc w:val="both"/>
        <w:rPr>
          <w:rFonts w:ascii="Arial" w:hAnsi="Arial" w:cs="Arial"/>
          <w:color w:val="000000" w:themeColor="text1"/>
          <w:sz w:val="22"/>
          <w:szCs w:val="22"/>
          <w:lang w:val="en-ZA"/>
        </w:rPr>
      </w:pPr>
    </w:p>
    <w:p w14:paraId="39899DB9" w14:textId="77777777" w:rsidR="00E52F26" w:rsidRDefault="00E52F26" w:rsidP="0016122E">
      <w:pPr>
        <w:spacing w:line="360" w:lineRule="auto"/>
        <w:jc w:val="both"/>
        <w:rPr>
          <w:rFonts w:ascii="Arial" w:hAnsi="Arial" w:cs="Arial"/>
          <w:color w:val="000000" w:themeColor="text1"/>
          <w:sz w:val="22"/>
          <w:szCs w:val="22"/>
          <w:lang w:val="en-ZA"/>
        </w:rPr>
      </w:pPr>
    </w:p>
    <w:p w14:paraId="4045CCD3" w14:textId="77777777" w:rsidR="00DF15E0" w:rsidRPr="0015368A" w:rsidRDefault="00DF15E0" w:rsidP="0016122E">
      <w:pPr>
        <w:spacing w:line="360" w:lineRule="auto"/>
        <w:jc w:val="both"/>
        <w:rPr>
          <w:rFonts w:ascii="Arial" w:hAnsi="Arial" w:cs="Arial"/>
          <w:strike/>
          <w:color w:val="000000" w:themeColor="text1"/>
          <w:sz w:val="22"/>
          <w:szCs w:val="22"/>
        </w:rPr>
      </w:pPr>
    </w:p>
    <w:p w14:paraId="5E6C9D90" w14:textId="23BCA9E7" w:rsidR="00DF15E0" w:rsidRPr="0015368A" w:rsidRDefault="00C83D74" w:rsidP="0016122E">
      <w:pPr>
        <w:spacing w:line="360" w:lineRule="auto"/>
        <w:jc w:val="both"/>
        <w:rPr>
          <w:rFonts w:ascii="Arial" w:hAnsi="Arial" w:cs="Arial"/>
          <w:b/>
          <w:bCs/>
          <w:color w:val="000000" w:themeColor="text1"/>
          <w:sz w:val="22"/>
          <w:szCs w:val="22"/>
        </w:rPr>
      </w:pPr>
      <w:r w:rsidRPr="0015368A">
        <w:rPr>
          <w:rFonts w:ascii="Arial" w:hAnsi="Arial" w:cs="Arial"/>
          <w:b/>
          <w:bCs/>
          <w:color w:val="000000" w:themeColor="text1"/>
          <w:sz w:val="22"/>
          <w:szCs w:val="22"/>
        </w:rPr>
        <w:lastRenderedPageBreak/>
        <w:t>Table 1</w:t>
      </w:r>
      <w:r w:rsidR="00DF15E0" w:rsidRPr="0015368A">
        <w:rPr>
          <w:rFonts w:ascii="Arial" w:hAnsi="Arial" w:cs="Arial"/>
          <w:b/>
          <w:bCs/>
          <w:color w:val="000000" w:themeColor="text1"/>
          <w:sz w:val="22"/>
          <w:szCs w:val="22"/>
        </w:rPr>
        <w:t>: Stabilit</w:t>
      </w:r>
      <w:r w:rsidR="000D4A1E" w:rsidRPr="0015368A">
        <w:rPr>
          <w:rFonts w:ascii="Arial" w:hAnsi="Arial" w:cs="Arial"/>
          <w:b/>
          <w:bCs/>
          <w:color w:val="000000" w:themeColor="text1"/>
          <w:sz w:val="22"/>
          <w:szCs w:val="22"/>
        </w:rPr>
        <w:t xml:space="preserve">y data for retention indices of representative </w:t>
      </w:r>
      <w:r w:rsidR="00DF15E0" w:rsidRPr="0015368A">
        <w:rPr>
          <w:rFonts w:ascii="Arial" w:hAnsi="Arial" w:cs="Arial"/>
          <w:b/>
          <w:bCs/>
          <w:color w:val="000000" w:themeColor="text1"/>
          <w:sz w:val="22"/>
          <w:szCs w:val="22"/>
        </w:rPr>
        <w:t xml:space="preserve">components of </w:t>
      </w:r>
      <w:proofErr w:type="spellStart"/>
      <w:r w:rsidR="00DF15E0" w:rsidRPr="0015368A">
        <w:rPr>
          <w:rFonts w:ascii="Arial" w:hAnsi="Arial" w:cs="Arial"/>
          <w:b/>
          <w:bCs/>
          <w:color w:val="000000" w:themeColor="text1"/>
          <w:sz w:val="22"/>
          <w:szCs w:val="22"/>
        </w:rPr>
        <w:t>nyaope</w:t>
      </w:r>
      <w:proofErr w:type="spellEnd"/>
      <w:r w:rsidR="00DF15E0" w:rsidRPr="0015368A">
        <w:rPr>
          <w:rFonts w:ascii="Arial" w:hAnsi="Arial" w:cs="Arial"/>
          <w:b/>
          <w:bCs/>
          <w:color w:val="000000" w:themeColor="text1"/>
          <w:sz w:val="22"/>
          <w:szCs w:val="22"/>
        </w:rPr>
        <w:t xml:space="preserve"> measured by GC – MS.</w:t>
      </w:r>
    </w:p>
    <w:tbl>
      <w:tblPr>
        <w:tblW w:w="0" w:type="auto"/>
        <w:tblLook w:val="04A0" w:firstRow="1" w:lastRow="0" w:firstColumn="1" w:lastColumn="0" w:noHBand="0" w:noVBand="1"/>
      </w:tblPr>
      <w:tblGrid>
        <w:gridCol w:w="1561"/>
        <w:gridCol w:w="1085"/>
        <w:gridCol w:w="1134"/>
        <w:gridCol w:w="930"/>
      </w:tblGrid>
      <w:tr w:rsidR="0015368A" w:rsidRPr="0015368A" w14:paraId="141E8C3B" w14:textId="77777777" w:rsidTr="009B2C2D">
        <w:trPr>
          <w:trHeight w:val="300"/>
        </w:trPr>
        <w:tc>
          <w:tcPr>
            <w:tcW w:w="1156" w:type="dxa"/>
            <w:tcBorders>
              <w:top w:val="single" w:sz="12" w:space="0" w:color="auto"/>
              <w:bottom w:val="single" w:sz="12" w:space="0" w:color="auto"/>
            </w:tcBorders>
          </w:tcPr>
          <w:p w14:paraId="07E57FFF" w14:textId="77777777" w:rsidR="00DF15E0" w:rsidRPr="0015368A" w:rsidRDefault="00DF15E0" w:rsidP="0016122E">
            <w:pPr>
              <w:spacing w:line="360" w:lineRule="auto"/>
              <w:jc w:val="both"/>
              <w:rPr>
                <w:rFonts w:ascii="Arial" w:hAnsi="Arial" w:cs="Arial"/>
                <w:b/>
                <w:color w:val="000000" w:themeColor="text1"/>
                <w:sz w:val="22"/>
                <w:szCs w:val="22"/>
              </w:rPr>
            </w:pPr>
            <w:r w:rsidRPr="0015368A">
              <w:rPr>
                <w:rFonts w:ascii="Arial" w:hAnsi="Arial" w:cs="Arial"/>
                <w:b/>
                <w:color w:val="000000" w:themeColor="text1"/>
                <w:sz w:val="22"/>
                <w:szCs w:val="22"/>
              </w:rPr>
              <w:t>Compound</w:t>
            </w:r>
          </w:p>
        </w:tc>
        <w:tc>
          <w:tcPr>
            <w:tcW w:w="930" w:type="dxa"/>
            <w:tcBorders>
              <w:top w:val="single" w:sz="12" w:space="0" w:color="auto"/>
              <w:bottom w:val="single" w:sz="12" w:space="0" w:color="auto"/>
            </w:tcBorders>
            <w:shd w:val="clear" w:color="auto" w:fill="auto"/>
            <w:noWrap/>
            <w:hideMark/>
          </w:tcPr>
          <w:p w14:paraId="0A6C1595" w14:textId="77777777" w:rsidR="00DF15E0" w:rsidRPr="0015368A" w:rsidRDefault="00DF15E0" w:rsidP="0016122E">
            <w:pPr>
              <w:spacing w:line="360" w:lineRule="auto"/>
              <w:jc w:val="both"/>
              <w:rPr>
                <w:rFonts w:ascii="Arial" w:hAnsi="Arial" w:cs="Arial"/>
                <w:b/>
                <w:color w:val="000000" w:themeColor="text1"/>
                <w:sz w:val="22"/>
                <w:szCs w:val="22"/>
              </w:rPr>
            </w:pPr>
            <w:r w:rsidRPr="0015368A">
              <w:rPr>
                <w:rFonts w:ascii="Arial" w:hAnsi="Arial" w:cs="Arial"/>
                <w:b/>
                <w:color w:val="000000" w:themeColor="text1"/>
                <w:sz w:val="22"/>
                <w:szCs w:val="22"/>
              </w:rPr>
              <w:t>Average</w:t>
            </w:r>
          </w:p>
        </w:tc>
        <w:tc>
          <w:tcPr>
            <w:tcW w:w="930" w:type="dxa"/>
            <w:tcBorders>
              <w:top w:val="single" w:sz="12" w:space="0" w:color="auto"/>
              <w:bottom w:val="single" w:sz="12" w:space="0" w:color="auto"/>
            </w:tcBorders>
            <w:shd w:val="clear" w:color="auto" w:fill="auto"/>
            <w:noWrap/>
            <w:hideMark/>
          </w:tcPr>
          <w:p w14:paraId="6F84B497" w14:textId="77777777" w:rsidR="00DF15E0" w:rsidRPr="0015368A" w:rsidRDefault="00DF15E0" w:rsidP="0016122E">
            <w:pPr>
              <w:spacing w:line="360" w:lineRule="auto"/>
              <w:jc w:val="both"/>
              <w:rPr>
                <w:rFonts w:ascii="Arial" w:hAnsi="Arial" w:cs="Arial"/>
                <w:b/>
                <w:color w:val="000000" w:themeColor="text1"/>
                <w:sz w:val="22"/>
                <w:szCs w:val="22"/>
              </w:rPr>
            </w:pPr>
            <w:r w:rsidRPr="0015368A">
              <w:rPr>
                <w:rFonts w:ascii="Arial" w:hAnsi="Arial" w:cs="Arial"/>
                <w:b/>
                <w:color w:val="000000" w:themeColor="text1"/>
                <w:sz w:val="22"/>
                <w:szCs w:val="22"/>
              </w:rPr>
              <w:t>SD</w:t>
            </w:r>
          </w:p>
        </w:tc>
        <w:tc>
          <w:tcPr>
            <w:tcW w:w="930" w:type="dxa"/>
            <w:tcBorders>
              <w:top w:val="single" w:sz="12" w:space="0" w:color="auto"/>
              <w:bottom w:val="single" w:sz="12" w:space="0" w:color="auto"/>
            </w:tcBorders>
            <w:shd w:val="clear" w:color="auto" w:fill="auto"/>
            <w:noWrap/>
            <w:hideMark/>
          </w:tcPr>
          <w:p w14:paraId="5110FF4A" w14:textId="77777777" w:rsidR="00DF15E0" w:rsidRPr="0015368A" w:rsidRDefault="00DF15E0" w:rsidP="0016122E">
            <w:pPr>
              <w:spacing w:line="360" w:lineRule="auto"/>
              <w:jc w:val="both"/>
              <w:rPr>
                <w:rFonts w:ascii="Arial" w:hAnsi="Arial" w:cs="Arial"/>
                <w:b/>
                <w:color w:val="000000" w:themeColor="text1"/>
                <w:sz w:val="22"/>
                <w:szCs w:val="22"/>
              </w:rPr>
            </w:pPr>
            <w:r w:rsidRPr="0015368A">
              <w:rPr>
                <w:rFonts w:ascii="Arial" w:hAnsi="Arial" w:cs="Arial"/>
                <w:b/>
                <w:color w:val="000000" w:themeColor="text1"/>
                <w:sz w:val="22"/>
                <w:szCs w:val="22"/>
              </w:rPr>
              <w:t>%RSD</w:t>
            </w:r>
          </w:p>
        </w:tc>
      </w:tr>
      <w:tr w:rsidR="0015368A" w:rsidRPr="0015368A" w14:paraId="793BBA63" w14:textId="77777777" w:rsidTr="009B2C2D">
        <w:trPr>
          <w:trHeight w:val="300"/>
        </w:trPr>
        <w:tc>
          <w:tcPr>
            <w:tcW w:w="1156" w:type="dxa"/>
            <w:tcBorders>
              <w:top w:val="single" w:sz="12" w:space="0" w:color="auto"/>
            </w:tcBorders>
          </w:tcPr>
          <w:p w14:paraId="72F67ECF" w14:textId="77777777" w:rsidR="00DF15E0" w:rsidRPr="0015368A" w:rsidRDefault="00DF15E0" w:rsidP="0016122E">
            <w:pPr>
              <w:spacing w:line="360" w:lineRule="auto"/>
              <w:jc w:val="both"/>
              <w:rPr>
                <w:rFonts w:ascii="Arial" w:hAnsi="Arial" w:cs="Arial"/>
                <w:b/>
                <w:color w:val="000000" w:themeColor="text1"/>
                <w:sz w:val="22"/>
                <w:szCs w:val="22"/>
              </w:rPr>
            </w:pPr>
            <w:r w:rsidRPr="0015368A">
              <w:rPr>
                <w:rFonts w:ascii="Arial" w:hAnsi="Arial" w:cs="Arial"/>
                <w:b/>
                <w:color w:val="000000" w:themeColor="text1"/>
                <w:sz w:val="22"/>
                <w:szCs w:val="22"/>
              </w:rPr>
              <w:t>Phenacetin</w:t>
            </w:r>
          </w:p>
        </w:tc>
        <w:tc>
          <w:tcPr>
            <w:tcW w:w="930" w:type="dxa"/>
            <w:tcBorders>
              <w:top w:val="single" w:sz="12" w:space="0" w:color="auto"/>
            </w:tcBorders>
            <w:shd w:val="clear" w:color="auto" w:fill="auto"/>
            <w:noWrap/>
            <w:hideMark/>
          </w:tcPr>
          <w:p w14:paraId="756BC10F" w14:textId="77777777" w:rsidR="00DF15E0" w:rsidRPr="0015368A" w:rsidRDefault="00DF15E0" w:rsidP="0016122E">
            <w:pPr>
              <w:spacing w:line="360" w:lineRule="auto"/>
              <w:jc w:val="both"/>
              <w:rPr>
                <w:rFonts w:ascii="Arial" w:hAnsi="Arial" w:cs="Arial"/>
                <w:color w:val="000000" w:themeColor="text1"/>
                <w:sz w:val="22"/>
                <w:szCs w:val="22"/>
              </w:rPr>
            </w:pPr>
            <w:r w:rsidRPr="0015368A">
              <w:rPr>
                <w:rFonts w:ascii="Arial" w:hAnsi="Arial" w:cs="Arial"/>
                <w:color w:val="000000" w:themeColor="text1"/>
                <w:sz w:val="22"/>
                <w:szCs w:val="22"/>
              </w:rPr>
              <w:t>0.666</w:t>
            </w:r>
          </w:p>
        </w:tc>
        <w:tc>
          <w:tcPr>
            <w:tcW w:w="930" w:type="dxa"/>
            <w:tcBorders>
              <w:top w:val="single" w:sz="12" w:space="0" w:color="auto"/>
            </w:tcBorders>
            <w:shd w:val="clear" w:color="auto" w:fill="auto"/>
            <w:noWrap/>
            <w:hideMark/>
          </w:tcPr>
          <w:p w14:paraId="41DA5203" w14:textId="77777777" w:rsidR="00DF15E0" w:rsidRPr="0015368A" w:rsidRDefault="00DF15E0" w:rsidP="0016122E">
            <w:pPr>
              <w:spacing w:line="360" w:lineRule="auto"/>
              <w:jc w:val="both"/>
              <w:rPr>
                <w:rFonts w:ascii="Arial" w:hAnsi="Arial" w:cs="Arial"/>
                <w:color w:val="000000" w:themeColor="text1"/>
                <w:sz w:val="22"/>
                <w:szCs w:val="22"/>
              </w:rPr>
            </w:pPr>
            <w:r w:rsidRPr="0015368A">
              <w:rPr>
                <w:rFonts w:ascii="Arial" w:hAnsi="Arial" w:cs="Arial"/>
                <w:color w:val="000000" w:themeColor="text1"/>
                <w:sz w:val="22"/>
                <w:szCs w:val="22"/>
              </w:rPr>
              <w:t>0.000148</w:t>
            </w:r>
          </w:p>
        </w:tc>
        <w:tc>
          <w:tcPr>
            <w:tcW w:w="930" w:type="dxa"/>
            <w:tcBorders>
              <w:top w:val="single" w:sz="12" w:space="0" w:color="auto"/>
            </w:tcBorders>
            <w:shd w:val="clear" w:color="auto" w:fill="auto"/>
            <w:noWrap/>
            <w:hideMark/>
          </w:tcPr>
          <w:p w14:paraId="6F8916C7" w14:textId="77777777" w:rsidR="00DF15E0" w:rsidRPr="0015368A" w:rsidRDefault="00DF15E0" w:rsidP="0016122E">
            <w:pPr>
              <w:spacing w:line="360" w:lineRule="auto"/>
              <w:jc w:val="both"/>
              <w:rPr>
                <w:rFonts w:ascii="Arial" w:hAnsi="Arial" w:cs="Arial"/>
                <w:color w:val="000000" w:themeColor="text1"/>
                <w:sz w:val="22"/>
                <w:szCs w:val="22"/>
              </w:rPr>
            </w:pPr>
            <w:r w:rsidRPr="0015368A">
              <w:rPr>
                <w:rFonts w:ascii="Arial" w:hAnsi="Arial" w:cs="Arial"/>
                <w:color w:val="000000" w:themeColor="text1"/>
                <w:sz w:val="22"/>
                <w:szCs w:val="22"/>
              </w:rPr>
              <w:t>0.022</w:t>
            </w:r>
          </w:p>
        </w:tc>
      </w:tr>
      <w:tr w:rsidR="0015368A" w:rsidRPr="0015368A" w14:paraId="11A07576" w14:textId="77777777" w:rsidTr="009B2C2D">
        <w:trPr>
          <w:trHeight w:val="300"/>
        </w:trPr>
        <w:tc>
          <w:tcPr>
            <w:tcW w:w="1156" w:type="dxa"/>
          </w:tcPr>
          <w:p w14:paraId="036A6FF7" w14:textId="77777777" w:rsidR="00DF15E0" w:rsidRPr="0015368A" w:rsidRDefault="00DF15E0" w:rsidP="0016122E">
            <w:pPr>
              <w:spacing w:line="360" w:lineRule="auto"/>
              <w:jc w:val="both"/>
              <w:rPr>
                <w:rFonts w:ascii="Arial" w:hAnsi="Arial" w:cs="Arial"/>
                <w:b/>
                <w:color w:val="000000" w:themeColor="text1"/>
                <w:sz w:val="22"/>
                <w:szCs w:val="22"/>
              </w:rPr>
            </w:pPr>
            <w:r w:rsidRPr="0015368A">
              <w:rPr>
                <w:rFonts w:ascii="Arial" w:hAnsi="Arial" w:cs="Arial"/>
                <w:b/>
                <w:color w:val="000000" w:themeColor="text1"/>
                <w:sz w:val="22"/>
                <w:szCs w:val="22"/>
              </w:rPr>
              <w:t>Caffeine</w:t>
            </w:r>
          </w:p>
        </w:tc>
        <w:tc>
          <w:tcPr>
            <w:tcW w:w="930" w:type="dxa"/>
            <w:shd w:val="clear" w:color="auto" w:fill="auto"/>
            <w:noWrap/>
            <w:hideMark/>
          </w:tcPr>
          <w:p w14:paraId="2555FDEC" w14:textId="77777777" w:rsidR="00DF15E0" w:rsidRPr="0015368A" w:rsidRDefault="00DF15E0" w:rsidP="0016122E">
            <w:pPr>
              <w:spacing w:line="360" w:lineRule="auto"/>
              <w:jc w:val="both"/>
              <w:rPr>
                <w:rFonts w:ascii="Arial" w:hAnsi="Arial" w:cs="Arial"/>
                <w:color w:val="000000" w:themeColor="text1"/>
                <w:sz w:val="22"/>
                <w:szCs w:val="22"/>
              </w:rPr>
            </w:pPr>
            <w:r w:rsidRPr="0015368A">
              <w:rPr>
                <w:rFonts w:ascii="Arial" w:hAnsi="Arial" w:cs="Arial"/>
                <w:color w:val="000000" w:themeColor="text1"/>
                <w:sz w:val="22"/>
                <w:szCs w:val="22"/>
              </w:rPr>
              <w:t>0.835</w:t>
            </w:r>
          </w:p>
        </w:tc>
        <w:tc>
          <w:tcPr>
            <w:tcW w:w="930" w:type="dxa"/>
            <w:shd w:val="clear" w:color="auto" w:fill="auto"/>
            <w:noWrap/>
            <w:hideMark/>
          </w:tcPr>
          <w:p w14:paraId="6EFAFA22" w14:textId="77777777" w:rsidR="00DF15E0" w:rsidRPr="0015368A" w:rsidRDefault="00DF15E0" w:rsidP="0016122E">
            <w:pPr>
              <w:spacing w:line="360" w:lineRule="auto"/>
              <w:jc w:val="both"/>
              <w:rPr>
                <w:rFonts w:ascii="Arial" w:hAnsi="Arial" w:cs="Arial"/>
                <w:color w:val="000000" w:themeColor="text1"/>
                <w:sz w:val="22"/>
                <w:szCs w:val="22"/>
              </w:rPr>
            </w:pPr>
            <w:r w:rsidRPr="0015368A">
              <w:rPr>
                <w:rFonts w:ascii="Arial" w:hAnsi="Arial" w:cs="Arial"/>
                <w:color w:val="000000" w:themeColor="text1"/>
                <w:sz w:val="22"/>
                <w:szCs w:val="22"/>
              </w:rPr>
              <w:t>0.000169</w:t>
            </w:r>
          </w:p>
        </w:tc>
        <w:tc>
          <w:tcPr>
            <w:tcW w:w="930" w:type="dxa"/>
            <w:shd w:val="clear" w:color="auto" w:fill="auto"/>
            <w:noWrap/>
            <w:hideMark/>
          </w:tcPr>
          <w:p w14:paraId="2D5ADB6B" w14:textId="77777777" w:rsidR="00DF15E0" w:rsidRPr="0015368A" w:rsidRDefault="00DF15E0" w:rsidP="0016122E">
            <w:pPr>
              <w:spacing w:line="360" w:lineRule="auto"/>
              <w:jc w:val="both"/>
              <w:rPr>
                <w:rFonts w:ascii="Arial" w:hAnsi="Arial" w:cs="Arial"/>
                <w:color w:val="000000" w:themeColor="text1"/>
                <w:sz w:val="22"/>
                <w:szCs w:val="22"/>
              </w:rPr>
            </w:pPr>
            <w:r w:rsidRPr="0015368A">
              <w:rPr>
                <w:rFonts w:ascii="Arial" w:hAnsi="Arial" w:cs="Arial"/>
                <w:color w:val="000000" w:themeColor="text1"/>
                <w:sz w:val="22"/>
                <w:szCs w:val="22"/>
              </w:rPr>
              <w:t>0.020</w:t>
            </w:r>
          </w:p>
        </w:tc>
      </w:tr>
      <w:tr w:rsidR="0015368A" w:rsidRPr="0015368A" w14:paraId="2613F3E5" w14:textId="77777777" w:rsidTr="009B2C2D">
        <w:trPr>
          <w:trHeight w:val="300"/>
        </w:trPr>
        <w:tc>
          <w:tcPr>
            <w:tcW w:w="1156" w:type="dxa"/>
          </w:tcPr>
          <w:p w14:paraId="53C6DE52" w14:textId="77777777" w:rsidR="00DF15E0" w:rsidRPr="0015368A" w:rsidRDefault="00DF15E0" w:rsidP="0016122E">
            <w:pPr>
              <w:spacing w:line="360" w:lineRule="auto"/>
              <w:jc w:val="both"/>
              <w:rPr>
                <w:rFonts w:ascii="Arial" w:hAnsi="Arial" w:cs="Arial"/>
                <w:b/>
                <w:color w:val="000000" w:themeColor="text1"/>
                <w:sz w:val="22"/>
                <w:szCs w:val="22"/>
              </w:rPr>
            </w:pPr>
            <w:r w:rsidRPr="0015368A">
              <w:rPr>
                <w:rFonts w:ascii="Arial" w:hAnsi="Arial" w:cs="Arial"/>
                <w:b/>
                <w:color w:val="000000" w:themeColor="text1"/>
                <w:sz w:val="22"/>
                <w:szCs w:val="22"/>
              </w:rPr>
              <w:t>Efavirenz</w:t>
            </w:r>
          </w:p>
        </w:tc>
        <w:tc>
          <w:tcPr>
            <w:tcW w:w="930" w:type="dxa"/>
            <w:shd w:val="clear" w:color="auto" w:fill="auto"/>
            <w:noWrap/>
            <w:hideMark/>
          </w:tcPr>
          <w:p w14:paraId="0F4BE14F" w14:textId="77777777" w:rsidR="00DF15E0" w:rsidRPr="0015368A" w:rsidRDefault="00DF15E0" w:rsidP="0016122E">
            <w:pPr>
              <w:spacing w:line="360" w:lineRule="auto"/>
              <w:jc w:val="both"/>
              <w:rPr>
                <w:rFonts w:ascii="Arial" w:hAnsi="Arial" w:cs="Arial"/>
                <w:color w:val="000000" w:themeColor="text1"/>
                <w:sz w:val="22"/>
                <w:szCs w:val="22"/>
              </w:rPr>
            </w:pPr>
            <w:r w:rsidRPr="0015368A">
              <w:rPr>
                <w:rFonts w:ascii="Arial" w:hAnsi="Arial" w:cs="Arial"/>
                <w:color w:val="000000" w:themeColor="text1"/>
                <w:sz w:val="22"/>
                <w:szCs w:val="22"/>
              </w:rPr>
              <w:t>0.835</w:t>
            </w:r>
          </w:p>
        </w:tc>
        <w:tc>
          <w:tcPr>
            <w:tcW w:w="930" w:type="dxa"/>
            <w:shd w:val="clear" w:color="auto" w:fill="auto"/>
            <w:noWrap/>
            <w:hideMark/>
          </w:tcPr>
          <w:p w14:paraId="6D0F4E4A" w14:textId="77777777" w:rsidR="00DF15E0" w:rsidRPr="0015368A" w:rsidRDefault="00DF15E0" w:rsidP="0016122E">
            <w:pPr>
              <w:spacing w:line="360" w:lineRule="auto"/>
              <w:jc w:val="both"/>
              <w:rPr>
                <w:rFonts w:ascii="Arial" w:hAnsi="Arial" w:cs="Arial"/>
                <w:color w:val="000000" w:themeColor="text1"/>
                <w:sz w:val="22"/>
                <w:szCs w:val="22"/>
              </w:rPr>
            </w:pPr>
            <w:r w:rsidRPr="0015368A">
              <w:rPr>
                <w:rFonts w:ascii="Arial" w:hAnsi="Arial" w:cs="Arial"/>
                <w:color w:val="000000" w:themeColor="text1"/>
                <w:sz w:val="22"/>
                <w:szCs w:val="22"/>
              </w:rPr>
              <w:t>0.000169</w:t>
            </w:r>
          </w:p>
        </w:tc>
        <w:tc>
          <w:tcPr>
            <w:tcW w:w="930" w:type="dxa"/>
            <w:shd w:val="clear" w:color="auto" w:fill="auto"/>
            <w:noWrap/>
            <w:hideMark/>
          </w:tcPr>
          <w:p w14:paraId="7F3B6EBB" w14:textId="77777777" w:rsidR="00DF15E0" w:rsidRPr="0015368A" w:rsidRDefault="00DF15E0" w:rsidP="0016122E">
            <w:pPr>
              <w:spacing w:line="360" w:lineRule="auto"/>
              <w:jc w:val="both"/>
              <w:rPr>
                <w:rFonts w:ascii="Arial" w:hAnsi="Arial" w:cs="Arial"/>
                <w:color w:val="000000" w:themeColor="text1"/>
                <w:sz w:val="22"/>
                <w:szCs w:val="22"/>
              </w:rPr>
            </w:pPr>
            <w:r w:rsidRPr="0015368A">
              <w:rPr>
                <w:rFonts w:ascii="Arial" w:hAnsi="Arial" w:cs="Arial"/>
                <w:color w:val="000000" w:themeColor="text1"/>
                <w:sz w:val="22"/>
                <w:szCs w:val="22"/>
              </w:rPr>
              <w:t>0.020</w:t>
            </w:r>
          </w:p>
        </w:tc>
      </w:tr>
      <w:tr w:rsidR="0015368A" w:rsidRPr="0015368A" w14:paraId="78802D10" w14:textId="77777777" w:rsidTr="009B2C2D">
        <w:trPr>
          <w:trHeight w:val="300"/>
        </w:trPr>
        <w:tc>
          <w:tcPr>
            <w:tcW w:w="1156" w:type="dxa"/>
          </w:tcPr>
          <w:p w14:paraId="66806AAF" w14:textId="77777777" w:rsidR="00DF15E0" w:rsidRPr="0015368A" w:rsidRDefault="00DF15E0" w:rsidP="0016122E">
            <w:pPr>
              <w:spacing w:line="360" w:lineRule="auto"/>
              <w:jc w:val="both"/>
              <w:rPr>
                <w:rFonts w:ascii="Arial" w:hAnsi="Arial" w:cs="Arial"/>
                <w:b/>
                <w:color w:val="000000" w:themeColor="text1"/>
                <w:sz w:val="22"/>
                <w:szCs w:val="22"/>
              </w:rPr>
            </w:pPr>
            <w:r w:rsidRPr="0015368A">
              <w:rPr>
                <w:rFonts w:ascii="Arial" w:hAnsi="Arial" w:cs="Arial"/>
                <w:b/>
                <w:color w:val="000000" w:themeColor="text1"/>
                <w:sz w:val="22"/>
                <w:szCs w:val="22"/>
              </w:rPr>
              <w:t>Tetracosane</w:t>
            </w:r>
          </w:p>
        </w:tc>
        <w:tc>
          <w:tcPr>
            <w:tcW w:w="930" w:type="dxa"/>
            <w:shd w:val="clear" w:color="auto" w:fill="auto"/>
            <w:noWrap/>
            <w:hideMark/>
          </w:tcPr>
          <w:p w14:paraId="6789BB40" w14:textId="77777777" w:rsidR="00DF15E0" w:rsidRPr="0015368A" w:rsidRDefault="00DF15E0" w:rsidP="0016122E">
            <w:pPr>
              <w:spacing w:line="360" w:lineRule="auto"/>
              <w:jc w:val="both"/>
              <w:rPr>
                <w:rFonts w:ascii="Arial" w:hAnsi="Arial" w:cs="Arial"/>
                <w:color w:val="000000" w:themeColor="text1"/>
                <w:sz w:val="22"/>
                <w:szCs w:val="22"/>
              </w:rPr>
            </w:pPr>
            <w:r w:rsidRPr="0015368A">
              <w:rPr>
                <w:rFonts w:ascii="Arial" w:hAnsi="Arial" w:cs="Arial"/>
                <w:color w:val="000000" w:themeColor="text1"/>
                <w:sz w:val="22"/>
                <w:szCs w:val="22"/>
              </w:rPr>
              <w:t>1.000</w:t>
            </w:r>
          </w:p>
        </w:tc>
        <w:tc>
          <w:tcPr>
            <w:tcW w:w="930" w:type="dxa"/>
            <w:shd w:val="clear" w:color="auto" w:fill="auto"/>
            <w:noWrap/>
            <w:hideMark/>
          </w:tcPr>
          <w:p w14:paraId="29E173DF" w14:textId="77777777" w:rsidR="00DF15E0" w:rsidRPr="0015368A" w:rsidRDefault="00DF15E0" w:rsidP="0016122E">
            <w:pPr>
              <w:spacing w:line="360" w:lineRule="auto"/>
              <w:jc w:val="both"/>
              <w:rPr>
                <w:rFonts w:ascii="Arial" w:hAnsi="Arial" w:cs="Arial"/>
                <w:color w:val="000000" w:themeColor="text1"/>
                <w:sz w:val="22"/>
                <w:szCs w:val="22"/>
              </w:rPr>
            </w:pPr>
            <w:r w:rsidRPr="0015368A">
              <w:rPr>
                <w:rFonts w:ascii="Arial" w:hAnsi="Arial" w:cs="Arial"/>
                <w:color w:val="000000" w:themeColor="text1"/>
                <w:sz w:val="22"/>
                <w:szCs w:val="22"/>
              </w:rPr>
              <w:t>0.000000</w:t>
            </w:r>
          </w:p>
        </w:tc>
        <w:tc>
          <w:tcPr>
            <w:tcW w:w="930" w:type="dxa"/>
            <w:shd w:val="clear" w:color="auto" w:fill="auto"/>
            <w:noWrap/>
            <w:hideMark/>
          </w:tcPr>
          <w:p w14:paraId="492701E3" w14:textId="77777777" w:rsidR="00DF15E0" w:rsidRPr="0015368A" w:rsidRDefault="00DF15E0" w:rsidP="0016122E">
            <w:pPr>
              <w:spacing w:line="360" w:lineRule="auto"/>
              <w:jc w:val="both"/>
              <w:rPr>
                <w:rFonts w:ascii="Arial" w:hAnsi="Arial" w:cs="Arial"/>
                <w:color w:val="000000" w:themeColor="text1"/>
                <w:sz w:val="22"/>
                <w:szCs w:val="22"/>
              </w:rPr>
            </w:pPr>
            <w:r w:rsidRPr="0015368A">
              <w:rPr>
                <w:rFonts w:ascii="Arial" w:hAnsi="Arial" w:cs="Arial"/>
                <w:color w:val="000000" w:themeColor="text1"/>
                <w:sz w:val="22"/>
                <w:szCs w:val="22"/>
              </w:rPr>
              <w:t>0.000</w:t>
            </w:r>
          </w:p>
        </w:tc>
      </w:tr>
      <w:tr w:rsidR="0015368A" w:rsidRPr="0015368A" w14:paraId="78BE7C10" w14:textId="77777777" w:rsidTr="009B2C2D">
        <w:trPr>
          <w:trHeight w:val="300"/>
        </w:trPr>
        <w:tc>
          <w:tcPr>
            <w:tcW w:w="1156" w:type="dxa"/>
          </w:tcPr>
          <w:p w14:paraId="684DC994" w14:textId="77777777" w:rsidR="00DF15E0" w:rsidRPr="0015368A" w:rsidRDefault="00DF15E0" w:rsidP="0016122E">
            <w:pPr>
              <w:spacing w:line="360" w:lineRule="auto"/>
              <w:jc w:val="both"/>
              <w:rPr>
                <w:rFonts w:ascii="Arial" w:hAnsi="Arial" w:cs="Arial"/>
                <w:b/>
                <w:color w:val="000000" w:themeColor="text1"/>
                <w:sz w:val="22"/>
                <w:szCs w:val="22"/>
              </w:rPr>
            </w:pPr>
            <w:r w:rsidRPr="0015368A">
              <w:rPr>
                <w:rFonts w:ascii="Arial" w:hAnsi="Arial" w:cs="Arial"/>
                <w:b/>
                <w:color w:val="000000" w:themeColor="text1"/>
                <w:sz w:val="22"/>
                <w:szCs w:val="22"/>
              </w:rPr>
              <w:t>Nevirapine</w:t>
            </w:r>
          </w:p>
        </w:tc>
        <w:tc>
          <w:tcPr>
            <w:tcW w:w="930" w:type="dxa"/>
            <w:shd w:val="clear" w:color="auto" w:fill="auto"/>
            <w:noWrap/>
            <w:hideMark/>
          </w:tcPr>
          <w:p w14:paraId="0B3B1BE5" w14:textId="77777777" w:rsidR="00DF15E0" w:rsidRPr="0015368A" w:rsidRDefault="00DF15E0" w:rsidP="0016122E">
            <w:pPr>
              <w:spacing w:line="360" w:lineRule="auto"/>
              <w:jc w:val="both"/>
              <w:rPr>
                <w:rFonts w:ascii="Arial" w:hAnsi="Arial" w:cs="Arial"/>
                <w:color w:val="000000" w:themeColor="text1"/>
                <w:sz w:val="22"/>
                <w:szCs w:val="22"/>
              </w:rPr>
            </w:pPr>
            <w:r w:rsidRPr="0015368A">
              <w:rPr>
                <w:rFonts w:ascii="Arial" w:hAnsi="Arial" w:cs="Arial"/>
                <w:color w:val="000000" w:themeColor="text1"/>
                <w:sz w:val="22"/>
                <w:szCs w:val="22"/>
              </w:rPr>
              <w:t>1.096</w:t>
            </w:r>
          </w:p>
        </w:tc>
        <w:tc>
          <w:tcPr>
            <w:tcW w:w="930" w:type="dxa"/>
            <w:shd w:val="clear" w:color="auto" w:fill="auto"/>
            <w:noWrap/>
            <w:hideMark/>
          </w:tcPr>
          <w:p w14:paraId="75A9CD98" w14:textId="77777777" w:rsidR="00DF15E0" w:rsidRPr="0015368A" w:rsidRDefault="00DF15E0" w:rsidP="0016122E">
            <w:pPr>
              <w:spacing w:line="360" w:lineRule="auto"/>
              <w:jc w:val="both"/>
              <w:rPr>
                <w:rFonts w:ascii="Arial" w:hAnsi="Arial" w:cs="Arial"/>
                <w:color w:val="000000" w:themeColor="text1"/>
                <w:sz w:val="22"/>
                <w:szCs w:val="22"/>
              </w:rPr>
            </w:pPr>
            <w:r w:rsidRPr="0015368A">
              <w:rPr>
                <w:rFonts w:ascii="Arial" w:hAnsi="Arial" w:cs="Arial"/>
                <w:color w:val="000000" w:themeColor="text1"/>
                <w:sz w:val="22"/>
                <w:szCs w:val="22"/>
              </w:rPr>
              <w:t>0.000209</w:t>
            </w:r>
          </w:p>
        </w:tc>
        <w:tc>
          <w:tcPr>
            <w:tcW w:w="930" w:type="dxa"/>
            <w:shd w:val="clear" w:color="auto" w:fill="auto"/>
            <w:noWrap/>
            <w:hideMark/>
          </w:tcPr>
          <w:p w14:paraId="0E414346" w14:textId="77777777" w:rsidR="00DF15E0" w:rsidRPr="0015368A" w:rsidRDefault="00DF15E0" w:rsidP="0016122E">
            <w:pPr>
              <w:spacing w:line="360" w:lineRule="auto"/>
              <w:jc w:val="both"/>
              <w:rPr>
                <w:rFonts w:ascii="Arial" w:hAnsi="Arial" w:cs="Arial"/>
                <w:color w:val="000000" w:themeColor="text1"/>
                <w:sz w:val="22"/>
                <w:szCs w:val="22"/>
              </w:rPr>
            </w:pPr>
            <w:r w:rsidRPr="0015368A">
              <w:rPr>
                <w:rFonts w:ascii="Arial" w:hAnsi="Arial" w:cs="Arial"/>
                <w:color w:val="000000" w:themeColor="text1"/>
                <w:sz w:val="22"/>
                <w:szCs w:val="22"/>
              </w:rPr>
              <w:t>0.019</w:t>
            </w:r>
          </w:p>
        </w:tc>
      </w:tr>
      <w:tr w:rsidR="0015368A" w:rsidRPr="0015368A" w14:paraId="2A20DB92" w14:textId="77777777" w:rsidTr="009B2C2D">
        <w:trPr>
          <w:trHeight w:val="300"/>
        </w:trPr>
        <w:tc>
          <w:tcPr>
            <w:tcW w:w="1156" w:type="dxa"/>
          </w:tcPr>
          <w:p w14:paraId="3EAA7563" w14:textId="77777777" w:rsidR="00DF15E0" w:rsidRPr="0015368A" w:rsidRDefault="00DF15E0" w:rsidP="0016122E">
            <w:pPr>
              <w:spacing w:line="360" w:lineRule="auto"/>
              <w:jc w:val="both"/>
              <w:rPr>
                <w:rFonts w:ascii="Arial" w:hAnsi="Arial" w:cs="Arial"/>
                <w:b/>
                <w:color w:val="000000" w:themeColor="text1"/>
                <w:sz w:val="22"/>
                <w:szCs w:val="22"/>
              </w:rPr>
            </w:pPr>
            <w:r w:rsidRPr="0015368A">
              <w:rPr>
                <w:rFonts w:ascii="Arial" w:hAnsi="Arial" w:cs="Arial"/>
                <w:b/>
                <w:color w:val="000000" w:themeColor="text1"/>
                <w:sz w:val="22"/>
                <w:szCs w:val="22"/>
                <w:lang w:val="en-US"/>
              </w:rPr>
              <w:t>Δ</w:t>
            </w:r>
            <w:r w:rsidRPr="0015368A">
              <w:rPr>
                <w:rFonts w:ascii="Arial" w:hAnsi="Arial" w:cs="Arial"/>
                <w:b/>
                <w:color w:val="000000" w:themeColor="text1"/>
                <w:sz w:val="22"/>
                <w:szCs w:val="22"/>
                <w:vertAlign w:val="superscript"/>
                <w:lang w:val="en-US"/>
              </w:rPr>
              <w:t>9</w:t>
            </w:r>
            <w:r w:rsidRPr="0015368A">
              <w:rPr>
                <w:rFonts w:ascii="Arial" w:hAnsi="Arial" w:cs="Arial"/>
                <w:b/>
                <w:color w:val="000000" w:themeColor="text1"/>
                <w:sz w:val="22"/>
                <w:szCs w:val="22"/>
                <w:lang w:val="en-US"/>
              </w:rPr>
              <w:t>-THC</w:t>
            </w:r>
          </w:p>
        </w:tc>
        <w:tc>
          <w:tcPr>
            <w:tcW w:w="930" w:type="dxa"/>
            <w:shd w:val="clear" w:color="auto" w:fill="auto"/>
            <w:noWrap/>
            <w:hideMark/>
          </w:tcPr>
          <w:p w14:paraId="2C662F4F" w14:textId="77777777" w:rsidR="00DF15E0" w:rsidRPr="0015368A" w:rsidRDefault="00DF15E0" w:rsidP="0016122E">
            <w:pPr>
              <w:spacing w:line="360" w:lineRule="auto"/>
              <w:jc w:val="both"/>
              <w:rPr>
                <w:rFonts w:ascii="Arial" w:hAnsi="Arial" w:cs="Arial"/>
                <w:color w:val="000000" w:themeColor="text1"/>
                <w:sz w:val="22"/>
                <w:szCs w:val="22"/>
              </w:rPr>
            </w:pPr>
            <w:r w:rsidRPr="0015368A">
              <w:rPr>
                <w:rFonts w:ascii="Arial" w:hAnsi="Arial" w:cs="Arial"/>
                <w:color w:val="000000" w:themeColor="text1"/>
                <w:sz w:val="22"/>
                <w:szCs w:val="22"/>
              </w:rPr>
              <w:t>1.178</w:t>
            </w:r>
          </w:p>
        </w:tc>
        <w:tc>
          <w:tcPr>
            <w:tcW w:w="930" w:type="dxa"/>
            <w:shd w:val="clear" w:color="auto" w:fill="auto"/>
            <w:noWrap/>
            <w:hideMark/>
          </w:tcPr>
          <w:p w14:paraId="6731A318" w14:textId="77777777" w:rsidR="00DF15E0" w:rsidRPr="0015368A" w:rsidRDefault="00DF15E0" w:rsidP="0016122E">
            <w:pPr>
              <w:spacing w:line="360" w:lineRule="auto"/>
              <w:jc w:val="both"/>
              <w:rPr>
                <w:rFonts w:ascii="Arial" w:hAnsi="Arial" w:cs="Arial"/>
                <w:color w:val="000000" w:themeColor="text1"/>
                <w:sz w:val="22"/>
                <w:szCs w:val="22"/>
              </w:rPr>
            </w:pPr>
            <w:r w:rsidRPr="0015368A">
              <w:rPr>
                <w:rFonts w:ascii="Arial" w:hAnsi="Arial" w:cs="Arial"/>
                <w:color w:val="000000" w:themeColor="text1"/>
                <w:sz w:val="22"/>
                <w:szCs w:val="22"/>
              </w:rPr>
              <w:t>0.000137</w:t>
            </w:r>
          </w:p>
        </w:tc>
        <w:tc>
          <w:tcPr>
            <w:tcW w:w="930" w:type="dxa"/>
            <w:shd w:val="clear" w:color="auto" w:fill="auto"/>
            <w:noWrap/>
            <w:hideMark/>
          </w:tcPr>
          <w:p w14:paraId="764AAECD" w14:textId="77777777" w:rsidR="00DF15E0" w:rsidRPr="0015368A" w:rsidRDefault="00DF15E0" w:rsidP="0016122E">
            <w:pPr>
              <w:spacing w:line="360" w:lineRule="auto"/>
              <w:jc w:val="both"/>
              <w:rPr>
                <w:rFonts w:ascii="Arial" w:hAnsi="Arial" w:cs="Arial"/>
                <w:color w:val="000000" w:themeColor="text1"/>
                <w:sz w:val="22"/>
                <w:szCs w:val="22"/>
              </w:rPr>
            </w:pPr>
            <w:r w:rsidRPr="0015368A">
              <w:rPr>
                <w:rFonts w:ascii="Arial" w:hAnsi="Arial" w:cs="Arial"/>
                <w:color w:val="000000" w:themeColor="text1"/>
                <w:sz w:val="22"/>
                <w:szCs w:val="22"/>
              </w:rPr>
              <w:t>0.012</w:t>
            </w:r>
          </w:p>
        </w:tc>
      </w:tr>
      <w:tr w:rsidR="00DF15E0" w:rsidRPr="0015368A" w14:paraId="15D95206" w14:textId="77777777" w:rsidTr="009B2C2D">
        <w:trPr>
          <w:trHeight w:val="300"/>
        </w:trPr>
        <w:tc>
          <w:tcPr>
            <w:tcW w:w="1156" w:type="dxa"/>
            <w:tcBorders>
              <w:bottom w:val="single" w:sz="12" w:space="0" w:color="auto"/>
            </w:tcBorders>
          </w:tcPr>
          <w:p w14:paraId="4994357F" w14:textId="77777777" w:rsidR="00DF15E0" w:rsidRPr="0015368A" w:rsidRDefault="00DF15E0" w:rsidP="0016122E">
            <w:pPr>
              <w:spacing w:line="360" w:lineRule="auto"/>
              <w:jc w:val="both"/>
              <w:rPr>
                <w:rFonts w:ascii="Arial" w:hAnsi="Arial" w:cs="Arial"/>
                <w:b/>
                <w:color w:val="000000" w:themeColor="text1"/>
                <w:sz w:val="22"/>
                <w:szCs w:val="22"/>
              </w:rPr>
            </w:pPr>
            <w:r w:rsidRPr="0015368A">
              <w:rPr>
                <w:rFonts w:ascii="Arial" w:hAnsi="Arial" w:cs="Arial"/>
                <w:b/>
                <w:color w:val="000000" w:themeColor="text1"/>
                <w:sz w:val="22"/>
                <w:szCs w:val="22"/>
              </w:rPr>
              <w:t>Diamorphine</w:t>
            </w:r>
          </w:p>
        </w:tc>
        <w:tc>
          <w:tcPr>
            <w:tcW w:w="930" w:type="dxa"/>
            <w:tcBorders>
              <w:bottom w:val="single" w:sz="12" w:space="0" w:color="auto"/>
            </w:tcBorders>
            <w:shd w:val="clear" w:color="auto" w:fill="auto"/>
            <w:noWrap/>
            <w:hideMark/>
          </w:tcPr>
          <w:p w14:paraId="55D53196" w14:textId="77777777" w:rsidR="00DF15E0" w:rsidRPr="0015368A" w:rsidRDefault="00DF15E0" w:rsidP="0016122E">
            <w:pPr>
              <w:spacing w:line="360" w:lineRule="auto"/>
              <w:jc w:val="both"/>
              <w:rPr>
                <w:rFonts w:ascii="Arial" w:hAnsi="Arial" w:cs="Arial"/>
                <w:color w:val="000000" w:themeColor="text1"/>
                <w:sz w:val="22"/>
                <w:szCs w:val="22"/>
              </w:rPr>
            </w:pPr>
            <w:r w:rsidRPr="0015368A">
              <w:rPr>
                <w:rFonts w:ascii="Arial" w:hAnsi="Arial" w:cs="Arial"/>
                <w:color w:val="000000" w:themeColor="text1"/>
                <w:sz w:val="22"/>
                <w:szCs w:val="22"/>
              </w:rPr>
              <w:t>1.361</w:t>
            </w:r>
          </w:p>
        </w:tc>
        <w:tc>
          <w:tcPr>
            <w:tcW w:w="930" w:type="dxa"/>
            <w:tcBorders>
              <w:bottom w:val="single" w:sz="12" w:space="0" w:color="auto"/>
            </w:tcBorders>
            <w:shd w:val="clear" w:color="auto" w:fill="auto"/>
            <w:noWrap/>
            <w:hideMark/>
          </w:tcPr>
          <w:p w14:paraId="6EDC2945" w14:textId="77777777" w:rsidR="00DF15E0" w:rsidRPr="0015368A" w:rsidRDefault="00DF15E0" w:rsidP="0016122E">
            <w:pPr>
              <w:spacing w:line="360" w:lineRule="auto"/>
              <w:jc w:val="both"/>
              <w:rPr>
                <w:rFonts w:ascii="Arial" w:hAnsi="Arial" w:cs="Arial"/>
                <w:color w:val="000000" w:themeColor="text1"/>
                <w:sz w:val="22"/>
                <w:szCs w:val="22"/>
              </w:rPr>
            </w:pPr>
            <w:r w:rsidRPr="0015368A">
              <w:rPr>
                <w:rFonts w:ascii="Arial" w:hAnsi="Arial" w:cs="Arial"/>
                <w:color w:val="000000" w:themeColor="text1"/>
                <w:sz w:val="22"/>
                <w:szCs w:val="22"/>
              </w:rPr>
              <w:t>0.000332</w:t>
            </w:r>
          </w:p>
        </w:tc>
        <w:tc>
          <w:tcPr>
            <w:tcW w:w="930" w:type="dxa"/>
            <w:tcBorders>
              <w:bottom w:val="single" w:sz="12" w:space="0" w:color="auto"/>
            </w:tcBorders>
            <w:shd w:val="clear" w:color="auto" w:fill="auto"/>
            <w:noWrap/>
            <w:hideMark/>
          </w:tcPr>
          <w:p w14:paraId="0F283DD8" w14:textId="77777777" w:rsidR="00DF15E0" w:rsidRPr="0015368A" w:rsidRDefault="00DF15E0" w:rsidP="0016122E">
            <w:pPr>
              <w:spacing w:line="360" w:lineRule="auto"/>
              <w:jc w:val="both"/>
              <w:rPr>
                <w:rFonts w:ascii="Arial" w:hAnsi="Arial" w:cs="Arial"/>
                <w:color w:val="000000" w:themeColor="text1"/>
                <w:sz w:val="22"/>
                <w:szCs w:val="22"/>
              </w:rPr>
            </w:pPr>
            <w:r w:rsidRPr="0015368A">
              <w:rPr>
                <w:rFonts w:ascii="Arial" w:hAnsi="Arial" w:cs="Arial"/>
                <w:color w:val="000000" w:themeColor="text1"/>
                <w:sz w:val="22"/>
                <w:szCs w:val="22"/>
              </w:rPr>
              <w:t>0.024</w:t>
            </w:r>
          </w:p>
        </w:tc>
      </w:tr>
    </w:tbl>
    <w:p w14:paraId="7A8C93E9" w14:textId="36AB815F" w:rsidR="00D272CD" w:rsidRPr="0015368A" w:rsidRDefault="00D272CD" w:rsidP="0016122E">
      <w:pPr>
        <w:spacing w:line="360" w:lineRule="auto"/>
        <w:jc w:val="both"/>
        <w:rPr>
          <w:rFonts w:ascii="Arial" w:hAnsi="Arial" w:cs="Arial"/>
          <w:strike/>
          <w:color w:val="000000" w:themeColor="text1"/>
          <w:sz w:val="22"/>
          <w:szCs w:val="22"/>
        </w:rPr>
      </w:pPr>
    </w:p>
    <w:p w14:paraId="6FF91ABF" w14:textId="4A7C8145" w:rsidR="00911D5C" w:rsidRDefault="004D1E39" w:rsidP="0016122E">
      <w:pPr>
        <w:spacing w:line="360" w:lineRule="auto"/>
        <w:jc w:val="both"/>
        <w:rPr>
          <w:rFonts w:ascii="Arial" w:hAnsi="Arial" w:cs="Arial"/>
          <w:color w:val="000000" w:themeColor="text1"/>
          <w:sz w:val="22"/>
          <w:szCs w:val="22"/>
        </w:rPr>
      </w:pPr>
      <w:r w:rsidRPr="00BE43C8">
        <w:rPr>
          <w:rFonts w:ascii="Arial" w:hAnsi="Arial" w:cs="Arial"/>
          <w:color w:val="000000" w:themeColor="text1"/>
          <w:sz w:val="22"/>
          <w:szCs w:val="22"/>
        </w:rPr>
        <w:t>The relative standard deviation</w:t>
      </w:r>
      <w:r w:rsidR="00A54B9E" w:rsidRPr="0015368A">
        <w:rPr>
          <w:rFonts w:ascii="Arial" w:hAnsi="Arial" w:cs="Arial"/>
          <w:color w:val="000000" w:themeColor="text1"/>
          <w:sz w:val="22"/>
          <w:szCs w:val="22"/>
        </w:rPr>
        <w:t xml:space="preserve"> (</w:t>
      </w:r>
      <w:r w:rsidR="009B2C2D" w:rsidRPr="0015368A">
        <w:rPr>
          <w:rFonts w:ascii="Arial" w:hAnsi="Arial" w:cs="Arial"/>
          <w:color w:val="000000" w:themeColor="text1"/>
          <w:sz w:val="22"/>
          <w:szCs w:val="22"/>
        </w:rPr>
        <w:t xml:space="preserve">Table 1) </w:t>
      </w:r>
      <w:r w:rsidRPr="00BE43C8">
        <w:rPr>
          <w:rFonts w:ascii="Arial" w:hAnsi="Arial" w:cs="Arial"/>
          <w:color w:val="000000" w:themeColor="text1"/>
          <w:sz w:val="22"/>
          <w:szCs w:val="22"/>
        </w:rPr>
        <w:t>for the retent</w:t>
      </w:r>
      <w:r w:rsidR="00EB6523" w:rsidRPr="00BE43C8">
        <w:rPr>
          <w:rFonts w:ascii="Arial" w:hAnsi="Arial" w:cs="Arial"/>
          <w:color w:val="000000" w:themeColor="text1"/>
          <w:sz w:val="22"/>
          <w:szCs w:val="22"/>
        </w:rPr>
        <w:t>ion</w:t>
      </w:r>
      <w:r w:rsidR="00EB6523" w:rsidRPr="00F13C54">
        <w:rPr>
          <w:rFonts w:ascii="Arial" w:hAnsi="Arial" w:cs="Arial"/>
          <w:color w:val="000000" w:themeColor="text1"/>
          <w:sz w:val="22"/>
          <w:szCs w:val="22"/>
        </w:rPr>
        <w:t xml:space="preserve"> indices of these </w:t>
      </w:r>
      <w:proofErr w:type="gramStart"/>
      <w:r w:rsidR="00EB6523" w:rsidRPr="00F13C54">
        <w:rPr>
          <w:rFonts w:ascii="Arial" w:hAnsi="Arial" w:cs="Arial"/>
          <w:color w:val="000000" w:themeColor="text1"/>
          <w:sz w:val="22"/>
          <w:szCs w:val="22"/>
        </w:rPr>
        <w:t>compounds</w:t>
      </w:r>
      <w:proofErr w:type="gramEnd"/>
      <w:r w:rsidR="00EB6523" w:rsidRPr="00F13C54">
        <w:rPr>
          <w:rFonts w:ascii="Arial" w:hAnsi="Arial" w:cs="Arial"/>
          <w:color w:val="000000" w:themeColor="text1"/>
          <w:sz w:val="22"/>
          <w:szCs w:val="22"/>
        </w:rPr>
        <w:t xml:space="preserve"> caffeine, diamorphine, efavirenz, nevirapine phenacetin and ∆</w:t>
      </w:r>
      <w:r w:rsidR="00EB6523" w:rsidRPr="00F13C54">
        <w:rPr>
          <w:rFonts w:ascii="Arial" w:hAnsi="Arial" w:cs="Arial"/>
          <w:color w:val="000000" w:themeColor="text1"/>
          <w:sz w:val="22"/>
          <w:szCs w:val="22"/>
          <w:vertAlign w:val="superscript"/>
        </w:rPr>
        <w:t>9</w:t>
      </w:r>
      <w:r w:rsidR="00EB6523" w:rsidRPr="00F13C54">
        <w:rPr>
          <w:rFonts w:ascii="Arial" w:hAnsi="Arial" w:cs="Arial"/>
          <w:color w:val="000000" w:themeColor="text1"/>
          <w:sz w:val="22"/>
          <w:szCs w:val="22"/>
        </w:rPr>
        <w:t>-THC we</w:t>
      </w:r>
      <w:r w:rsidRPr="00F13C54">
        <w:rPr>
          <w:rFonts w:ascii="Arial" w:hAnsi="Arial" w:cs="Arial"/>
          <w:color w:val="000000" w:themeColor="text1"/>
          <w:sz w:val="22"/>
          <w:szCs w:val="22"/>
        </w:rPr>
        <w:t xml:space="preserve">re all below </w:t>
      </w:r>
      <w:r w:rsidR="00C925FE" w:rsidRPr="00F13C54">
        <w:rPr>
          <w:rFonts w:ascii="Arial" w:hAnsi="Arial" w:cs="Arial"/>
          <w:color w:val="000000" w:themeColor="text1"/>
          <w:sz w:val="22"/>
          <w:szCs w:val="22"/>
        </w:rPr>
        <w:t>0.025</w:t>
      </w:r>
      <w:r w:rsidRPr="00F13C54">
        <w:rPr>
          <w:rFonts w:ascii="Arial" w:hAnsi="Arial" w:cs="Arial"/>
          <w:color w:val="000000" w:themeColor="text1"/>
          <w:sz w:val="22"/>
          <w:szCs w:val="22"/>
        </w:rPr>
        <w:t xml:space="preserve">% </w:t>
      </w:r>
      <w:r w:rsidR="00777059" w:rsidRPr="00F13C54">
        <w:rPr>
          <w:rFonts w:ascii="Arial" w:hAnsi="Arial" w:cs="Arial"/>
          <w:color w:val="000000" w:themeColor="text1"/>
          <w:sz w:val="22"/>
          <w:szCs w:val="22"/>
        </w:rPr>
        <w:t xml:space="preserve">further </w:t>
      </w:r>
      <w:r w:rsidRPr="00F13C54">
        <w:rPr>
          <w:rFonts w:ascii="Arial" w:hAnsi="Arial" w:cs="Arial"/>
          <w:color w:val="000000" w:themeColor="text1"/>
          <w:sz w:val="22"/>
          <w:szCs w:val="22"/>
        </w:rPr>
        <w:t xml:space="preserve">illustrating the stability of this parameter. Identification of components of </w:t>
      </w:r>
      <w:proofErr w:type="spellStart"/>
      <w:r w:rsidRPr="00F13C54">
        <w:rPr>
          <w:rFonts w:ascii="Arial" w:hAnsi="Arial" w:cs="Arial"/>
          <w:color w:val="000000" w:themeColor="text1"/>
          <w:sz w:val="22"/>
          <w:szCs w:val="22"/>
        </w:rPr>
        <w:t>nyaope</w:t>
      </w:r>
      <w:proofErr w:type="spellEnd"/>
      <w:r w:rsidRPr="00F13C54">
        <w:rPr>
          <w:rFonts w:ascii="Arial" w:hAnsi="Arial" w:cs="Arial"/>
          <w:color w:val="000000" w:themeColor="text1"/>
          <w:sz w:val="22"/>
          <w:szCs w:val="22"/>
        </w:rPr>
        <w:t xml:space="preserve"> can therefore be made </w:t>
      </w:r>
      <w:proofErr w:type="gramStart"/>
      <w:r w:rsidRPr="00F13C54">
        <w:rPr>
          <w:rFonts w:ascii="Arial" w:hAnsi="Arial" w:cs="Arial"/>
          <w:color w:val="000000" w:themeColor="text1"/>
          <w:sz w:val="22"/>
          <w:szCs w:val="22"/>
        </w:rPr>
        <w:t>on the basis of</w:t>
      </w:r>
      <w:proofErr w:type="gramEnd"/>
      <w:r w:rsidRPr="00F13C54">
        <w:rPr>
          <w:rFonts w:ascii="Arial" w:hAnsi="Arial" w:cs="Arial"/>
          <w:color w:val="000000" w:themeColor="text1"/>
          <w:sz w:val="22"/>
          <w:szCs w:val="22"/>
        </w:rPr>
        <w:t xml:space="preserve"> retention index and the mass spectrum of each separated compound.</w:t>
      </w:r>
    </w:p>
    <w:p w14:paraId="0AAFB98C" w14:textId="77777777" w:rsidR="00B322DA" w:rsidRPr="00F13C54" w:rsidRDefault="00B322DA" w:rsidP="0016122E">
      <w:pPr>
        <w:spacing w:line="360" w:lineRule="auto"/>
        <w:jc w:val="both"/>
        <w:rPr>
          <w:rFonts w:ascii="Arial" w:hAnsi="Arial" w:cs="Arial"/>
          <w:color w:val="000000" w:themeColor="text1"/>
          <w:sz w:val="22"/>
          <w:szCs w:val="22"/>
        </w:rPr>
      </w:pPr>
    </w:p>
    <w:p w14:paraId="584ED3C9" w14:textId="7ABDFC5D" w:rsidR="00BE43C8" w:rsidRPr="00BE43C8" w:rsidRDefault="00D90C35" w:rsidP="0016122E">
      <w:pPr>
        <w:spacing w:line="360" w:lineRule="auto"/>
        <w:rPr>
          <w:rFonts w:ascii="Arial" w:hAnsi="Arial" w:cs="Arial"/>
          <w:bCs/>
          <w:color w:val="000000" w:themeColor="text1"/>
          <w:sz w:val="22"/>
          <w:szCs w:val="22"/>
        </w:rPr>
      </w:pPr>
      <w:r w:rsidRPr="00F13C54">
        <w:rPr>
          <w:rFonts w:ascii="Arial" w:hAnsi="Arial" w:cs="Arial"/>
          <w:b/>
          <w:bCs/>
          <w:color w:val="000000" w:themeColor="text1"/>
          <w:sz w:val="22"/>
          <w:szCs w:val="22"/>
        </w:rPr>
        <w:t xml:space="preserve">3.2 </w:t>
      </w:r>
      <w:r w:rsidR="00BE43C8">
        <w:rPr>
          <w:rFonts w:ascii="Arial" w:hAnsi="Arial" w:cs="Arial"/>
          <w:b/>
          <w:bCs/>
          <w:color w:val="000000" w:themeColor="text1"/>
          <w:sz w:val="22"/>
          <w:szCs w:val="22"/>
        </w:rPr>
        <w:t>Linearity of detector response.</w:t>
      </w:r>
    </w:p>
    <w:p w14:paraId="0F20D415" w14:textId="7E9AD56C" w:rsidR="00911267" w:rsidRPr="00F13C54" w:rsidRDefault="00777059" w:rsidP="00756E90">
      <w:pPr>
        <w:spacing w:line="360" w:lineRule="auto"/>
        <w:jc w:val="both"/>
        <w:rPr>
          <w:rFonts w:ascii="Arial" w:hAnsi="Arial" w:cs="Arial"/>
          <w:color w:val="000000" w:themeColor="text1"/>
          <w:sz w:val="22"/>
          <w:szCs w:val="22"/>
        </w:rPr>
      </w:pPr>
      <w:r w:rsidRPr="00BE43C8">
        <w:rPr>
          <w:rFonts w:ascii="Arial" w:hAnsi="Arial" w:cs="Arial"/>
          <w:bCs/>
          <w:color w:val="000000" w:themeColor="text1"/>
          <w:sz w:val="22"/>
          <w:szCs w:val="22"/>
        </w:rPr>
        <w:t>The detector response to standard compounds was linear over the concentration range investigated.</w:t>
      </w:r>
      <w:r w:rsidRPr="00F13C54">
        <w:rPr>
          <w:rFonts w:ascii="Arial" w:hAnsi="Arial" w:cs="Arial"/>
          <w:b/>
          <w:bCs/>
          <w:color w:val="000000" w:themeColor="text1"/>
          <w:sz w:val="22"/>
          <w:szCs w:val="22"/>
        </w:rPr>
        <w:t xml:space="preserve"> </w:t>
      </w:r>
      <w:r w:rsidR="00A37584" w:rsidRPr="00F13C54">
        <w:rPr>
          <w:rFonts w:ascii="Arial" w:hAnsi="Arial" w:cs="Arial"/>
          <w:color w:val="000000" w:themeColor="text1"/>
          <w:sz w:val="22"/>
          <w:szCs w:val="22"/>
        </w:rPr>
        <w:t>The regression equations and R</w:t>
      </w:r>
      <w:r w:rsidR="00A37584" w:rsidRPr="00F13C54">
        <w:rPr>
          <w:rFonts w:ascii="Arial" w:hAnsi="Arial" w:cs="Arial"/>
          <w:color w:val="000000" w:themeColor="text1"/>
          <w:sz w:val="22"/>
          <w:szCs w:val="22"/>
          <w:vertAlign w:val="superscript"/>
        </w:rPr>
        <w:t>2</w:t>
      </w:r>
      <w:r w:rsidR="00A37584" w:rsidRPr="00F13C54">
        <w:rPr>
          <w:rFonts w:ascii="Arial" w:hAnsi="Arial" w:cs="Arial"/>
          <w:color w:val="000000" w:themeColor="text1"/>
          <w:sz w:val="22"/>
          <w:szCs w:val="22"/>
        </w:rPr>
        <w:t xml:space="preserve"> values are given for each of the components of </w:t>
      </w:r>
      <w:proofErr w:type="spellStart"/>
      <w:r w:rsidR="00257172" w:rsidRPr="00F13C54">
        <w:rPr>
          <w:rFonts w:ascii="Arial" w:hAnsi="Arial" w:cs="Arial"/>
          <w:color w:val="000000" w:themeColor="text1"/>
          <w:sz w:val="22"/>
          <w:szCs w:val="22"/>
        </w:rPr>
        <w:t>nyaope</w:t>
      </w:r>
      <w:proofErr w:type="spellEnd"/>
      <w:r w:rsidR="00257172" w:rsidRPr="00F13C54">
        <w:rPr>
          <w:rFonts w:ascii="Arial" w:hAnsi="Arial" w:cs="Arial"/>
          <w:color w:val="000000" w:themeColor="text1"/>
          <w:sz w:val="22"/>
          <w:szCs w:val="22"/>
        </w:rPr>
        <w:t xml:space="preserve"> </w:t>
      </w:r>
      <w:r w:rsidR="00A37584" w:rsidRPr="00F13C54">
        <w:rPr>
          <w:rFonts w:ascii="Arial" w:hAnsi="Arial" w:cs="Arial"/>
          <w:color w:val="000000" w:themeColor="text1"/>
          <w:sz w:val="22"/>
          <w:szCs w:val="22"/>
        </w:rPr>
        <w:t>measured in</w:t>
      </w:r>
      <w:r w:rsidR="00A37584" w:rsidRPr="0015368A">
        <w:rPr>
          <w:rFonts w:ascii="Arial" w:hAnsi="Arial" w:cs="Arial"/>
          <w:color w:val="000000" w:themeColor="text1"/>
          <w:sz w:val="22"/>
          <w:szCs w:val="22"/>
        </w:rPr>
        <w:t xml:space="preserve"> Table </w:t>
      </w:r>
      <w:r w:rsidR="00A31154" w:rsidRPr="0015368A">
        <w:rPr>
          <w:rFonts w:ascii="Arial" w:hAnsi="Arial" w:cs="Arial"/>
          <w:color w:val="000000" w:themeColor="text1"/>
          <w:sz w:val="22"/>
          <w:szCs w:val="22"/>
        </w:rPr>
        <w:t>2</w:t>
      </w:r>
      <w:r w:rsidR="009C1D0F" w:rsidRPr="0015368A">
        <w:rPr>
          <w:rFonts w:ascii="Arial" w:hAnsi="Arial" w:cs="Arial"/>
          <w:color w:val="000000" w:themeColor="text1"/>
          <w:sz w:val="22"/>
          <w:szCs w:val="22"/>
        </w:rPr>
        <w:t>.</w:t>
      </w:r>
      <w:r w:rsidR="009C1D0F" w:rsidRPr="00F13C54">
        <w:rPr>
          <w:rFonts w:ascii="Arial" w:hAnsi="Arial" w:cs="Arial"/>
          <w:color w:val="000000" w:themeColor="text1"/>
          <w:sz w:val="22"/>
          <w:szCs w:val="22"/>
        </w:rPr>
        <w:t xml:space="preserve">  </w:t>
      </w:r>
      <w:proofErr w:type="gramStart"/>
      <w:r w:rsidR="009C1D0F" w:rsidRPr="00F13C54">
        <w:rPr>
          <w:rFonts w:ascii="Arial" w:hAnsi="Arial" w:cs="Arial"/>
          <w:color w:val="000000" w:themeColor="text1"/>
          <w:sz w:val="22"/>
          <w:szCs w:val="22"/>
        </w:rPr>
        <w:t>All of</w:t>
      </w:r>
      <w:proofErr w:type="gramEnd"/>
      <w:r w:rsidR="009C1D0F" w:rsidRPr="00F13C54">
        <w:rPr>
          <w:rFonts w:ascii="Arial" w:hAnsi="Arial" w:cs="Arial"/>
          <w:color w:val="000000" w:themeColor="text1"/>
          <w:sz w:val="22"/>
          <w:szCs w:val="22"/>
        </w:rPr>
        <w:t xml:space="preserve"> the R</w:t>
      </w:r>
      <w:r w:rsidR="009C1D0F" w:rsidRPr="00F13C54">
        <w:rPr>
          <w:rFonts w:ascii="Arial" w:hAnsi="Arial" w:cs="Arial"/>
          <w:color w:val="000000" w:themeColor="text1"/>
          <w:sz w:val="22"/>
          <w:szCs w:val="22"/>
          <w:vertAlign w:val="superscript"/>
        </w:rPr>
        <w:t>2</w:t>
      </w:r>
      <w:r w:rsidR="009C1D0F" w:rsidRPr="00F13C54">
        <w:rPr>
          <w:rFonts w:ascii="Arial" w:hAnsi="Arial" w:cs="Arial"/>
          <w:color w:val="000000" w:themeColor="text1"/>
          <w:sz w:val="22"/>
          <w:szCs w:val="22"/>
        </w:rPr>
        <w:t xml:space="preserve"> values </w:t>
      </w:r>
      <w:r w:rsidR="0091167A" w:rsidRPr="00F13C54">
        <w:rPr>
          <w:rFonts w:ascii="Arial" w:hAnsi="Arial" w:cs="Arial"/>
          <w:color w:val="000000" w:themeColor="text1"/>
          <w:sz w:val="22"/>
          <w:szCs w:val="22"/>
        </w:rPr>
        <w:t>are above 0.99</w:t>
      </w:r>
      <w:r w:rsidR="00CF1705" w:rsidRPr="00F13C54">
        <w:rPr>
          <w:rFonts w:ascii="Arial" w:hAnsi="Arial" w:cs="Arial"/>
          <w:color w:val="000000" w:themeColor="text1"/>
          <w:sz w:val="22"/>
          <w:szCs w:val="22"/>
        </w:rPr>
        <w:t>. This and analysis of residuals demonstrate that the detector response to these drugs is linear.</w:t>
      </w:r>
    </w:p>
    <w:p w14:paraId="379FF686" w14:textId="047709DC" w:rsidR="00F13C54" w:rsidRPr="0015368A" w:rsidRDefault="00AB3FA5" w:rsidP="0016122E">
      <w:pPr>
        <w:spacing w:line="360" w:lineRule="auto"/>
        <w:rPr>
          <w:rFonts w:ascii="Arial" w:hAnsi="Arial" w:cs="Arial"/>
          <w:b/>
          <w:bCs/>
          <w:color w:val="000000" w:themeColor="text1"/>
          <w:sz w:val="22"/>
          <w:szCs w:val="22"/>
        </w:rPr>
      </w:pPr>
      <w:r w:rsidRPr="0015368A">
        <w:rPr>
          <w:rFonts w:ascii="Arial" w:hAnsi="Arial" w:cs="Arial"/>
          <w:b/>
          <w:bCs/>
          <w:color w:val="000000" w:themeColor="text1"/>
          <w:sz w:val="22"/>
          <w:szCs w:val="22"/>
        </w:rPr>
        <w:t xml:space="preserve">Table </w:t>
      </w:r>
      <w:r w:rsidR="00A31154" w:rsidRPr="0015368A">
        <w:rPr>
          <w:rFonts w:ascii="Arial" w:hAnsi="Arial" w:cs="Arial"/>
          <w:b/>
          <w:bCs/>
          <w:color w:val="000000" w:themeColor="text1"/>
          <w:sz w:val="22"/>
          <w:szCs w:val="22"/>
        </w:rPr>
        <w:t>2</w:t>
      </w:r>
      <w:r w:rsidR="00601168" w:rsidRPr="0015368A">
        <w:rPr>
          <w:rFonts w:ascii="Arial" w:hAnsi="Arial" w:cs="Arial"/>
          <w:b/>
          <w:bCs/>
          <w:color w:val="000000" w:themeColor="text1"/>
          <w:sz w:val="22"/>
          <w:szCs w:val="22"/>
        </w:rPr>
        <w:t>:</w:t>
      </w:r>
      <w:r w:rsidR="00D90C35" w:rsidRPr="0015368A">
        <w:rPr>
          <w:rFonts w:ascii="Arial" w:hAnsi="Arial" w:cs="Arial"/>
          <w:b/>
          <w:bCs/>
          <w:color w:val="000000" w:themeColor="text1"/>
          <w:sz w:val="22"/>
          <w:szCs w:val="22"/>
        </w:rPr>
        <w:t xml:space="preserve"> Regression equation</w:t>
      </w:r>
      <w:r w:rsidR="00936B3A" w:rsidRPr="0015368A">
        <w:rPr>
          <w:rFonts w:ascii="Arial" w:hAnsi="Arial" w:cs="Arial"/>
          <w:b/>
          <w:bCs/>
          <w:color w:val="000000" w:themeColor="text1"/>
          <w:sz w:val="22"/>
          <w:szCs w:val="22"/>
        </w:rPr>
        <w:t xml:space="preserve">, </w:t>
      </w:r>
      <w:r w:rsidR="00D90C35" w:rsidRPr="0015368A">
        <w:rPr>
          <w:rFonts w:ascii="Arial" w:hAnsi="Arial" w:cs="Arial"/>
          <w:b/>
          <w:bCs/>
          <w:color w:val="000000" w:themeColor="text1"/>
          <w:sz w:val="22"/>
          <w:szCs w:val="22"/>
        </w:rPr>
        <w:t>R</w:t>
      </w:r>
      <w:r w:rsidR="00D90C35" w:rsidRPr="0015368A">
        <w:rPr>
          <w:rFonts w:ascii="Arial" w:hAnsi="Arial" w:cs="Arial"/>
          <w:b/>
          <w:bCs/>
          <w:color w:val="000000" w:themeColor="text1"/>
          <w:sz w:val="22"/>
          <w:szCs w:val="22"/>
          <w:vertAlign w:val="superscript"/>
        </w:rPr>
        <w:t>2</w:t>
      </w:r>
      <w:r w:rsidR="00C0706A" w:rsidRPr="0015368A">
        <w:rPr>
          <w:rFonts w:ascii="Arial" w:hAnsi="Arial" w:cs="Arial"/>
          <w:b/>
          <w:bCs/>
          <w:color w:val="000000" w:themeColor="text1"/>
          <w:sz w:val="22"/>
          <w:szCs w:val="22"/>
        </w:rPr>
        <w:t xml:space="preserve">, </w:t>
      </w:r>
      <w:r w:rsidR="00936B3A" w:rsidRPr="0015368A">
        <w:rPr>
          <w:rFonts w:ascii="Arial" w:hAnsi="Arial" w:cs="Arial"/>
          <w:b/>
          <w:bCs/>
          <w:color w:val="000000" w:themeColor="text1"/>
          <w:sz w:val="22"/>
          <w:szCs w:val="22"/>
        </w:rPr>
        <w:t xml:space="preserve">LOD and LOQ </w:t>
      </w:r>
      <w:r w:rsidR="00D90C35" w:rsidRPr="0015368A">
        <w:rPr>
          <w:rFonts w:ascii="Arial" w:hAnsi="Arial" w:cs="Arial"/>
          <w:b/>
          <w:bCs/>
          <w:color w:val="000000" w:themeColor="text1"/>
          <w:sz w:val="22"/>
          <w:szCs w:val="22"/>
        </w:rPr>
        <w:t xml:space="preserve">values for the exemplar drugs in </w:t>
      </w:r>
      <w:proofErr w:type="spellStart"/>
      <w:r w:rsidR="00D90C35" w:rsidRPr="0015368A">
        <w:rPr>
          <w:rFonts w:ascii="Arial" w:hAnsi="Arial" w:cs="Arial"/>
          <w:b/>
          <w:bCs/>
          <w:color w:val="000000" w:themeColor="text1"/>
          <w:sz w:val="22"/>
          <w:szCs w:val="22"/>
        </w:rPr>
        <w:t>nyaope</w:t>
      </w:r>
      <w:proofErr w:type="spellEnd"/>
    </w:p>
    <w:tbl>
      <w:tblPr>
        <w:tblW w:w="9072" w:type="dxa"/>
        <w:tblLook w:val="04A0" w:firstRow="1" w:lastRow="0" w:firstColumn="1" w:lastColumn="0" w:noHBand="0" w:noVBand="1"/>
      </w:tblPr>
      <w:tblGrid>
        <w:gridCol w:w="1701"/>
        <w:gridCol w:w="2977"/>
        <w:gridCol w:w="1559"/>
        <w:gridCol w:w="1418"/>
        <w:gridCol w:w="1417"/>
      </w:tblGrid>
      <w:tr w:rsidR="0015368A" w:rsidRPr="0015368A" w14:paraId="2870908D" w14:textId="77777777" w:rsidTr="00936B3A">
        <w:tc>
          <w:tcPr>
            <w:tcW w:w="1701" w:type="dxa"/>
            <w:tcBorders>
              <w:top w:val="single" w:sz="12" w:space="0" w:color="auto"/>
              <w:bottom w:val="single" w:sz="12" w:space="0" w:color="auto"/>
            </w:tcBorders>
            <w:shd w:val="clear" w:color="auto" w:fill="auto"/>
          </w:tcPr>
          <w:p w14:paraId="3F30EFEF" w14:textId="3C5D414D" w:rsidR="000A0518" w:rsidRPr="0015368A" w:rsidRDefault="000A0518" w:rsidP="0016122E">
            <w:pPr>
              <w:spacing w:line="360" w:lineRule="auto"/>
              <w:rPr>
                <w:rFonts w:ascii="Arial" w:eastAsia="Times New Roman" w:hAnsi="Arial" w:cs="Arial"/>
                <w:b/>
                <w:color w:val="000000" w:themeColor="text1"/>
                <w:sz w:val="22"/>
                <w:szCs w:val="22"/>
                <w:lang w:val="en-ZA"/>
              </w:rPr>
            </w:pPr>
            <w:r w:rsidRPr="0015368A">
              <w:rPr>
                <w:rFonts w:ascii="Arial" w:eastAsia="Times New Roman" w:hAnsi="Arial" w:cs="Arial"/>
                <w:b/>
                <w:color w:val="000000" w:themeColor="text1"/>
                <w:sz w:val="22"/>
                <w:szCs w:val="22"/>
                <w:lang w:val="en-ZA"/>
              </w:rPr>
              <w:t>Drug</w:t>
            </w:r>
          </w:p>
        </w:tc>
        <w:tc>
          <w:tcPr>
            <w:tcW w:w="2977" w:type="dxa"/>
            <w:tcBorders>
              <w:top w:val="single" w:sz="12" w:space="0" w:color="auto"/>
              <w:bottom w:val="single" w:sz="12" w:space="0" w:color="auto"/>
            </w:tcBorders>
            <w:shd w:val="clear" w:color="auto" w:fill="auto"/>
          </w:tcPr>
          <w:p w14:paraId="53716A2E" w14:textId="0C2EEF08" w:rsidR="000A0518" w:rsidRPr="0015368A" w:rsidRDefault="000A0518" w:rsidP="0016122E">
            <w:pPr>
              <w:spacing w:line="360" w:lineRule="auto"/>
              <w:rPr>
                <w:rFonts w:ascii="Arial" w:eastAsia="Times New Roman" w:hAnsi="Arial" w:cs="Arial"/>
                <w:b/>
                <w:color w:val="000000" w:themeColor="text1"/>
                <w:sz w:val="22"/>
                <w:szCs w:val="22"/>
                <w:lang w:val="en-ZA"/>
              </w:rPr>
            </w:pPr>
            <w:r w:rsidRPr="0015368A">
              <w:rPr>
                <w:rFonts w:ascii="Arial" w:eastAsia="Times New Roman" w:hAnsi="Arial" w:cs="Arial"/>
                <w:b/>
                <w:color w:val="000000" w:themeColor="text1"/>
                <w:sz w:val="22"/>
                <w:szCs w:val="22"/>
                <w:lang w:val="en-ZA"/>
              </w:rPr>
              <w:t>Regression equation</w:t>
            </w:r>
          </w:p>
        </w:tc>
        <w:tc>
          <w:tcPr>
            <w:tcW w:w="1559" w:type="dxa"/>
            <w:tcBorders>
              <w:top w:val="single" w:sz="12" w:space="0" w:color="auto"/>
              <w:bottom w:val="single" w:sz="12" w:space="0" w:color="auto"/>
            </w:tcBorders>
          </w:tcPr>
          <w:p w14:paraId="4103560E" w14:textId="702BDDCD" w:rsidR="000A0518" w:rsidRPr="0015368A" w:rsidRDefault="000A0518" w:rsidP="0016122E">
            <w:pPr>
              <w:spacing w:line="360" w:lineRule="auto"/>
              <w:rPr>
                <w:rFonts w:ascii="Arial" w:eastAsia="Times New Roman" w:hAnsi="Arial" w:cs="Arial"/>
                <w:b/>
                <w:color w:val="000000" w:themeColor="text1"/>
                <w:sz w:val="22"/>
                <w:szCs w:val="22"/>
                <w:lang w:val="en-ZA"/>
              </w:rPr>
            </w:pPr>
            <w:r w:rsidRPr="0015368A">
              <w:rPr>
                <w:rFonts w:ascii="Arial" w:hAnsi="Arial" w:cs="Arial"/>
                <w:b/>
                <w:color w:val="000000" w:themeColor="text1"/>
                <w:sz w:val="22"/>
                <w:szCs w:val="22"/>
              </w:rPr>
              <w:t>R</w:t>
            </w:r>
            <w:r w:rsidRPr="0015368A">
              <w:rPr>
                <w:rFonts w:ascii="Arial" w:hAnsi="Arial" w:cs="Arial"/>
                <w:b/>
                <w:color w:val="000000" w:themeColor="text1"/>
                <w:sz w:val="22"/>
                <w:szCs w:val="22"/>
                <w:vertAlign w:val="superscript"/>
              </w:rPr>
              <w:t>2</w:t>
            </w:r>
            <w:r w:rsidRPr="0015368A">
              <w:rPr>
                <w:rFonts w:ascii="Arial" w:hAnsi="Arial" w:cs="Arial"/>
                <w:b/>
                <w:color w:val="000000" w:themeColor="text1"/>
                <w:sz w:val="22"/>
                <w:szCs w:val="22"/>
              </w:rPr>
              <w:t xml:space="preserve"> value</w:t>
            </w:r>
          </w:p>
        </w:tc>
        <w:tc>
          <w:tcPr>
            <w:tcW w:w="1418" w:type="dxa"/>
            <w:tcBorders>
              <w:top w:val="single" w:sz="12" w:space="0" w:color="auto"/>
              <w:bottom w:val="single" w:sz="12" w:space="0" w:color="auto"/>
            </w:tcBorders>
            <w:shd w:val="clear" w:color="auto" w:fill="auto"/>
          </w:tcPr>
          <w:p w14:paraId="38092DC7" w14:textId="3CCA87F6" w:rsidR="000A0518" w:rsidRPr="0015368A" w:rsidRDefault="000B6A3B" w:rsidP="0016122E">
            <w:pPr>
              <w:spacing w:line="360" w:lineRule="auto"/>
              <w:rPr>
                <w:rFonts w:ascii="Arial" w:eastAsia="Times New Roman" w:hAnsi="Arial" w:cs="Arial"/>
                <w:b/>
                <w:color w:val="000000" w:themeColor="text1"/>
                <w:sz w:val="22"/>
                <w:szCs w:val="22"/>
                <w:lang w:val="en-ZA"/>
              </w:rPr>
            </w:pPr>
            <w:proofErr w:type="gramStart"/>
            <w:r w:rsidRPr="0015368A">
              <w:rPr>
                <w:rFonts w:ascii="Arial" w:eastAsia="Times New Roman" w:hAnsi="Arial" w:cs="Arial"/>
                <w:b/>
                <w:color w:val="000000" w:themeColor="text1"/>
                <w:sz w:val="22"/>
                <w:szCs w:val="22"/>
                <w:lang w:val="en-ZA"/>
              </w:rPr>
              <w:t>LOD(</w:t>
            </w:r>
            <w:proofErr w:type="spellStart"/>
            <w:proofErr w:type="gramEnd"/>
            <w:r w:rsidRPr="0015368A">
              <w:rPr>
                <w:rFonts w:ascii="Arial" w:eastAsia="Times New Roman" w:hAnsi="Arial" w:cs="Arial"/>
                <w:b/>
                <w:color w:val="000000" w:themeColor="text1"/>
                <w:sz w:val="22"/>
                <w:szCs w:val="22"/>
                <w:lang w:val="en-ZA"/>
              </w:rPr>
              <w:t>pg</w:t>
            </w:r>
            <w:proofErr w:type="spellEnd"/>
            <w:r w:rsidR="000A0518" w:rsidRPr="0015368A">
              <w:rPr>
                <w:rFonts w:ascii="Arial" w:eastAsia="Times New Roman" w:hAnsi="Arial" w:cs="Arial"/>
                <w:b/>
                <w:color w:val="000000" w:themeColor="text1"/>
                <w:sz w:val="22"/>
                <w:szCs w:val="22"/>
                <w:lang w:val="en-ZA"/>
              </w:rPr>
              <w:t>)</w:t>
            </w:r>
          </w:p>
        </w:tc>
        <w:tc>
          <w:tcPr>
            <w:tcW w:w="1417" w:type="dxa"/>
            <w:tcBorders>
              <w:top w:val="single" w:sz="12" w:space="0" w:color="auto"/>
              <w:bottom w:val="single" w:sz="12" w:space="0" w:color="auto"/>
            </w:tcBorders>
            <w:shd w:val="clear" w:color="auto" w:fill="auto"/>
          </w:tcPr>
          <w:p w14:paraId="532E0B33" w14:textId="243D6EF5" w:rsidR="000A0518" w:rsidRPr="0015368A" w:rsidRDefault="000B6A3B" w:rsidP="0016122E">
            <w:pPr>
              <w:spacing w:line="360" w:lineRule="auto"/>
              <w:rPr>
                <w:rFonts w:ascii="Arial" w:eastAsia="Times New Roman" w:hAnsi="Arial" w:cs="Arial"/>
                <w:b/>
                <w:color w:val="000000" w:themeColor="text1"/>
                <w:sz w:val="22"/>
                <w:szCs w:val="22"/>
                <w:lang w:val="en-ZA"/>
              </w:rPr>
            </w:pPr>
            <w:r w:rsidRPr="0015368A">
              <w:rPr>
                <w:rFonts w:ascii="Arial" w:eastAsia="Times New Roman" w:hAnsi="Arial" w:cs="Arial"/>
                <w:b/>
                <w:color w:val="000000" w:themeColor="text1"/>
                <w:sz w:val="22"/>
                <w:szCs w:val="22"/>
                <w:lang w:val="en-ZA"/>
              </w:rPr>
              <w:t>LOQ (</w:t>
            </w:r>
            <w:proofErr w:type="spellStart"/>
            <w:r w:rsidRPr="0015368A">
              <w:rPr>
                <w:rFonts w:ascii="Arial" w:eastAsia="Times New Roman" w:hAnsi="Arial" w:cs="Arial"/>
                <w:b/>
                <w:color w:val="000000" w:themeColor="text1"/>
                <w:sz w:val="22"/>
                <w:szCs w:val="22"/>
                <w:lang w:val="en-ZA"/>
              </w:rPr>
              <w:t>pg</w:t>
            </w:r>
            <w:proofErr w:type="spellEnd"/>
            <w:r w:rsidR="000A0518" w:rsidRPr="0015368A">
              <w:rPr>
                <w:rFonts w:ascii="Arial" w:eastAsia="Times New Roman" w:hAnsi="Arial" w:cs="Arial"/>
                <w:b/>
                <w:color w:val="000000" w:themeColor="text1"/>
                <w:sz w:val="22"/>
                <w:szCs w:val="22"/>
                <w:lang w:val="en-ZA"/>
              </w:rPr>
              <w:t>)</w:t>
            </w:r>
          </w:p>
        </w:tc>
      </w:tr>
      <w:tr w:rsidR="0015368A" w:rsidRPr="0015368A" w14:paraId="0B57173E" w14:textId="77777777" w:rsidTr="00936B3A">
        <w:tc>
          <w:tcPr>
            <w:tcW w:w="1701" w:type="dxa"/>
            <w:tcBorders>
              <w:top w:val="single" w:sz="12" w:space="0" w:color="auto"/>
            </w:tcBorders>
            <w:shd w:val="clear" w:color="auto" w:fill="auto"/>
          </w:tcPr>
          <w:p w14:paraId="01662FB8" w14:textId="77777777" w:rsidR="000B6A3B" w:rsidRPr="0015368A" w:rsidRDefault="000B6A3B" w:rsidP="0016122E">
            <w:pPr>
              <w:spacing w:line="360" w:lineRule="auto"/>
              <w:rPr>
                <w:rFonts w:ascii="Arial" w:eastAsia="Times New Roman" w:hAnsi="Arial" w:cs="Arial"/>
                <w:b/>
                <w:color w:val="000000" w:themeColor="text1"/>
                <w:sz w:val="22"/>
                <w:szCs w:val="22"/>
                <w:lang w:val="en-ZA"/>
              </w:rPr>
            </w:pPr>
            <w:r w:rsidRPr="0015368A">
              <w:rPr>
                <w:rFonts w:ascii="Arial" w:eastAsia="Times New Roman" w:hAnsi="Arial" w:cs="Arial"/>
                <w:b/>
                <w:color w:val="000000" w:themeColor="text1"/>
                <w:sz w:val="22"/>
                <w:szCs w:val="22"/>
                <w:lang w:val="en-ZA"/>
              </w:rPr>
              <w:t>Caffeine</w:t>
            </w:r>
          </w:p>
        </w:tc>
        <w:tc>
          <w:tcPr>
            <w:tcW w:w="2977" w:type="dxa"/>
            <w:tcBorders>
              <w:top w:val="single" w:sz="12" w:space="0" w:color="auto"/>
            </w:tcBorders>
            <w:shd w:val="clear" w:color="auto" w:fill="auto"/>
            <w:vAlign w:val="center"/>
          </w:tcPr>
          <w:p w14:paraId="484145B0" w14:textId="21244D1B" w:rsidR="000B6A3B" w:rsidRPr="0015368A" w:rsidRDefault="000B6A3B" w:rsidP="0016122E">
            <w:pPr>
              <w:spacing w:line="360" w:lineRule="auto"/>
              <w:rPr>
                <w:rFonts w:ascii="Arial" w:eastAsia="Calibri" w:hAnsi="Arial" w:cs="Arial"/>
                <w:color w:val="000000" w:themeColor="text1"/>
                <w:sz w:val="22"/>
                <w:szCs w:val="22"/>
                <w:lang w:val="en-ZA"/>
              </w:rPr>
            </w:pPr>
            <m:oMath>
              <m:r>
                <w:rPr>
                  <w:rFonts w:ascii="Cambria Math" w:hAnsi="Cambria Math"/>
                  <w:color w:val="000000" w:themeColor="text1"/>
                </w:rPr>
                <m:t>y=23.94x+0.3923</m:t>
              </m:r>
            </m:oMath>
            <w:r w:rsidRPr="0015368A">
              <w:rPr>
                <w:rFonts w:eastAsia="Times New Roman"/>
                <w:color w:val="000000" w:themeColor="text1"/>
              </w:rPr>
              <w:t xml:space="preserve"> </w:t>
            </w:r>
          </w:p>
        </w:tc>
        <w:tc>
          <w:tcPr>
            <w:tcW w:w="1559" w:type="dxa"/>
            <w:tcBorders>
              <w:top w:val="single" w:sz="12" w:space="0" w:color="auto"/>
            </w:tcBorders>
          </w:tcPr>
          <w:p w14:paraId="0B1B5259" w14:textId="3C0E7DC6" w:rsidR="000B6A3B" w:rsidRPr="0015368A" w:rsidRDefault="000B6A3B" w:rsidP="0016122E">
            <w:pPr>
              <w:spacing w:line="360" w:lineRule="auto"/>
              <w:rPr>
                <w:rFonts w:ascii="Arial" w:eastAsia="Calibri" w:hAnsi="Arial" w:cs="Arial"/>
                <w:color w:val="000000" w:themeColor="text1"/>
                <w:sz w:val="22"/>
                <w:szCs w:val="22"/>
                <w:lang w:val="en-ZA"/>
              </w:rPr>
            </w:pPr>
            <w:r w:rsidRPr="0015368A">
              <w:rPr>
                <w:rFonts w:ascii="Arial" w:hAnsi="Arial" w:cs="Arial"/>
                <w:color w:val="000000" w:themeColor="text1"/>
                <w:sz w:val="22"/>
                <w:szCs w:val="22"/>
              </w:rPr>
              <w:t>0.9975</w:t>
            </w:r>
          </w:p>
        </w:tc>
        <w:tc>
          <w:tcPr>
            <w:tcW w:w="1418" w:type="dxa"/>
            <w:tcBorders>
              <w:top w:val="single" w:sz="12" w:space="0" w:color="auto"/>
            </w:tcBorders>
            <w:shd w:val="clear" w:color="auto" w:fill="auto"/>
            <w:vAlign w:val="bottom"/>
          </w:tcPr>
          <w:p w14:paraId="3232E45E" w14:textId="50AE1300" w:rsidR="000B6A3B" w:rsidRPr="0015368A" w:rsidRDefault="000B6A3B" w:rsidP="0016122E">
            <w:pPr>
              <w:spacing w:line="360" w:lineRule="auto"/>
              <w:rPr>
                <w:rFonts w:ascii="Arial" w:eastAsia="Calibri" w:hAnsi="Arial" w:cs="Arial"/>
                <w:color w:val="000000" w:themeColor="text1"/>
                <w:sz w:val="22"/>
                <w:szCs w:val="22"/>
                <w:lang w:val="en-ZA"/>
              </w:rPr>
            </w:pPr>
            <w:r w:rsidRPr="0015368A">
              <w:rPr>
                <w:rFonts w:ascii="Arial" w:eastAsia="Calibri" w:hAnsi="Arial" w:cs="Arial"/>
                <w:color w:val="000000" w:themeColor="text1"/>
                <w:sz w:val="22"/>
                <w:szCs w:val="22"/>
                <w:lang w:val="en-ZA"/>
              </w:rPr>
              <w:t xml:space="preserve">21.0 </w:t>
            </w:r>
          </w:p>
        </w:tc>
        <w:tc>
          <w:tcPr>
            <w:tcW w:w="1417" w:type="dxa"/>
            <w:tcBorders>
              <w:top w:val="single" w:sz="12" w:space="0" w:color="auto"/>
            </w:tcBorders>
            <w:shd w:val="clear" w:color="auto" w:fill="auto"/>
            <w:vAlign w:val="bottom"/>
          </w:tcPr>
          <w:p w14:paraId="656FC14A" w14:textId="4254E027" w:rsidR="000B6A3B" w:rsidRPr="0015368A" w:rsidRDefault="000B6A3B" w:rsidP="0016122E">
            <w:pPr>
              <w:spacing w:line="360" w:lineRule="auto"/>
              <w:rPr>
                <w:rFonts w:ascii="Arial" w:eastAsia="Calibri" w:hAnsi="Arial" w:cs="Arial"/>
                <w:color w:val="000000" w:themeColor="text1"/>
                <w:sz w:val="22"/>
                <w:szCs w:val="22"/>
                <w:lang w:val="en-ZA"/>
              </w:rPr>
            </w:pPr>
            <w:r w:rsidRPr="0015368A">
              <w:rPr>
                <w:rFonts w:ascii="Arial" w:eastAsia="Calibri" w:hAnsi="Arial" w:cs="Arial"/>
                <w:color w:val="000000" w:themeColor="text1"/>
                <w:sz w:val="22"/>
                <w:szCs w:val="22"/>
                <w:lang w:val="en-ZA"/>
              </w:rPr>
              <w:t>63.6</w:t>
            </w:r>
          </w:p>
        </w:tc>
      </w:tr>
      <w:tr w:rsidR="0015368A" w:rsidRPr="0015368A" w14:paraId="1EE202EE" w14:textId="77777777" w:rsidTr="00936B3A">
        <w:tc>
          <w:tcPr>
            <w:tcW w:w="1701" w:type="dxa"/>
            <w:shd w:val="clear" w:color="auto" w:fill="auto"/>
          </w:tcPr>
          <w:p w14:paraId="27235375" w14:textId="77777777" w:rsidR="000B6A3B" w:rsidRPr="0015368A" w:rsidRDefault="000B6A3B" w:rsidP="0016122E">
            <w:pPr>
              <w:spacing w:line="360" w:lineRule="auto"/>
              <w:rPr>
                <w:rFonts w:ascii="Arial" w:eastAsia="Times New Roman" w:hAnsi="Arial" w:cs="Arial"/>
                <w:b/>
                <w:color w:val="000000" w:themeColor="text1"/>
                <w:sz w:val="22"/>
                <w:szCs w:val="22"/>
                <w:lang w:val="en-ZA"/>
              </w:rPr>
            </w:pPr>
            <w:r w:rsidRPr="0015368A">
              <w:rPr>
                <w:rFonts w:ascii="Arial" w:eastAsia="Times New Roman" w:hAnsi="Arial" w:cs="Arial"/>
                <w:b/>
                <w:color w:val="000000" w:themeColor="text1"/>
                <w:sz w:val="22"/>
                <w:szCs w:val="22"/>
                <w:lang w:val="en-ZA"/>
              </w:rPr>
              <w:t>Diamorphine</w:t>
            </w:r>
          </w:p>
        </w:tc>
        <w:tc>
          <w:tcPr>
            <w:tcW w:w="2977" w:type="dxa"/>
            <w:shd w:val="clear" w:color="auto" w:fill="auto"/>
            <w:vAlign w:val="center"/>
          </w:tcPr>
          <w:p w14:paraId="1145703F" w14:textId="607C0FEC" w:rsidR="000B6A3B" w:rsidRPr="0015368A" w:rsidRDefault="000B6A3B" w:rsidP="0016122E">
            <w:pPr>
              <w:spacing w:line="360" w:lineRule="auto"/>
              <w:rPr>
                <w:rFonts w:ascii="Arial" w:eastAsia="Calibri" w:hAnsi="Arial" w:cs="Arial"/>
                <w:color w:val="000000" w:themeColor="text1"/>
                <w:sz w:val="22"/>
                <w:szCs w:val="22"/>
                <w:lang w:val="en-ZA"/>
              </w:rPr>
            </w:pPr>
            <m:oMath>
              <m:r>
                <w:rPr>
                  <w:rFonts w:ascii="Cambria Math" w:hAnsi="Cambria Math"/>
                  <w:color w:val="000000" w:themeColor="text1"/>
                </w:rPr>
                <m:t>y=31.36x+ 0.3186</m:t>
              </m:r>
            </m:oMath>
            <w:r w:rsidRPr="0015368A">
              <w:rPr>
                <w:rFonts w:eastAsia="Times New Roman"/>
                <w:color w:val="000000" w:themeColor="text1"/>
              </w:rPr>
              <w:t xml:space="preserve"> </w:t>
            </w:r>
          </w:p>
        </w:tc>
        <w:tc>
          <w:tcPr>
            <w:tcW w:w="1559" w:type="dxa"/>
          </w:tcPr>
          <w:p w14:paraId="2FEFD1F7" w14:textId="628015B7" w:rsidR="000B6A3B" w:rsidRPr="0015368A" w:rsidRDefault="000B6A3B" w:rsidP="0016122E">
            <w:pPr>
              <w:spacing w:line="360" w:lineRule="auto"/>
              <w:rPr>
                <w:rFonts w:ascii="Arial" w:eastAsia="Calibri" w:hAnsi="Arial" w:cs="Arial"/>
                <w:color w:val="000000" w:themeColor="text1"/>
                <w:sz w:val="22"/>
                <w:szCs w:val="22"/>
                <w:lang w:val="en-ZA"/>
              </w:rPr>
            </w:pPr>
            <w:r w:rsidRPr="0015368A">
              <w:rPr>
                <w:rFonts w:ascii="Arial" w:hAnsi="Arial" w:cs="Arial"/>
                <w:color w:val="000000" w:themeColor="text1"/>
                <w:sz w:val="22"/>
                <w:szCs w:val="22"/>
              </w:rPr>
              <w:t>0.9981</w:t>
            </w:r>
          </w:p>
        </w:tc>
        <w:tc>
          <w:tcPr>
            <w:tcW w:w="1418" w:type="dxa"/>
            <w:shd w:val="clear" w:color="auto" w:fill="auto"/>
            <w:vAlign w:val="bottom"/>
          </w:tcPr>
          <w:p w14:paraId="1E56C999" w14:textId="2C4DF3E3" w:rsidR="000B6A3B" w:rsidRPr="0015368A" w:rsidRDefault="000B6A3B" w:rsidP="0016122E">
            <w:pPr>
              <w:spacing w:line="360" w:lineRule="auto"/>
              <w:rPr>
                <w:rFonts w:ascii="Arial" w:eastAsia="Calibri" w:hAnsi="Arial" w:cs="Arial"/>
                <w:color w:val="000000" w:themeColor="text1"/>
                <w:sz w:val="22"/>
                <w:szCs w:val="22"/>
                <w:lang w:val="en-ZA"/>
              </w:rPr>
            </w:pPr>
            <w:r w:rsidRPr="0015368A">
              <w:rPr>
                <w:rFonts w:ascii="Arial" w:eastAsia="Calibri" w:hAnsi="Arial" w:cs="Arial"/>
                <w:color w:val="000000" w:themeColor="text1"/>
                <w:sz w:val="22"/>
                <w:szCs w:val="22"/>
                <w:lang w:val="en-ZA"/>
              </w:rPr>
              <w:t>14.2</w:t>
            </w:r>
          </w:p>
        </w:tc>
        <w:tc>
          <w:tcPr>
            <w:tcW w:w="1417" w:type="dxa"/>
            <w:shd w:val="clear" w:color="auto" w:fill="auto"/>
            <w:vAlign w:val="bottom"/>
          </w:tcPr>
          <w:p w14:paraId="0280B665" w14:textId="13A5A708" w:rsidR="000B6A3B" w:rsidRPr="0015368A" w:rsidRDefault="000B6A3B" w:rsidP="0016122E">
            <w:pPr>
              <w:spacing w:line="360" w:lineRule="auto"/>
              <w:rPr>
                <w:rFonts w:ascii="Arial" w:eastAsia="Calibri" w:hAnsi="Arial" w:cs="Arial"/>
                <w:color w:val="000000" w:themeColor="text1"/>
                <w:sz w:val="22"/>
                <w:szCs w:val="22"/>
                <w:lang w:val="en-ZA"/>
              </w:rPr>
            </w:pPr>
            <w:r w:rsidRPr="0015368A">
              <w:rPr>
                <w:rFonts w:ascii="Arial" w:eastAsia="Calibri" w:hAnsi="Arial" w:cs="Arial"/>
                <w:color w:val="000000" w:themeColor="text1"/>
                <w:sz w:val="22"/>
                <w:szCs w:val="22"/>
                <w:lang w:val="en-ZA"/>
              </w:rPr>
              <w:t>43.1</w:t>
            </w:r>
          </w:p>
        </w:tc>
      </w:tr>
      <w:tr w:rsidR="0015368A" w:rsidRPr="0015368A" w14:paraId="0E77F528" w14:textId="77777777" w:rsidTr="00936B3A">
        <w:tc>
          <w:tcPr>
            <w:tcW w:w="1701" w:type="dxa"/>
            <w:shd w:val="clear" w:color="auto" w:fill="auto"/>
          </w:tcPr>
          <w:p w14:paraId="5F972DD1" w14:textId="77777777" w:rsidR="000B6A3B" w:rsidRPr="0015368A" w:rsidRDefault="000B6A3B" w:rsidP="0016122E">
            <w:pPr>
              <w:spacing w:line="360" w:lineRule="auto"/>
              <w:rPr>
                <w:rFonts w:ascii="Arial" w:eastAsia="Times New Roman" w:hAnsi="Arial" w:cs="Arial"/>
                <w:b/>
                <w:color w:val="000000" w:themeColor="text1"/>
                <w:sz w:val="22"/>
                <w:szCs w:val="22"/>
                <w:lang w:val="en-ZA"/>
              </w:rPr>
            </w:pPr>
            <w:r w:rsidRPr="0015368A">
              <w:rPr>
                <w:rFonts w:ascii="Arial" w:eastAsia="Times New Roman" w:hAnsi="Arial" w:cs="Arial"/>
                <w:b/>
                <w:color w:val="000000" w:themeColor="text1"/>
                <w:sz w:val="22"/>
                <w:szCs w:val="22"/>
                <w:lang w:val="en-ZA"/>
              </w:rPr>
              <w:t>Efavirenz</w:t>
            </w:r>
          </w:p>
        </w:tc>
        <w:tc>
          <w:tcPr>
            <w:tcW w:w="2977" w:type="dxa"/>
            <w:shd w:val="clear" w:color="auto" w:fill="auto"/>
            <w:vAlign w:val="center"/>
          </w:tcPr>
          <w:p w14:paraId="45C59519" w14:textId="0A1C17AC" w:rsidR="000B6A3B" w:rsidRPr="0015368A" w:rsidRDefault="000B6A3B" w:rsidP="0016122E">
            <w:pPr>
              <w:spacing w:line="360" w:lineRule="auto"/>
              <w:rPr>
                <w:rFonts w:ascii="Arial" w:eastAsia="Calibri" w:hAnsi="Arial" w:cs="Arial"/>
                <w:color w:val="000000" w:themeColor="text1"/>
                <w:sz w:val="22"/>
                <w:szCs w:val="22"/>
                <w:lang w:val="en-ZA"/>
              </w:rPr>
            </w:pPr>
            <m:oMath>
              <m:r>
                <w:rPr>
                  <w:rFonts w:ascii="Cambria Math" w:hAnsi="Cambria Math"/>
                  <w:color w:val="000000" w:themeColor="text1"/>
                </w:rPr>
                <m:t>y=30.92x+0.1483</m:t>
              </m:r>
            </m:oMath>
            <w:r w:rsidRPr="0015368A">
              <w:rPr>
                <w:rFonts w:eastAsia="Times New Roman"/>
                <w:color w:val="000000" w:themeColor="text1"/>
              </w:rPr>
              <w:t xml:space="preserve"> </w:t>
            </w:r>
          </w:p>
        </w:tc>
        <w:tc>
          <w:tcPr>
            <w:tcW w:w="1559" w:type="dxa"/>
          </w:tcPr>
          <w:p w14:paraId="47F5C8AF" w14:textId="07B3BDFC" w:rsidR="000B6A3B" w:rsidRPr="0015368A" w:rsidRDefault="000B6A3B" w:rsidP="0016122E">
            <w:pPr>
              <w:spacing w:line="360" w:lineRule="auto"/>
              <w:rPr>
                <w:rFonts w:ascii="Arial" w:eastAsia="Calibri" w:hAnsi="Arial" w:cs="Arial"/>
                <w:color w:val="000000" w:themeColor="text1"/>
                <w:sz w:val="22"/>
                <w:szCs w:val="22"/>
                <w:lang w:val="en-ZA"/>
              </w:rPr>
            </w:pPr>
            <w:r w:rsidRPr="0015368A">
              <w:rPr>
                <w:rFonts w:ascii="Arial" w:hAnsi="Arial" w:cs="Arial"/>
                <w:color w:val="000000" w:themeColor="text1"/>
                <w:sz w:val="22"/>
                <w:szCs w:val="22"/>
              </w:rPr>
              <w:t>0.9995</w:t>
            </w:r>
          </w:p>
        </w:tc>
        <w:tc>
          <w:tcPr>
            <w:tcW w:w="1418" w:type="dxa"/>
            <w:shd w:val="clear" w:color="auto" w:fill="auto"/>
            <w:vAlign w:val="bottom"/>
          </w:tcPr>
          <w:p w14:paraId="3B20AAEE" w14:textId="2054DDFB" w:rsidR="000B6A3B" w:rsidRPr="0015368A" w:rsidRDefault="000B6A3B" w:rsidP="0016122E">
            <w:pPr>
              <w:spacing w:line="360" w:lineRule="auto"/>
              <w:rPr>
                <w:rFonts w:ascii="Arial" w:eastAsia="Calibri" w:hAnsi="Arial" w:cs="Arial"/>
                <w:color w:val="000000" w:themeColor="text1"/>
                <w:sz w:val="22"/>
                <w:szCs w:val="22"/>
                <w:lang w:val="en-ZA"/>
              </w:rPr>
            </w:pPr>
            <w:r w:rsidRPr="0015368A">
              <w:rPr>
                <w:rFonts w:ascii="Arial" w:eastAsia="Calibri" w:hAnsi="Arial" w:cs="Arial"/>
                <w:color w:val="000000" w:themeColor="text1"/>
                <w:sz w:val="22"/>
                <w:szCs w:val="22"/>
                <w:lang w:val="en-ZA"/>
              </w:rPr>
              <w:t>18.6</w:t>
            </w:r>
          </w:p>
        </w:tc>
        <w:tc>
          <w:tcPr>
            <w:tcW w:w="1417" w:type="dxa"/>
            <w:shd w:val="clear" w:color="auto" w:fill="auto"/>
            <w:vAlign w:val="bottom"/>
          </w:tcPr>
          <w:p w14:paraId="6F4A3FA1" w14:textId="5445A0EB" w:rsidR="000B6A3B" w:rsidRPr="0015368A" w:rsidRDefault="000B6A3B" w:rsidP="0016122E">
            <w:pPr>
              <w:spacing w:line="360" w:lineRule="auto"/>
              <w:rPr>
                <w:rFonts w:ascii="Arial" w:eastAsia="Calibri" w:hAnsi="Arial" w:cs="Arial"/>
                <w:color w:val="000000" w:themeColor="text1"/>
                <w:sz w:val="22"/>
                <w:szCs w:val="22"/>
                <w:lang w:val="en-ZA"/>
              </w:rPr>
            </w:pPr>
            <w:r w:rsidRPr="0015368A">
              <w:rPr>
                <w:rFonts w:ascii="Arial" w:eastAsia="Calibri" w:hAnsi="Arial" w:cs="Arial"/>
                <w:color w:val="000000" w:themeColor="text1"/>
                <w:sz w:val="22"/>
                <w:szCs w:val="22"/>
                <w:lang w:val="en-ZA"/>
              </w:rPr>
              <w:t>56.3</w:t>
            </w:r>
          </w:p>
        </w:tc>
      </w:tr>
      <w:tr w:rsidR="0015368A" w:rsidRPr="0015368A" w14:paraId="0073435E" w14:textId="77777777" w:rsidTr="00936B3A">
        <w:tc>
          <w:tcPr>
            <w:tcW w:w="1701" w:type="dxa"/>
            <w:shd w:val="clear" w:color="auto" w:fill="auto"/>
          </w:tcPr>
          <w:p w14:paraId="2B04C823" w14:textId="77777777" w:rsidR="000B6A3B" w:rsidRPr="0015368A" w:rsidRDefault="000B6A3B" w:rsidP="0016122E">
            <w:pPr>
              <w:spacing w:line="360" w:lineRule="auto"/>
              <w:rPr>
                <w:rFonts w:ascii="Arial" w:eastAsia="Times New Roman" w:hAnsi="Arial" w:cs="Arial"/>
                <w:b/>
                <w:color w:val="000000" w:themeColor="text1"/>
                <w:sz w:val="22"/>
                <w:szCs w:val="22"/>
                <w:lang w:val="en-ZA"/>
              </w:rPr>
            </w:pPr>
            <w:r w:rsidRPr="0015368A">
              <w:rPr>
                <w:rFonts w:ascii="Arial" w:eastAsia="Times New Roman" w:hAnsi="Arial" w:cs="Arial"/>
                <w:b/>
                <w:color w:val="000000" w:themeColor="text1"/>
                <w:sz w:val="22"/>
                <w:szCs w:val="22"/>
                <w:lang w:val="en-ZA"/>
              </w:rPr>
              <w:t>Nevirapine</w:t>
            </w:r>
          </w:p>
        </w:tc>
        <w:tc>
          <w:tcPr>
            <w:tcW w:w="2977" w:type="dxa"/>
            <w:shd w:val="clear" w:color="auto" w:fill="auto"/>
            <w:vAlign w:val="center"/>
          </w:tcPr>
          <w:p w14:paraId="717EC0ED" w14:textId="2A2D302C" w:rsidR="000B6A3B" w:rsidRPr="0015368A" w:rsidRDefault="000B6A3B" w:rsidP="0016122E">
            <w:pPr>
              <w:spacing w:line="360" w:lineRule="auto"/>
              <w:rPr>
                <w:rFonts w:ascii="Arial" w:eastAsia="Calibri" w:hAnsi="Arial" w:cs="Arial"/>
                <w:color w:val="000000" w:themeColor="text1"/>
                <w:sz w:val="22"/>
                <w:szCs w:val="22"/>
                <w:lang w:val="en-ZA"/>
              </w:rPr>
            </w:pPr>
            <m:oMath>
              <m:r>
                <w:rPr>
                  <w:rFonts w:ascii="Cambria Math" w:hAnsi="Cambria Math"/>
                  <w:color w:val="000000" w:themeColor="text1"/>
                </w:rPr>
                <m:t>y=29.49x+0.1673</m:t>
              </m:r>
            </m:oMath>
            <w:r w:rsidRPr="0015368A">
              <w:rPr>
                <w:rFonts w:eastAsia="Times New Roman"/>
                <w:color w:val="000000" w:themeColor="text1"/>
              </w:rPr>
              <w:t xml:space="preserve"> </w:t>
            </w:r>
          </w:p>
        </w:tc>
        <w:tc>
          <w:tcPr>
            <w:tcW w:w="1559" w:type="dxa"/>
          </w:tcPr>
          <w:p w14:paraId="26BC389D" w14:textId="3DCEDFAB" w:rsidR="000B6A3B" w:rsidRPr="0015368A" w:rsidRDefault="000B6A3B" w:rsidP="0016122E">
            <w:pPr>
              <w:spacing w:line="360" w:lineRule="auto"/>
              <w:rPr>
                <w:rFonts w:ascii="Arial" w:eastAsia="Calibri" w:hAnsi="Arial" w:cs="Arial"/>
                <w:color w:val="000000" w:themeColor="text1"/>
                <w:sz w:val="22"/>
                <w:szCs w:val="22"/>
                <w:lang w:val="en-ZA"/>
              </w:rPr>
            </w:pPr>
            <w:r w:rsidRPr="0015368A">
              <w:rPr>
                <w:rFonts w:ascii="Arial" w:hAnsi="Arial" w:cs="Arial"/>
                <w:color w:val="000000" w:themeColor="text1"/>
                <w:sz w:val="22"/>
                <w:szCs w:val="22"/>
              </w:rPr>
              <w:t>0.9987</w:t>
            </w:r>
          </w:p>
        </w:tc>
        <w:tc>
          <w:tcPr>
            <w:tcW w:w="1418" w:type="dxa"/>
            <w:shd w:val="clear" w:color="auto" w:fill="auto"/>
            <w:vAlign w:val="bottom"/>
          </w:tcPr>
          <w:p w14:paraId="1DD4A3E6" w14:textId="1EC2A6AD" w:rsidR="000B6A3B" w:rsidRPr="0015368A" w:rsidRDefault="000B6A3B" w:rsidP="0016122E">
            <w:pPr>
              <w:spacing w:line="360" w:lineRule="auto"/>
              <w:rPr>
                <w:rFonts w:ascii="Arial" w:eastAsia="Calibri" w:hAnsi="Arial" w:cs="Arial"/>
                <w:color w:val="000000" w:themeColor="text1"/>
                <w:sz w:val="22"/>
                <w:szCs w:val="22"/>
                <w:lang w:val="en-ZA"/>
              </w:rPr>
            </w:pPr>
            <w:r w:rsidRPr="0015368A">
              <w:rPr>
                <w:rFonts w:ascii="Arial" w:eastAsia="Calibri" w:hAnsi="Arial" w:cs="Arial"/>
                <w:color w:val="000000" w:themeColor="text1"/>
                <w:sz w:val="22"/>
                <w:szCs w:val="22"/>
                <w:lang w:val="en-ZA"/>
              </w:rPr>
              <w:t>18.7</w:t>
            </w:r>
          </w:p>
        </w:tc>
        <w:tc>
          <w:tcPr>
            <w:tcW w:w="1417" w:type="dxa"/>
            <w:shd w:val="clear" w:color="auto" w:fill="auto"/>
            <w:vAlign w:val="bottom"/>
          </w:tcPr>
          <w:p w14:paraId="01A05F43" w14:textId="60D1151A" w:rsidR="000B6A3B" w:rsidRPr="0015368A" w:rsidRDefault="000B6A3B" w:rsidP="0016122E">
            <w:pPr>
              <w:spacing w:line="360" w:lineRule="auto"/>
              <w:rPr>
                <w:rFonts w:ascii="Arial" w:eastAsia="Calibri" w:hAnsi="Arial" w:cs="Arial"/>
                <w:color w:val="000000" w:themeColor="text1"/>
                <w:sz w:val="22"/>
                <w:szCs w:val="22"/>
                <w:lang w:val="en-ZA"/>
              </w:rPr>
            </w:pPr>
            <w:r w:rsidRPr="0015368A">
              <w:rPr>
                <w:rFonts w:ascii="Arial" w:eastAsia="Calibri" w:hAnsi="Arial" w:cs="Arial"/>
                <w:color w:val="000000" w:themeColor="text1"/>
                <w:sz w:val="22"/>
                <w:szCs w:val="22"/>
                <w:lang w:val="en-ZA"/>
              </w:rPr>
              <w:t>56.6</w:t>
            </w:r>
          </w:p>
        </w:tc>
      </w:tr>
      <w:tr w:rsidR="0015368A" w:rsidRPr="0015368A" w14:paraId="33A7CEFA" w14:textId="77777777" w:rsidTr="00936B3A">
        <w:tc>
          <w:tcPr>
            <w:tcW w:w="1701" w:type="dxa"/>
            <w:shd w:val="clear" w:color="auto" w:fill="auto"/>
          </w:tcPr>
          <w:p w14:paraId="60EC1F33" w14:textId="77777777" w:rsidR="000B6A3B" w:rsidRPr="0015368A" w:rsidRDefault="000B6A3B" w:rsidP="0016122E">
            <w:pPr>
              <w:spacing w:line="360" w:lineRule="auto"/>
              <w:rPr>
                <w:rFonts w:ascii="Arial" w:eastAsia="Times New Roman" w:hAnsi="Arial" w:cs="Arial"/>
                <w:b/>
                <w:color w:val="000000" w:themeColor="text1"/>
                <w:sz w:val="22"/>
                <w:szCs w:val="22"/>
                <w:lang w:val="en-ZA"/>
              </w:rPr>
            </w:pPr>
            <w:r w:rsidRPr="0015368A">
              <w:rPr>
                <w:rFonts w:ascii="Arial" w:eastAsia="Times New Roman" w:hAnsi="Arial" w:cs="Arial"/>
                <w:b/>
                <w:color w:val="000000" w:themeColor="text1"/>
                <w:sz w:val="22"/>
                <w:szCs w:val="22"/>
                <w:lang w:val="en-ZA"/>
              </w:rPr>
              <w:t>Phenacetin</w:t>
            </w:r>
          </w:p>
        </w:tc>
        <w:tc>
          <w:tcPr>
            <w:tcW w:w="2977" w:type="dxa"/>
            <w:shd w:val="clear" w:color="auto" w:fill="auto"/>
            <w:vAlign w:val="center"/>
          </w:tcPr>
          <w:p w14:paraId="5D75D9C0" w14:textId="0C55AE48" w:rsidR="000B6A3B" w:rsidRPr="0015368A" w:rsidRDefault="000B6A3B" w:rsidP="0016122E">
            <w:pPr>
              <w:spacing w:line="360" w:lineRule="auto"/>
              <w:rPr>
                <w:rFonts w:ascii="Arial" w:eastAsia="Calibri" w:hAnsi="Arial" w:cs="Arial"/>
                <w:color w:val="000000" w:themeColor="text1"/>
                <w:sz w:val="22"/>
                <w:szCs w:val="22"/>
                <w:lang w:val="en-ZA"/>
              </w:rPr>
            </w:pPr>
            <m:oMath>
              <m:r>
                <w:rPr>
                  <w:rFonts w:ascii="Cambria Math" w:hAnsi="Cambria Math"/>
                  <w:color w:val="000000" w:themeColor="text1"/>
                </w:rPr>
                <m:t>y=28.05x+0.3406</m:t>
              </m:r>
            </m:oMath>
            <w:r w:rsidRPr="0015368A">
              <w:rPr>
                <w:rFonts w:eastAsia="Times New Roman"/>
                <w:color w:val="000000" w:themeColor="text1"/>
              </w:rPr>
              <w:t xml:space="preserve"> </w:t>
            </w:r>
          </w:p>
        </w:tc>
        <w:tc>
          <w:tcPr>
            <w:tcW w:w="1559" w:type="dxa"/>
          </w:tcPr>
          <w:p w14:paraId="0D2F93C3" w14:textId="509F21A2" w:rsidR="000B6A3B" w:rsidRPr="0015368A" w:rsidRDefault="000B6A3B" w:rsidP="0016122E">
            <w:pPr>
              <w:spacing w:line="360" w:lineRule="auto"/>
              <w:rPr>
                <w:rFonts w:ascii="Arial" w:eastAsia="Calibri" w:hAnsi="Arial" w:cs="Arial"/>
                <w:color w:val="000000" w:themeColor="text1"/>
                <w:sz w:val="22"/>
                <w:szCs w:val="22"/>
                <w:lang w:val="en-ZA"/>
              </w:rPr>
            </w:pPr>
            <w:r w:rsidRPr="0015368A">
              <w:rPr>
                <w:rFonts w:ascii="Arial" w:hAnsi="Arial" w:cs="Arial"/>
                <w:color w:val="000000" w:themeColor="text1"/>
                <w:sz w:val="22"/>
                <w:szCs w:val="22"/>
              </w:rPr>
              <w:t>0.9970</w:t>
            </w:r>
          </w:p>
        </w:tc>
        <w:tc>
          <w:tcPr>
            <w:tcW w:w="1418" w:type="dxa"/>
            <w:shd w:val="clear" w:color="auto" w:fill="auto"/>
            <w:vAlign w:val="bottom"/>
          </w:tcPr>
          <w:p w14:paraId="754460BA" w14:textId="2AD3CB89" w:rsidR="000B6A3B" w:rsidRPr="0015368A" w:rsidRDefault="000B6A3B" w:rsidP="0016122E">
            <w:pPr>
              <w:spacing w:line="360" w:lineRule="auto"/>
              <w:rPr>
                <w:rFonts w:ascii="Arial" w:eastAsia="Calibri" w:hAnsi="Arial" w:cs="Arial"/>
                <w:color w:val="000000" w:themeColor="text1"/>
                <w:sz w:val="22"/>
                <w:szCs w:val="22"/>
                <w:lang w:val="en-ZA"/>
              </w:rPr>
            </w:pPr>
            <w:r w:rsidRPr="0015368A">
              <w:rPr>
                <w:rFonts w:ascii="Arial" w:eastAsia="Calibri" w:hAnsi="Arial" w:cs="Arial"/>
                <w:color w:val="000000" w:themeColor="text1"/>
                <w:sz w:val="22"/>
                <w:szCs w:val="22"/>
                <w:lang w:val="en-ZA"/>
              </w:rPr>
              <w:t>39.1</w:t>
            </w:r>
          </w:p>
        </w:tc>
        <w:tc>
          <w:tcPr>
            <w:tcW w:w="1417" w:type="dxa"/>
            <w:shd w:val="clear" w:color="auto" w:fill="auto"/>
            <w:vAlign w:val="bottom"/>
          </w:tcPr>
          <w:p w14:paraId="5B3FA4F2" w14:textId="0C4F4848" w:rsidR="000B6A3B" w:rsidRPr="0015368A" w:rsidRDefault="00936B3A" w:rsidP="0016122E">
            <w:pPr>
              <w:spacing w:line="360" w:lineRule="auto"/>
              <w:rPr>
                <w:rFonts w:ascii="Arial" w:eastAsia="Calibri" w:hAnsi="Arial" w:cs="Arial"/>
                <w:color w:val="000000" w:themeColor="text1"/>
                <w:sz w:val="22"/>
                <w:szCs w:val="22"/>
                <w:lang w:val="en-ZA"/>
              </w:rPr>
            </w:pPr>
            <w:r w:rsidRPr="0015368A">
              <w:rPr>
                <w:rFonts w:ascii="Arial" w:eastAsia="Calibri" w:hAnsi="Arial" w:cs="Arial"/>
                <w:color w:val="000000" w:themeColor="text1"/>
                <w:sz w:val="22"/>
                <w:szCs w:val="22"/>
                <w:lang w:val="en-ZA"/>
              </w:rPr>
              <w:t>1</w:t>
            </w:r>
            <w:r w:rsidR="000B6A3B" w:rsidRPr="0015368A">
              <w:rPr>
                <w:rFonts w:ascii="Arial" w:eastAsia="Calibri" w:hAnsi="Arial" w:cs="Arial"/>
                <w:color w:val="000000" w:themeColor="text1"/>
                <w:sz w:val="22"/>
                <w:szCs w:val="22"/>
                <w:lang w:val="en-ZA"/>
              </w:rPr>
              <w:t>18</w:t>
            </w:r>
          </w:p>
        </w:tc>
      </w:tr>
      <w:tr w:rsidR="000B6A3B" w:rsidRPr="0015368A" w14:paraId="1E84D034" w14:textId="77777777" w:rsidTr="00936B3A">
        <w:tc>
          <w:tcPr>
            <w:tcW w:w="1701" w:type="dxa"/>
            <w:tcBorders>
              <w:bottom w:val="single" w:sz="12" w:space="0" w:color="auto"/>
            </w:tcBorders>
            <w:shd w:val="clear" w:color="auto" w:fill="auto"/>
          </w:tcPr>
          <w:p w14:paraId="47BC1859" w14:textId="77777777" w:rsidR="000B6A3B" w:rsidRPr="0015368A" w:rsidRDefault="000B6A3B" w:rsidP="0016122E">
            <w:pPr>
              <w:spacing w:line="360" w:lineRule="auto"/>
              <w:rPr>
                <w:rFonts w:ascii="Arial" w:eastAsia="Times New Roman" w:hAnsi="Arial" w:cs="Arial"/>
                <w:b/>
                <w:color w:val="000000" w:themeColor="text1"/>
                <w:sz w:val="22"/>
                <w:szCs w:val="22"/>
                <w:lang w:val="en-ZA"/>
              </w:rPr>
            </w:pPr>
            <w:r w:rsidRPr="0015368A">
              <w:rPr>
                <w:rFonts w:ascii="Arial" w:eastAsia="Times New Roman" w:hAnsi="Arial" w:cs="Arial"/>
                <w:b/>
                <w:color w:val="000000" w:themeColor="text1"/>
                <w:sz w:val="22"/>
                <w:szCs w:val="22"/>
                <w:lang w:val="en-ZA"/>
              </w:rPr>
              <w:t>Δ</w:t>
            </w:r>
            <w:r w:rsidRPr="0015368A">
              <w:rPr>
                <w:rFonts w:ascii="Arial" w:eastAsia="Times New Roman" w:hAnsi="Arial" w:cs="Arial"/>
                <w:b/>
                <w:color w:val="000000" w:themeColor="text1"/>
                <w:sz w:val="22"/>
                <w:szCs w:val="22"/>
                <w:vertAlign w:val="superscript"/>
                <w:lang w:val="en-ZA"/>
              </w:rPr>
              <w:t>9</w:t>
            </w:r>
            <w:r w:rsidRPr="0015368A">
              <w:rPr>
                <w:rFonts w:ascii="Arial" w:eastAsia="Times New Roman" w:hAnsi="Arial" w:cs="Arial"/>
                <w:b/>
                <w:color w:val="000000" w:themeColor="text1"/>
                <w:sz w:val="22"/>
                <w:szCs w:val="22"/>
                <w:lang w:val="en-ZA"/>
              </w:rPr>
              <w:t>-THC</w:t>
            </w:r>
          </w:p>
        </w:tc>
        <w:tc>
          <w:tcPr>
            <w:tcW w:w="2977" w:type="dxa"/>
            <w:tcBorders>
              <w:bottom w:val="single" w:sz="12" w:space="0" w:color="auto"/>
            </w:tcBorders>
            <w:shd w:val="clear" w:color="auto" w:fill="auto"/>
            <w:vAlign w:val="center"/>
          </w:tcPr>
          <w:p w14:paraId="15FEEBC5" w14:textId="1433FE95" w:rsidR="000B6A3B" w:rsidRPr="0015368A" w:rsidRDefault="000B6A3B" w:rsidP="0016122E">
            <w:pPr>
              <w:spacing w:line="360" w:lineRule="auto"/>
              <w:rPr>
                <w:rFonts w:ascii="Arial" w:eastAsia="Calibri" w:hAnsi="Arial" w:cs="Arial"/>
                <w:color w:val="000000" w:themeColor="text1"/>
                <w:sz w:val="22"/>
                <w:szCs w:val="22"/>
                <w:lang w:val="en-ZA"/>
              </w:rPr>
            </w:pPr>
            <m:oMath>
              <m:r>
                <w:rPr>
                  <w:rFonts w:ascii="Cambria Math" w:hAnsi="Cambria Math"/>
                  <w:color w:val="000000" w:themeColor="text1"/>
                </w:rPr>
                <m:t>y=40.03x+0.499</m:t>
              </m:r>
            </m:oMath>
            <w:r w:rsidRPr="0015368A">
              <w:rPr>
                <w:rFonts w:eastAsia="Times New Roman"/>
                <w:color w:val="000000" w:themeColor="text1"/>
              </w:rPr>
              <w:t xml:space="preserve"> </w:t>
            </w:r>
          </w:p>
        </w:tc>
        <w:tc>
          <w:tcPr>
            <w:tcW w:w="1559" w:type="dxa"/>
            <w:tcBorders>
              <w:bottom w:val="single" w:sz="12" w:space="0" w:color="auto"/>
            </w:tcBorders>
          </w:tcPr>
          <w:p w14:paraId="6FA7AB72" w14:textId="6460E210" w:rsidR="000B6A3B" w:rsidRPr="0015368A" w:rsidRDefault="000B6A3B" w:rsidP="0016122E">
            <w:pPr>
              <w:spacing w:line="360" w:lineRule="auto"/>
              <w:rPr>
                <w:rFonts w:ascii="Arial" w:eastAsia="Calibri" w:hAnsi="Arial" w:cs="Arial"/>
                <w:color w:val="000000" w:themeColor="text1"/>
                <w:sz w:val="22"/>
                <w:szCs w:val="22"/>
                <w:lang w:val="en-ZA"/>
              </w:rPr>
            </w:pPr>
            <w:r w:rsidRPr="0015368A">
              <w:rPr>
                <w:rFonts w:ascii="Arial" w:hAnsi="Arial" w:cs="Arial"/>
                <w:color w:val="000000" w:themeColor="text1"/>
                <w:sz w:val="22"/>
                <w:szCs w:val="22"/>
              </w:rPr>
              <w:t>0.9951</w:t>
            </w:r>
          </w:p>
        </w:tc>
        <w:tc>
          <w:tcPr>
            <w:tcW w:w="1418" w:type="dxa"/>
            <w:tcBorders>
              <w:bottom w:val="single" w:sz="12" w:space="0" w:color="auto"/>
            </w:tcBorders>
            <w:shd w:val="clear" w:color="auto" w:fill="auto"/>
            <w:vAlign w:val="bottom"/>
          </w:tcPr>
          <w:p w14:paraId="0E692E2D" w14:textId="15FCD071" w:rsidR="000B6A3B" w:rsidRPr="0015368A" w:rsidRDefault="000B6A3B" w:rsidP="0016122E">
            <w:pPr>
              <w:spacing w:line="360" w:lineRule="auto"/>
              <w:rPr>
                <w:rFonts w:ascii="Arial" w:eastAsia="Calibri" w:hAnsi="Arial" w:cs="Arial"/>
                <w:color w:val="000000" w:themeColor="text1"/>
                <w:sz w:val="22"/>
                <w:szCs w:val="22"/>
                <w:lang w:val="en-ZA"/>
              </w:rPr>
            </w:pPr>
            <w:r w:rsidRPr="0015368A">
              <w:rPr>
                <w:rFonts w:ascii="Arial" w:eastAsia="Calibri" w:hAnsi="Arial" w:cs="Arial"/>
                <w:color w:val="000000" w:themeColor="text1"/>
                <w:sz w:val="22"/>
                <w:szCs w:val="22"/>
                <w:lang w:val="en-ZA"/>
              </w:rPr>
              <w:t>9</w:t>
            </w:r>
            <w:r w:rsidR="00936B3A" w:rsidRPr="0015368A">
              <w:rPr>
                <w:rFonts w:ascii="Arial" w:eastAsia="Calibri" w:hAnsi="Arial" w:cs="Arial"/>
                <w:color w:val="000000" w:themeColor="text1"/>
                <w:sz w:val="22"/>
                <w:szCs w:val="22"/>
                <w:lang w:val="en-ZA"/>
              </w:rPr>
              <w:t>.</w:t>
            </w:r>
            <w:r w:rsidRPr="0015368A">
              <w:rPr>
                <w:rFonts w:ascii="Arial" w:eastAsia="Calibri" w:hAnsi="Arial" w:cs="Arial"/>
                <w:color w:val="000000" w:themeColor="text1"/>
                <w:sz w:val="22"/>
                <w:szCs w:val="22"/>
                <w:lang w:val="en-ZA"/>
              </w:rPr>
              <w:t>9</w:t>
            </w:r>
            <w:r w:rsidR="00936B3A" w:rsidRPr="0015368A">
              <w:rPr>
                <w:rFonts w:ascii="Arial" w:eastAsia="Calibri" w:hAnsi="Arial" w:cs="Arial"/>
                <w:color w:val="000000" w:themeColor="text1"/>
                <w:sz w:val="22"/>
                <w:szCs w:val="22"/>
                <w:lang w:val="en-ZA"/>
              </w:rPr>
              <w:t>4</w:t>
            </w:r>
          </w:p>
        </w:tc>
        <w:tc>
          <w:tcPr>
            <w:tcW w:w="1417" w:type="dxa"/>
            <w:tcBorders>
              <w:bottom w:val="single" w:sz="12" w:space="0" w:color="auto"/>
            </w:tcBorders>
            <w:shd w:val="clear" w:color="auto" w:fill="auto"/>
            <w:vAlign w:val="bottom"/>
          </w:tcPr>
          <w:p w14:paraId="741D2E44" w14:textId="2B2CF8AF" w:rsidR="000B6A3B" w:rsidRPr="0015368A" w:rsidRDefault="00936B3A" w:rsidP="0016122E">
            <w:pPr>
              <w:spacing w:line="360" w:lineRule="auto"/>
              <w:rPr>
                <w:rFonts w:ascii="Arial" w:eastAsia="Calibri" w:hAnsi="Arial" w:cs="Arial"/>
                <w:color w:val="000000" w:themeColor="text1"/>
                <w:sz w:val="22"/>
                <w:szCs w:val="22"/>
                <w:lang w:val="en-ZA"/>
              </w:rPr>
            </w:pPr>
            <w:r w:rsidRPr="0015368A">
              <w:rPr>
                <w:rFonts w:ascii="Arial" w:eastAsia="Calibri" w:hAnsi="Arial" w:cs="Arial"/>
                <w:color w:val="000000" w:themeColor="text1"/>
                <w:sz w:val="22"/>
                <w:szCs w:val="22"/>
                <w:lang w:val="en-ZA"/>
              </w:rPr>
              <w:t>3</w:t>
            </w:r>
            <w:r w:rsidR="000B6A3B" w:rsidRPr="0015368A">
              <w:rPr>
                <w:rFonts w:ascii="Arial" w:eastAsia="Calibri" w:hAnsi="Arial" w:cs="Arial"/>
                <w:color w:val="000000" w:themeColor="text1"/>
                <w:sz w:val="22"/>
                <w:szCs w:val="22"/>
                <w:lang w:val="en-ZA"/>
              </w:rPr>
              <w:t>0</w:t>
            </w:r>
            <w:r w:rsidRPr="0015368A">
              <w:rPr>
                <w:rFonts w:ascii="Arial" w:eastAsia="Calibri" w:hAnsi="Arial" w:cs="Arial"/>
                <w:color w:val="000000" w:themeColor="text1"/>
                <w:sz w:val="22"/>
                <w:szCs w:val="22"/>
                <w:lang w:val="en-ZA"/>
              </w:rPr>
              <w:t>.1</w:t>
            </w:r>
          </w:p>
        </w:tc>
      </w:tr>
    </w:tbl>
    <w:p w14:paraId="6F9C8371" w14:textId="47251059" w:rsidR="00B84F0B" w:rsidRPr="0015368A" w:rsidRDefault="00B84F0B" w:rsidP="0016122E">
      <w:pPr>
        <w:spacing w:line="360" w:lineRule="auto"/>
        <w:rPr>
          <w:rFonts w:ascii="Arial" w:hAnsi="Arial" w:cs="Arial"/>
          <w:b/>
          <w:bCs/>
          <w:color w:val="000000" w:themeColor="text1"/>
          <w:sz w:val="22"/>
          <w:szCs w:val="22"/>
        </w:rPr>
      </w:pPr>
    </w:p>
    <w:p w14:paraId="58E01E4B" w14:textId="6587705F" w:rsidR="00CF1705" w:rsidRPr="00F13C54" w:rsidRDefault="009458BA" w:rsidP="0016122E">
      <w:pPr>
        <w:spacing w:line="360" w:lineRule="auto"/>
        <w:rPr>
          <w:rFonts w:ascii="Arial" w:hAnsi="Arial" w:cs="Arial"/>
          <w:b/>
          <w:bCs/>
          <w:color w:val="000000" w:themeColor="text1"/>
          <w:sz w:val="22"/>
          <w:szCs w:val="22"/>
        </w:rPr>
      </w:pPr>
      <w:r w:rsidRPr="00F13C54">
        <w:rPr>
          <w:rFonts w:ascii="Arial" w:hAnsi="Arial" w:cs="Arial"/>
          <w:b/>
          <w:bCs/>
          <w:color w:val="000000" w:themeColor="text1"/>
          <w:sz w:val="22"/>
          <w:szCs w:val="22"/>
        </w:rPr>
        <w:t xml:space="preserve">3.3 </w:t>
      </w:r>
      <w:r w:rsidR="00964803" w:rsidRPr="00F13C54">
        <w:rPr>
          <w:rFonts w:ascii="Arial" w:hAnsi="Arial" w:cs="Arial"/>
          <w:b/>
          <w:bCs/>
          <w:color w:val="000000" w:themeColor="text1"/>
          <w:sz w:val="22"/>
          <w:szCs w:val="22"/>
        </w:rPr>
        <w:t>Limit</w:t>
      </w:r>
      <w:r w:rsidR="000B7F82" w:rsidRPr="00F13C54">
        <w:rPr>
          <w:rFonts w:ascii="Arial" w:hAnsi="Arial" w:cs="Arial"/>
          <w:b/>
          <w:bCs/>
          <w:color w:val="000000" w:themeColor="text1"/>
          <w:sz w:val="22"/>
          <w:szCs w:val="22"/>
        </w:rPr>
        <w:t>s</w:t>
      </w:r>
      <w:r w:rsidR="00964803" w:rsidRPr="00F13C54">
        <w:rPr>
          <w:rFonts w:ascii="Arial" w:hAnsi="Arial" w:cs="Arial"/>
          <w:b/>
          <w:bCs/>
          <w:color w:val="000000" w:themeColor="text1"/>
          <w:sz w:val="22"/>
          <w:szCs w:val="22"/>
        </w:rPr>
        <w:t xml:space="preserve"> of detection</w:t>
      </w:r>
      <w:r w:rsidR="000B7F82" w:rsidRPr="00F13C54">
        <w:rPr>
          <w:rFonts w:ascii="Arial" w:hAnsi="Arial" w:cs="Arial"/>
          <w:b/>
          <w:bCs/>
          <w:color w:val="000000" w:themeColor="text1"/>
          <w:sz w:val="22"/>
          <w:szCs w:val="22"/>
        </w:rPr>
        <w:t xml:space="preserve"> and quantitation</w:t>
      </w:r>
    </w:p>
    <w:p w14:paraId="470093BD" w14:textId="655B0038" w:rsidR="000B7F82" w:rsidRPr="00F13C54" w:rsidRDefault="00CF1705" w:rsidP="0016122E">
      <w:pPr>
        <w:spacing w:line="360" w:lineRule="auto"/>
        <w:jc w:val="both"/>
        <w:rPr>
          <w:rFonts w:ascii="Arial" w:hAnsi="Arial" w:cs="Arial"/>
          <w:color w:val="000000" w:themeColor="text1"/>
          <w:sz w:val="22"/>
          <w:szCs w:val="22"/>
        </w:rPr>
      </w:pPr>
      <w:r w:rsidRPr="0015368A">
        <w:rPr>
          <w:rFonts w:ascii="Arial" w:hAnsi="Arial" w:cs="Arial"/>
          <w:color w:val="000000" w:themeColor="text1"/>
          <w:sz w:val="22"/>
          <w:szCs w:val="22"/>
        </w:rPr>
        <w:t xml:space="preserve">The detection limits </w:t>
      </w:r>
      <w:r w:rsidR="00936B3A" w:rsidRPr="0015368A">
        <w:rPr>
          <w:rFonts w:ascii="Arial" w:hAnsi="Arial" w:cs="Arial"/>
          <w:color w:val="000000" w:themeColor="text1"/>
          <w:sz w:val="22"/>
          <w:szCs w:val="22"/>
        </w:rPr>
        <w:t xml:space="preserve">and the limits of quantitation </w:t>
      </w:r>
      <w:r w:rsidRPr="0015368A">
        <w:rPr>
          <w:rFonts w:ascii="Arial" w:hAnsi="Arial" w:cs="Arial"/>
          <w:color w:val="000000" w:themeColor="text1"/>
          <w:sz w:val="22"/>
          <w:szCs w:val="22"/>
        </w:rPr>
        <w:t>using this ana</w:t>
      </w:r>
      <w:r w:rsidR="00936B3A" w:rsidRPr="0015368A">
        <w:rPr>
          <w:rFonts w:ascii="Arial" w:hAnsi="Arial" w:cs="Arial"/>
          <w:color w:val="000000" w:themeColor="text1"/>
          <w:sz w:val="22"/>
          <w:szCs w:val="22"/>
        </w:rPr>
        <w:t xml:space="preserve">lytical method were determined </w:t>
      </w:r>
      <w:r w:rsidRPr="0015368A">
        <w:rPr>
          <w:rFonts w:ascii="Arial" w:hAnsi="Arial" w:cs="Arial"/>
          <w:color w:val="000000" w:themeColor="text1"/>
          <w:sz w:val="22"/>
          <w:szCs w:val="22"/>
        </w:rPr>
        <w:t>as mass</w:t>
      </w:r>
      <w:r w:rsidR="009C16D6" w:rsidRPr="0015368A">
        <w:rPr>
          <w:rFonts w:ascii="Arial" w:hAnsi="Arial" w:cs="Arial"/>
          <w:color w:val="000000" w:themeColor="text1"/>
          <w:sz w:val="22"/>
          <w:szCs w:val="22"/>
        </w:rPr>
        <w:t xml:space="preserve"> of the free drug</w:t>
      </w:r>
      <w:r w:rsidR="00936B3A" w:rsidRPr="0015368A">
        <w:rPr>
          <w:rFonts w:ascii="Arial" w:hAnsi="Arial" w:cs="Arial"/>
          <w:color w:val="000000" w:themeColor="text1"/>
          <w:sz w:val="22"/>
          <w:szCs w:val="22"/>
        </w:rPr>
        <w:t xml:space="preserve"> on column and</w:t>
      </w:r>
      <w:r w:rsidRPr="0015368A">
        <w:rPr>
          <w:rFonts w:ascii="Arial" w:hAnsi="Arial" w:cs="Arial"/>
          <w:color w:val="000000" w:themeColor="text1"/>
          <w:sz w:val="22"/>
          <w:szCs w:val="22"/>
        </w:rPr>
        <w:t xml:space="preserve"> </w:t>
      </w:r>
      <w:r w:rsidR="00A31154" w:rsidRPr="0015368A">
        <w:rPr>
          <w:rFonts w:ascii="Arial" w:hAnsi="Arial" w:cs="Arial"/>
          <w:color w:val="000000" w:themeColor="text1"/>
          <w:sz w:val="22"/>
          <w:szCs w:val="22"/>
        </w:rPr>
        <w:t>are given in Table 2</w:t>
      </w:r>
      <w:r w:rsidR="00936B3A" w:rsidRPr="0015368A">
        <w:rPr>
          <w:rFonts w:ascii="Arial" w:hAnsi="Arial" w:cs="Arial"/>
          <w:color w:val="000000" w:themeColor="text1"/>
          <w:sz w:val="22"/>
          <w:szCs w:val="22"/>
        </w:rPr>
        <w:t xml:space="preserve">. </w:t>
      </w:r>
      <w:r w:rsidR="00936B3A" w:rsidRPr="0015368A">
        <w:rPr>
          <w:rFonts w:ascii="Arial" w:hAnsi="Arial" w:cs="Arial"/>
          <w:iCs/>
          <w:color w:val="000000" w:themeColor="text1"/>
          <w:sz w:val="22"/>
          <w:szCs w:val="22"/>
          <w:lang w:val="en-ZA"/>
        </w:rPr>
        <w:t xml:space="preserve">The detection limits varied </w:t>
      </w:r>
      <w:r w:rsidR="00936B3A" w:rsidRPr="0015368A">
        <w:rPr>
          <w:rFonts w:ascii="Arial" w:hAnsi="Arial" w:cs="Arial"/>
          <w:iCs/>
          <w:color w:val="000000" w:themeColor="text1"/>
          <w:sz w:val="22"/>
          <w:szCs w:val="22"/>
          <w:lang w:val="en-ZA"/>
        </w:rPr>
        <w:lastRenderedPageBreak/>
        <w:t xml:space="preserve">between 9.94 – 39.1 </w:t>
      </w:r>
      <w:proofErr w:type="spellStart"/>
      <w:r w:rsidR="00936B3A" w:rsidRPr="0015368A">
        <w:rPr>
          <w:rFonts w:ascii="Arial" w:hAnsi="Arial" w:cs="Arial"/>
          <w:iCs/>
          <w:color w:val="000000" w:themeColor="text1"/>
          <w:sz w:val="22"/>
          <w:szCs w:val="22"/>
          <w:lang w:val="en-ZA"/>
        </w:rPr>
        <w:t>pg</w:t>
      </w:r>
      <w:proofErr w:type="spellEnd"/>
      <w:r w:rsidR="00936B3A" w:rsidRPr="0015368A">
        <w:rPr>
          <w:rFonts w:ascii="Arial" w:hAnsi="Arial" w:cs="Arial"/>
          <w:iCs/>
          <w:color w:val="000000" w:themeColor="text1"/>
          <w:sz w:val="22"/>
          <w:szCs w:val="22"/>
          <w:lang w:val="en-ZA"/>
        </w:rPr>
        <w:t xml:space="preserve"> on column and the limit of quantitation between 30.1 – 118 </w:t>
      </w:r>
      <w:proofErr w:type="spellStart"/>
      <w:r w:rsidR="00936B3A" w:rsidRPr="0015368A">
        <w:rPr>
          <w:rFonts w:ascii="Arial" w:hAnsi="Arial" w:cs="Arial"/>
          <w:iCs/>
          <w:color w:val="000000" w:themeColor="text1"/>
          <w:sz w:val="22"/>
          <w:szCs w:val="22"/>
          <w:lang w:val="en-ZA"/>
        </w:rPr>
        <w:t>pg</w:t>
      </w:r>
      <w:proofErr w:type="spellEnd"/>
      <w:r w:rsidR="00936B3A" w:rsidRPr="0015368A">
        <w:rPr>
          <w:rFonts w:ascii="Arial" w:hAnsi="Arial" w:cs="Arial"/>
          <w:iCs/>
          <w:color w:val="000000" w:themeColor="text1"/>
          <w:sz w:val="22"/>
          <w:szCs w:val="22"/>
          <w:lang w:val="en-ZA"/>
        </w:rPr>
        <w:t xml:space="preserve"> on column. </w:t>
      </w:r>
      <w:r w:rsidR="000B7F82" w:rsidRPr="0015368A">
        <w:rPr>
          <w:rFonts w:ascii="Arial" w:hAnsi="Arial" w:cs="Arial"/>
          <w:color w:val="000000" w:themeColor="text1"/>
          <w:sz w:val="22"/>
          <w:szCs w:val="22"/>
        </w:rPr>
        <w:t xml:space="preserve">The method is sufficiently sensitive to both detect these drugs in </w:t>
      </w:r>
      <w:proofErr w:type="spellStart"/>
      <w:r w:rsidR="000B7F82" w:rsidRPr="0015368A">
        <w:rPr>
          <w:rFonts w:ascii="Arial" w:hAnsi="Arial" w:cs="Arial"/>
          <w:color w:val="000000" w:themeColor="text1"/>
          <w:sz w:val="22"/>
          <w:szCs w:val="22"/>
        </w:rPr>
        <w:t>nyaope</w:t>
      </w:r>
      <w:proofErr w:type="spellEnd"/>
      <w:r w:rsidR="000B7F82" w:rsidRPr="0015368A">
        <w:rPr>
          <w:rFonts w:ascii="Arial" w:hAnsi="Arial" w:cs="Arial"/>
          <w:color w:val="000000" w:themeColor="text1"/>
          <w:sz w:val="22"/>
          <w:szCs w:val="22"/>
        </w:rPr>
        <w:t xml:space="preserve"> and </w:t>
      </w:r>
      <w:r w:rsidR="000B7F82" w:rsidRPr="00F13C54">
        <w:rPr>
          <w:rFonts w:ascii="Arial" w:hAnsi="Arial" w:cs="Arial"/>
          <w:color w:val="000000" w:themeColor="text1"/>
          <w:sz w:val="22"/>
          <w:szCs w:val="22"/>
        </w:rPr>
        <w:t>quantitate them in a street sample.</w:t>
      </w:r>
    </w:p>
    <w:p w14:paraId="10017055" w14:textId="77777777" w:rsidR="000B7F82" w:rsidRPr="00F13C54" w:rsidRDefault="000B7F82" w:rsidP="0016122E">
      <w:pPr>
        <w:spacing w:line="360" w:lineRule="auto"/>
        <w:rPr>
          <w:rFonts w:ascii="Arial" w:hAnsi="Arial" w:cs="Arial"/>
          <w:b/>
          <w:bCs/>
          <w:color w:val="000000" w:themeColor="text1"/>
          <w:sz w:val="22"/>
          <w:szCs w:val="22"/>
        </w:rPr>
      </w:pPr>
    </w:p>
    <w:p w14:paraId="444D139B" w14:textId="41DF9277" w:rsidR="00866239" w:rsidRPr="00F13C54" w:rsidRDefault="009458BA" w:rsidP="0016122E">
      <w:pPr>
        <w:spacing w:line="360" w:lineRule="auto"/>
        <w:rPr>
          <w:rFonts w:ascii="Arial" w:hAnsi="Arial" w:cs="Arial"/>
          <w:b/>
          <w:bCs/>
          <w:color w:val="000000" w:themeColor="text1"/>
          <w:sz w:val="22"/>
          <w:szCs w:val="22"/>
        </w:rPr>
      </w:pPr>
      <w:r w:rsidRPr="00F13C54">
        <w:rPr>
          <w:rFonts w:ascii="Arial" w:hAnsi="Arial" w:cs="Arial"/>
          <w:b/>
          <w:bCs/>
          <w:color w:val="000000" w:themeColor="text1"/>
          <w:sz w:val="22"/>
          <w:szCs w:val="22"/>
        </w:rPr>
        <w:t xml:space="preserve">3.4 </w:t>
      </w:r>
      <w:r w:rsidR="00BD688A">
        <w:rPr>
          <w:rFonts w:ascii="Arial" w:hAnsi="Arial" w:cs="Arial"/>
          <w:b/>
          <w:bCs/>
          <w:color w:val="000000" w:themeColor="text1"/>
          <w:sz w:val="22"/>
          <w:szCs w:val="22"/>
        </w:rPr>
        <w:t>Accuracy</w:t>
      </w:r>
    </w:p>
    <w:p w14:paraId="2346B3AD" w14:textId="261A5AC1" w:rsidR="00866239" w:rsidRPr="00F13C54" w:rsidRDefault="004C45D5" w:rsidP="0016122E">
      <w:pPr>
        <w:spacing w:line="360" w:lineRule="auto"/>
        <w:jc w:val="both"/>
        <w:rPr>
          <w:rFonts w:ascii="Arial" w:hAnsi="Arial" w:cs="Arial"/>
          <w:color w:val="000000" w:themeColor="text1"/>
          <w:sz w:val="22"/>
          <w:szCs w:val="22"/>
        </w:rPr>
      </w:pPr>
      <w:r w:rsidRPr="00F13C54">
        <w:rPr>
          <w:rFonts w:ascii="Arial" w:hAnsi="Arial" w:cs="Arial"/>
          <w:color w:val="000000" w:themeColor="text1"/>
          <w:sz w:val="22"/>
          <w:szCs w:val="22"/>
        </w:rPr>
        <w:t>Ten replicate analyses were performed for each drug at each of three known concentrations and the percentage accuracy of th</w:t>
      </w:r>
      <w:r w:rsidR="003A2A60" w:rsidRPr="00F13C54">
        <w:rPr>
          <w:rFonts w:ascii="Arial" w:hAnsi="Arial" w:cs="Arial"/>
          <w:color w:val="000000" w:themeColor="text1"/>
          <w:sz w:val="22"/>
          <w:szCs w:val="22"/>
        </w:rPr>
        <w:t>e measurement determined</w:t>
      </w:r>
      <w:r w:rsidRPr="00F13C54">
        <w:rPr>
          <w:rFonts w:ascii="Arial" w:hAnsi="Arial" w:cs="Arial"/>
          <w:color w:val="000000" w:themeColor="text1"/>
          <w:sz w:val="22"/>
          <w:szCs w:val="22"/>
        </w:rPr>
        <w:t xml:space="preserve">. Accuracy figures </w:t>
      </w:r>
      <w:r w:rsidR="003A2A60" w:rsidRPr="00F13C54">
        <w:rPr>
          <w:rFonts w:ascii="Arial" w:hAnsi="Arial" w:cs="Arial"/>
          <w:color w:val="000000" w:themeColor="text1"/>
          <w:sz w:val="22"/>
          <w:szCs w:val="22"/>
        </w:rPr>
        <w:t xml:space="preserve">were found to </w:t>
      </w:r>
      <w:r w:rsidRPr="00F13C54">
        <w:rPr>
          <w:rFonts w:ascii="Arial" w:hAnsi="Arial" w:cs="Arial"/>
          <w:color w:val="000000" w:themeColor="text1"/>
          <w:sz w:val="22"/>
          <w:szCs w:val="22"/>
        </w:rPr>
        <w:t xml:space="preserve">lie between 82% and 112%. These lie between the limits of </w:t>
      </w:r>
      <w:r w:rsidR="000C1213" w:rsidRPr="00F13C54">
        <w:rPr>
          <w:rFonts w:ascii="Arial" w:hAnsi="Arial" w:cs="Arial"/>
          <w:color w:val="000000" w:themeColor="text1"/>
          <w:sz w:val="22"/>
          <w:szCs w:val="22"/>
        </w:rPr>
        <w:t>80</w:t>
      </w:r>
      <w:r w:rsidRPr="00F13C54">
        <w:rPr>
          <w:rFonts w:ascii="Arial" w:hAnsi="Arial" w:cs="Arial"/>
          <w:color w:val="000000" w:themeColor="text1"/>
          <w:sz w:val="22"/>
          <w:szCs w:val="22"/>
        </w:rPr>
        <w:t xml:space="preserve">% and </w:t>
      </w:r>
      <w:r w:rsidR="000C1213" w:rsidRPr="00F13C54">
        <w:rPr>
          <w:rFonts w:ascii="Arial" w:hAnsi="Arial" w:cs="Arial"/>
          <w:color w:val="000000" w:themeColor="text1"/>
          <w:sz w:val="22"/>
          <w:szCs w:val="22"/>
        </w:rPr>
        <w:t>120</w:t>
      </w:r>
      <w:r w:rsidRPr="00F13C54">
        <w:rPr>
          <w:rFonts w:ascii="Arial" w:hAnsi="Arial" w:cs="Arial"/>
          <w:color w:val="000000" w:themeColor="text1"/>
          <w:sz w:val="22"/>
          <w:szCs w:val="22"/>
        </w:rPr>
        <w:t>% and are therefore considered accurate, further validating the method</w:t>
      </w:r>
      <w:r w:rsidR="003773CF">
        <w:rPr>
          <w:rFonts w:ascii="Arial" w:hAnsi="Arial" w:cs="Arial"/>
          <w:color w:val="000000" w:themeColor="text1"/>
          <w:sz w:val="22"/>
          <w:szCs w:val="22"/>
          <w:vertAlign w:val="superscript"/>
        </w:rPr>
        <w:t>21-23</w:t>
      </w:r>
      <w:r w:rsidRPr="00F13C54">
        <w:rPr>
          <w:rFonts w:ascii="Arial" w:hAnsi="Arial" w:cs="Arial"/>
          <w:color w:val="000000" w:themeColor="text1"/>
          <w:sz w:val="22"/>
          <w:szCs w:val="22"/>
        </w:rPr>
        <w:t>.</w:t>
      </w:r>
      <w:r w:rsidR="00B60345" w:rsidRPr="00F13C54">
        <w:rPr>
          <w:rFonts w:ascii="Arial" w:hAnsi="Arial" w:cs="Arial"/>
          <w:color w:val="000000" w:themeColor="text1"/>
          <w:sz w:val="22"/>
          <w:szCs w:val="22"/>
        </w:rPr>
        <w:t xml:space="preserve"> </w:t>
      </w:r>
    </w:p>
    <w:p w14:paraId="4C19743D" w14:textId="078D13D7" w:rsidR="004C45D5" w:rsidRPr="00F13C54" w:rsidRDefault="004C45D5" w:rsidP="0016122E">
      <w:pPr>
        <w:spacing w:line="360" w:lineRule="auto"/>
        <w:rPr>
          <w:rFonts w:ascii="Arial" w:hAnsi="Arial" w:cs="Arial"/>
          <w:b/>
          <w:bCs/>
          <w:color w:val="000000" w:themeColor="text1"/>
          <w:sz w:val="22"/>
          <w:szCs w:val="22"/>
        </w:rPr>
      </w:pPr>
    </w:p>
    <w:p w14:paraId="026FDA53" w14:textId="019418DC" w:rsidR="0025065B" w:rsidRPr="0015368A" w:rsidRDefault="00896953" w:rsidP="0016122E">
      <w:pPr>
        <w:spacing w:line="360" w:lineRule="auto"/>
        <w:rPr>
          <w:rFonts w:ascii="Arial" w:hAnsi="Arial" w:cs="Arial"/>
          <w:b/>
          <w:bCs/>
          <w:color w:val="000000" w:themeColor="text1"/>
          <w:sz w:val="22"/>
          <w:szCs w:val="22"/>
        </w:rPr>
      </w:pPr>
      <w:r w:rsidRPr="00F13C54">
        <w:rPr>
          <w:rFonts w:ascii="Arial" w:hAnsi="Arial" w:cs="Arial"/>
          <w:b/>
          <w:bCs/>
          <w:color w:val="000000" w:themeColor="text1"/>
          <w:sz w:val="22"/>
          <w:szCs w:val="22"/>
        </w:rPr>
        <w:t xml:space="preserve">3.5 </w:t>
      </w:r>
      <w:r w:rsidRPr="0015368A">
        <w:rPr>
          <w:rFonts w:ascii="Arial" w:hAnsi="Arial" w:cs="Arial"/>
          <w:b/>
          <w:bCs/>
          <w:color w:val="000000" w:themeColor="text1"/>
          <w:sz w:val="22"/>
          <w:szCs w:val="22"/>
        </w:rPr>
        <w:t>Repeatability</w:t>
      </w:r>
      <w:r w:rsidR="00301A64" w:rsidRPr="0015368A">
        <w:rPr>
          <w:rFonts w:ascii="Arial" w:hAnsi="Arial" w:cs="Arial"/>
          <w:b/>
          <w:bCs/>
          <w:color w:val="000000" w:themeColor="text1"/>
          <w:sz w:val="22"/>
          <w:szCs w:val="22"/>
        </w:rPr>
        <w:t xml:space="preserve"> and </w:t>
      </w:r>
      <w:r w:rsidR="000629E7" w:rsidRPr="0015368A">
        <w:rPr>
          <w:rFonts w:ascii="Arial" w:hAnsi="Arial" w:cs="Arial"/>
          <w:b/>
          <w:bCs/>
          <w:color w:val="000000" w:themeColor="text1"/>
          <w:sz w:val="22"/>
          <w:szCs w:val="22"/>
        </w:rPr>
        <w:t>reproducibility</w:t>
      </w:r>
    </w:p>
    <w:p w14:paraId="0475BB5F" w14:textId="605F7D7A" w:rsidR="009A618B" w:rsidRPr="00F13C54" w:rsidRDefault="0025065B" w:rsidP="0016122E">
      <w:pPr>
        <w:spacing w:line="360" w:lineRule="auto"/>
        <w:jc w:val="both"/>
        <w:rPr>
          <w:rFonts w:ascii="Arial" w:hAnsi="Arial" w:cs="Arial"/>
          <w:color w:val="000000" w:themeColor="text1"/>
          <w:sz w:val="22"/>
          <w:szCs w:val="22"/>
        </w:rPr>
      </w:pPr>
      <w:r w:rsidRPr="0015368A">
        <w:rPr>
          <w:rFonts w:ascii="Arial" w:hAnsi="Arial" w:cs="Arial"/>
          <w:color w:val="000000" w:themeColor="text1"/>
          <w:sz w:val="22"/>
          <w:szCs w:val="22"/>
        </w:rPr>
        <w:t>Rep</w:t>
      </w:r>
      <w:r w:rsidRPr="00F13C54">
        <w:rPr>
          <w:rFonts w:ascii="Arial" w:hAnsi="Arial" w:cs="Arial"/>
          <w:color w:val="000000" w:themeColor="text1"/>
          <w:sz w:val="22"/>
          <w:szCs w:val="22"/>
        </w:rPr>
        <w:t xml:space="preserve">eatability was assessed through ten replicate </w:t>
      </w:r>
      <w:r w:rsidR="00BA1544" w:rsidRPr="00F13C54">
        <w:rPr>
          <w:rFonts w:ascii="Arial" w:hAnsi="Arial" w:cs="Arial"/>
          <w:color w:val="000000" w:themeColor="text1"/>
          <w:sz w:val="22"/>
          <w:szCs w:val="22"/>
        </w:rPr>
        <w:t xml:space="preserve">analyses </w:t>
      </w:r>
      <w:r w:rsidRPr="00F13C54">
        <w:rPr>
          <w:rFonts w:ascii="Arial" w:hAnsi="Arial" w:cs="Arial"/>
          <w:color w:val="000000" w:themeColor="text1"/>
          <w:sz w:val="22"/>
          <w:szCs w:val="22"/>
        </w:rPr>
        <w:t>of the drugs at each of three different concentrations.</w:t>
      </w:r>
      <w:r w:rsidR="003A2A60" w:rsidRPr="00F13C54">
        <w:rPr>
          <w:rFonts w:ascii="Arial" w:hAnsi="Arial" w:cs="Arial"/>
          <w:color w:val="000000" w:themeColor="text1"/>
          <w:sz w:val="22"/>
          <w:szCs w:val="22"/>
        </w:rPr>
        <w:t xml:space="preserve"> </w:t>
      </w:r>
      <w:r w:rsidRPr="00F13C54">
        <w:rPr>
          <w:rFonts w:ascii="Arial" w:hAnsi="Arial" w:cs="Arial"/>
          <w:color w:val="000000" w:themeColor="text1"/>
          <w:sz w:val="22"/>
          <w:szCs w:val="22"/>
        </w:rPr>
        <w:t>The relative standar</w:t>
      </w:r>
      <w:r w:rsidR="003A2A60" w:rsidRPr="00F13C54">
        <w:rPr>
          <w:rFonts w:ascii="Arial" w:hAnsi="Arial" w:cs="Arial"/>
          <w:color w:val="000000" w:themeColor="text1"/>
          <w:sz w:val="22"/>
          <w:szCs w:val="22"/>
        </w:rPr>
        <w:t xml:space="preserve">d deviation of all analyses </w:t>
      </w:r>
      <w:proofErr w:type="gramStart"/>
      <w:r w:rsidR="003A2A60" w:rsidRPr="00F13C54">
        <w:rPr>
          <w:rFonts w:ascii="Arial" w:hAnsi="Arial" w:cs="Arial"/>
          <w:color w:val="000000" w:themeColor="text1"/>
          <w:sz w:val="22"/>
          <w:szCs w:val="22"/>
        </w:rPr>
        <w:t>were</w:t>
      </w:r>
      <w:proofErr w:type="gramEnd"/>
      <w:r w:rsidR="003A2A60" w:rsidRPr="00F13C54">
        <w:rPr>
          <w:rFonts w:ascii="Arial" w:hAnsi="Arial" w:cs="Arial"/>
          <w:color w:val="000000" w:themeColor="text1"/>
          <w:sz w:val="22"/>
          <w:szCs w:val="22"/>
        </w:rPr>
        <w:t xml:space="preserve"> found to lie</w:t>
      </w:r>
      <w:r w:rsidRPr="00F13C54">
        <w:rPr>
          <w:rFonts w:ascii="Arial" w:hAnsi="Arial" w:cs="Arial"/>
          <w:color w:val="000000" w:themeColor="text1"/>
          <w:sz w:val="22"/>
          <w:szCs w:val="22"/>
        </w:rPr>
        <w:t xml:space="preserve"> below or at 15% (</w:t>
      </w:r>
      <w:r w:rsidR="008B23F2" w:rsidRPr="00F13C54">
        <w:rPr>
          <w:rFonts w:ascii="Arial" w:hAnsi="Arial" w:cs="Arial"/>
          <w:color w:val="000000" w:themeColor="text1"/>
          <w:sz w:val="22"/>
          <w:szCs w:val="22"/>
        </w:rPr>
        <w:t xml:space="preserve">with </w:t>
      </w:r>
      <w:r w:rsidR="00E0132D" w:rsidRPr="00F13C54">
        <w:rPr>
          <w:rFonts w:ascii="Arial" w:hAnsi="Arial" w:cs="Arial"/>
          <w:color w:val="000000" w:themeColor="text1"/>
          <w:sz w:val="22"/>
          <w:szCs w:val="22"/>
        </w:rPr>
        <w:t>nevirapine</w:t>
      </w:r>
      <w:r w:rsidR="008B23F2" w:rsidRPr="00F13C54">
        <w:rPr>
          <w:rFonts w:ascii="Arial" w:hAnsi="Arial" w:cs="Arial"/>
          <w:color w:val="000000" w:themeColor="text1"/>
          <w:sz w:val="22"/>
          <w:szCs w:val="22"/>
        </w:rPr>
        <w:t xml:space="preserve"> just above 15%</w:t>
      </w:r>
      <w:r w:rsidRPr="00F13C54">
        <w:rPr>
          <w:rFonts w:ascii="Arial" w:hAnsi="Arial" w:cs="Arial"/>
          <w:color w:val="000000" w:themeColor="text1"/>
          <w:sz w:val="22"/>
          <w:szCs w:val="22"/>
        </w:rPr>
        <w:t>, 0.01 mg/mL, RSD = 15.78%</w:t>
      </w:r>
      <w:r w:rsidR="008B23F2" w:rsidRPr="00F13C54">
        <w:rPr>
          <w:rFonts w:ascii="Arial" w:hAnsi="Arial" w:cs="Arial"/>
          <w:color w:val="000000" w:themeColor="text1"/>
          <w:sz w:val="22"/>
          <w:szCs w:val="22"/>
        </w:rPr>
        <w:t xml:space="preserve">) </w:t>
      </w:r>
      <w:r w:rsidRPr="00F13C54">
        <w:rPr>
          <w:rFonts w:ascii="Arial" w:hAnsi="Arial" w:cs="Arial"/>
          <w:color w:val="000000" w:themeColor="text1"/>
          <w:sz w:val="22"/>
          <w:szCs w:val="22"/>
        </w:rPr>
        <w:t>demonstrat</w:t>
      </w:r>
      <w:r w:rsidR="008B23F2" w:rsidRPr="00F13C54">
        <w:rPr>
          <w:rFonts w:ascii="Arial" w:hAnsi="Arial" w:cs="Arial"/>
          <w:color w:val="000000" w:themeColor="text1"/>
          <w:sz w:val="22"/>
          <w:szCs w:val="22"/>
        </w:rPr>
        <w:t>ing</w:t>
      </w:r>
      <w:r w:rsidRPr="00F13C54">
        <w:rPr>
          <w:rFonts w:ascii="Arial" w:hAnsi="Arial" w:cs="Arial"/>
          <w:color w:val="000000" w:themeColor="text1"/>
          <w:sz w:val="22"/>
          <w:szCs w:val="22"/>
        </w:rPr>
        <w:t xml:space="preserve"> that the method is repeatable</w:t>
      </w:r>
      <w:r w:rsidR="003773CF">
        <w:rPr>
          <w:rFonts w:ascii="Arial" w:hAnsi="Arial" w:cs="Arial"/>
          <w:color w:val="000000" w:themeColor="text1"/>
          <w:sz w:val="22"/>
          <w:szCs w:val="22"/>
          <w:vertAlign w:val="superscript"/>
        </w:rPr>
        <w:t>24,25</w:t>
      </w:r>
      <w:r w:rsidR="003A2A60" w:rsidRPr="00F13C54">
        <w:rPr>
          <w:rFonts w:ascii="Arial" w:hAnsi="Arial" w:cs="Arial"/>
          <w:color w:val="000000" w:themeColor="text1"/>
          <w:sz w:val="22"/>
          <w:szCs w:val="22"/>
        </w:rPr>
        <w:t>.</w:t>
      </w:r>
    </w:p>
    <w:p w14:paraId="0FE6AC70" w14:textId="147F8720" w:rsidR="00BA1544" w:rsidRPr="0015368A" w:rsidRDefault="00301A64" w:rsidP="0016122E">
      <w:pPr>
        <w:spacing w:line="360" w:lineRule="auto"/>
        <w:jc w:val="both"/>
        <w:rPr>
          <w:rFonts w:ascii="Arial" w:hAnsi="Arial" w:cs="Arial"/>
          <w:bCs/>
          <w:color w:val="000000" w:themeColor="text1"/>
          <w:sz w:val="22"/>
          <w:szCs w:val="22"/>
          <w:lang w:val="en-ZA"/>
        </w:rPr>
      </w:pPr>
      <w:r w:rsidRPr="0015368A">
        <w:rPr>
          <w:rFonts w:ascii="Arial" w:hAnsi="Arial" w:cs="Arial"/>
          <w:bCs/>
          <w:color w:val="000000" w:themeColor="text1"/>
          <w:sz w:val="22"/>
          <w:szCs w:val="22"/>
          <w:lang w:val="en-ZA"/>
        </w:rPr>
        <w:t xml:space="preserve">Reproducibility was assessed through five </w:t>
      </w:r>
      <w:r w:rsidR="00756946" w:rsidRPr="0015368A">
        <w:rPr>
          <w:rFonts w:ascii="Arial" w:hAnsi="Arial" w:cs="Arial"/>
          <w:bCs/>
          <w:color w:val="000000" w:themeColor="text1"/>
          <w:sz w:val="22"/>
          <w:szCs w:val="22"/>
          <w:lang w:val="en-ZA"/>
        </w:rPr>
        <w:t xml:space="preserve">replicate analyses of the drug standards. </w:t>
      </w:r>
      <w:r w:rsidRPr="0015368A">
        <w:rPr>
          <w:rFonts w:ascii="Arial" w:hAnsi="Arial" w:cs="Arial"/>
          <w:bCs/>
          <w:color w:val="000000" w:themeColor="text1"/>
          <w:sz w:val="22"/>
          <w:szCs w:val="22"/>
          <w:lang w:val="en-ZA"/>
        </w:rPr>
        <w:t xml:space="preserve">The </w:t>
      </w:r>
      <w:r w:rsidR="00756946" w:rsidRPr="0015368A">
        <w:rPr>
          <w:rFonts w:ascii="Arial" w:hAnsi="Arial" w:cs="Arial"/>
          <w:bCs/>
          <w:color w:val="000000" w:themeColor="text1"/>
          <w:sz w:val="22"/>
          <w:szCs w:val="22"/>
          <w:lang w:val="en-ZA"/>
        </w:rPr>
        <w:t>relative standard deviation</w:t>
      </w:r>
      <w:r w:rsidRPr="0015368A">
        <w:rPr>
          <w:rFonts w:ascii="Arial" w:hAnsi="Arial" w:cs="Arial"/>
          <w:bCs/>
          <w:color w:val="000000" w:themeColor="text1"/>
          <w:sz w:val="22"/>
          <w:szCs w:val="22"/>
          <w:lang w:val="en-ZA"/>
        </w:rPr>
        <w:t xml:space="preserve"> for both within-group and </w:t>
      </w:r>
      <w:r w:rsidR="00D53D3C" w:rsidRPr="0015368A">
        <w:rPr>
          <w:rFonts w:ascii="Arial" w:hAnsi="Arial" w:cs="Arial"/>
          <w:bCs/>
          <w:color w:val="000000" w:themeColor="text1"/>
          <w:sz w:val="22"/>
          <w:szCs w:val="22"/>
          <w:lang w:val="en-ZA"/>
        </w:rPr>
        <w:t xml:space="preserve">between </w:t>
      </w:r>
      <w:r w:rsidRPr="0015368A">
        <w:rPr>
          <w:rFonts w:ascii="Arial" w:hAnsi="Arial" w:cs="Arial"/>
          <w:bCs/>
          <w:color w:val="000000" w:themeColor="text1"/>
          <w:sz w:val="22"/>
          <w:szCs w:val="22"/>
          <w:lang w:val="en-ZA"/>
        </w:rPr>
        <w:t>group</w:t>
      </w:r>
      <w:r w:rsidR="00756946" w:rsidRPr="0015368A">
        <w:rPr>
          <w:rFonts w:ascii="Arial" w:hAnsi="Arial" w:cs="Arial"/>
          <w:bCs/>
          <w:color w:val="000000" w:themeColor="text1"/>
          <w:sz w:val="22"/>
          <w:szCs w:val="22"/>
          <w:lang w:val="en-ZA"/>
        </w:rPr>
        <w:t xml:space="preserve"> precision were found to lie below</w:t>
      </w:r>
      <w:r w:rsidR="00B61724" w:rsidRPr="0015368A">
        <w:rPr>
          <w:rFonts w:ascii="Arial" w:hAnsi="Arial" w:cs="Arial"/>
          <w:bCs/>
          <w:color w:val="000000" w:themeColor="text1"/>
          <w:sz w:val="22"/>
          <w:szCs w:val="22"/>
          <w:lang w:val="en-ZA"/>
        </w:rPr>
        <w:t xml:space="preserve"> 15%</w:t>
      </w:r>
      <w:r w:rsidR="00D53D3C" w:rsidRPr="0015368A">
        <w:rPr>
          <w:rFonts w:ascii="Arial" w:hAnsi="Arial" w:cs="Arial"/>
          <w:bCs/>
          <w:color w:val="000000" w:themeColor="text1"/>
          <w:sz w:val="22"/>
          <w:szCs w:val="22"/>
          <w:lang w:val="en-ZA"/>
        </w:rPr>
        <w:t xml:space="preserve"> (</w:t>
      </w:r>
      <w:r w:rsidR="00B61724" w:rsidRPr="0015368A">
        <w:rPr>
          <w:rFonts w:ascii="Arial" w:hAnsi="Arial" w:cs="Arial"/>
          <w:bCs/>
          <w:color w:val="000000" w:themeColor="text1"/>
          <w:sz w:val="22"/>
          <w:szCs w:val="22"/>
          <w:lang w:val="en-ZA"/>
        </w:rPr>
        <w:t xml:space="preserve">with caffeine and nevirapine </w:t>
      </w:r>
      <w:r w:rsidR="00947BAB" w:rsidRPr="0015368A">
        <w:rPr>
          <w:rFonts w:ascii="Arial" w:hAnsi="Arial" w:cs="Arial"/>
          <w:bCs/>
          <w:color w:val="000000" w:themeColor="text1"/>
          <w:sz w:val="22"/>
          <w:szCs w:val="22"/>
          <w:lang w:val="en-ZA"/>
        </w:rPr>
        <w:t xml:space="preserve">just above 15%, </w:t>
      </w:r>
      <w:r w:rsidR="00D53D3C" w:rsidRPr="0015368A">
        <w:rPr>
          <w:rFonts w:ascii="Arial" w:hAnsi="Arial" w:cs="Arial"/>
          <w:bCs/>
          <w:color w:val="000000" w:themeColor="text1"/>
          <w:sz w:val="22"/>
          <w:szCs w:val="22"/>
          <w:lang w:val="en-ZA"/>
        </w:rPr>
        <w:t>0.01 mg/mL</w:t>
      </w:r>
      <w:r w:rsidR="00947BAB" w:rsidRPr="0015368A">
        <w:rPr>
          <w:rFonts w:ascii="Arial" w:hAnsi="Arial" w:cs="Arial"/>
          <w:bCs/>
          <w:color w:val="000000" w:themeColor="text1"/>
          <w:sz w:val="22"/>
          <w:szCs w:val="22"/>
          <w:lang w:val="en-ZA"/>
        </w:rPr>
        <w:t>, RSD = 15.01% and 15.19% respectively</w:t>
      </w:r>
      <w:r w:rsidR="00D53D3C" w:rsidRPr="0015368A">
        <w:rPr>
          <w:rFonts w:ascii="Arial" w:hAnsi="Arial" w:cs="Arial"/>
          <w:bCs/>
          <w:color w:val="000000" w:themeColor="text1"/>
          <w:sz w:val="22"/>
          <w:szCs w:val="22"/>
          <w:lang w:val="en-ZA"/>
        </w:rPr>
        <w:t>)</w:t>
      </w:r>
      <w:r w:rsidR="00756946" w:rsidRPr="0015368A">
        <w:rPr>
          <w:rFonts w:ascii="Arial" w:hAnsi="Arial" w:cs="Arial"/>
          <w:bCs/>
          <w:color w:val="000000" w:themeColor="text1"/>
          <w:sz w:val="22"/>
          <w:szCs w:val="22"/>
          <w:lang w:val="en-ZA"/>
        </w:rPr>
        <w:t xml:space="preserve"> demonstrating that the method is reproducible</w:t>
      </w:r>
      <w:r w:rsidR="00F16A30" w:rsidRPr="0015368A">
        <w:rPr>
          <w:rFonts w:ascii="Arial" w:hAnsi="Arial" w:cs="Arial"/>
          <w:bCs/>
          <w:color w:val="000000" w:themeColor="text1"/>
          <w:sz w:val="22"/>
          <w:szCs w:val="22"/>
          <w:vertAlign w:val="superscript"/>
          <w:lang w:val="en-ZA"/>
        </w:rPr>
        <w:t>15,21</w:t>
      </w:r>
      <w:r w:rsidR="005F09FC" w:rsidRPr="0015368A">
        <w:rPr>
          <w:rFonts w:ascii="Arial" w:hAnsi="Arial" w:cs="Arial"/>
          <w:bCs/>
          <w:color w:val="000000" w:themeColor="text1"/>
          <w:sz w:val="22"/>
          <w:szCs w:val="22"/>
          <w:vertAlign w:val="superscript"/>
          <w:lang w:val="en-ZA"/>
        </w:rPr>
        <w:t>,22</w:t>
      </w:r>
      <w:r w:rsidR="00756946" w:rsidRPr="0015368A">
        <w:rPr>
          <w:rFonts w:ascii="Arial" w:hAnsi="Arial" w:cs="Arial"/>
          <w:bCs/>
          <w:color w:val="000000" w:themeColor="text1"/>
          <w:sz w:val="22"/>
          <w:szCs w:val="22"/>
          <w:lang w:val="en-ZA"/>
        </w:rPr>
        <w:t xml:space="preserve">. </w:t>
      </w:r>
    </w:p>
    <w:p w14:paraId="5A68992F" w14:textId="77777777" w:rsidR="00756946" w:rsidRPr="00301A64" w:rsidRDefault="00756946" w:rsidP="0016122E">
      <w:pPr>
        <w:spacing w:line="360" w:lineRule="auto"/>
        <w:jc w:val="both"/>
        <w:rPr>
          <w:rFonts w:ascii="Arial" w:hAnsi="Arial" w:cs="Arial"/>
          <w:bCs/>
          <w:color w:val="000000" w:themeColor="text1"/>
          <w:sz w:val="22"/>
          <w:szCs w:val="22"/>
        </w:rPr>
      </w:pPr>
    </w:p>
    <w:p w14:paraId="03ECC5EE" w14:textId="7F7F0F5D" w:rsidR="00F13C54" w:rsidRPr="00F13C54" w:rsidRDefault="00231929" w:rsidP="0016122E">
      <w:pPr>
        <w:spacing w:line="360" w:lineRule="auto"/>
        <w:jc w:val="both"/>
        <w:rPr>
          <w:rFonts w:ascii="Arial" w:hAnsi="Arial" w:cs="Arial"/>
          <w:color w:val="000000" w:themeColor="text1"/>
          <w:sz w:val="22"/>
          <w:szCs w:val="22"/>
        </w:rPr>
      </w:pPr>
      <w:proofErr w:type="gramStart"/>
      <w:r w:rsidRPr="00F13C54">
        <w:rPr>
          <w:rFonts w:ascii="Arial" w:hAnsi="Arial" w:cs="Arial"/>
          <w:color w:val="000000" w:themeColor="text1"/>
          <w:sz w:val="22"/>
          <w:szCs w:val="22"/>
        </w:rPr>
        <w:t>On the basis of</w:t>
      </w:r>
      <w:proofErr w:type="gramEnd"/>
      <w:r w:rsidRPr="00F13C54">
        <w:rPr>
          <w:rFonts w:ascii="Arial" w:hAnsi="Arial" w:cs="Arial"/>
          <w:color w:val="000000" w:themeColor="text1"/>
          <w:sz w:val="22"/>
          <w:szCs w:val="22"/>
        </w:rPr>
        <w:t xml:space="preserve"> the data described above, and the recommendation of the UNODC that cannabis and </w:t>
      </w:r>
      <w:r w:rsidR="005226A6" w:rsidRPr="00F13C54">
        <w:rPr>
          <w:rFonts w:ascii="Arial" w:hAnsi="Arial" w:cs="Arial"/>
          <w:color w:val="000000" w:themeColor="text1"/>
          <w:sz w:val="22"/>
          <w:szCs w:val="22"/>
        </w:rPr>
        <w:t>heroin</w:t>
      </w:r>
      <w:r w:rsidRPr="00F13C54">
        <w:rPr>
          <w:rFonts w:ascii="Arial" w:hAnsi="Arial" w:cs="Arial"/>
          <w:color w:val="000000" w:themeColor="text1"/>
          <w:sz w:val="22"/>
          <w:szCs w:val="22"/>
        </w:rPr>
        <w:t xml:space="preserve"> can be analysed by GC-MS, without derivatisation</w:t>
      </w:r>
      <w:r w:rsidR="00F16A30">
        <w:rPr>
          <w:rFonts w:ascii="Arial" w:hAnsi="Arial" w:cs="Arial"/>
          <w:color w:val="000000" w:themeColor="text1"/>
          <w:sz w:val="22"/>
          <w:szCs w:val="22"/>
          <w:vertAlign w:val="superscript"/>
        </w:rPr>
        <w:t>19,26</w:t>
      </w:r>
      <w:r w:rsidRPr="00F13C54">
        <w:rPr>
          <w:rFonts w:ascii="Arial" w:hAnsi="Arial" w:cs="Arial"/>
          <w:color w:val="000000" w:themeColor="text1"/>
          <w:sz w:val="22"/>
          <w:szCs w:val="22"/>
        </w:rPr>
        <w:t xml:space="preserve">, the method was deemed suitable for the analysis of the principal drug types in </w:t>
      </w:r>
      <w:proofErr w:type="spellStart"/>
      <w:r w:rsidRPr="00F13C54">
        <w:rPr>
          <w:rFonts w:ascii="Arial" w:hAnsi="Arial" w:cs="Arial"/>
          <w:color w:val="000000" w:themeColor="text1"/>
          <w:sz w:val="22"/>
          <w:szCs w:val="22"/>
        </w:rPr>
        <w:t>nyaope</w:t>
      </w:r>
      <w:proofErr w:type="spellEnd"/>
      <w:r w:rsidRPr="00F13C54">
        <w:rPr>
          <w:rFonts w:ascii="Arial" w:hAnsi="Arial" w:cs="Arial"/>
          <w:color w:val="000000" w:themeColor="text1"/>
          <w:sz w:val="22"/>
          <w:szCs w:val="22"/>
        </w:rPr>
        <w:t>.</w:t>
      </w:r>
    </w:p>
    <w:p w14:paraId="4C6C0DC0" w14:textId="07E307BC" w:rsidR="003744BD" w:rsidRPr="00BD688A" w:rsidRDefault="00CC4B95" w:rsidP="0016122E">
      <w:pPr>
        <w:spacing w:line="360" w:lineRule="auto"/>
        <w:rPr>
          <w:rFonts w:ascii="Arial" w:hAnsi="Arial" w:cs="Arial"/>
          <w:b/>
          <w:bCs/>
          <w:color w:val="000000" w:themeColor="text1"/>
          <w:sz w:val="22"/>
          <w:szCs w:val="22"/>
        </w:rPr>
      </w:pPr>
      <w:r w:rsidRPr="00F13C54">
        <w:rPr>
          <w:rFonts w:ascii="Arial" w:hAnsi="Arial" w:cs="Arial"/>
          <w:b/>
          <w:bCs/>
          <w:color w:val="000000" w:themeColor="text1"/>
          <w:sz w:val="22"/>
          <w:szCs w:val="22"/>
        </w:rPr>
        <w:t xml:space="preserve">3.6 </w:t>
      </w:r>
      <w:proofErr w:type="spellStart"/>
      <w:r w:rsidR="00FF23E6" w:rsidRPr="00F13C54">
        <w:rPr>
          <w:rFonts w:ascii="Arial" w:hAnsi="Arial" w:cs="Arial"/>
          <w:b/>
          <w:bCs/>
          <w:color w:val="000000" w:themeColor="text1"/>
          <w:sz w:val="22"/>
          <w:szCs w:val="22"/>
        </w:rPr>
        <w:t>Nyaope</w:t>
      </w:r>
      <w:proofErr w:type="spellEnd"/>
      <w:r w:rsidR="00FF23E6" w:rsidRPr="00F13C54">
        <w:rPr>
          <w:rFonts w:ascii="Arial" w:hAnsi="Arial" w:cs="Arial"/>
          <w:b/>
          <w:bCs/>
          <w:color w:val="000000" w:themeColor="text1"/>
          <w:sz w:val="22"/>
          <w:szCs w:val="22"/>
        </w:rPr>
        <w:t xml:space="preserve"> s</w:t>
      </w:r>
      <w:r w:rsidR="00BD688A">
        <w:rPr>
          <w:rFonts w:ascii="Arial" w:hAnsi="Arial" w:cs="Arial"/>
          <w:b/>
          <w:bCs/>
          <w:color w:val="000000" w:themeColor="text1"/>
          <w:sz w:val="22"/>
          <w:szCs w:val="22"/>
        </w:rPr>
        <w:t>ample profiling and comparison.</w:t>
      </w:r>
    </w:p>
    <w:p w14:paraId="227E08F4" w14:textId="28A18013" w:rsidR="00D272CD" w:rsidRDefault="00D272CD" w:rsidP="0016122E">
      <w:pPr>
        <w:spacing w:line="360" w:lineRule="auto"/>
        <w:jc w:val="both"/>
        <w:rPr>
          <w:rFonts w:ascii="Arial" w:hAnsi="Arial" w:cs="Arial"/>
          <w:color w:val="000000" w:themeColor="text1"/>
          <w:sz w:val="22"/>
          <w:szCs w:val="22"/>
          <w:lang w:val="en-ZA"/>
        </w:rPr>
      </w:pPr>
      <w:r w:rsidRPr="00F13C54">
        <w:rPr>
          <w:rFonts w:ascii="Arial" w:hAnsi="Arial" w:cs="Arial"/>
          <w:color w:val="000000" w:themeColor="text1"/>
          <w:sz w:val="22"/>
          <w:szCs w:val="22"/>
        </w:rPr>
        <w:t>Each of the simulated samples was analysed after 0, 24, 48 and 72 hours</w:t>
      </w:r>
      <w:r w:rsidR="004F679E" w:rsidRPr="00F13C54">
        <w:rPr>
          <w:rFonts w:ascii="Arial" w:hAnsi="Arial" w:cs="Arial"/>
          <w:color w:val="000000" w:themeColor="text1"/>
          <w:sz w:val="22"/>
          <w:szCs w:val="22"/>
        </w:rPr>
        <w:t>. T</w:t>
      </w:r>
      <w:r w:rsidR="004F679E" w:rsidRPr="00F13C54">
        <w:rPr>
          <w:rFonts w:ascii="Arial" w:hAnsi="Arial" w:cs="Arial"/>
          <w:color w:val="000000" w:themeColor="text1"/>
          <w:sz w:val="22"/>
          <w:szCs w:val="22"/>
          <w:lang w:val="en-ZA"/>
        </w:rPr>
        <w:t>he average peak area ratio (PAR) was determined for</w:t>
      </w:r>
      <w:r w:rsidR="009A618B" w:rsidRPr="00F13C54">
        <w:rPr>
          <w:rFonts w:ascii="Arial" w:hAnsi="Arial" w:cs="Arial"/>
          <w:color w:val="000000" w:themeColor="text1"/>
          <w:sz w:val="22"/>
          <w:szCs w:val="22"/>
          <w:lang w:val="en-ZA"/>
        </w:rPr>
        <w:t xml:space="preserve"> each of the</w:t>
      </w:r>
      <w:r w:rsidR="004F679E" w:rsidRPr="00F13C54">
        <w:rPr>
          <w:rFonts w:ascii="Arial" w:hAnsi="Arial" w:cs="Arial"/>
          <w:color w:val="000000" w:themeColor="text1"/>
          <w:sz w:val="22"/>
          <w:szCs w:val="22"/>
          <w:lang w:val="en-ZA"/>
        </w:rPr>
        <w:t xml:space="preserve"> simulated samples.</w:t>
      </w:r>
      <w:r w:rsidR="004F679E" w:rsidRPr="00F13C54">
        <w:rPr>
          <w:rFonts w:ascii="Arial" w:eastAsia="Calibri" w:hAnsi="Arial" w:cs="Arial"/>
          <w:color w:val="000000" w:themeColor="text1"/>
          <w:sz w:val="22"/>
          <w:szCs w:val="22"/>
          <w:lang w:val="en-ZA"/>
        </w:rPr>
        <w:t xml:space="preserve"> </w:t>
      </w:r>
      <w:r w:rsidR="004F679E" w:rsidRPr="00F13C54">
        <w:rPr>
          <w:rFonts w:ascii="Arial" w:hAnsi="Arial" w:cs="Arial"/>
          <w:color w:val="000000" w:themeColor="text1"/>
          <w:sz w:val="22"/>
          <w:szCs w:val="22"/>
          <w:lang w:val="en-ZA"/>
        </w:rPr>
        <w:t xml:space="preserve">The ANOVA statistical analysis </w:t>
      </w:r>
      <w:r w:rsidR="006810A9" w:rsidRPr="00F13C54">
        <w:rPr>
          <w:rFonts w:ascii="Arial" w:hAnsi="Arial" w:cs="Arial"/>
          <w:color w:val="000000" w:themeColor="text1"/>
          <w:sz w:val="22"/>
          <w:szCs w:val="22"/>
          <w:lang w:val="en-ZA"/>
        </w:rPr>
        <w:t xml:space="preserve">of one of the samples </w:t>
      </w:r>
      <w:r w:rsidR="004F679E" w:rsidRPr="00F13C54">
        <w:rPr>
          <w:rFonts w:ascii="Arial" w:hAnsi="Arial" w:cs="Arial"/>
          <w:color w:val="000000" w:themeColor="text1"/>
          <w:sz w:val="22"/>
          <w:szCs w:val="22"/>
          <w:lang w:val="en-ZA"/>
        </w:rPr>
        <w:t xml:space="preserve">gave </w:t>
      </w:r>
      <w:proofErr w:type="spellStart"/>
      <w:r w:rsidR="004F679E" w:rsidRPr="00F13C54">
        <w:rPr>
          <w:rFonts w:ascii="Arial" w:hAnsi="Arial" w:cs="Arial"/>
          <w:color w:val="000000" w:themeColor="text1"/>
          <w:sz w:val="22"/>
          <w:szCs w:val="22"/>
          <w:lang w:val="en-ZA"/>
        </w:rPr>
        <w:t>F</w:t>
      </w:r>
      <w:r w:rsidR="004F679E" w:rsidRPr="00F13C54">
        <w:rPr>
          <w:rFonts w:ascii="Arial" w:hAnsi="Arial" w:cs="Arial"/>
          <w:color w:val="000000" w:themeColor="text1"/>
          <w:sz w:val="22"/>
          <w:szCs w:val="22"/>
          <w:vertAlign w:val="subscript"/>
          <w:lang w:val="en-ZA"/>
        </w:rPr>
        <w:t>calc</w:t>
      </w:r>
      <w:proofErr w:type="spellEnd"/>
      <w:r w:rsidR="004F679E" w:rsidRPr="00F13C54">
        <w:rPr>
          <w:rFonts w:ascii="Arial" w:hAnsi="Arial" w:cs="Arial"/>
          <w:color w:val="000000" w:themeColor="text1"/>
          <w:sz w:val="22"/>
          <w:szCs w:val="22"/>
          <w:lang w:val="en-ZA"/>
        </w:rPr>
        <w:t xml:space="preserve"> = 0.0106 &lt; </w:t>
      </w:r>
      <w:proofErr w:type="spellStart"/>
      <w:r w:rsidR="004F679E" w:rsidRPr="00F13C54">
        <w:rPr>
          <w:rFonts w:ascii="Arial" w:hAnsi="Arial" w:cs="Arial"/>
          <w:color w:val="000000" w:themeColor="text1"/>
          <w:sz w:val="22"/>
          <w:szCs w:val="22"/>
          <w:lang w:val="en-ZA"/>
        </w:rPr>
        <w:t>F</w:t>
      </w:r>
      <w:r w:rsidR="004F679E" w:rsidRPr="00F13C54">
        <w:rPr>
          <w:rFonts w:ascii="Arial" w:hAnsi="Arial" w:cs="Arial"/>
          <w:color w:val="000000" w:themeColor="text1"/>
          <w:sz w:val="22"/>
          <w:szCs w:val="22"/>
          <w:vertAlign w:val="subscript"/>
          <w:lang w:val="en-ZA"/>
        </w:rPr>
        <w:t>crit</w:t>
      </w:r>
      <w:proofErr w:type="spellEnd"/>
      <w:r w:rsidR="004F679E" w:rsidRPr="00F13C54">
        <w:rPr>
          <w:rFonts w:ascii="Arial" w:hAnsi="Arial" w:cs="Arial"/>
          <w:color w:val="000000" w:themeColor="text1"/>
          <w:sz w:val="22"/>
          <w:szCs w:val="22"/>
          <w:lang w:val="en-ZA"/>
        </w:rPr>
        <w:t xml:space="preserve"> = 2.798 demonstrating that there </w:t>
      </w:r>
      <w:proofErr w:type="gramStart"/>
      <w:r w:rsidR="004F679E" w:rsidRPr="00F13C54">
        <w:rPr>
          <w:rFonts w:ascii="Arial" w:hAnsi="Arial" w:cs="Arial"/>
          <w:color w:val="000000" w:themeColor="text1"/>
          <w:sz w:val="22"/>
          <w:szCs w:val="22"/>
          <w:lang w:val="en-ZA"/>
        </w:rPr>
        <w:t>were</w:t>
      </w:r>
      <w:proofErr w:type="gramEnd"/>
      <w:r w:rsidR="004F679E" w:rsidRPr="00F13C54">
        <w:rPr>
          <w:rFonts w:ascii="Arial" w:hAnsi="Arial" w:cs="Arial"/>
          <w:color w:val="000000" w:themeColor="text1"/>
          <w:sz w:val="22"/>
          <w:szCs w:val="22"/>
          <w:lang w:val="en-ZA"/>
        </w:rPr>
        <w:t xml:space="preserve"> no significant difference</w:t>
      </w:r>
      <w:r w:rsidR="009A618B" w:rsidRPr="00F13C54">
        <w:rPr>
          <w:rFonts w:ascii="Arial" w:hAnsi="Arial" w:cs="Arial"/>
          <w:color w:val="000000" w:themeColor="text1"/>
          <w:sz w:val="22"/>
          <w:szCs w:val="22"/>
          <w:lang w:val="en-ZA"/>
        </w:rPr>
        <w:t xml:space="preserve"> between the PAR over the 72 hours.</w:t>
      </w:r>
      <w:r w:rsidR="004F679E" w:rsidRPr="00F13C54">
        <w:rPr>
          <w:rFonts w:ascii="Arial" w:hAnsi="Arial" w:cs="Arial"/>
          <w:color w:val="000000" w:themeColor="text1"/>
          <w:sz w:val="22"/>
          <w:szCs w:val="22"/>
          <w:lang w:val="en-ZA"/>
        </w:rPr>
        <w:t xml:space="preserve">  </w:t>
      </w:r>
      <w:r w:rsidRPr="00F13C54">
        <w:rPr>
          <w:rFonts w:ascii="Arial" w:hAnsi="Arial" w:cs="Arial"/>
          <w:color w:val="000000" w:themeColor="text1"/>
          <w:sz w:val="22"/>
          <w:szCs w:val="22"/>
        </w:rPr>
        <w:t xml:space="preserve"> Retention time data is provided in</w:t>
      </w:r>
      <w:r w:rsidR="00A31154" w:rsidRPr="0015368A">
        <w:rPr>
          <w:rFonts w:ascii="Arial" w:hAnsi="Arial" w:cs="Arial"/>
          <w:color w:val="000000" w:themeColor="text1"/>
          <w:sz w:val="22"/>
          <w:szCs w:val="22"/>
        </w:rPr>
        <w:t xml:space="preserve"> Table 3</w:t>
      </w:r>
      <w:r w:rsidR="009C16D6" w:rsidRPr="0015368A">
        <w:rPr>
          <w:rFonts w:ascii="Arial" w:hAnsi="Arial" w:cs="Arial"/>
          <w:color w:val="000000" w:themeColor="text1"/>
          <w:sz w:val="22"/>
          <w:szCs w:val="22"/>
        </w:rPr>
        <w:t>.</w:t>
      </w:r>
      <w:r w:rsidR="009C16D6">
        <w:rPr>
          <w:rFonts w:ascii="Arial" w:hAnsi="Arial" w:cs="Arial"/>
          <w:color w:val="000000" w:themeColor="text1"/>
          <w:sz w:val="22"/>
          <w:szCs w:val="22"/>
        </w:rPr>
        <w:t xml:space="preserve"> </w:t>
      </w:r>
      <w:r w:rsidRPr="00F13C54">
        <w:rPr>
          <w:rFonts w:ascii="Arial" w:hAnsi="Arial" w:cs="Arial"/>
          <w:color w:val="000000" w:themeColor="text1"/>
          <w:sz w:val="22"/>
          <w:szCs w:val="22"/>
        </w:rPr>
        <w:t xml:space="preserve"> </w:t>
      </w:r>
      <w:r w:rsidR="006810A9" w:rsidRPr="00F13C54">
        <w:rPr>
          <w:rFonts w:ascii="Arial" w:eastAsia="Calibri" w:hAnsi="Arial" w:cs="Arial"/>
          <w:color w:val="000000" w:themeColor="text1"/>
          <w:sz w:val="22"/>
          <w:szCs w:val="22"/>
          <w:lang w:val="en-ZA"/>
        </w:rPr>
        <w:t xml:space="preserve">Pooled average response ratios for each of the batches were determined by averaging the PAR at t = 0, 24, 48 and 72 hours.  ANOVA statistical analysis sample of the samples from </w:t>
      </w:r>
      <w:proofErr w:type="gramStart"/>
      <w:r w:rsidR="006810A9" w:rsidRPr="0015368A">
        <w:rPr>
          <w:rFonts w:ascii="Arial" w:eastAsia="Calibri" w:hAnsi="Arial" w:cs="Arial"/>
          <w:color w:val="000000" w:themeColor="text1"/>
          <w:sz w:val="22"/>
          <w:szCs w:val="22"/>
          <w:lang w:val="en-ZA"/>
        </w:rPr>
        <w:t xml:space="preserve">one </w:t>
      </w:r>
      <w:r w:rsidR="0021696F" w:rsidRPr="0015368A">
        <w:rPr>
          <w:rFonts w:ascii="Arial" w:eastAsia="Calibri" w:hAnsi="Arial" w:cs="Arial"/>
          <w:color w:val="000000" w:themeColor="text1"/>
          <w:sz w:val="22"/>
          <w:szCs w:val="22"/>
          <w:lang w:val="en-ZA"/>
        </w:rPr>
        <w:t xml:space="preserve"> of</w:t>
      </w:r>
      <w:proofErr w:type="gramEnd"/>
      <w:r w:rsidR="0021696F" w:rsidRPr="0015368A">
        <w:rPr>
          <w:rFonts w:ascii="Arial" w:eastAsia="Calibri" w:hAnsi="Arial" w:cs="Arial"/>
          <w:color w:val="000000" w:themeColor="text1"/>
          <w:sz w:val="22"/>
          <w:szCs w:val="22"/>
          <w:lang w:val="en-ZA"/>
        </w:rPr>
        <w:t xml:space="preserve"> </w:t>
      </w:r>
      <w:r w:rsidR="006810A9" w:rsidRPr="0015368A">
        <w:rPr>
          <w:rFonts w:ascii="Arial" w:eastAsia="Calibri" w:hAnsi="Arial" w:cs="Arial"/>
          <w:color w:val="000000" w:themeColor="text1"/>
          <w:sz w:val="22"/>
          <w:szCs w:val="22"/>
          <w:lang w:val="en-ZA"/>
        </w:rPr>
        <w:t xml:space="preserve">the batches </w:t>
      </w:r>
      <w:r w:rsidR="006810A9" w:rsidRPr="00F13C54">
        <w:rPr>
          <w:rFonts w:ascii="Arial" w:eastAsia="Calibri" w:hAnsi="Arial" w:cs="Arial"/>
          <w:color w:val="000000" w:themeColor="text1"/>
          <w:sz w:val="22"/>
          <w:szCs w:val="22"/>
          <w:lang w:val="en-ZA"/>
        </w:rPr>
        <w:t xml:space="preserve">using the F-test (single factor) gave </w:t>
      </w:r>
      <w:proofErr w:type="spellStart"/>
      <w:r w:rsidR="006810A9" w:rsidRPr="00F13C54">
        <w:rPr>
          <w:rFonts w:ascii="Arial" w:eastAsia="Calibri" w:hAnsi="Arial" w:cs="Arial"/>
          <w:color w:val="000000" w:themeColor="text1"/>
          <w:sz w:val="22"/>
          <w:szCs w:val="22"/>
          <w:lang w:val="en-ZA"/>
        </w:rPr>
        <w:t>F</w:t>
      </w:r>
      <w:r w:rsidR="006810A9" w:rsidRPr="00F13C54">
        <w:rPr>
          <w:rFonts w:ascii="Arial" w:eastAsia="Calibri" w:hAnsi="Arial" w:cs="Arial"/>
          <w:color w:val="000000" w:themeColor="text1"/>
          <w:sz w:val="22"/>
          <w:szCs w:val="22"/>
          <w:vertAlign w:val="subscript"/>
          <w:lang w:val="en-ZA"/>
        </w:rPr>
        <w:t>calc</w:t>
      </w:r>
      <w:proofErr w:type="spellEnd"/>
      <w:r w:rsidR="006810A9" w:rsidRPr="00F13C54">
        <w:rPr>
          <w:rFonts w:ascii="Arial" w:eastAsia="Calibri" w:hAnsi="Arial" w:cs="Arial"/>
          <w:color w:val="000000" w:themeColor="text1"/>
          <w:sz w:val="22"/>
          <w:szCs w:val="22"/>
          <w:lang w:val="en-ZA"/>
        </w:rPr>
        <w:t xml:space="preserve"> = 0.0268 &lt; </w:t>
      </w:r>
      <w:proofErr w:type="spellStart"/>
      <w:r w:rsidR="006810A9" w:rsidRPr="00F13C54">
        <w:rPr>
          <w:rFonts w:ascii="Arial" w:eastAsia="Calibri" w:hAnsi="Arial" w:cs="Arial"/>
          <w:color w:val="000000" w:themeColor="text1"/>
          <w:sz w:val="22"/>
          <w:szCs w:val="22"/>
          <w:lang w:val="en-ZA"/>
        </w:rPr>
        <w:t>F</w:t>
      </w:r>
      <w:r w:rsidR="006810A9" w:rsidRPr="00F13C54">
        <w:rPr>
          <w:rFonts w:ascii="Arial" w:eastAsia="Calibri" w:hAnsi="Arial" w:cs="Arial"/>
          <w:color w:val="000000" w:themeColor="text1"/>
          <w:sz w:val="22"/>
          <w:szCs w:val="22"/>
          <w:vertAlign w:val="subscript"/>
          <w:lang w:val="en-ZA"/>
        </w:rPr>
        <w:t>crit</w:t>
      </w:r>
      <w:proofErr w:type="spellEnd"/>
      <w:r w:rsidR="006810A9" w:rsidRPr="00F13C54">
        <w:rPr>
          <w:rFonts w:ascii="Arial" w:eastAsia="Calibri" w:hAnsi="Arial" w:cs="Arial"/>
          <w:color w:val="000000" w:themeColor="text1"/>
          <w:sz w:val="22"/>
          <w:szCs w:val="22"/>
          <w:lang w:val="en-ZA"/>
        </w:rPr>
        <w:t xml:space="preserve"> = 2.342</w:t>
      </w:r>
      <w:r w:rsidR="006810A9" w:rsidRPr="00F13C54">
        <w:rPr>
          <w:rFonts w:ascii="Arial" w:hAnsi="Arial" w:cs="Arial"/>
          <w:color w:val="000000" w:themeColor="text1"/>
          <w:sz w:val="22"/>
          <w:szCs w:val="22"/>
          <w:lang w:val="en-ZA"/>
        </w:rPr>
        <w:t xml:space="preserve"> demonstrating that there were no significant difference amongst the peak area ratios for the samples belonging to the same batch over the 72 hours autosampler storage.</w:t>
      </w:r>
    </w:p>
    <w:p w14:paraId="22683CC6" w14:textId="77777777" w:rsidR="003A2A60" w:rsidRPr="00F13C54" w:rsidRDefault="003A2A60" w:rsidP="0016122E">
      <w:pPr>
        <w:spacing w:line="360" w:lineRule="auto"/>
        <w:jc w:val="both"/>
        <w:rPr>
          <w:rFonts w:ascii="Arial" w:hAnsi="Arial" w:cs="Arial"/>
          <w:color w:val="000000" w:themeColor="text1"/>
          <w:sz w:val="22"/>
          <w:szCs w:val="22"/>
        </w:rPr>
      </w:pPr>
    </w:p>
    <w:p w14:paraId="57F4A35F" w14:textId="2FEE8F66" w:rsidR="0060260A" w:rsidRPr="00F13C54" w:rsidRDefault="00A31154" w:rsidP="0016122E">
      <w:pPr>
        <w:spacing w:line="360" w:lineRule="auto"/>
        <w:jc w:val="both"/>
        <w:rPr>
          <w:rFonts w:ascii="Arial" w:hAnsi="Arial" w:cs="Arial"/>
          <w:b/>
          <w:bCs/>
          <w:color w:val="000000" w:themeColor="text1"/>
          <w:sz w:val="20"/>
          <w:szCs w:val="20"/>
        </w:rPr>
      </w:pPr>
      <w:r w:rsidRPr="0015368A">
        <w:rPr>
          <w:rFonts w:ascii="Arial" w:hAnsi="Arial" w:cs="Arial"/>
          <w:b/>
          <w:bCs/>
          <w:color w:val="000000" w:themeColor="text1"/>
          <w:sz w:val="20"/>
          <w:szCs w:val="20"/>
        </w:rPr>
        <w:t>Table 3</w:t>
      </w:r>
      <w:r w:rsidR="00CC4B95" w:rsidRPr="0015368A">
        <w:rPr>
          <w:rFonts w:ascii="Arial" w:hAnsi="Arial" w:cs="Arial"/>
          <w:b/>
          <w:bCs/>
          <w:color w:val="000000" w:themeColor="text1"/>
          <w:sz w:val="20"/>
          <w:szCs w:val="20"/>
        </w:rPr>
        <w:t>: Retent</w:t>
      </w:r>
      <w:r w:rsidR="00350A2B" w:rsidRPr="0015368A">
        <w:rPr>
          <w:rFonts w:ascii="Arial" w:hAnsi="Arial" w:cs="Arial"/>
          <w:b/>
          <w:bCs/>
          <w:color w:val="000000" w:themeColor="text1"/>
          <w:sz w:val="20"/>
          <w:szCs w:val="20"/>
        </w:rPr>
        <w:t>ion</w:t>
      </w:r>
      <w:r w:rsidR="00BD688A" w:rsidRPr="0015368A">
        <w:rPr>
          <w:rFonts w:ascii="Arial" w:hAnsi="Arial" w:cs="Arial"/>
          <w:b/>
          <w:bCs/>
          <w:color w:val="000000" w:themeColor="text1"/>
          <w:sz w:val="20"/>
          <w:szCs w:val="20"/>
        </w:rPr>
        <w:t xml:space="preserve"> time and relative retention time</w:t>
      </w:r>
      <w:r w:rsidR="00CC4B95" w:rsidRPr="0015368A">
        <w:rPr>
          <w:rFonts w:ascii="Arial" w:hAnsi="Arial" w:cs="Arial"/>
          <w:b/>
          <w:bCs/>
          <w:color w:val="000000" w:themeColor="text1"/>
          <w:sz w:val="20"/>
          <w:szCs w:val="20"/>
        </w:rPr>
        <w:t xml:space="preserve"> for the compounds identified in the</w:t>
      </w:r>
      <w:r w:rsidR="00BD688A" w:rsidRPr="0015368A">
        <w:rPr>
          <w:rFonts w:ascii="Arial" w:hAnsi="Arial" w:cs="Arial"/>
          <w:b/>
          <w:bCs/>
          <w:color w:val="000000" w:themeColor="text1"/>
          <w:sz w:val="20"/>
          <w:szCs w:val="20"/>
        </w:rPr>
        <w:t xml:space="preserve"> analysis </w:t>
      </w:r>
      <w:r w:rsidR="00BD688A">
        <w:rPr>
          <w:rFonts w:ascii="Arial" w:hAnsi="Arial" w:cs="Arial"/>
          <w:b/>
          <w:bCs/>
          <w:color w:val="000000" w:themeColor="text1"/>
          <w:sz w:val="20"/>
          <w:szCs w:val="20"/>
        </w:rPr>
        <w:t>of simulated and case work</w:t>
      </w:r>
      <w:r w:rsidR="00CC4B95" w:rsidRPr="00F13C54">
        <w:rPr>
          <w:rFonts w:ascii="Arial" w:hAnsi="Arial" w:cs="Arial"/>
          <w:b/>
          <w:bCs/>
          <w:color w:val="000000" w:themeColor="text1"/>
          <w:sz w:val="20"/>
          <w:szCs w:val="20"/>
        </w:rPr>
        <w:t xml:space="preserve"> </w:t>
      </w:r>
      <w:proofErr w:type="spellStart"/>
      <w:r w:rsidR="00BD688A" w:rsidRPr="00F13C54">
        <w:rPr>
          <w:rFonts w:ascii="Arial" w:hAnsi="Arial" w:cs="Arial"/>
          <w:b/>
          <w:bCs/>
          <w:color w:val="000000" w:themeColor="text1"/>
          <w:sz w:val="20"/>
          <w:szCs w:val="20"/>
        </w:rPr>
        <w:t>nyaope</w:t>
      </w:r>
      <w:proofErr w:type="spellEnd"/>
      <w:r w:rsidR="00BD688A" w:rsidRPr="00F13C54">
        <w:rPr>
          <w:rFonts w:ascii="Arial" w:hAnsi="Arial" w:cs="Arial"/>
          <w:b/>
          <w:bCs/>
          <w:color w:val="000000" w:themeColor="text1"/>
          <w:sz w:val="20"/>
          <w:szCs w:val="20"/>
        </w:rPr>
        <w:t xml:space="preserve"> </w:t>
      </w:r>
      <w:r w:rsidR="00BD688A">
        <w:rPr>
          <w:rFonts w:ascii="Arial" w:hAnsi="Arial" w:cs="Arial"/>
          <w:b/>
          <w:bCs/>
          <w:color w:val="000000" w:themeColor="text1"/>
          <w:sz w:val="20"/>
          <w:szCs w:val="20"/>
        </w:rPr>
        <w:t>samples</w:t>
      </w:r>
      <w:r w:rsidR="00CC4B95" w:rsidRPr="00F13C54">
        <w:rPr>
          <w:rFonts w:ascii="Arial" w:hAnsi="Arial" w:cs="Arial"/>
          <w:b/>
          <w:bCs/>
          <w:color w:val="000000" w:themeColor="text1"/>
          <w:sz w:val="20"/>
          <w:szCs w:val="20"/>
        </w:rPr>
        <w:t xml:space="preserve">. Identifications </w:t>
      </w:r>
      <w:r w:rsidR="00142AB9" w:rsidRPr="00F13C54">
        <w:rPr>
          <w:rFonts w:ascii="Arial" w:hAnsi="Arial" w:cs="Arial"/>
          <w:b/>
          <w:bCs/>
          <w:color w:val="000000" w:themeColor="text1"/>
          <w:sz w:val="20"/>
          <w:szCs w:val="20"/>
        </w:rPr>
        <w:t xml:space="preserve">were </w:t>
      </w:r>
      <w:r w:rsidR="00CC4B95" w:rsidRPr="00F13C54">
        <w:rPr>
          <w:rFonts w:ascii="Arial" w:hAnsi="Arial" w:cs="Arial"/>
          <w:b/>
          <w:bCs/>
          <w:color w:val="000000" w:themeColor="text1"/>
          <w:sz w:val="20"/>
          <w:szCs w:val="20"/>
        </w:rPr>
        <w:t xml:space="preserve">made </w:t>
      </w:r>
      <w:proofErr w:type="gramStart"/>
      <w:r w:rsidR="00CC4B95" w:rsidRPr="00F13C54">
        <w:rPr>
          <w:rFonts w:ascii="Arial" w:hAnsi="Arial" w:cs="Arial"/>
          <w:b/>
          <w:bCs/>
          <w:color w:val="000000" w:themeColor="text1"/>
          <w:sz w:val="20"/>
          <w:szCs w:val="20"/>
        </w:rPr>
        <w:t>on the basis of</w:t>
      </w:r>
      <w:proofErr w:type="gramEnd"/>
      <w:r w:rsidR="00CC4B95" w:rsidRPr="00F13C54">
        <w:rPr>
          <w:rFonts w:ascii="Arial" w:hAnsi="Arial" w:cs="Arial"/>
          <w:b/>
          <w:bCs/>
          <w:color w:val="000000" w:themeColor="text1"/>
          <w:sz w:val="20"/>
          <w:szCs w:val="20"/>
        </w:rPr>
        <w:t xml:space="preserve"> retention </w:t>
      </w:r>
      <w:r w:rsidR="00CC4B95" w:rsidRPr="00F13C54">
        <w:rPr>
          <w:rFonts w:ascii="Arial" w:hAnsi="Arial" w:cs="Arial"/>
          <w:b/>
          <w:bCs/>
          <w:color w:val="000000" w:themeColor="text1"/>
          <w:sz w:val="20"/>
          <w:szCs w:val="20"/>
        </w:rPr>
        <w:lastRenderedPageBreak/>
        <w:t>indices and mass spectra of standards and casework samples (data avail</w:t>
      </w:r>
      <w:r w:rsidR="00186689" w:rsidRPr="00F13C54">
        <w:rPr>
          <w:rFonts w:ascii="Arial" w:hAnsi="Arial" w:cs="Arial"/>
          <w:b/>
          <w:bCs/>
          <w:color w:val="000000" w:themeColor="text1"/>
          <w:sz w:val="20"/>
          <w:szCs w:val="20"/>
        </w:rPr>
        <w:t>able from corresponding author)</w:t>
      </w:r>
    </w:p>
    <w:tbl>
      <w:tblPr>
        <w:tblW w:w="0" w:type="auto"/>
        <w:tblLayout w:type="fixed"/>
        <w:tblLook w:val="04A0" w:firstRow="1" w:lastRow="0" w:firstColumn="1" w:lastColumn="0" w:noHBand="0" w:noVBand="1"/>
      </w:tblPr>
      <w:tblGrid>
        <w:gridCol w:w="2694"/>
        <w:gridCol w:w="1842"/>
        <w:gridCol w:w="2835"/>
      </w:tblGrid>
      <w:tr w:rsidR="0060260A" w:rsidRPr="003A2A60" w14:paraId="609DE780" w14:textId="77777777" w:rsidTr="00BD688A">
        <w:trPr>
          <w:trHeight w:val="170"/>
        </w:trPr>
        <w:tc>
          <w:tcPr>
            <w:tcW w:w="2694" w:type="dxa"/>
            <w:tcBorders>
              <w:top w:val="single" w:sz="4" w:space="0" w:color="auto"/>
              <w:bottom w:val="single" w:sz="4" w:space="0" w:color="auto"/>
            </w:tcBorders>
            <w:shd w:val="clear" w:color="auto" w:fill="auto"/>
            <w:noWrap/>
          </w:tcPr>
          <w:p w14:paraId="5F2C56A4" w14:textId="77777777" w:rsidR="0060260A" w:rsidRPr="00BD688A" w:rsidRDefault="0060260A" w:rsidP="001407E5">
            <w:pPr>
              <w:spacing w:line="360" w:lineRule="auto"/>
              <w:rPr>
                <w:rFonts w:ascii="Arial" w:hAnsi="Arial" w:cs="Arial"/>
                <w:b/>
                <w:color w:val="000000" w:themeColor="text1"/>
                <w:sz w:val="20"/>
                <w:szCs w:val="20"/>
              </w:rPr>
            </w:pPr>
          </w:p>
        </w:tc>
        <w:tc>
          <w:tcPr>
            <w:tcW w:w="1842" w:type="dxa"/>
            <w:tcBorders>
              <w:top w:val="single" w:sz="4" w:space="0" w:color="auto"/>
              <w:bottom w:val="single" w:sz="4" w:space="0" w:color="auto"/>
            </w:tcBorders>
            <w:shd w:val="clear" w:color="auto" w:fill="auto"/>
            <w:noWrap/>
          </w:tcPr>
          <w:p w14:paraId="4304B755" w14:textId="77777777" w:rsidR="0060260A" w:rsidRPr="00BD688A" w:rsidRDefault="0060260A" w:rsidP="001407E5">
            <w:pPr>
              <w:spacing w:line="360" w:lineRule="auto"/>
              <w:rPr>
                <w:rFonts w:ascii="Arial" w:hAnsi="Arial" w:cs="Arial"/>
                <w:b/>
                <w:color w:val="000000" w:themeColor="text1"/>
                <w:sz w:val="20"/>
                <w:szCs w:val="20"/>
              </w:rPr>
            </w:pPr>
            <w:r w:rsidRPr="00BD688A">
              <w:rPr>
                <w:rFonts w:ascii="Arial" w:hAnsi="Arial" w:cs="Arial"/>
                <w:b/>
                <w:color w:val="000000" w:themeColor="text1"/>
                <w:sz w:val="20"/>
                <w:szCs w:val="20"/>
              </w:rPr>
              <w:t>Retention time</w:t>
            </w:r>
          </w:p>
        </w:tc>
        <w:tc>
          <w:tcPr>
            <w:tcW w:w="2835" w:type="dxa"/>
            <w:tcBorders>
              <w:top w:val="single" w:sz="4" w:space="0" w:color="auto"/>
              <w:bottom w:val="single" w:sz="4" w:space="0" w:color="auto"/>
            </w:tcBorders>
            <w:shd w:val="clear" w:color="auto" w:fill="auto"/>
            <w:noWrap/>
          </w:tcPr>
          <w:p w14:paraId="26FA04FB" w14:textId="694E266A" w:rsidR="0060260A" w:rsidRPr="00BD688A" w:rsidRDefault="00BD688A" w:rsidP="001407E5">
            <w:pPr>
              <w:spacing w:line="360" w:lineRule="auto"/>
              <w:rPr>
                <w:rFonts w:ascii="Arial" w:hAnsi="Arial" w:cs="Arial"/>
                <w:b/>
                <w:color w:val="000000" w:themeColor="text1"/>
                <w:sz w:val="20"/>
                <w:szCs w:val="20"/>
              </w:rPr>
            </w:pPr>
            <w:r w:rsidRPr="00BD688A">
              <w:rPr>
                <w:rFonts w:ascii="Arial" w:hAnsi="Arial" w:cs="Arial"/>
                <w:b/>
                <w:color w:val="000000" w:themeColor="text1"/>
                <w:sz w:val="20"/>
                <w:szCs w:val="20"/>
              </w:rPr>
              <w:t>Relative retention time</w:t>
            </w:r>
          </w:p>
        </w:tc>
      </w:tr>
      <w:tr w:rsidR="0060260A" w:rsidRPr="003A2A60" w14:paraId="47090E41" w14:textId="77777777" w:rsidTr="00BD688A">
        <w:trPr>
          <w:trHeight w:val="170"/>
        </w:trPr>
        <w:tc>
          <w:tcPr>
            <w:tcW w:w="2694" w:type="dxa"/>
            <w:tcBorders>
              <w:top w:val="single" w:sz="4" w:space="0" w:color="auto"/>
            </w:tcBorders>
            <w:shd w:val="clear" w:color="auto" w:fill="auto"/>
            <w:noWrap/>
          </w:tcPr>
          <w:p w14:paraId="24C6FCEF" w14:textId="77777777" w:rsidR="0060260A" w:rsidRPr="00BD688A" w:rsidRDefault="0060260A" w:rsidP="001407E5">
            <w:pPr>
              <w:spacing w:line="360" w:lineRule="auto"/>
              <w:rPr>
                <w:rFonts w:ascii="Arial" w:hAnsi="Arial" w:cs="Arial"/>
                <w:color w:val="000000" w:themeColor="text1"/>
                <w:sz w:val="20"/>
                <w:szCs w:val="20"/>
              </w:rPr>
            </w:pPr>
            <w:r w:rsidRPr="00BD688A">
              <w:rPr>
                <w:rFonts w:ascii="Arial" w:hAnsi="Arial" w:cs="Arial"/>
                <w:color w:val="000000" w:themeColor="text1"/>
                <w:sz w:val="20"/>
                <w:szCs w:val="20"/>
              </w:rPr>
              <w:t>Nicotine</w:t>
            </w:r>
          </w:p>
        </w:tc>
        <w:tc>
          <w:tcPr>
            <w:tcW w:w="1842" w:type="dxa"/>
            <w:tcBorders>
              <w:top w:val="single" w:sz="4" w:space="0" w:color="auto"/>
            </w:tcBorders>
            <w:shd w:val="clear" w:color="auto" w:fill="auto"/>
            <w:noWrap/>
          </w:tcPr>
          <w:p w14:paraId="00E211BA" w14:textId="77777777" w:rsidR="0060260A" w:rsidRPr="00BD688A" w:rsidRDefault="0060260A" w:rsidP="001407E5">
            <w:pPr>
              <w:spacing w:line="360" w:lineRule="auto"/>
              <w:rPr>
                <w:rFonts w:ascii="Arial" w:hAnsi="Arial" w:cs="Arial"/>
                <w:color w:val="000000" w:themeColor="text1"/>
                <w:sz w:val="20"/>
                <w:szCs w:val="20"/>
              </w:rPr>
            </w:pPr>
            <w:r w:rsidRPr="00BD688A">
              <w:rPr>
                <w:rFonts w:ascii="Arial" w:hAnsi="Arial" w:cs="Arial"/>
                <w:color w:val="000000" w:themeColor="text1"/>
                <w:sz w:val="20"/>
                <w:szCs w:val="20"/>
              </w:rPr>
              <w:t>2.411</w:t>
            </w:r>
          </w:p>
        </w:tc>
        <w:tc>
          <w:tcPr>
            <w:tcW w:w="2835" w:type="dxa"/>
            <w:tcBorders>
              <w:top w:val="single" w:sz="4" w:space="0" w:color="auto"/>
            </w:tcBorders>
            <w:shd w:val="clear" w:color="auto" w:fill="auto"/>
            <w:noWrap/>
          </w:tcPr>
          <w:p w14:paraId="7BCEC92F" w14:textId="77777777" w:rsidR="0060260A" w:rsidRPr="00BD688A" w:rsidRDefault="0060260A" w:rsidP="001407E5">
            <w:pPr>
              <w:spacing w:line="360" w:lineRule="auto"/>
              <w:rPr>
                <w:rFonts w:ascii="Arial" w:hAnsi="Arial" w:cs="Arial"/>
                <w:color w:val="000000" w:themeColor="text1"/>
                <w:sz w:val="20"/>
                <w:szCs w:val="20"/>
              </w:rPr>
            </w:pPr>
            <w:r w:rsidRPr="00BD688A">
              <w:rPr>
                <w:rFonts w:ascii="Arial" w:hAnsi="Arial" w:cs="Arial"/>
                <w:color w:val="000000" w:themeColor="text1"/>
                <w:sz w:val="20"/>
                <w:szCs w:val="20"/>
              </w:rPr>
              <w:t>0.444</w:t>
            </w:r>
          </w:p>
        </w:tc>
      </w:tr>
      <w:tr w:rsidR="0060260A" w:rsidRPr="003A2A60" w14:paraId="6198B1ED" w14:textId="77777777" w:rsidTr="00BD688A">
        <w:trPr>
          <w:trHeight w:val="170"/>
        </w:trPr>
        <w:tc>
          <w:tcPr>
            <w:tcW w:w="2694" w:type="dxa"/>
            <w:shd w:val="clear" w:color="auto" w:fill="auto"/>
            <w:noWrap/>
          </w:tcPr>
          <w:p w14:paraId="4174B47F" w14:textId="77777777" w:rsidR="0060260A" w:rsidRPr="00BD688A" w:rsidRDefault="0060260A" w:rsidP="001407E5">
            <w:pPr>
              <w:spacing w:line="360" w:lineRule="auto"/>
              <w:rPr>
                <w:rFonts w:ascii="Arial" w:hAnsi="Arial" w:cs="Arial"/>
                <w:color w:val="000000" w:themeColor="text1"/>
                <w:sz w:val="20"/>
                <w:szCs w:val="20"/>
              </w:rPr>
            </w:pPr>
            <w:r w:rsidRPr="00BD688A">
              <w:rPr>
                <w:rFonts w:ascii="Arial" w:hAnsi="Arial" w:cs="Arial"/>
                <w:color w:val="000000" w:themeColor="text1"/>
                <w:sz w:val="20"/>
                <w:szCs w:val="20"/>
              </w:rPr>
              <w:t>Caryophyllene</w:t>
            </w:r>
          </w:p>
        </w:tc>
        <w:tc>
          <w:tcPr>
            <w:tcW w:w="1842" w:type="dxa"/>
            <w:shd w:val="clear" w:color="auto" w:fill="auto"/>
            <w:noWrap/>
          </w:tcPr>
          <w:p w14:paraId="353D40A8" w14:textId="77777777" w:rsidR="0060260A" w:rsidRPr="00BD688A" w:rsidRDefault="0060260A" w:rsidP="001407E5">
            <w:pPr>
              <w:spacing w:line="360" w:lineRule="auto"/>
              <w:rPr>
                <w:rFonts w:ascii="Arial" w:hAnsi="Arial" w:cs="Arial"/>
                <w:color w:val="000000" w:themeColor="text1"/>
                <w:sz w:val="20"/>
                <w:szCs w:val="20"/>
              </w:rPr>
            </w:pPr>
            <w:r w:rsidRPr="00BD688A">
              <w:rPr>
                <w:rFonts w:ascii="Arial" w:hAnsi="Arial" w:cs="Arial"/>
                <w:color w:val="000000" w:themeColor="text1"/>
                <w:sz w:val="20"/>
                <w:szCs w:val="20"/>
              </w:rPr>
              <w:t>2.582</w:t>
            </w:r>
          </w:p>
        </w:tc>
        <w:tc>
          <w:tcPr>
            <w:tcW w:w="2835" w:type="dxa"/>
            <w:shd w:val="clear" w:color="auto" w:fill="auto"/>
            <w:noWrap/>
          </w:tcPr>
          <w:p w14:paraId="09E642AE" w14:textId="77777777" w:rsidR="0060260A" w:rsidRPr="00BD688A" w:rsidRDefault="0060260A" w:rsidP="001407E5">
            <w:pPr>
              <w:spacing w:line="360" w:lineRule="auto"/>
              <w:rPr>
                <w:rFonts w:ascii="Arial" w:hAnsi="Arial" w:cs="Arial"/>
                <w:color w:val="000000" w:themeColor="text1"/>
                <w:sz w:val="20"/>
                <w:szCs w:val="20"/>
              </w:rPr>
            </w:pPr>
            <w:r w:rsidRPr="00BD688A">
              <w:rPr>
                <w:rFonts w:ascii="Arial" w:hAnsi="Arial" w:cs="Arial"/>
                <w:color w:val="000000" w:themeColor="text1"/>
                <w:sz w:val="20"/>
                <w:szCs w:val="20"/>
              </w:rPr>
              <w:t>0.476</w:t>
            </w:r>
          </w:p>
        </w:tc>
      </w:tr>
      <w:tr w:rsidR="0060260A" w:rsidRPr="003A2A60" w14:paraId="17CAB2B2" w14:textId="77777777" w:rsidTr="00BD688A">
        <w:trPr>
          <w:trHeight w:val="170"/>
        </w:trPr>
        <w:tc>
          <w:tcPr>
            <w:tcW w:w="2694" w:type="dxa"/>
            <w:shd w:val="clear" w:color="auto" w:fill="auto"/>
            <w:noWrap/>
          </w:tcPr>
          <w:p w14:paraId="39EEAB16" w14:textId="77777777" w:rsidR="0060260A" w:rsidRPr="00BD688A" w:rsidRDefault="0060260A" w:rsidP="001407E5">
            <w:pPr>
              <w:spacing w:line="360" w:lineRule="auto"/>
              <w:rPr>
                <w:rFonts w:ascii="Arial" w:hAnsi="Arial" w:cs="Arial"/>
                <w:color w:val="000000" w:themeColor="text1"/>
                <w:sz w:val="20"/>
                <w:szCs w:val="20"/>
              </w:rPr>
            </w:pPr>
            <w:proofErr w:type="spellStart"/>
            <w:r w:rsidRPr="00BD688A">
              <w:rPr>
                <w:rFonts w:ascii="Arial" w:hAnsi="Arial" w:cs="Arial"/>
                <w:color w:val="000000" w:themeColor="text1"/>
                <w:sz w:val="20"/>
                <w:szCs w:val="20"/>
              </w:rPr>
              <w:t>Bulnesol</w:t>
            </w:r>
            <w:proofErr w:type="spellEnd"/>
          </w:p>
        </w:tc>
        <w:tc>
          <w:tcPr>
            <w:tcW w:w="1842" w:type="dxa"/>
            <w:shd w:val="clear" w:color="auto" w:fill="auto"/>
            <w:noWrap/>
          </w:tcPr>
          <w:p w14:paraId="14264A9B" w14:textId="77777777" w:rsidR="0060260A" w:rsidRPr="00BD688A" w:rsidRDefault="0060260A" w:rsidP="001407E5">
            <w:pPr>
              <w:spacing w:line="360" w:lineRule="auto"/>
              <w:rPr>
                <w:rFonts w:ascii="Arial" w:hAnsi="Arial" w:cs="Arial"/>
                <w:color w:val="000000" w:themeColor="text1"/>
                <w:sz w:val="20"/>
                <w:szCs w:val="20"/>
              </w:rPr>
            </w:pPr>
            <w:r w:rsidRPr="00BD688A">
              <w:rPr>
                <w:rFonts w:ascii="Arial" w:hAnsi="Arial" w:cs="Arial"/>
                <w:color w:val="000000" w:themeColor="text1"/>
                <w:sz w:val="20"/>
                <w:szCs w:val="20"/>
              </w:rPr>
              <w:t>3.098</w:t>
            </w:r>
          </w:p>
        </w:tc>
        <w:tc>
          <w:tcPr>
            <w:tcW w:w="2835" w:type="dxa"/>
            <w:shd w:val="clear" w:color="auto" w:fill="auto"/>
            <w:noWrap/>
          </w:tcPr>
          <w:p w14:paraId="1C08C718" w14:textId="77777777" w:rsidR="0060260A" w:rsidRPr="00BD688A" w:rsidRDefault="0060260A" w:rsidP="001407E5">
            <w:pPr>
              <w:spacing w:line="360" w:lineRule="auto"/>
              <w:rPr>
                <w:rFonts w:ascii="Arial" w:hAnsi="Arial" w:cs="Arial"/>
                <w:color w:val="000000" w:themeColor="text1"/>
                <w:sz w:val="20"/>
                <w:szCs w:val="20"/>
              </w:rPr>
            </w:pPr>
            <w:r w:rsidRPr="00BD688A">
              <w:rPr>
                <w:rFonts w:ascii="Arial" w:hAnsi="Arial" w:cs="Arial"/>
                <w:color w:val="000000" w:themeColor="text1"/>
                <w:sz w:val="20"/>
                <w:szCs w:val="20"/>
              </w:rPr>
              <w:t>0.571</w:t>
            </w:r>
          </w:p>
        </w:tc>
      </w:tr>
      <w:tr w:rsidR="0060260A" w:rsidRPr="003A2A60" w14:paraId="3F639D04" w14:textId="77777777" w:rsidTr="00BD688A">
        <w:trPr>
          <w:trHeight w:val="170"/>
        </w:trPr>
        <w:tc>
          <w:tcPr>
            <w:tcW w:w="2694" w:type="dxa"/>
            <w:shd w:val="clear" w:color="auto" w:fill="auto"/>
            <w:noWrap/>
            <w:hideMark/>
          </w:tcPr>
          <w:p w14:paraId="56361B5F" w14:textId="77777777" w:rsidR="0060260A" w:rsidRPr="00BD688A" w:rsidRDefault="0060260A" w:rsidP="001407E5">
            <w:pPr>
              <w:spacing w:line="360" w:lineRule="auto"/>
              <w:rPr>
                <w:rFonts w:ascii="Arial" w:hAnsi="Arial" w:cs="Arial"/>
                <w:color w:val="000000" w:themeColor="text1"/>
                <w:sz w:val="20"/>
                <w:szCs w:val="20"/>
              </w:rPr>
            </w:pPr>
            <w:r w:rsidRPr="00BD688A">
              <w:rPr>
                <w:rFonts w:ascii="Arial" w:hAnsi="Arial" w:cs="Arial"/>
                <w:color w:val="000000" w:themeColor="text1"/>
                <w:sz w:val="20"/>
                <w:szCs w:val="20"/>
              </w:rPr>
              <w:t>Phenacetin</w:t>
            </w:r>
          </w:p>
        </w:tc>
        <w:tc>
          <w:tcPr>
            <w:tcW w:w="1842" w:type="dxa"/>
            <w:shd w:val="clear" w:color="auto" w:fill="auto"/>
            <w:noWrap/>
            <w:hideMark/>
          </w:tcPr>
          <w:p w14:paraId="74C4FB01" w14:textId="77777777" w:rsidR="0060260A" w:rsidRPr="00BD688A" w:rsidRDefault="0060260A" w:rsidP="001407E5">
            <w:pPr>
              <w:spacing w:line="360" w:lineRule="auto"/>
              <w:rPr>
                <w:rFonts w:ascii="Arial" w:hAnsi="Arial" w:cs="Arial"/>
                <w:color w:val="000000" w:themeColor="text1"/>
                <w:sz w:val="20"/>
                <w:szCs w:val="20"/>
              </w:rPr>
            </w:pPr>
            <w:r w:rsidRPr="00BD688A">
              <w:rPr>
                <w:rFonts w:ascii="Arial" w:hAnsi="Arial" w:cs="Arial"/>
                <w:color w:val="000000" w:themeColor="text1"/>
                <w:sz w:val="20"/>
                <w:szCs w:val="20"/>
              </w:rPr>
              <w:t>3.133</w:t>
            </w:r>
          </w:p>
        </w:tc>
        <w:tc>
          <w:tcPr>
            <w:tcW w:w="2835" w:type="dxa"/>
            <w:shd w:val="clear" w:color="auto" w:fill="auto"/>
            <w:noWrap/>
            <w:hideMark/>
          </w:tcPr>
          <w:p w14:paraId="43DE39FE" w14:textId="77777777" w:rsidR="0060260A" w:rsidRPr="00BD688A" w:rsidRDefault="0060260A" w:rsidP="001407E5">
            <w:pPr>
              <w:spacing w:line="360" w:lineRule="auto"/>
              <w:rPr>
                <w:rFonts w:ascii="Arial" w:hAnsi="Arial" w:cs="Arial"/>
                <w:color w:val="000000" w:themeColor="text1"/>
                <w:sz w:val="20"/>
                <w:szCs w:val="20"/>
              </w:rPr>
            </w:pPr>
            <w:r w:rsidRPr="00BD688A">
              <w:rPr>
                <w:rFonts w:ascii="Arial" w:hAnsi="Arial" w:cs="Arial"/>
                <w:color w:val="000000" w:themeColor="text1"/>
                <w:sz w:val="20"/>
                <w:szCs w:val="20"/>
              </w:rPr>
              <w:t>0.577</w:t>
            </w:r>
          </w:p>
        </w:tc>
      </w:tr>
      <w:tr w:rsidR="0060260A" w:rsidRPr="003A2A60" w14:paraId="663931E9" w14:textId="77777777" w:rsidTr="00BD688A">
        <w:trPr>
          <w:trHeight w:val="170"/>
        </w:trPr>
        <w:tc>
          <w:tcPr>
            <w:tcW w:w="2694" w:type="dxa"/>
            <w:shd w:val="clear" w:color="auto" w:fill="auto"/>
            <w:noWrap/>
          </w:tcPr>
          <w:p w14:paraId="6B8B70D3" w14:textId="77777777" w:rsidR="0060260A" w:rsidRPr="00BD688A" w:rsidRDefault="0060260A" w:rsidP="001407E5">
            <w:pPr>
              <w:spacing w:line="360" w:lineRule="auto"/>
              <w:rPr>
                <w:rFonts w:ascii="Arial" w:hAnsi="Arial" w:cs="Arial"/>
                <w:color w:val="000000" w:themeColor="text1"/>
                <w:sz w:val="20"/>
                <w:szCs w:val="20"/>
              </w:rPr>
            </w:pPr>
            <w:r w:rsidRPr="00BD688A">
              <w:rPr>
                <w:rFonts w:ascii="Arial" w:hAnsi="Arial" w:cs="Arial"/>
                <w:color w:val="000000" w:themeColor="text1"/>
                <w:sz w:val="20"/>
                <w:szCs w:val="20"/>
              </w:rPr>
              <w:t xml:space="preserve">Acetaminophen </w:t>
            </w:r>
          </w:p>
        </w:tc>
        <w:tc>
          <w:tcPr>
            <w:tcW w:w="1842" w:type="dxa"/>
            <w:shd w:val="clear" w:color="auto" w:fill="auto"/>
            <w:noWrap/>
          </w:tcPr>
          <w:p w14:paraId="5F744EB4" w14:textId="77777777" w:rsidR="0060260A" w:rsidRPr="00BD688A" w:rsidRDefault="0060260A" w:rsidP="001407E5">
            <w:pPr>
              <w:spacing w:line="360" w:lineRule="auto"/>
              <w:rPr>
                <w:rFonts w:ascii="Arial" w:hAnsi="Arial" w:cs="Arial"/>
                <w:color w:val="000000" w:themeColor="text1"/>
                <w:sz w:val="20"/>
                <w:szCs w:val="20"/>
              </w:rPr>
            </w:pPr>
            <w:r w:rsidRPr="00BD688A">
              <w:rPr>
                <w:rFonts w:ascii="Arial" w:hAnsi="Arial" w:cs="Arial"/>
                <w:color w:val="000000" w:themeColor="text1"/>
                <w:sz w:val="20"/>
                <w:szCs w:val="20"/>
              </w:rPr>
              <w:t>3.194</w:t>
            </w:r>
          </w:p>
        </w:tc>
        <w:tc>
          <w:tcPr>
            <w:tcW w:w="2835" w:type="dxa"/>
            <w:shd w:val="clear" w:color="auto" w:fill="auto"/>
            <w:noWrap/>
          </w:tcPr>
          <w:p w14:paraId="0BFC3991" w14:textId="77777777" w:rsidR="0060260A" w:rsidRPr="00BD688A" w:rsidRDefault="0060260A" w:rsidP="001407E5">
            <w:pPr>
              <w:spacing w:line="360" w:lineRule="auto"/>
              <w:rPr>
                <w:rFonts w:ascii="Arial" w:hAnsi="Arial" w:cs="Arial"/>
                <w:color w:val="000000" w:themeColor="text1"/>
                <w:sz w:val="20"/>
                <w:szCs w:val="20"/>
              </w:rPr>
            </w:pPr>
            <w:r w:rsidRPr="00BD688A">
              <w:rPr>
                <w:rFonts w:ascii="Arial" w:hAnsi="Arial" w:cs="Arial"/>
                <w:color w:val="000000" w:themeColor="text1"/>
                <w:sz w:val="20"/>
                <w:szCs w:val="20"/>
              </w:rPr>
              <w:t>0.589</w:t>
            </w:r>
          </w:p>
        </w:tc>
      </w:tr>
      <w:tr w:rsidR="0060260A" w:rsidRPr="003A2A60" w14:paraId="4C446E3B" w14:textId="77777777" w:rsidTr="00BD688A">
        <w:trPr>
          <w:trHeight w:val="170"/>
        </w:trPr>
        <w:tc>
          <w:tcPr>
            <w:tcW w:w="2694" w:type="dxa"/>
            <w:shd w:val="clear" w:color="auto" w:fill="auto"/>
            <w:noWrap/>
            <w:hideMark/>
          </w:tcPr>
          <w:p w14:paraId="3B3CA75D" w14:textId="77777777" w:rsidR="0060260A" w:rsidRPr="00BD688A" w:rsidRDefault="0060260A" w:rsidP="001407E5">
            <w:pPr>
              <w:spacing w:line="360" w:lineRule="auto"/>
              <w:rPr>
                <w:rFonts w:ascii="Arial" w:hAnsi="Arial" w:cs="Arial"/>
                <w:color w:val="000000" w:themeColor="text1"/>
                <w:sz w:val="20"/>
                <w:szCs w:val="20"/>
              </w:rPr>
            </w:pPr>
            <w:r w:rsidRPr="00BD688A">
              <w:rPr>
                <w:rFonts w:ascii="Arial" w:hAnsi="Arial" w:cs="Arial"/>
                <w:color w:val="000000" w:themeColor="text1"/>
                <w:sz w:val="20"/>
                <w:szCs w:val="20"/>
              </w:rPr>
              <w:t>Caffeine</w:t>
            </w:r>
          </w:p>
        </w:tc>
        <w:tc>
          <w:tcPr>
            <w:tcW w:w="1842" w:type="dxa"/>
            <w:shd w:val="clear" w:color="auto" w:fill="auto"/>
            <w:noWrap/>
            <w:hideMark/>
          </w:tcPr>
          <w:p w14:paraId="20ED6DF5" w14:textId="77777777" w:rsidR="0060260A" w:rsidRPr="00BD688A" w:rsidRDefault="0060260A" w:rsidP="001407E5">
            <w:pPr>
              <w:spacing w:line="360" w:lineRule="auto"/>
              <w:rPr>
                <w:rFonts w:ascii="Arial" w:hAnsi="Arial" w:cs="Arial"/>
                <w:color w:val="000000" w:themeColor="text1"/>
                <w:sz w:val="20"/>
                <w:szCs w:val="20"/>
              </w:rPr>
            </w:pPr>
            <w:r w:rsidRPr="00BD688A">
              <w:rPr>
                <w:rFonts w:ascii="Arial" w:hAnsi="Arial" w:cs="Arial"/>
                <w:color w:val="000000" w:themeColor="text1"/>
                <w:sz w:val="20"/>
                <w:szCs w:val="20"/>
              </w:rPr>
              <w:t>3.535</w:t>
            </w:r>
          </w:p>
        </w:tc>
        <w:tc>
          <w:tcPr>
            <w:tcW w:w="2835" w:type="dxa"/>
            <w:shd w:val="clear" w:color="auto" w:fill="auto"/>
            <w:noWrap/>
            <w:hideMark/>
          </w:tcPr>
          <w:p w14:paraId="4FA01B4E" w14:textId="77777777" w:rsidR="0060260A" w:rsidRPr="00BD688A" w:rsidRDefault="0060260A" w:rsidP="001407E5">
            <w:pPr>
              <w:spacing w:line="360" w:lineRule="auto"/>
              <w:rPr>
                <w:rFonts w:ascii="Arial" w:hAnsi="Arial" w:cs="Arial"/>
                <w:color w:val="000000" w:themeColor="text1"/>
                <w:sz w:val="20"/>
                <w:szCs w:val="20"/>
              </w:rPr>
            </w:pPr>
            <w:r w:rsidRPr="00BD688A">
              <w:rPr>
                <w:rFonts w:ascii="Arial" w:hAnsi="Arial" w:cs="Arial"/>
                <w:color w:val="000000" w:themeColor="text1"/>
                <w:sz w:val="20"/>
                <w:szCs w:val="20"/>
              </w:rPr>
              <w:t>0.651</w:t>
            </w:r>
          </w:p>
        </w:tc>
      </w:tr>
      <w:tr w:rsidR="0060260A" w:rsidRPr="003A2A60" w14:paraId="1EB45DDE" w14:textId="77777777" w:rsidTr="00BD688A">
        <w:trPr>
          <w:trHeight w:val="170"/>
        </w:trPr>
        <w:tc>
          <w:tcPr>
            <w:tcW w:w="2694" w:type="dxa"/>
            <w:shd w:val="clear" w:color="auto" w:fill="auto"/>
            <w:noWrap/>
            <w:hideMark/>
          </w:tcPr>
          <w:p w14:paraId="7845A0AD" w14:textId="77777777" w:rsidR="0060260A" w:rsidRPr="00BD688A" w:rsidRDefault="0060260A" w:rsidP="001407E5">
            <w:pPr>
              <w:spacing w:line="360" w:lineRule="auto"/>
              <w:rPr>
                <w:rFonts w:ascii="Arial" w:hAnsi="Arial" w:cs="Arial"/>
                <w:color w:val="000000" w:themeColor="text1"/>
                <w:sz w:val="20"/>
                <w:szCs w:val="20"/>
              </w:rPr>
            </w:pPr>
            <w:r w:rsidRPr="00BD688A">
              <w:rPr>
                <w:rFonts w:ascii="Arial" w:hAnsi="Arial" w:cs="Arial"/>
                <w:color w:val="000000" w:themeColor="text1"/>
                <w:sz w:val="20"/>
                <w:szCs w:val="20"/>
              </w:rPr>
              <w:t>Efavirenz</w:t>
            </w:r>
          </w:p>
        </w:tc>
        <w:tc>
          <w:tcPr>
            <w:tcW w:w="1842" w:type="dxa"/>
            <w:shd w:val="clear" w:color="auto" w:fill="auto"/>
            <w:noWrap/>
            <w:hideMark/>
          </w:tcPr>
          <w:p w14:paraId="2232057C" w14:textId="77777777" w:rsidR="0060260A" w:rsidRPr="00BD688A" w:rsidRDefault="0060260A" w:rsidP="001407E5">
            <w:pPr>
              <w:spacing w:line="360" w:lineRule="auto"/>
              <w:rPr>
                <w:rFonts w:ascii="Arial" w:hAnsi="Arial" w:cs="Arial"/>
                <w:color w:val="000000" w:themeColor="text1"/>
                <w:sz w:val="20"/>
                <w:szCs w:val="20"/>
              </w:rPr>
            </w:pPr>
            <w:r w:rsidRPr="00BD688A">
              <w:rPr>
                <w:rFonts w:ascii="Arial" w:hAnsi="Arial" w:cs="Arial"/>
                <w:color w:val="000000" w:themeColor="text1"/>
                <w:sz w:val="20"/>
                <w:szCs w:val="20"/>
              </w:rPr>
              <w:t>4.545</w:t>
            </w:r>
          </w:p>
        </w:tc>
        <w:tc>
          <w:tcPr>
            <w:tcW w:w="2835" w:type="dxa"/>
            <w:shd w:val="clear" w:color="auto" w:fill="auto"/>
            <w:noWrap/>
            <w:hideMark/>
          </w:tcPr>
          <w:p w14:paraId="74092A9A" w14:textId="77777777" w:rsidR="0060260A" w:rsidRPr="00BD688A" w:rsidRDefault="0060260A" w:rsidP="001407E5">
            <w:pPr>
              <w:spacing w:line="360" w:lineRule="auto"/>
              <w:rPr>
                <w:rFonts w:ascii="Arial" w:hAnsi="Arial" w:cs="Arial"/>
                <w:color w:val="000000" w:themeColor="text1"/>
                <w:sz w:val="20"/>
                <w:szCs w:val="20"/>
              </w:rPr>
            </w:pPr>
            <w:r w:rsidRPr="00BD688A">
              <w:rPr>
                <w:rFonts w:ascii="Arial" w:hAnsi="Arial" w:cs="Arial"/>
                <w:color w:val="000000" w:themeColor="text1"/>
                <w:sz w:val="20"/>
                <w:szCs w:val="20"/>
              </w:rPr>
              <w:t>0.837</w:t>
            </w:r>
          </w:p>
        </w:tc>
      </w:tr>
      <w:tr w:rsidR="0060260A" w:rsidRPr="003A2A60" w14:paraId="59473535" w14:textId="77777777" w:rsidTr="00BD688A">
        <w:trPr>
          <w:trHeight w:val="170"/>
        </w:trPr>
        <w:tc>
          <w:tcPr>
            <w:tcW w:w="2694" w:type="dxa"/>
            <w:shd w:val="clear" w:color="auto" w:fill="auto"/>
            <w:noWrap/>
          </w:tcPr>
          <w:p w14:paraId="0881D44F" w14:textId="77777777" w:rsidR="0060260A" w:rsidRPr="00BD688A" w:rsidRDefault="0060260A" w:rsidP="001407E5">
            <w:pPr>
              <w:spacing w:line="360" w:lineRule="auto"/>
              <w:rPr>
                <w:rFonts w:ascii="Arial" w:hAnsi="Arial" w:cs="Arial"/>
                <w:color w:val="000000" w:themeColor="text1"/>
                <w:sz w:val="20"/>
                <w:szCs w:val="20"/>
              </w:rPr>
            </w:pPr>
            <w:r w:rsidRPr="00BD688A">
              <w:rPr>
                <w:rFonts w:ascii="Arial" w:hAnsi="Arial" w:cs="Arial"/>
                <w:color w:val="000000" w:themeColor="text1"/>
                <w:sz w:val="20"/>
                <w:szCs w:val="20"/>
              </w:rPr>
              <w:t xml:space="preserve">Methaqualone </w:t>
            </w:r>
          </w:p>
        </w:tc>
        <w:tc>
          <w:tcPr>
            <w:tcW w:w="1842" w:type="dxa"/>
            <w:shd w:val="clear" w:color="auto" w:fill="auto"/>
            <w:noWrap/>
          </w:tcPr>
          <w:p w14:paraId="77BA9930" w14:textId="77777777" w:rsidR="0060260A" w:rsidRPr="00BD688A" w:rsidRDefault="0060260A" w:rsidP="001407E5">
            <w:pPr>
              <w:spacing w:line="360" w:lineRule="auto"/>
              <w:rPr>
                <w:rFonts w:ascii="Arial" w:hAnsi="Arial" w:cs="Arial"/>
                <w:color w:val="000000" w:themeColor="text1"/>
                <w:sz w:val="20"/>
                <w:szCs w:val="20"/>
              </w:rPr>
            </w:pPr>
            <w:r w:rsidRPr="00BD688A">
              <w:rPr>
                <w:rFonts w:ascii="Arial" w:hAnsi="Arial" w:cs="Arial"/>
                <w:color w:val="000000" w:themeColor="text1"/>
                <w:sz w:val="20"/>
                <w:szCs w:val="20"/>
              </w:rPr>
              <w:t>4.748</w:t>
            </w:r>
          </w:p>
        </w:tc>
        <w:tc>
          <w:tcPr>
            <w:tcW w:w="2835" w:type="dxa"/>
            <w:shd w:val="clear" w:color="auto" w:fill="auto"/>
            <w:noWrap/>
          </w:tcPr>
          <w:p w14:paraId="4C93B302" w14:textId="77777777" w:rsidR="0060260A" w:rsidRPr="00BD688A" w:rsidRDefault="0060260A" w:rsidP="001407E5">
            <w:pPr>
              <w:spacing w:line="360" w:lineRule="auto"/>
              <w:rPr>
                <w:rFonts w:ascii="Arial" w:hAnsi="Arial" w:cs="Arial"/>
                <w:color w:val="000000" w:themeColor="text1"/>
                <w:sz w:val="20"/>
                <w:szCs w:val="20"/>
              </w:rPr>
            </w:pPr>
            <w:r w:rsidRPr="00BD688A">
              <w:rPr>
                <w:rFonts w:ascii="Arial" w:hAnsi="Arial" w:cs="Arial"/>
                <w:color w:val="000000" w:themeColor="text1"/>
                <w:sz w:val="20"/>
                <w:szCs w:val="20"/>
              </w:rPr>
              <w:t>0.875</w:t>
            </w:r>
          </w:p>
        </w:tc>
      </w:tr>
      <w:tr w:rsidR="0060260A" w:rsidRPr="003A2A60" w14:paraId="5D7BA8B6" w14:textId="77777777" w:rsidTr="00BD688A">
        <w:trPr>
          <w:trHeight w:val="170"/>
        </w:trPr>
        <w:tc>
          <w:tcPr>
            <w:tcW w:w="2694" w:type="dxa"/>
            <w:shd w:val="clear" w:color="auto" w:fill="auto"/>
            <w:noWrap/>
          </w:tcPr>
          <w:p w14:paraId="1BD11829" w14:textId="77777777" w:rsidR="0060260A" w:rsidRPr="00BD688A" w:rsidRDefault="0060260A" w:rsidP="001407E5">
            <w:pPr>
              <w:spacing w:line="360" w:lineRule="auto"/>
              <w:rPr>
                <w:rFonts w:ascii="Arial" w:hAnsi="Arial" w:cs="Arial"/>
                <w:color w:val="000000" w:themeColor="text1"/>
                <w:sz w:val="20"/>
                <w:szCs w:val="20"/>
              </w:rPr>
            </w:pPr>
            <w:r w:rsidRPr="00BD688A">
              <w:rPr>
                <w:rFonts w:ascii="Arial" w:hAnsi="Arial" w:cs="Arial"/>
                <w:color w:val="000000" w:themeColor="text1"/>
                <w:sz w:val="20"/>
                <w:szCs w:val="20"/>
              </w:rPr>
              <w:t xml:space="preserve">Cocaine </w:t>
            </w:r>
          </w:p>
        </w:tc>
        <w:tc>
          <w:tcPr>
            <w:tcW w:w="1842" w:type="dxa"/>
            <w:shd w:val="clear" w:color="auto" w:fill="auto"/>
            <w:noWrap/>
          </w:tcPr>
          <w:p w14:paraId="3F989192" w14:textId="77777777" w:rsidR="0060260A" w:rsidRPr="00BD688A" w:rsidRDefault="0060260A" w:rsidP="001407E5">
            <w:pPr>
              <w:spacing w:line="360" w:lineRule="auto"/>
              <w:rPr>
                <w:rFonts w:ascii="Arial" w:hAnsi="Arial" w:cs="Arial"/>
                <w:color w:val="000000" w:themeColor="text1"/>
                <w:sz w:val="20"/>
                <w:szCs w:val="20"/>
              </w:rPr>
            </w:pPr>
            <w:r w:rsidRPr="00BD688A">
              <w:rPr>
                <w:rFonts w:ascii="Arial" w:hAnsi="Arial" w:cs="Arial"/>
                <w:color w:val="000000" w:themeColor="text1"/>
                <w:sz w:val="20"/>
                <w:szCs w:val="20"/>
              </w:rPr>
              <w:t>4.891</w:t>
            </w:r>
          </w:p>
        </w:tc>
        <w:tc>
          <w:tcPr>
            <w:tcW w:w="2835" w:type="dxa"/>
            <w:shd w:val="clear" w:color="auto" w:fill="auto"/>
            <w:noWrap/>
          </w:tcPr>
          <w:p w14:paraId="5B155C1D" w14:textId="77777777" w:rsidR="0060260A" w:rsidRPr="00BD688A" w:rsidRDefault="0060260A" w:rsidP="001407E5">
            <w:pPr>
              <w:spacing w:line="360" w:lineRule="auto"/>
              <w:rPr>
                <w:rFonts w:ascii="Arial" w:hAnsi="Arial" w:cs="Arial"/>
                <w:color w:val="000000" w:themeColor="text1"/>
                <w:sz w:val="20"/>
                <w:szCs w:val="20"/>
              </w:rPr>
            </w:pPr>
            <w:r w:rsidRPr="00BD688A">
              <w:rPr>
                <w:rFonts w:ascii="Arial" w:hAnsi="Arial" w:cs="Arial"/>
                <w:color w:val="000000" w:themeColor="text1"/>
                <w:sz w:val="20"/>
                <w:szCs w:val="20"/>
              </w:rPr>
              <w:t>0.901</w:t>
            </w:r>
          </w:p>
        </w:tc>
      </w:tr>
      <w:tr w:rsidR="0060260A" w:rsidRPr="003A2A60" w14:paraId="3DB033F1" w14:textId="77777777" w:rsidTr="00BD688A">
        <w:trPr>
          <w:trHeight w:val="170"/>
        </w:trPr>
        <w:tc>
          <w:tcPr>
            <w:tcW w:w="2694" w:type="dxa"/>
            <w:shd w:val="clear" w:color="auto" w:fill="auto"/>
            <w:noWrap/>
            <w:hideMark/>
          </w:tcPr>
          <w:p w14:paraId="6C0448B3" w14:textId="77777777" w:rsidR="0060260A" w:rsidRPr="00BD688A" w:rsidRDefault="0060260A" w:rsidP="001407E5">
            <w:pPr>
              <w:spacing w:line="360" w:lineRule="auto"/>
              <w:rPr>
                <w:rFonts w:ascii="Arial" w:hAnsi="Arial" w:cs="Arial"/>
                <w:color w:val="000000" w:themeColor="text1"/>
                <w:sz w:val="20"/>
                <w:szCs w:val="20"/>
              </w:rPr>
            </w:pPr>
            <w:r w:rsidRPr="00BD688A">
              <w:rPr>
                <w:rFonts w:ascii="Arial" w:hAnsi="Arial" w:cs="Arial"/>
                <w:color w:val="000000" w:themeColor="text1"/>
                <w:sz w:val="20"/>
                <w:szCs w:val="20"/>
              </w:rPr>
              <w:t>Tetrahydrocannabivarin</w:t>
            </w:r>
          </w:p>
        </w:tc>
        <w:tc>
          <w:tcPr>
            <w:tcW w:w="1842" w:type="dxa"/>
            <w:shd w:val="clear" w:color="auto" w:fill="auto"/>
            <w:noWrap/>
            <w:hideMark/>
          </w:tcPr>
          <w:p w14:paraId="7B65DB28" w14:textId="77777777" w:rsidR="0060260A" w:rsidRPr="00BD688A" w:rsidRDefault="0060260A" w:rsidP="001407E5">
            <w:pPr>
              <w:spacing w:line="360" w:lineRule="auto"/>
              <w:rPr>
                <w:rFonts w:ascii="Arial" w:hAnsi="Arial" w:cs="Arial"/>
                <w:color w:val="000000" w:themeColor="text1"/>
                <w:sz w:val="20"/>
                <w:szCs w:val="20"/>
              </w:rPr>
            </w:pPr>
            <w:r w:rsidRPr="00BD688A">
              <w:rPr>
                <w:rFonts w:ascii="Arial" w:hAnsi="Arial" w:cs="Arial"/>
                <w:color w:val="000000" w:themeColor="text1"/>
                <w:sz w:val="20"/>
                <w:szCs w:val="20"/>
              </w:rPr>
              <w:t>5.241</w:t>
            </w:r>
          </w:p>
        </w:tc>
        <w:tc>
          <w:tcPr>
            <w:tcW w:w="2835" w:type="dxa"/>
            <w:shd w:val="clear" w:color="auto" w:fill="auto"/>
            <w:noWrap/>
            <w:hideMark/>
          </w:tcPr>
          <w:p w14:paraId="0D958F89" w14:textId="77777777" w:rsidR="0060260A" w:rsidRPr="00BD688A" w:rsidRDefault="0060260A" w:rsidP="001407E5">
            <w:pPr>
              <w:spacing w:line="360" w:lineRule="auto"/>
              <w:rPr>
                <w:rFonts w:ascii="Arial" w:hAnsi="Arial" w:cs="Arial"/>
                <w:color w:val="000000" w:themeColor="text1"/>
                <w:sz w:val="20"/>
                <w:szCs w:val="20"/>
              </w:rPr>
            </w:pPr>
            <w:r w:rsidRPr="00BD688A">
              <w:rPr>
                <w:rFonts w:ascii="Arial" w:hAnsi="Arial" w:cs="Arial"/>
                <w:color w:val="000000" w:themeColor="text1"/>
                <w:sz w:val="20"/>
                <w:szCs w:val="20"/>
              </w:rPr>
              <w:t>0.966</w:t>
            </w:r>
          </w:p>
        </w:tc>
      </w:tr>
      <w:tr w:rsidR="0060260A" w:rsidRPr="003A2A60" w14:paraId="26E5592D" w14:textId="77777777" w:rsidTr="00BD688A">
        <w:trPr>
          <w:trHeight w:val="170"/>
        </w:trPr>
        <w:tc>
          <w:tcPr>
            <w:tcW w:w="2694" w:type="dxa"/>
            <w:shd w:val="clear" w:color="auto" w:fill="auto"/>
            <w:noWrap/>
            <w:hideMark/>
          </w:tcPr>
          <w:p w14:paraId="2BC56EBB" w14:textId="77777777" w:rsidR="0060260A" w:rsidRPr="00BD688A" w:rsidRDefault="0060260A" w:rsidP="001407E5">
            <w:pPr>
              <w:spacing w:line="360" w:lineRule="auto"/>
              <w:rPr>
                <w:rFonts w:ascii="Arial" w:hAnsi="Arial" w:cs="Arial"/>
                <w:color w:val="000000" w:themeColor="text1"/>
                <w:sz w:val="20"/>
                <w:szCs w:val="20"/>
              </w:rPr>
            </w:pPr>
            <w:r w:rsidRPr="00BD688A">
              <w:rPr>
                <w:rFonts w:ascii="Arial" w:hAnsi="Arial" w:cs="Arial"/>
                <w:color w:val="000000" w:themeColor="text1"/>
                <w:sz w:val="20"/>
                <w:szCs w:val="20"/>
              </w:rPr>
              <w:t>Tetracosane</w:t>
            </w:r>
          </w:p>
        </w:tc>
        <w:tc>
          <w:tcPr>
            <w:tcW w:w="1842" w:type="dxa"/>
            <w:shd w:val="clear" w:color="auto" w:fill="auto"/>
            <w:noWrap/>
            <w:hideMark/>
          </w:tcPr>
          <w:p w14:paraId="5035CF07" w14:textId="77777777" w:rsidR="0060260A" w:rsidRPr="00BD688A" w:rsidRDefault="0060260A" w:rsidP="001407E5">
            <w:pPr>
              <w:spacing w:line="360" w:lineRule="auto"/>
              <w:rPr>
                <w:rFonts w:ascii="Arial" w:hAnsi="Arial" w:cs="Arial"/>
                <w:color w:val="000000" w:themeColor="text1"/>
                <w:sz w:val="20"/>
                <w:szCs w:val="20"/>
              </w:rPr>
            </w:pPr>
            <w:r w:rsidRPr="00BD688A">
              <w:rPr>
                <w:rFonts w:ascii="Arial" w:hAnsi="Arial" w:cs="Arial"/>
                <w:color w:val="000000" w:themeColor="text1"/>
                <w:sz w:val="20"/>
                <w:szCs w:val="20"/>
              </w:rPr>
              <w:t>5.427</w:t>
            </w:r>
          </w:p>
        </w:tc>
        <w:tc>
          <w:tcPr>
            <w:tcW w:w="2835" w:type="dxa"/>
            <w:shd w:val="clear" w:color="auto" w:fill="auto"/>
            <w:noWrap/>
            <w:hideMark/>
          </w:tcPr>
          <w:p w14:paraId="3B542A3E" w14:textId="77777777" w:rsidR="0060260A" w:rsidRPr="00BD688A" w:rsidRDefault="0060260A" w:rsidP="001407E5">
            <w:pPr>
              <w:spacing w:line="360" w:lineRule="auto"/>
              <w:rPr>
                <w:rFonts w:ascii="Arial" w:hAnsi="Arial" w:cs="Arial"/>
                <w:color w:val="000000" w:themeColor="text1"/>
                <w:sz w:val="20"/>
                <w:szCs w:val="20"/>
              </w:rPr>
            </w:pPr>
            <w:r w:rsidRPr="00BD688A">
              <w:rPr>
                <w:rFonts w:ascii="Arial" w:hAnsi="Arial" w:cs="Arial"/>
                <w:color w:val="000000" w:themeColor="text1"/>
                <w:sz w:val="20"/>
                <w:szCs w:val="20"/>
              </w:rPr>
              <w:t>1.00</w:t>
            </w:r>
          </w:p>
        </w:tc>
      </w:tr>
      <w:tr w:rsidR="0060260A" w:rsidRPr="003A2A60" w14:paraId="51583AAE" w14:textId="77777777" w:rsidTr="00BD688A">
        <w:trPr>
          <w:trHeight w:val="170"/>
        </w:trPr>
        <w:tc>
          <w:tcPr>
            <w:tcW w:w="2694" w:type="dxa"/>
            <w:shd w:val="clear" w:color="auto" w:fill="auto"/>
            <w:noWrap/>
            <w:hideMark/>
          </w:tcPr>
          <w:p w14:paraId="479AE638" w14:textId="77777777" w:rsidR="0060260A" w:rsidRPr="00BD688A" w:rsidRDefault="0060260A" w:rsidP="001407E5">
            <w:pPr>
              <w:spacing w:line="360" w:lineRule="auto"/>
              <w:rPr>
                <w:rFonts w:ascii="Arial" w:hAnsi="Arial" w:cs="Arial"/>
                <w:color w:val="000000" w:themeColor="text1"/>
                <w:sz w:val="20"/>
                <w:szCs w:val="20"/>
              </w:rPr>
            </w:pPr>
            <w:proofErr w:type="spellStart"/>
            <w:r w:rsidRPr="00BD688A">
              <w:rPr>
                <w:rFonts w:ascii="Arial" w:hAnsi="Arial" w:cs="Arial"/>
                <w:color w:val="000000" w:themeColor="text1"/>
                <w:sz w:val="20"/>
                <w:szCs w:val="20"/>
              </w:rPr>
              <w:t>Cannabivarin</w:t>
            </w:r>
            <w:proofErr w:type="spellEnd"/>
          </w:p>
        </w:tc>
        <w:tc>
          <w:tcPr>
            <w:tcW w:w="1842" w:type="dxa"/>
            <w:shd w:val="clear" w:color="auto" w:fill="auto"/>
            <w:noWrap/>
            <w:hideMark/>
          </w:tcPr>
          <w:p w14:paraId="1C7EC824" w14:textId="77777777" w:rsidR="0060260A" w:rsidRPr="00BD688A" w:rsidRDefault="0060260A" w:rsidP="001407E5">
            <w:pPr>
              <w:spacing w:line="360" w:lineRule="auto"/>
              <w:rPr>
                <w:rFonts w:ascii="Arial" w:hAnsi="Arial" w:cs="Arial"/>
                <w:color w:val="000000" w:themeColor="text1"/>
                <w:sz w:val="20"/>
                <w:szCs w:val="20"/>
              </w:rPr>
            </w:pPr>
            <w:r w:rsidRPr="00BD688A">
              <w:rPr>
                <w:rFonts w:ascii="Arial" w:hAnsi="Arial" w:cs="Arial"/>
                <w:color w:val="000000" w:themeColor="text1"/>
                <w:sz w:val="20"/>
                <w:szCs w:val="20"/>
              </w:rPr>
              <w:t>5.573</w:t>
            </w:r>
          </w:p>
        </w:tc>
        <w:tc>
          <w:tcPr>
            <w:tcW w:w="2835" w:type="dxa"/>
            <w:shd w:val="clear" w:color="auto" w:fill="auto"/>
            <w:noWrap/>
            <w:hideMark/>
          </w:tcPr>
          <w:p w14:paraId="46D0BFBB" w14:textId="77777777" w:rsidR="0060260A" w:rsidRPr="00BD688A" w:rsidRDefault="0060260A" w:rsidP="001407E5">
            <w:pPr>
              <w:spacing w:line="360" w:lineRule="auto"/>
              <w:rPr>
                <w:rFonts w:ascii="Arial" w:hAnsi="Arial" w:cs="Arial"/>
                <w:color w:val="000000" w:themeColor="text1"/>
                <w:sz w:val="20"/>
                <w:szCs w:val="20"/>
              </w:rPr>
            </w:pPr>
            <w:r w:rsidRPr="00BD688A">
              <w:rPr>
                <w:rFonts w:ascii="Arial" w:hAnsi="Arial" w:cs="Arial"/>
                <w:color w:val="000000" w:themeColor="text1"/>
                <w:sz w:val="20"/>
                <w:szCs w:val="20"/>
              </w:rPr>
              <w:t>1.027</w:t>
            </w:r>
          </w:p>
        </w:tc>
      </w:tr>
      <w:tr w:rsidR="0060260A" w:rsidRPr="003A2A60" w14:paraId="0C25A080" w14:textId="77777777" w:rsidTr="00BD688A">
        <w:trPr>
          <w:trHeight w:val="170"/>
        </w:trPr>
        <w:tc>
          <w:tcPr>
            <w:tcW w:w="2694" w:type="dxa"/>
            <w:shd w:val="clear" w:color="auto" w:fill="auto"/>
            <w:noWrap/>
            <w:hideMark/>
          </w:tcPr>
          <w:p w14:paraId="40D00592" w14:textId="77777777" w:rsidR="0060260A" w:rsidRPr="00BD688A" w:rsidRDefault="0060260A" w:rsidP="001407E5">
            <w:pPr>
              <w:spacing w:line="360" w:lineRule="auto"/>
              <w:rPr>
                <w:rFonts w:ascii="Arial" w:hAnsi="Arial" w:cs="Arial"/>
                <w:color w:val="000000" w:themeColor="text1"/>
                <w:sz w:val="20"/>
                <w:szCs w:val="20"/>
              </w:rPr>
            </w:pPr>
            <w:proofErr w:type="spellStart"/>
            <w:r w:rsidRPr="00BD688A">
              <w:rPr>
                <w:rFonts w:ascii="Arial" w:hAnsi="Arial" w:cs="Arial"/>
                <w:color w:val="000000" w:themeColor="text1"/>
                <w:sz w:val="20"/>
                <w:szCs w:val="20"/>
              </w:rPr>
              <w:t>Cannabichromene</w:t>
            </w:r>
            <w:proofErr w:type="spellEnd"/>
          </w:p>
        </w:tc>
        <w:tc>
          <w:tcPr>
            <w:tcW w:w="1842" w:type="dxa"/>
            <w:shd w:val="clear" w:color="auto" w:fill="auto"/>
            <w:noWrap/>
            <w:hideMark/>
          </w:tcPr>
          <w:p w14:paraId="07727C26" w14:textId="77777777" w:rsidR="0060260A" w:rsidRPr="00BD688A" w:rsidRDefault="0060260A" w:rsidP="001407E5">
            <w:pPr>
              <w:spacing w:line="360" w:lineRule="auto"/>
              <w:rPr>
                <w:rFonts w:ascii="Arial" w:hAnsi="Arial" w:cs="Arial"/>
                <w:color w:val="000000" w:themeColor="text1"/>
                <w:sz w:val="20"/>
                <w:szCs w:val="20"/>
              </w:rPr>
            </w:pPr>
            <w:r w:rsidRPr="00BD688A">
              <w:rPr>
                <w:rFonts w:ascii="Arial" w:hAnsi="Arial" w:cs="Arial"/>
                <w:color w:val="000000" w:themeColor="text1"/>
                <w:sz w:val="20"/>
                <w:szCs w:val="20"/>
              </w:rPr>
              <w:t>5.731</w:t>
            </w:r>
          </w:p>
        </w:tc>
        <w:tc>
          <w:tcPr>
            <w:tcW w:w="2835" w:type="dxa"/>
            <w:shd w:val="clear" w:color="auto" w:fill="auto"/>
            <w:noWrap/>
            <w:hideMark/>
          </w:tcPr>
          <w:p w14:paraId="4E116391" w14:textId="77777777" w:rsidR="0060260A" w:rsidRPr="00BD688A" w:rsidRDefault="0060260A" w:rsidP="001407E5">
            <w:pPr>
              <w:spacing w:line="360" w:lineRule="auto"/>
              <w:rPr>
                <w:rFonts w:ascii="Arial" w:hAnsi="Arial" w:cs="Arial"/>
                <w:color w:val="000000" w:themeColor="text1"/>
                <w:sz w:val="20"/>
                <w:szCs w:val="20"/>
              </w:rPr>
            </w:pPr>
            <w:r w:rsidRPr="00BD688A">
              <w:rPr>
                <w:rFonts w:ascii="Arial" w:hAnsi="Arial" w:cs="Arial"/>
                <w:color w:val="000000" w:themeColor="text1"/>
                <w:sz w:val="20"/>
                <w:szCs w:val="20"/>
              </w:rPr>
              <w:t>1.056</w:t>
            </w:r>
          </w:p>
        </w:tc>
      </w:tr>
      <w:tr w:rsidR="0060260A" w:rsidRPr="003A2A60" w14:paraId="7888E0C7" w14:textId="77777777" w:rsidTr="00BD688A">
        <w:trPr>
          <w:trHeight w:val="170"/>
        </w:trPr>
        <w:tc>
          <w:tcPr>
            <w:tcW w:w="2694" w:type="dxa"/>
            <w:shd w:val="clear" w:color="auto" w:fill="auto"/>
            <w:noWrap/>
            <w:hideMark/>
          </w:tcPr>
          <w:p w14:paraId="1A8AF46B" w14:textId="77777777" w:rsidR="0060260A" w:rsidRPr="00BD688A" w:rsidRDefault="0060260A" w:rsidP="001407E5">
            <w:pPr>
              <w:spacing w:line="360" w:lineRule="auto"/>
              <w:rPr>
                <w:rFonts w:ascii="Arial" w:hAnsi="Arial" w:cs="Arial"/>
                <w:color w:val="000000" w:themeColor="text1"/>
                <w:sz w:val="20"/>
                <w:szCs w:val="20"/>
              </w:rPr>
            </w:pPr>
            <w:r w:rsidRPr="00BD688A">
              <w:rPr>
                <w:rFonts w:ascii="Arial" w:hAnsi="Arial" w:cs="Arial"/>
                <w:color w:val="000000" w:themeColor="text1"/>
                <w:sz w:val="20"/>
                <w:szCs w:val="20"/>
              </w:rPr>
              <w:t>Cannabidiol</w:t>
            </w:r>
          </w:p>
        </w:tc>
        <w:tc>
          <w:tcPr>
            <w:tcW w:w="1842" w:type="dxa"/>
            <w:shd w:val="clear" w:color="auto" w:fill="auto"/>
            <w:noWrap/>
            <w:hideMark/>
          </w:tcPr>
          <w:p w14:paraId="5FCF5CE6" w14:textId="77777777" w:rsidR="0060260A" w:rsidRPr="00BD688A" w:rsidRDefault="0060260A" w:rsidP="001407E5">
            <w:pPr>
              <w:spacing w:line="360" w:lineRule="auto"/>
              <w:rPr>
                <w:rFonts w:ascii="Arial" w:hAnsi="Arial" w:cs="Arial"/>
                <w:color w:val="000000" w:themeColor="text1"/>
                <w:sz w:val="20"/>
                <w:szCs w:val="20"/>
              </w:rPr>
            </w:pPr>
            <w:r w:rsidRPr="00BD688A">
              <w:rPr>
                <w:rFonts w:ascii="Arial" w:hAnsi="Arial" w:cs="Arial"/>
                <w:color w:val="000000" w:themeColor="text1"/>
                <w:sz w:val="20"/>
                <w:szCs w:val="20"/>
              </w:rPr>
              <w:t>5.754</w:t>
            </w:r>
          </w:p>
        </w:tc>
        <w:tc>
          <w:tcPr>
            <w:tcW w:w="2835" w:type="dxa"/>
            <w:shd w:val="clear" w:color="auto" w:fill="auto"/>
            <w:noWrap/>
            <w:hideMark/>
          </w:tcPr>
          <w:p w14:paraId="312BCDF4" w14:textId="77777777" w:rsidR="0060260A" w:rsidRPr="00BD688A" w:rsidRDefault="0060260A" w:rsidP="001407E5">
            <w:pPr>
              <w:spacing w:line="360" w:lineRule="auto"/>
              <w:rPr>
                <w:rFonts w:ascii="Arial" w:hAnsi="Arial" w:cs="Arial"/>
                <w:color w:val="000000" w:themeColor="text1"/>
                <w:sz w:val="20"/>
                <w:szCs w:val="20"/>
              </w:rPr>
            </w:pPr>
            <w:r w:rsidRPr="00BD688A">
              <w:rPr>
                <w:rFonts w:ascii="Arial" w:hAnsi="Arial" w:cs="Arial"/>
                <w:color w:val="000000" w:themeColor="text1"/>
                <w:sz w:val="20"/>
                <w:szCs w:val="20"/>
              </w:rPr>
              <w:t>1.060</w:t>
            </w:r>
          </w:p>
        </w:tc>
      </w:tr>
      <w:tr w:rsidR="0060260A" w:rsidRPr="003A2A60" w14:paraId="3E6B0D9D" w14:textId="77777777" w:rsidTr="00BD688A">
        <w:trPr>
          <w:trHeight w:val="170"/>
        </w:trPr>
        <w:tc>
          <w:tcPr>
            <w:tcW w:w="2694" w:type="dxa"/>
            <w:shd w:val="clear" w:color="auto" w:fill="auto"/>
            <w:noWrap/>
            <w:hideMark/>
          </w:tcPr>
          <w:p w14:paraId="36243C03" w14:textId="77777777" w:rsidR="0060260A" w:rsidRPr="00BD688A" w:rsidRDefault="0060260A" w:rsidP="001407E5">
            <w:pPr>
              <w:spacing w:line="360" w:lineRule="auto"/>
              <w:rPr>
                <w:rFonts w:ascii="Arial" w:hAnsi="Arial" w:cs="Arial"/>
                <w:color w:val="000000" w:themeColor="text1"/>
                <w:sz w:val="20"/>
                <w:szCs w:val="20"/>
              </w:rPr>
            </w:pPr>
            <w:r w:rsidRPr="00BD688A">
              <w:rPr>
                <w:rFonts w:ascii="Arial" w:hAnsi="Arial" w:cs="Arial"/>
                <w:color w:val="000000" w:themeColor="text1"/>
                <w:sz w:val="20"/>
                <w:szCs w:val="20"/>
              </w:rPr>
              <w:t>Nevirapine</w:t>
            </w:r>
          </w:p>
        </w:tc>
        <w:tc>
          <w:tcPr>
            <w:tcW w:w="1842" w:type="dxa"/>
            <w:shd w:val="clear" w:color="auto" w:fill="auto"/>
            <w:noWrap/>
            <w:hideMark/>
          </w:tcPr>
          <w:p w14:paraId="271F1389" w14:textId="77777777" w:rsidR="0060260A" w:rsidRPr="00BD688A" w:rsidRDefault="0060260A" w:rsidP="001407E5">
            <w:pPr>
              <w:spacing w:line="360" w:lineRule="auto"/>
              <w:rPr>
                <w:rFonts w:ascii="Arial" w:hAnsi="Arial" w:cs="Arial"/>
                <w:color w:val="000000" w:themeColor="text1"/>
                <w:sz w:val="20"/>
                <w:szCs w:val="20"/>
              </w:rPr>
            </w:pPr>
            <w:r w:rsidRPr="00BD688A">
              <w:rPr>
                <w:rFonts w:ascii="Arial" w:hAnsi="Arial" w:cs="Arial"/>
                <w:color w:val="000000" w:themeColor="text1"/>
                <w:sz w:val="20"/>
                <w:szCs w:val="20"/>
              </w:rPr>
              <w:t>5.949</w:t>
            </w:r>
          </w:p>
        </w:tc>
        <w:tc>
          <w:tcPr>
            <w:tcW w:w="2835" w:type="dxa"/>
            <w:shd w:val="clear" w:color="auto" w:fill="auto"/>
            <w:noWrap/>
            <w:hideMark/>
          </w:tcPr>
          <w:p w14:paraId="6E3D3D71" w14:textId="77777777" w:rsidR="0060260A" w:rsidRPr="00BD688A" w:rsidRDefault="0060260A" w:rsidP="001407E5">
            <w:pPr>
              <w:spacing w:line="360" w:lineRule="auto"/>
              <w:rPr>
                <w:rFonts w:ascii="Arial" w:hAnsi="Arial" w:cs="Arial"/>
                <w:color w:val="000000" w:themeColor="text1"/>
                <w:sz w:val="20"/>
                <w:szCs w:val="20"/>
              </w:rPr>
            </w:pPr>
            <w:r w:rsidRPr="00BD688A">
              <w:rPr>
                <w:rFonts w:ascii="Arial" w:hAnsi="Arial" w:cs="Arial"/>
                <w:color w:val="000000" w:themeColor="text1"/>
                <w:sz w:val="20"/>
                <w:szCs w:val="20"/>
              </w:rPr>
              <w:t>1.096</w:t>
            </w:r>
          </w:p>
        </w:tc>
      </w:tr>
      <w:tr w:rsidR="0060260A" w:rsidRPr="003A2A60" w14:paraId="433A1C92" w14:textId="77777777" w:rsidTr="00BD688A">
        <w:trPr>
          <w:trHeight w:val="170"/>
        </w:trPr>
        <w:tc>
          <w:tcPr>
            <w:tcW w:w="2694" w:type="dxa"/>
            <w:shd w:val="clear" w:color="auto" w:fill="auto"/>
            <w:noWrap/>
            <w:hideMark/>
          </w:tcPr>
          <w:p w14:paraId="2BF619BA" w14:textId="77777777" w:rsidR="0060260A" w:rsidRPr="00BD688A" w:rsidRDefault="0060260A" w:rsidP="001407E5">
            <w:pPr>
              <w:spacing w:line="360" w:lineRule="auto"/>
              <w:rPr>
                <w:rFonts w:ascii="Arial" w:hAnsi="Arial" w:cs="Arial"/>
                <w:color w:val="000000" w:themeColor="text1"/>
                <w:sz w:val="20"/>
                <w:szCs w:val="20"/>
              </w:rPr>
            </w:pPr>
            <w:r w:rsidRPr="00BD688A">
              <w:rPr>
                <w:rFonts w:ascii="Arial" w:hAnsi="Arial" w:cs="Arial"/>
                <w:color w:val="000000" w:themeColor="text1"/>
                <w:sz w:val="20"/>
                <w:szCs w:val="20"/>
                <w:lang w:val="en-US"/>
              </w:rPr>
              <w:t>Δ</w:t>
            </w:r>
            <w:r w:rsidRPr="00BD688A">
              <w:rPr>
                <w:rFonts w:ascii="Arial" w:hAnsi="Arial" w:cs="Arial"/>
                <w:color w:val="000000" w:themeColor="text1"/>
                <w:sz w:val="20"/>
                <w:szCs w:val="20"/>
                <w:vertAlign w:val="superscript"/>
                <w:lang w:val="en-US"/>
              </w:rPr>
              <w:t>9</w:t>
            </w:r>
            <w:r w:rsidRPr="00BD688A">
              <w:rPr>
                <w:rFonts w:ascii="Arial" w:hAnsi="Arial" w:cs="Arial"/>
                <w:color w:val="000000" w:themeColor="text1"/>
                <w:sz w:val="20"/>
                <w:szCs w:val="20"/>
                <w:lang w:val="en-US"/>
              </w:rPr>
              <w:t>-THC</w:t>
            </w:r>
          </w:p>
        </w:tc>
        <w:tc>
          <w:tcPr>
            <w:tcW w:w="1842" w:type="dxa"/>
            <w:shd w:val="clear" w:color="auto" w:fill="auto"/>
            <w:noWrap/>
            <w:hideMark/>
          </w:tcPr>
          <w:p w14:paraId="1B45B84F" w14:textId="77777777" w:rsidR="0060260A" w:rsidRPr="00BD688A" w:rsidRDefault="0060260A" w:rsidP="001407E5">
            <w:pPr>
              <w:spacing w:line="360" w:lineRule="auto"/>
              <w:rPr>
                <w:rFonts w:ascii="Arial" w:hAnsi="Arial" w:cs="Arial"/>
                <w:color w:val="000000" w:themeColor="text1"/>
                <w:sz w:val="20"/>
                <w:szCs w:val="20"/>
              </w:rPr>
            </w:pPr>
            <w:r w:rsidRPr="00BD688A">
              <w:rPr>
                <w:rFonts w:ascii="Arial" w:hAnsi="Arial" w:cs="Arial"/>
                <w:color w:val="000000" w:themeColor="text1"/>
                <w:sz w:val="20"/>
                <w:szCs w:val="20"/>
              </w:rPr>
              <w:t>6.234</w:t>
            </w:r>
          </w:p>
        </w:tc>
        <w:tc>
          <w:tcPr>
            <w:tcW w:w="2835" w:type="dxa"/>
            <w:shd w:val="clear" w:color="auto" w:fill="auto"/>
            <w:noWrap/>
            <w:hideMark/>
          </w:tcPr>
          <w:p w14:paraId="5CBC69F7" w14:textId="77777777" w:rsidR="0060260A" w:rsidRPr="00BD688A" w:rsidRDefault="0060260A" w:rsidP="001407E5">
            <w:pPr>
              <w:spacing w:line="360" w:lineRule="auto"/>
              <w:rPr>
                <w:rFonts w:ascii="Arial" w:hAnsi="Arial" w:cs="Arial"/>
                <w:color w:val="000000" w:themeColor="text1"/>
                <w:sz w:val="20"/>
                <w:szCs w:val="20"/>
              </w:rPr>
            </w:pPr>
            <w:r w:rsidRPr="00BD688A">
              <w:rPr>
                <w:rFonts w:ascii="Arial" w:hAnsi="Arial" w:cs="Arial"/>
                <w:color w:val="000000" w:themeColor="text1"/>
                <w:sz w:val="20"/>
                <w:szCs w:val="20"/>
              </w:rPr>
              <w:t>1.149</w:t>
            </w:r>
          </w:p>
        </w:tc>
      </w:tr>
      <w:tr w:rsidR="0060260A" w:rsidRPr="003A2A60" w14:paraId="20FD12F0" w14:textId="77777777" w:rsidTr="00BD688A">
        <w:trPr>
          <w:trHeight w:val="170"/>
        </w:trPr>
        <w:tc>
          <w:tcPr>
            <w:tcW w:w="2694" w:type="dxa"/>
            <w:shd w:val="clear" w:color="auto" w:fill="auto"/>
            <w:noWrap/>
            <w:hideMark/>
          </w:tcPr>
          <w:p w14:paraId="2766DFD6" w14:textId="77777777" w:rsidR="0060260A" w:rsidRPr="00BD688A" w:rsidRDefault="0060260A" w:rsidP="001407E5">
            <w:pPr>
              <w:spacing w:line="360" w:lineRule="auto"/>
              <w:rPr>
                <w:rFonts w:ascii="Arial" w:hAnsi="Arial" w:cs="Arial"/>
                <w:color w:val="000000" w:themeColor="text1"/>
                <w:sz w:val="20"/>
                <w:szCs w:val="20"/>
              </w:rPr>
            </w:pPr>
            <w:proofErr w:type="spellStart"/>
            <w:r w:rsidRPr="00BD688A">
              <w:rPr>
                <w:rFonts w:ascii="Arial" w:hAnsi="Arial" w:cs="Arial"/>
                <w:color w:val="000000" w:themeColor="text1"/>
                <w:sz w:val="20"/>
                <w:szCs w:val="20"/>
              </w:rPr>
              <w:t>Cannabigerol</w:t>
            </w:r>
            <w:proofErr w:type="spellEnd"/>
          </w:p>
        </w:tc>
        <w:tc>
          <w:tcPr>
            <w:tcW w:w="1842" w:type="dxa"/>
            <w:shd w:val="clear" w:color="auto" w:fill="auto"/>
            <w:noWrap/>
            <w:hideMark/>
          </w:tcPr>
          <w:p w14:paraId="30A5E391" w14:textId="77777777" w:rsidR="0060260A" w:rsidRPr="00BD688A" w:rsidRDefault="0060260A" w:rsidP="001407E5">
            <w:pPr>
              <w:spacing w:line="360" w:lineRule="auto"/>
              <w:rPr>
                <w:rFonts w:ascii="Arial" w:hAnsi="Arial" w:cs="Arial"/>
                <w:color w:val="000000" w:themeColor="text1"/>
                <w:sz w:val="20"/>
                <w:szCs w:val="20"/>
              </w:rPr>
            </w:pPr>
            <w:r w:rsidRPr="00BD688A">
              <w:rPr>
                <w:rFonts w:ascii="Arial" w:hAnsi="Arial" w:cs="Arial"/>
                <w:color w:val="000000" w:themeColor="text1"/>
                <w:sz w:val="20"/>
                <w:szCs w:val="20"/>
              </w:rPr>
              <w:t>6.414</w:t>
            </w:r>
          </w:p>
        </w:tc>
        <w:tc>
          <w:tcPr>
            <w:tcW w:w="2835" w:type="dxa"/>
            <w:shd w:val="clear" w:color="auto" w:fill="auto"/>
            <w:noWrap/>
            <w:hideMark/>
          </w:tcPr>
          <w:p w14:paraId="67180ECF" w14:textId="77777777" w:rsidR="0060260A" w:rsidRPr="00BD688A" w:rsidRDefault="0060260A" w:rsidP="001407E5">
            <w:pPr>
              <w:spacing w:line="360" w:lineRule="auto"/>
              <w:rPr>
                <w:rFonts w:ascii="Arial" w:hAnsi="Arial" w:cs="Arial"/>
                <w:color w:val="000000" w:themeColor="text1"/>
                <w:sz w:val="20"/>
                <w:szCs w:val="20"/>
              </w:rPr>
            </w:pPr>
            <w:r w:rsidRPr="00BD688A">
              <w:rPr>
                <w:rFonts w:ascii="Arial" w:hAnsi="Arial" w:cs="Arial"/>
                <w:color w:val="000000" w:themeColor="text1"/>
                <w:sz w:val="20"/>
                <w:szCs w:val="20"/>
              </w:rPr>
              <w:t>1.182</w:t>
            </w:r>
          </w:p>
        </w:tc>
      </w:tr>
      <w:tr w:rsidR="0060260A" w:rsidRPr="003A2A60" w14:paraId="405F0E17" w14:textId="77777777" w:rsidTr="00BD688A">
        <w:trPr>
          <w:trHeight w:val="170"/>
        </w:trPr>
        <w:tc>
          <w:tcPr>
            <w:tcW w:w="2694" w:type="dxa"/>
            <w:shd w:val="clear" w:color="auto" w:fill="auto"/>
            <w:noWrap/>
            <w:hideMark/>
          </w:tcPr>
          <w:p w14:paraId="27CC3EB5" w14:textId="77777777" w:rsidR="0060260A" w:rsidRPr="00BD688A" w:rsidRDefault="0060260A" w:rsidP="001407E5">
            <w:pPr>
              <w:spacing w:line="360" w:lineRule="auto"/>
              <w:rPr>
                <w:rFonts w:ascii="Arial" w:hAnsi="Arial" w:cs="Arial"/>
                <w:color w:val="000000" w:themeColor="text1"/>
                <w:sz w:val="20"/>
                <w:szCs w:val="20"/>
              </w:rPr>
            </w:pPr>
            <w:proofErr w:type="spellStart"/>
            <w:r w:rsidRPr="00BD688A">
              <w:rPr>
                <w:rFonts w:ascii="Arial" w:hAnsi="Arial" w:cs="Arial"/>
                <w:color w:val="000000" w:themeColor="text1"/>
                <w:sz w:val="20"/>
                <w:szCs w:val="20"/>
              </w:rPr>
              <w:t>Acetylcodeine</w:t>
            </w:r>
            <w:proofErr w:type="spellEnd"/>
          </w:p>
        </w:tc>
        <w:tc>
          <w:tcPr>
            <w:tcW w:w="1842" w:type="dxa"/>
            <w:shd w:val="clear" w:color="auto" w:fill="auto"/>
            <w:noWrap/>
            <w:hideMark/>
          </w:tcPr>
          <w:p w14:paraId="618E5E19" w14:textId="77777777" w:rsidR="0060260A" w:rsidRPr="00BD688A" w:rsidRDefault="0060260A" w:rsidP="001407E5">
            <w:pPr>
              <w:spacing w:line="360" w:lineRule="auto"/>
              <w:rPr>
                <w:rFonts w:ascii="Arial" w:hAnsi="Arial" w:cs="Arial"/>
                <w:color w:val="000000" w:themeColor="text1"/>
                <w:sz w:val="20"/>
                <w:szCs w:val="20"/>
              </w:rPr>
            </w:pPr>
            <w:r w:rsidRPr="00BD688A">
              <w:rPr>
                <w:rFonts w:ascii="Arial" w:hAnsi="Arial" w:cs="Arial"/>
                <w:color w:val="000000" w:themeColor="text1"/>
                <w:sz w:val="20"/>
                <w:szCs w:val="20"/>
              </w:rPr>
              <w:t>6.501</w:t>
            </w:r>
          </w:p>
        </w:tc>
        <w:tc>
          <w:tcPr>
            <w:tcW w:w="2835" w:type="dxa"/>
            <w:shd w:val="clear" w:color="auto" w:fill="auto"/>
            <w:noWrap/>
            <w:hideMark/>
          </w:tcPr>
          <w:p w14:paraId="2DBCD5B3" w14:textId="77777777" w:rsidR="0060260A" w:rsidRPr="00BD688A" w:rsidRDefault="0060260A" w:rsidP="001407E5">
            <w:pPr>
              <w:spacing w:line="360" w:lineRule="auto"/>
              <w:rPr>
                <w:rFonts w:ascii="Arial" w:hAnsi="Arial" w:cs="Arial"/>
                <w:color w:val="000000" w:themeColor="text1"/>
                <w:sz w:val="20"/>
                <w:szCs w:val="20"/>
              </w:rPr>
            </w:pPr>
            <w:r w:rsidRPr="00BD688A">
              <w:rPr>
                <w:rFonts w:ascii="Arial" w:hAnsi="Arial" w:cs="Arial"/>
                <w:color w:val="000000" w:themeColor="text1"/>
                <w:sz w:val="20"/>
                <w:szCs w:val="20"/>
              </w:rPr>
              <w:t>1.198</w:t>
            </w:r>
          </w:p>
        </w:tc>
      </w:tr>
      <w:tr w:rsidR="0060260A" w:rsidRPr="003A2A60" w14:paraId="7B25790B" w14:textId="77777777" w:rsidTr="00BD688A">
        <w:trPr>
          <w:trHeight w:val="170"/>
        </w:trPr>
        <w:tc>
          <w:tcPr>
            <w:tcW w:w="2694" w:type="dxa"/>
            <w:shd w:val="clear" w:color="auto" w:fill="auto"/>
            <w:noWrap/>
            <w:hideMark/>
          </w:tcPr>
          <w:p w14:paraId="19AC6EEF" w14:textId="77777777" w:rsidR="0060260A" w:rsidRPr="00BD688A" w:rsidRDefault="0060260A" w:rsidP="001407E5">
            <w:pPr>
              <w:spacing w:line="360" w:lineRule="auto"/>
              <w:rPr>
                <w:rFonts w:ascii="Arial" w:hAnsi="Arial" w:cs="Arial"/>
                <w:color w:val="000000" w:themeColor="text1"/>
                <w:sz w:val="20"/>
                <w:szCs w:val="20"/>
              </w:rPr>
            </w:pPr>
            <w:r w:rsidRPr="00BD688A">
              <w:rPr>
                <w:rFonts w:ascii="Arial" w:hAnsi="Arial" w:cs="Arial"/>
                <w:color w:val="000000" w:themeColor="text1"/>
                <w:sz w:val="20"/>
                <w:szCs w:val="20"/>
              </w:rPr>
              <w:t>Cannabinol</w:t>
            </w:r>
          </w:p>
        </w:tc>
        <w:tc>
          <w:tcPr>
            <w:tcW w:w="1842" w:type="dxa"/>
            <w:shd w:val="clear" w:color="auto" w:fill="auto"/>
            <w:noWrap/>
            <w:hideMark/>
          </w:tcPr>
          <w:p w14:paraId="072893DB" w14:textId="77777777" w:rsidR="0060260A" w:rsidRPr="00BD688A" w:rsidRDefault="0060260A" w:rsidP="001407E5">
            <w:pPr>
              <w:spacing w:line="360" w:lineRule="auto"/>
              <w:rPr>
                <w:rFonts w:ascii="Arial" w:hAnsi="Arial" w:cs="Arial"/>
                <w:color w:val="000000" w:themeColor="text1"/>
                <w:sz w:val="20"/>
                <w:szCs w:val="20"/>
              </w:rPr>
            </w:pPr>
            <w:r w:rsidRPr="00BD688A">
              <w:rPr>
                <w:rFonts w:ascii="Arial" w:hAnsi="Arial" w:cs="Arial"/>
                <w:color w:val="000000" w:themeColor="text1"/>
                <w:sz w:val="20"/>
                <w:szCs w:val="20"/>
              </w:rPr>
              <w:t>6.518</w:t>
            </w:r>
          </w:p>
        </w:tc>
        <w:tc>
          <w:tcPr>
            <w:tcW w:w="2835" w:type="dxa"/>
            <w:shd w:val="clear" w:color="auto" w:fill="auto"/>
            <w:noWrap/>
            <w:hideMark/>
          </w:tcPr>
          <w:p w14:paraId="3ABCE18C" w14:textId="77777777" w:rsidR="0060260A" w:rsidRPr="00BD688A" w:rsidRDefault="0060260A" w:rsidP="001407E5">
            <w:pPr>
              <w:spacing w:line="360" w:lineRule="auto"/>
              <w:rPr>
                <w:rFonts w:ascii="Arial" w:hAnsi="Arial" w:cs="Arial"/>
                <w:color w:val="000000" w:themeColor="text1"/>
                <w:sz w:val="20"/>
                <w:szCs w:val="20"/>
              </w:rPr>
            </w:pPr>
            <w:r w:rsidRPr="00BD688A">
              <w:rPr>
                <w:rFonts w:ascii="Arial" w:hAnsi="Arial" w:cs="Arial"/>
                <w:color w:val="000000" w:themeColor="text1"/>
                <w:sz w:val="20"/>
                <w:szCs w:val="20"/>
              </w:rPr>
              <w:t>1.201</w:t>
            </w:r>
          </w:p>
        </w:tc>
      </w:tr>
      <w:tr w:rsidR="0060260A" w:rsidRPr="003A2A60" w14:paraId="0910E854" w14:textId="77777777" w:rsidTr="00BD688A">
        <w:trPr>
          <w:trHeight w:val="170"/>
        </w:trPr>
        <w:tc>
          <w:tcPr>
            <w:tcW w:w="2694" w:type="dxa"/>
            <w:shd w:val="clear" w:color="auto" w:fill="auto"/>
            <w:noWrap/>
            <w:hideMark/>
          </w:tcPr>
          <w:p w14:paraId="67A19C3F" w14:textId="77777777" w:rsidR="0060260A" w:rsidRPr="00BD688A" w:rsidRDefault="0060260A" w:rsidP="001407E5">
            <w:pPr>
              <w:spacing w:line="360" w:lineRule="auto"/>
              <w:rPr>
                <w:rFonts w:ascii="Arial" w:hAnsi="Arial" w:cs="Arial"/>
                <w:color w:val="000000" w:themeColor="text1"/>
                <w:sz w:val="20"/>
                <w:szCs w:val="20"/>
              </w:rPr>
            </w:pPr>
            <w:r w:rsidRPr="00BD688A">
              <w:rPr>
                <w:rFonts w:ascii="Arial" w:hAnsi="Arial" w:cs="Arial"/>
                <w:color w:val="000000" w:themeColor="text1"/>
                <w:sz w:val="20"/>
                <w:szCs w:val="20"/>
              </w:rPr>
              <w:t>6-Monoacetylmorphine</w:t>
            </w:r>
          </w:p>
        </w:tc>
        <w:tc>
          <w:tcPr>
            <w:tcW w:w="1842" w:type="dxa"/>
            <w:shd w:val="clear" w:color="auto" w:fill="auto"/>
            <w:noWrap/>
            <w:hideMark/>
          </w:tcPr>
          <w:p w14:paraId="3DF40377" w14:textId="77777777" w:rsidR="0060260A" w:rsidRPr="00BD688A" w:rsidRDefault="0060260A" w:rsidP="001407E5">
            <w:pPr>
              <w:spacing w:line="360" w:lineRule="auto"/>
              <w:rPr>
                <w:rFonts w:ascii="Arial" w:hAnsi="Arial" w:cs="Arial"/>
                <w:color w:val="000000" w:themeColor="text1"/>
                <w:sz w:val="20"/>
                <w:szCs w:val="20"/>
              </w:rPr>
            </w:pPr>
            <w:r w:rsidRPr="00BD688A">
              <w:rPr>
                <w:rFonts w:ascii="Arial" w:hAnsi="Arial" w:cs="Arial"/>
                <w:color w:val="000000" w:themeColor="text1"/>
                <w:sz w:val="20"/>
                <w:szCs w:val="20"/>
              </w:rPr>
              <w:t>6.571</w:t>
            </w:r>
          </w:p>
        </w:tc>
        <w:tc>
          <w:tcPr>
            <w:tcW w:w="2835" w:type="dxa"/>
            <w:shd w:val="clear" w:color="auto" w:fill="auto"/>
            <w:noWrap/>
            <w:hideMark/>
          </w:tcPr>
          <w:p w14:paraId="5535B941" w14:textId="77777777" w:rsidR="0060260A" w:rsidRPr="00BD688A" w:rsidRDefault="0060260A" w:rsidP="001407E5">
            <w:pPr>
              <w:spacing w:line="360" w:lineRule="auto"/>
              <w:rPr>
                <w:rFonts w:ascii="Arial" w:hAnsi="Arial" w:cs="Arial"/>
                <w:color w:val="000000" w:themeColor="text1"/>
                <w:sz w:val="20"/>
                <w:szCs w:val="20"/>
              </w:rPr>
            </w:pPr>
            <w:r w:rsidRPr="00BD688A">
              <w:rPr>
                <w:rFonts w:ascii="Arial" w:hAnsi="Arial" w:cs="Arial"/>
                <w:color w:val="000000" w:themeColor="text1"/>
                <w:sz w:val="20"/>
                <w:szCs w:val="20"/>
              </w:rPr>
              <w:t>1.211</w:t>
            </w:r>
          </w:p>
        </w:tc>
      </w:tr>
      <w:tr w:rsidR="0060260A" w:rsidRPr="003A2A60" w14:paraId="1386DAAC" w14:textId="77777777" w:rsidTr="00BD688A">
        <w:trPr>
          <w:trHeight w:val="170"/>
        </w:trPr>
        <w:tc>
          <w:tcPr>
            <w:tcW w:w="2694" w:type="dxa"/>
            <w:shd w:val="clear" w:color="auto" w:fill="auto"/>
            <w:noWrap/>
          </w:tcPr>
          <w:p w14:paraId="68AD9FB3" w14:textId="77777777" w:rsidR="0060260A" w:rsidRPr="00BD688A" w:rsidRDefault="0060260A" w:rsidP="001407E5">
            <w:pPr>
              <w:spacing w:line="360" w:lineRule="auto"/>
              <w:rPr>
                <w:rFonts w:ascii="Arial" w:hAnsi="Arial" w:cs="Arial"/>
                <w:color w:val="000000" w:themeColor="text1"/>
                <w:sz w:val="20"/>
                <w:szCs w:val="20"/>
              </w:rPr>
            </w:pPr>
            <w:r w:rsidRPr="00BD688A">
              <w:rPr>
                <w:rFonts w:ascii="Arial" w:hAnsi="Arial" w:cs="Arial"/>
                <w:color w:val="000000" w:themeColor="text1"/>
                <w:sz w:val="20"/>
                <w:szCs w:val="20"/>
              </w:rPr>
              <w:t>Diamorphine</w:t>
            </w:r>
          </w:p>
        </w:tc>
        <w:tc>
          <w:tcPr>
            <w:tcW w:w="1842" w:type="dxa"/>
            <w:shd w:val="clear" w:color="auto" w:fill="auto"/>
            <w:noWrap/>
          </w:tcPr>
          <w:p w14:paraId="67D49747" w14:textId="77777777" w:rsidR="0060260A" w:rsidRPr="00BD688A" w:rsidRDefault="0060260A" w:rsidP="001407E5">
            <w:pPr>
              <w:spacing w:line="360" w:lineRule="auto"/>
              <w:rPr>
                <w:rFonts w:ascii="Arial" w:hAnsi="Arial" w:cs="Arial"/>
                <w:color w:val="000000" w:themeColor="text1"/>
                <w:sz w:val="20"/>
                <w:szCs w:val="20"/>
              </w:rPr>
            </w:pPr>
            <w:r w:rsidRPr="00BD688A">
              <w:rPr>
                <w:rFonts w:ascii="Arial" w:hAnsi="Arial" w:cs="Arial"/>
                <w:color w:val="000000" w:themeColor="text1"/>
                <w:sz w:val="20"/>
                <w:szCs w:val="20"/>
              </w:rPr>
              <w:t>7.020</w:t>
            </w:r>
          </w:p>
        </w:tc>
        <w:tc>
          <w:tcPr>
            <w:tcW w:w="2835" w:type="dxa"/>
            <w:shd w:val="clear" w:color="auto" w:fill="auto"/>
            <w:noWrap/>
          </w:tcPr>
          <w:p w14:paraId="61BC654B" w14:textId="77777777" w:rsidR="0060260A" w:rsidRPr="00BD688A" w:rsidRDefault="0060260A" w:rsidP="001407E5">
            <w:pPr>
              <w:spacing w:line="360" w:lineRule="auto"/>
              <w:rPr>
                <w:rFonts w:ascii="Arial" w:hAnsi="Arial" w:cs="Arial"/>
                <w:color w:val="000000" w:themeColor="text1"/>
                <w:sz w:val="20"/>
                <w:szCs w:val="20"/>
              </w:rPr>
            </w:pPr>
            <w:r w:rsidRPr="00BD688A">
              <w:rPr>
                <w:rFonts w:ascii="Arial" w:hAnsi="Arial" w:cs="Arial"/>
                <w:color w:val="000000" w:themeColor="text1"/>
                <w:sz w:val="20"/>
                <w:szCs w:val="20"/>
              </w:rPr>
              <w:t>1.293</w:t>
            </w:r>
          </w:p>
        </w:tc>
      </w:tr>
      <w:tr w:rsidR="0060260A" w:rsidRPr="003A2A60" w14:paraId="556F262B" w14:textId="77777777" w:rsidTr="00BD688A">
        <w:trPr>
          <w:trHeight w:val="170"/>
        </w:trPr>
        <w:tc>
          <w:tcPr>
            <w:tcW w:w="2694" w:type="dxa"/>
            <w:shd w:val="clear" w:color="auto" w:fill="auto"/>
            <w:noWrap/>
          </w:tcPr>
          <w:p w14:paraId="377FA598" w14:textId="4F8227EB" w:rsidR="0060260A" w:rsidRPr="00BD688A" w:rsidRDefault="00D66E58" w:rsidP="001407E5">
            <w:pPr>
              <w:spacing w:line="360" w:lineRule="auto"/>
              <w:rPr>
                <w:rFonts w:ascii="Arial" w:hAnsi="Arial" w:cs="Arial"/>
                <w:color w:val="000000" w:themeColor="text1"/>
                <w:sz w:val="20"/>
                <w:szCs w:val="20"/>
              </w:rPr>
            </w:pPr>
            <w:proofErr w:type="spellStart"/>
            <w:r w:rsidRPr="00BD688A">
              <w:rPr>
                <w:rFonts w:ascii="Arial" w:hAnsi="Arial" w:cs="Arial"/>
                <w:color w:val="000000" w:themeColor="text1"/>
                <w:sz w:val="20"/>
                <w:szCs w:val="20"/>
              </w:rPr>
              <w:t>nonacosane</w:t>
            </w:r>
            <w:proofErr w:type="spellEnd"/>
          </w:p>
        </w:tc>
        <w:tc>
          <w:tcPr>
            <w:tcW w:w="1842" w:type="dxa"/>
            <w:shd w:val="clear" w:color="auto" w:fill="auto"/>
            <w:noWrap/>
          </w:tcPr>
          <w:p w14:paraId="37007908" w14:textId="77777777" w:rsidR="0060260A" w:rsidRPr="00BD688A" w:rsidRDefault="0060260A" w:rsidP="001407E5">
            <w:pPr>
              <w:spacing w:line="360" w:lineRule="auto"/>
              <w:rPr>
                <w:rFonts w:ascii="Arial" w:hAnsi="Arial" w:cs="Arial"/>
                <w:color w:val="000000" w:themeColor="text1"/>
                <w:sz w:val="20"/>
                <w:szCs w:val="20"/>
              </w:rPr>
            </w:pPr>
            <w:r w:rsidRPr="00BD688A">
              <w:rPr>
                <w:rFonts w:ascii="Arial" w:hAnsi="Arial" w:cs="Arial"/>
                <w:color w:val="000000" w:themeColor="text1"/>
                <w:sz w:val="20"/>
                <w:szCs w:val="20"/>
              </w:rPr>
              <w:t>7.517</w:t>
            </w:r>
          </w:p>
        </w:tc>
        <w:tc>
          <w:tcPr>
            <w:tcW w:w="2835" w:type="dxa"/>
            <w:shd w:val="clear" w:color="auto" w:fill="auto"/>
            <w:noWrap/>
          </w:tcPr>
          <w:p w14:paraId="28300651" w14:textId="77777777" w:rsidR="0060260A" w:rsidRPr="00BD688A" w:rsidRDefault="0060260A" w:rsidP="001407E5">
            <w:pPr>
              <w:spacing w:line="360" w:lineRule="auto"/>
              <w:rPr>
                <w:rFonts w:ascii="Arial" w:hAnsi="Arial" w:cs="Arial"/>
                <w:color w:val="000000" w:themeColor="text1"/>
                <w:sz w:val="20"/>
                <w:szCs w:val="20"/>
              </w:rPr>
            </w:pPr>
            <w:r w:rsidRPr="00BD688A">
              <w:rPr>
                <w:rFonts w:ascii="Arial" w:hAnsi="Arial" w:cs="Arial"/>
                <w:color w:val="000000" w:themeColor="text1"/>
                <w:sz w:val="20"/>
                <w:szCs w:val="20"/>
              </w:rPr>
              <w:t>1.385</w:t>
            </w:r>
          </w:p>
        </w:tc>
      </w:tr>
      <w:tr w:rsidR="0060260A" w:rsidRPr="003A2A60" w14:paraId="4245C81F" w14:textId="77777777" w:rsidTr="00BD688A">
        <w:trPr>
          <w:trHeight w:val="170"/>
        </w:trPr>
        <w:tc>
          <w:tcPr>
            <w:tcW w:w="2694" w:type="dxa"/>
            <w:tcBorders>
              <w:bottom w:val="single" w:sz="4" w:space="0" w:color="auto"/>
            </w:tcBorders>
            <w:shd w:val="clear" w:color="auto" w:fill="auto"/>
            <w:noWrap/>
          </w:tcPr>
          <w:p w14:paraId="24182A2C" w14:textId="77777777" w:rsidR="0060260A" w:rsidRPr="00BD688A" w:rsidRDefault="0060260A" w:rsidP="001407E5">
            <w:pPr>
              <w:spacing w:line="360" w:lineRule="auto"/>
              <w:rPr>
                <w:rFonts w:ascii="Arial" w:hAnsi="Arial" w:cs="Arial"/>
                <w:color w:val="000000" w:themeColor="text1"/>
                <w:sz w:val="20"/>
                <w:szCs w:val="20"/>
              </w:rPr>
            </w:pPr>
            <w:r w:rsidRPr="00BD688A">
              <w:rPr>
                <w:rFonts w:ascii="Arial" w:hAnsi="Arial" w:cs="Arial"/>
                <w:color w:val="000000" w:themeColor="text1"/>
                <w:sz w:val="20"/>
                <w:szCs w:val="20"/>
              </w:rPr>
              <w:t>Vitamin E</w:t>
            </w:r>
          </w:p>
        </w:tc>
        <w:tc>
          <w:tcPr>
            <w:tcW w:w="1842" w:type="dxa"/>
            <w:tcBorders>
              <w:bottom w:val="single" w:sz="4" w:space="0" w:color="auto"/>
            </w:tcBorders>
            <w:shd w:val="clear" w:color="auto" w:fill="auto"/>
            <w:noWrap/>
          </w:tcPr>
          <w:p w14:paraId="4E1698B3" w14:textId="77777777" w:rsidR="0060260A" w:rsidRPr="00BD688A" w:rsidRDefault="0060260A" w:rsidP="001407E5">
            <w:pPr>
              <w:spacing w:line="360" w:lineRule="auto"/>
              <w:rPr>
                <w:rFonts w:ascii="Arial" w:hAnsi="Arial" w:cs="Arial"/>
                <w:color w:val="000000" w:themeColor="text1"/>
                <w:sz w:val="20"/>
                <w:szCs w:val="20"/>
              </w:rPr>
            </w:pPr>
            <w:r w:rsidRPr="00BD688A">
              <w:rPr>
                <w:rFonts w:ascii="Arial" w:hAnsi="Arial" w:cs="Arial"/>
                <w:color w:val="000000" w:themeColor="text1"/>
                <w:sz w:val="20"/>
                <w:szCs w:val="20"/>
              </w:rPr>
              <w:t>8.686</w:t>
            </w:r>
          </w:p>
        </w:tc>
        <w:tc>
          <w:tcPr>
            <w:tcW w:w="2835" w:type="dxa"/>
            <w:tcBorders>
              <w:bottom w:val="single" w:sz="4" w:space="0" w:color="auto"/>
            </w:tcBorders>
            <w:shd w:val="clear" w:color="auto" w:fill="auto"/>
            <w:noWrap/>
          </w:tcPr>
          <w:p w14:paraId="53ECE624" w14:textId="77777777" w:rsidR="0060260A" w:rsidRPr="00BD688A" w:rsidRDefault="0060260A" w:rsidP="001407E5">
            <w:pPr>
              <w:spacing w:line="360" w:lineRule="auto"/>
              <w:rPr>
                <w:rFonts w:ascii="Arial" w:hAnsi="Arial" w:cs="Arial"/>
                <w:color w:val="000000" w:themeColor="text1"/>
                <w:sz w:val="20"/>
                <w:szCs w:val="20"/>
              </w:rPr>
            </w:pPr>
            <w:r w:rsidRPr="00BD688A">
              <w:rPr>
                <w:rFonts w:ascii="Arial" w:hAnsi="Arial" w:cs="Arial"/>
                <w:color w:val="000000" w:themeColor="text1"/>
                <w:sz w:val="20"/>
                <w:szCs w:val="20"/>
              </w:rPr>
              <w:t>1.601</w:t>
            </w:r>
          </w:p>
        </w:tc>
      </w:tr>
    </w:tbl>
    <w:p w14:paraId="248EDE9D" w14:textId="265BF00D" w:rsidR="00094B0F" w:rsidRPr="00F13C54" w:rsidRDefault="00094B0F" w:rsidP="0016122E">
      <w:pPr>
        <w:spacing w:line="360" w:lineRule="auto"/>
        <w:jc w:val="both"/>
        <w:rPr>
          <w:rFonts w:ascii="Arial" w:hAnsi="Arial" w:cs="Arial"/>
          <w:color w:val="000000" w:themeColor="text1"/>
          <w:sz w:val="22"/>
          <w:szCs w:val="22"/>
        </w:rPr>
      </w:pPr>
      <w:r w:rsidRPr="00F13C54">
        <w:rPr>
          <w:rFonts w:ascii="Arial" w:hAnsi="Arial" w:cs="Arial"/>
          <w:color w:val="000000" w:themeColor="text1"/>
          <w:sz w:val="22"/>
          <w:szCs w:val="22"/>
        </w:rPr>
        <w:t xml:space="preserve">From the data obtained it can be demonstrated </w:t>
      </w:r>
      <w:r w:rsidR="00D272CD" w:rsidRPr="00F13C54">
        <w:rPr>
          <w:rFonts w:ascii="Arial" w:hAnsi="Arial" w:cs="Arial"/>
          <w:color w:val="000000" w:themeColor="text1"/>
          <w:sz w:val="22"/>
          <w:szCs w:val="22"/>
        </w:rPr>
        <w:t>that each compound of interest can be identified and that their relative pro</w:t>
      </w:r>
      <w:r w:rsidR="00A20BD3" w:rsidRPr="00F13C54">
        <w:rPr>
          <w:rFonts w:ascii="Arial" w:hAnsi="Arial" w:cs="Arial"/>
          <w:color w:val="000000" w:themeColor="text1"/>
          <w:sz w:val="22"/>
          <w:szCs w:val="22"/>
        </w:rPr>
        <w:t xml:space="preserve">portions do not change over a </w:t>
      </w:r>
      <w:proofErr w:type="gramStart"/>
      <w:r w:rsidR="00A20BD3" w:rsidRPr="00F13C54">
        <w:rPr>
          <w:rFonts w:ascii="Arial" w:hAnsi="Arial" w:cs="Arial"/>
          <w:color w:val="000000" w:themeColor="text1"/>
          <w:sz w:val="22"/>
          <w:szCs w:val="22"/>
        </w:rPr>
        <w:t>72</w:t>
      </w:r>
      <w:r w:rsidR="00D272CD" w:rsidRPr="00F13C54">
        <w:rPr>
          <w:rFonts w:ascii="Arial" w:hAnsi="Arial" w:cs="Arial"/>
          <w:color w:val="000000" w:themeColor="text1"/>
          <w:sz w:val="22"/>
          <w:szCs w:val="22"/>
        </w:rPr>
        <w:t xml:space="preserve"> hour</w:t>
      </w:r>
      <w:proofErr w:type="gramEnd"/>
      <w:r w:rsidR="00D272CD" w:rsidRPr="00F13C54">
        <w:rPr>
          <w:rFonts w:ascii="Arial" w:hAnsi="Arial" w:cs="Arial"/>
          <w:color w:val="000000" w:themeColor="text1"/>
          <w:sz w:val="22"/>
          <w:szCs w:val="22"/>
        </w:rPr>
        <w:t xml:space="preserve"> period once extracted </w:t>
      </w:r>
      <w:r w:rsidR="0089450A" w:rsidRPr="00F13C54">
        <w:rPr>
          <w:rFonts w:ascii="Arial" w:hAnsi="Arial" w:cs="Arial"/>
          <w:color w:val="000000" w:themeColor="text1"/>
          <w:sz w:val="22"/>
          <w:szCs w:val="22"/>
        </w:rPr>
        <w:t xml:space="preserve">from </w:t>
      </w:r>
      <w:proofErr w:type="spellStart"/>
      <w:r w:rsidR="0089450A" w:rsidRPr="00F13C54">
        <w:rPr>
          <w:rFonts w:ascii="Arial" w:hAnsi="Arial" w:cs="Arial"/>
          <w:color w:val="000000" w:themeColor="text1"/>
          <w:sz w:val="22"/>
          <w:szCs w:val="22"/>
        </w:rPr>
        <w:t>nyaope</w:t>
      </w:r>
      <w:proofErr w:type="spellEnd"/>
      <w:r w:rsidR="0089450A" w:rsidRPr="00F13C54">
        <w:rPr>
          <w:rFonts w:ascii="Arial" w:hAnsi="Arial" w:cs="Arial"/>
          <w:color w:val="000000" w:themeColor="text1"/>
          <w:sz w:val="22"/>
          <w:szCs w:val="22"/>
        </w:rPr>
        <w:t xml:space="preserve">, </w:t>
      </w:r>
      <w:r w:rsidR="00D272CD" w:rsidRPr="00F13C54">
        <w:rPr>
          <w:rFonts w:ascii="Arial" w:hAnsi="Arial" w:cs="Arial"/>
          <w:color w:val="000000" w:themeColor="text1"/>
          <w:sz w:val="22"/>
          <w:szCs w:val="22"/>
        </w:rPr>
        <w:t>into tertiary butyl alcohol</w:t>
      </w:r>
      <w:r w:rsidR="0089450A" w:rsidRPr="00F13C54">
        <w:rPr>
          <w:rFonts w:ascii="Arial" w:hAnsi="Arial" w:cs="Arial"/>
          <w:color w:val="000000" w:themeColor="text1"/>
          <w:sz w:val="22"/>
          <w:szCs w:val="22"/>
        </w:rPr>
        <w:t>,</w:t>
      </w:r>
      <w:r w:rsidR="00D272CD" w:rsidRPr="00F13C54">
        <w:rPr>
          <w:rFonts w:ascii="Arial" w:hAnsi="Arial" w:cs="Arial"/>
          <w:color w:val="000000" w:themeColor="text1"/>
          <w:sz w:val="22"/>
          <w:szCs w:val="22"/>
        </w:rPr>
        <w:t xml:space="preserve"> confirming previous work</w:t>
      </w:r>
      <w:r w:rsidR="000B005B">
        <w:rPr>
          <w:rFonts w:ascii="Arial" w:hAnsi="Arial" w:cs="Arial"/>
          <w:color w:val="000000" w:themeColor="text1"/>
          <w:sz w:val="22"/>
          <w:szCs w:val="22"/>
          <w:vertAlign w:val="superscript"/>
        </w:rPr>
        <w:t>13</w:t>
      </w:r>
      <w:r w:rsidR="00D272CD" w:rsidRPr="00F13C54">
        <w:rPr>
          <w:rFonts w:ascii="Arial" w:hAnsi="Arial" w:cs="Arial"/>
          <w:color w:val="000000" w:themeColor="text1"/>
          <w:sz w:val="22"/>
          <w:szCs w:val="22"/>
        </w:rPr>
        <w:t>.</w:t>
      </w:r>
      <w:r w:rsidR="0089450A" w:rsidRPr="00F13C54">
        <w:rPr>
          <w:rFonts w:ascii="Arial" w:hAnsi="Arial" w:cs="Arial"/>
          <w:color w:val="000000" w:themeColor="text1"/>
          <w:sz w:val="22"/>
          <w:szCs w:val="22"/>
        </w:rPr>
        <w:t xml:space="preserve"> </w:t>
      </w:r>
      <w:r w:rsidRPr="00F13C54">
        <w:rPr>
          <w:rFonts w:ascii="Arial" w:hAnsi="Arial" w:cs="Arial"/>
          <w:color w:val="000000" w:themeColor="text1"/>
          <w:sz w:val="22"/>
          <w:szCs w:val="22"/>
        </w:rPr>
        <w:t>When each of the six samples for the three</w:t>
      </w:r>
      <w:r w:rsidR="0089450A" w:rsidRPr="00F13C54">
        <w:rPr>
          <w:rFonts w:ascii="Arial" w:hAnsi="Arial" w:cs="Arial"/>
          <w:color w:val="000000" w:themeColor="text1"/>
          <w:sz w:val="22"/>
          <w:szCs w:val="22"/>
        </w:rPr>
        <w:t xml:space="preserve"> </w:t>
      </w:r>
      <w:r w:rsidRPr="00F13C54">
        <w:rPr>
          <w:rFonts w:ascii="Arial" w:hAnsi="Arial" w:cs="Arial"/>
          <w:color w:val="000000" w:themeColor="text1"/>
          <w:sz w:val="22"/>
          <w:szCs w:val="22"/>
        </w:rPr>
        <w:t>different</w:t>
      </w:r>
      <w:r w:rsidR="0089450A" w:rsidRPr="00F13C54">
        <w:rPr>
          <w:rFonts w:ascii="Arial" w:hAnsi="Arial" w:cs="Arial"/>
          <w:color w:val="000000" w:themeColor="text1"/>
          <w:sz w:val="22"/>
          <w:szCs w:val="22"/>
        </w:rPr>
        <w:t xml:space="preserve"> simulated samples were </w:t>
      </w:r>
      <w:proofErr w:type="gramStart"/>
      <w:r w:rsidR="0089450A" w:rsidRPr="00F13C54">
        <w:rPr>
          <w:rFonts w:ascii="Arial" w:hAnsi="Arial" w:cs="Arial"/>
          <w:color w:val="000000" w:themeColor="text1"/>
          <w:sz w:val="22"/>
          <w:szCs w:val="22"/>
        </w:rPr>
        <w:t>analysed</w:t>
      </w:r>
      <w:proofErr w:type="gramEnd"/>
      <w:r w:rsidR="0089450A" w:rsidRPr="00F13C54">
        <w:rPr>
          <w:rFonts w:ascii="Arial" w:hAnsi="Arial" w:cs="Arial"/>
          <w:color w:val="000000" w:themeColor="text1"/>
          <w:sz w:val="22"/>
          <w:szCs w:val="22"/>
        </w:rPr>
        <w:t xml:space="preserve"> it was found that </w:t>
      </w:r>
      <w:r w:rsidR="0052099C" w:rsidRPr="00F13C54">
        <w:rPr>
          <w:rFonts w:ascii="Arial" w:hAnsi="Arial" w:cs="Arial"/>
          <w:color w:val="000000" w:themeColor="text1"/>
          <w:sz w:val="22"/>
          <w:szCs w:val="22"/>
        </w:rPr>
        <w:t xml:space="preserve">the </w:t>
      </w:r>
      <w:r w:rsidR="006223F5" w:rsidRPr="00F13C54">
        <w:rPr>
          <w:rFonts w:ascii="Arial" w:hAnsi="Arial" w:cs="Arial"/>
          <w:color w:val="000000" w:themeColor="text1"/>
          <w:sz w:val="22"/>
          <w:szCs w:val="22"/>
        </w:rPr>
        <w:t>PAR</w:t>
      </w:r>
      <w:r w:rsidRPr="00F13C54">
        <w:rPr>
          <w:rFonts w:ascii="Arial" w:hAnsi="Arial" w:cs="Arial"/>
          <w:color w:val="000000" w:themeColor="text1"/>
          <w:sz w:val="22"/>
          <w:szCs w:val="22"/>
        </w:rPr>
        <w:t xml:space="preserve">, relating to each batch, </w:t>
      </w:r>
      <w:r w:rsidR="0052099C" w:rsidRPr="00F13C54">
        <w:rPr>
          <w:rFonts w:ascii="Arial" w:hAnsi="Arial" w:cs="Arial"/>
          <w:color w:val="000000" w:themeColor="text1"/>
          <w:sz w:val="22"/>
          <w:szCs w:val="22"/>
        </w:rPr>
        <w:t xml:space="preserve">could not be separated. It is therefore now possible to relate samples of </w:t>
      </w:r>
      <w:proofErr w:type="spellStart"/>
      <w:r w:rsidR="0052099C" w:rsidRPr="00F13C54">
        <w:rPr>
          <w:rFonts w:ascii="Arial" w:hAnsi="Arial" w:cs="Arial"/>
          <w:color w:val="000000" w:themeColor="text1"/>
          <w:sz w:val="22"/>
          <w:szCs w:val="22"/>
        </w:rPr>
        <w:t>nyaope</w:t>
      </w:r>
      <w:proofErr w:type="spellEnd"/>
      <w:r w:rsidR="0052099C" w:rsidRPr="00F13C54">
        <w:rPr>
          <w:rFonts w:ascii="Arial" w:hAnsi="Arial" w:cs="Arial"/>
          <w:color w:val="000000" w:themeColor="text1"/>
          <w:sz w:val="22"/>
          <w:szCs w:val="22"/>
        </w:rPr>
        <w:t xml:space="preserve"> </w:t>
      </w:r>
      <w:r w:rsidRPr="00F13C54">
        <w:rPr>
          <w:rFonts w:ascii="Arial" w:hAnsi="Arial" w:cs="Arial"/>
          <w:color w:val="000000" w:themeColor="text1"/>
          <w:sz w:val="22"/>
          <w:szCs w:val="22"/>
        </w:rPr>
        <w:t>to</w:t>
      </w:r>
      <w:r w:rsidR="0052099C" w:rsidRPr="00F13C54">
        <w:rPr>
          <w:rFonts w:ascii="Arial" w:hAnsi="Arial" w:cs="Arial"/>
          <w:color w:val="000000" w:themeColor="text1"/>
          <w:sz w:val="22"/>
          <w:szCs w:val="22"/>
        </w:rPr>
        <w:t xml:space="preserve"> each other when they have come from a once larger parent batch </w:t>
      </w:r>
      <w:r w:rsidR="009A618B" w:rsidRPr="00F13C54">
        <w:rPr>
          <w:rFonts w:ascii="Arial" w:hAnsi="Arial" w:cs="Arial"/>
          <w:color w:val="000000" w:themeColor="text1"/>
          <w:sz w:val="22"/>
          <w:szCs w:val="22"/>
        </w:rPr>
        <w:t>as demonstrated by the PAR</w:t>
      </w:r>
      <w:r w:rsidRPr="00F13C54">
        <w:rPr>
          <w:rFonts w:ascii="Arial" w:hAnsi="Arial" w:cs="Arial"/>
          <w:color w:val="000000" w:themeColor="text1"/>
          <w:sz w:val="22"/>
          <w:szCs w:val="22"/>
        </w:rPr>
        <w:t>.</w:t>
      </w:r>
    </w:p>
    <w:p w14:paraId="0E1A60B2" w14:textId="24FC5173" w:rsidR="00094B0F" w:rsidRPr="00F13C54" w:rsidRDefault="00094B0F" w:rsidP="0016122E">
      <w:pPr>
        <w:spacing w:line="360" w:lineRule="auto"/>
        <w:rPr>
          <w:rFonts w:ascii="Arial" w:hAnsi="Arial" w:cs="Arial"/>
          <w:b/>
          <w:bCs/>
          <w:color w:val="000000" w:themeColor="text1"/>
          <w:sz w:val="22"/>
          <w:szCs w:val="22"/>
        </w:rPr>
      </w:pPr>
    </w:p>
    <w:p w14:paraId="51576134" w14:textId="179A59E4" w:rsidR="00D272CD" w:rsidRPr="00F13C54" w:rsidRDefault="0089450A" w:rsidP="0016122E">
      <w:pPr>
        <w:spacing w:line="360" w:lineRule="auto"/>
        <w:jc w:val="both"/>
        <w:rPr>
          <w:rFonts w:ascii="Arial" w:hAnsi="Arial" w:cs="Arial"/>
          <w:color w:val="000000" w:themeColor="text1"/>
          <w:sz w:val="22"/>
          <w:szCs w:val="22"/>
        </w:rPr>
      </w:pPr>
      <w:r w:rsidRPr="00F13C54">
        <w:rPr>
          <w:rFonts w:ascii="Arial" w:hAnsi="Arial" w:cs="Arial"/>
          <w:color w:val="000000" w:themeColor="text1"/>
          <w:sz w:val="22"/>
          <w:szCs w:val="22"/>
        </w:rPr>
        <w:t xml:space="preserve">When separated by GC-MS it was possible to differentiate between the three batches of simulated </w:t>
      </w:r>
      <w:proofErr w:type="spellStart"/>
      <w:r w:rsidRPr="00F13C54">
        <w:rPr>
          <w:rFonts w:ascii="Arial" w:hAnsi="Arial" w:cs="Arial"/>
          <w:color w:val="000000" w:themeColor="text1"/>
          <w:sz w:val="22"/>
          <w:szCs w:val="22"/>
        </w:rPr>
        <w:t>nyaope</w:t>
      </w:r>
      <w:proofErr w:type="spellEnd"/>
      <w:r w:rsidRPr="00F13C54">
        <w:rPr>
          <w:rFonts w:ascii="Arial" w:hAnsi="Arial" w:cs="Arial"/>
          <w:color w:val="000000" w:themeColor="text1"/>
          <w:sz w:val="22"/>
          <w:szCs w:val="22"/>
        </w:rPr>
        <w:t xml:space="preserve"> (Figure </w:t>
      </w:r>
      <w:r w:rsidR="0025209B" w:rsidRPr="00F13C54">
        <w:rPr>
          <w:rFonts w:ascii="Arial" w:hAnsi="Arial" w:cs="Arial"/>
          <w:color w:val="000000" w:themeColor="text1"/>
          <w:sz w:val="22"/>
          <w:szCs w:val="22"/>
        </w:rPr>
        <w:t>1</w:t>
      </w:r>
      <w:r w:rsidRPr="00F13C54">
        <w:rPr>
          <w:rFonts w:ascii="Arial" w:hAnsi="Arial" w:cs="Arial"/>
          <w:color w:val="000000" w:themeColor="text1"/>
          <w:sz w:val="22"/>
          <w:szCs w:val="22"/>
        </w:rPr>
        <w:t xml:space="preserve">) </w:t>
      </w:r>
      <w:proofErr w:type="gramStart"/>
      <w:r w:rsidRPr="00F13C54">
        <w:rPr>
          <w:rFonts w:ascii="Arial" w:hAnsi="Arial" w:cs="Arial"/>
          <w:color w:val="000000" w:themeColor="text1"/>
          <w:sz w:val="22"/>
          <w:szCs w:val="22"/>
        </w:rPr>
        <w:t>on the basis of</w:t>
      </w:r>
      <w:proofErr w:type="gramEnd"/>
      <w:r w:rsidRPr="00F13C54">
        <w:rPr>
          <w:rFonts w:ascii="Arial" w:hAnsi="Arial" w:cs="Arial"/>
          <w:color w:val="000000" w:themeColor="text1"/>
          <w:sz w:val="22"/>
          <w:szCs w:val="22"/>
        </w:rPr>
        <w:t xml:space="preserve"> chromatographic profile. This method of extraction and analysis allows, for the first time, </w:t>
      </w:r>
      <w:proofErr w:type="gramStart"/>
      <w:r w:rsidRPr="00F13C54">
        <w:rPr>
          <w:rFonts w:ascii="Arial" w:hAnsi="Arial" w:cs="Arial"/>
          <w:color w:val="000000" w:themeColor="text1"/>
          <w:sz w:val="22"/>
          <w:szCs w:val="22"/>
        </w:rPr>
        <w:t>analysis</w:t>
      </w:r>
      <w:proofErr w:type="gramEnd"/>
      <w:r w:rsidRPr="00F13C54">
        <w:rPr>
          <w:rFonts w:ascii="Arial" w:hAnsi="Arial" w:cs="Arial"/>
          <w:color w:val="000000" w:themeColor="text1"/>
          <w:sz w:val="22"/>
          <w:szCs w:val="22"/>
        </w:rPr>
        <w:t xml:space="preserve"> and comparison of </w:t>
      </w:r>
      <w:proofErr w:type="spellStart"/>
      <w:r w:rsidRPr="00F13C54">
        <w:rPr>
          <w:rFonts w:ascii="Arial" w:hAnsi="Arial" w:cs="Arial"/>
          <w:color w:val="000000" w:themeColor="text1"/>
          <w:sz w:val="22"/>
          <w:szCs w:val="22"/>
        </w:rPr>
        <w:t>nyaope</w:t>
      </w:r>
      <w:proofErr w:type="spellEnd"/>
      <w:r w:rsidRPr="00F13C54">
        <w:rPr>
          <w:rFonts w:ascii="Arial" w:hAnsi="Arial" w:cs="Arial"/>
          <w:color w:val="000000" w:themeColor="text1"/>
          <w:sz w:val="22"/>
          <w:szCs w:val="22"/>
        </w:rPr>
        <w:t xml:space="preserve"> samples by a forensic science laboratory.</w:t>
      </w:r>
    </w:p>
    <w:p w14:paraId="6A170AA1" w14:textId="3C6EC338" w:rsidR="0089450A" w:rsidRPr="00F13C54" w:rsidRDefault="0089450A" w:rsidP="0016122E">
      <w:pPr>
        <w:spacing w:line="360" w:lineRule="auto"/>
        <w:rPr>
          <w:rFonts w:ascii="Arial" w:hAnsi="Arial" w:cs="Arial"/>
          <w:color w:val="000000" w:themeColor="text1"/>
          <w:sz w:val="22"/>
          <w:szCs w:val="22"/>
        </w:rPr>
      </w:pPr>
    </w:p>
    <w:p w14:paraId="687C08D0" w14:textId="6029234D" w:rsidR="00D272CD" w:rsidRPr="003A2A60" w:rsidRDefault="0089450A" w:rsidP="00DA3C8B">
      <w:pPr>
        <w:spacing w:line="480" w:lineRule="auto"/>
        <w:rPr>
          <w:rFonts w:ascii="Arial" w:hAnsi="Arial" w:cs="Arial"/>
          <w:b/>
          <w:bCs/>
          <w:color w:val="000000" w:themeColor="text1"/>
        </w:rPr>
      </w:pPr>
      <w:r w:rsidRPr="003A2A60">
        <w:rPr>
          <w:rFonts w:ascii="Arial" w:hAnsi="Arial" w:cs="Arial"/>
          <w:noProof/>
          <w:color w:val="000000" w:themeColor="text1"/>
          <w:lang w:val="en-ZA" w:eastAsia="en-ZA"/>
        </w:rPr>
        <w:lastRenderedPageBreak/>
        <w:drawing>
          <wp:inline distT="0" distB="0" distL="0" distR="0" wp14:anchorId="217CC0A3" wp14:editId="49F6FE23">
            <wp:extent cx="5391150" cy="3594100"/>
            <wp:effectExtent l="0" t="0" r="0" b="0"/>
            <wp:docPr id="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391150" cy="3594100"/>
                    </a:xfrm>
                    <a:prstGeom prst="rect">
                      <a:avLst/>
                    </a:prstGeom>
                    <a:noFill/>
                    <a:ln>
                      <a:noFill/>
                    </a:ln>
                  </pic:spPr>
                </pic:pic>
              </a:graphicData>
            </a:graphic>
          </wp:inline>
        </w:drawing>
      </w:r>
    </w:p>
    <w:p w14:paraId="2AAB5DC6" w14:textId="20ACCD30" w:rsidR="00302A3F" w:rsidRPr="00F13C54" w:rsidRDefault="0089450A" w:rsidP="00BD688A">
      <w:pPr>
        <w:jc w:val="both"/>
        <w:rPr>
          <w:rFonts w:ascii="Arial" w:hAnsi="Arial" w:cs="Arial"/>
          <w:b/>
          <w:bCs/>
          <w:color w:val="000000" w:themeColor="text1"/>
          <w:sz w:val="20"/>
          <w:szCs w:val="20"/>
        </w:rPr>
      </w:pPr>
      <w:r w:rsidRPr="00F13C54">
        <w:rPr>
          <w:rFonts w:ascii="Arial" w:hAnsi="Arial" w:cs="Arial"/>
          <w:b/>
          <w:bCs/>
          <w:color w:val="000000" w:themeColor="text1"/>
          <w:sz w:val="20"/>
          <w:szCs w:val="20"/>
        </w:rPr>
        <w:t xml:space="preserve">Figure </w:t>
      </w:r>
      <w:r w:rsidR="0025209B" w:rsidRPr="00F13C54">
        <w:rPr>
          <w:rFonts w:ascii="Arial" w:hAnsi="Arial" w:cs="Arial"/>
          <w:b/>
          <w:bCs/>
          <w:color w:val="000000" w:themeColor="text1"/>
          <w:sz w:val="20"/>
          <w:szCs w:val="20"/>
        </w:rPr>
        <w:t>1</w:t>
      </w:r>
      <w:r w:rsidRPr="00F13C54">
        <w:rPr>
          <w:rFonts w:ascii="Arial" w:hAnsi="Arial" w:cs="Arial"/>
          <w:b/>
          <w:bCs/>
          <w:color w:val="000000" w:themeColor="text1"/>
          <w:sz w:val="20"/>
          <w:szCs w:val="20"/>
        </w:rPr>
        <w:t xml:space="preserve">: Exemplar chromatograms obtained by GC – MS analysis of the three batches of simulated </w:t>
      </w:r>
      <w:proofErr w:type="spellStart"/>
      <w:r w:rsidRPr="00F13C54">
        <w:rPr>
          <w:rFonts w:ascii="Arial" w:hAnsi="Arial" w:cs="Arial"/>
          <w:b/>
          <w:bCs/>
          <w:color w:val="000000" w:themeColor="text1"/>
          <w:sz w:val="20"/>
          <w:szCs w:val="20"/>
        </w:rPr>
        <w:t>nyaope</w:t>
      </w:r>
      <w:proofErr w:type="spellEnd"/>
      <w:r w:rsidRPr="00F13C54">
        <w:rPr>
          <w:rFonts w:ascii="Arial" w:hAnsi="Arial" w:cs="Arial"/>
          <w:b/>
          <w:bCs/>
          <w:color w:val="000000" w:themeColor="text1"/>
          <w:sz w:val="20"/>
          <w:szCs w:val="20"/>
        </w:rPr>
        <w:t xml:space="preserve"> showing that it is possible to differentiate different batches of the drug</w:t>
      </w:r>
      <w:r w:rsidR="0064642E" w:rsidRPr="00F13C54">
        <w:rPr>
          <w:rFonts w:ascii="Arial" w:hAnsi="Arial" w:cs="Arial"/>
          <w:b/>
          <w:bCs/>
          <w:color w:val="000000" w:themeColor="text1"/>
          <w:sz w:val="20"/>
          <w:szCs w:val="20"/>
        </w:rPr>
        <w:t xml:space="preserve"> where </w:t>
      </w:r>
      <w:r w:rsidR="00302A3F" w:rsidRPr="00F13C54">
        <w:rPr>
          <w:rFonts w:ascii="Arial" w:hAnsi="Arial" w:cs="Arial"/>
          <w:b/>
          <w:bCs/>
          <w:color w:val="000000" w:themeColor="text1"/>
          <w:sz w:val="20"/>
          <w:szCs w:val="20"/>
        </w:rPr>
        <w:t xml:space="preserve"> </w:t>
      </w:r>
      <w:r w:rsidR="0064642E" w:rsidRPr="00F13C54">
        <w:rPr>
          <w:rFonts w:ascii="Arial" w:hAnsi="Arial" w:cs="Arial"/>
          <w:b/>
          <w:bCs/>
          <w:color w:val="000000" w:themeColor="text1"/>
          <w:sz w:val="20"/>
          <w:szCs w:val="20"/>
        </w:rPr>
        <w:t xml:space="preserve">identifications were </w:t>
      </w:r>
      <w:r w:rsidR="00E7169A" w:rsidRPr="00F13C54">
        <w:rPr>
          <w:rFonts w:ascii="Arial" w:hAnsi="Arial" w:cs="Arial"/>
          <w:b/>
          <w:bCs/>
          <w:color w:val="000000" w:themeColor="text1"/>
          <w:sz w:val="20"/>
          <w:szCs w:val="20"/>
        </w:rPr>
        <w:t>(2.582</w:t>
      </w:r>
      <w:r w:rsidR="00302A3F" w:rsidRPr="00F13C54">
        <w:rPr>
          <w:rFonts w:ascii="Arial" w:hAnsi="Arial" w:cs="Arial"/>
          <w:b/>
          <w:bCs/>
          <w:color w:val="000000" w:themeColor="text1"/>
          <w:sz w:val="20"/>
          <w:szCs w:val="20"/>
        </w:rPr>
        <w:t>) caryophy</w:t>
      </w:r>
      <w:r w:rsidR="00E7169A" w:rsidRPr="00F13C54">
        <w:rPr>
          <w:rFonts w:ascii="Arial" w:hAnsi="Arial" w:cs="Arial"/>
          <w:b/>
          <w:bCs/>
          <w:color w:val="000000" w:themeColor="text1"/>
          <w:sz w:val="20"/>
          <w:szCs w:val="20"/>
        </w:rPr>
        <w:t>llene, (3.135</w:t>
      </w:r>
      <w:r w:rsidR="00D858A0" w:rsidRPr="00F13C54">
        <w:rPr>
          <w:rFonts w:ascii="Arial" w:hAnsi="Arial" w:cs="Arial"/>
          <w:b/>
          <w:bCs/>
          <w:color w:val="000000" w:themeColor="text1"/>
          <w:sz w:val="20"/>
          <w:szCs w:val="20"/>
        </w:rPr>
        <w:t>) phenacetin</w:t>
      </w:r>
      <w:r w:rsidR="00302A3F" w:rsidRPr="00F13C54">
        <w:rPr>
          <w:rFonts w:ascii="Arial" w:hAnsi="Arial" w:cs="Arial"/>
          <w:b/>
          <w:bCs/>
          <w:color w:val="000000" w:themeColor="text1"/>
          <w:sz w:val="20"/>
          <w:szCs w:val="20"/>
        </w:rPr>
        <w:t>, (3.536</w:t>
      </w:r>
      <w:r w:rsidR="00D858A0" w:rsidRPr="00F13C54">
        <w:rPr>
          <w:rFonts w:ascii="Arial" w:hAnsi="Arial" w:cs="Arial"/>
          <w:b/>
          <w:bCs/>
          <w:color w:val="000000" w:themeColor="text1"/>
          <w:sz w:val="20"/>
          <w:szCs w:val="20"/>
        </w:rPr>
        <w:t>) caffeine, (4.543</w:t>
      </w:r>
      <w:r w:rsidR="00302A3F" w:rsidRPr="00F13C54">
        <w:rPr>
          <w:rFonts w:ascii="Arial" w:hAnsi="Arial" w:cs="Arial"/>
          <w:b/>
          <w:bCs/>
          <w:color w:val="000000" w:themeColor="text1"/>
          <w:sz w:val="20"/>
          <w:szCs w:val="20"/>
        </w:rPr>
        <w:t>) efavirenz, (5.242</w:t>
      </w:r>
      <w:r w:rsidR="00D858A0" w:rsidRPr="00F13C54">
        <w:rPr>
          <w:rFonts w:ascii="Arial" w:hAnsi="Arial" w:cs="Arial"/>
          <w:b/>
          <w:bCs/>
          <w:color w:val="000000" w:themeColor="text1"/>
          <w:sz w:val="20"/>
          <w:szCs w:val="20"/>
        </w:rPr>
        <w:t>) tetrahydrocannabivarin, (5.429</w:t>
      </w:r>
      <w:r w:rsidR="00302A3F" w:rsidRPr="00F13C54">
        <w:rPr>
          <w:rFonts w:ascii="Arial" w:hAnsi="Arial" w:cs="Arial"/>
          <w:b/>
          <w:bCs/>
          <w:color w:val="000000" w:themeColor="text1"/>
          <w:sz w:val="20"/>
          <w:szCs w:val="20"/>
        </w:rPr>
        <w:t xml:space="preserve">) tetracosane IS, (5.733) </w:t>
      </w:r>
      <w:proofErr w:type="spellStart"/>
      <w:r w:rsidR="00302A3F" w:rsidRPr="00F13C54">
        <w:rPr>
          <w:rFonts w:ascii="Arial" w:hAnsi="Arial" w:cs="Arial"/>
          <w:b/>
          <w:bCs/>
          <w:color w:val="000000" w:themeColor="text1"/>
          <w:sz w:val="20"/>
          <w:szCs w:val="20"/>
        </w:rPr>
        <w:t>cannabichromene</w:t>
      </w:r>
      <w:proofErr w:type="spellEnd"/>
      <w:r w:rsidR="00302A3F" w:rsidRPr="00F13C54">
        <w:rPr>
          <w:rFonts w:ascii="Arial" w:hAnsi="Arial" w:cs="Arial"/>
          <w:b/>
          <w:bCs/>
          <w:color w:val="000000" w:themeColor="text1"/>
          <w:sz w:val="20"/>
          <w:szCs w:val="20"/>
        </w:rPr>
        <w:t>,</w:t>
      </w:r>
      <w:r w:rsidR="00D858A0" w:rsidRPr="00F13C54">
        <w:rPr>
          <w:rFonts w:ascii="Arial" w:hAnsi="Arial" w:cs="Arial"/>
          <w:b/>
          <w:bCs/>
          <w:color w:val="000000" w:themeColor="text1"/>
          <w:sz w:val="20"/>
          <w:szCs w:val="20"/>
        </w:rPr>
        <w:t xml:space="preserve"> (5.948) nevirapine, (6.234</w:t>
      </w:r>
      <w:r w:rsidR="00302A3F" w:rsidRPr="00F13C54">
        <w:rPr>
          <w:rFonts w:ascii="Arial" w:hAnsi="Arial" w:cs="Arial"/>
          <w:b/>
          <w:bCs/>
          <w:color w:val="000000" w:themeColor="text1"/>
          <w:sz w:val="20"/>
          <w:szCs w:val="20"/>
        </w:rPr>
        <w:t xml:space="preserve">) </w:t>
      </w:r>
      <w:r w:rsidR="00302A3F" w:rsidRPr="00F13C54">
        <w:rPr>
          <w:rFonts w:ascii="Arial" w:hAnsi="Arial" w:cs="Arial"/>
          <w:b/>
          <w:bCs/>
          <w:color w:val="000000" w:themeColor="text1"/>
          <w:sz w:val="20"/>
          <w:szCs w:val="20"/>
          <w:lang w:val="en-US"/>
        </w:rPr>
        <w:t>Δ</w:t>
      </w:r>
      <w:r w:rsidR="00302A3F" w:rsidRPr="00F13C54">
        <w:rPr>
          <w:rFonts w:ascii="Arial" w:hAnsi="Arial" w:cs="Arial"/>
          <w:b/>
          <w:bCs/>
          <w:color w:val="000000" w:themeColor="text1"/>
          <w:sz w:val="20"/>
          <w:szCs w:val="20"/>
          <w:vertAlign w:val="superscript"/>
          <w:lang w:val="en-US"/>
        </w:rPr>
        <w:t>9</w:t>
      </w:r>
      <w:r w:rsidR="00302A3F" w:rsidRPr="00F13C54">
        <w:rPr>
          <w:rFonts w:ascii="Arial" w:hAnsi="Arial" w:cs="Arial"/>
          <w:b/>
          <w:bCs/>
          <w:color w:val="000000" w:themeColor="text1"/>
          <w:sz w:val="20"/>
          <w:szCs w:val="20"/>
          <w:lang w:val="en-US"/>
        </w:rPr>
        <w:t>-THC</w:t>
      </w:r>
      <w:r w:rsidR="00302A3F" w:rsidRPr="00F13C54">
        <w:rPr>
          <w:rFonts w:ascii="Arial" w:hAnsi="Arial" w:cs="Arial"/>
          <w:b/>
          <w:bCs/>
          <w:color w:val="000000" w:themeColor="text1"/>
          <w:sz w:val="20"/>
          <w:szCs w:val="20"/>
        </w:rPr>
        <w:t xml:space="preserve">, (6.411) </w:t>
      </w:r>
      <w:proofErr w:type="spellStart"/>
      <w:r w:rsidR="00302A3F" w:rsidRPr="00F13C54">
        <w:rPr>
          <w:rFonts w:ascii="Arial" w:hAnsi="Arial" w:cs="Arial"/>
          <w:b/>
          <w:bCs/>
          <w:color w:val="000000" w:themeColor="text1"/>
          <w:sz w:val="20"/>
          <w:szCs w:val="20"/>
        </w:rPr>
        <w:t>can</w:t>
      </w:r>
      <w:r w:rsidR="00D858A0" w:rsidRPr="00F13C54">
        <w:rPr>
          <w:rFonts w:ascii="Arial" w:hAnsi="Arial" w:cs="Arial"/>
          <w:b/>
          <w:bCs/>
          <w:color w:val="000000" w:themeColor="text1"/>
          <w:sz w:val="20"/>
          <w:szCs w:val="20"/>
        </w:rPr>
        <w:t>nabigerol</w:t>
      </w:r>
      <w:proofErr w:type="spellEnd"/>
      <w:r w:rsidR="00D858A0" w:rsidRPr="00F13C54">
        <w:rPr>
          <w:rFonts w:ascii="Arial" w:hAnsi="Arial" w:cs="Arial"/>
          <w:b/>
          <w:bCs/>
          <w:color w:val="000000" w:themeColor="text1"/>
          <w:sz w:val="20"/>
          <w:szCs w:val="20"/>
        </w:rPr>
        <w:t>, (6.520) cannabinol</w:t>
      </w:r>
      <w:r w:rsidR="00302A3F" w:rsidRPr="00F13C54">
        <w:rPr>
          <w:rFonts w:ascii="Arial" w:hAnsi="Arial" w:cs="Arial"/>
          <w:b/>
          <w:bCs/>
          <w:color w:val="000000" w:themeColor="text1"/>
          <w:sz w:val="20"/>
          <w:szCs w:val="20"/>
        </w:rPr>
        <w:t>, (7.020) diamorphine,</w:t>
      </w:r>
      <w:r w:rsidR="00D858A0" w:rsidRPr="00F13C54">
        <w:rPr>
          <w:rFonts w:ascii="Arial" w:hAnsi="Arial" w:cs="Arial"/>
          <w:b/>
          <w:bCs/>
          <w:color w:val="000000" w:themeColor="text1"/>
          <w:sz w:val="20"/>
          <w:szCs w:val="20"/>
        </w:rPr>
        <w:t xml:space="preserve"> (7.520</w:t>
      </w:r>
      <w:r w:rsidR="00302A3F" w:rsidRPr="00F13C54">
        <w:rPr>
          <w:rFonts w:ascii="Arial" w:hAnsi="Arial" w:cs="Arial"/>
          <w:b/>
          <w:bCs/>
          <w:color w:val="000000" w:themeColor="text1"/>
          <w:sz w:val="20"/>
          <w:szCs w:val="20"/>
        </w:rPr>
        <w:t xml:space="preserve">) </w:t>
      </w:r>
      <w:proofErr w:type="spellStart"/>
      <w:r w:rsidR="00302A3F" w:rsidRPr="00F13C54">
        <w:rPr>
          <w:rFonts w:ascii="Arial" w:hAnsi="Arial" w:cs="Arial"/>
          <w:b/>
          <w:bCs/>
          <w:color w:val="000000" w:themeColor="text1"/>
          <w:sz w:val="20"/>
          <w:szCs w:val="20"/>
        </w:rPr>
        <w:t>nonacosane</w:t>
      </w:r>
      <w:proofErr w:type="spellEnd"/>
      <w:r w:rsidR="00D858A0" w:rsidRPr="00F13C54">
        <w:rPr>
          <w:rFonts w:ascii="Arial" w:hAnsi="Arial" w:cs="Arial"/>
          <w:b/>
          <w:bCs/>
          <w:color w:val="000000" w:themeColor="text1"/>
          <w:sz w:val="20"/>
          <w:szCs w:val="20"/>
        </w:rPr>
        <w:t>, (9.454) unknown</w:t>
      </w:r>
      <w:r w:rsidR="00302A3F" w:rsidRPr="00F13C54">
        <w:rPr>
          <w:rFonts w:ascii="Arial" w:hAnsi="Arial" w:cs="Arial"/>
          <w:b/>
          <w:bCs/>
          <w:color w:val="000000" w:themeColor="text1"/>
          <w:sz w:val="20"/>
          <w:szCs w:val="20"/>
        </w:rPr>
        <w:t>.</w:t>
      </w:r>
      <w:r w:rsidR="0064642E" w:rsidRPr="00F13C54">
        <w:rPr>
          <w:rFonts w:ascii="Arial" w:hAnsi="Arial" w:cs="Arial"/>
          <w:b/>
          <w:bCs/>
          <w:color w:val="000000" w:themeColor="text1"/>
          <w:sz w:val="20"/>
          <w:szCs w:val="20"/>
        </w:rPr>
        <w:t xml:space="preserve"> In the first chromatogram.</w:t>
      </w:r>
    </w:p>
    <w:p w14:paraId="78E8E802" w14:textId="77777777" w:rsidR="001407E5" w:rsidRDefault="001407E5" w:rsidP="00DA3C8B">
      <w:pPr>
        <w:spacing w:line="480" w:lineRule="auto"/>
        <w:jc w:val="both"/>
        <w:rPr>
          <w:rFonts w:ascii="Arial" w:hAnsi="Arial" w:cs="Arial"/>
          <w:color w:val="000000" w:themeColor="text1"/>
          <w:sz w:val="22"/>
          <w:szCs w:val="22"/>
        </w:rPr>
      </w:pPr>
    </w:p>
    <w:p w14:paraId="700CC5E6" w14:textId="77777777" w:rsidR="00EE1A93" w:rsidRDefault="00094B0F" w:rsidP="00EE1A93">
      <w:pPr>
        <w:spacing w:after="240" w:line="360" w:lineRule="auto"/>
        <w:jc w:val="both"/>
        <w:rPr>
          <w:rFonts w:ascii="Arial" w:hAnsi="Arial" w:cs="Arial"/>
          <w:color w:val="000000" w:themeColor="text1"/>
          <w:sz w:val="22"/>
          <w:szCs w:val="22"/>
        </w:rPr>
      </w:pPr>
      <w:r w:rsidRPr="00F13C54">
        <w:rPr>
          <w:rFonts w:ascii="Arial" w:hAnsi="Arial" w:cs="Arial"/>
          <w:color w:val="000000" w:themeColor="text1"/>
          <w:sz w:val="22"/>
          <w:szCs w:val="22"/>
        </w:rPr>
        <w:t>To demonstrate that the method could be applied to casework samples</w:t>
      </w:r>
      <w:r w:rsidR="009E0886" w:rsidRPr="00F13C54">
        <w:rPr>
          <w:rFonts w:ascii="Arial" w:hAnsi="Arial" w:cs="Arial"/>
          <w:color w:val="000000" w:themeColor="text1"/>
          <w:sz w:val="22"/>
          <w:szCs w:val="22"/>
        </w:rPr>
        <w:t>,</w:t>
      </w:r>
      <w:r w:rsidRPr="00F13C54">
        <w:rPr>
          <w:rFonts w:ascii="Arial" w:hAnsi="Arial" w:cs="Arial"/>
          <w:color w:val="000000" w:themeColor="text1"/>
          <w:sz w:val="22"/>
          <w:szCs w:val="22"/>
        </w:rPr>
        <w:t xml:space="preserve"> five samples of </w:t>
      </w:r>
      <w:proofErr w:type="spellStart"/>
      <w:r w:rsidRPr="00F13C54">
        <w:rPr>
          <w:rFonts w:ascii="Arial" w:hAnsi="Arial" w:cs="Arial"/>
          <w:color w:val="000000" w:themeColor="text1"/>
          <w:sz w:val="22"/>
          <w:szCs w:val="22"/>
        </w:rPr>
        <w:t>nyaope</w:t>
      </w:r>
      <w:proofErr w:type="spellEnd"/>
      <w:r w:rsidRPr="00F13C54">
        <w:rPr>
          <w:rFonts w:ascii="Arial" w:hAnsi="Arial" w:cs="Arial"/>
          <w:color w:val="000000" w:themeColor="text1"/>
          <w:sz w:val="22"/>
          <w:szCs w:val="22"/>
        </w:rPr>
        <w:t xml:space="preserve"> </w:t>
      </w:r>
      <w:r w:rsidR="0025209B" w:rsidRPr="00F13C54">
        <w:rPr>
          <w:rFonts w:ascii="Arial" w:hAnsi="Arial" w:cs="Arial"/>
          <w:color w:val="000000" w:themeColor="text1"/>
          <w:sz w:val="22"/>
          <w:szCs w:val="22"/>
        </w:rPr>
        <w:t>(</w:t>
      </w:r>
      <w:r w:rsidR="009E0886" w:rsidRPr="00F13C54">
        <w:rPr>
          <w:rFonts w:ascii="Arial" w:hAnsi="Arial" w:cs="Arial"/>
          <w:color w:val="000000" w:themeColor="text1"/>
          <w:sz w:val="22"/>
          <w:szCs w:val="22"/>
        </w:rPr>
        <w:t xml:space="preserve">denoted as </w:t>
      </w:r>
      <w:r w:rsidR="00572F0A" w:rsidRPr="00F13C54">
        <w:rPr>
          <w:rFonts w:ascii="Arial" w:hAnsi="Arial" w:cs="Arial"/>
          <w:color w:val="000000" w:themeColor="text1"/>
          <w:sz w:val="22"/>
          <w:szCs w:val="22"/>
        </w:rPr>
        <w:t>2514202B, 2520902B, 3400002B, 37959902B</w:t>
      </w:r>
      <w:r w:rsidR="001A1F45" w:rsidRPr="00F13C54">
        <w:rPr>
          <w:rFonts w:ascii="Arial" w:hAnsi="Arial" w:cs="Arial"/>
          <w:color w:val="000000" w:themeColor="text1"/>
          <w:sz w:val="22"/>
          <w:szCs w:val="22"/>
        </w:rPr>
        <w:t xml:space="preserve"> and</w:t>
      </w:r>
      <w:r w:rsidR="00572F0A" w:rsidRPr="00F13C54">
        <w:rPr>
          <w:rFonts w:ascii="Arial" w:hAnsi="Arial" w:cs="Arial"/>
          <w:color w:val="000000" w:themeColor="text1"/>
          <w:sz w:val="22"/>
          <w:szCs w:val="22"/>
        </w:rPr>
        <w:t xml:space="preserve"> </w:t>
      </w:r>
      <w:r w:rsidR="0025209B" w:rsidRPr="00F13C54">
        <w:rPr>
          <w:rFonts w:ascii="Arial" w:hAnsi="Arial" w:cs="Arial"/>
          <w:color w:val="000000" w:themeColor="text1"/>
          <w:sz w:val="22"/>
          <w:szCs w:val="22"/>
        </w:rPr>
        <w:t xml:space="preserve">50390902B) </w:t>
      </w:r>
      <w:r w:rsidRPr="00F13C54">
        <w:rPr>
          <w:rFonts w:ascii="Arial" w:hAnsi="Arial" w:cs="Arial"/>
          <w:color w:val="000000" w:themeColor="text1"/>
          <w:sz w:val="22"/>
          <w:szCs w:val="22"/>
        </w:rPr>
        <w:t>were analysed.</w:t>
      </w:r>
      <w:r w:rsidR="00796404" w:rsidRPr="00F13C54">
        <w:rPr>
          <w:rFonts w:ascii="Arial" w:hAnsi="Arial" w:cs="Arial"/>
          <w:color w:val="000000" w:themeColor="text1"/>
          <w:sz w:val="22"/>
          <w:szCs w:val="22"/>
        </w:rPr>
        <w:t xml:space="preserve"> Figure </w:t>
      </w:r>
      <w:r w:rsidR="006D4E4B" w:rsidRPr="00F13C54">
        <w:rPr>
          <w:rFonts w:ascii="Arial" w:hAnsi="Arial" w:cs="Arial"/>
          <w:color w:val="000000" w:themeColor="text1"/>
          <w:sz w:val="22"/>
          <w:szCs w:val="22"/>
        </w:rPr>
        <w:t>2</w:t>
      </w:r>
      <w:r w:rsidR="00796404" w:rsidRPr="00F13C54">
        <w:rPr>
          <w:rFonts w:ascii="Arial" w:hAnsi="Arial" w:cs="Arial"/>
          <w:color w:val="000000" w:themeColor="text1"/>
          <w:sz w:val="22"/>
          <w:szCs w:val="22"/>
        </w:rPr>
        <w:t xml:space="preserve"> is a typical total ion chromatograph for one of the casework sample</w:t>
      </w:r>
      <w:r w:rsidR="009E0886" w:rsidRPr="00F13C54">
        <w:rPr>
          <w:rFonts w:ascii="Arial" w:hAnsi="Arial" w:cs="Arial"/>
          <w:color w:val="000000" w:themeColor="text1"/>
          <w:sz w:val="22"/>
          <w:szCs w:val="22"/>
        </w:rPr>
        <w:t>s</w:t>
      </w:r>
      <w:r w:rsidR="00796404" w:rsidRPr="00F13C54">
        <w:rPr>
          <w:rFonts w:ascii="Arial" w:hAnsi="Arial" w:cs="Arial"/>
          <w:color w:val="000000" w:themeColor="text1"/>
          <w:sz w:val="22"/>
          <w:szCs w:val="22"/>
        </w:rPr>
        <w:t xml:space="preserve"> (37959902B</w:t>
      </w:r>
      <w:r w:rsidR="00796404" w:rsidRPr="003744BD">
        <w:rPr>
          <w:rFonts w:ascii="Arial" w:hAnsi="Arial" w:cs="Arial"/>
          <w:color w:val="000000" w:themeColor="text1"/>
          <w:sz w:val="22"/>
          <w:szCs w:val="22"/>
        </w:rPr>
        <w:t>). The components identified in the other casework s</w:t>
      </w:r>
      <w:r w:rsidR="00186689" w:rsidRPr="003744BD">
        <w:rPr>
          <w:rFonts w:ascii="Arial" w:hAnsi="Arial" w:cs="Arial"/>
          <w:color w:val="000000" w:themeColor="text1"/>
          <w:sz w:val="22"/>
          <w:szCs w:val="22"/>
        </w:rPr>
        <w:t xml:space="preserve">amples are summarised in </w:t>
      </w:r>
      <w:r w:rsidR="00186689" w:rsidRPr="0015368A">
        <w:rPr>
          <w:rFonts w:ascii="Arial" w:hAnsi="Arial" w:cs="Arial"/>
          <w:color w:val="000000" w:themeColor="text1"/>
          <w:sz w:val="22"/>
          <w:szCs w:val="22"/>
        </w:rPr>
        <w:t xml:space="preserve">Table </w:t>
      </w:r>
      <w:r w:rsidR="00A31154" w:rsidRPr="0015368A">
        <w:rPr>
          <w:rFonts w:ascii="Arial" w:hAnsi="Arial" w:cs="Arial"/>
          <w:color w:val="000000" w:themeColor="text1"/>
          <w:sz w:val="22"/>
          <w:szCs w:val="22"/>
        </w:rPr>
        <w:t>4</w:t>
      </w:r>
      <w:r w:rsidR="00796404" w:rsidRPr="0015368A">
        <w:rPr>
          <w:rFonts w:ascii="Arial" w:hAnsi="Arial" w:cs="Arial"/>
          <w:color w:val="000000" w:themeColor="text1"/>
          <w:sz w:val="22"/>
          <w:szCs w:val="22"/>
        </w:rPr>
        <w:t>.</w:t>
      </w:r>
      <w:r w:rsidR="00796404" w:rsidRPr="003744BD">
        <w:rPr>
          <w:rFonts w:ascii="Arial" w:hAnsi="Arial" w:cs="Arial"/>
          <w:color w:val="000000" w:themeColor="text1"/>
          <w:sz w:val="22"/>
          <w:szCs w:val="22"/>
        </w:rPr>
        <w:t xml:space="preserve"> </w:t>
      </w:r>
      <w:r w:rsidR="006F0423" w:rsidRPr="003744BD">
        <w:rPr>
          <w:rFonts w:ascii="Arial" w:hAnsi="Arial" w:cs="Arial"/>
          <w:color w:val="000000" w:themeColor="text1"/>
          <w:sz w:val="22"/>
          <w:szCs w:val="22"/>
          <w:lang w:val="en-ZA"/>
        </w:rPr>
        <w:t xml:space="preserve">The components, cocaine, diamorphine, </w:t>
      </w:r>
      <w:proofErr w:type="gramStart"/>
      <w:r w:rsidR="006F0423" w:rsidRPr="003744BD">
        <w:rPr>
          <w:rFonts w:ascii="Arial" w:hAnsi="Arial" w:cs="Arial"/>
          <w:color w:val="000000" w:themeColor="text1"/>
          <w:sz w:val="22"/>
          <w:szCs w:val="22"/>
          <w:lang w:val="en-ZA"/>
        </w:rPr>
        <w:t>methaqualone</w:t>
      </w:r>
      <w:proofErr w:type="gramEnd"/>
      <w:r w:rsidR="006F0423" w:rsidRPr="003744BD">
        <w:rPr>
          <w:rFonts w:ascii="Arial" w:hAnsi="Arial" w:cs="Arial"/>
          <w:color w:val="000000" w:themeColor="text1"/>
          <w:sz w:val="22"/>
          <w:szCs w:val="22"/>
          <w:lang w:val="en-ZA"/>
        </w:rPr>
        <w:t xml:space="preserve"> and Δ</w:t>
      </w:r>
      <w:r w:rsidR="006F0423" w:rsidRPr="003744BD">
        <w:rPr>
          <w:rFonts w:ascii="Arial" w:hAnsi="Arial" w:cs="Arial"/>
          <w:color w:val="000000" w:themeColor="text1"/>
          <w:sz w:val="22"/>
          <w:szCs w:val="22"/>
          <w:vertAlign w:val="superscript"/>
          <w:lang w:val="en-ZA"/>
        </w:rPr>
        <w:t>9</w:t>
      </w:r>
      <w:r w:rsidR="00572F0A" w:rsidRPr="003744BD">
        <w:rPr>
          <w:rFonts w:ascii="Arial" w:hAnsi="Arial" w:cs="Arial"/>
          <w:color w:val="000000" w:themeColor="text1"/>
          <w:sz w:val="22"/>
          <w:szCs w:val="22"/>
          <w:lang w:val="en-ZA"/>
        </w:rPr>
        <w:t>-THC</w:t>
      </w:r>
      <w:r w:rsidR="006F0423" w:rsidRPr="003744BD">
        <w:rPr>
          <w:rFonts w:ascii="Arial" w:hAnsi="Arial" w:cs="Arial"/>
          <w:color w:val="000000" w:themeColor="text1"/>
          <w:sz w:val="22"/>
          <w:szCs w:val="22"/>
          <w:lang w:val="en-ZA"/>
        </w:rPr>
        <w:t xml:space="preserve"> were identified on the basis of their retention time and mass spectral data using certified reference material. Caffeine was identified </w:t>
      </w:r>
      <w:proofErr w:type="gramStart"/>
      <w:r w:rsidR="006F0423" w:rsidRPr="003744BD">
        <w:rPr>
          <w:rFonts w:ascii="Arial" w:hAnsi="Arial" w:cs="Arial"/>
          <w:color w:val="000000" w:themeColor="text1"/>
          <w:sz w:val="22"/>
          <w:szCs w:val="22"/>
          <w:lang w:val="en-ZA"/>
        </w:rPr>
        <w:t>on the basis of</w:t>
      </w:r>
      <w:proofErr w:type="gramEnd"/>
      <w:r w:rsidR="006F0423" w:rsidRPr="003744BD">
        <w:rPr>
          <w:rFonts w:ascii="Arial" w:hAnsi="Arial" w:cs="Arial"/>
          <w:color w:val="000000" w:themeColor="text1"/>
          <w:sz w:val="22"/>
          <w:szCs w:val="22"/>
          <w:lang w:val="en-ZA"/>
        </w:rPr>
        <w:t xml:space="preserve"> their retention time and mass spectral data using USP reference standards.</w:t>
      </w:r>
      <w:r w:rsidR="006F0423" w:rsidRPr="003744BD">
        <w:rPr>
          <w:rFonts w:ascii="Arial" w:hAnsi="Arial" w:cs="Arial"/>
          <w:i/>
          <w:color w:val="000000" w:themeColor="text1"/>
          <w:sz w:val="22"/>
          <w:szCs w:val="22"/>
          <w:lang w:val="en-ZA"/>
        </w:rPr>
        <w:t xml:space="preserve"> </w:t>
      </w:r>
      <w:r w:rsidR="006F0423" w:rsidRPr="003744BD">
        <w:rPr>
          <w:rFonts w:ascii="Arial" w:hAnsi="Arial" w:cs="Arial"/>
          <w:color w:val="000000" w:themeColor="text1"/>
          <w:sz w:val="22"/>
          <w:szCs w:val="22"/>
          <w:lang w:val="en-ZA"/>
        </w:rPr>
        <w:t xml:space="preserve">Acetaminophen, </w:t>
      </w:r>
      <w:proofErr w:type="spellStart"/>
      <w:r w:rsidR="006F0423" w:rsidRPr="003744BD">
        <w:rPr>
          <w:rFonts w:ascii="Arial" w:hAnsi="Arial" w:cs="Arial"/>
          <w:color w:val="000000" w:themeColor="text1"/>
          <w:sz w:val="22"/>
          <w:szCs w:val="22"/>
          <w:lang w:val="en-ZA"/>
        </w:rPr>
        <w:t>acetylcodeine</w:t>
      </w:r>
      <w:proofErr w:type="spellEnd"/>
      <w:r w:rsidR="006F0423" w:rsidRPr="003744BD">
        <w:rPr>
          <w:rFonts w:ascii="Arial" w:hAnsi="Arial" w:cs="Arial"/>
          <w:color w:val="000000" w:themeColor="text1"/>
          <w:sz w:val="22"/>
          <w:szCs w:val="22"/>
          <w:lang w:val="en-ZA"/>
        </w:rPr>
        <w:t xml:space="preserve">, </w:t>
      </w:r>
      <w:proofErr w:type="spellStart"/>
      <w:r w:rsidR="006F0423" w:rsidRPr="003744BD">
        <w:rPr>
          <w:rFonts w:ascii="Arial" w:hAnsi="Arial" w:cs="Arial"/>
          <w:color w:val="000000" w:themeColor="text1"/>
          <w:sz w:val="22"/>
          <w:szCs w:val="22"/>
          <w:lang w:val="en-ZA"/>
        </w:rPr>
        <w:t>bulnesol</w:t>
      </w:r>
      <w:proofErr w:type="spellEnd"/>
      <w:r w:rsidR="006F0423" w:rsidRPr="003744BD">
        <w:rPr>
          <w:rFonts w:ascii="Arial" w:hAnsi="Arial" w:cs="Arial"/>
          <w:color w:val="000000" w:themeColor="text1"/>
          <w:sz w:val="22"/>
          <w:szCs w:val="22"/>
          <w:lang w:val="en-ZA"/>
        </w:rPr>
        <w:t xml:space="preserve">, </w:t>
      </w:r>
      <w:proofErr w:type="spellStart"/>
      <w:r w:rsidR="006F0423" w:rsidRPr="003744BD">
        <w:rPr>
          <w:rFonts w:ascii="Arial" w:hAnsi="Arial" w:cs="Arial"/>
          <w:color w:val="000000" w:themeColor="text1"/>
          <w:sz w:val="22"/>
          <w:szCs w:val="22"/>
          <w:lang w:val="en-ZA"/>
        </w:rPr>
        <w:t>cannabichromene</w:t>
      </w:r>
      <w:proofErr w:type="spellEnd"/>
      <w:r w:rsidR="006F0423" w:rsidRPr="003744BD">
        <w:rPr>
          <w:rFonts w:ascii="Arial" w:hAnsi="Arial" w:cs="Arial"/>
          <w:color w:val="000000" w:themeColor="text1"/>
          <w:sz w:val="22"/>
          <w:szCs w:val="22"/>
          <w:lang w:val="en-ZA"/>
        </w:rPr>
        <w:t xml:space="preserve">, </w:t>
      </w:r>
      <w:proofErr w:type="spellStart"/>
      <w:r w:rsidR="006F0423" w:rsidRPr="003744BD">
        <w:rPr>
          <w:rFonts w:ascii="Arial" w:hAnsi="Arial" w:cs="Arial"/>
          <w:color w:val="000000" w:themeColor="text1"/>
          <w:sz w:val="22"/>
          <w:szCs w:val="22"/>
          <w:lang w:val="en-ZA"/>
        </w:rPr>
        <w:t>cannabicoumaronone</w:t>
      </w:r>
      <w:proofErr w:type="spellEnd"/>
      <w:r w:rsidR="006F0423" w:rsidRPr="003744BD">
        <w:rPr>
          <w:rFonts w:ascii="Arial" w:hAnsi="Arial" w:cs="Arial"/>
          <w:color w:val="000000" w:themeColor="text1"/>
          <w:sz w:val="22"/>
          <w:szCs w:val="22"/>
          <w:lang w:val="en-ZA"/>
        </w:rPr>
        <w:t xml:space="preserve">, cannabidiol, </w:t>
      </w:r>
      <w:proofErr w:type="spellStart"/>
      <w:r w:rsidR="006F0423" w:rsidRPr="003744BD">
        <w:rPr>
          <w:rFonts w:ascii="Arial" w:hAnsi="Arial" w:cs="Arial"/>
          <w:color w:val="000000" w:themeColor="text1"/>
          <w:sz w:val="22"/>
          <w:szCs w:val="22"/>
          <w:lang w:val="en-ZA"/>
        </w:rPr>
        <w:t>cannabigerol</w:t>
      </w:r>
      <w:proofErr w:type="spellEnd"/>
      <w:r w:rsidR="006F0423" w:rsidRPr="003744BD">
        <w:rPr>
          <w:rFonts w:ascii="Arial" w:hAnsi="Arial" w:cs="Arial"/>
          <w:color w:val="000000" w:themeColor="text1"/>
          <w:sz w:val="22"/>
          <w:szCs w:val="22"/>
          <w:lang w:val="en-ZA"/>
        </w:rPr>
        <w:t xml:space="preserve">, cannabinol, </w:t>
      </w:r>
      <w:proofErr w:type="spellStart"/>
      <w:r w:rsidR="006F0423" w:rsidRPr="003744BD">
        <w:rPr>
          <w:rFonts w:ascii="Arial" w:hAnsi="Arial" w:cs="Arial"/>
          <w:color w:val="000000" w:themeColor="text1"/>
          <w:sz w:val="22"/>
          <w:szCs w:val="22"/>
          <w:lang w:val="en-ZA"/>
        </w:rPr>
        <w:t>cannabivarin</w:t>
      </w:r>
      <w:proofErr w:type="spellEnd"/>
      <w:r w:rsidR="006F0423" w:rsidRPr="003744BD">
        <w:rPr>
          <w:rFonts w:ascii="Arial" w:hAnsi="Arial" w:cs="Arial"/>
          <w:color w:val="000000" w:themeColor="text1"/>
          <w:sz w:val="22"/>
          <w:szCs w:val="22"/>
          <w:lang w:val="en-ZA"/>
        </w:rPr>
        <w:t xml:space="preserve">, codeine, </w:t>
      </w:r>
      <w:r w:rsidR="001B1ACE" w:rsidRPr="003744BD">
        <w:rPr>
          <w:rFonts w:ascii="Arial" w:hAnsi="Arial" w:cs="Arial"/>
          <w:color w:val="000000" w:themeColor="text1"/>
          <w:sz w:val="22"/>
          <w:szCs w:val="22"/>
          <w:lang w:val="en-ZA"/>
        </w:rPr>
        <w:t xml:space="preserve">caryophyllene, </w:t>
      </w:r>
      <w:r w:rsidR="006F0423" w:rsidRPr="003744BD">
        <w:rPr>
          <w:rFonts w:ascii="Arial" w:hAnsi="Arial" w:cs="Arial"/>
          <w:color w:val="000000" w:themeColor="text1"/>
          <w:sz w:val="22"/>
          <w:szCs w:val="22"/>
          <w:lang w:val="en-ZA"/>
        </w:rPr>
        <w:t xml:space="preserve">6-monoacetylmorphine, nicotine, </w:t>
      </w:r>
      <w:proofErr w:type="spellStart"/>
      <w:r w:rsidR="006F0423" w:rsidRPr="003744BD">
        <w:rPr>
          <w:rFonts w:ascii="Arial" w:hAnsi="Arial" w:cs="Arial"/>
          <w:color w:val="000000" w:themeColor="text1"/>
          <w:sz w:val="22"/>
          <w:szCs w:val="22"/>
          <w:lang w:val="en-ZA"/>
        </w:rPr>
        <w:t>nonacosane</w:t>
      </w:r>
      <w:proofErr w:type="spellEnd"/>
      <w:r w:rsidR="006F0423" w:rsidRPr="003744BD">
        <w:rPr>
          <w:rFonts w:ascii="Arial" w:hAnsi="Arial" w:cs="Arial"/>
          <w:color w:val="000000" w:themeColor="text1"/>
          <w:sz w:val="22"/>
          <w:szCs w:val="22"/>
          <w:lang w:val="en-ZA"/>
        </w:rPr>
        <w:t xml:space="preserve">, tetrahydrocannabivarin and </w:t>
      </w:r>
      <w:r w:rsidR="006F0423" w:rsidRPr="0015368A">
        <w:rPr>
          <w:rFonts w:ascii="Arial" w:hAnsi="Arial" w:cs="Arial"/>
          <w:color w:val="000000" w:themeColor="text1"/>
          <w:sz w:val="22"/>
          <w:szCs w:val="22"/>
          <w:lang w:val="en-ZA"/>
        </w:rPr>
        <w:t>vitamin</w:t>
      </w:r>
      <w:r w:rsidR="00D40CE4" w:rsidRPr="0015368A">
        <w:rPr>
          <w:rFonts w:ascii="Arial" w:hAnsi="Arial" w:cs="Arial"/>
          <w:color w:val="000000" w:themeColor="text1"/>
          <w:sz w:val="22"/>
          <w:szCs w:val="22"/>
          <w:lang w:val="en-ZA"/>
        </w:rPr>
        <w:t xml:space="preserve"> E</w:t>
      </w:r>
      <w:r w:rsidR="006F0423" w:rsidRPr="00B468F1">
        <w:rPr>
          <w:rFonts w:ascii="Arial" w:hAnsi="Arial" w:cs="Arial"/>
          <w:color w:val="FF0000"/>
          <w:sz w:val="22"/>
          <w:szCs w:val="22"/>
          <w:lang w:val="en-ZA"/>
        </w:rPr>
        <w:t xml:space="preserve"> </w:t>
      </w:r>
      <w:r w:rsidR="006F0423" w:rsidRPr="003744BD">
        <w:rPr>
          <w:rFonts w:ascii="Arial" w:hAnsi="Arial" w:cs="Arial"/>
          <w:color w:val="000000" w:themeColor="text1"/>
          <w:sz w:val="22"/>
          <w:szCs w:val="22"/>
          <w:lang w:val="en-ZA"/>
        </w:rPr>
        <w:t>were identified by comparing the experimental mass spectral data with the NIST mass spectral library NIST 14.</w:t>
      </w:r>
      <w:r w:rsidR="006F0423" w:rsidRPr="00F13C54">
        <w:rPr>
          <w:rFonts w:ascii="Arial" w:hAnsi="Arial" w:cs="Arial"/>
          <w:i/>
          <w:color w:val="000000" w:themeColor="text1"/>
          <w:sz w:val="22"/>
          <w:szCs w:val="22"/>
          <w:lang w:val="en-ZA"/>
        </w:rPr>
        <w:t xml:space="preserve"> </w:t>
      </w:r>
      <w:r w:rsidR="005E55DB" w:rsidRPr="00F13C54">
        <w:rPr>
          <w:rFonts w:ascii="Arial" w:hAnsi="Arial" w:cs="Arial"/>
          <w:color w:val="000000" w:themeColor="text1"/>
          <w:sz w:val="22"/>
          <w:szCs w:val="22"/>
        </w:rPr>
        <w:t>From the</w:t>
      </w:r>
      <w:r w:rsidR="006B18EB" w:rsidRPr="00F13C54">
        <w:rPr>
          <w:rFonts w:ascii="Arial" w:hAnsi="Arial" w:cs="Arial"/>
          <w:color w:val="FF0000"/>
          <w:sz w:val="22"/>
          <w:szCs w:val="22"/>
        </w:rPr>
        <w:t xml:space="preserve"> </w:t>
      </w:r>
      <w:r w:rsidR="006B18EB" w:rsidRPr="00F13C54">
        <w:rPr>
          <w:rFonts w:ascii="Arial" w:hAnsi="Arial" w:cs="Arial"/>
          <w:color w:val="000000" w:themeColor="text1"/>
          <w:sz w:val="22"/>
          <w:szCs w:val="22"/>
        </w:rPr>
        <w:t xml:space="preserve">components </w:t>
      </w:r>
      <w:r w:rsidR="00913006" w:rsidRPr="00F13C54">
        <w:rPr>
          <w:rFonts w:ascii="Arial" w:hAnsi="Arial" w:cs="Arial"/>
          <w:color w:val="000000" w:themeColor="text1"/>
          <w:sz w:val="22"/>
          <w:szCs w:val="22"/>
        </w:rPr>
        <w:t xml:space="preserve">identified </w:t>
      </w:r>
      <w:proofErr w:type="gramStart"/>
      <w:r w:rsidR="005E55DB" w:rsidRPr="00F13C54">
        <w:rPr>
          <w:rFonts w:ascii="Arial" w:hAnsi="Arial" w:cs="Arial"/>
          <w:color w:val="000000" w:themeColor="text1"/>
          <w:sz w:val="22"/>
          <w:szCs w:val="22"/>
        </w:rPr>
        <w:t>it can be seen that it</w:t>
      </w:r>
      <w:proofErr w:type="gramEnd"/>
      <w:r w:rsidR="005E55DB" w:rsidRPr="00F13C54">
        <w:rPr>
          <w:rFonts w:ascii="Arial" w:hAnsi="Arial" w:cs="Arial"/>
          <w:color w:val="000000" w:themeColor="text1"/>
          <w:sz w:val="22"/>
          <w:szCs w:val="22"/>
        </w:rPr>
        <w:t xml:space="preserve"> is possible to discriminate between street samples of </w:t>
      </w:r>
      <w:proofErr w:type="spellStart"/>
      <w:r w:rsidR="005E55DB" w:rsidRPr="00F13C54">
        <w:rPr>
          <w:rFonts w:ascii="Arial" w:hAnsi="Arial" w:cs="Arial"/>
          <w:color w:val="000000" w:themeColor="text1"/>
          <w:sz w:val="22"/>
          <w:szCs w:val="22"/>
        </w:rPr>
        <w:t>nyaope</w:t>
      </w:r>
      <w:proofErr w:type="spellEnd"/>
      <w:r w:rsidR="005E55DB" w:rsidRPr="00F13C54">
        <w:rPr>
          <w:rFonts w:ascii="Arial" w:hAnsi="Arial" w:cs="Arial"/>
          <w:color w:val="000000" w:themeColor="text1"/>
          <w:sz w:val="22"/>
          <w:szCs w:val="22"/>
        </w:rPr>
        <w:t xml:space="preserve"> and that the method described can be applied to forensic casework.</w:t>
      </w:r>
      <w:r w:rsidR="00A04DAE" w:rsidRPr="00F13C54">
        <w:rPr>
          <w:rFonts w:ascii="Arial" w:hAnsi="Arial" w:cs="Arial"/>
          <w:color w:val="000000" w:themeColor="text1"/>
          <w:sz w:val="22"/>
          <w:szCs w:val="22"/>
        </w:rPr>
        <w:t xml:space="preserve"> </w:t>
      </w:r>
    </w:p>
    <w:p w14:paraId="53810943" w14:textId="2E8644DE" w:rsidR="00A04DAE" w:rsidRPr="003A2A60" w:rsidRDefault="00A515B3" w:rsidP="00EE1A93">
      <w:pPr>
        <w:spacing w:line="360" w:lineRule="auto"/>
        <w:jc w:val="both"/>
        <w:rPr>
          <w:rFonts w:ascii="Arial" w:hAnsi="Arial" w:cs="Arial"/>
          <w:color w:val="000000" w:themeColor="text1"/>
        </w:rPr>
      </w:pPr>
      <w:r w:rsidRPr="003A2A60">
        <w:rPr>
          <w:rFonts w:ascii="Arial" w:hAnsi="Arial" w:cs="Arial"/>
          <w:noProof/>
          <w:color w:val="000000" w:themeColor="text1"/>
          <w:lang w:val="en-ZA" w:eastAsia="en-ZA"/>
        </w:rPr>
        <w:lastRenderedPageBreak/>
        <w:drawing>
          <wp:inline distT="0" distB="0" distL="0" distR="0" wp14:anchorId="1DA56D11" wp14:editId="4CA38A59">
            <wp:extent cx="5439600" cy="3484800"/>
            <wp:effectExtent l="0" t="0" r="0" b="190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39600" cy="3484800"/>
                    </a:xfrm>
                    <a:prstGeom prst="rect">
                      <a:avLst/>
                    </a:prstGeom>
                    <a:noFill/>
                    <a:ln>
                      <a:noFill/>
                    </a:ln>
                  </pic:spPr>
                </pic:pic>
              </a:graphicData>
            </a:graphic>
          </wp:inline>
        </w:drawing>
      </w:r>
    </w:p>
    <w:p w14:paraId="459FB9C0" w14:textId="2B1FE045" w:rsidR="0016122E" w:rsidRDefault="00A04DAE" w:rsidP="0016122E">
      <w:pPr>
        <w:jc w:val="both"/>
        <w:rPr>
          <w:rFonts w:ascii="Arial" w:hAnsi="Arial" w:cs="Arial"/>
          <w:bCs/>
          <w:color w:val="000000" w:themeColor="text1"/>
          <w:sz w:val="20"/>
          <w:szCs w:val="20"/>
        </w:rPr>
      </w:pPr>
      <w:r w:rsidRPr="00F13C54">
        <w:rPr>
          <w:rFonts w:ascii="Arial" w:hAnsi="Arial" w:cs="Arial"/>
          <w:b/>
          <w:color w:val="000000" w:themeColor="text1"/>
          <w:sz w:val="20"/>
          <w:szCs w:val="20"/>
        </w:rPr>
        <w:t xml:space="preserve">Figure </w:t>
      </w:r>
      <w:r w:rsidR="006D4E4B" w:rsidRPr="00F13C54">
        <w:rPr>
          <w:rFonts w:ascii="Arial" w:hAnsi="Arial" w:cs="Arial"/>
          <w:b/>
          <w:color w:val="000000" w:themeColor="text1"/>
          <w:sz w:val="20"/>
          <w:szCs w:val="20"/>
        </w:rPr>
        <w:t>2</w:t>
      </w:r>
      <w:r w:rsidRPr="00F13C54">
        <w:rPr>
          <w:rFonts w:ascii="Arial" w:hAnsi="Arial" w:cs="Arial"/>
          <w:b/>
          <w:color w:val="000000" w:themeColor="text1"/>
          <w:sz w:val="20"/>
          <w:szCs w:val="20"/>
        </w:rPr>
        <w:t>: A typical total ion chromatograph for one of the casework sample</w:t>
      </w:r>
      <w:r w:rsidR="009E0886" w:rsidRPr="00F13C54">
        <w:rPr>
          <w:rFonts w:ascii="Arial" w:hAnsi="Arial" w:cs="Arial"/>
          <w:b/>
          <w:color w:val="000000" w:themeColor="text1"/>
          <w:sz w:val="20"/>
          <w:szCs w:val="20"/>
        </w:rPr>
        <w:t>s</w:t>
      </w:r>
      <w:r w:rsidRPr="00F13C54">
        <w:rPr>
          <w:rFonts w:ascii="Arial" w:hAnsi="Arial" w:cs="Arial"/>
          <w:b/>
          <w:color w:val="000000" w:themeColor="text1"/>
          <w:sz w:val="20"/>
          <w:szCs w:val="20"/>
        </w:rPr>
        <w:t xml:space="preserve">, 37959902B where </w:t>
      </w:r>
      <w:r w:rsidRPr="00F13C54">
        <w:rPr>
          <w:rFonts w:ascii="Arial" w:hAnsi="Arial" w:cs="Arial"/>
          <w:b/>
          <w:bCs/>
          <w:color w:val="000000" w:themeColor="text1"/>
          <w:sz w:val="20"/>
          <w:szCs w:val="20"/>
        </w:rPr>
        <w:t>(2.410) nicotine, (2.579) caryophyllene, (3.388) unknown, (3.555) caffeine, (4.749) methaqualone, (4.935) unknown, (5.242) tetrahydrocannabivarin, (5.426) tetracosane IS, (5.765) cannabidiol, (5.939) codeine, (6.210) Δ</w:t>
      </w:r>
      <w:r w:rsidRPr="00F13C54">
        <w:rPr>
          <w:rFonts w:ascii="Arial" w:hAnsi="Arial" w:cs="Arial"/>
          <w:b/>
          <w:bCs/>
          <w:color w:val="000000" w:themeColor="text1"/>
          <w:sz w:val="20"/>
          <w:szCs w:val="20"/>
          <w:vertAlign w:val="superscript"/>
        </w:rPr>
        <w:t>9</w:t>
      </w:r>
      <w:r w:rsidRPr="00F13C54">
        <w:rPr>
          <w:rFonts w:ascii="Arial" w:hAnsi="Arial" w:cs="Arial"/>
          <w:b/>
          <w:bCs/>
          <w:color w:val="000000" w:themeColor="text1"/>
          <w:sz w:val="20"/>
          <w:szCs w:val="20"/>
        </w:rPr>
        <w:t xml:space="preserve">-THC, (6.411) </w:t>
      </w:r>
      <w:proofErr w:type="spellStart"/>
      <w:r w:rsidRPr="00F13C54">
        <w:rPr>
          <w:rFonts w:ascii="Arial" w:hAnsi="Arial" w:cs="Arial"/>
          <w:b/>
          <w:bCs/>
          <w:color w:val="000000" w:themeColor="text1"/>
          <w:sz w:val="20"/>
          <w:szCs w:val="20"/>
        </w:rPr>
        <w:t>cannabigerol</w:t>
      </w:r>
      <w:proofErr w:type="spellEnd"/>
      <w:r w:rsidRPr="00F13C54">
        <w:rPr>
          <w:rFonts w:ascii="Arial" w:hAnsi="Arial" w:cs="Arial"/>
          <w:b/>
          <w:bCs/>
          <w:color w:val="000000" w:themeColor="text1"/>
          <w:sz w:val="20"/>
          <w:szCs w:val="20"/>
        </w:rPr>
        <w:t xml:space="preserve">, (6.484) </w:t>
      </w:r>
      <w:proofErr w:type="spellStart"/>
      <w:r w:rsidRPr="00F13C54">
        <w:rPr>
          <w:rFonts w:ascii="Arial" w:hAnsi="Arial" w:cs="Arial"/>
          <w:b/>
          <w:bCs/>
          <w:color w:val="000000" w:themeColor="text1"/>
          <w:sz w:val="20"/>
          <w:szCs w:val="20"/>
        </w:rPr>
        <w:t>acetylcodeine</w:t>
      </w:r>
      <w:proofErr w:type="spellEnd"/>
      <w:r w:rsidRPr="00F13C54">
        <w:rPr>
          <w:rFonts w:ascii="Arial" w:hAnsi="Arial" w:cs="Arial"/>
          <w:b/>
          <w:bCs/>
          <w:color w:val="000000" w:themeColor="text1"/>
          <w:sz w:val="20"/>
          <w:szCs w:val="20"/>
        </w:rPr>
        <w:t xml:space="preserve">, (6.552) 6-monoacetylmorphine, (7.002) diamorphine, (7.517) </w:t>
      </w:r>
      <w:proofErr w:type="spellStart"/>
      <w:r w:rsidRPr="00F13C54">
        <w:rPr>
          <w:rFonts w:ascii="Arial" w:hAnsi="Arial" w:cs="Arial"/>
          <w:b/>
          <w:bCs/>
          <w:color w:val="000000" w:themeColor="text1"/>
          <w:sz w:val="20"/>
          <w:szCs w:val="20"/>
        </w:rPr>
        <w:t>nonacosane</w:t>
      </w:r>
      <w:proofErr w:type="spellEnd"/>
      <w:r w:rsidRPr="00F13C54">
        <w:rPr>
          <w:rFonts w:ascii="Arial" w:hAnsi="Arial" w:cs="Arial"/>
          <w:b/>
          <w:bCs/>
          <w:color w:val="000000" w:themeColor="text1"/>
          <w:sz w:val="20"/>
          <w:szCs w:val="20"/>
        </w:rPr>
        <w:t>, (8.327) unknown, (8.669) vitamin E.</w:t>
      </w:r>
    </w:p>
    <w:p w14:paraId="00DBFC22" w14:textId="04EE7FA5" w:rsidR="00EE1A93" w:rsidRDefault="00EE1A93" w:rsidP="0016122E">
      <w:pPr>
        <w:jc w:val="both"/>
        <w:rPr>
          <w:rFonts w:ascii="Arial" w:hAnsi="Arial" w:cs="Arial"/>
          <w:bCs/>
          <w:color w:val="000000" w:themeColor="text1"/>
          <w:sz w:val="20"/>
          <w:szCs w:val="20"/>
        </w:rPr>
      </w:pPr>
    </w:p>
    <w:p w14:paraId="23CF8170" w14:textId="38FF5505" w:rsidR="00B468F1" w:rsidRPr="00B468F1" w:rsidRDefault="00B468F1" w:rsidP="0016122E">
      <w:pPr>
        <w:jc w:val="both"/>
        <w:rPr>
          <w:rFonts w:ascii="Arial" w:hAnsi="Arial" w:cs="Arial"/>
          <w:bCs/>
          <w:color w:val="000000" w:themeColor="text1"/>
          <w:sz w:val="20"/>
          <w:szCs w:val="20"/>
        </w:rPr>
      </w:pPr>
    </w:p>
    <w:p w14:paraId="06A7FC8C" w14:textId="681A4C90" w:rsidR="00796404" w:rsidRPr="003744BD" w:rsidRDefault="00186689" w:rsidP="0016122E">
      <w:pPr>
        <w:spacing w:line="360" w:lineRule="auto"/>
        <w:rPr>
          <w:rFonts w:ascii="Arial" w:eastAsia="Calibri" w:hAnsi="Arial" w:cs="Arial"/>
          <w:b/>
          <w:color w:val="000000" w:themeColor="text1"/>
          <w:sz w:val="20"/>
          <w:szCs w:val="20"/>
          <w:lang w:val="en-ZA"/>
        </w:rPr>
      </w:pPr>
      <w:r w:rsidRPr="0015368A">
        <w:rPr>
          <w:rFonts w:ascii="Arial" w:eastAsia="Calibri" w:hAnsi="Arial" w:cs="Arial"/>
          <w:b/>
          <w:color w:val="000000" w:themeColor="text1"/>
          <w:sz w:val="20"/>
          <w:szCs w:val="20"/>
          <w:lang w:val="en-ZA"/>
        </w:rPr>
        <w:t xml:space="preserve">Table </w:t>
      </w:r>
      <w:r w:rsidR="00A31154" w:rsidRPr="0015368A">
        <w:rPr>
          <w:rFonts w:ascii="Arial" w:eastAsia="Calibri" w:hAnsi="Arial" w:cs="Arial"/>
          <w:b/>
          <w:color w:val="000000" w:themeColor="text1"/>
          <w:sz w:val="20"/>
          <w:szCs w:val="20"/>
          <w:lang w:val="en-ZA"/>
        </w:rPr>
        <w:t>4</w:t>
      </w:r>
      <w:r w:rsidR="00796404" w:rsidRPr="0015368A">
        <w:rPr>
          <w:rFonts w:ascii="Arial" w:eastAsia="Calibri" w:hAnsi="Arial" w:cs="Arial"/>
          <w:b/>
          <w:color w:val="000000" w:themeColor="text1"/>
          <w:sz w:val="20"/>
          <w:szCs w:val="20"/>
          <w:lang w:val="en-ZA"/>
        </w:rPr>
        <w:t>: C</w:t>
      </w:r>
      <w:r w:rsidR="00796404" w:rsidRPr="003744BD">
        <w:rPr>
          <w:rFonts w:ascii="Arial" w:eastAsia="Calibri" w:hAnsi="Arial" w:cs="Arial"/>
          <w:b/>
          <w:color w:val="000000" w:themeColor="text1"/>
          <w:sz w:val="20"/>
          <w:szCs w:val="20"/>
          <w:lang w:val="en-ZA"/>
        </w:rPr>
        <w:t>omponents identified in the five casework samples.</w:t>
      </w:r>
    </w:p>
    <w:tbl>
      <w:tblPr>
        <w:tblW w:w="0" w:type="auto"/>
        <w:tblInd w:w="137" w:type="dxa"/>
        <w:tblLook w:val="04A0" w:firstRow="1" w:lastRow="0" w:firstColumn="1" w:lastColumn="0" w:noHBand="0" w:noVBand="1"/>
      </w:tblPr>
      <w:tblGrid>
        <w:gridCol w:w="2439"/>
        <w:gridCol w:w="1140"/>
        <w:gridCol w:w="1171"/>
        <w:gridCol w:w="1143"/>
        <w:gridCol w:w="1251"/>
        <w:gridCol w:w="1251"/>
      </w:tblGrid>
      <w:tr w:rsidR="00796404" w:rsidRPr="003A2A60" w14:paraId="5FFE34A3" w14:textId="77777777" w:rsidTr="00A14526">
        <w:tc>
          <w:tcPr>
            <w:tcW w:w="2385" w:type="dxa"/>
            <w:tcBorders>
              <w:top w:val="single" w:sz="4" w:space="0" w:color="auto"/>
              <w:bottom w:val="single" w:sz="4" w:space="0" w:color="auto"/>
            </w:tcBorders>
            <w:shd w:val="clear" w:color="auto" w:fill="auto"/>
          </w:tcPr>
          <w:p w14:paraId="75903B9B" w14:textId="52472058" w:rsidR="00796404" w:rsidRPr="001407E5" w:rsidRDefault="00796404" w:rsidP="001407E5">
            <w:pPr>
              <w:spacing w:line="360" w:lineRule="auto"/>
              <w:rPr>
                <w:rFonts w:ascii="Arial" w:eastAsia="Calibri" w:hAnsi="Arial" w:cs="Arial"/>
                <w:b/>
                <w:color w:val="000000" w:themeColor="text1"/>
                <w:sz w:val="20"/>
                <w:szCs w:val="20"/>
                <w:lang w:val="en-ZA"/>
              </w:rPr>
            </w:pPr>
            <w:r w:rsidRPr="001407E5">
              <w:rPr>
                <w:rFonts w:ascii="Arial" w:eastAsia="Calibri" w:hAnsi="Arial" w:cs="Arial"/>
                <w:b/>
                <w:noProof/>
                <w:color w:val="000000" w:themeColor="text1"/>
                <w:sz w:val="20"/>
                <w:szCs w:val="20"/>
                <w:lang w:val="en-ZA" w:eastAsia="en-ZA"/>
              </w:rPr>
              <mc:AlternateContent>
                <mc:Choice Requires="wps">
                  <w:drawing>
                    <wp:anchor distT="0" distB="0" distL="114300" distR="114300" simplePos="0" relativeHeight="251659264" behindDoc="0" locked="0" layoutInCell="1" allowOverlap="1" wp14:anchorId="13462FE4" wp14:editId="50A3C494">
                      <wp:simplePos x="0" y="0"/>
                      <wp:positionH relativeFrom="column">
                        <wp:posOffset>-67945</wp:posOffset>
                      </wp:positionH>
                      <wp:positionV relativeFrom="paragraph">
                        <wp:posOffset>1905</wp:posOffset>
                      </wp:positionV>
                      <wp:extent cx="1514475" cy="300355"/>
                      <wp:effectExtent l="8255" t="5715" r="10795" b="8255"/>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14475" cy="3003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C027952" id="_x0000_t32" coordsize="21600,21600" o:spt="32" o:oned="t" path="m,l21600,21600e" filled="f">
                      <v:path arrowok="t" fillok="f" o:connecttype="none"/>
                      <o:lock v:ext="edit" shapetype="t"/>
                    </v:shapetype>
                    <v:shape id="Straight Arrow Connector 2" o:spid="_x0000_s1026" type="#_x0000_t32" style="position:absolute;margin-left:-5.35pt;margin-top:.15pt;width:119.25pt;height:23.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"/>
                  </w:pict>
                </mc:Fallback>
              </mc:AlternateContent>
            </w:r>
            <w:r w:rsidRPr="001407E5">
              <w:rPr>
                <w:rFonts w:ascii="Arial" w:eastAsia="Calibri" w:hAnsi="Arial" w:cs="Arial"/>
                <w:b/>
                <w:color w:val="000000" w:themeColor="text1"/>
                <w:sz w:val="20"/>
                <w:szCs w:val="20"/>
                <w:lang w:val="en-ZA"/>
              </w:rPr>
              <w:t xml:space="preserve">    </w:t>
            </w:r>
            <w:r w:rsidR="001407E5">
              <w:rPr>
                <w:rFonts w:ascii="Arial" w:eastAsia="Calibri" w:hAnsi="Arial" w:cs="Arial"/>
                <w:b/>
                <w:color w:val="000000" w:themeColor="text1"/>
                <w:sz w:val="20"/>
                <w:szCs w:val="20"/>
                <w:lang w:val="en-ZA"/>
              </w:rPr>
              <w:t xml:space="preserve">               Sample </w:t>
            </w:r>
            <w:r w:rsidRPr="001407E5">
              <w:rPr>
                <w:rFonts w:ascii="Arial" w:eastAsia="Calibri" w:hAnsi="Arial" w:cs="Arial"/>
                <w:b/>
                <w:color w:val="000000" w:themeColor="text1"/>
                <w:sz w:val="20"/>
                <w:szCs w:val="20"/>
                <w:lang w:val="en-ZA"/>
              </w:rPr>
              <w:t xml:space="preserve">                                                      Component      </w:t>
            </w:r>
          </w:p>
        </w:tc>
        <w:tc>
          <w:tcPr>
            <w:tcW w:w="1137" w:type="dxa"/>
            <w:tcBorders>
              <w:top w:val="single" w:sz="4" w:space="0" w:color="auto"/>
              <w:bottom w:val="single" w:sz="4" w:space="0" w:color="auto"/>
            </w:tcBorders>
            <w:shd w:val="clear" w:color="auto" w:fill="auto"/>
          </w:tcPr>
          <w:p w14:paraId="394BA4B7" w14:textId="77777777" w:rsidR="00796404" w:rsidRPr="001407E5" w:rsidRDefault="00796404" w:rsidP="001407E5">
            <w:pPr>
              <w:spacing w:line="360" w:lineRule="auto"/>
              <w:rPr>
                <w:rFonts w:ascii="Arial" w:eastAsia="Calibri" w:hAnsi="Arial" w:cs="Arial"/>
                <w:b/>
                <w:color w:val="000000" w:themeColor="text1"/>
                <w:sz w:val="20"/>
                <w:szCs w:val="20"/>
                <w:lang w:val="en-ZA"/>
              </w:rPr>
            </w:pPr>
            <w:r w:rsidRPr="001407E5">
              <w:rPr>
                <w:rFonts w:ascii="Arial" w:eastAsia="Calibri" w:hAnsi="Arial" w:cs="Arial"/>
                <w:b/>
                <w:color w:val="000000" w:themeColor="text1"/>
                <w:sz w:val="20"/>
                <w:szCs w:val="20"/>
                <w:lang w:val="en-ZA"/>
              </w:rPr>
              <w:t>2514202B</w:t>
            </w:r>
          </w:p>
        </w:tc>
        <w:tc>
          <w:tcPr>
            <w:tcW w:w="1171" w:type="dxa"/>
            <w:tcBorders>
              <w:top w:val="single" w:sz="4" w:space="0" w:color="auto"/>
              <w:bottom w:val="single" w:sz="4" w:space="0" w:color="auto"/>
            </w:tcBorders>
            <w:shd w:val="clear" w:color="auto" w:fill="auto"/>
          </w:tcPr>
          <w:p w14:paraId="25FAE09E" w14:textId="77777777" w:rsidR="00796404" w:rsidRPr="001407E5" w:rsidRDefault="00796404" w:rsidP="001407E5">
            <w:pPr>
              <w:spacing w:line="360" w:lineRule="auto"/>
              <w:rPr>
                <w:rFonts w:ascii="Arial" w:eastAsia="Calibri" w:hAnsi="Arial" w:cs="Arial"/>
                <w:b/>
                <w:color w:val="000000" w:themeColor="text1"/>
                <w:sz w:val="20"/>
                <w:szCs w:val="20"/>
                <w:lang w:val="en-ZA"/>
              </w:rPr>
            </w:pPr>
            <w:r w:rsidRPr="001407E5">
              <w:rPr>
                <w:rFonts w:ascii="Arial" w:eastAsia="Calibri" w:hAnsi="Arial" w:cs="Arial"/>
                <w:b/>
                <w:color w:val="000000" w:themeColor="text1"/>
                <w:sz w:val="20"/>
                <w:szCs w:val="20"/>
                <w:lang w:val="en-ZA"/>
              </w:rPr>
              <w:t>2520902B</w:t>
            </w:r>
          </w:p>
        </w:tc>
        <w:tc>
          <w:tcPr>
            <w:tcW w:w="1143" w:type="dxa"/>
            <w:tcBorders>
              <w:top w:val="single" w:sz="4" w:space="0" w:color="auto"/>
              <w:bottom w:val="single" w:sz="4" w:space="0" w:color="auto"/>
            </w:tcBorders>
            <w:shd w:val="clear" w:color="auto" w:fill="auto"/>
          </w:tcPr>
          <w:p w14:paraId="2487C299" w14:textId="77777777" w:rsidR="00796404" w:rsidRPr="001407E5" w:rsidRDefault="00796404" w:rsidP="001407E5">
            <w:pPr>
              <w:spacing w:line="360" w:lineRule="auto"/>
              <w:rPr>
                <w:rFonts w:ascii="Arial" w:eastAsia="Calibri" w:hAnsi="Arial" w:cs="Arial"/>
                <w:b/>
                <w:color w:val="000000" w:themeColor="text1"/>
                <w:sz w:val="20"/>
                <w:szCs w:val="20"/>
                <w:lang w:val="en-ZA"/>
              </w:rPr>
            </w:pPr>
            <w:r w:rsidRPr="001407E5">
              <w:rPr>
                <w:rFonts w:ascii="Arial" w:eastAsia="Calibri" w:hAnsi="Arial" w:cs="Arial"/>
                <w:b/>
                <w:color w:val="000000" w:themeColor="text1"/>
                <w:sz w:val="20"/>
                <w:szCs w:val="20"/>
                <w:lang w:val="en-ZA"/>
              </w:rPr>
              <w:t>3400002B</w:t>
            </w:r>
          </w:p>
        </w:tc>
        <w:tc>
          <w:tcPr>
            <w:tcW w:w="1227" w:type="dxa"/>
            <w:tcBorders>
              <w:top w:val="single" w:sz="4" w:space="0" w:color="auto"/>
              <w:bottom w:val="single" w:sz="4" w:space="0" w:color="auto"/>
            </w:tcBorders>
            <w:shd w:val="clear" w:color="auto" w:fill="auto"/>
          </w:tcPr>
          <w:p w14:paraId="07414013" w14:textId="77777777" w:rsidR="00796404" w:rsidRPr="001407E5" w:rsidRDefault="00796404" w:rsidP="001407E5">
            <w:pPr>
              <w:spacing w:line="360" w:lineRule="auto"/>
              <w:rPr>
                <w:rFonts w:ascii="Arial" w:eastAsia="Calibri" w:hAnsi="Arial" w:cs="Arial"/>
                <w:b/>
                <w:color w:val="000000" w:themeColor="text1"/>
                <w:sz w:val="20"/>
                <w:szCs w:val="20"/>
                <w:lang w:val="en-ZA"/>
              </w:rPr>
            </w:pPr>
            <w:r w:rsidRPr="001407E5">
              <w:rPr>
                <w:rFonts w:ascii="Arial" w:eastAsia="Calibri" w:hAnsi="Arial" w:cs="Arial"/>
                <w:b/>
                <w:color w:val="000000" w:themeColor="text1"/>
                <w:sz w:val="20"/>
                <w:szCs w:val="20"/>
                <w:lang w:val="en-ZA"/>
              </w:rPr>
              <w:t>37959902B</w:t>
            </w:r>
          </w:p>
        </w:tc>
        <w:tc>
          <w:tcPr>
            <w:tcW w:w="1227" w:type="dxa"/>
            <w:tcBorders>
              <w:top w:val="single" w:sz="4" w:space="0" w:color="auto"/>
              <w:bottom w:val="single" w:sz="4" w:space="0" w:color="auto"/>
            </w:tcBorders>
            <w:shd w:val="clear" w:color="auto" w:fill="auto"/>
          </w:tcPr>
          <w:p w14:paraId="6D43E03B" w14:textId="77777777" w:rsidR="00796404" w:rsidRPr="001407E5" w:rsidRDefault="00796404" w:rsidP="001407E5">
            <w:pPr>
              <w:spacing w:line="360" w:lineRule="auto"/>
              <w:rPr>
                <w:rFonts w:ascii="Arial" w:eastAsia="Calibri" w:hAnsi="Arial" w:cs="Arial"/>
                <w:b/>
                <w:color w:val="000000" w:themeColor="text1"/>
                <w:sz w:val="20"/>
                <w:szCs w:val="20"/>
                <w:lang w:val="en-ZA"/>
              </w:rPr>
            </w:pPr>
            <w:r w:rsidRPr="001407E5">
              <w:rPr>
                <w:rFonts w:ascii="Arial" w:eastAsia="Calibri" w:hAnsi="Arial" w:cs="Arial"/>
                <w:b/>
                <w:color w:val="000000" w:themeColor="text1"/>
                <w:sz w:val="20"/>
                <w:szCs w:val="20"/>
                <w:lang w:val="en-ZA"/>
              </w:rPr>
              <w:t>50390902B</w:t>
            </w:r>
          </w:p>
        </w:tc>
      </w:tr>
      <w:tr w:rsidR="00796404" w:rsidRPr="003A2A60" w14:paraId="5A17C602" w14:textId="77777777" w:rsidTr="00A14526">
        <w:tc>
          <w:tcPr>
            <w:tcW w:w="2385" w:type="dxa"/>
            <w:tcBorders>
              <w:top w:val="single" w:sz="4" w:space="0" w:color="auto"/>
            </w:tcBorders>
            <w:shd w:val="clear" w:color="auto" w:fill="auto"/>
          </w:tcPr>
          <w:p w14:paraId="36363F23" w14:textId="77777777" w:rsidR="00796404" w:rsidRPr="001407E5" w:rsidRDefault="00796404" w:rsidP="001407E5">
            <w:pPr>
              <w:spacing w:line="360" w:lineRule="auto"/>
              <w:rPr>
                <w:rFonts w:ascii="Arial" w:eastAsia="Calibri" w:hAnsi="Arial" w:cs="Arial"/>
                <w:color w:val="000000" w:themeColor="text1"/>
                <w:sz w:val="20"/>
                <w:szCs w:val="20"/>
                <w:lang w:val="en-ZA"/>
              </w:rPr>
            </w:pPr>
            <w:proofErr w:type="spellStart"/>
            <w:r w:rsidRPr="001407E5">
              <w:rPr>
                <w:rFonts w:ascii="Arial" w:eastAsia="Calibri" w:hAnsi="Arial" w:cs="Arial"/>
                <w:b/>
                <w:bCs/>
                <w:color w:val="000000" w:themeColor="text1"/>
                <w:sz w:val="20"/>
                <w:szCs w:val="20"/>
              </w:rPr>
              <w:t>bulnesol</w:t>
            </w:r>
            <w:proofErr w:type="spellEnd"/>
          </w:p>
        </w:tc>
        <w:tc>
          <w:tcPr>
            <w:tcW w:w="1137" w:type="dxa"/>
            <w:tcBorders>
              <w:top w:val="single" w:sz="4" w:space="0" w:color="auto"/>
            </w:tcBorders>
            <w:shd w:val="clear" w:color="auto" w:fill="auto"/>
          </w:tcPr>
          <w:p w14:paraId="5A20E719"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171" w:type="dxa"/>
            <w:tcBorders>
              <w:top w:val="single" w:sz="4" w:space="0" w:color="auto"/>
            </w:tcBorders>
            <w:shd w:val="clear" w:color="auto" w:fill="auto"/>
          </w:tcPr>
          <w:p w14:paraId="3B4E8B90"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143" w:type="dxa"/>
            <w:tcBorders>
              <w:top w:val="single" w:sz="4" w:space="0" w:color="auto"/>
            </w:tcBorders>
            <w:shd w:val="clear" w:color="auto" w:fill="auto"/>
          </w:tcPr>
          <w:p w14:paraId="4F4CF937"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227" w:type="dxa"/>
            <w:tcBorders>
              <w:top w:val="single" w:sz="4" w:space="0" w:color="auto"/>
            </w:tcBorders>
            <w:shd w:val="clear" w:color="auto" w:fill="auto"/>
          </w:tcPr>
          <w:p w14:paraId="57018E04"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227" w:type="dxa"/>
            <w:tcBorders>
              <w:top w:val="single" w:sz="4" w:space="0" w:color="auto"/>
            </w:tcBorders>
            <w:shd w:val="clear" w:color="auto" w:fill="auto"/>
          </w:tcPr>
          <w:p w14:paraId="71B223E4"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r>
      <w:tr w:rsidR="00796404" w:rsidRPr="003A2A60" w14:paraId="3AD44EFA" w14:textId="77777777" w:rsidTr="00A14526">
        <w:tc>
          <w:tcPr>
            <w:tcW w:w="2385" w:type="dxa"/>
            <w:shd w:val="clear" w:color="auto" w:fill="auto"/>
          </w:tcPr>
          <w:p w14:paraId="5D140F05"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b/>
                <w:bCs/>
                <w:color w:val="000000" w:themeColor="text1"/>
                <w:sz w:val="20"/>
                <w:szCs w:val="20"/>
              </w:rPr>
              <w:t>acetaminophen</w:t>
            </w:r>
          </w:p>
        </w:tc>
        <w:tc>
          <w:tcPr>
            <w:tcW w:w="1137" w:type="dxa"/>
            <w:shd w:val="clear" w:color="auto" w:fill="auto"/>
          </w:tcPr>
          <w:p w14:paraId="659119EA"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171" w:type="dxa"/>
            <w:shd w:val="clear" w:color="auto" w:fill="auto"/>
          </w:tcPr>
          <w:p w14:paraId="0A9C23D1"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143" w:type="dxa"/>
            <w:shd w:val="clear" w:color="auto" w:fill="auto"/>
          </w:tcPr>
          <w:p w14:paraId="2316BB6E"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227" w:type="dxa"/>
            <w:shd w:val="clear" w:color="auto" w:fill="auto"/>
          </w:tcPr>
          <w:p w14:paraId="3A212EC6"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227" w:type="dxa"/>
            <w:shd w:val="clear" w:color="auto" w:fill="auto"/>
          </w:tcPr>
          <w:p w14:paraId="260C242B"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r>
      <w:tr w:rsidR="00796404" w:rsidRPr="003A2A60" w14:paraId="5CF9A85F" w14:textId="77777777" w:rsidTr="00A14526">
        <w:tc>
          <w:tcPr>
            <w:tcW w:w="2385" w:type="dxa"/>
            <w:shd w:val="clear" w:color="auto" w:fill="auto"/>
          </w:tcPr>
          <w:p w14:paraId="7DE69FFD" w14:textId="77777777" w:rsidR="00796404" w:rsidRPr="001407E5" w:rsidRDefault="00796404" w:rsidP="001407E5">
            <w:pPr>
              <w:spacing w:line="360" w:lineRule="auto"/>
              <w:rPr>
                <w:rFonts w:ascii="Arial" w:eastAsia="Calibri" w:hAnsi="Arial" w:cs="Arial"/>
                <w:b/>
                <w:bCs/>
                <w:color w:val="000000" w:themeColor="text1"/>
                <w:sz w:val="20"/>
                <w:szCs w:val="20"/>
              </w:rPr>
            </w:pPr>
            <w:proofErr w:type="spellStart"/>
            <w:r w:rsidRPr="001407E5">
              <w:rPr>
                <w:rFonts w:ascii="Arial" w:eastAsia="Calibri" w:hAnsi="Arial" w:cs="Arial"/>
                <w:b/>
                <w:bCs/>
                <w:color w:val="000000" w:themeColor="text1"/>
                <w:sz w:val="20"/>
                <w:szCs w:val="20"/>
              </w:rPr>
              <w:t>acetylcodeine</w:t>
            </w:r>
            <w:proofErr w:type="spellEnd"/>
          </w:p>
        </w:tc>
        <w:tc>
          <w:tcPr>
            <w:tcW w:w="1137" w:type="dxa"/>
            <w:shd w:val="clear" w:color="auto" w:fill="auto"/>
          </w:tcPr>
          <w:p w14:paraId="13949E94"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171" w:type="dxa"/>
            <w:shd w:val="clear" w:color="auto" w:fill="auto"/>
          </w:tcPr>
          <w:p w14:paraId="47945C5F"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143" w:type="dxa"/>
            <w:shd w:val="clear" w:color="auto" w:fill="auto"/>
          </w:tcPr>
          <w:p w14:paraId="21A882BA"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227" w:type="dxa"/>
            <w:shd w:val="clear" w:color="auto" w:fill="auto"/>
          </w:tcPr>
          <w:p w14:paraId="58ABE7B8"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227" w:type="dxa"/>
            <w:shd w:val="clear" w:color="auto" w:fill="auto"/>
          </w:tcPr>
          <w:p w14:paraId="55E568FD"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r>
      <w:tr w:rsidR="00796404" w:rsidRPr="003A2A60" w14:paraId="248DC427" w14:textId="77777777" w:rsidTr="00A14526">
        <w:tc>
          <w:tcPr>
            <w:tcW w:w="2385" w:type="dxa"/>
            <w:shd w:val="clear" w:color="auto" w:fill="auto"/>
          </w:tcPr>
          <w:p w14:paraId="70BD2504"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b/>
                <w:bCs/>
                <w:color w:val="000000" w:themeColor="text1"/>
                <w:sz w:val="20"/>
                <w:szCs w:val="20"/>
              </w:rPr>
              <w:t>caffeine,</w:t>
            </w:r>
          </w:p>
        </w:tc>
        <w:tc>
          <w:tcPr>
            <w:tcW w:w="1137" w:type="dxa"/>
            <w:shd w:val="clear" w:color="auto" w:fill="auto"/>
          </w:tcPr>
          <w:p w14:paraId="234208DC"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171" w:type="dxa"/>
            <w:shd w:val="clear" w:color="auto" w:fill="auto"/>
          </w:tcPr>
          <w:p w14:paraId="375AA3E2"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143" w:type="dxa"/>
            <w:shd w:val="clear" w:color="auto" w:fill="auto"/>
          </w:tcPr>
          <w:p w14:paraId="2B4DE547"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227" w:type="dxa"/>
            <w:shd w:val="clear" w:color="auto" w:fill="auto"/>
          </w:tcPr>
          <w:p w14:paraId="666195E7"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227" w:type="dxa"/>
            <w:shd w:val="clear" w:color="auto" w:fill="auto"/>
          </w:tcPr>
          <w:p w14:paraId="48C0B933"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r>
      <w:tr w:rsidR="00796404" w:rsidRPr="003A2A60" w14:paraId="05420C44" w14:textId="77777777" w:rsidTr="00A14526">
        <w:tc>
          <w:tcPr>
            <w:tcW w:w="2385" w:type="dxa"/>
            <w:shd w:val="clear" w:color="auto" w:fill="auto"/>
          </w:tcPr>
          <w:p w14:paraId="6DAAD1D9" w14:textId="77777777" w:rsidR="00796404" w:rsidRPr="001407E5" w:rsidRDefault="00796404" w:rsidP="001407E5">
            <w:pPr>
              <w:spacing w:line="360" w:lineRule="auto"/>
              <w:rPr>
                <w:rFonts w:ascii="Arial" w:eastAsia="Calibri" w:hAnsi="Arial" w:cs="Arial"/>
                <w:color w:val="000000" w:themeColor="text1"/>
                <w:sz w:val="20"/>
                <w:szCs w:val="20"/>
                <w:lang w:val="en-ZA"/>
              </w:rPr>
            </w:pPr>
            <w:proofErr w:type="spellStart"/>
            <w:r w:rsidRPr="001407E5">
              <w:rPr>
                <w:rFonts w:ascii="Arial" w:eastAsia="Calibri" w:hAnsi="Arial" w:cs="Arial"/>
                <w:b/>
                <w:bCs/>
                <w:color w:val="000000" w:themeColor="text1"/>
                <w:sz w:val="20"/>
                <w:szCs w:val="20"/>
              </w:rPr>
              <w:t>cannabichromene</w:t>
            </w:r>
            <w:proofErr w:type="spellEnd"/>
          </w:p>
        </w:tc>
        <w:tc>
          <w:tcPr>
            <w:tcW w:w="1137" w:type="dxa"/>
            <w:shd w:val="clear" w:color="auto" w:fill="auto"/>
          </w:tcPr>
          <w:p w14:paraId="4D416F30"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171" w:type="dxa"/>
            <w:shd w:val="clear" w:color="auto" w:fill="auto"/>
          </w:tcPr>
          <w:p w14:paraId="625359EE"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143" w:type="dxa"/>
            <w:shd w:val="clear" w:color="auto" w:fill="auto"/>
          </w:tcPr>
          <w:p w14:paraId="32ADE2F8"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227" w:type="dxa"/>
            <w:shd w:val="clear" w:color="auto" w:fill="auto"/>
          </w:tcPr>
          <w:p w14:paraId="53E8FFF6"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227" w:type="dxa"/>
            <w:shd w:val="clear" w:color="auto" w:fill="auto"/>
          </w:tcPr>
          <w:p w14:paraId="2CB05F3A"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r>
      <w:tr w:rsidR="00796404" w:rsidRPr="003A2A60" w14:paraId="7CCD5C35" w14:textId="77777777" w:rsidTr="00A14526">
        <w:tc>
          <w:tcPr>
            <w:tcW w:w="2385" w:type="dxa"/>
            <w:shd w:val="clear" w:color="auto" w:fill="auto"/>
          </w:tcPr>
          <w:p w14:paraId="51DD3829" w14:textId="77777777" w:rsidR="00796404" w:rsidRPr="001407E5" w:rsidRDefault="00796404" w:rsidP="001407E5">
            <w:pPr>
              <w:spacing w:line="360" w:lineRule="auto"/>
              <w:rPr>
                <w:rFonts w:ascii="Arial" w:eastAsia="Calibri" w:hAnsi="Arial" w:cs="Arial"/>
                <w:b/>
                <w:bCs/>
                <w:color w:val="000000" w:themeColor="text1"/>
                <w:sz w:val="20"/>
                <w:szCs w:val="20"/>
              </w:rPr>
            </w:pPr>
            <w:proofErr w:type="spellStart"/>
            <w:r w:rsidRPr="001407E5">
              <w:rPr>
                <w:rFonts w:ascii="Arial" w:eastAsia="Calibri" w:hAnsi="Arial" w:cs="Arial"/>
                <w:b/>
                <w:bCs/>
                <w:color w:val="000000" w:themeColor="text1"/>
                <w:sz w:val="20"/>
                <w:szCs w:val="20"/>
              </w:rPr>
              <w:t>cannabicoumaronone</w:t>
            </w:r>
            <w:proofErr w:type="spellEnd"/>
          </w:p>
        </w:tc>
        <w:tc>
          <w:tcPr>
            <w:tcW w:w="1137" w:type="dxa"/>
            <w:shd w:val="clear" w:color="auto" w:fill="auto"/>
          </w:tcPr>
          <w:p w14:paraId="2EC06439"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171" w:type="dxa"/>
            <w:shd w:val="clear" w:color="auto" w:fill="auto"/>
          </w:tcPr>
          <w:p w14:paraId="25D1A4B1"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143" w:type="dxa"/>
            <w:shd w:val="clear" w:color="auto" w:fill="auto"/>
          </w:tcPr>
          <w:p w14:paraId="76A7E6CD"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227" w:type="dxa"/>
            <w:shd w:val="clear" w:color="auto" w:fill="auto"/>
          </w:tcPr>
          <w:p w14:paraId="224E31C6"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227" w:type="dxa"/>
            <w:shd w:val="clear" w:color="auto" w:fill="auto"/>
          </w:tcPr>
          <w:p w14:paraId="2CD8309A"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r>
      <w:tr w:rsidR="00796404" w:rsidRPr="003A2A60" w14:paraId="32FAB0A8" w14:textId="77777777" w:rsidTr="00A14526">
        <w:tc>
          <w:tcPr>
            <w:tcW w:w="2385" w:type="dxa"/>
            <w:shd w:val="clear" w:color="auto" w:fill="auto"/>
          </w:tcPr>
          <w:p w14:paraId="6D575C68" w14:textId="77777777" w:rsidR="00796404" w:rsidRPr="001407E5" w:rsidRDefault="00796404" w:rsidP="001407E5">
            <w:pPr>
              <w:spacing w:line="360" w:lineRule="auto"/>
              <w:rPr>
                <w:rFonts w:ascii="Arial" w:eastAsia="Calibri" w:hAnsi="Arial" w:cs="Arial"/>
                <w:b/>
                <w:bCs/>
                <w:color w:val="000000" w:themeColor="text1"/>
                <w:sz w:val="20"/>
                <w:szCs w:val="20"/>
              </w:rPr>
            </w:pPr>
            <w:r w:rsidRPr="001407E5">
              <w:rPr>
                <w:rFonts w:ascii="Arial" w:eastAsia="Calibri" w:hAnsi="Arial" w:cs="Arial"/>
                <w:b/>
                <w:bCs/>
                <w:color w:val="000000" w:themeColor="text1"/>
                <w:sz w:val="20"/>
                <w:szCs w:val="20"/>
              </w:rPr>
              <w:t>cannabidiol</w:t>
            </w:r>
          </w:p>
        </w:tc>
        <w:tc>
          <w:tcPr>
            <w:tcW w:w="1137" w:type="dxa"/>
            <w:shd w:val="clear" w:color="auto" w:fill="auto"/>
          </w:tcPr>
          <w:p w14:paraId="4B80E510"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171" w:type="dxa"/>
            <w:shd w:val="clear" w:color="auto" w:fill="auto"/>
          </w:tcPr>
          <w:p w14:paraId="2AE06437"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143" w:type="dxa"/>
            <w:shd w:val="clear" w:color="auto" w:fill="auto"/>
          </w:tcPr>
          <w:p w14:paraId="7D715DCE"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227" w:type="dxa"/>
            <w:shd w:val="clear" w:color="auto" w:fill="auto"/>
          </w:tcPr>
          <w:p w14:paraId="0128A126"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227" w:type="dxa"/>
            <w:shd w:val="clear" w:color="auto" w:fill="auto"/>
          </w:tcPr>
          <w:p w14:paraId="0EBAE548"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r>
      <w:tr w:rsidR="006B18EB" w:rsidRPr="003A2A60" w14:paraId="5BAC87A4" w14:textId="77777777" w:rsidTr="00A14526">
        <w:tc>
          <w:tcPr>
            <w:tcW w:w="2385" w:type="dxa"/>
            <w:shd w:val="clear" w:color="auto" w:fill="auto"/>
          </w:tcPr>
          <w:p w14:paraId="5657F688" w14:textId="77777777" w:rsidR="006B18EB" w:rsidRPr="001407E5" w:rsidRDefault="006B18EB" w:rsidP="001407E5">
            <w:pPr>
              <w:spacing w:line="360" w:lineRule="auto"/>
              <w:rPr>
                <w:rFonts w:ascii="Arial" w:eastAsia="Calibri" w:hAnsi="Arial" w:cs="Arial"/>
                <w:color w:val="000000" w:themeColor="text1"/>
                <w:sz w:val="20"/>
                <w:szCs w:val="20"/>
                <w:lang w:val="en-ZA"/>
              </w:rPr>
            </w:pPr>
            <w:proofErr w:type="spellStart"/>
            <w:r w:rsidRPr="001407E5">
              <w:rPr>
                <w:rFonts w:ascii="Arial" w:eastAsia="Calibri" w:hAnsi="Arial" w:cs="Arial"/>
                <w:b/>
                <w:bCs/>
                <w:color w:val="000000" w:themeColor="text1"/>
                <w:sz w:val="20"/>
                <w:szCs w:val="20"/>
              </w:rPr>
              <w:t>cannabigerol</w:t>
            </w:r>
            <w:proofErr w:type="spellEnd"/>
          </w:p>
        </w:tc>
        <w:tc>
          <w:tcPr>
            <w:tcW w:w="1137" w:type="dxa"/>
            <w:shd w:val="clear" w:color="auto" w:fill="auto"/>
          </w:tcPr>
          <w:p w14:paraId="0799AB45" w14:textId="77777777" w:rsidR="006B18EB" w:rsidRPr="001407E5" w:rsidRDefault="006B18EB"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171" w:type="dxa"/>
            <w:shd w:val="clear" w:color="auto" w:fill="auto"/>
          </w:tcPr>
          <w:p w14:paraId="2D4C286B" w14:textId="77777777" w:rsidR="006B18EB" w:rsidRPr="001407E5" w:rsidRDefault="006B18EB"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143" w:type="dxa"/>
            <w:shd w:val="clear" w:color="auto" w:fill="auto"/>
          </w:tcPr>
          <w:p w14:paraId="5DB76D1B" w14:textId="77777777" w:rsidR="006B18EB" w:rsidRPr="001407E5" w:rsidRDefault="006B18EB"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227" w:type="dxa"/>
            <w:shd w:val="clear" w:color="auto" w:fill="auto"/>
          </w:tcPr>
          <w:p w14:paraId="60E195A6" w14:textId="6F860A10" w:rsidR="006B18EB" w:rsidRPr="001407E5" w:rsidRDefault="006B18EB"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227" w:type="dxa"/>
            <w:shd w:val="clear" w:color="auto" w:fill="auto"/>
          </w:tcPr>
          <w:p w14:paraId="4936F046" w14:textId="77777777" w:rsidR="006B18EB" w:rsidRPr="001407E5" w:rsidRDefault="006B18EB"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r>
      <w:tr w:rsidR="00796404" w:rsidRPr="003A2A60" w14:paraId="43A3F1AE" w14:textId="77777777" w:rsidTr="00A14526">
        <w:tc>
          <w:tcPr>
            <w:tcW w:w="2385" w:type="dxa"/>
            <w:shd w:val="clear" w:color="auto" w:fill="auto"/>
          </w:tcPr>
          <w:p w14:paraId="04DC9318"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b/>
                <w:bCs/>
                <w:color w:val="000000" w:themeColor="text1"/>
                <w:sz w:val="20"/>
                <w:szCs w:val="20"/>
              </w:rPr>
              <w:t>cannabinol</w:t>
            </w:r>
          </w:p>
        </w:tc>
        <w:tc>
          <w:tcPr>
            <w:tcW w:w="1137" w:type="dxa"/>
            <w:shd w:val="clear" w:color="auto" w:fill="auto"/>
          </w:tcPr>
          <w:p w14:paraId="1D03C481"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171" w:type="dxa"/>
            <w:shd w:val="clear" w:color="auto" w:fill="auto"/>
          </w:tcPr>
          <w:p w14:paraId="349658F6"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143" w:type="dxa"/>
            <w:shd w:val="clear" w:color="auto" w:fill="auto"/>
          </w:tcPr>
          <w:p w14:paraId="06DFB5E1"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227" w:type="dxa"/>
            <w:shd w:val="clear" w:color="auto" w:fill="auto"/>
          </w:tcPr>
          <w:p w14:paraId="4F512A6A"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227" w:type="dxa"/>
            <w:shd w:val="clear" w:color="auto" w:fill="auto"/>
          </w:tcPr>
          <w:p w14:paraId="77D50EC1"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r>
      <w:tr w:rsidR="00796404" w:rsidRPr="003A2A60" w14:paraId="08182848" w14:textId="77777777" w:rsidTr="00A14526">
        <w:tc>
          <w:tcPr>
            <w:tcW w:w="2385" w:type="dxa"/>
            <w:shd w:val="clear" w:color="auto" w:fill="auto"/>
          </w:tcPr>
          <w:p w14:paraId="037B8BE3" w14:textId="77777777" w:rsidR="00796404" w:rsidRPr="001407E5" w:rsidRDefault="00796404" w:rsidP="001407E5">
            <w:pPr>
              <w:spacing w:line="360" w:lineRule="auto"/>
              <w:rPr>
                <w:rFonts w:ascii="Arial" w:eastAsia="Calibri" w:hAnsi="Arial" w:cs="Arial"/>
                <w:b/>
                <w:bCs/>
                <w:color w:val="000000" w:themeColor="text1"/>
                <w:sz w:val="20"/>
                <w:szCs w:val="20"/>
              </w:rPr>
            </w:pPr>
            <w:proofErr w:type="spellStart"/>
            <w:r w:rsidRPr="001407E5">
              <w:rPr>
                <w:rFonts w:ascii="Arial" w:eastAsia="Calibri" w:hAnsi="Arial" w:cs="Arial"/>
                <w:b/>
                <w:bCs/>
                <w:color w:val="000000" w:themeColor="text1"/>
                <w:sz w:val="20"/>
                <w:szCs w:val="20"/>
              </w:rPr>
              <w:t>cannabivarin</w:t>
            </w:r>
            <w:proofErr w:type="spellEnd"/>
          </w:p>
        </w:tc>
        <w:tc>
          <w:tcPr>
            <w:tcW w:w="1137" w:type="dxa"/>
            <w:shd w:val="clear" w:color="auto" w:fill="auto"/>
          </w:tcPr>
          <w:p w14:paraId="35B2379E"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171" w:type="dxa"/>
            <w:shd w:val="clear" w:color="auto" w:fill="auto"/>
          </w:tcPr>
          <w:p w14:paraId="110C6C10"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143" w:type="dxa"/>
            <w:shd w:val="clear" w:color="auto" w:fill="auto"/>
          </w:tcPr>
          <w:p w14:paraId="249A561D"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227" w:type="dxa"/>
            <w:shd w:val="clear" w:color="auto" w:fill="auto"/>
          </w:tcPr>
          <w:p w14:paraId="4FE66822"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227" w:type="dxa"/>
            <w:shd w:val="clear" w:color="auto" w:fill="auto"/>
          </w:tcPr>
          <w:p w14:paraId="5535B2C6"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r>
      <w:tr w:rsidR="00796404" w:rsidRPr="003A2A60" w14:paraId="180A5742" w14:textId="77777777" w:rsidTr="00A14526">
        <w:tc>
          <w:tcPr>
            <w:tcW w:w="2385" w:type="dxa"/>
            <w:shd w:val="clear" w:color="auto" w:fill="auto"/>
          </w:tcPr>
          <w:p w14:paraId="21CDF72C" w14:textId="77777777" w:rsidR="00796404" w:rsidRPr="001407E5" w:rsidRDefault="00796404" w:rsidP="001407E5">
            <w:pPr>
              <w:spacing w:line="360" w:lineRule="auto"/>
              <w:rPr>
                <w:rFonts w:ascii="Arial" w:eastAsia="Calibri" w:hAnsi="Arial" w:cs="Arial"/>
                <w:b/>
                <w:bCs/>
                <w:color w:val="000000" w:themeColor="text1"/>
                <w:sz w:val="20"/>
                <w:szCs w:val="20"/>
              </w:rPr>
            </w:pPr>
            <w:r w:rsidRPr="001407E5">
              <w:rPr>
                <w:rFonts w:ascii="Arial" w:eastAsia="Calibri" w:hAnsi="Arial" w:cs="Arial"/>
                <w:b/>
                <w:bCs/>
                <w:color w:val="000000" w:themeColor="text1"/>
                <w:sz w:val="20"/>
                <w:szCs w:val="20"/>
              </w:rPr>
              <w:t>cocaine</w:t>
            </w:r>
          </w:p>
        </w:tc>
        <w:tc>
          <w:tcPr>
            <w:tcW w:w="1137" w:type="dxa"/>
            <w:shd w:val="clear" w:color="auto" w:fill="auto"/>
          </w:tcPr>
          <w:p w14:paraId="7590227B"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171" w:type="dxa"/>
            <w:shd w:val="clear" w:color="auto" w:fill="auto"/>
          </w:tcPr>
          <w:p w14:paraId="3587BE2C"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143" w:type="dxa"/>
            <w:shd w:val="clear" w:color="auto" w:fill="auto"/>
          </w:tcPr>
          <w:p w14:paraId="339770A2"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227" w:type="dxa"/>
            <w:shd w:val="clear" w:color="auto" w:fill="auto"/>
          </w:tcPr>
          <w:p w14:paraId="53C8B7BD"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227" w:type="dxa"/>
            <w:shd w:val="clear" w:color="auto" w:fill="auto"/>
          </w:tcPr>
          <w:p w14:paraId="563DB309"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r>
      <w:tr w:rsidR="00796404" w:rsidRPr="003A2A60" w14:paraId="138758CB" w14:textId="77777777" w:rsidTr="00A14526">
        <w:tc>
          <w:tcPr>
            <w:tcW w:w="2385" w:type="dxa"/>
            <w:shd w:val="clear" w:color="auto" w:fill="auto"/>
          </w:tcPr>
          <w:p w14:paraId="5FC24389" w14:textId="77777777" w:rsidR="00796404" w:rsidRPr="001407E5" w:rsidRDefault="00796404" w:rsidP="001407E5">
            <w:pPr>
              <w:spacing w:line="360" w:lineRule="auto"/>
              <w:rPr>
                <w:rFonts w:ascii="Arial" w:eastAsia="Calibri" w:hAnsi="Arial" w:cs="Arial"/>
                <w:b/>
                <w:bCs/>
                <w:color w:val="000000" w:themeColor="text1"/>
                <w:sz w:val="20"/>
                <w:szCs w:val="20"/>
              </w:rPr>
            </w:pPr>
            <w:r w:rsidRPr="001407E5">
              <w:rPr>
                <w:rFonts w:ascii="Arial" w:eastAsia="Calibri" w:hAnsi="Arial" w:cs="Arial"/>
                <w:b/>
                <w:bCs/>
                <w:color w:val="000000" w:themeColor="text1"/>
                <w:sz w:val="20"/>
                <w:szCs w:val="20"/>
              </w:rPr>
              <w:t>codeine</w:t>
            </w:r>
          </w:p>
        </w:tc>
        <w:tc>
          <w:tcPr>
            <w:tcW w:w="1137" w:type="dxa"/>
            <w:shd w:val="clear" w:color="auto" w:fill="auto"/>
          </w:tcPr>
          <w:p w14:paraId="3AA5C054"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171" w:type="dxa"/>
            <w:shd w:val="clear" w:color="auto" w:fill="auto"/>
          </w:tcPr>
          <w:p w14:paraId="03D01D07"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143" w:type="dxa"/>
            <w:shd w:val="clear" w:color="auto" w:fill="auto"/>
          </w:tcPr>
          <w:p w14:paraId="61F64618"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227" w:type="dxa"/>
            <w:shd w:val="clear" w:color="auto" w:fill="auto"/>
          </w:tcPr>
          <w:p w14:paraId="3FEBFB88"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227" w:type="dxa"/>
            <w:shd w:val="clear" w:color="auto" w:fill="auto"/>
          </w:tcPr>
          <w:p w14:paraId="5B1D7110"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r>
      <w:tr w:rsidR="00796404" w:rsidRPr="003A2A60" w14:paraId="471C6DA6" w14:textId="77777777" w:rsidTr="00A14526">
        <w:tc>
          <w:tcPr>
            <w:tcW w:w="2385" w:type="dxa"/>
            <w:shd w:val="clear" w:color="auto" w:fill="auto"/>
          </w:tcPr>
          <w:p w14:paraId="4A661F64" w14:textId="77777777" w:rsidR="00796404" w:rsidRPr="001407E5" w:rsidRDefault="00796404" w:rsidP="001407E5">
            <w:pPr>
              <w:spacing w:line="360" w:lineRule="auto"/>
              <w:rPr>
                <w:rFonts w:ascii="Arial" w:eastAsia="Calibri" w:hAnsi="Arial" w:cs="Arial"/>
                <w:b/>
                <w:bCs/>
                <w:color w:val="000000" w:themeColor="text1"/>
                <w:sz w:val="20"/>
                <w:szCs w:val="20"/>
              </w:rPr>
            </w:pPr>
            <w:r w:rsidRPr="001407E5">
              <w:rPr>
                <w:rFonts w:ascii="Arial" w:eastAsia="Calibri" w:hAnsi="Arial" w:cs="Arial"/>
                <w:b/>
                <w:bCs/>
                <w:color w:val="000000" w:themeColor="text1"/>
                <w:sz w:val="20"/>
                <w:szCs w:val="20"/>
              </w:rPr>
              <w:t>diamorphine</w:t>
            </w:r>
          </w:p>
        </w:tc>
        <w:tc>
          <w:tcPr>
            <w:tcW w:w="1137" w:type="dxa"/>
            <w:shd w:val="clear" w:color="auto" w:fill="auto"/>
          </w:tcPr>
          <w:p w14:paraId="4ACF0948"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171" w:type="dxa"/>
            <w:shd w:val="clear" w:color="auto" w:fill="auto"/>
          </w:tcPr>
          <w:p w14:paraId="03A3F3B7"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143" w:type="dxa"/>
            <w:shd w:val="clear" w:color="auto" w:fill="auto"/>
          </w:tcPr>
          <w:p w14:paraId="43C95DD1"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227" w:type="dxa"/>
            <w:shd w:val="clear" w:color="auto" w:fill="auto"/>
          </w:tcPr>
          <w:p w14:paraId="1F20E675"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227" w:type="dxa"/>
            <w:shd w:val="clear" w:color="auto" w:fill="auto"/>
          </w:tcPr>
          <w:p w14:paraId="4C35CD93"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r>
      <w:tr w:rsidR="00796404" w:rsidRPr="003A2A60" w14:paraId="4985945C" w14:textId="77777777" w:rsidTr="00A14526">
        <w:tc>
          <w:tcPr>
            <w:tcW w:w="2385" w:type="dxa"/>
            <w:shd w:val="clear" w:color="auto" w:fill="auto"/>
          </w:tcPr>
          <w:p w14:paraId="28A74CB4" w14:textId="77777777" w:rsidR="00796404" w:rsidRPr="001407E5" w:rsidRDefault="00796404" w:rsidP="001407E5">
            <w:pPr>
              <w:spacing w:line="360" w:lineRule="auto"/>
              <w:rPr>
                <w:rFonts w:ascii="Arial" w:eastAsia="Calibri" w:hAnsi="Arial" w:cs="Arial"/>
                <w:b/>
                <w:bCs/>
                <w:color w:val="000000" w:themeColor="text1"/>
                <w:sz w:val="20"/>
                <w:szCs w:val="20"/>
              </w:rPr>
            </w:pPr>
            <w:r w:rsidRPr="001407E5">
              <w:rPr>
                <w:rFonts w:ascii="Arial" w:eastAsia="Calibri" w:hAnsi="Arial" w:cs="Arial"/>
                <w:b/>
                <w:bCs/>
                <w:color w:val="000000" w:themeColor="text1"/>
                <w:sz w:val="20"/>
                <w:szCs w:val="20"/>
              </w:rPr>
              <w:t>methaqualone</w:t>
            </w:r>
          </w:p>
        </w:tc>
        <w:tc>
          <w:tcPr>
            <w:tcW w:w="1137" w:type="dxa"/>
            <w:shd w:val="clear" w:color="auto" w:fill="auto"/>
          </w:tcPr>
          <w:p w14:paraId="35364F3C"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171" w:type="dxa"/>
            <w:shd w:val="clear" w:color="auto" w:fill="auto"/>
          </w:tcPr>
          <w:p w14:paraId="7F8A9353"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143" w:type="dxa"/>
            <w:shd w:val="clear" w:color="auto" w:fill="auto"/>
          </w:tcPr>
          <w:p w14:paraId="0242D1E4"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227" w:type="dxa"/>
            <w:shd w:val="clear" w:color="auto" w:fill="auto"/>
          </w:tcPr>
          <w:p w14:paraId="587AB952"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227" w:type="dxa"/>
            <w:shd w:val="clear" w:color="auto" w:fill="auto"/>
          </w:tcPr>
          <w:p w14:paraId="7724600C"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r>
      <w:tr w:rsidR="00796404" w:rsidRPr="003A2A60" w14:paraId="456376ED" w14:textId="77777777" w:rsidTr="00A14526">
        <w:tc>
          <w:tcPr>
            <w:tcW w:w="2385" w:type="dxa"/>
            <w:shd w:val="clear" w:color="auto" w:fill="auto"/>
          </w:tcPr>
          <w:p w14:paraId="24996BC2" w14:textId="77777777" w:rsidR="00796404" w:rsidRPr="001407E5" w:rsidRDefault="00796404" w:rsidP="001407E5">
            <w:pPr>
              <w:spacing w:line="360" w:lineRule="auto"/>
              <w:rPr>
                <w:rFonts w:ascii="Arial" w:eastAsia="Calibri" w:hAnsi="Arial" w:cs="Arial"/>
                <w:b/>
                <w:bCs/>
                <w:color w:val="000000" w:themeColor="text1"/>
                <w:sz w:val="20"/>
                <w:szCs w:val="20"/>
              </w:rPr>
            </w:pPr>
            <w:r w:rsidRPr="001407E5">
              <w:rPr>
                <w:rFonts w:ascii="Arial" w:eastAsia="Calibri" w:hAnsi="Arial" w:cs="Arial"/>
                <w:b/>
                <w:bCs/>
                <w:color w:val="000000" w:themeColor="text1"/>
                <w:sz w:val="20"/>
                <w:szCs w:val="20"/>
              </w:rPr>
              <w:t>6-monoacetylmorphine</w:t>
            </w:r>
          </w:p>
        </w:tc>
        <w:tc>
          <w:tcPr>
            <w:tcW w:w="1137" w:type="dxa"/>
            <w:shd w:val="clear" w:color="auto" w:fill="auto"/>
          </w:tcPr>
          <w:p w14:paraId="2CC7BF41"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171" w:type="dxa"/>
            <w:shd w:val="clear" w:color="auto" w:fill="auto"/>
          </w:tcPr>
          <w:p w14:paraId="0600E8EC"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143" w:type="dxa"/>
            <w:shd w:val="clear" w:color="auto" w:fill="auto"/>
          </w:tcPr>
          <w:p w14:paraId="6BF46413"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227" w:type="dxa"/>
            <w:shd w:val="clear" w:color="auto" w:fill="auto"/>
          </w:tcPr>
          <w:p w14:paraId="19B00B8A"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227" w:type="dxa"/>
            <w:shd w:val="clear" w:color="auto" w:fill="auto"/>
          </w:tcPr>
          <w:p w14:paraId="11B7707F"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r>
      <w:tr w:rsidR="00796404" w:rsidRPr="003A2A60" w14:paraId="730C73AC" w14:textId="77777777" w:rsidTr="00A14526">
        <w:tc>
          <w:tcPr>
            <w:tcW w:w="2385" w:type="dxa"/>
            <w:shd w:val="clear" w:color="auto" w:fill="auto"/>
          </w:tcPr>
          <w:p w14:paraId="13D6442F" w14:textId="77777777" w:rsidR="00796404" w:rsidRPr="001407E5" w:rsidRDefault="00796404" w:rsidP="001407E5">
            <w:pPr>
              <w:spacing w:line="360" w:lineRule="auto"/>
              <w:rPr>
                <w:rFonts w:ascii="Arial" w:eastAsia="Calibri" w:hAnsi="Arial" w:cs="Arial"/>
                <w:b/>
                <w:bCs/>
                <w:color w:val="000000" w:themeColor="text1"/>
                <w:sz w:val="20"/>
                <w:szCs w:val="20"/>
              </w:rPr>
            </w:pPr>
            <w:r w:rsidRPr="001407E5">
              <w:rPr>
                <w:rFonts w:ascii="Arial" w:eastAsia="Calibri" w:hAnsi="Arial" w:cs="Arial"/>
                <w:b/>
                <w:bCs/>
                <w:color w:val="000000" w:themeColor="text1"/>
                <w:sz w:val="20"/>
                <w:szCs w:val="20"/>
              </w:rPr>
              <w:lastRenderedPageBreak/>
              <w:t>nicotine</w:t>
            </w:r>
          </w:p>
        </w:tc>
        <w:tc>
          <w:tcPr>
            <w:tcW w:w="1137" w:type="dxa"/>
            <w:shd w:val="clear" w:color="auto" w:fill="auto"/>
          </w:tcPr>
          <w:p w14:paraId="1E0269A3"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171" w:type="dxa"/>
            <w:shd w:val="clear" w:color="auto" w:fill="auto"/>
          </w:tcPr>
          <w:p w14:paraId="5D9B4C48"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143" w:type="dxa"/>
            <w:shd w:val="clear" w:color="auto" w:fill="auto"/>
          </w:tcPr>
          <w:p w14:paraId="29CA5D98"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227" w:type="dxa"/>
            <w:shd w:val="clear" w:color="auto" w:fill="auto"/>
          </w:tcPr>
          <w:p w14:paraId="53755839"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227" w:type="dxa"/>
            <w:shd w:val="clear" w:color="auto" w:fill="auto"/>
          </w:tcPr>
          <w:p w14:paraId="57C671E6"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r>
      <w:tr w:rsidR="00796404" w:rsidRPr="003A2A60" w14:paraId="3F0BDC8E" w14:textId="77777777" w:rsidTr="00A14526">
        <w:tc>
          <w:tcPr>
            <w:tcW w:w="2385" w:type="dxa"/>
            <w:shd w:val="clear" w:color="auto" w:fill="auto"/>
          </w:tcPr>
          <w:p w14:paraId="3FBE75A3" w14:textId="77777777" w:rsidR="00796404" w:rsidRPr="001407E5" w:rsidRDefault="00796404" w:rsidP="001407E5">
            <w:pPr>
              <w:spacing w:line="360" w:lineRule="auto"/>
              <w:rPr>
                <w:rFonts w:ascii="Arial" w:eastAsia="Calibri" w:hAnsi="Arial" w:cs="Arial"/>
                <w:b/>
                <w:bCs/>
                <w:color w:val="000000" w:themeColor="text1"/>
                <w:sz w:val="20"/>
                <w:szCs w:val="20"/>
              </w:rPr>
            </w:pPr>
            <w:proofErr w:type="spellStart"/>
            <w:r w:rsidRPr="001407E5">
              <w:rPr>
                <w:rFonts w:ascii="Arial" w:eastAsia="Calibri" w:hAnsi="Arial" w:cs="Arial"/>
                <w:b/>
                <w:bCs/>
                <w:color w:val="000000" w:themeColor="text1"/>
                <w:sz w:val="20"/>
                <w:szCs w:val="20"/>
              </w:rPr>
              <w:t>nonacosane</w:t>
            </w:r>
            <w:proofErr w:type="spellEnd"/>
          </w:p>
        </w:tc>
        <w:tc>
          <w:tcPr>
            <w:tcW w:w="1137" w:type="dxa"/>
            <w:shd w:val="clear" w:color="auto" w:fill="auto"/>
          </w:tcPr>
          <w:p w14:paraId="08B3B447"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171" w:type="dxa"/>
            <w:shd w:val="clear" w:color="auto" w:fill="auto"/>
          </w:tcPr>
          <w:p w14:paraId="7117B4E6"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143" w:type="dxa"/>
            <w:shd w:val="clear" w:color="auto" w:fill="auto"/>
          </w:tcPr>
          <w:p w14:paraId="3583C2BB"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227" w:type="dxa"/>
            <w:shd w:val="clear" w:color="auto" w:fill="auto"/>
          </w:tcPr>
          <w:p w14:paraId="1AD25E6C"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227" w:type="dxa"/>
            <w:shd w:val="clear" w:color="auto" w:fill="auto"/>
          </w:tcPr>
          <w:p w14:paraId="137D0A96"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r>
      <w:tr w:rsidR="00796404" w:rsidRPr="003A2A60" w14:paraId="0FA88998" w14:textId="77777777" w:rsidTr="00A14526">
        <w:tc>
          <w:tcPr>
            <w:tcW w:w="2385" w:type="dxa"/>
            <w:shd w:val="clear" w:color="auto" w:fill="auto"/>
          </w:tcPr>
          <w:p w14:paraId="4519190A"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b/>
                <w:bCs/>
                <w:color w:val="000000" w:themeColor="text1"/>
                <w:sz w:val="20"/>
                <w:szCs w:val="20"/>
              </w:rPr>
              <w:t>tetrahydrocannabivarin</w:t>
            </w:r>
          </w:p>
        </w:tc>
        <w:tc>
          <w:tcPr>
            <w:tcW w:w="1137" w:type="dxa"/>
            <w:shd w:val="clear" w:color="auto" w:fill="auto"/>
          </w:tcPr>
          <w:p w14:paraId="6EE26C39"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171" w:type="dxa"/>
            <w:shd w:val="clear" w:color="auto" w:fill="auto"/>
          </w:tcPr>
          <w:p w14:paraId="7F5EAD81"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143" w:type="dxa"/>
            <w:shd w:val="clear" w:color="auto" w:fill="auto"/>
          </w:tcPr>
          <w:p w14:paraId="6E333628"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227" w:type="dxa"/>
            <w:shd w:val="clear" w:color="auto" w:fill="auto"/>
          </w:tcPr>
          <w:p w14:paraId="3DB185F5"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227" w:type="dxa"/>
            <w:shd w:val="clear" w:color="auto" w:fill="auto"/>
          </w:tcPr>
          <w:p w14:paraId="5E6CD15B"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r>
      <w:tr w:rsidR="00796404" w:rsidRPr="003A2A60" w14:paraId="6B5591BE" w14:textId="77777777" w:rsidTr="00A14526">
        <w:tc>
          <w:tcPr>
            <w:tcW w:w="2385" w:type="dxa"/>
            <w:shd w:val="clear" w:color="auto" w:fill="auto"/>
          </w:tcPr>
          <w:p w14:paraId="4FB35785"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b/>
                <w:bCs/>
                <w:color w:val="000000" w:themeColor="text1"/>
                <w:sz w:val="20"/>
                <w:szCs w:val="20"/>
                <w:lang w:val="en-US"/>
              </w:rPr>
              <w:t>Δ</w:t>
            </w:r>
            <w:r w:rsidRPr="001407E5">
              <w:rPr>
                <w:rFonts w:ascii="Arial" w:eastAsia="Calibri" w:hAnsi="Arial" w:cs="Arial"/>
                <w:b/>
                <w:bCs/>
                <w:color w:val="000000" w:themeColor="text1"/>
                <w:sz w:val="20"/>
                <w:szCs w:val="20"/>
                <w:vertAlign w:val="superscript"/>
                <w:lang w:val="en-US"/>
              </w:rPr>
              <w:t>9</w:t>
            </w:r>
            <w:r w:rsidRPr="001407E5">
              <w:rPr>
                <w:rFonts w:ascii="Arial" w:eastAsia="Calibri" w:hAnsi="Arial" w:cs="Arial"/>
                <w:b/>
                <w:bCs/>
                <w:color w:val="000000" w:themeColor="text1"/>
                <w:sz w:val="20"/>
                <w:szCs w:val="20"/>
                <w:lang w:val="en-US"/>
              </w:rPr>
              <w:t>-THC</w:t>
            </w:r>
          </w:p>
        </w:tc>
        <w:tc>
          <w:tcPr>
            <w:tcW w:w="1137" w:type="dxa"/>
            <w:shd w:val="clear" w:color="auto" w:fill="auto"/>
          </w:tcPr>
          <w:p w14:paraId="2E317836"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171" w:type="dxa"/>
            <w:shd w:val="clear" w:color="auto" w:fill="auto"/>
          </w:tcPr>
          <w:p w14:paraId="3ADD82DD"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143" w:type="dxa"/>
            <w:shd w:val="clear" w:color="auto" w:fill="auto"/>
          </w:tcPr>
          <w:p w14:paraId="5EF22A8E"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227" w:type="dxa"/>
            <w:shd w:val="clear" w:color="auto" w:fill="auto"/>
          </w:tcPr>
          <w:p w14:paraId="0B57745D"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227" w:type="dxa"/>
            <w:shd w:val="clear" w:color="auto" w:fill="auto"/>
          </w:tcPr>
          <w:p w14:paraId="3517C10B" w14:textId="77777777" w:rsidR="00796404" w:rsidRPr="001407E5" w:rsidRDefault="00796404"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r>
      <w:tr w:rsidR="006B18EB" w:rsidRPr="003A2A60" w14:paraId="3929A17A" w14:textId="77777777" w:rsidTr="00A14526">
        <w:tc>
          <w:tcPr>
            <w:tcW w:w="2385" w:type="dxa"/>
            <w:tcBorders>
              <w:bottom w:val="single" w:sz="4" w:space="0" w:color="auto"/>
            </w:tcBorders>
            <w:shd w:val="clear" w:color="auto" w:fill="auto"/>
          </w:tcPr>
          <w:p w14:paraId="1451865D" w14:textId="4F31AE21" w:rsidR="006B18EB" w:rsidRPr="001407E5" w:rsidRDefault="006B18EB" w:rsidP="001407E5">
            <w:pPr>
              <w:spacing w:line="360" w:lineRule="auto"/>
              <w:rPr>
                <w:rFonts w:ascii="Arial" w:eastAsia="Calibri" w:hAnsi="Arial" w:cs="Arial"/>
                <w:b/>
                <w:bCs/>
                <w:color w:val="000000" w:themeColor="text1"/>
                <w:sz w:val="20"/>
                <w:szCs w:val="20"/>
                <w:lang w:val="en-US"/>
              </w:rPr>
            </w:pPr>
            <w:r w:rsidRPr="001407E5">
              <w:rPr>
                <w:rFonts w:ascii="Arial" w:eastAsia="Calibri" w:hAnsi="Arial" w:cs="Arial"/>
                <w:b/>
                <w:bCs/>
                <w:color w:val="000000" w:themeColor="text1"/>
                <w:sz w:val="20"/>
                <w:szCs w:val="20"/>
                <w:lang w:val="en-US"/>
              </w:rPr>
              <w:t>Vitamin E</w:t>
            </w:r>
          </w:p>
        </w:tc>
        <w:tc>
          <w:tcPr>
            <w:tcW w:w="1137" w:type="dxa"/>
            <w:tcBorders>
              <w:bottom w:val="single" w:sz="4" w:space="0" w:color="auto"/>
            </w:tcBorders>
            <w:shd w:val="clear" w:color="auto" w:fill="auto"/>
          </w:tcPr>
          <w:p w14:paraId="169C474C" w14:textId="5160C468" w:rsidR="006B18EB" w:rsidRPr="001407E5" w:rsidRDefault="006B18EB"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171" w:type="dxa"/>
            <w:tcBorders>
              <w:bottom w:val="single" w:sz="4" w:space="0" w:color="auto"/>
            </w:tcBorders>
            <w:shd w:val="clear" w:color="auto" w:fill="auto"/>
          </w:tcPr>
          <w:p w14:paraId="0467FA37" w14:textId="085BB861" w:rsidR="006B18EB" w:rsidRPr="001407E5" w:rsidRDefault="006B18EB"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143" w:type="dxa"/>
            <w:tcBorders>
              <w:bottom w:val="single" w:sz="4" w:space="0" w:color="auto"/>
            </w:tcBorders>
            <w:shd w:val="clear" w:color="auto" w:fill="auto"/>
          </w:tcPr>
          <w:p w14:paraId="23F6CE06" w14:textId="41BD189C" w:rsidR="006B18EB" w:rsidRPr="001407E5" w:rsidRDefault="006B18EB"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227" w:type="dxa"/>
            <w:tcBorders>
              <w:bottom w:val="single" w:sz="4" w:space="0" w:color="auto"/>
            </w:tcBorders>
            <w:shd w:val="clear" w:color="auto" w:fill="auto"/>
          </w:tcPr>
          <w:p w14:paraId="4E4A7EF1" w14:textId="796B6DDE" w:rsidR="006B18EB" w:rsidRPr="001407E5" w:rsidRDefault="006B18EB"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c>
          <w:tcPr>
            <w:tcW w:w="1227" w:type="dxa"/>
            <w:tcBorders>
              <w:bottom w:val="single" w:sz="4" w:space="0" w:color="auto"/>
            </w:tcBorders>
            <w:shd w:val="clear" w:color="auto" w:fill="auto"/>
          </w:tcPr>
          <w:p w14:paraId="1AF4B753" w14:textId="2962E5B8" w:rsidR="006B18EB" w:rsidRPr="001407E5" w:rsidRDefault="006B18EB" w:rsidP="001407E5">
            <w:pPr>
              <w:spacing w:line="360" w:lineRule="auto"/>
              <w:rPr>
                <w:rFonts w:ascii="Arial" w:eastAsia="Calibri" w:hAnsi="Arial" w:cs="Arial"/>
                <w:color w:val="000000" w:themeColor="text1"/>
                <w:sz w:val="20"/>
                <w:szCs w:val="20"/>
                <w:lang w:val="en-ZA"/>
              </w:rPr>
            </w:pPr>
            <w:r w:rsidRPr="001407E5">
              <w:rPr>
                <w:rFonts w:ascii="Arial" w:eastAsia="Calibri" w:hAnsi="Arial" w:cs="Arial"/>
                <w:color w:val="000000" w:themeColor="text1"/>
                <w:sz w:val="20"/>
                <w:szCs w:val="20"/>
                <w:lang w:val="en-ZA"/>
              </w:rPr>
              <w:t>×</w:t>
            </w:r>
          </w:p>
        </w:tc>
      </w:tr>
    </w:tbl>
    <w:p w14:paraId="4C3A5452" w14:textId="6AA57722" w:rsidR="00094B0F" w:rsidRPr="00F13C54" w:rsidRDefault="00094B0F" w:rsidP="0016122E">
      <w:pPr>
        <w:spacing w:line="360" w:lineRule="auto"/>
        <w:rPr>
          <w:rFonts w:ascii="Arial" w:hAnsi="Arial" w:cs="Arial"/>
          <w:b/>
          <w:bCs/>
          <w:color w:val="000000" w:themeColor="text1"/>
          <w:sz w:val="22"/>
          <w:szCs w:val="22"/>
        </w:rPr>
      </w:pPr>
    </w:p>
    <w:p w14:paraId="34CCAC88" w14:textId="5A3610A4" w:rsidR="00EE1A93" w:rsidRPr="00F13C54" w:rsidRDefault="005E55DB" w:rsidP="0016122E">
      <w:pPr>
        <w:spacing w:line="360" w:lineRule="auto"/>
        <w:jc w:val="both"/>
        <w:rPr>
          <w:rFonts w:ascii="Arial" w:eastAsia="Calibri" w:hAnsi="Arial" w:cs="Arial"/>
          <w:color w:val="000000" w:themeColor="text1"/>
          <w:sz w:val="22"/>
          <w:szCs w:val="22"/>
          <w:lang w:val="en-ZA"/>
        </w:rPr>
      </w:pPr>
      <w:r w:rsidRPr="00F13C54">
        <w:rPr>
          <w:rFonts w:ascii="Arial" w:hAnsi="Arial" w:cs="Arial"/>
          <w:color w:val="000000" w:themeColor="text1"/>
          <w:sz w:val="22"/>
          <w:szCs w:val="22"/>
        </w:rPr>
        <w:t xml:space="preserve">Semi quantitation of the five casework samples </w:t>
      </w:r>
      <w:r w:rsidR="00913006" w:rsidRPr="00F13C54">
        <w:rPr>
          <w:rFonts w:ascii="Arial" w:hAnsi="Arial" w:cs="Arial"/>
          <w:color w:val="000000" w:themeColor="text1"/>
          <w:sz w:val="22"/>
          <w:szCs w:val="22"/>
        </w:rPr>
        <w:t xml:space="preserve">is </w:t>
      </w:r>
      <w:r w:rsidR="00A31154">
        <w:rPr>
          <w:rFonts w:ascii="Arial" w:hAnsi="Arial" w:cs="Arial"/>
          <w:color w:val="000000" w:themeColor="text1"/>
          <w:sz w:val="22"/>
          <w:szCs w:val="22"/>
        </w:rPr>
        <w:t xml:space="preserve">summarised in </w:t>
      </w:r>
      <w:r w:rsidR="00A31154" w:rsidRPr="0015368A">
        <w:rPr>
          <w:rFonts w:ascii="Arial" w:hAnsi="Arial" w:cs="Arial"/>
          <w:color w:val="000000" w:themeColor="text1"/>
          <w:sz w:val="22"/>
          <w:szCs w:val="22"/>
        </w:rPr>
        <w:t>Table 5</w:t>
      </w:r>
      <w:r w:rsidR="00DA697E" w:rsidRPr="00F13C54">
        <w:rPr>
          <w:rFonts w:ascii="Arial" w:hAnsi="Arial" w:cs="Arial"/>
          <w:color w:val="000000" w:themeColor="text1"/>
          <w:sz w:val="22"/>
          <w:szCs w:val="22"/>
        </w:rPr>
        <w:t xml:space="preserve"> showing</w:t>
      </w:r>
      <w:r w:rsidRPr="00F13C54">
        <w:rPr>
          <w:rFonts w:ascii="Arial" w:hAnsi="Arial" w:cs="Arial"/>
          <w:color w:val="000000" w:themeColor="text1"/>
          <w:sz w:val="22"/>
          <w:szCs w:val="22"/>
        </w:rPr>
        <w:t xml:space="preserve"> </w:t>
      </w:r>
      <w:r w:rsidRPr="00F13C54">
        <w:rPr>
          <w:rFonts w:ascii="Arial" w:eastAsia="Calibri" w:hAnsi="Arial" w:cs="Arial"/>
          <w:iCs/>
          <w:color w:val="000000" w:themeColor="text1"/>
          <w:sz w:val="22"/>
          <w:szCs w:val="22"/>
          <w:lang w:val="en-ZA"/>
        </w:rPr>
        <w:t xml:space="preserve">concentrations of the </w:t>
      </w:r>
      <w:proofErr w:type="gramStart"/>
      <w:r w:rsidRPr="00F13C54">
        <w:rPr>
          <w:rFonts w:ascii="Arial" w:eastAsia="Calibri" w:hAnsi="Arial" w:cs="Arial"/>
          <w:iCs/>
          <w:color w:val="000000" w:themeColor="text1"/>
          <w:sz w:val="22"/>
          <w:szCs w:val="22"/>
          <w:lang w:val="en-ZA"/>
        </w:rPr>
        <w:t>components</w:t>
      </w:r>
      <w:proofErr w:type="gramEnd"/>
      <w:r w:rsidRPr="00F13C54">
        <w:rPr>
          <w:rFonts w:ascii="Arial" w:eastAsia="Calibri" w:hAnsi="Arial" w:cs="Arial"/>
          <w:iCs/>
          <w:color w:val="000000" w:themeColor="text1"/>
          <w:sz w:val="22"/>
          <w:szCs w:val="22"/>
          <w:lang w:val="en-ZA"/>
        </w:rPr>
        <w:t xml:space="preserve"> </w:t>
      </w:r>
      <w:r w:rsidR="006F0423" w:rsidRPr="00F13C54">
        <w:rPr>
          <w:rFonts w:ascii="Arial" w:eastAsia="Calibri" w:hAnsi="Arial" w:cs="Arial"/>
          <w:iCs/>
          <w:color w:val="000000" w:themeColor="text1"/>
          <w:sz w:val="22"/>
          <w:szCs w:val="22"/>
          <w:lang w:val="en-ZA"/>
        </w:rPr>
        <w:t>caffeine</w:t>
      </w:r>
      <w:r w:rsidRPr="00F13C54">
        <w:rPr>
          <w:rFonts w:ascii="Arial" w:eastAsia="Calibri" w:hAnsi="Arial" w:cs="Arial"/>
          <w:iCs/>
          <w:color w:val="000000" w:themeColor="text1"/>
          <w:sz w:val="22"/>
          <w:szCs w:val="22"/>
          <w:lang w:val="en-ZA"/>
        </w:rPr>
        <w:t xml:space="preserve">, </w:t>
      </w:r>
      <w:r w:rsidR="006F0423" w:rsidRPr="00F13C54">
        <w:rPr>
          <w:rFonts w:ascii="Arial" w:eastAsia="Calibri" w:hAnsi="Arial" w:cs="Arial"/>
          <w:iCs/>
          <w:color w:val="000000" w:themeColor="text1"/>
          <w:sz w:val="22"/>
          <w:szCs w:val="22"/>
          <w:lang w:val="en-ZA"/>
        </w:rPr>
        <w:t>diamorphine</w:t>
      </w:r>
      <w:r w:rsidRPr="00F13C54">
        <w:rPr>
          <w:rFonts w:ascii="Arial" w:eastAsia="Calibri" w:hAnsi="Arial" w:cs="Arial"/>
          <w:iCs/>
          <w:color w:val="000000" w:themeColor="text1"/>
          <w:sz w:val="22"/>
          <w:szCs w:val="22"/>
          <w:lang w:val="en-ZA"/>
        </w:rPr>
        <w:t xml:space="preserve"> and Δ</w:t>
      </w:r>
      <w:r w:rsidRPr="00F13C54">
        <w:rPr>
          <w:rFonts w:ascii="Arial" w:eastAsia="Calibri" w:hAnsi="Arial" w:cs="Arial"/>
          <w:iCs/>
          <w:color w:val="000000" w:themeColor="text1"/>
          <w:sz w:val="22"/>
          <w:szCs w:val="22"/>
          <w:vertAlign w:val="superscript"/>
          <w:lang w:val="en-ZA"/>
        </w:rPr>
        <w:t>9</w:t>
      </w:r>
      <w:r w:rsidRPr="00F13C54">
        <w:rPr>
          <w:rFonts w:ascii="Arial" w:eastAsia="Calibri" w:hAnsi="Arial" w:cs="Arial"/>
          <w:iCs/>
          <w:color w:val="000000" w:themeColor="text1"/>
          <w:sz w:val="22"/>
          <w:szCs w:val="22"/>
          <w:lang w:val="en-ZA"/>
        </w:rPr>
        <w:t xml:space="preserve">-THC. The </w:t>
      </w:r>
      <w:r w:rsidR="006F0423" w:rsidRPr="00F13C54">
        <w:rPr>
          <w:rFonts w:ascii="Arial" w:eastAsia="Calibri" w:hAnsi="Arial" w:cs="Arial"/>
          <w:iCs/>
          <w:color w:val="000000" w:themeColor="text1"/>
          <w:sz w:val="22"/>
          <w:szCs w:val="22"/>
          <w:lang w:val="en-ZA"/>
        </w:rPr>
        <w:t>caffeine</w:t>
      </w:r>
      <w:r w:rsidRPr="00F13C54">
        <w:rPr>
          <w:rFonts w:ascii="Arial" w:eastAsia="Calibri" w:hAnsi="Arial" w:cs="Arial"/>
          <w:iCs/>
          <w:color w:val="000000" w:themeColor="text1"/>
          <w:sz w:val="22"/>
          <w:szCs w:val="22"/>
          <w:lang w:val="en-ZA"/>
        </w:rPr>
        <w:t xml:space="preserve"> concentration for sample</w:t>
      </w:r>
      <w:r w:rsidR="00EC4AD4" w:rsidRPr="00F13C54">
        <w:rPr>
          <w:rFonts w:ascii="Arial" w:eastAsia="Calibri" w:hAnsi="Arial" w:cs="Arial"/>
          <w:iCs/>
          <w:color w:val="000000" w:themeColor="text1"/>
          <w:sz w:val="22"/>
          <w:szCs w:val="22"/>
          <w:lang w:val="en-ZA"/>
        </w:rPr>
        <w:t>s 2514202B and 2520902B</w:t>
      </w:r>
      <w:r w:rsidRPr="00F13C54">
        <w:rPr>
          <w:rFonts w:ascii="Arial" w:eastAsia="Calibri" w:hAnsi="Arial" w:cs="Arial"/>
          <w:iCs/>
          <w:color w:val="000000" w:themeColor="text1"/>
          <w:sz w:val="22"/>
          <w:szCs w:val="22"/>
          <w:lang w:val="en-ZA"/>
        </w:rPr>
        <w:t xml:space="preserve"> was below the </w:t>
      </w:r>
      <w:r w:rsidR="002532FE" w:rsidRPr="00F13C54">
        <w:rPr>
          <w:rFonts w:ascii="Arial" w:eastAsia="Calibri" w:hAnsi="Arial" w:cs="Arial"/>
          <w:iCs/>
          <w:color w:val="000000" w:themeColor="text1"/>
          <w:sz w:val="22"/>
          <w:szCs w:val="22"/>
          <w:lang w:val="en-ZA"/>
        </w:rPr>
        <w:t>limit of quantitation</w:t>
      </w:r>
      <w:r w:rsidRPr="00F13C54">
        <w:rPr>
          <w:rFonts w:ascii="Arial" w:eastAsia="Calibri" w:hAnsi="Arial" w:cs="Arial"/>
          <w:iCs/>
          <w:color w:val="000000" w:themeColor="text1"/>
          <w:sz w:val="22"/>
          <w:szCs w:val="22"/>
          <w:lang w:val="en-ZA"/>
        </w:rPr>
        <w:t xml:space="preserve"> (63 </w:t>
      </w:r>
      <w:proofErr w:type="spellStart"/>
      <w:r w:rsidRPr="00F13C54">
        <w:rPr>
          <w:rFonts w:ascii="Arial" w:eastAsia="Calibri" w:hAnsi="Arial" w:cs="Arial"/>
          <w:iCs/>
          <w:color w:val="000000" w:themeColor="text1"/>
          <w:sz w:val="22"/>
          <w:szCs w:val="22"/>
          <w:lang w:val="en-ZA"/>
        </w:rPr>
        <w:t>pg</w:t>
      </w:r>
      <w:proofErr w:type="spellEnd"/>
      <w:r w:rsidRPr="00F13C54">
        <w:rPr>
          <w:rFonts w:ascii="Arial" w:eastAsia="Calibri" w:hAnsi="Arial" w:cs="Arial"/>
          <w:iCs/>
          <w:color w:val="000000" w:themeColor="text1"/>
          <w:sz w:val="22"/>
          <w:szCs w:val="22"/>
          <w:lang w:val="en-ZA"/>
        </w:rPr>
        <w:t xml:space="preserve"> on column). The pooled </w:t>
      </w:r>
      <w:r w:rsidRPr="00F13C54">
        <w:rPr>
          <w:rFonts w:ascii="Arial" w:eastAsia="Calibri" w:hAnsi="Arial" w:cs="Arial"/>
          <w:color w:val="000000" w:themeColor="text1"/>
          <w:sz w:val="22"/>
          <w:szCs w:val="22"/>
          <w:lang w:val="en-ZA"/>
        </w:rPr>
        <w:t>average concentration for each time interval</w:t>
      </w:r>
      <w:r w:rsidRPr="00F13C54">
        <w:rPr>
          <w:rFonts w:ascii="Arial" w:eastAsia="Calibri" w:hAnsi="Arial" w:cs="Arial"/>
          <w:iCs/>
          <w:color w:val="000000" w:themeColor="text1"/>
          <w:sz w:val="22"/>
          <w:szCs w:val="22"/>
          <w:lang w:val="en-ZA"/>
        </w:rPr>
        <w:t xml:space="preserve"> of the three sub-samples in a batch was used to calculate the </w:t>
      </w:r>
      <w:r w:rsidRPr="00F13C54">
        <w:rPr>
          <w:rFonts w:ascii="Arial" w:eastAsia="Calibri" w:hAnsi="Arial" w:cs="Arial"/>
          <w:color w:val="000000" w:themeColor="text1"/>
          <w:sz w:val="22"/>
          <w:szCs w:val="22"/>
          <w:lang w:val="en-ZA"/>
        </w:rPr>
        <w:t xml:space="preserve">average %RSD, shown in </w:t>
      </w:r>
      <w:r w:rsidRPr="0015368A">
        <w:rPr>
          <w:rFonts w:ascii="Arial" w:eastAsia="Calibri" w:hAnsi="Arial" w:cs="Arial"/>
          <w:color w:val="000000" w:themeColor="text1"/>
          <w:sz w:val="22"/>
          <w:szCs w:val="22"/>
          <w:lang w:val="en-ZA"/>
        </w:rPr>
        <w:t>Table</w:t>
      </w:r>
      <w:r w:rsidR="00186689" w:rsidRPr="0015368A">
        <w:rPr>
          <w:rFonts w:ascii="Arial" w:eastAsia="Calibri" w:hAnsi="Arial" w:cs="Arial"/>
          <w:color w:val="000000" w:themeColor="text1"/>
          <w:sz w:val="22"/>
          <w:szCs w:val="22"/>
          <w:lang w:val="en-ZA"/>
        </w:rPr>
        <w:t xml:space="preserve"> </w:t>
      </w:r>
      <w:r w:rsidR="00A31154" w:rsidRPr="0015368A">
        <w:rPr>
          <w:rFonts w:ascii="Arial" w:eastAsia="Calibri" w:hAnsi="Arial" w:cs="Arial"/>
          <w:color w:val="000000" w:themeColor="text1"/>
          <w:sz w:val="22"/>
          <w:szCs w:val="22"/>
          <w:lang w:val="en-ZA"/>
        </w:rPr>
        <w:t>5</w:t>
      </w:r>
      <w:r w:rsidRPr="0015368A">
        <w:rPr>
          <w:rFonts w:ascii="Arial" w:eastAsia="Calibri" w:hAnsi="Arial" w:cs="Arial"/>
          <w:color w:val="000000" w:themeColor="text1"/>
          <w:sz w:val="22"/>
          <w:szCs w:val="22"/>
          <w:lang w:val="en-ZA"/>
        </w:rPr>
        <w:t>,</w:t>
      </w:r>
      <w:r w:rsidRPr="00F13C54">
        <w:rPr>
          <w:rFonts w:ascii="Arial" w:eastAsia="Calibri" w:hAnsi="Arial" w:cs="Arial"/>
          <w:color w:val="000000" w:themeColor="text1"/>
          <w:sz w:val="22"/>
          <w:szCs w:val="22"/>
          <w:lang w:val="en-ZA"/>
        </w:rPr>
        <w:t xml:space="preserve"> </w:t>
      </w:r>
      <w:proofErr w:type="gramStart"/>
      <w:r w:rsidRPr="00F13C54">
        <w:rPr>
          <w:rFonts w:ascii="Arial" w:eastAsia="Calibri" w:hAnsi="Arial" w:cs="Arial"/>
          <w:color w:val="000000" w:themeColor="text1"/>
          <w:sz w:val="22"/>
          <w:szCs w:val="22"/>
          <w:lang w:val="en-ZA"/>
        </w:rPr>
        <w:t>in order to</w:t>
      </w:r>
      <w:proofErr w:type="gramEnd"/>
      <w:r w:rsidRPr="00F13C54">
        <w:rPr>
          <w:rFonts w:ascii="Arial" w:eastAsia="Calibri" w:hAnsi="Arial" w:cs="Arial"/>
          <w:color w:val="000000" w:themeColor="text1"/>
          <w:sz w:val="22"/>
          <w:szCs w:val="22"/>
          <w:lang w:val="en-ZA"/>
        </w:rPr>
        <w:t xml:space="preserve"> determine if the concentrations are significantly different.  The average %RSD was found to be &lt; 10% for all the components (</w:t>
      </w:r>
      <w:r w:rsidR="006F0423" w:rsidRPr="00F13C54">
        <w:rPr>
          <w:rFonts w:ascii="Arial" w:eastAsia="Calibri" w:hAnsi="Arial" w:cs="Arial"/>
          <w:color w:val="000000" w:themeColor="text1"/>
          <w:sz w:val="22"/>
          <w:szCs w:val="22"/>
          <w:lang w:val="en-ZA"/>
        </w:rPr>
        <w:t>caffeine</w:t>
      </w:r>
      <w:r w:rsidRPr="00F13C54">
        <w:rPr>
          <w:rFonts w:ascii="Arial" w:eastAsia="Calibri" w:hAnsi="Arial" w:cs="Arial"/>
          <w:color w:val="000000" w:themeColor="text1"/>
          <w:sz w:val="22"/>
          <w:szCs w:val="22"/>
          <w:lang w:val="en-ZA"/>
        </w:rPr>
        <w:t xml:space="preserve">, </w:t>
      </w:r>
      <w:proofErr w:type="gramStart"/>
      <w:r w:rsidR="006F0423" w:rsidRPr="00F13C54">
        <w:rPr>
          <w:rFonts w:ascii="Arial" w:eastAsia="Calibri" w:hAnsi="Arial" w:cs="Arial"/>
          <w:color w:val="000000" w:themeColor="text1"/>
          <w:sz w:val="22"/>
          <w:szCs w:val="22"/>
          <w:lang w:val="en-ZA"/>
        </w:rPr>
        <w:t>diamorphine</w:t>
      </w:r>
      <w:proofErr w:type="gramEnd"/>
      <w:r w:rsidRPr="00F13C54">
        <w:rPr>
          <w:rFonts w:ascii="Arial" w:eastAsia="Calibri" w:hAnsi="Arial" w:cs="Arial"/>
          <w:color w:val="000000" w:themeColor="text1"/>
          <w:sz w:val="22"/>
          <w:szCs w:val="22"/>
          <w:lang w:val="en-ZA"/>
        </w:rPr>
        <w:t xml:space="preserve"> and Δ</w:t>
      </w:r>
      <w:r w:rsidRPr="00F13C54">
        <w:rPr>
          <w:rFonts w:ascii="Arial" w:eastAsia="Calibri" w:hAnsi="Arial" w:cs="Arial"/>
          <w:color w:val="000000" w:themeColor="text1"/>
          <w:sz w:val="22"/>
          <w:szCs w:val="22"/>
          <w:vertAlign w:val="superscript"/>
          <w:lang w:val="en-ZA"/>
        </w:rPr>
        <w:t>9</w:t>
      </w:r>
      <w:r w:rsidRPr="00F13C54">
        <w:rPr>
          <w:rFonts w:ascii="Arial" w:eastAsia="Calibri" w:hAnsi="Arial" w:cs="Arial"/>
          <w:color w:val="000000" w:themeColor="text1"/>
          <w:sz w:val="22"/>
          <w:szCs w:val="22"/>
          <w:lang w:val="en-ZA"/>
        </w:rPr>
        <w:t>-THC) in the samples.  This indicate</w:t>
      </w:r>
      <w:r w:rsidR="00913006" w:rsidRPr="00F13C54">
        <w:rPr>
          <w:rFonts w:ascii="Arial" w:eastAsia="Calibri" w:hAnsi="Arial" w:cs="Arial"/>
          <w:color w:val="000000" w:themeColor="text1"/>
          <w:sz w:val="22"/>
          <w:szCs w:val="22"/>
          <w:lang w:val="en-ZA"/>
        </w:rPr>
        <w:t>s</w:t>
      </w:r>
      <w:r w:rsidRPr="00F13C54">
        <w:rPr>
          <w:rFonts w:ascii="Arial" w:eastAsia="Calibri" w:hAnsi="Arial" w:cs="Arial"/>
          <w:color w:val="000000" w:themeColor="text1"/>
          <w:sz w:val="22"/>
          <w:szCs w:val="22"/>
          <w:lang w:val="en-ZA"/>
        </w:rPr>
        <w:t xml:space="preserve"> that there is no significant difference between the concentrations of a particular component, over a period of 72 hours once extracted into tertiary butyl alcohol. This suggests that all the components were stable for the 72 hours of autosampler stability</w:t>
      </w:r>
      <w:r w:rsidR="00DA697E" w:rsidRPr="00F13C54">
        <w:rPr>
          <w:rFonts w:ascii="Arial" w:eastAsia="Calibri" w:hAnsi="Arial" w:cs="Arial"/>
          <w:color w:val="000000" w:themeColor="text1"/>
          <w:sz w:val="22"/>
          <w:szCs w:val="22"/>
          <w:lang w:val="en-ZA"/>
        </w:rPr>
        <w:t xml:space="preserve"> confirming the previous finding</w:t>
      </w:r>
      <w:r w:rsidR="000B005B">
        <w:rPr>
          <w:rFonts w:ascii="Arial" w:eastAsia="Calibri" w:hAnsi="Arial" w:cs="Arial"/>
          <w:color w:val="000000" w:themeColor="text1"/>
          <w:sz w:val="22"/>
          <w:szCs w:val="22"/>
          <w:vertAlign w:val="superscript"/>
          <w:lang w:val="en-ZA"/>
        </w:rPr>
        <w:t>13</w:t>
      </w:r>
      <w:r w:rsidRPr="00F13C54">
        <w:rPr>
          <w:rFonts w:ascii="Arial" w:eastAsia="Calibri" w:hAnsi="Arial" w:cs="Arial"/>
          <w:color w:val="000000" w:themeColor="text1"/>
          <w:sz w:val="22"/>
          <w:szCs w:val="22"/>
          <w:lang w:val="en-ZA"/>
        </w:rPr>
        <w:t xml:space="preserve">. </w:t>
      </w:r>
    </w:p>
    <w:p w14:paraId="7BF9BE52" w14:textId="77777777" w:rsidR="00DA697E" w:rsidRPr="00F13C54" w:rsidRDefault="00DA697E" w:rsidP="0016122E">
      <w:pPr>
        <w:spacing w:line="360" w:lineRule="auto"/>
        <w:jc w:val="both"/>
        <w:rPr>
          <w:rFonts w:ascii="Arial" w:hAnsi="Arial" w:cs="Arial"/>
          <w:color w:val="000000" w:themeColor="text1"/>
          <w:sz w:val="22"/>
          <w:szCs w:val="22"/>
        </w:rPr>
      </w:pPr>
    </w:p>
    <w:p w14:paraId="768CE488" w14:textId="7946DF19" w:rsidR="005E55DB" w:rsidRPr="003A2A60" w:rsidRDefault="005E55DB" w:rsidP="0016122E">
      <w:pPr>
        <w:spacing w:after="160" w:line="360" w:lineRule="auto"/>
        <w:rPr>
          <w:rFonts w:ascii="Arial" w:eastAsia="Calibri" w:hAnsi="Arial" w:cs="Arial"/>
          <w:b/>
          <w:bCs/>
          <w:color w:val="000000" w:themeColor="text1"/>
          <w:sz w:val="20"/>
          <w:szCs w:val="20"/>
          <w:lang w:val="en-ZA"/>
        </w:rPr>
      </w:pPr>
      <w:r w:rsidRPr="00C42073">
        <w:rPr>
          <w:rFonts w:ascii="Arial" w:eastAsia="Calibri" w:hAnsi="Arial" w:cs="Arial"/>
          <w:b/>
          <w:bCs/>
          <w:color w:val="000000" w:themeColor="text1"/>
          <w:sz w:val="20"/>
          <w:szCs w:val="20"/>
          <w:lang w:val="en-ZA"/>
        </w:rPr>
        <w:t xml:space="preserve">Table </w:t>
      </w:r>
      <w:r w:rsidR="00A31154" w:rsidRPr="00C42073">
        <w:rPr>
          <w:rFonts w:ascii="Arial" w:eastAsia="Calibri" w:hAnsi="Arial" w:cs="Arial"/>
          <w:b/>
          <w:bCs/>
          <w:noProof/>
          <w:color w:val="000000" w:themeColor="text1"/>
          <w:sz w:val="20"/>
          <w:szCs w:val="20"/>
          <w:lang w:val="en-ZA"/>
        </w:rPr>
        <w:t>5</w:t>
      </w:r>
      <w:r w:rsidRPr="00C42073">
        <w:rPr>
          <w:rFonts w:ascii="Arial" w:eastAsia="Calibri" w:hAnsi="Arial" w:cs="Arial"/>
          <w:b/>
          <w:bCs/>
          <w:color w:val="000000" w:themeColor="text1"/>
          <w:sz w:val="20"/>
          <w:szCs w:val="20"/>
          <w:lang w:val="en-ZA"/>
        </w:rPr>
        <w:t>:</w:t>
      </w:r>
      <w:r w:rsidRPr="003A2A60">
        <w:rPr>
          <w:rFonts w:ascii="Arial" w:eastAsia="Calibri" w:hAnsi="Arial" w:cs="Arial"/>
          <w:b/>
          <w:bCs/>
          <w:color w:val="000000" w:themeColor="text1"/>
          <w:sz w:val="20"/>
          <w:szCs w:val="20"/>
          <w:lang w:val="en-ZA"/>
        </w:rPr>
        <w:t xml:space="preserve"> Concentration of act</w:t>
      </w:r>
      <w:r w:rsidR="00E35CA2">
        <w:rPr>
          <w:rFonts w:ascii="Arial" w:eastAsia="Calibri" w:hAnsi="Arial" w:cs="Arial"/>
          <w:b/>
          <w:bCs/>
          <w:color w:val="000000" w:themeColor="text1"/>
          <w:sz w:val="20"/>
          <w:szCs w:val="20"/>
          <w:lang w:val="en-ZA"/>
        </w:rPr>
        <w:t xml:space="preserve">ual street </w:t>
      </w:r>
      <w:proofErr w:type="spellStart"/>
      <w:r w:rsidR="00E35CA2">
        <w:rPr>
          <w:rFonts w:ascii="Arial" w:eastAsia="Calibri" w:hAnsi="Arial" w:cs="Arial"/>
          <w:b/>
          <w:bCs/>
          <w:color w:val="000000" w:themeColor="text1"/>
          <w:sz w:val="20"/>
          <w:szCs w:val="20"/>
          <w:lang w:val="en-ZA"/>
        </w:rPr>
        <w:t>nyaope</w:t>
      </w:r>
      <w:proofErr w:type="spellEnd"/>
      <w:r w:rsidR="00E35CA2">
        <w:rPr>
          <w:rFonts w:ascii="Arial" w:eastAsia="Calibri" w:hAnsi="Arial" w:cs="Arial"/>
          <w:b/>
          <w:bCs/>
          <w:color w:val="000000" w:themeColor="text1"/>
          <w:sz w:val="20"/>
          <w:szCs w:val="20"/>
          <w:lang w:val="en-ZA"/>
        </w:rPr>
        <w:t xml:space="preserve"> samples </w:t>
      </w:r>
      <w:r w:rsidR="00E35CA2" w:rsidRPr="00C42073">
        <w:rPr>
          <w:rFonts w:ascii="Arial" w:eastAsia="Calibri" w:hAnsi="Arial" w:cs="Arial"/>
          <w:b/>
          <w:bCs/>
          <w:color w:val="000000" w:themeColor="text1"/>
          <w:sz w:val="20"/>
          <w:szCs w:val="20"/>
          <w:lang w:val="en-ZA"/>
        </w:rPr>
        <w:t>(mg/mL</w:t>
      </w:r>
      <w:r w:rsidRPr="00C42073">
        <w:rPr>
          <w:rFonts w:ascii="Arial" w:eastAsia="Calibri" w:hAnsi="Arial" w:cs="Arial"/>
          <w:b/>
          <w:bCs/>
          <w:color w:val="000000" w:themeColor="text1"/>
          <w:sz w:val="20"/>
          <w:szCs w:val="20"/>
          <w:lang w:val="en-ZA"/>
        </w:rPr>
        <w:t xml:space="preserve"> </w:t>
      </w:r>
      <w:r w:rsidRPr="003A2A60">
        <w:rPr>
          <w:rFonts w:ascii="Arial" w:eastAsia="Calibri" w:hAnsi="Arial" w:cs="Arial"/>
          <w:b/>
          <w:bCs/>
          <w:color w:val="000000" w:themeColor="text1"/>
          <w:sz w:val="20"/>
          <w:szCs w:val="20"/>
          <w:lang w:val="en-ZA"/>
        </w:rPr>
        <w:t>x 1000)</w:t>
      </w:r>
    </w:p>
    <w:tbl>
      <w:tblPr>
        <w:tblW w:w="0" w:type="auto"/>
        <w:tblLook w:val="04A0" w:firstRow="1" w:lastRow="0" w:firstColumn="1" w:lastColumn="0" w:noHBand="0" w:noVBand="1"/>
      </w:tblPr>
      <w:tblGrid>
        <w:gridCol w:w="933"/>
        <w:gridCol w:w="524"/>
        <w:gridCol w:w="524"/>
        <w:gridCol w:w="524"/>
        <w:gridCol w:w="524"/>
        <w:gridCol w:w="637"/>
        <w:gridCol w:w="489"/>
        <w:gridCol w:w="489"/>
        <w:gridCol w:w="489"/>
        <w:gridCol w:w="489"/>
        <w:gridCol w:w="637"/>
        <w:gridCol w:w="489"/>
        <w:gridCol w:w="489"/>
        <w:gridCol w:w="489"/>
        <w:gridCol w:w="489"/>
        <w:gridCol w:w="637"/>
      </w:tblGrid>
      <w:tr w:rsidR="00601168" w:rsidRPr="003A2A60" w14:paraId="08A8BA0A" w14:textId="77777777" w:rsidTr="00696880">
        <w:trPr>
          <w:trHeight w:val="300"/>
        </w:trPr>
        <w:tc>
          <w:tcPr>
            <w:tcW w:w="0" w:type="auto"/>
            <w:tcBorders>
              <w:top w:val="single" w:sz="12" w:space="0" w:color="auto"/>
              <w:bottom w:val="single" w:sz="12" w:space="0" w:color="auto"/>
            </w:tcBorders>
            <w:shd w:val="clear" w:color="auto" w:fill="auto"/>
            <w:noWrap/>
            <w:hideMark/>
          </w:tcPr>
          <w:p w14:paraId="16282DAB" w14:textId="77777777" w:rsidR="00601168" w:rsidRPr="003A2A60" w:rsidRDefault="00601168" w:rsidP="0016122E">
            <w:pPr>
              <w:spacing w:after="160" w:line="360" w:lineRule="auto"/>
              <w:jc w:val="both"/>
              <w:rPr>
                <w:rFonts w:ascii="Arial" w:eastAsia="Calibri" w:hAnsi="Arial" w:cs="Arial"/>
                <w:b/>
                <w:color w:val="000000" w:themeColor="text1"/>
                <w:sz w:val="16"/>
                <w:szCs w:val="16"/>
                <w:lang w:val="en-ZA"/>
              </w:rPr>
            </w:pPr>
          </w:p>
        </w:tc>
        <w:tc>
          <w:tcPr>
            <w:tcW w:w="0" w:type="auto"/>
            <w:gridSpan w:val="4"/>
            <w:tcBorders>
              <w:top w:val="single" w:sz="12" w:space="0" w:color="auto"/>
              <w:bottom w:val="single" w:sz="12" w:space="0" w:color="auto"/>
            </w:tcBorders>
            <w:shd w:val="clear" w:color="auto" w:fill="auto"/>
            <w:noWrap/>
            <w:hideMark/>
          </w:tcPr>
          <w:p w14:paraId="4AECFA25" w14:textId="6C9E091B" w:rsidR="00601168" w:rsidRPr="003A2A60" w:rsidRDefault="00601168" w:rsidP="0016122E">
            <w:pPr>
              <w:spacing w:after="160" w:line="360" w:lineRule="auto"/>
              <w:jc w:val="center"/>
              <w:rPr>
                <w:rFonts w:ascii="Arial" w:eastAsia="Calibri" w:hAnsi="Arial" w:cs="Arial"/>
                <w:b/>
                <w:color w:val="000000" w:themeColor="text1"/>
                <w:sz w:val="16"/>
                <w:szCs w:val="16"/>
                <w:lang w:val="en-ZA"/>
              </w:rPr>
            </w:pPr>
            <w:r w:rsidRPr="003A2A60">
              <w:rPr>
                <w:rFonts w:ascii="Arial" w:eastAsia="Calibri" w:hAnsi="Arial" w:cs="Arial"/>
                <w:b/>
                <w:color w:val="000000" w:themeColor="text1"/>
                <w:sz w:val="16"/>
                <w:szCs w:val="16"/>
                <w:lang w:val="en-ZA"/>
              </w:rPr>
              <w:t>Caffeine</w:t>
            </w:r>
          </w:p>
        </w:tc>
        <w:tc>
          <w:tcPr>
            <w:tcW w:w="0" w:type="auto"/>
            <w:tcBorders>
              <w:top w:val="single" w:sz="12" w:space="0" w:color="auto"/>
              <w:bottom w:val="single" w:sz="12" w:space="0" w:color="auto"/>
            </w:tcBorders>
            <w:shd w:val="clear" w:color="auto" w:fill="auto"/>
            <w:noWrap/>
            <w:hideMark/>
          </w:tcPr>
          <w:p w14:paraId="004549B8" w14:textId="77777777" w:rsidR="00601168" w:rsidRPr="003A2A60" w:rsidRDefault="00601168" w:rsidP="0016122E">
            <w:pPr>
              <w:spacing w:after="160" w:line="360" w:lineRule="auto"/>
              <w:jc w:val="both"/>
              <w:rPr>
                <w:rFonts w:ascii="Arial" w:eastAsia="Calibri" w:hAnsi="Arial" w:cs="Arial"/>
                <w:b/>
                <w:color w:val="000000" w:themeColor="text1"/>
                <w:sz w:val="16"/>
                <w:szCs w:val="16"/>
                <w:lang w:val="en-ZA"/>
              </w:rPr>
            </w:pPr>
          </w:p>
        </w:tc>
        <w:tc>
          <w:tcPr>
            <w:tcW w:w="0" w:type="auto"/>
            <w:gridSpan w:val="4"/>
            <w:tcBorders>
              <w:top w:val="single" w:sz="12" w:space="0" w:color="auto"/>
              <w:bottom w:val="single" w:sz="12" w:space="0" w:color="auto"/>
            </w:tcBorders>
            <w:shd w:val="clear" w:color="auto" w:fill="auto"/>
            <w:noWrap/>
            <w:hideMark/>
          </w:tcPr>
          <w:p w14:paraId="5FCE244A" w14:textId="05D0463A" w:rsidR="00601168" w:rsidRPr="003A2A60" w:rsidRDefault="00601168" w:rsidP="0016122E">
            <w:pPr>
              <w:spacing w:after="160" w:line="360" w:lineRule="auto"/>
              <w:jc w:val="center"/>
              <w:rPr>
                <w:rFonts w:ascii="Arial" w:eastAsia="Calibri" w:hAnsi="Arial" w:cs="Arial"/>
                <w:b/>
                <w:color w:val="000000" w:themeColor="text1"/>
                <w:sz w:val="16"/>
                <w:szCs w:val="16"/>
                <w:lang w:val="en-ZA"/>
              </w:rPr>
            </w:pPr>
            <w:r w:rsidRPr="003A2A60">
              <w:rPr>
                <w:rFonts w:ascii="Arial" w:eastAsia="Calibri" w:hAnsi="Arial" w:cs="Arial"/>
                <w:b/>
                <w:color w:val="000000" w:themeColor="text1"/>
                <w:sz w:val="16"/>
                <w:szCs w:val="16"/>
                <w:lang w:val="en-ZA"/>
              </w:rPr>
              <w:t>Diamorphine</w:t>
            </w:r>
          </w:p>
        </w:tc>
        <w:tc>
          <w:tcPr>
            <w:tcW w:w="0" w:type="auto"/>
            <w:tcBorders>
              <w:top w:val="single" w:sz="12" w:space="0" w:color="auto"/>
              <w:bottom w:val="single" w:sz="12" w:space="0" w:color="auto"/>
            </w:tcBorders>
            <w:shd w:val="clear" w:color="auto" w:fill="auto"/>
            <w:noWrap/>
            <w:hideMark/>
          </w:tcPr>
          <w:p w14:paraId="0253228C" w14:textId="77777777" w:rsidR="00601168" w:rsidRPr="003A2A60" w:rsidRDefault="00601168" w:rsidP="0016122E">
            <w:pPr>
              <w:spacing w:after="160" w:line="360" w:lineRule="auto"/>
              <w:jc w:val="both"/>
              <w:rPr>
                <w:rFonts w:ascii="Arial" w:eastAsia="Calibri" w:hAnsi="Arial" w:cs="Arial"/>
                <w:b/>
                <w:color w:val="000000" w:themeColor="text1"/>
                <w:sz w:val="16"/>
                <w:szCs w:val="16"/>
                <w:lang w:val="en-ZA"/>
              </w:rPr>
            </w:pPr>
          </w:p>
        </w:tc>
        <w:tc>
          <w:tcPr>
            <w:tcW w:w="0" w:type="auto"/>
            <w:gridSpan w:val="3"/>
            <w:tcBorders>
              <w:top w:val="single" w:sz="12" w:space="0" w:color="auto"/>
              <w:bottom w:val="single" w:sz="12" w:space="0" w:color="auto"/>
            </w:tcBorders>
            <w:shd w:val="clear" w:color="auto" w:fill="auto"/>
            <w:noWrap/>
            <w:hideMark/>
          </w:tcPr>
          <w:p w14:paraId="6E9CA2EA" w14:textId="33432CBF" w:rsidR="00601168" w:rsidRPr="003A2A60" w:rsidRDefault="00601168" w:rsidP="0016122E">
            <w:pPr>
              <w:spacing w:after="160" w:line="360" w:lineRule="auto"/>
              <w:jc w:val="center"/>
              <w:rPr>
                <w:rFonts w:ascii="Arial" w:eastAsia="Calibri" w:hAnsi="Arial" w:cs="Arial"/>
                <w:b/>
                <w:color w:val="000000" w:themeColor="text1"/>
                <w:sz w:val="16"/>
                <w:szCs w:val="16"/>
                <w:lang w:val="en-ZA"/>
              </w:rPr>
            </w:pPr>
            <w:r w:rsidRPr="003A2A60">
              <w:rPr>
                <w:rFonts w:ascii="Arial" w:eastAsia="Calibri" w:hAnsi="Arial" w:cs="Arial"/>
                <w:b/>
                <w:color w:val="000000" w:themeColor="text1"/>
                <w:sz w:val="16"/>
                <w:szCs w:val="16"/>
                <w:lang w:val="en-ZA"/>
              </w:rPr>
              <w:t>∆</w:t>
            </w:r>
            <w:r w:rsidRPr="003A2A60">
              <w:rPr>
                <w:rFonts w:ascii="Arial" w:eastAsia="Calibri" w:hAnsi="Arial" w:cs="Arial"/>
                <w:b/>
                <w:color w:val="000000" w:themeColor="text1"/>
                <w:sz w:val="16"/>
                <w:szCs w:val="16"/>
                <w:vertAlign w:val="superscript"/>
                <w:lang w:val="en-ZA"/>
              </w:rPr>
              <w:t>9</w:t>
            </w:r>
            <w:r w:rsidRPr="003A2A60">
              <w:rPr>
                <w:rFonts w:ascii="Arial" w:eastAsia="Calibri" w:hAnsi="Arial" w:cs="Arial"/>
                <w:b/>
                <w:color w:val="000000" w:themeColor="text1"/>
                <w:sz w:val="16"/>
                <w:szCs w:val="16"/>
                <w:lang w:val="en-ZA"/>
              </w:rPr>
              <w:t>-THC</w:t>
            </w:r>
          </w:p>
        </w:tc>
        <w:tc>
          <w:tcPr>
            <w:tcW w:w="0" w:type="auto"/>
            <w:tcBorders>
              <w:top w:val="single" w:sz="12" w:space="0" w:color="auto"/>
              <w:bottom w:val="single" w:sz="12" w:space="0" w:color="auto"/>
            </w:tcBorders>
            <w:shd w:val="clear" w:color="auto" w:fill="auto"/>
            <w:noWrap/>
            <w:hideMark/>
          </w:tcPr>
          <w:p w14:paraId="0A22E5E5" w14:textId="77777777" w:rsidR="00601168" w:rsidRPr="003A2A60" w:rsidRDefault="00601168" w:rsidP="0016122E">
            <w:pPr>
              <w:spacing w:after="160" w:line="360" w:lineRule="auto"/>
              <w:jc w:val="both"/>
              <w:rPr>
                <w:rFonts w:ascii="Arial" w:eastAsia="Calibri" w:hAnsi="Arial" w:cs="Arial"/>
                <w:b/>
                <w:color w:val="000000" w:themeColor="text1"/>
                <w:sz w:val="16"/>
                <w:szCs w:val="16"/>
                <w:lang w:val="en-ZA"/>
              </w:rPr>
            </w:pPr>
          </w:p>
        </w:tc>
        <w:tc>
          <w:tcPr>
            <w:tcW w:w="0" w:type="auto"/>
            <w:tcBorders>
              <w:top w:val="single" w:sz="12" w:space="0" w:color="auto"/>
              <w:bottom w:val="single" w:sz="12" w:space="0" w:color="auto"/>
            </w:tcBorders>
            <w:shd w:val="clear" w:color="auto" w:fill="auto"/>
            <w:noWrap/>
            <w:hideMark/>
          </w:tcPr>
          <w:p w14:paraId="77DA3178" w14:textId="77777777" w:rsidR="00601168" w:rsidRPr="003A2A60" w:rsidRDefault="00601168" w:rsidP="0016122E">
            <w:pPr>
              <w:spacing w:after="160" w:line="360" w:lineRule="auto"/>
              <w:jc w:val="both"/>
              <w:rPr>
                <w:rFonts w:ascii="Arial" w:eastAsia="Calibri" w:hAnsi="Arial" w:cs="Arial"/>
                <w:b/>
                <w:color w:val="000000" w:themeColor="text1"/>
                <w:sz w:val="16"/>
                <w:szCs w:val="16"/>
                <w:lang w:val="en-ZA"/>
              </w:rPr>
            </w:pPr>
          </w:p>
        </w:tc>
      </w:tr>
      <w:tr w:rsidR="00601168" w:rsidRPr="003744BD" w14:paraId="4288FC33" w14:textId="77777777" w:rsidTr="007D78CC">
        <w:trPr>
          <w:trHeight w:val="300"/>
        </w:trPr>
        <w:tc>
          <w:tcPr>
            <w:tcW w:w="0" w:type="auto"/>
            <w:tcBorders>
              <w:top w:val="single" w:sz="12" w:space="0" w:color="auto"/>
              <w:bottom w:val="single" w:sz="12" w:space="0" w:color="auto"/>
            </w:tcBorders>
            <w:shd w:val="clear" w:color="auto" w:fill="auto"/>
            <w:noWrap/>
          </w:tcPr>
          <w:p w14:paraId="4BF5C568" w14:textId="77777777" w:rsidR="005E55DB" w:rsidRPr="003744BD" w:rsidRDefault="005E55DB" w:rsidP="0016122E">
            <w:pPr>
              <w:spacing w:after="160" w:line="360" w:lineRule="auto"/>
              <w:jc w:val="both"/>
              <w:rPr>
                <w:rFonts w:ascii="Arial" w:eastAsia="Calibri" w:hAnsi="Arial" w:cs="Arial"/>
                <w:b/>
                <w:color w:val="000000" w:themeColor="text1"/>
                <w:sz w:val="14"/>
                <w:szCs w:val="14"/>
                <w:lang w:val="en-ZA"/>
              </w:rPr>
            </w:pPr>
          </w:p>
        </w:tc>
        <w:tc>
          <w:tcPr>
            <w:tcW w:w="0" w:type="auto"/>
            <w:tcBorders>
              <w:top w:val="single" w:sz="12" w:space="0" w:color="auto"/>
              <w:bottom w:val="single" w:sz="12" w:space="0" w:color="auto"/>
            </w:tcBorders>
            <w:shd w:val="clear" w:color="auto" w:fill="auto"/>
            <w:noWrap/>
          </w:tcPr>
          <w:p w14:paraId="2EA31454" w14:textId="77777777" w:rsidR="005E55DB" w:rsidRPr="003744BD" w:rsidRDefault="005E55DB" w:rsidP="0016122E">
            <w:pPr>
              <w:spacing w:after="160" w:line="360" w:lineRule="auto"/>
              <w:jc w:val="both"/>
              <w:rPr>
                <w:rFonts w:ascii="Arial" w:eastAsia="Calibri" w:hAnsi="Arial" w:cs="Arial"/>
                <w:b/>
                <w:color w:val="000000" w:themeColor="text1"/>
                <w:sz w:val="14"/>
                <w:szCs w:val="14"/>
                <w:lang w:val="en-ZA"/>
              </w:rPr>
            </w:pPr>
            <w:r w:rsidRPr="003744BD">
              <w:rPr>
                <w:rFonts w:ascii="Arial" w:eastAsia="Calibri" w:hAnsi="Arial" w:cs="Arial"/>
                <w:b/>
                <w:color w:val="000000" w:themeColor="text1"/>
                <w:sz w:val="14"/>
                <w:szCs w:val="14"/>
                <w:lang w:val="en-ZA"/>
              </w:rPr>
              <w:t>0</w:t>
            </w:r>
          </w:p>
        </w:tc>
        <w:tc>
          <w:tcPr>
            <w:tcW w:w="0" w:type="auto"/>
            <w:tcBorders>
              <w:top w:val="single" w:sz="12" w:space="0" w:color="auto"/>
              <w:bottom w:val="single" w:sz="12" w:space="0" w:color="auto"/>
            </w:tcBorders>
            <w:shd w:val="clear" w:color="auto" w:fill="auto"/>
            <w:noWrap/>
          </w:tcPr>
          <w:p w14:paraId="414FA36C" w14:textId="77777777" w:rsidR="005E55DB" w:rsidRPr="003744BD" w:rsidRDefault="005E55DB" w:rsidP="0016122E">
            <w:pPr>
              <w:spacing w:after="160" w:line="360" w:lineRule="auto"/>
              <w:jc w:val="both"/>
              <w:rPr>
                <w:rFonts w:ascii="Arial" w:eastAsia="Calibri" w:hAnsi="Arial" w:cs="Arial"/>
                <w:b/>
                <w:color w:val="000000" w:themeColor="text1"/>
                <w:sz w:val="14"/>
                <w:szCs w:val="14"/>
                <w:lang w:val="en-ZA"/>
              </w:rPr>
            </w:pPr>
            <w:r w:rsidRPr="003744BD">
              <w:rPr>
                <w:rFonts w:ascii="Arial" w:eastAsia="Calibri" w:hAnsi="Arial" w:cs="Arial"/>
                <w:b/>
                <w:color w:val="000000" w:themeColor="text1"/>
                <w:sz w:val="14"/>
                <w:szCs w:val="14"/>
                <w:lang w:val="en-ZA"/>
              </w:rPr>
              <w:t>24</w:t>
            </w:r>
          </w:p>
        </w:tc>
        <w:tc>
          <w:tcPr>
            <w:tcW w:w="0" w:type="auto"/>
            <w:tcBorders>
              <w:top w:val="single" w:sz="12" w:space="0" w:color="auto"/>
              <w:bottom w:val="single" w:sz="12" w:space="0" w:color="auto"/>
            </w:tcBorders>
            <w:shd w:val="clear" w:color="auto" w:fill="auto"/>
            <w:noWrap/>
          </w:tcPr>
          <w:p w14:paraId="273D35F6" w14:textId="77777777" w:rsidR="005E55DB" w:rsidRPr="003744BD" w:rsidRDefault="005E55DB" w:rsidP="0016122E">
            <w:pPr>
              <w:spacing w:after="160" w:line="360" w:lineRule="auto"/>
              <w:jc w:val="both"/>
              <w:rPr>
                <w:rFonts w:ascii="Arial" w:eastAsia="Calibri" w:hAnsi="Arial" w:cs="Arial"/>
                <w:b/>
                <w:color w:val="000000" w:themeColor="text1"/>
                <w:sz w:val="14"/>
                <w:szCs w:val="14"/>
                <w:lang w:val="en-ZA"/>
              </w:rPr>
            </w:pPr>
            <w:r w:rsidRPr="003744BD">
              <w:rPr>
                <w:rFonts w:ascii="Arial" w:eastAsia="Calibri" w:hAnsi="Arial" w:cs="Arial"/>
                <w:b/>
                <w:color w:val="000000" w:themeColor="text1"/>
                <w:sz w:val="14"/>
                <w:szCs w:val="14"/>
                <w:lang w:val="en-ZA"/>
              </w:rPr>
              <w:t>48</w:t>
            </w:r>
          </w:p>
        </w:tc>
        <w:tc>
          <w:tcPr>
            <w:tcW w:w="0" w:type="auto"/>
            <w:tcBorders>
              <w:top w:val="single" w:sz="12" w:space="0" w:color="auto"/>
              <w:bottom w:val="single" w:sz="12" w:space="0" w:color="auto"/>
            </w:tcBorders>
            <w:shd w:val="clear" w:color="auto" w:fill="auto"/>
            <w:noWrap/>
          </w:tcPr>
          <w:p w14:paraId="724BDC08" w14:textId="77777777" w:rsidR="005E55DB" w:rsidRPr="003744BD" w:rsidRDefault="005E55DB" w:rsidP="0016122E">
            <w:pPr>
              <w:spacing w:after="160" w:line="360" w:lineRule="auto"/>
              <w:jc w:val="both"/>
              <w:rPr>
                <w:rFonts w:ascii="Arial" w:eastAsia="Calibri" w:hAnsi="Arial" w:cs="Arial"/>
                <w:b/>
                <w:color w:val="000000" w:themeColor="text1"/>
                <w:sz w:val="14"/>
                <w:szCs w:val="14"/>
                <w:lang w:val="en-ZA"/>
              </w:rPr>
            </w:pPr>
            <w:r w:rsidRPr="003744BD">
              <w:rPr>
                <w:rFonts w:ascii="Arial" w:eastAsia="Calibri" w:hAnsi="Arial" w:cs="Arial"/>
                <w:b/>
                <w:color w:val="000000" w:themeColor="text1"/>
                <w:sz w:val="14"/>
                <w:szCs w:val="14"/>
                <w:lang w:val="en-ZA"/>
              </w:rPr>
              <w:t>72</w:t>
            </w:r>
          </w:p>
        </w:tc>
        <w:tc>
          <w:tcPr>
            <w:tcW w:w="0" w:type="auto"/>
            <w:tcBorders>
              <w:top w:val="single" w:sz="12" w:space="0" w:color="auto"/>
              <w:bottom w:val="single" w:sz="12" w:space="0" w:color="auto"/>
            </w:tcBorders>
            <w:shd w:val="clear" w:color="auto" w:fill="auto"/>
            <w:noWrap/>
          </w:tcPr>
          <w:p w14:paraId="63450B8D" w14:textId="77777777" w:rsidR="005E55DB" w:rsidRPr="003744BD" w:rsidRDefault="005E55DB" w:rsidP="0016122E">
            <w:pPr>
              <w:spacing w:after="160" w:line="360" w:lineRule="auto"/>
              <w:jc w:val="both"/>
              <w:rPr>
                <w:rFonts w:ascii="Arial" w:eastAsia="Calibri" w:hAnsi="Arial" w:cs="Arial"/>
                <w:b/>
                <w:color w:val="000000" w:themeColor="text1"/>
                <w:sz w:val="14"/>
                <w:szCs w:val="14"/>
                <w:lang w:val="en-ZA"/>
              </w:rPr>
            </w:pPr>
            <w:r w:rsidRPr="003744BD">
              <w:rPr>
                <w:rFonts w:ascii="Arial" w:eastAsia="Calibri" w:hAnsi="Arial" w:cs="Arial"/>
                <w:b/>
                <w:color w:val="000000" w:themeColor="text1"/>
                <w:sz w:val="14"/>
                <w:szCs w:val="14"/>
                <w:lang w:val="en-ZA"/>
              </w:rPr>
              <w:t>%RSD</w:t>
            </w:r>
          </w:p>
        </w:tc>
        <w:tc>
          <w:tcPr>
            <w:tcW w:w="0" w:type="auto"/>
            <w:tcBorders>
              <w:top w:val="single" w:sz="12" w:space="0" w:color="auto"/>
              <w:bottom w:val="single" w:sz="12" w:space="0" w:color="auto"/>
            </w:tcBorders>
            <w:shd w:val="clear" w:color="auto" w:fill="auto"/>
            <w:noWrap/>
          </w:tcPr>
          <w:p w14:paraId="6AD908BF" w14:textId="77777777" w:rsidR="005E55DB" w:rsidRPr="003744BD" w:rsidRDefault="005E55DB" w:rsidP="0016122E">
            <w:pPr>
              <w:spacing w:after="160" w:line="360" w:lineRule="auto"/>
              <w:jc w:val="both"/>
              <w:rPr>
                <w:rFonts w:ascii="Arial" w:eastAsia="Calibri" w:hAnsi="Arial" w:cs="Arial"/>
                <w:b/>
                <w:color w:val="000000" w:themeColor="text1"/>
                <w:sz w:val="14"/>
                <w:szCs w:val="14"/>
                <w:lang w:val="en-ZA"/>
              </w:rPr>
            </w:pPr>
            <w:r w:rsidRPr="003744BD">
              <w:rPr>
                <w:rFonts w:ascii="Arial" w:eastAsia="Calibri" w:hAnsi="Arial" w:cs="Arial"/>
                <w:b/>
                <w:color w:val="000000" w:themeColor="text1"/>
                <w:sz w:val="14"/>
                <w:szCs w:val="14"/>
                <w:lang w:val="en-ZA"/>
              </w:rPr>
              <w:t>0</w:t>
            </w:r>
          </w:p>
        </w:tc>
        <w:tc>
          <w:tcPr>
            <w:tcW w:w="0" w:type="auto"/>
            <w:tcBorders>
              <w:top w:val="single" w:sz="12" w:space="0" w:color="auto"/>
              <w:bottom w:val="single" w:sz="12" w:space="0" w:color="auto"/>
            </w:tcBorders>
            <w:shd w:val="clear" w:color="auto" w:fill="auto"/>
            <w:noWrap/>
          </w:tcPr>
          <w:p w14:paraId="23317023" w14:textId="77777777" w:rsidR="005E55DB" w:rsidRPr="003744BD" w:rsidRDefault="005E55DB" w:rsidP="0016122E">
            <w:pPr>
              <w:spacing w:after="160" w:line="360" w:lineRule="auto"/>
              <w:jc w:val="both"/>
              <w:rPr>
                <w:rFonts w:ascii="Arial" w:eastAsia="Calibri" w:hAnsi="Arial" w:cs="Arial"/>
                <w:b/>
                <w:color w:val="000000" w:themeColor="text1"/>
                <w:sz w:val="14"/>
                <w:szCs w:val="14"/>
                <w:lang w:val="en-ZA"/>
              </w:rPr>
            </w:pPr>
            <w:r w:rsidRPr="003744BD">
              <w:rPr>
                <w:rFonts w:ascii="Arial" w:eastAsia="Calibri" w:hAnsi="Arial" w:cs="Arial"/>
                <w:b/>
                <w:color w:val="000000" w:themeColor="text1"/>
                <w:sz w:val="14"/>
                <w:szCs w:val="14"/>
                <w:lang w:val="en-ZA"/>
              </w:rPr>
              <w:t>24</w:t>
            </w:r>
          </w:p>
        </w:tc>
        <w:tc>
          <w:tcPr>
            <w:tcW w:w="0" w:type="auto"/>
            <w:tcBorders>
              <w:top w:val="single" w:sz="12" w:space="0" w:color="auto"/>
              <w:bottom w:val="single" w:sz="12" w:space="0" w:color="auto"/>
            </w:tcBorders>
            <w:shd w:val="clear" w:color="auto" w:fill="auto"/>
            <w:noWrap/>
          </w:tcPr>
          <w:p w14:paraId="3AA7C628" w14:textId="77777777" w:rsidR="005E55DB" w:rsidRPr="003744BD" w:rsidRDefault="005E55DB" w:rsidP="0016122E">
            <w:pPr>
              <w:spacing w:after="160" w:line="360" w:lineRule="auto"/>
              <w:jc w:val="both"/>
              <w:rPr>
                <w:rFonts w:ascii="Arial" w:eastAsia="Calibri" w:hAnsi="Arial" w:cs="Arial"/>
                <w:b/>
                <w:color w:val="000000" w:themeColor="text1"/>
                <w:sz w:val="14"/>
                <w:szCs w:val="14"/>
                <w:lang w:val="en-ZA"/>
              </w:rPr>
            </w:pPr>
            <w:r w:rsidRPr="003744BD">
              <w:rPr>
                <w:rFonts w:ascii="Arial" w:eastAsia="Calibri" w:hAnsi="Arial" w:cs="Arial"/>
                <w:b/>
                <w:color w:val="000000" w:themeColor="text1"/>
                <w:sz w:val="14"/>
                <w:szCs w:val="14"/>
                <w:lang w:val="en-ZA"/>
              </w:rPr>
              <w:t>48</w:t>
            </w:r>
          </w:p>
        </w:tc>
        <w:tc>
          <w:tcPr>
            <w:tcW w:w="0" w:type="auto"/>
            <w:tcBorders>
              <w:top w:val="single" w:sz="12" w:space="0" w:color="auto"/>
              <w:bottom w:val="single" w:sz="12" w:space="0" w:color="auto"/>
            </w:tcBorders>
            <w:shd w:val="clear" w:color="auto" w:fill="auto"/>
            <w:noWrap/>
          </w:tcPr>
          <w:p w14:paraId="5169C565" w14:textId="77777777" w:rsidR="005E55DB" w:rsidRPr="003744BD" w:rsidRDefault="005E55DB" w:rsidP="0016122E">
            <w:pPr>
              <w:spacing w:after="160" w:line="360" w:lineRule="auto"/>
              <w:jc w:val="both"/>
              <w:rPr>
                <w:rFonts w:ascii="Arial" w:eastAsia="Calibri" w:hAnsi="Arial" w:cs="Arial"/>
                <w:b/>
                <w:color w:val="000000" w:themeColor="text1"/>
                <w:sz w:val="14"/>
                <w:szCs w:val="14"/>
                <w:lang w:val="en-ZA"/>
              </w:rPr>
            </w:pPr>
            <w:r w:rsidRPr="003744BD">
              <w:rPr>
                <w:rFonts w:ascii="Arial" w:eastAsia="Calibri" w:hAnsi="Arial" w:cs="Arial"/>
                <w:b/>
                <w:color w:val="000000" w:themeColor="text1"/>
                <w:sz w:val="14"/>
                <w:szCs w:val="14"/>
                <w:lang w:val="en-ZA"/>
              </w:rPr>
              <w:t>72</w:t>
            </w:r>
          </w:p>
        </w:tc>
        <w:tc>
          <w:tcPr>
            <w:tcW w:w="0" w:type="auto"/>
            <w:tcBorders>
              <w:top w:val="single" w:sz="12" w:space="0" w:color="auto"/>
              <w:bottom w:val="single" w:sz="12" w:space="0" w:color="auto"/>
            </w:tcBorders>
            <w:shd w:val="clear" w:color="auto" w:fill="auto"/>
            <w:noWrap/>
          </w:tcPr>
          <w:p w14:paraId="61C69DDD" w14:textId="77777777" w:rsidR="005E55DB" w:rsidRPr="003744BD" w:rsidRDefault="005E55DB" w:rsidP="0016122E">
            <w:pPr>
              <w:spacing w:after="160" w:line="360" w:lineRule="auto"/>
              <w:jc w:val="both"/>
              <w:rPr>
                <w:rFonts w:ascii="Arial" w:eastAsia="Calibri" w:hAnsi="Arial" w:cs="Arial"/>
                <w:b/>
                <w:color w:val="000000" w:themeColor="text1"/>
                <w:sz w:val="14"/>
                <w:szCs w:val="14"/>
                <w:lang w:val="en-ZA"/>
              </w:rPr>
            </w:pPr>
            <w:r w:rsidRPr="003744BD">
              <w:rPr>
                <w:rFonts w:ascii="Arial" w:eastAsia="Calibri" w:hAnsi="Arial" w:cs="Arial"/>
                <w:b/>
                <w:color w:val="000000" w:themeColor="text1"/>
                <w:sz w:val="14"/>
                <w:szCs w:val="14"/>
                <w:lang w:val="en-ZA"/>
              </w:rPr>
              <w:t>%RSD</w:t>
            </w:r>
          </w:p>
        </w:tc>
        <w:tc>
          <w:tcPr>
            <w:tcW w:w="0" w:type="auto"/>
            <w:tcBorders>
              <w:top w:val="single" w:sz="12" w:space="0" w:color="auto"/>
              <w:bottom w:val="single" w:sz="12" w:space="0" w:color="auto"/>
            </w:tcBorders>
            <w:shd w:val="clear" w:color="auto" w:fill="auto"/>
            <w:noWrap/>
          </w:tcPr>
          <w:p w14:paraId="1BA30FE3" w14:textId="77777777" w:rsidR="005E55DB" w:rsidRPr="003744BD" w:rsidRDefault="005E55DB" w:rsidP="0016122E">
            <w:pPr>
              <w:spacing w:after="160" w:line="360" w:lineRule="auto"/>
              <w:jc w:val="both"/>
              <w:rPr>
                <w:rFonts w:ascii="Arial" w:eastAsia="Calibri" w:hAnsi="Arial" w:cs="Arial"/>
                <w:b/>
                <w:color w:val="000000" w:themeColor="text1"/>
                <w:sz w:val="14"/>
                <w:szCs w:val="14"/>
                <w:lang w:val="en-ZA"/>
              </w:rPr>
            </w:pPr>
            <w:r w:rsidRPr="003744BD">
              <w:rPr>
                <w:rFonts w:ascii="Arial" w:eastAsia="Calibri" w:hAnsi="Arial" w:cs="Arial"/>
                <w:b/>
                <w:color w:val="000000" w:themeColor="text1"/>
                <w:sz w:val="14"/>
                <w:szCs w:val="14"/>
                <w:lang w:val="en-ZA"/>
              </w:rPr>
              <w:t>0</w:t>
            </w:r>
          </w:p>
        </w:tc>
        <w:tc>
          <w:tcPr>
            <w:tcW w:w="0" w:type="auto"/>
            <w:tcBorders>
              <w:top w:val="single" w:sz="12" w:space="0" w:color="auto"/>
              <w:bottom w:val="single" w:sz="12" w:space="0" w:color="auto"/>
            </w:tcBorders>
            <w:shd w:val="clear" w:color="auto" w:fill="auto"/>
            <w:noWrap/>
          </w:tcPr>
          <w:p w14:paraId="59A540D2" w14:textId="77777777" w:rsidR="005E55DB" w:rsidRPr="003744BD" w:rsidRDefault="005E55DB" w:rsidP="0016122E">
            <w:pPr>
              <w:spacing w:after="160" w:line="360" w:lineRule="auto"/>
              <w:jc w:val="both"/>
              <w:rPr>
                <w:rFonts w:ascii="Arial" w:eastAsia="Calibri" w:hAnsi="Arial" w:cs="Arial"/>
                <w:b/>
                <w:color w:val="000000" w:themeColor="text1"/>
                <w:sz w:val="14"/>
                <w:szCs w:val="14"/>
                <w:lang w:val="en-ZA"/>
              </w:rPr>
            </w:pPr>
            <w:r w:rsidRPr="003744BD">
              <w:rPr>
                <w:rFonts w:ascii="Arial" w:eastAsia="Calibri" w:hAnsi="Arial" w:cs="Arial"/>
                <w:b/>
                <w:color w:val="000000" w:themeColor="text1"/>
                <w:sz w:val="14"/>
                <w:szCs w:val="14"/>
                <w:lang w:val="en-ZA"/>
              </w:rPr>
              <w:t>24</w:t>
            </w:r>
          </w:p>
        </w:tc>
        <w:tc>
          <w:tcPr>
            <w:tcW w:w="0" w:type="auto"/>
            <w:tcBorders>
              <w:top w:val="single" w:sz="12" w:space="0" w:color="auto"/>
              <w:bottom w:val="single" w:sz="12" w:space="0" w:color="auto"/>
            </w:tcBorders>
            <w:shd w:val="clear" w:color="auto" w:fill="auto"/>
            <w:noWrap/>
          </w:tcPr>
          <w:p w14:paraId="33B48B76" w14:textId="77777777" w:rsidR="005E55DB" w:rsidRPr="003744BD" w:rsidRDefault="005E55DB" w:rsidP="0016122E">
            <w:pPr>
              <w:spacing w:after="160" w:line="360" w:lineRule="auto"/>
              <w:jc w:val="both"/>
              <w:rPr>
                <w:rFonts w:ascii="Arial" w:eastAsia="Calibri" w:hAnsi="Arial" w:cs="Arial"/>
                <w:b/>
                <w:color w:val="000000" w:themeColor="text1"/>
                <w:sz w:val="14"/>
                <w:szCs w:val="14"/>
                <w:lang w:val="en-ZA"/>
              </w:rPr>
            </w:pPr>
            <w:r w:rsidRPr="003744BD">
              <w:rPr>
                <w:rFonts w:ascii="Arial" w:eastAsia="Calibri" w:hAnsi="Arial" w:cs="Arial"/>
                <w:b/>
                <w:color w:val="000000" w:themeColor="text1"/>
                <w:sz w:val="14"/>
                <w:szCs w:val="14"/>
                <w:lang w:val="en-ZA"/>
              </w:rPr>
              <w:t>48</w:t>
            </w:r>
          </w:p>
        </w:tc>
        <w:tc>
          <w:tcPr>
            <w:tcW w:w="0" w:type="auto"/>
            <w:tcBorders>
              <w:top w:val="single" w:sz="12" w:space="0" w:color="auto"/>
              <w:bottom w:val="single" w:sz="12" w:space="0" w:color="auto"/>
            </w:tcBorders>
            <w:shd w:val="clear" w:color="auto" w:fill="auto"/>
            <w:noWrap/>
          </w:tcPr>
          <w:p w14:paraId="3056F92C" w14:textId="77777777" w:rsidR="005E55DB" w:rsidRPr="003744BD" w:rsidRDefault="005E55DB" w:rsidP="0016122E">
            <w:pPr>
              <w:spacing w:after="160" w:line="360" w:lineRule="auto"/>
              <w:jc w:val="both"/>
              <w:rPr>
                <w:rFonts w:ascii="Arial" w:eastAsia="Calibri" w:hAnsi="Arial" w:cs="Arial"/>
                <w:b/>
                <w:color w:val="000000" w:themeColor="text1"/>
                <w:sz w:val="14"/>
                <w:szCs w:val="14"/>
                <w:lang w:val="en-ZA"/>
              </w:rPr>
            </w:pPr>
            <w:r w:rsidRPr="003744BD">
              <w:rPr>
                <w:rFonts w:ascii="Arial" w:eastAsia="Calibri" w:hAnsi="Arial" w:cs="Arial"/>
                <w:b/>
                <w:color w:val="000000" w:themeColor="text1"/>
                <w:sz w:val="14"/>
                <w:szCs w:val="14"/>
                <w:lang w:val="en-ZA"/>
              </w:rPr>
              <w:t>72</w:t>
            </w:r>
          </w:p>
        </w:tc>
        <w:tc>
          <w:tcPr>
            <w:tcW w:w="0" w:type="auto"/>
            <w:tcBorders>
              <w:top w:val="single" w:sz="12" w:space="0" w:color="auto"/>
              <w:bottom w:val="single" w:sz="12" w:space="0" w:color="auto"/>
            </w:tcBorders>
            <w:shd w:val="clear" w:color="auto" w:fill="auto"/>
            <w:noWrap/>
          </w:tcPr>
          <w:p w14:paraId="13A1D585" w14:textId="77777777" w:rsidR="005E55DB" w:rsidRPr="003744BD" w:rsidRDefault="005E55DB" w:rsidP="0016122E">
            <w:pPr>
              <w:spacing w:after="160" w:line="360" w:lineRule="auto"/>
              <w:jc w:val="both"/>
              <w:rPr>
                <w:rFonts w:ascii="Arial" w:eastAsia="Calibri" w:hAnsi="Arial" w:cs="Arial"/>
                <w:b/>
                <w:color w:val="000000" w:themeColor="text1"/>
                <w:sz w:val="14"/>
                <w:szCs w:val="14"/>
                <w:lang w:val="en-ZA"/>
              </w:rPr>
            </w:pPr>
            <w:r w:rsidRPr="003744BD">
              <w:rPr>
                <w:rFonts w:ascii="Arial" w:eastAsia="Calibri" w:hAnsi="Arial" w:cs="Arial"/>
                <w:b/>
                <w:color w:val="000000" w:themeColor="text1"/>
                <w:sz w:val="14"/>
                <w:szCs w:val="14"/>
                <w:lang w:val="en-ZA"/>
              </w:rPr>
              <w:t>%RSD</w:t>
            </w:r>
          </w:p>
        </w:tc>
      </w:tr>
      <w:tr w:rsidR="00601168" w:rsidRPr="003744BD" w14:paraId="5C0B894A" w14:textId="77777777" w:rsidTr="007D78CC">
        <w:trPr>
          <w:trHeight w:val="300"/>
        </w:trPr>
        <w:tc>
          <w:tcPr>
            <w:tcW w:w="0" w:type="auto"/>
            <w:tcBorders>
              <w:top w:val="single" w:sz="12" w:space="0" w:color="auto"/>
            </w:tcBorders>
            <w:shd w:val="clear" w:color="auto" w:fill="auto"/>
            <w:noWrap/>
            <w:hideMark/>
          </w:tcPr>
          <w:p w14:paraId="1C4002CD" w14:textId="31063D35" w:rsidR="005E55DB" w:rsidRPr="003744BD" w:rsidRDefault="000946CA" w:rsidP="0016122E">
            <w:pPr>
              <w:spacing w:after="160" w:line="360" w:lineRule="auto"/>
              <w:jc w:val="both"/>
              <w:rPr>
                <w:rFonts w:ascii="Arial" w:eastAsia="Calibri" w:hAnsi="Arial" w:cs="Arial"/>
                <w:color w:val="000000" w:themeColor="text1"/>
                <w:sz w:val="14"/>
                <w:szCs w:val="14"/>
                <w:lang w:val="en-ZA"/>
              </w:rPr>
            </w:pPr>
            <w:r w:rsidRPr="003744BD">
              <w:rPr>
                <w:rFonts w:ascii="Arial" w:eastAsia="Calibri" w:hAnsi="Arial" w:cs="Arial"/>
                <w:color w:val="000000" w:themeColor="text1"/>
                <w:sz w:val="14"/>
                <w:szCs w:val="14"/>
                <w:lang w:val="en-ZA"/>
              </w:rPr>
              <w:t>2514202B</w:t>
            </w:r>
          </w:p>
        </w:tc>
        <w:tc>
          <w:tcPr>
            <w:tcW w:w="0" w:type="auto"/>
            <w:noWrap/>
            <w:hideMark/>
          </w:tcPr>
          <w:p w14:paraId="5EB836E1" w14:textId="77777777" w:rsidR="005E55DB" w:rsidRPr="003744BD" w:rsidRDefault="005E55DB" w:rsidP="0016122E">
            <w:pPr>
              <w:spacing w:after="160" w:line="360" w:lineRule="auto"/>
              <w:jc w:val="both"/>
              <w:rPr>
                <w:rFonts w:ascii="Arial" w:eastAsia="Calibri" w:hAnsi="Arial" w:cs="Arial"/>
                <w:color w:val="000000" w:themeColor="text1"/>
                <w:sz w:val="14"/>
                <w:szCs w:val="14"/>
                <w:lang w:val="en-ZA"/>
              </w:rPr>
            </w:pPr>
            <w:r w:rsidRPr="003744BD">
              <w:rPr>
                <w:rFonts w:ascii="Arial" w:eastAsia="Calibri" w:hAnsi="Arial" w:cs="Arial"/>
                <w:color w:val="000000" w:themeColor="text1"/>
                <w:sz w:val="14"/>
                <w:szCs w:val="14"/>
                <w:lang w:val="en-ZA"/>
              </w:rPr>
              <w:t>&lt; QL</w:t>
            </w:r>
          </w:p>
        </w:tc>
        <w:tc>
          <w:tcPr>
            <w:tcW w:w="0" w:type="auto"/>
            <w:noWrap/>
            <w:hideMark/>
          </w:tcPr>
          <w:p w14:paraId="5C1E4FB8" w14:textId="77777777" w:rsidR="005E55DB" w:rsidRPr="003744BD" w:rsidRDefault="005E55DB" w:rsidP="0016122E">
            <w:pPr>
              <w:spacing w:after="160" w:line="360" w:lineRule="auto"/>
              <w:jc w:val="both"/>
              <w:rPr>
                <w:rFonts w:ascii="Arial" w:eastAsia="Calibri" w:hAnsi="Arial" w:cs="Arial"/>
                <w:color w:val="000000" w:themeColor="text1"/>
                <w:sz w:val="14"/>
                <w:szCs w:val="14"/>
                <w:lang w:val="en-ZA"/>
              </w:rPr>
            </w:pPr>
            <w:r w:rsidRPr="003744BD">
              <w:rPr>
                <w:rFonts w:ascii="Arial" w:eastAsia="Calibri" w:hAnsi="Arial" w:cs="Arial"/>
                <w:color w:val="000000" w:themeColor="text1"/>
                <w:sz w:val="14"/>
                <w:szCs w:val="14"/>
                <w:lang w:val="en-ZA"/>
              </w:rPr>
              <w:t>&lt; QL</w:t>
            </w:r>
          </w:p>
        </w:tc>
        <w:tc>
          <w:tcPr>
            <w:tcW w:w="0" w:type="auto"/>
            <w:noWrap/>
            <w:hideMark/>
          </w:tcPr>
          <w:p w14:paraId="11E53AF6" w14:textId="77777777" w:rsidR="005E55DB" w:rsidRPr="003744BD" w:rsidRDefault="005E55DB" w:rsidP="0016122E">
            <w:pPr>
              <w:spacing w:after="160" w:line="360" w:lineRule="auto"/>
              <w:jc w:val="both"/>
              <w:rPr>
                <w:rFonts w:ascii="Arial" w:eastAsia="Calibri" w:hAnsi="Arial" w:cs="Arial"/>
                <w:color w:val="000000" w:themeColor="text1"/>
                <w:sz w:val="14"/>
                <w:szCs w:val="14"/>
                <w:lang w:val="en-ZA"/>
              </w:rPr>
            </w:pPr>
            <w:r w:rsidRPr="003744BD">
              <w:rPr>
                <w:rFonts w:ascii="Arial" w:eastAsia="Calibri" w:hAnsi="Arial" w:cs="Arial"/>
                <w:color w:val="000000" w:themeColor="text1"/>
                <w:sz w:val="14"/>
                <w:szCs w:val="14"/>
                <w:lang w:val="en-ZA"/>
              </w:rPr>
              <w:t>&lt; QL</w:t>
            </w:r>
          </w:p>
        </w:tc>
        <w:tc>
          <w:tcPr>
            <w:tcW w:w="0" w:type="auto"/>
            <w:noWrap/>
            <w:hideMark/>
          </w:tcPr>
          <w:p w14:paraId="22139F2C" w14:textId="77777777" w:rsidR="005E55DB" w:rsidRPr="003744BD" w:rsidRDefault="005E55DB" w:rsidP="0016122E">
            <w:pPr>
              <w:spacing w:after="160" w:line="360" w:lineRule="auto"/>
              <w:jc w:val="both"/>
              <w:rPr>
                <w:rFonts w:ascii="Arial" w:eastAsia="Calibri" w:hAnsi="Arial" w:cs="Arial"/>
                <w:color w:val="000000" w:themeColor="text1"/>
                <w:sz w:val="14"/>
                <w:szCs w:val="14"/>
                <w:lang w:val="en-ZA"/>
              </w:rPr>
            </w:pPr>
            <w:r w:rsidRPr="003744BD">
              <w:rPr>
                <w:rFonts w:ascii="Arial" w:eastAsia="Calibri" w:hAnsi="Arial" w:cs="Arial"/>
                <w:color w:val="000000" w:themeColor="text1"/>
                <w:sz w:val="14"/>
                <w:szCs w:val="14"/>
                <w:lang w:val="en-ZA"/>
              </w:rPr>
              <w:t>&lt; QL</w:t>
            </w:r>
          </w:p>
        </w:tc>
        <w:tc>
          <w:tcPr>
            <w:tcW w:w="0" w:type="auto"/>
            <w:noWrap/>
            <w:hideMark/>
          </w:tcPr>
          <w:p w14:paraId="65CE307A" w14:textId="77777777" w:rsidR="005E55DB" w:rsidRPr="003744BD" w:rsidRDefault="005E55DB" w:rsidP="0016122E">
            <w:pPr>
              <w:spacing w:after="160" w:line="360" w:lineRule="auto"/>
              <w:jc w:val="both"/>
              <w:rPr>
                <w:rFonts w:ascii="Arial" w:eastAsia="Calibri" w:hAnsi="Arial" w:cs="Arial"/>
                <w:b/>
                <w:color w:val="000000" w:themeColor="text1"/>
                <w:sz w:val="14"/>
                <w:szCs w:val="14"/>
                <w:lang w:val="en-ZA"/>
              </w:rPr>
            </w:pPr>
            <w:r w:rsidRPr="003744BD">
              <w:rPr>
                <w:rFonts w:ascii="Arial" w:eastAsia="Calibri" w:hAnsi="Arial" w:cs="Arial"/>
                <w:b/>
                <w:color w:val="000000" w:themeColor="text1"/>
                <w:sz w:val="14"/>
                <w:szCs w:val="14"/>
                <w:lang w:val="en-ZA"/>
              </w:rPr>
              <w:t>&lt; QL</w:t>
            </w:r>
          </w:p>
        </w:tc>
        <w:tc>
          <w:tcPr>
            <w:tcW w:w="0" w:type="auto"/>
            <w:tcBorders>
              <w:top w:val="single" w:sz="12" w:space="0" w:color="auto"/>
            </w:tcBorders>
            <w:shd w:val="clear" w:color="auto" w:fill="auto"/>
            <w:noWrap/>
            <w:hideMark/>
          </w:tcPr>
          <w:p w14:paraId="32269BD4" w14:textId="77777777" w:rsidR="005E55DB" w:rsidRPr="003744BD" w:rsidRDefault="005E55DB" w:rsidP="0016122E">
            <w:pPr>
              <w:spacing w:after="160" w:line="360" w:lineRule="auto"/>
              <w:jc w:val="both"/>
              <w:rPr>
                <w:rFonts w:ascii="Arial" w:eastAsia="Calibri" w:hAnsi="Arial" w:cs="Arial"/>
                <w:color w:val="000000" w:themeColor="text1"/>
                <w:sz w:val="14"/>
                <w:szCs w:val="14"/>
                <w:lang w:val="en-ZA"/>
              </w:rPr>
            </w:pPr>
            <w:r w:rsidRPr="003744BD">
              <w:rPr>
                <w:rFonts w:ascii="Arial" w:eastAsia="Calibri" w:hAnsi="Arial" w:cs="Arial"/>
                <w:color w:val="000000" w:themeColor="text1"/>
                <w:sz w:val="14"/>
                <w:szCs w:val="14"/>
                <w:lang w:val="en-ZA"/>
              </w:rPr>
              <w:t>0.21</w:t>
            </w:r>
          </w:p>
        </w:tc>
        <w:tc>
          <w:tcPr>
            <w:tcW w:w="0" w:type="auto"/>
            <w:tcBorders>
              <w:top w:val="single" w:sz="12" w:space="0" w:color="auto"/>
            </w:tcBorders>
            <w:shd w:val="clear" w:color="auto" w:fill="auto"/>
            <w:noWrap/>
            <w:hideMark/>
          </w:tcPr>
          <w:p w14:paraId="0E34CFE3" w14:textId="77777777" w:rsidR="005E55DB" w:rsidRPr="003744BD" w:rsidRDefault="005E55DB" w:rsidP="0016122E">
            <w:pPr>
              <w:spacing w:after="160" w:line="360" w:lineRule="auto"/>
              <w:jc w:val="both"/>
              <w:rPr>
                <w:rFonts w:ascii="Arial" w:eastAsia="Calibri" w:hAnsi="Arial" w:cs="Arial"/>
                <w:color w:val="000000" w:themeColor="text1"/>
                <w:sz w:val="14"/>
                <w:szCs w:val="14"/>
                <w:lang w:val="en-ZA"/>
              </w:rPr>
            </w:pPr>
            <w:r w:rsidRPr="003744BD">
              <w:rPr>
                <w:rFonts w:ascii="Arial" w:eastAsia="Calibri" w:hAnsi="Arial" w:cs="Arial"/>
                <w:color w:val="000000" w:themeColor="text1"/>
                <w:sz w:val="14"/>
                <w:szCs w:val="14"/>
                <w:lang w:val="en-ZA"/>
              </w:rPr>
              <w:t>0.20</w:t>
            </w:r>
          </w:p>
        </w:tc>
        <w:tc>
          <w:tcPr>
            <w:tcW w:w="0" w:type="auto"/>
            <w:tcBorders>
              <w:top w:val="single" w:sz="12" w:space="0" w:color="auto"/>
            </w:tcBorders>
            <w:shd w:val="clear" w:color="auto" w:fill="auto"/>
            <w:noWrap/>
            <w:hideMark/>
          </w:tcPr>
          <w:p w14:paraId="1B17EFF7" w14:textId="77777777" w:rsidR="005E55DB" w:rsidRPr="003744BD" w:rsidRDefault="005E55DB" w:rsidP="0016122E">
            <w:pPr>
              <w:spacing w:after="160" w:line="360" w:lineRule="auto"/>
              <w:jc w:val="both"/>
              <w:rPr>
                <w:rFonts w:ascii="Arial" w:eastAsia="Calibri" w:hAnsi="Arial" w:cs="Arial"/>
                <w:color w:val="000000" w:themeColor="text1"/>
                <w:sz w:val="14"/>
                <w:szCs w:val="14"/>
                <w:lang w:val="en-ZA"/>
              </w:rPr>
            </w:pPr>
            <w:r w:rsidRPr="003744BD">
              <w:rPr>
                <w:rFonts w:ascii="Arial" w:eastAsia="Calibri" w:hAnsi="Arial" w:cs="Arial"/>
                <w:color w:val="000000" w:themeColor="text1"/>
                <w:sz w:val="14"/>
                <w:szCs w:val="14"/>
                <w:lang w:val="en-ZA"/>
              </w:rPr>
              <w:t>0.21</w:t>
            </w:r>
          </w:p>
        </w:tc>
        <w:tc>
          <w:tcPr>
            <w:tcW w:w="0" w:type="auto"/>
            <w:tcBorders>
              <w:top w:val="single" w:sz="12" w:space="0" w:color="auto"/>
            </w:tcBorders>
            <w:shd w:val="clear" w:color="auto" w:fill="auto"/>
            <w:noWrap/>
            <w:hideMark/>
          </w:tcPr>
          <w:p w14:paraId="005D8890" w14:textId="77777777" w:rsidR="005E55DB" w:rsidRPr="003744BD" w:rsidRDefault="005E55DB" w:rsidP="0016122E">
            <w:pPr>
              <w:spacing w:after="160" w:line="360" w:lineRule="auto"/>
              <w:jc w:val="both"/>
              <w:rPr>
                <w:rFonts w:ascii="Arial" w:eastAsia="Calibri" w:hAnsi="Arial" w:cs="Arial"/>
                <w:color w:val="000000" w:themeColor="text1"/>
                <w:sz w:val="14"/>
                <w:szCs w:val="14"/>
                <w:lang w:val="en-ZA"/>
              </w:rPr>
            </w:pPr>
            <w:r w:rsidRPr="003744BD">
              <w:rPr>
                <w:rFonts w:ascii="Arial" w:eastAsia="Calibri" w:hAnsi="Arial" w:cs="Arial"/>
                <w:color w:val="000000" w:themeColor="text1"/>
                <w:sz w:val="14"/>
                <w:szCs w:val="14"/>
                <w:lang w:val="en-ZA"/>
              </w:rPr>
              <w:t>0.21</w:t>
            </w:r>
          </w:p>
        </w:tc>
        <w:tc>
          <w:tcPr>
            <w:tcW w:w="0" w:type="auto"/>
            <w:tcBorders>
              <w:top w:val="single" w:sz="12" w:space="0" w:color="auto"/>
            </w:tcBorders>
            <w:shd w:val="clear" w:color="auto" w:fill="auto"/>
            <w:noWrap/>
            <w:hideMark/>
          </w:tcPr>
          <w:p w14:paraId="1F4CA7C6" w14:textId="77777777" w:rsidR="005E55DB" w:rsidRPr="003744BD" w:rsidRDefault="005E55DB" w:rsidP="0016122E">
            <w:pPr>
              <w:spacing w:after="160" w:line="360" w:lineRule="auto"/>
              <w:jc w:val="both"/>
              <w:rPr>
                <w:rFonts w:ascii="Arial" w:eastAsia="Calibri" w:hAnsi="Arial" w:cs="Arial"/>
                <w:b/>
                <w:color w:val="000000" w:themeColor="text1"/>
                <w:sz w:val="14"/>
                <w:szCs w:val="14"/>
                <w:lang w:val="en-ZA"/>
              </w:rPr>
            </w:pPr>
            <w:r w:rsidRPr="003744BD">
              <w:rPr>
                <w:rFonts w:ascii="Arial" w:eastAsia="Calibri" w:hAnsi="Arial" w:cs="Arial"/>
                <w:b/>
                <w:color w:val="000000" w:themeColor="text1"/>
                <w:sz w:val="14"/>
                <w:szCs w:val="14"/>
                <w:lang w:val="en-ZA"/>
              </w:rPr>
              <w:t>4.00</w:t>
            </w:r>
          </w:p>
        </w:tc>
        <w:tc>
          <w:tcPr>
            <w:tcW w:w="0" w:type="auto"/>
            <w:tcBorders>
              <w:top w:val="single" w:sz="12" w:space="0" w:color="auto"/>
            </w:tcBorders>
            <w:shd w:val="clear" w:color="auto" w:fill="auto"/>
            <w:noWrap/>
            <w:hideMark/>
          </w:tcPr>
          <w:p w14:paraId="5ACD17E5" w14:textId="77777777" w:rsidR="005E55DB" w:rsidRPr="003744BD" w:rsidRDefault="005E55DB" w:rsidP="0016122E">
            <w:pPr>
              <w:spacing w:after="160" w:line="360" w:lineRule="auto"/>
              <w:jc w:val="both"/>
              <w:rPr>
                <w:rFonts w:ascii="Arial" w:eastAsia="Calibri" w:hAnsi="Arial" w:cs="Arial"/>
                <w:color w:val="000000" w:themeColor="text1"/>
                <w:sz w:val="14"/>
                <w:szCs w:val="14"/>
                <w:lang w:val="en-ZA"/>
              </w:rPr>
            </w:pPr>
            <w:r w:rsidRPr="003744BD">
              <w:rPr>
                <w:rFonts w:ascii="Arial" w:eastAsia="Calibri" w:hAnsi="Arial" w:cs="Arial"/>
                <w:color w:val="000000" w:themeColor="text1"/>
                <w:sz w:val="14"/>
                <w:szCs w:val="14"/>
                <w:lang w:val="en-ZA"/>
              </w:rPr>
              <w:t>5.48</w:t>
            </w:r>
          </w:p>
        </w:tc>
        <w:tc>
          <w:tcPr>
            <w:tcW w:w="0" w:type="auto"/>
            <w:tcBorders>
              <w:top w:val="single" w:sz="12" w:space="0" w:color="auto"/>
            </w:tcBorders>
            <w:shd w:val="clear" w:color="auto" w:fill="auto"/>
            <w:noWrap/>
            <w:hideMark/>
          </w:tcPr>
          <w:p w14:paraId="091A8090" w14:textId="77777777" w:rsidR="005E55DB" w:rsidRPr="003744BD" w:rsidRDefault="005E55DB" w:rsidP="0016122E">
            <w:pPr>
              <w:spacing w:after="160" w:line="360" w:lineRule="auto"/>
              <w:jc w:val="both"/>
              <w:rPr>
                <w:rFonts w:ascii="Arial" w:eastAsia="Calibri" w:hAnsi="Arial" w:cs="Arial"/>
                <w:color w:val="000000" w:themeColor="text1"/>
                <w:sz w:val="14"/>
                <w:szCs w:val="14"/>
                <w:lang w:val="en-ZA"/>
              </w:rPr>
            </w:pPr>
            <w:r w:rsidRPr="003744BD">
              <w:rPr>
                <w:rFonts w:ascii="Arial" w:eastAsia="Calibri" w:hAnsi="Arial" w:cs="Arial"/>
                <w:color w:val="000000" w:themeColor="text1"/>
                <w:sz w:val="14"/>
                <w:szCs w:val="14"/>
                <w:lang w:val="en-ZA"/>
              </w:rPr>
              <w:t>4.97</w:t>
            </w:r>
          </w:p>
        </w:tc>
        <w:tc>
          <w:tcPr>
            <w:tcW w:w="0" w:type="auto"/>
            <w:tcBorders>
              <w:top w:val="single" w:sz="12" w:space="0" w:color="auto"/>
            </w:tcBorders>
            <w:shd w:val="clear" w:color="auto" w:fill="auto"/>
            <w:noWrap/>
            <w:hideMark/>
          </w:tcPr>
          <w:p w14:paraId="58C2DC05" w14:textId="77777777" w:rsidR="005E55DB" w:rsidRPr="003744BD" w:rsidRDefault="005E55DB" w:rsidP="0016122E">
            <w:pPr>
              <w:spacing w:after="160" w:line="360" w:lineRule="auto"/>
              <w:jc w:val="both"/>
              <w:rPr>
                <w:rFonts w:ascii="Arial" w:eastAsia="Calibri" w:hAnsi="Arial" w:cs="Arial"/>
                <w:color w:val="000000" w:themeColor="text1"/>
                <w:sz w:val="14"/>
                <w:szCs w:val="14"/>
                <w:lang w:val="en-ZA"/>
              </w:rPr>
            </w:pPr>
            <w:r w:rsidRPr="003744BD">
              <w:rPr>
                <w:rFonts w:ascii="Arial" w:eastAsia="Calibri" w:hAnsi="Arial" w:cs="Arial"/>
                <w:color w:val="000000" w:themeColor="text1"/>
                <w:sz w:val="14"/>
                <w:szCs w:val="14"/>
                <w:lang w:val="en-ZA"/>
              </w:rPr>
              <w:t>5.21</w:t>
            </w:r>
          </w:p>
        </w:tc>
        <w:tc>
          <w:tcPr>
            <w:tcW w:w="0" w:type="auto"/>
            <w:tcBorders>
              <w:top w:val="single" w:sz="12" w:space="0" w:color="auto"/>
            </w:tcBorders>
            <w:shd w:val="clear" w:color="auto" w:fill="auto"/>
            <w:noWrap/>
            <w:hideMark/>
          </w:tcPr>
          <w:p w14:paraId="467F7F23" w14:textId="77777777" w:rsidR="005E55DB" w:rsidRPr="003744BD" w:rsidRDefault="005E55DB" w:rsidP="0016122E">
            <w:pPr>
              <w:spacing w:after="160" w:line="360" w:lineRule="auto"/>
              <w:jc w:val="both"/>
              <w:rPr>
                <w:rFonts w:ascii="Arial" w:eastAsia="Calibri" w:hAnsi="Arial" w:cs="Arial"/>
                <w:color w:val="000000" w:themeColor="text1"/>
                <w:sz w:val="14"/>
                <w:szCs w:val="14"/>
                <w:lang w:val="en-ZA"/>
              </w:rPr>
            </w:pPr>
            <w:r w:rsidRPr="003744BD">
              <w:rPr>
                <w:rFonts w:ascii="Arial" w:eastAsia="Calibri" w:hAnsi="Arial" w:cs="Arial"/>
                <w:color w:val="000000" w:themeColor="text1"/>
                <w:sz w:val="14"/>
                <w:szCs w:val="14"/>
                <w:lang w:val="en-ZA"/>
              </w:rPr>
              <w:t>5.25</w:t>
            </w:r>
          </w:p>
        </w:tc>
        <w:tc>
          <w:tcPr>
            <w:tcW w:w="0" w:type="auto"/>
            <w:tcBorders>
              <w:top w:val="single" w:sz="12" w:space="0" w:color="auto"/>
            </w:tcBorders>
            <w:shd w:val="clear" w:color="auto" w:fill="auto"/>
            <w:noWrap/>
            <w:hideMark/>
          </w:tcPr>
          <w:p w14:paraId="243D3AF5" w14:textId="77777777" w:rsidR="005E55DB" w:rsidRPr="003744BD" w:rsidRDefault="005E55DB" w:rsidP="0016122E">
            <w:pPr>
              <w:spacing w:after="160" w:line="360" w:lineRule="auto"/>
              <w:jc w:val="both"/>
              <w:rPr>
                <w:rFonts w:ascii="Arial" w:eastAsia="Calibri" w:hAnsi="Arial" w:cs="Arial"/>
                <w:b/>
                <w:color w:val="000000" w:themeColor="text1"/>
                <w:sz w:val="14"/>
                <w:szCs w:val="14"/>
                <w:lang w:val="en-ZA"/>
              </w:rPr>
            </w:pPr>
            <w:r w:rsidRPr="003744BD">
              <w:rPr>
                <w:rFonts w:ascii="Arial" w:eastAsia="Calibri" w:hAnsi="Arial" w:cs="Arial"/>
                <w:b/>
                <w:color w:val="000000" w:themeColor="text1"/>
                <w:sz w:val="14"/>
                <w:szCs w:val="14"/>
                <w:lang w:val="en-ZA"/>
              </w:rPr>
              <w:t>4.00</w:t>
            </w:r>
          </w:p>
        </w:tc>
      </w:tr>
      <w:tr w:rsidR="00601168" w:rsidRPr="003744BD" w14:paraId="5E26A981" w14:textId="77777777" w:rsidTr="007D78CC">
        <w:trPr>
          <w:trHeight w:val="300"/>
        </w:trPr>
        <w:tc>
          <w:tcPr>
            <w:tcW w:w="0" w:type="auto"/>
            <w:shd w:val="clear" w:color="auto" w:fill="auto"/>
            <w:noWrap/>
            <w:hideMark/>
          </w:tcPr>
          <w:p w14:paraId="7C0CD6DF" w14:textId="1914FEF9" w:rsidR="005E55DB" w:rsidRPr="003744BD" w:rsidRDefault="00EC4AD4" w:rsidP="0016122E">
            <w:pPr>
              <w:spacing w:after="160" w:line="360" w:lineRule="auto"/>
              <w:jc w:val="both"/>
              <w:rPr>
                <w:rFonts w:ascii="Arial" w:eastAsia="Calibri" w:hAnsi="Arial" w:cs="Arial"/>
                <w:color w:val="000000" w:themeColor="text1"/>
                <w:sz w:val="14"/>
                <w:szCs w:val="14"/>
                <w:lang w:val="en-ZA"/>
              </w:rPr>
            </w:pPr>
            <w:r w:rsidRPr="003744BD">
              <w:rPr>
                <w:rFonts w:ascii="Arial" w:eastAsia="Calibri" w:hAnsi="Arial" w:cs="Arial"/>
                <w:color w:val="000000" w:themeColor="text1"/>
                <w:sz w:val="14"/>
                <w:szCs w:val="14"/>
                <w:lang w:val="en-ZA"/>
              </w:rPr>
              <w:t>2520902B</w:t>
            </w:r>
          </w:p>
        </w:tc>
        <w:tc>
          <w:tcPr>
            <w:tcW w:w="0" w:type="auto"/>
            <w:noWrap/>
            <w:hideMark/>
          </w:tcPr>
          <w:p w14:paraId="139C1EF4" w14:textId="77777777" w:rsidR="005E55DB" w:rsidRPr="003744BD" w:rsidRDefault="005E55DB" w:rsidP="0016122E">
            <w:pPr>
              <w:spacing w:after="160" w:line="360" w:lineRule="auto"/>
              <w:jc w:val="both"/>
              <w:rPr>
                <w:rFonts w:ascii="Arial" w:eastAsia="Calibri" w:hAnsi="Arial" w:cs="Arial"/>
                <w:color w:val="000000" w:themeColor="text1"/>
                <w:sz w:val="14"/>
                <w:szCs w:val="14"/>
                <w:lang w:val="en-ZA"/>
              </w:rPr>
            </w:pPr>
            <w:r w:rsidRPr="003744BD">
              <w:rPr>
                <w:rFonts w:ascii="Arial" w:eastAsia="Calibri" w:hAnsi="Arial" w:cs="Arial"/>
                <w:color w:val="000000" w:themeColor="text1"/>
                <w:sz w:val="14"/>
                <w:szCs w:val="14"/>
                <w:lang w:val="en-ZA"/>
              </w:rPr>
              <w:t>&lt; QL</w:t>
            </w:r>
          </w:p>
        </w:tc>
        <w:tc>
          <w:tcPr>
            <w:tcW w:w="0" w:type="auto"/>
            <w:noWrap/>
            <w:hideMark/>
          </w:tcPr>
          <w:p w14:paraId="675C2685" w14:textId="77777777" w:rsidR="005E55DB" w:rsidRPr="003744BD" w:rsidRDefault="005E55DB" w:rsidP="0016122E">
            <w:pPr>
              <w:spacing w:after="160" w:line="360" w:lineRule="auto"/>
              <w:jc w:val="both"/>
              <w:rPr>
                <w:rFonts w:ascii="Arial" w:eastAsia="Calibri" w:hAnsi="Arial" w:cs="Arial"/>
                <w:color w:val="000000" w:themeColor="text1"/>
                <w:sz w:val="14"/>
                <w:szCs w:val="14"/>
                <w:lang w:val="en-ZA"/>
              </w:rPr>
            </w:pPr>
            <w:r w:rsidRPr="003744BD">
              <w:rPr>
                <w:rFonts w:ascii="Arial" w:eastAsia="Calibri" w:hAnsi="Arial" w:cs="Arial"/>
                <w:color w:val="000000" w:themeColor="text1"/>
                <w:sz w:val="14"/>
                <w:szCs w:val="14"/>
                <w:lang w:val="en-ZA"/>
              </w:rPr>
              <w:t>&lt; QL</w:t>
            </w:r>
          </w:p>
        </w:tc>
        <w:tc>
          <w:tcPr>
            <w:tcW w:w="0" w:type="auto"/>
            <w:noWrap/>
            <w:hideMark/>
          </w:tcPr>
          <w:p w14:paraId="553E98C7" w14:textId="77777777" w:rsidR="005E55DB" w:rsidRPr="003744BD" w:rsidRDefault="005E55DB" w:rsidP="0016122E">
            <w:pPr>
              <w:spacing w:after="160" w:line="360" w:lineRule="auto"/>
              <w:jc w:val="both"/>
              <w:rPr>
                <w:rFonts w:ascii="Arial" w:eastAsia="Calibri" w:hAnsi="Arial" w:cs="Arial"/>
                <w:color w:val="000000" w:themeColor="text1"/>
                <w:sz w:val="14"/>
                <w:szCs w:val="14"/>
                <w:lang w:val="en-ZA"/>
              </w:rPr>
            </w:pPr>
            <w:r w:rsidRPr="003744BD">
              <w:rPr>
                <w:rFonts w:ascii="Arial" w:eastAsia="Calibri" w:hAnsi="Arial" w:cs="Arial"/>
                <w:color w:val="000000" w:themeColor="text1"/>
                <w:sz w:val="14"/>
                <w:szCs w:val="14"/>
                <w:lang w:val="en-ZA"/>
              </w:rPr>
              <w:t>&lt; QL</w:t>
            </w:r>
          </w:p>
        </w:tc>
        <w:tc>
          <w:tcPr>
            <w:tcW w:w="0" w:type="auto"/>
            <w:noWrap/>
            <w:hideMark/>
          </w:tcPr>
          <w:p w14:paraId="5D77E9AD" w14:textId="77777777" w:rsidR="005E55DB" w:rsidRPr="003744BD" w:rsidRDefault="005E55DB" w:rsidP="0016122E">
            <w:pPr>
              <w:spacing w:after="160" w:line="360" w:lineRule="auto"/>
              <w:jc w:val="both"/>
              <w:rPr>
                <w:rFonts w:ascii="Arial" w:eastAsia="Calibri" w:hAnsi="Arial" w:cs="Arial"/>
                <w:color w:val="000000" w:themeColor="text1"/>
                <w:sz w:val="14"/>
                <w:szCs w:val="14"/>
                <w:lang w:val="en-ZA"/>
              </w:rPr>
            </w:pPr>
            <w:r w:rsidRPr="003744BD">
              <w:rPr>
                <w:rFonts w:ascii="Arial" w:eastAsia="Calibri" w:hAnsi="Arial" w:cs="Arial"/>
                <w:color w:val="000000" w:themeColor="text1"/>
                <w:sz w:val="14"/>
                <w:szCs w:val="14"/>
                <w:lang w:val="en-ZA"/>
              </w:rPr>
              <w:t>&lt; QL</w:t>
            </w:r>
          </w:p>
        </w:tc>
        <w:tc>
          <w:tcPr>
            <w:tcW w:w="0" w:type="auto"/>
            <w:noWrap/>
            <w:hideMark/>
          </w:tcPr>
          <w:p w14:paraId="5C4C7474" w14:textId="77777777" w:rsidR="005E55DB" w:rsidRPr="003744BD" w:rsidRDefault="005E55DB" w:rsidP="0016122E">
            <w:pPr>
              <w:spacing w:after="160" w:line="360" w:lineRule="auto"/>
              <w:jc w:val="both"/>
              <w:rPr>
                <w:rFonts w:ascii="Arial" w:eastAsia="Calibri" w:hAnsi="Arial" w:cs="Arial"/>
                <w:b/>
                <w:color w:val="000000" w:themeColor="text1"/>
                <w:sz w:val="14"/>
                <w:szCs w:val="14"/>
                <w:lang w:val="en-ZA"/>
              </w:rPr>
            </w:pPr>
            <w:r w:rsidRPr="003744BD">
              <w:rPr>
                <w:rFonts w:ascii="Arial" w:eastAsia="Calibri" w:hAnsi="Arial" w:cs="Arial"/>
                <w:b/>
                <w:color w:val="000000" w:themeColor="text1"/>
                <w:sz w:val="14"/>
                <w:szCs w:val="14"/>
                <w:lang w:val="en-ZA"/>
              </w:rPr>
              <w:t>&lt; QL</w:t>
            </w:r>
          </w:p>
        </w:tc>
        <w:tc>
          <w:tcPr>
            <w:tcW w:w="0" w:type="auto"/>
            <w:shd w:val="clear" w:color="auto" w:fill="auto"/>
            <w:noWrap/>
            <w:hideMark/>
          </w:tcPr>
          <w:p w14:paraId="7C1C617A" w14:textId="77777777" w:rsidR="005E55DB" w:rsidRPr="003744BD" w:rsidRDefault="005E55DB" w:rsidP="0016122E">
            <w:pPr>
              <w:spacing w:after="160" w:line="360" w:lineRule="auto"/>
              <w:jc w:val="both"/>
              <w:rPr>
                <w:rFonts w:ascii="Arial" w:eastAsia="Calibri" w:hAnsi="Arial" w:cs="Arial"/>
                <w:color w:val="000000" w:themeColor="text1"/>
                <w:sz w:val="14"/>
                <w:szCs w:val="14"/>
                <w:lang w:val="en-ZA"/>
              </w:rPr>
            </w:pPr>
            <w:proofErr w:type="spellStart"/>
            <w:r w:rsidRPr="003744BD">
              <w:rPr>
                <w:rFonts w:ascii="Arial" w:eastAsia="Calibri" w:hAnsi="Arial" w:cs="Arial"/>
                <w:color w:val="000000" w:themeColor="text1"/>
                <w:sz w:val="14"/>
                <w:szCs w:val="14"/>
                <w:lang w:val="en-ZA"/>
              </w:rPr>
              <w:t>nd</w:t>
            </w:r>
            <w:proofErr w:type="spellEnd"/>
          </w:p>
        </w:tc>
        <w:tc>
          <w:tcPr>
            <w:tcW w:w="0" w:type="auto"/>
            <w:shd w:val="clear" w:color="auto" w:fill="auto"/>
            <w:noWrap/>
            <w:hideMark/>
          </w:tcPr>
          <w:p w14:paraId="67D46F44" w14:textId="77777777" w:rsidR="005E55DB" w:rsidRPr="003744BD" w:rsidRDefault="005E55DB" w:rsidP="0016122E">
            <w:pPr>
              <w:spacing w:after="160" w:line="360" w:lineRule="auto"/>
              <w:jc w:val="both"/>
              <w:rPr>
                <w:rFonts w:ascii="Arial" w:eastAsia="Calibri" w:hAnsi="Arial" w:cs="Arial"/>
                <w:color w:val="000000" w:themeColor="text1"/>
                <w:sz w:val="14"/>
                <w:szCs w:val="14"/>
                <w:lang w:val="en-ZA"/>
              </w:rPr>
            </w:pPr>
            <w:proofErr w:type="spellStart"/>
            <w:r w:rsidRPr="003744BD">
              <w:rPr>
                <w:rFonts w:ascii="Arial" w:eastAsia="Calibri" w:hAnsi="Arial" w:cs="Arial"/>
                <w:color w:val="000000" w:themeColor="text1"/>
                <w:sz w:val="14"/>
                <w:szCs w:val="14"/>
                <w:lang w:val="en-ZA"/>
              </w:rPr>
              <w:t>nd</w:t>
            </w:r>
            <w:proofErr w:type="spellEnd"/>
          </w:p>
        </w:tc>
        <w:tc>
          <w:tcPr>
            <w:tcW w:w="0" w:type="auto"/>
            <w:shd w:val="clear" w:color="auto" w:fill="auto"/>
            <w:noWrap/>
            <w:hideMark/>
          </w:tcPr>
          <w:p w14:paraId="5BBD7DE9" w14:textId="77777777" w:rsidR="005E55DB" w:rsidRPr="003744BD" w:rsidRDefault="005E55DB" w:rsidP="0016122E">
            <w:pPr>
              <w:spacing w:after="160" w:line="360" w:lineRule="auto"/>
              <w:jc w:val="both"/>
              <w:rPr>
                <w:rFonts w:ascii="Arial" w:eastAsia="Calibri" w:hAnsi="Arial" w:cs="Arial"/>
                <w:color w:val="000000" w:themeColor="text1"/>
                <w:sz w:val="14"/>
                <w:szCs w:val="14"/>
                <w:lang w:val="en-ZA"/>
              </w:rPr>
            </w:pPr>
            <w:proofErr w:type="spellStart"/>
            <w:r w:rsidRPr="003744BD">
              <w:rPr>
                <w:rFonts w:ascii="Arial" w:eastAsia="Calibri" w:hAnsi="Arial" w:cs="Arial"/>
                <w:color w:val="000000" w:themeColor="text1"/>
                <w:sz w:val="14"/>
                <w:szCs w:val="14"/>
                <w:lang w:val="en-ZA"/>
              </w:rPr>
              <w:t>nd</w:t>
            </w:r>
            <w:proofErr w:type="spellEnd"/>
          </w:p>
        </w:tc>
        <w:tc>
          <w:tcPr>
            <w:tcW w:w="0" w:type="auto"/>
            <w:shd w:val="clear" w:color="auto" w:fill="auto"/>
            <w:noWrap/>
            <w:hideMark/>
          </w:tcPr>
          <w:p w14:paraId="0F94374D" w14:textId="77777777" w:rsidR="005E55DB" w:rsidRPr="003744BD" w:rsidRDefault="005E55DB" w:rsidP="0016122E">
            <w:pPr>
              <w:spacing w:after="160" w:line="360" w:lineRule="auto"/>
              <w:jc w:val="both"/>
              <w:rPr>
                <w:rFonts w:ascii="Arial" w:eastAsia="Calibri" w:hAnsi="Arial" w:cs="Arial"/>
                <w:color w:val="000000" w:themeColor="text1"/>
                <w:sz w:val="14"/>
                <w:szCs w:val="14"/>
                <w:lang w:val="en-ZA"/>
              </w:rPr>
            </w:pPr>
            <w:proofErr w:type="spellStart"/>
            <w:r w:rsidRPr="003744BD">
              <w:rPr>
                <w:rFonts w:ascii="Arial" w:eastAsia="Calibri" w:hAnsi="Arial" w:cs="Arial"/>
                <w:color w:val="000000" w:themeColor="text1"/>
                <w:sz w:val="14"/>
                <w:szCs w:val="14"/>
                <w:lang w:val="en-ZA"/>
              </w:rPr>
              <w:t>nd</w:t>
            </w:r>
            <w:proofErr w:type="spellEnd"/>
          </w:p>
        </w:tc>
        <w:tc>
          <w:tcPr>
            <w:tcW w:w="0" w:type="auto"/>
            <w:shd w:val="clear" w:color="auto" w:fill="auto"/>
            <w:noWrap/>
            <w:hideMark/>
          </w:tcPr>
          <w:p w14:paraId="441A4EC7" w14:textId="77777777" w:rsidR="005E55DB" w:rsidRPr="003744BD" w:rsidRDefault="005E55DB" w:rsidP="0016122E">
            <w:pPr>
              <w:spacing w:after="160" w:line="360" w:lineRule="auto"/>
              <w:jc w:val="both"/>
              <w:rPr>
                <w:rFonts w:ascii="Arial" w:eastAsia="Calibri" w:hAnsi="Arial" w:cs="Arial"/>
                <w:b/>
                <w:color w:val="000000" w:themeColor="text1"/>
                <w:sz w:val="14"/>
                <w:szCs w:val="14"/>
                <w:lang w:val="en-ZA"/>
              </w:rPr>
            </w:pPr>
            <w:proofErr w:type="spellStart"/>
            <w:r w:rsidRPr="003744BD">
              <w:rPr>
                <w:rFonts w:ascii="Arial" w:eastAsia="Calibri" w:hAnsi="Arial" w:cs="Arial"/>
                <w:b/>
                <w:color w:val="000000" w:themeColor="text1"/>
                <w:sz w:val="14"/>
                <w:szCs w:val="14"/>
                <w:lang w:val="en-ZA"/>
              </w:rPr>
              <w:t>nd</w:t>
            </w:r>
            <w:proofErr w:type="spellEnd"/>
          </w:p>
        </w:tc>
        <w:tc>
          <w:tcPr>
            <w:tcW w:w="0" w:type="auto"/>
            <w:shd w:val="clear" w:color="auto" w:fill="auto"/>
            <w:noWrap/>
            <w:hideMark/>
          </w:tcPr>
          <w:p w14:paraId="404CFEE9" w14:textId="77777777" w:rsidR="005E55DB" w:rsidRPr="003744BD" w:rsidRDefault="005E55DB" w:rsidP="0016122E">
            <w:pPr>
              <w:spacing w:after="160" w:line="360" w:lineRule="auto"/>
              <w:jc w:val="both"/>
              <w:rPr>
                <w:rFonts w:ascii="Arial" w:eastAsia="Calibri" w:hAnsi="Arial" w:cs="Arial"/>
                <w:color w:val="000000" w:themeColor="text1"/>
                <w:sz w:val="14"/>
                <w:szCs w:val="14"/>
                <w:lang w:val="en-ZA"/>
              </w:rPr>
            </w:pPr>
            <w:r w:rsidRPr="003744BD">
              <w:rPr>
                <w:rFonts w:ascii="Arial" w:eastAsia="Calibri" w:hAnsi="Arial" w:cs="Arial"/>
                <w:color w:val="000000" w:themeColor="text1"/>
                <w:sz w:val="14"/>
                <w:szCs w:val="14"/>
                <w:lang w:val="en-ZA"/>
              </w:rPr>
              <w:t>1.44</w:t>
            </w:r>
          </w:p>
        </w:tc>
        <w:tc>
          <w:tcPr>
            <w:tcW w:w="0" w:type="auto"/>
            <w:shd w:val="clear" w:color="auto" w:fill="auto"/>
            <w:noWrap/>
            <w:hideMark/>
          </w:tcPr>
          <w:p w14:paraId="64DC0995" w14:textId="77777777" w:rsidR="005E55DB" w:rsidRPr="003744BD" w:rsidRDefault="005E55DB" w:rsidP="0016122E">
            <w:pPr>
              <w:spacing w:after="160" w:line="360" w:lineRule="auto"/>
              <w:jc w:val="both"/>
              <w:rPr>
                <w:rFonts w:ascii="Arial" w:eastAsia="Calibri" w:hAnsi="Arial" w:cs="Arial"/>
                <w:color w:val="000000" w:themeColor="text1"/>
                <w:sz w:val="14"/>
                <w:szCs w:val="14"/>
                <w:lang w:val="en-ZA"/>
              </w:rPr>
            </w:pPr>
            <w:r w:rsidRPr="003744BD">
              <w:rPr>
                <w:rFonts w:ascii="Arial" w:eastAsia="Calibri" w:hAnsi="Arial" w:cs="Arial"/>
                <w:color w:val="000000" w:themeColor="text1"/>
                <w:sz w:val="14"/>
                <w:szCs w:val="14"/>
                <w:lang w:val="en-ZA"/>
              </w:rPr>
              <w:t>1.39</w:t>
            </w:r>
          </w:p>
        </w:tc>
        <w:tc>
          <w:tcPr>
            <w:tcW w:w="0" w:type="auto"/>
            <w:shd w:val="clear" w:color="auto" w:fill="auto"/>
            <w:noWrap/>
            <w:hideMark/>
          </w:tcPr>
          <w:p w14:paraId="68688A45" w14:textId="77777777" w:rsidR="005E55DB" w:rsidRPr="003744BD" w:rsidRDefault="005E55DB" w:rsidP="0016122E">
            <w:pPr>
              <w:spacing w:after="160" w:line="360" w:lineRule="auto"/>
              <w:jc w:val="both"/>
              <w:rPr>
                <w:rFonts w:ascii="Arial" w:eastAsia="Calibri" w:hAnsi="Arial" w:cs="Arial"/>
                <w:color w:val="000000" w:themeColor="text1"/>
                <w:sz w:val="14"/>
                <w:szCs w:val="14"/>
                <w:lang w:val="en-ZA"/>
              </w:rPr>
            </w:pPr>
            <w:r w:rsidRPr="003744BD">
              <w:rPr>
                <w:rFonts w:ascii="Arial" w:eastAsia="Calibri" w:hAnsi="Arial" w:cs="Arial"/>
                <w:color w:val="000000" w:themeColor="text1"/>
                <w:sz w:val="14"/>
                <w:szCs w:val="14"/>
                <w:lang w:val="en-ZA"/>
              </w:rPr>
              <w:t>1.32</w:t>
            </w:r>
          </w:p>
        </w:tc>
        <w:tc>
          <w:tcPr>
            <w:tcW w:w="0" w:type="auto"/>
            <w:shd w:val="clear" w:color="auto" w:fill="auto"/>
            <w:noWrap/>
            <w:hideMark/>
          </w:tcPr>
          <w:p w14:paraId="0D8D5D8C" w14:textId="77777777" w:rsidR="005E55DB" w:rsidRPr="003744BD" w:rsidRDefault="005E55DB" w:rsidP="0016122E">
            <w:pPr>
              <w:spacing w:after="160" w:line="360" w:lineRule="auto"/>
              <w:jc w:val="both"/>
              <w:rPr>
                <w:rFonts w:ascii="Arial" w:eastAsia="Calibri" w:hAnsi="Arial" w:cs="Arial"/>
                <w:color w:val="000000" w:themeColor="text1"/>
                <w:sz w:val="14"/>
                <w:szCs w:val="14"/>
                <w:lang w:val="en-ZA"/>
              </w:rPr>
            </w:pPr>
            <w:r w:rsidRPr="003744BD">
              <w:rPr>
                <w:rFonts w:ascii="Arial" w:eastAsia="Calibri" w:hAnsi="Arial" w:cs="Arial"/>
                <w:color w:val="000000" w:themeColor="text1"/>
                <w:sz w:val="14"/>
                <w:szCs w:val="14"/>
                <w:lang w:val="en-ZA"/>
              </w:rPr>
              <w:t>1.32</w:t>
            </w:r>
          </w:p>
        </w:tc>
        <w:tc>
          <w:tcPr>
            <w:tcW w:w="0" w:type="auto"/>
            <w:shd w:val="clear" w:color="auto" w:fill="auto"/>
            <w:noWrap/>
            <w:hideMark/>
          </w:tcPr>
          <w:p w14:paraId="034A8D98" w14:textId="77777777" w:rsidR="005E55DB" w:rsidRPr="003744BD" w:rsidRDefault="005E55DB" w:rsidP="0016122E">
            <w:pPr>
              <w:spacing w:after="160" w:line="360" w:lineRule="auto"/>
              <w:jc w:val="both"/>
              <w:rPr>
                <w:rFonts w:ascii="Arial" w:eastAsia="Calibri" w:hAnsi="Arial" w:cs="Arial"/>
                <w:b/>
                <w:color w:val="000000" w:themeColor="text1"/>
                <w:sz w:val="14"/>
                <w:szCs w:val="14"/>
                <w:lang w:val="en-ZA"/>
              </w:rPr>
            </w:pPr>
            <w:r w:rsidRPr="003744BD">
              <w:rPr>
                <w:rFonts w:ascii="Arial" w:eastAsia="Calibri" w:hAnsi="Arial" w:cs="Arial"/>
                <w:b/>
                <w:color w:val="000000" w:themeColor="text1"/>
                <w:sz w:val="14"/>
                <w:szCs w:val="14"/>
                <w:lang w:val="en-ZA"/>
              </w:rPr>
              <w:t>4.34</w:t>
            </w:r>
          </w:p>
        </w:tc>
      </w:tr>
      <w:tr w:rsidR="00601168" w:rsidRPr="003744BD" w14:paraId="43DB7E94" w14:textId="77777777" w:rsidTr="007D78CC">
        <w:trPr>
          <w:trHeight w:val="300"/>
        </w:trPr>
        <w:tc>
          <w:tcPr>
            <w:tcW w:w="0" w:type="auto"/>
            <w:shd w:val="clear" w:color="auto" w:fill="auto"/>
            <w:noWrap/>
            <w:hideMark/>
          </w:tcPr>
          <w:p w14:paraId="057C97AF" w14:textId="4164C53F" w:rsidR="005E55DB" w:rsidRPr="003744BD" w:rsidRDefault="00EC4AD4" w:rsidP="0016122E">
            <w:pPr>
              <w:spacing w:after="160" w:line="360" w:lineRule="auto"/>
              <w:jc w:val="both"/>
              <w:rPr>
                <w:rFonts w:ascii="Arial" w:eastAsia="Calibri" w:hAnsi="Arial" w:cs="Arial"/>
                <w:color w:val="000000" w:themeColor="text1"/>
                <w:sz w:val="14"/>
                <w:szCs w:val="14"/>
                <w:lang w:val="en-ZA"/>
              </w:rPr>
            </w:pPr>
            <w:r w:rsidRPr="003744BD">
              <w:rPr>
                <w:rFonts w:ascii="Arial" w:eastAsia="Calibri" w:hAnsi="Arial" w:cs="Arial"/>
                <w:color w:val="000000" w:themeColor="text1"/>
                <w:sz w:val="14"/>
                <w:szCs w:val="14"/>
                <w:lang w:val="en-ZA"/>
              </w:rPr>
              <w:t>3400002B</w:t>
            </w:r>
          </w:p>
        </w:tc>
        <w:tc>
          <w:tcPr>
            <w:tcW w:w="0" w:type="auto"/>
            <w:shd w:val="clear" w:color="auto" w:fill="auto"/>
            <w:noWrap/>
            <w:hideMark/>
          </w:tcPr>
          <w:p w14:paraId="17D3D77D" w14:textId="77777777" w:rsidR="005E55DB" w:rsidRPr="003744BD" w:rsidRDefault="005E55DB" w:rsidP="0016122E">
            <w:pPr>
              <w:spacing w:after="160" w:line="360" w:lineRule="auto"/>
              <w:jc w:val="both"/>
              <w:rPr>
                <w:rFonts w:ascii="Arial" w:eastAsia="Calibri" w:hAnsi="Arial" w:cs="Arial"/>
                <w:color w:val="000000" w:themeColor="text1"/>
                <w:sz w:val="14"/>
                <w:szCs w:val="14"/>
                <w:lang w:val="en-ZA"/>
              </w:rPr>
            </w:pPr>
            <w:r w:rsidRPr="003744BD">
              <w:rPr>
                <w:rFonts w:ascii="Arial" w:eastAsia="Calibri" w:hAnsi="Arial" w:cs="Arial"/>
                <w:color w:val="000000" w:themeColor="text1"/>
                <w:sz w:val="14"/>
                <w:szCs w:val="14"/>
                <w:lang w:val="en-ZA"/>
              </w:rPr>
              <w:t>0.50</w:t>
            </w:r>
          </w:p>
        </w:tc>
        <w:tc>
          <w:tcPr>
            <w:tcW w:w="0" w:type="auto"/>
            <w:shd w:val="clear" w:color="auto" w:fill="auto"/>
            <w:noWrap/>
            <w:hideMark/>
          </w:tcPr>
          <w:p w14:paraId="34FE91C1" w14:textId="77777777" w:rsidR="005E55DB" w:rsidRPr="003744BD" w:rsidRDefault="005E55DB" w:rsidP="0016122E">
            <w:pPr>
              <w:spacing w:after="160" w:line="360" w:lineRule="auto"/>
              <w:jc w:val="both"/>
              <w:rPr>
                <w:rFonts w:ascii="Arial" w:eastAsia="Calibri" w:hAnsi="Arial" w:cs="Arial"/>
                <w:color w:val="000000" w:themeColor="text1"/>
                <w:sz w:val="14"/>
                <w:szCs w:val="14"/>
                <w:lang w:val="en-ZA"/>
              </w:rPr>
            </w:pPr>
            <w:r w:rsidRPr="003744BD">
              <w:rPr>
                <w:rFonts w:ascii="Arial" w:eastAsia="Calibri" w:hAnsi="Arial" w:cs="Arial"/>
                <w:color w:val="000000" w:themeColor="text1"/>
                <w:sz w:val="14"/>
                <w:szCs w:val="14"/>
                <w:lang w:val="en-ZA"/>
              </w:rPr>
              <w:t>0.50</w:t>
            </w:r>
          </w:p>
        </w:tc>
        <w:tc>
          <w:tcPr>
            <w:tcW w:w="0" w:type="auto"/>
            <w:shd w:val="clear" w:color="auto" w:fill="auto"/>
            <w:noWrap/>
            <w:hideMark/>
          </w:tcPr>
          <w:p w14:paraId="252A6D8F" w14:textId="77777777" w:rsidR="005E55DB" w:rsidRPr="003744BD" w:rsidRDefault="005E55DB" w:rsidP="0016122E">
            <w:pPr>
              <w:spacing w:after="160" w:line="360" w:lineRule="auto"/>
              <w:jc w:val="both"/>
              <w:rPr>
                <w:rFonts w:ascii="Arial" w:eastAsia="Calibri" w:hAnsi="Arial" w:cs="Arial"/>
                <w:color w:val="000000" w:themeColor="text1"/>
                <w:sz w:val="14"/>
                <w:szCs w:val="14"/>
                <w:lang w:val="en-ZA"/>
              </w:rPr>
            </w:pPr>
            <w:r w:rsidRPr="003744BD">
              <w:rPr>
                <w:rFonts w:ascii="Arial" w:eastAsia="Calibri" w:hAnsi="Arial" w:cs="Arial"/>
                <w:color w:val="000000" w:themeColor="text1"/>
                <w:sz w:val="14"/>
                <w:szCs w:val="14"/>
                <w:lang w:val="en-ZA"/>
              </w:rPr>
              <w:t>0.49</w:t>
            </w:r>
          </w:p>
        </w:tc>
        <w:tc>
          <w:tcPr>
            <w:tcW w:w="0" w:type="auto"/>
            <w:shd w:val="clear" w:color="auto" w:fill="auto"/>
            <w:noWrap/>
            <w:hideMark/>
          </w:tcPr>
          <w:p w14:paraId="67B9D59F" w14:textId="77777777" w:rsidR="005E55DB" w:rsidRPr="003744BD" w:rsidRDefault="005E55DB" w:rsidP="0016122E">
            <w:pPr>
              <w:spacing w:after="160" w:line="360" w:lineRule="auto"/>
              <w:jc w:val="both"/>
              <w:rPr>
                <w:rFonts w:ascii="Arial" w:eastAsia="Calibri" w:hAnsi="Arial" w:cs="Arial"/>
                <w:color w:val="000000" w:themeColor="text1"/>
                <w:sz w:val="14"/>
                <w:szCs w:val="14"/>
                <w:lang w:val="en-ZA"/>
              </w:rPr>
            </w:pPr>
            <w:r w:rsidRPr="003744BD">
              <w:rPr>
                <w:rFonts w:ascii="Arial" w:eastAsia="Calibri" w:hAnsi="Arial" w:cs="Arial"/>
                <w:color w:val="000000" w:themeColor="text1"/>
                <w:sz w:val="14"/>
                <w:szCs w:val="14"/>
                <w:lang w:val="en-ZA"/>
              </w:rPr>
              <w:t>0.49</w:t>
            </w:r>
          </w:p>
        </w:tc>
        <w:tc>
          <w:tcPr>
            <w:tcW w:w="0" w:type="auto"/>
            <w:shd w:val="clear" w:color="auto" w:fill="auto"/>
            <w:noWrap/>
            <w:hideMark/>
          </w:tcPr>
          <w:p w14:paraId="5F452A53" w14:textId="77777777" w:rsidR="005E55DB" w:rsidRPr="003744BD" w:rsidRDefault="005E55DB" w:rsidP="0016122E">
            <w:pPr>
              <w:spacing w:after="160" w:line="360" w:lineRule="auto"/>
              <w:jc w:val="both"/>
              <w:rPr>
                <w:rFonts w:ascii="Arial" w:eastAsia="Calibri" w:hAnsi="Arial" w:cs="Arial"/>
                <w:b/>
                <w:color w:val="000000" w:themeColor="text1"/>
                <w:sz w:val="14"/>
                <w:szCs w:val="14"/>
                <w:lang w:val="en-ZA"/>
              </w:rPr>
            </w:pPr>
            <w:r w:rsidRPr="003744BD">
              <w:rPr>
                <w:rFonts w:ascii="Arial" w:eastAsia="Calibri" w:hAnsi="Arial" w:cs="Arial"/>
                <w:b/>
                <w:color w:val="000000" w:themeColor="text1"/>
                <w:sz w:val="14"/>
                <w:szCs w:val="14"/>
                <w:lang w:val="en-ZA"/>
              </w:rPr>
              <w:t>1.47</w:t>
            </w:r>
          </w:p>
        </w:tc>
        <w:tc>
          <w:tcPr>
            <w:tcW w:w="0" w:type="auto"/>
            <w:shd w:val="clear" w:color="auto" w:fill="auto"/>
            <w:noWrap/>
            <w:hideMark/>
          </w:tcPr>
          <w:p w14:paraId="7B758BC3" w14:textId="77777777" w:rsidR="005E55DB" w:rsidRPr="003744BD" w:rsidRDefault="005E55DB" w:rsidP="0016122E">
            <w:pPr>
              <w:spacing w:after="160" w:line="360" w:lineRule="auto"/>
              <w:jc w:val="both"/>
              <w:rPr>
                <w:rFonts w:ascii="Arial" w:eastAsia="Calibri" w:hAnsi="Arial" w:cs="Arial"/>
                <w:color w:val="000000" w:themeColor="text1"/>
                <w:sz w:val="14"/>
                <w:szCs w:val="14"/>
                <w:lang w:val="en-ZA"/>
              </w:rPr>
            </w:pPr>
            <w:r w:rsidRPr="003744BD">
              <w:rPr>
                <w:rFonts w:ascii="Arial" w:eastAsia="Calibri" w:hAnsi="Arial" w:cs="Arial"/>
                <w:color w:val="000000" w:themeColor="text1"/>
                <w:sz w:val="14"/>
                <w:szCs w:val="14"/>
                <w:lang w:val="en-ZA"/>
              </w:rPr>
              <w:t>2.53</w:t>
            </w:r>
          </w:p>
        </w:tc>
        <w:tc>
          <w:tcPr>
            <w:tcW w:w="0" w:type="auto"/>
            <w:shd w:val="clear" w:color="auto" w:fill="auto"/>
            <w:noWrap/>
            <w:hideMark/>
          </w:tcPr>
          <w:p w14:paraId="677FC155" w14:textId="77777777" w:rsidR="005E55DB" w:rsidRPr="003744BD" w:rsidRDefault="005E55DB" w:rsidP="0016122E">
            <w:pPr>
              <w:spacing w:after="160" w:line="360" w:lineRule="auto"/>
              <w:jc w:val="both"/>
              <w:rPr>
                <w:rFonts w:ascii="Arial" w:eastAsia="Calibri" w:hAnsi="Arial" w:cs="Arial"/>
                <w:color w:val="000000" w:themeColor="text1"/>
                <w:sz w:val="14"/>
                <w:szCs w:val="14"/>
                <w:lang w:val="en-ZA"/>
              </w:rPr>
            </w:pPr>
            <w:r w:rsidRPr="003744BD">
              <w:rPr>
                <w:rFonts w:ascii="Arial" w:eastAsia="Calibri" w:hAnsi="Arial" w:cs="Arial"/>
                <w:color w:val="000000" w:themeColor="text1"/>
                <w:sz w:val="14"/>
                <w:szCs w:val="14"/>
                <w:lang w:val="en-ZA"/>
              </w:rPr>
              <w:t>2.42</w:t>
            </w:r>
          </w:p>
        </w:tc>
        <w:tc>
          <w:tcPr>
            <w:tcW w:w="0" w:type="auto"/>
            <w:shd w:val="clear" w:color="auto" w:fill="auto"/>
            <w:noWrap/>
            <w:hideMark/>
          </w:tcPr>
          <w:p w14:paraId="2B28BFB5" w14:textId="77777777" w:rsidR="005E55DB" w:rsidRPr="003744BD" w:rsidRDefault="005E55DB" w:rsidP="0016122E">
            <w:pPr>
              <w:spacing w:after="160" w:line="360" w:lineRule="auto"/>
              <w:jc w:val="both"/>
              <w:rPr>
                <w:rFonts w:ascii="Arial" w:eastAsia="Calibri" w:hAnsi="Arial" w:cs="Arial"/>
                <w:color w:val="000000" w:themeColor="text1"/>
                <w:sz w:val="14"/>
                <w:szCs w:val="14"/>
                <w:lang w:val="en-ZA"/>
              </w:rPr>
            </w:pPr>
            <w:r w:rsidRPr="003744BD">
              <w:rPr>
                <w:rFonts w:ascii="Arial" w:eastAsia="Calibri" w:hAnsi="Arial" w:cs="Arial"/>
                <w:color w:val="000000" w:themeColor="text1"/>
                <w:sz w:val="14"/>
                <w:szCs w:val="14"/>
                <w:lang w:val="en-ZA"/>
              </w:rPr>
              <w:t>2.44</w:t>
            </w:r>
          </w:p>
        </w:tc>
        <w:tc>
          <w:tcPr>
            <w:tcW w:w="0" w:type="auto"/>
            <w:shd w:val="clear" w:color="auto" w:fill="auto"/>
            <w:noWrap/>
            <w:hideMark/>
          </w:tcPr>
          <w:p w14:paraId="554F56D3" w14:textId="77777777" w:rsidR="005E55DB" w:rsidRPr="003744BD" w:rsidRDefault="005E55DB" w:rsidP="0016122E">
            <w:pPr>
              <w:spacing w:after="160" w:line="360" w:lineRule="auto"/>
              <w:jc w:val="both"/>
              <w:rPr>
                <w:rFonts w:ascii="Arial" w:eastAsia="Calibri" w:hAnsi="Arial" w:cs="Arial"/>
                <w:color w:val="000000" w:themeColor="text1"/>
                <w:sz w:val="14"/>
                <w:szCs w:val="14"/>
                <w:lang w:val="en-ZA"/>
              </w:rPr>
            </w:pPr>
            <w:r w:rsidRPr="003744BD">
              <w:rPr>
                <w:rFonts w:ascii="Arial" w:eastAsia="Calibri" w:hAnsi="Arial" w:cs="Arial"/>
                <w:color w:val="000000" w:themeColor="text1"/>
                <w:sz w:val="14"/>
                <w:szCs w:val="14"/>
                <w:lang w:val="en-ZA"/>
              </w:rPr>
              <w:t>2.38</w:t>
            </w:r>
          </w:p>
        </w:tc>
        <w:tc>
          <w:tcPr>
            <w:tcW w:w="0" w:type="auto"/>
            <w:shd w:val="clear" w:color="auto" w:fill="auto"/>
            <w:noWrap/>
            <w:hideMark/>
          </w:tcPr>
          <w:p w14:paraId="5FC2AED9" w14:textId="77777777" w:rsidR="005E55DB" w:rsidRPr="003744BD" w:rsidRDefault="005E55DB" w:rsidP="0016122E">
            <w:pPr>
              <w:spacing w:after="160" w:line="360" w:lineRule="auto"/>
              <w:jc w:val="both"/>
              <w:rPr>
                <w:rFonts w:ascii="Arial" w:eastAsia="Calibri" w:hAnsi="Arial" w:cs="Arial"/>
                <w:b/>
                <w:color w:val="000000" w:themeColor="text1"/>
                <w:sz w:val="14"/>
                <w:szCs w:val="14"/>
                <w:lang w:val="en-ZA"/>
              </w:rPr>
            </w:pPr>
            <w:r w:rsidRPr="003744BD">
              <w:rPr>
                <w:rFonts w:ascii="Arial" w:eastAsia="Calibri" w:hAnsi="Arial" w:cs="Arial"/>
                <w:b/>
                <w:color w:val="000000" w:themeColor="text1"/>
                <w:sz w:val="14"/>
                <w:szCs w:val="14"/>
                <w:lang w:val="en-ZA"/>
              </w:rPr>
              <w:t>2.52</w:t>
            </w:r>
          </w:p>
        </w:tc>
        <w:tc>
          <w:tcPr>
            <w:tcW w:w="0" w:type="auto"/>
            <w:shd w:val="clear" w:color="auto" w:fill="auto"/>
            <w:noWrap/>
            <w:hideMark/>
          </w:tcPr>
          <w:p w14:paraId="4ABA9EA3" w14:textId="77777777" w:rsidR="005E55DB" w:rsidRPr="003744BD" w:rsidRDefault="005E55DB" w:rsidP="0016122E">
            <w:pPr>
              <w:spacing w:after="160" w:line="360" w:lineRule="auto"/>
              <w:jc w:val="both"/>
              <w:rPr>
                <w:rFonts w:ascii="Arial" w:eastAsia="Calibri" w:hAnsi="Arial" w:cs="Arial"/>
                <w:color w:val="000000" w:themeColor="text1"/>
                <w:sz w:val="14"/>
                <w:szCs w:val="14"/>
                <w:lang w:val="en-ZA"/>
              </w:rPr>
            </w:pPr>
            <w:r w:rsidRPr="003744BD">
              <w:rPr>
                <w:rFonts w:ascii="Arial" w:eastAsia="Calibri" w:hAnsi="Arial" w:cs="Arial"/>
                <w:color w:val="000000" w:themeColor="text1"/>
                <w:sz w:val="14"/>
                <w:szCs w:val="14"/>
                <w:lang w:val="en-ZA"/>
              </w:rPr>
              <w:t>0.32</w:t>
            </w:r>
          </w:p>
        </w:tc>
        <w:tc>
          <w:tcPr>
            <w:tcW w:w="0" w:type="auto"/>
            <w:shd w:val="clear" w:color="auto" w:fill="auto"/>
            <w:noWrap/>
            <w:hideMark/>
          </w:tcPr>
          <w:p w14:paraId="7464AAF4" w14:textId="77777777" w:rsidR="005E55DB" w:rsidRPr="003744BD" w:rsidRDefault="005E55DB" w:rsidP="0016122E">
            <w:pPr>
              <w:spacing w:after="160" w:line="360" w:lineRule="auto"/>
              <w:jc w:val="both"/>
              <w:rPr>
                <w:rFonts w:ascii="Arial" w:eastAsia="Calibri" w:hAnsi="Arial" w:cs="Arial"/>
                <w:color w:val="000000" w:themeColor="text1"/>
                <w:sz w:val="14"/>
                <w:szCs w:val="14"/>
                <w:lang w:val="en-ZA"/>
              </w:rPr>
            </w:pPr>
            <w:r w:rsidRPr="003744BD">
              <w:rPr>
                <w:rFonts w:ascii="Arial" w:eastAsia="Calibri" w:hAnsi="Arial" w:cs="Arial"/>
                <w:color w:val="000000" w:themeColor="text1"/>
                <w:sz w:val="14"/>
                <w:szCs w:val="14"/>
                <w:lang w:val="en-ZA"/>
              </w:rPr>
              <w:t>0.33</w:t>
            </w:r>
          </w:p>
        </w:tc>
        <w:tc>
          <w:tcPr>
            <w:tcW w:w="0" w:type="auto"/>
            <w:shd w:val="clear" w:color="auto" w:fill="auto"/>
            <w:noWrap/>
            <w:hideMark/>
          </w:tcPr>
          <w:p w14:paraId="54FF4761" w14:textId="77777777" w:rsidR="005E55DB" w:rsidRPr="003744BD" w:rsidRDefault="005E55DB" w:rsidP="0016122E">
            <w:pPr>
              <w:spacing w:after="160" w:line="360" w:lineRule="auto"/>
              <w:jc w:val="both"/>
              <w:rPr>
                <w:rFonts w:ascii="Arial" w:eastAsia="Calibri" w:hAnsi="Arial" w:cs="Arial"/>
                <w:color w:val="000000" w:themeColor="text1"/>
                <w:sz w:val="14"/>
                <w:szCs w:val="14"/>
                <w:lang w:val="en-ZA"/>
              </w:rPr>
            </w:pPr>
            <w:r w:rsidRPr="003744BD">
              <w:rPr>
                <w:rFonts w:ascii="Arial" w:eastAsia="Calibri" w:hAnsi="Arial" w:cs="Arial"/>
                <w:color w:val="000000" w:themeColor="text1"/>
                <w:sz w:val="14"/>
                <w:szCs w:val="14"/>
                <w:lang w:val="en-ZA"/>
              </w:rPr>
              <w:t>0.31</w:t>
            </w:r>
          </w:p>
        </w:tc>
        <w:tc>
          <w:tcPr>
            <w:tcW w:w="0" w:type="auto"/>
            <w:shd w:val="clear" w:color="auto" w:fill="auto"/>
            <w:noWrap/>
            <w:hideMark/>
          </w:tcPr>
          <w:p w14:paraId="60622E13" w14:textId="77777777" w:rsidR="005E55DB" w:rsidRPr="003744BD" w:rsidRDefault="005E55DB" w:rsidP="0016122E">
            <w:pPr>
              <w:spacing w:after="160" w:line="360" w:lineRule="auto"/>
              <w:jc w:val="both"/>
              <w:rPr>
                <w:rFonts w:ascii="Arial" w:eastAsia="Calibri" w:hAnsi="Arial" w:cs="Arial"/>
                <w:color w:val="000000" w:themeColor="text1"/>
                <w:sz w:val="14"/>
                <w:szCs w:val="14"/>
                <w:lang w:val="en-ZA"/>
              </w:rPr>
            </w:pPr>
            <w:r w:rsidRPr="003744BD">
              <w:rPr>
                <w:rFonts w:ascii="Arial" w:eastAsia="Calibri" w:hAnsi="Arial" w:cs="Arial"/>
                <w:color w:val="000000" w:themeColor="text1"/>
                <w:sz w:val="14"/>
                <w:szCs w:val="14"/>
                <w:lang w:val="en-ZA"/>
              </w:rPr>
              <w:t>0.30</w:t>
            </w:r>
          </w:p>
        </w:tc>
        <w:tc>
          <w:tcPr>
            <w:tcW w:w="0" w:type="auto"/>
            <w:shd w:val="clear" w:color="auto" w:fill="auto"/>
            <w:noWrap/>
            <w:hideMark/>
          </w:tcPr>
          <w:p w14:paraId="318E86F0" w14:textId="77777777" w:rsidR="005E55DB" w:rsidRPr="003744BD" w:rsidRDefault="005E55DB" w:rsidP="0016122E">
            <w:pPr>
              <w:spacing w:after="160" w:line="360" w:lineRule="auto"/>
              <w:jc w:val="both"/>
              <w:rPr>
                <w:rFonts w:ascii="Arial" w:eastAsia="Calibri" w:hAnsi="Arial" w:cs="Arial"/>
                <w:b/>
                <w:color w:val="000000" w:themeColor="text1"/>
                <w:sz w:val="14"/>
                <w:szCs w:val="14"/>
                <w:lang w:val="en-ZA"/>
              </w:rPr>
            </w:pPr>
            <w:r w:rsidRPr="003744BD">
              <w:rPr>
                <w:rFonts w:ascii="Arial" w:eastAsia="Calibri" w:hAnsi="Arial" w:cs="Arial"/>
                <w:b/>
                <w:color w:val="000000" w:themeColor="text1"/>
                <w:sz w:val="14"/>
                <w:szCs w:val="14"/>
                <w:lang w:val="en-ZA"/>
              </w:rPr>
              <w:t>3.92</w:t>
            </w:r>
          </w:p>
        </w:tc>
      </w:tr>
      <w:tr w:rsidR="00601168" w:rsidRPr="003744BD" w14:paraId="75C19F1A" w14:textId="77777777" w:rsidTr="007D78CC">
        <w:trPr>
          <w:trHeight w:val="300"/>
        </w:trPr>
        <w:tc>
          <w:tcPr>
            <w:tcW w:w="0" w:type="auto"/>
            <w:shd w:val="clear" w:color="auto" w:fill="auto"/>
            <w:noWrap/>
            <w:hideMark/>
          </w:tcPr>
          <w:p w14:paraId="7DDBFD12" w14:textId="2059F9C3" w:rsidR="005E55DB" w:rsidRPr="003744BD" w:rsidRDefault="00EC4AD4" w:rsidP="0016122E">
            <w:pPr>
              <w:spacing w:after="160" w:line="360" w:lineRule="auto"/>
              <w:jc w:val="both"/>
              <w:rPr>
                <w:rFonts w:ascii="Arial" w:eastAsia="Calibri" w:hAnsi="Arial" w:cs="Arial"/>
                <w:color w:val="000000" w:themeColor="text1"/>
                <w:sz w:val="14"/>
                <w:szCs w:val="14"/>
                <w:lang w:val="en-ZA"/>
              </w:rPr>
            </w:pPr>
            <w:r w:rsidRPr="003744BD">
              <w:rPr>
                <w:rFonts w:ascii="Arial" w:eastAsia="Calibri" w:hAnsi="Arial" w:cs="Arial"/>
                <w:color w:val="000000" w:themeColor="text1"/>
                <w:sz w:val="14"/>
                <w:szCs w:val="14"/>
                <w:lang w:val="en-ZA"/>
              </w:rPr>
              <w:t>37959902B</w:t>
            </w:r>
          </w:p>
        </w:tc>
        <w:tc>
          <w:tcPr>
            <w:tcW w:w="0" w:type="auto"/>
            <w:shd w:val="clear" w:color="auto" w:fill="auto"/>
            <w:noWrap/>
            <w:hideMark/>
          </w:tcPr>
          <w:p w14:paraId="7B8884E3" w14:textId="77777777" w:rsidR="005E55DB" w:rsidRPr="003744BD" w:rsidRDefault="005E55DB" w:rsidP="0016122E">
            <w:pPr>
              <w:spacing w:after="160" w:line="360" w:lineRule="auto"/>
              <w:jc w:val="both"/>
              <w:rPr>
                <w:rFonts w:ascii="Arial" w:eastAsia="Calibri" w:hAnsi="Arial" w:cs="Arial"/>
                <w:color w:val="000000" w:themeColor="text1"/>
                <w:sz w:val="14"/>
                <w:szCs w:val="14"/>
                <w:lang w:val="en-ZA"/>
              </w:rPr>
            </w:pPr>
            <w:r w:rsidRPr="003744BD">
              <w:rPr>
                <w:rFonts w:ascii="Arial" w:eastAsia="Calibri" w:hAnsi="Arial" w:cs="Arial"/>
                <w:color w:val="000000" w:themeColor="text1"/>
                <w:sz w:val="14"/>
                <w:szCs w:val="14"/>
                <w:lang w:val="en-ZA"/>
              </w:rPr>
              <w:t>0.44</w:t>
            </w:r>
          </w:p>
        </w:tc>
        <w:tc>
          <w:tcPr>
            <w:tcW w:w="0" w:type="auto"/>
            <w:shd w:val="clear" w:color="auto" w:fill="auto"/>
            <w:noWrap/>
            <w:hideMark/>
          </w:tcPr>
          <w:p w14:paraId="3F5EE14A" w14:textId="77777777" w:rsidR="005E55DB" w:rsidRPr="003744BD" w:rsidRDefault="005E55DB" w:rsidP="0016122E">
            <w:pPr>
              <w:spacing w:after="160" w:line="360" w:lineRule="auto"/>
              <w:jc w:val="both"/>
              <w:rPr>
                <w:rFonts w:ascii="Arial" w:eastAsia="Calibri" w:hAnsi="Arial" w:cs="Arial"/>
                <w:color w:val="000000" w:themeColor="text1"/>
                <w:sz w:val="14"/>
                <w:szCs w:val="14"/>
                <w:lang w:val="en-ZA"/>
              </w:rPr>
            </w:pPr>
            <w:r w:rsidRPr="003744BD">
              <w:rPr>
                <w:rFonts w:ascii="Arial" w:eastAsia="Calibri" w:hAnsi="Arial" w:cs="Arial"/>
                <w:color w:val="000000" w:themeColor="text1"/>
                <w:sz w:val="14"/>
                <w:szCs w:val="14"/>
                <w:lang w:val="en-ZA"/>
              </w:rPr>
              <w:t>0.42</w:t>
            </w:r>
          </w:p>
        </w:tc>
        <w:tc>
          <w:tcPr>
            <w:tcW w:w="0" w:type="auto"/>
            <w:shd w:val="clear" w:color="auto" w:fill="auto"/>
            <w:noWrap/>
            <w:hideMark/>
          </w:tcPr>
          <w:p w14:paraId="35F5B238" w14:textId="77777777" w:rsidR="005E55DB" w:rsidRPr="003744BD" w:rsidRDefault="005E55DB" w:rsidP="0016122E">
            <w:pPr>
              <w:spacing w:after="160" w:line="360" w:lineRule="auto"/>
              <w:jc w:val="both"/>
              <w:rPr>
                <w:rFonts w:ascii="Arial" w:eastAsia="Calibri" w:hAnsi="Arial" w:cs="Arial"/>
                <w:color w:val="000000" w:themeColor="text1"/>
                <w:sz w:val="14"/>
                <w:szCs w:val="14"/>
                <w:lang w:val="en-ZA"/>
              </w:rPr>
            </w:pPr>
            <w:r w:rsidRPr="003744BD">
              <w:rPr>
                <w:rFonts w:ascii="Arial" w:eastAsia="Calibri" w:hAnsi="Arial" w:cs="Arial"/>
                <w:color w:val="000000" w:themeColor="text1"/>
                <w:sz w:val="14"/>
                <w:szCs w:val="14"/>
                <w:lang w:val="en-ZA"/>
              </w:rPr>
              <w:t>0.42</w:t>
            </w:r>
          </w:p>
        </w:tc>
        <w:tc>
          <w:tcPr>
            <w:tcW w:w="0" w:type="auto"/>
            <w:shd w:val="clear" w:color="auto" w:fill="auto"/>
            <w:noWrap/>
            <w:hideMark/>
          </w:tcPr>
          <w:p w14:paraId="2DC2DC1F" w14:textId="77777777" w:rsidR="005E55DB" w:rsidRPr="003744BD" w:rsidRDefault="005E55DB" w:rsidP="0016122E">
            <w:pPr>
              <w:spacing w:after="160" w:line="360" w:lineRule="auto"/>
              <w:jc w:val="both"/>
              <w:rPr>
                <w:rFonts w:ascii="Arial" w:eastAsia="Calibri" w:hAnsi="Arial" w:cs="Arial"/>
                <w:color w:val="000000" w:themeColor="text1"/>
                <w:sz w:val="14"/>
                <w:szCs w:val="14"/>
                <w:lang w:val="en-ZA"/>
              </w:rPr>
            </w:pPr>
            <w:r w:rsidRPr="003744BD">
              <w:rPr>
                <w:rFonts w:ascii="Arial" w:eastAsia="Calibri" w:hAnsi="Arial" w:cs="Arial"/>
                <w:color w:val="000000" w:themeColor="text1"/>
                <w:sz w:val="14"/>
                <w:szCs w:val="14"/>
                <w:lang w:val="en-ZA"/>
              </w:rPr>
              <w:t>0.42</w:t>
            </w:r>
          </w:p>
        </w:tc>
        <w:tc>
          <w:tcPr>
            <w:tcW w:w="0" w:type="auto"/>
            <w:shd w:val="clear" w:color="auto" w:fill="auto"/>
            <w:noWrap/>
            <w:hideMark/>
          </w:tcPr>
          <w:p w14:paraId="27835992" w14:textId="77777777" w:rsidR="005E55DB" w:rsidRPr="003744BD" w:rsidRDefault="005E55DB" w:rsidP="0016122E">
            <w:pPr>
              <w:spacing w:after="160" w:line="360" w:lineRule="auto"/>
              <w:jc w:val="both"/>
              <w:rPr>
                <w:rFonts w:ascii="Arial" w:eastAsia="Calibri" w:hAnsi="Arial" w:cs="Arial"/>
                <w:b/>
                <w:color w:val="000000" w:themeColor="text1"/>
                <w:sz w:val="14"/>
                <w:szCs w:val="14"/>
                <w:lang w:val="en-ZA"/>
              </w:rPr>
            </w:pPr>
            <w:r w:rsidRPr="003744BD">
              <w:rPr>
                <w:rFonts w:ascii="Arial" w:eastAsia="Calibri" w:hAnsi="Arial" w:cs="Arial"/>
                <w:b/>
                <w:color w:val="000000" w:themeColor="text1"/>
                <w:sz w:val="14"/>
                <w:szCs w:val="14"/>
                <w:lang w:val="en-ZA"/>
              </w:rPr>
              <w:t>2.19</w:t>
            </w:r>
          </w:p>
        </w:tc>
        <w:tc>
          <w:tcPr>
            <w:tcW w:w="0" w:type="auto"/>
            <w:shd w:val="clear" w:color="auto" w:fill="auto"/>
            <w:noWrap/>
            <w:hideMark/>
          </w:tcPr>
          <w:p w14:paraId="750FF460" w14:textId="77777777" w:rsidR="005E55DB" w:rsidRPr="003744BD" w:rsidRDefault="005E55DB" w:rsidP="0016122E">
            <w:pPr>
              <w:spacing w:after="160" w:line="360" w:lineRule="auto"/>
              <w:jc w:val="both"/>
              <w:rPr>
                <w:rFonts w:ascii="Arial" w:eastAsia="Calibri" w:hAnsi="Arial" w:cs="Arial"/>
                <w:color w:val="000000" w:themeColor="text1"/>
                <w:sz w:val="14"/>
                <w:szCs w:val="14"/>
                <w:lang w:val="en-ZA"/>
              </w:rPr>
            </w:pPr>
            <w:r w:rsidRPr="003744BD">
              <w:rPr>
                <w:rFonts w:ascii="Arial" w:eastAsia="Calibri" w:hAnsi="Arial" w:cs="Arial"/>
                <w:color w:val="000000" w:themeColor="text1"/>
                <w:sz w:val="14"/>
                <w:szCs w:val="14"/>
                <w:lang w:val="en-ZA"/>
              </w:rPr>
              <w:t>2.10</w:t>
            </w:r>
          </w:p>
        </w:tc>
        <w:tc>
          <w:tcPr>
            <w:tcW w:w="0" w:type="auto"/>
            <w:shd w:val="clear" w:color="auto" w:fill="auto"/>
            <w:noWrap/>
            <w:hideMark/>
          </w:tcPr>
          <w:p w14:paraId="001F0BE0" w14:textId="77777777" w:rsidR="005E55DB" w:rsidRPr="003744BD" w:rsidRDefault="005E55DB" w:rsidP="0016122E">
            <w:pPr>
              <w:spacing w:after="160" w:line="360" w:lineRule="auto"/>
              <w:jc w:val="both"/>
              <w:rPr>
                <w:rFonts w:ascii="Arial" w:eastAsia="Calibri" w:hAnsi="Arial" w:cs="Arial"/>
                <w:color w:val="000000" w:themeColor="text1"/>
                <w:sz w:val="14"/>
                <w:szCs w:val="14"/>
                <w:lang w:val="en-ZA"/>
              </w:rPr>
            </w:pPr>
            <w:r w:rsidRPr="003744BD">
              <w:rPr>
                <w:rFonts w:ascii="Arial" w:eastAsia="Calibri" w:hAnsi="Arial" w:cs="Arial"/>
                <w:color w:val="000000" w:themeColor="text1"/>
                <w:sz w:val="14"/>
                <w:szCs w:val="14"/>
                <w:lang w:val="en-ZA"/>
              </w:rPr>
              <w:t>2.08</w:t>
            </w:r>
          </w:p>
        </w:tc>
        <w:tc>
          <w:tcPr>
            <w:tcW w:w="0" w:type="auto"/>
            <w:shd w:val="clear" w:color="auto" w:fill="auto"/>
            <w:noWrap/>
            <w:hideMark/>
          </w:tcPr>
          <w:p w14:paraId="421753BC" w14:textId="77777777" w:rsidR="005E55DB" w:rsidRPr="003744BD" w:rsidRDefault="005E55DB" w:rsidP="0016122E">
            <w:pPr>
              <w:spacing w:after="160" w:line="360" w:lineRule="auto"/>
              <w:jc w:val="both"/>
              <w:rPr>
                <w:rFonts w:ascii="Arial" w:eastAsia="Calibri" w:hAnsi="Arial" w:cs="Arial"/>
                <w:color w:val="000000" w:themeColor="text1"/>
                <w:sz w:val="14"/>
                <w:szCs w:val="14"/>
                <w:lang w:val="en-ZA"/>
              </w:rPr>
            </w:pPr>
            <w:r w:rsidRPr="003744BD">
              <w:rPr>
                <w:rFonts w:ascii="Arial" w:eastAsia="Calibri" w:hAnsi="Arial" w:cs="Arial"/>
                <w:color w:val="000000" w:themeColor="text1"/>
                <w:sz w:val="14"/>
                <w:szCs w:val="14"/>
                <w:lang w:val="en-ZA"/>
              </w:rPr>
              <w:t>2.11</w:t>
            </w:r>
          </w:p>
        </w:tc>
        <w:tc>
          <w:tcPr>
            <w:tcW w:w="0" w:type="auto"/>
            <w:shd w:val="clear" w:color="auto" w:fill="auto"/>
            <w:noWrap/>
            <w:hideMark/>
          </w:tcPr>
          <w:p w14:paraId="13F43874" w14:textId="77777777" w:rsidR="005E55DB" w:rsidRPr="003744BD" w:rsidRDefault="005E55DB" w:rsidP="0016122E">
            <w:pPr>
              <w:spacing w:after="160" w:line="360" w:lineRule="auto"/>
              <w:jc w:val="both"/>
              <w:rPr>
                <w:rFonts w:ascii="Arial" w:eastAsia="Calibri" w:hAnsi="Arial" w:cs="Arial"/>
                <w:color w:val="000000" w:themeColor="text1"/>
                <w:sz w:val="14"/>
                <w:szCs w:val="14"/>
                <w:lang w:val="en-ZA"/>
              </w:rPr>
            </w:pPr>
            <w:r w:rsidRPr="003744BD">
              <w:rPr>
                <w:rFonts w:ascii="Arial" w:eastAsia="Calibri" w:hAnsi="Arial" w:cs="Arial"/>
                <w:color w:val="000000" w:themeColor="text1"/>
                <w:sz w:val="14"/>
                <w:szCs w:val="14"/>
                <w:lang w:val="en-ZA"/>
              </w:rPr>
              <w:t>2.03</w:t>
            </w:r>
          </w:p>
        </w:tc>
        <w:tc>
          <w:tcPr>
            <w:tcW w:w="0" w:type="auto"/>
            <w:shd w:val="clear" w:color="auto" w:fill="auto"/>
            <w:noWrap/>
            <w:hideMark/>
          </w:tcPr>
          <w:p w14:paraId="1B26843F" w14:textId="77777777" w:rsidR="005E55DB" w:rsidRPr="003744BD" w:rsidRDefault="005E55DB" w:rsidP="0016122E">
            <w:pPr>
              <w:spacing w:after="160" w:line="360" w:lineRule="auto"/>
              <w:jc w:val="both"/>
              <w:rPr>
                <w:rFonts w:ascii="Arial" w:eastAsia="Calibri" w:hAnsi="Arial" w:cs="Arial"/>
                <w:b/>
                <w:color w:val="000000" w:themeColor="text1"/>
                <w:sz w:val="14"/>
                <w:szCs w:val="14"/>
                <w:lang w:val="en-ZA"/>
              </w:rPr>
            </w:pPr>
            <w:r w:rsidRPr="003744BD">
              <w:rPr>
                <w:rFonts w:ascii="Arial" w:eastAsia="Calibri" w:hAnsi="Arial" w:cs="Arial"/>
                <w:b/>
                <w:color w:val="000000" w:themeColor="text1"/>
                <w:sz w:val="14"/>
                <w:szCs w:val="14"/>
                <w:lang w:val="en-ZA"/>
              </w:rPr>
              <w:t>1.67</w:t>
            </w:r>
          </w:p>
        </w:tc>
        <w:tc>
          <w:tcPr>
            <w:tcW w:w="0" w:type="auto"/>
            <w:shd w:val="clear" w:color="auto" w:fill="auto"/>
            <w:noWrap/>
            <w:hideMark/>
          </w:tcPr>
          <w:p w14:paraId="2FAC3104" w14:textId="77777777" w:rsidR="005E55DB" w:rsidRPr="003744BD" w:rsidRDefault="005E55DB" w:rsidP="0016122E">
            <w:pPr>
              <w:spacing w:after="160" w:line="360" w:lineRule="auto"/>
              <w:jc w:val="both"/>
              <w:rPr>
                <w:rFonts w:ascii="Arial" w:eastAsia="Calibri" w:hAnsi="Arial" w:cs="Arial"/>
                <w:color w:val="000000" w:themeColor="text1"/>
                <w:sz w:val="14"/>
                <w:szCs w:val="14"/>
                <w:lang w:val="en-ZA"/>
              </w:rPr>
            </w:pPr>
            <w:r w:rsidRPr="003744BD">
              <w:rPr>
                <w:rFonts w:ascii="Arial" w:eastAsia="Calibri" w:hAnsi="Arial" w:cs="Arial"/>
                <w:color w:val="000000" w:themeColor="text1"/>
                <w:sz w:val="14"/>
                <w:szCs w:val="14"/>
                <w:lang w:val="en-ZA"/>
              </w:rPr>
              <w:t>0.87</w:t>
            </w:r>
          </w:p>
        </w:tc>
        <w:tc>
          <w:tcPr>
            <w:tcW w:w="0" w:type="auto"/>
            <w:shd w:val="clear" w:color="auto" w:fill="auto"/>
            <w:noWrap/>
            <w:hideMark/>
          </w:tcPr>
          <w:p w14:paraId="7BE12EE8" w14:textId="77777777" w:rsidR="005E55DB" w:rsidRPr="003744BD" w:rsidRDefault="005E55DB" w:rsidP="0016122E">
            <w:pPr>
              <w:spacing w:after="160" w:line="360" w:lineRule="auto"/>
              <w:jc w:val="both"/>
              <w:rPr>
                <w:rFonts w:ascii="Arial" w:eastAsia="Calibri" w:hAnsi="Arial" w:cs="Arial"/>
                <w:color w:val="000000" w:themeColor="text1"/>
                <w:sz w:val="14"/>
                <w:szCs w:val="14"/>
                <w:lang w:val="en-ZA"/>
              </w:rPr>
            </w:pPr>
            <w:r w:rsidRPr="003744BD">
              <w:rPr>
                <w:rFonts w:ascii="Arial" w:eastAsia="Calibri" w:hAnsi="Arial" w:cs="Arial"/>
                <w:color w:val="000000" w:themeColor="text1"/>
                <w:sz w:val="14"/>
                <w:szCs w:val="14"/>
                <w:lang w:val="en-ZA"/>
              </w:rPr>
              <w:t>0.85</w:t>
            </w:r>
          </w:p>
        </w:tc>
        <w:tc>
          <w:tcPr>
            <w:tcW w:w="0" w:type="auto"/>
            <w:shd w:val="clear" w:color="auto" w:fill="auto"/>
            <w:noWrap/>
            <w:hideMark/>
          </w:tcPr>
          <w:p w14:paraId="08D16CED" w14:textId="77777777" w:rsidR="005E55DB" w:rsidRPr="003744BD" w:rsidRDefault="005E55DB" w:rsidP="0016122E">
            <w:pPr>
              <w:spacing w:after="160" w:line="360" w:lineRule="auto"/>
              <w:jc w:val="both"/>
              <w:rPr>
                <w:rFonts w:ascii="Arial" w:eastAsia="Calibri" w:hAnsi="Arial" w:cs="Arial"/>
                <w:color w:val="000000" w:themeColor="text1"/>
                <w:sz w:val="14"/>
                <w:szCs w:val="14"/>
                <w:lang w:val="en-ZA"/>
              </w:rPr>
            </w:pPr>
            <w:r w:rsidRPr="003744BD">
              <w:rPr>
                <w:rFonts w:ascii="Arial" w:eastAsia="Calibri" w:hAnsi="Arial" w:cs="Arial"/>
                <w:color w:val="000000" w:themeColor="text1"/>
                <w:sz w:val="14"/>
                <w:szCs w:val="14"/>
                <w:lang w:val="en-ZA"/>
              </w:rPr>
              <w:t>0.78</w:t>
            </w:r>
          </w:p>
        </w:tc>
        <w:tc>
          <w:tcPr>
            <w:tcW w:w="0" w:type="auto"/>
            <w:shd w:val="clear" w:color="auto" w:fill="auto"/>
            <w:noWrap/>
            <w:hideMark/>
          </w:tcPr>
          <w:p w14:paraId="654C7046" w14:textId="77777777" w:rsidR="005E55DB" w:rsidRPr="003744BD" w:rsidRDefault="005E55DB" w:rsidP="0016122E">
            <w:pPr>
              <w:spacing w:after="160" w:line="360" w:lineRule="auto"/>
              <w:jc w:val="both"/>
              <w:rPr>
                <w:rFonts w:ascii="Arial" w:eastAsia="Calibri" w:hAnsi="Arial" w:cs="Arial"/>
                <w:color w:val="000000" w:themeColor="text1"/>
                <w:sz w:val="14"/>
                <w:szCs w:val="14"/>
                <w:lang w:val="en-ZA"/>
              </w:rPr>
            </w:pPr>
            <w:r w:rsidRPr="003744BD">
              <w:rPr>
                <w:rFonts w:ascii="Arial" w:eastAsia="Calibri" w:hAnsi="Arial" w:cs="Arial"/>
                <w:color w:val="000000" w:themeColor="text1"/>
                <w:sz w:val="14"/>
                <w:szCs w:val="14"/>
                <w:lang w:val="en-ZA"/>
              </w:rPr>
              <w:t>0.84</w:t>
            </w:r>
          </w:p>
        </w:tc>
        <w:tc>
          <w:tcPr>
            <w:tcW w:w="0" w:type="auto"/>
            <w:shd w:val="clear" w:color="auto" w:fill="auto"/>
            <w:noWrap/>
            <w:hideMark/>
          </w:tcPr>
          <w:p w14:paraId="407C25C4" w14:textId="77777777" w:rsidR="005E55DB" w:rsidRPr="003744BD" w:rsidRDefault="005E55DB" w:rsidP="0016122E">
            <w:pPr>
              <w:spacing w:after="160" w:line="360" w:lineRule="auto"/>
              <w:jc w:val="both"/>
              <w:rPr>
                <w:rFonts w:ascii="Arial" w:eastAsia="Calibri" w:hAnsi="Arial" w:cs="Arial"/>
                <w:b/>
                <w:color w:val="000000" w:themeColor="text1"/>
                <w:sz w:val="14"/>
                <w:szCs w:val="14"/>
                <w:lang w:val="en-ZA"/>
              </w:rPr>
            </w:pPr>
            <w:r w:rsidRPr="003744BD">
              <w:rPr>
                <w:rFonts w:ascii="Arial" w:eastAsia="Calibri" w:hAnsi="Arial" w:cs="Arial"/>
                <w:b/>
                <w:color w:val="000000" w:themeColor="text1"/>
                <w:sz w:val="14"/>
                <w:szCs w:val="14"/>
                <w:lang w:val="en-ZA"/>
              </w:rPr>
              <w:t>4.70</w:t>
            </w:r>
          </w:p>
        </w:tc>
      </w:tr>
      <w:tr w:rsidR="00601168" w:rsidRPr="003744BD" w14:paraId="2F17997E" w14:textId="77777777" w:rsidTr="000946CA">
        <w:trPr>
          <w:trHeight w:val="300"/>
        </w:trPr>
        <w:tc>
          <w:tcPr>
            <w:tcW w:w="0" w:type="auto"/>
            <w:tcBorders>
              <w:bottom w:val="single" w:sz="12" w:space="0" w:color="auto"/>
            </w:tcBorders>
            <w:shd w:val="clear" w:color="auto" w:fill="auto"/>
            <w:noWrap/>
            <w:hideMark/>
          </w:tcPr>
          <w:p w14:paraId="6AEF2B51" w14:textId="26E9FEF2" w:rsidR="005E55DB" w:rsidRPr="003744BD" w:rsidRDefault="00EC4AD4" w:rsidP="0016122E">
            <w:pPr>
              <w:spacing w:after="160" w:line="360" w:lineRule="auto"/>
              <w:jc w:val="both"/>
              <w:rPr>
                <w:rFonts w:ascii="Arial" w:eastAsia="Calibri" w:hAnsi="Arial" w:cs="Arial"/>
                <w:color w:val="000000" w:themeColor="text1"/>
                <w:sz w:val="14"/>
                <w:szCs w:val="14"/>
                <w:lang w:val="en-ZA"/>
              </w:rPr>
            </w:pPr>
            <w:r w:rsidRPr="003744BD">
              <w:rPr>
                <w:rFonts w:ascii="Arial" w:eastAsia="Calibri" w:hAnsi="Arial" w:cs="Arial"/>
                <w:color w:val="000000" w:themeColor="text1"/>
                <w:sz w:val="14"/>
                <w:szCs w:val="14"/>
                <w:lang w:val="en-ZA"/>
              </w:rPr>
              <w:t>50390902B</w:t>
            </w:r>
          </w:p>
        </w:tc>
        <w:tc>
          <w:tcPr>
            <w:tcW w:w="0" w:type="auto"/>
            <w:tcBorders>
              <w:bottom w:val="single" w:sz="12" w:space="0" w:color="auto"/>
            </w:tcBorders>
            <w:shd w:val="clear" w:color="auto" w:fill="auto"/>
            <w:noWrap/>
            <w:hideMark/>
          </w:tcPr>
          <w:p w14:paraId="745DA2A1" w14:textId="77777777" w:rsidR="005E55DB" w:rsidRPr="003744BD" w:rsidRDefault="005E55DB" w:rsidP="0016122E">
            <w:pPr>
              <w:spacing w:after="160" w:line="360" w:lineRule="auto"/>
              <w:jc w:val="both"/>
              <w:rPr>
                <w:rFonts w:ascii="Arial" w:eastAsia="Calibri" w:hAnsi="Arial" w:cs="Arial"/>
                <w:color w:val="000000" w:themeColor="text1"/>
                <w:sz w:val="14"/>
                <w:szCs w:val="14"/>
                <w:lang w:val="en-ZA"/>
              </w:rPr>
            </w:pPr>
            <w:r w:rsidRPr="003744BD">
              <w:rPr>
                <w:rFonts w:ascii="Arial" w:eastAsia="Calibri" w:hAnsi="Arial" w:cs="Arial"/>
                <w:color w:val="000000" w:themeColor="text1"/>
                <w:sz w:val="14"/>
                <w:szCs w:val="14"/>
                <w:lang w:val="en-ZA"/>
              </w:rPr>
              <w:t>0.82</w:t>
            </w:r>
          </w:p>
        </w:tc>
        <w:tc>
          <w:tcPr>
            <w:tcW w:w="0" w:type="auto"/>
            <w:tcBorders>
              <w:bottom w:val="single" w:sz="12" w:space="0" w:color="auto"/>
            </w:tcBorders>
            <w:shd w:val="clear" w:color="auto" w:fill="auto"/>
            <w:noWrap/>
            <w:hideMark/>
          </w:tcPr>
          <w:p w14:paraId="47350362" w14:textId="77777777" w:rsidR="005E55DB" w:rsidRPr="003744BD" w:rsidRDefault="005E55DB" w:rsidP="0016122E">
            <w:pPr>
              <w:spacing w:after="160" w:line="360" w:lineRule="auto"/>
              <w:jc w:val="both"/>
              <w:rPr>
                <w:rFonts w:ascii="Arial" w:eastAsia="Calibri" w:hAnsi="Arial" w:cs="Arial"/>
                <w:color w:val="000000" w:themeColor="text1"/>
                <w:sz w:val="14"/>
                <w:szCs w:val="14"/>
                <w:lang w:val="en-ZA"/>
              </w:rPr>
            </w:pPr>
            <w:r w:rsidRPr="003744BD">
              <w:rPr>
                <w:rFonts w:ascii="Arial" w:eastAsia="Calibri" w:hAnsi="Arial" w:cs="Arial"/>
                <w:color w:val="000000" w:themeColor="text1"/>
                <w:sz w:val="14"/>
                <w:szCs w:val="14"/>
                <w:lang w:val="en-ZA"/>
              </w:rPr>
              <w:t>0.80</w:t>
            </w:r>
          </w:p>
        </w:tc>
        <w:tc>
          <w:tcPr>
            <w:tcW w:w="0" w:type="auto"/>
            <w:tcBorders>
              <w:bottom w:val="single" w:sz="12" w:space="0" w:color="auto"/>
            </w:tcBorders>
            <w:shd w:val="clear" w:color="auto" w:fill="auto"/>
            <w:noWrap/>
            <w:hideMark/>
          </w:tcPr>
          <w:p w14:paraId="57CF9B0B" w14:textId="77777777" w:rsidR="005E55DB" w:rsidRPr="003744BD" w:rsidRDefault="005E55DB" w:rsidP="0016122E">
            <w:pPr>
              <w:spacing w:after="160" w:line="360" w:lineRule="auto"/>
              <w:jc w:val="both"/>
              <w:rPr>
                <w:rFonts w:ascii="Arial" w:eastAsia="Calibri" w:hAnsi="Arial" w:cs="Arial"/>
                <w:color w:val="000000" w:themeColor="text1"/>
                <w:sz w:val="14"/>
                <w:szCs w:val="14"/>
                <w:lang w:val="en-ZA"/>
              </w:rPr>
            </w:pPr>
            <w:r w:rsidRPr="003744BD">
              <w:rPr>
                <w:rFonts w:ascii="Arial" w:eastAsia="Calibri" w:hAnsi="Arial" w:cs="Arial"/>
                <w:color w:val="000000" w:themeColor="text1"/>
                <w:sz w:val="14"/>
                <w:szCs w:val="14"/>
                <w:lang w:val="en-ZA"/>
              </w:rPr>
              <w:t>0.81</w:t>
            </w:r>
          </w:p>
        </w:tc>
        <w:tc>
          <w:tcPr>
            <w:tcW w:w="0" w:type="auto"/>
            <w:tcBorders>
              <w:bottom w:val="single" w:sz="12" w:space="0" w:color="auto"/>
            </w:tcBorders>
            <w:shd w:val="clear" w:color="auto" w:fill="auto"/>
            <w:noWrap/>
            <w:hideMark/>
          </w:tcPr>
          <w:p w14:paraId="527BEA09" w14:textId="77777777" w:rsidR="005E55DB" w:rsidRPr="003744BD" w:rsidRDefault="005E55DB" w:rsidP="0016122E">
            <w:pPr>
              <w:spacing w:after="160" w:line="360" w:lineRule="auto"/>
              <w:jc w:val="both"/>
              <w:rPr>
                <w:rFonts w:ascii="Arial" w:eastAsia="Calibri" w:hAnsi="Arial" w:cs="Arial"/>
                <w:color w:val="000000" w:themeColor="text1"/>
                <w:sz w:val="14"/>
                <w:szCs w:val="14"/>
                <w:lang w:val="en-ZA"/>
              </w:rPr>
            </w:pPr>
            <w:r w:rsidRPr="003744BD">
              <w:rPr>
                <w:rFonts w:ascii="Arial" w:eastAsia="Calibri" w:hAnsi="Arial" w:cs="Arial"/>
                <w:color w:val="000000" w:themeColor="text1"/>
                <w:sz w:val="14"/>
                <w:szCs w:val="14"/>
                <w:lang w:val="en-ZA"/>
              </w:rPr>
              <w:t>0.81</w:t>
            </w:r>
          </w:p>
        </w:tc>
        <w:tc>
          <w:tcPr>
            <w:tcW w:w="0" w:type="auto"/>
            <w:tcBorders>
              <w:bottom w:val="single" w:sz="12" w:space="0" w:color="auto"/>
            </w:tcBorders>
            <w:shd w:val="clear" w:color="auto" w:fill="auto"/>
            <w:noWrap/>
            <w:hideMark/>
          </w:tcPr>
          <w:p w14:paraId="76CE2A77" w14:textId="77777777" w:rsidR="005E55DB" w:rsidRPr="003744BD" w:rsidRDefault="005E55DB" w:rsidP="0016122E">
            <w:pPr>
              <w:spacing w:after="160" w:line="360" w:lineRule="auto"/>
              <w:jc w:val="both"/>
              <w:rPr>
                <w:rFonts w:ascii="Arial" w:eastAsia="Calibri" w:hAnsi="Arial" w:cs="Arial"/>
                <w:b/>
                <w:color w:val="000000" w:themeColor="text1"/>
                <w:sz w:val="14"/>
                <w:szCs w:val="14"/>
                <w:lang w:val="en-ZA"/>
              </w:rPr>
            </w:pPr>
            <w:r w:rsidRPr="003744BD">
              <w:rPr>
                <w:rFonts w:ascii="Arial" w:eastAsia="Calibri" w:hAnsi="Arial" w:cs="Arial"/>
                <w:b/>
                <w:color w:val="000000" w:themeColor="text1"/>
                <w:sz w:val="14"/>
                <w:szCs w:val="14"/>
                <w:lang w:val="en-ZA"/>
              </w:rPr>
              <w:t>0.94</w:t>
            </w:r>
          </w:p>
        </w:tc>
        <w:tc>
          <w:tcPr>
            <w:tcW w:w="0" w:type="auto"/>
            <w:tcBorders>
              <w:bottom w:val="single" w:sz="12" w:space="0" w:color="auto"/>
            </w:tcBorders>
            <w:shd w:val="clear" w:color="auto" w:fill="auto"/>
            <w:noWrap/>
            <w:hideMark/>
          </w:tcPr>
          <w:p w14:paraId="5E401735" w14:textId="77777777" w:rsidR="005E55DB" w:rsidRPr="003744BD" w:rsidRDefault="005E55DB" w:rsidP="0016122E">
            <w:pPr>
              <w:spacing w:after="160" w:line="360" w:lineRule="auto"/>
              <w:jc w:val="both"/>
              <w:rPr>
                <w:rFonts w:ascii="Arial" w:eastAsia="Calibri" w:hAnsi="Arial" w:cs="Arial"/>
                <w:color w:val="000000" w:themeColor="text1"/>
                <w:sz w:val="14"/>
                <w:szCs w:val="14"/>
                <w:lang w:val="en-ZA"/>
              </w:rPr>
            </w:pPr>
            <w:r w:rsidRPr="003744BD">
              <w:rPr>
                <w:rFonts w:ascii="Arial" w:eastAsia="Calibri" w:hAnsi="Arial" w:cs="Arial"/>
                <w:color w:val="000000" w:themeColor="text1"/>
                <w:sz w:val="14"/>
                <w:szCs w:val="14"/>
                <w:lang w:val="en-ZA"/>
              </w:rPr>
              <w:t>2.87</w:t>
            </w:r>
          </w:p>
        </w:tc>
        <w:tc>
          <w:tcPr>
            <w:tcW w:w="0" w:type="auto"/>
            <w:tcBorders>
              <w:bottom w:val="single" w:sz="12" w:space="0" w:color="auto"/>
            </w:tcBorders>
            <w:shd w:val="clear" w:color="auto" w:fill="auto"/>
            <w:noWrap/>
            <w:hideMark/>
          </w:tcPr>
          <w:p w14:paraId="5BC72F62" w14:textId="77777777" w:rsidR="005E55DB" w:rsidRPr="003744BD" w:rsidRDefault="005E55DB" w:rsidP="0016122E">
            <w:pPr>
              <w:spacing w:after="160" w:line="360" w:lineRule="auto"/>
              <w:jc w:val="both"/>
              <w:rPr>
                <w:rFonts w:ascii="Arial" w:eastAsia="Calibri" w:hAnsi="Arial" w:cs="Arial"/>
                <w:color w:val="000000" w:themeColor="text1"/>
                <w:sz w:val="14"/>
                <w:szCs w:val="14"/>
                <w:lang w:val="en-ZA"/>
              </w:rPr>
            </w:pPr>
            <w:r w:rsidRPr="003744BD">
              <w:rPr>
                <w:rFonts w:ascii="Arial" w:eastAsia="Calibri" w:hAnsi="Arial" w:cs="Arial"/>
                <w:color w:val="000000" w:themeColor="text1"/>
                <w:sz w:val="14"/>
                <w:szCs w:val="14"/>
                <w:lang w:val="en-ZA"/>
              </w:rPr>
              <w:t>2.82</w:t>
            </w:r>
          </w:p>
        </w:tc>
        <w:tc>
          <w:tcPr>
            <w:tcW w:w="0" w:type="auto"/>
            <w:tcBorders>
              <w:bottom w:val="single" w:sz="12" w:space="0" w:color="auto"/>
            </w:tcBorders>
            <w:shd w:val="clear" w:color="auto" w:fill="auto"/>
            <w:noWrap/>
            <w:hideMark/>
          </w:tcPr>
          <w:p w14:paraId="0371A85C" w14:textId="77777777" w:rsidR="005E55DB" w:rsidRPr="003744BD" w:rsidRDefault="005E55DB" w:rsidP="0016122E">
            <w:pPr>
              <w:spacing w:after="160" w:line="360" w:lineRule="auto"/>
              <w:jc w:val="both"/>
              <w:rPr>
                <w:rFonts w:ascii="Arial" w:eastAsia="Calibri" w:hAnsi="Arial" w:cs="Arial"/>
                <w:color w:val="000000" w:themeColor="text1"/>
                <w:sz w:val="14"/>
                <w:szCs w:val="14"/>
                <w:lang w:val="en-ZA"/>
              </w:rPr>
            </w:pPr>
            <w:r w:rsidRPr="003744BD">
              <w:rPr>
                <w:rFonts w:ascii="Arial" w:eastAsia="Calibri" w:hAnsi="Arial" w:cs="Arial"/>
                <w:color w:val="000000" w:themeColor="text1"/>
                <w:sz w:val="14"/>
                <w:szCs w:val="14"/>
                <w:lang w:val="en-ZA"/>
              </w:rPr>
              <w:t>2.82</w:t>
            </w:r>
          </w:p>
        </w:tc>
        <w:tc>
          <w:tcPr>
            <w:tcW w:w="0" w:type="auto"/>
            <w:tcBorders>
              <w:bottom w:val="single" w:sz="12" w:space="0" w:color="auto"/>
            </w:tcBorders>
            <w:shd w:val="clear" w:color="auto" w:fill="auto"/>
            <w:noWrap/>
            <w:hideMark/>
          </w:tcPr>
          <w:p w14:paraId="3A547829" w14:textId="77777777" w:rsidR="005E55DB" w:rsidRPr="003744BD" w:rsidRDefault="005E55DB" w:rsidP="0016122E">
            <w:pPr>
              <w:spacing w:after="160" w:line="360" w:lineRule="auto"/>
              <w:jc w:val="both"/>
              <w:rPr>
                <w:rFonts w:ascii="Arial" w:eastAsia="Calibri" w:hAnsi="Arial" w:cs="Arial"/>
                <w:color w:val="000000" w:themeColor="text1"/>
                <w:sz w:val="14"/>
                <w:szCs w:val="14"/>
                <w:lang w:val="en-ZA"/>
              </w:rPr>
            </w:pPr>
            <w:r w:rsidRPr="003744BD">
              <w:rPr>
                <w:rFonts w:ascii="Arial" w:eastAsia="Calibri" w:hAnsi="Arial" w:cs="Arial"/>
                <w:color w:val="000000" w:themeColor="text1"/>
                <w:sz w:val="14"/>
                <w:szCs w:val="14"/>
                <w:lang w:val="en-ZA"/>
              </w:rPr>
              <w:t>2.79</w:t>
            </w:r>
          </w:p>
        </w:tc>
        <w:tc>
          <w:tcPr>
            <w:tcW w:w="0" w:type="auto"/>
            <w:tcBorders>
              <w:bottom w:val="single" w:sz="12" w:space="0" w:color="auto"/>
            </w:tcBorders>
            <w:shd w:val="clear" w:color="auto" w:fill="auto"/>
            <w:noWrap/>
            <w:hideMark/>
          </w:tcPr>
          <w:p w14:paraId="55929336" w14:textId="77777777" w:rsidR="005E55DB" w:rsidRPr="003744BD" w:rsidRDefault="005E55DB" w:rsidP="0016122E">
            <w:pPr>
              <w:spacing w:after="160" w:line="360" w:lineRule="auto"/>
              <w:jc w:val="both"/>
              <w:rPr>
                <w:rFonts w:ascii="Arial" w:eastAsia="Calibri" w:hAnsi="Arial" w:cs="Arial"/>
                <w:b/>
                <w:color w:val="000000" w:themeColor="text1"/>
                <w:sz w:val="14"/>
                <w:szCs w:val="14"/>
                <w:lang w:val="en-ZA"/>
              </w:rPr>
            </w:pPr>
            <w:r w:rsidRPr="003744BD">
              <w:rPr>
                <w:rFonts w:ascii="Arial" w:eastAsia="Calibri" w:hAnsi="Arial" w:cs="Arial"/>
                <w:b/>
                <w:color w:val="000000" w:themeColor="text1"/>
                <w:sz w:val="14"/>
                <w:szCs w:val="14"/>
                <w:lang w:val="en-ZA"/>
              </w:rPr>
              <w:t>1.10</w:t>
            </w:r>
          </w:p>
        </w:tc>
        <w:tc>
          <w:tcPr>
            <w:tcW w:w="0" w:type="auto"/>
            <w:tcBorders>
              <w:bottom w:val="single" w:sz="12" w:space="0" w:color="auto"/>
            </w:tcBorders>
            <w:shd w:val="clear" w:color="auto" w:fill="auto"/>
            <w:noWrap/>
            <w:hideMark/>
          </w:tcPr>
          <w:p w14:paraId="7326620B" w14:textId="77777777" w:rsidR="005E55DB" w:rsidRPr="003744BD" w:rsidRDefault="005E55DB" w:rsidP="0016122E">
            <w:pPr>
              <w:spacing w:after="160" w:line="360" w:lineRule="auto"/>
              <w:jc w:val="both"/>
              <w:rPr>
                <w:rFonts w:ascii="Arial" w:eastAsia="Calibri" w:hAnsi="Arial" w:cs="Arial"/>
                <w:color w:val="000000" w:themeColor="text1"/>
                <w:sz w:val="14"/>
                <w:szCs w:val="14"/>
                <w:lang w:val="en-ZA"/>
              </w:rPr>
            </w:pPr>
            <w:r w:rsidRPr="003744BD">
              <w:rPr>
                <w:rFonts w:ascii="Arial" w:eastAsia="Calibri" w:hAnsi="Arial" w:cs="Arial"/>
                <w:color w:val="000000" w:themeColor="text1"/>
                <w:sz w:val="14"/>
                <w:szCs w:val="14"/>
                <w:lang w:val="en-ZA"/>
              </w:rPr>
              <w:t>0.11</w:t>
            </w:r>
          </w:p>
        </w:tc>
        <w:tc>
          <w:tcPr>
            <w:tcW w:w="0" w:type="auto"/>
            <w:tcBorders>
              <w:bottom w:val="single" w:sz="12" w:space="0" w:color="auto"/>
            </w:tcBorders>
            <w:shd w:val="clear" w:color="auto" w:fill="auto"/>
            <w:noWrap/>
            <w:hideMark/>
          </w:tcPr>
          <w:p w14:paraId="228C41A0" w14:textId="77777777" w:rsidR="005E55DB" w:rsidRPr="003744BD" w:rsidRDefault="005E55DB" w:rsidP="0016122E">
            <w:pPr>
              <w:spacing w:after="160" w:line="360" w:lineRule="auto"/>
              <w:jc w:val="both"/>
              <w:rPr>
                <w:rFonts w:ascii="Arial" w:eastAsia="Calibri" w:hAnsi="Arial" w:cs="Arial"/>
                <w:color w:val="000000" w:themeColor="text1"/>
                <w:sz w:val="14"/>
                <w:szCs w:val="14"/>
                <w:lang w:val="en-ZA"/>
              </w:rPr>
            </w:pPr>
            <w:r w:rsidRPr="003744BD">
              <w:rPr>
                <w:rFonts w:ascii="Arial" w:eastAsia="Calibri" w:hAnsi="Arial" w:cs="Arial"/>
                <w:color w:val="000000" w:themeColor="text1"/>
                <w:sz w:val="14"/>
                <w:szCs w:val="14"/>
                <w:lang w:val="en-ZA"/>
              </w:rPr>
              <w:t>0.10</w:t>
            </w:r>
          </w:p>
        </w:tc>
        <w:tc>
          <w:tcPr>
            <w:tcW w:w="0" w:type="auto"/>
            <w:tcBorders>
              <w:bottom w:val="single" w:sz="12" w:space="0" w:color="auto"/>
            </w:tcBorders>
            <w:shd w:val="clear" w:color="auto" w:fill="auto"/>
            <w:noWrap/>
            <w:hideMark/>
          </w:tcPr>
          <w:p w14:paraId="79BE53E3" w14:textId="77777777" w:rsidR="005E55DB" w:rsidRPr="003744BD" w:rsidRDefault="005E55DB" w:rsidP="0016122E">
            <w:pPr>
              <w:spacing w:after="160" w:line="360" w:lineRule="auto"/>
              <w:jc w:val="both"/>
              <w:rPr>
                <w:rFonts w:ascii="Arial" w:eastAsia="Calibri" w:hAnsi="Arial" w:cs="Arial"/>
                <w:color w:val="000000" w:themeColor="text1"/>
                <w:sz w:val="14"/>
                <w:szCs w:val="14"/>
                <w:lang w:val="en-ZA"/>
              </w:rPr>
            </w:pPr>
            <w:r w:rsidRPr="003744BD">
              <w:rPr>
                <w:rFonts w:ascii="Arial" w:eastAsia="Calibri" w:hAnsi="Arial" w:cs="Arial"/>
                <w:color w:val="000000" w:themeColor="text1"/>
                <w:sz w:val="14"/>
                <w:szCs w:val="14"/>
                <w:lang w:val="en-ZA"/>
              </w:rPr>
              <w:t>0.10</w:t>
            </w:r>
          </w:p>
        </w:tc>
        <w:tc>
          <w:tcPr>
            <w:tcW w:w="0" w:type="auto"/>
            <w:tcBorders>
              <w:bottom w:val="single" w:sz="12" w:space="0" w:color="auto"/>
            </w:tcBorders>
            <w:shd w:val="clear" w:color="auto" w:fill="auto"/>
            <w:noWrap/>
            <w:hideMark/>
          </w:tcPr>
          <w:p w14:paraId="15A53795" w14:textId="77777777" w:rsidR="005E55DB" w:rsidRPr="003744BD" w:rsidRDefault="005E55DB" w:rsidP="0016122E">
            <w:pPr>
              <w:spacing w:after="160" w:line="360" w:lineRule="auto"/>
              <w:jc w:val="both"/>
              <w:rPr>
                <w:rFonts w:ascii="Arial" w:eastAsia="Calibri" w:hAnsi="Arial" w:cs="Arial"/>
                <w:color w:val="000000" w:themeColor="text1"/>
                <w:sz w:val="14"/>
                <w:szCs w:val="14"/>
                <w:lang w:val="en-ZA"/>
              </w:rPr>
            </w:pPr>
            <w:r w:rsidRPr="003744BD">
              <w:rPr>
                <w:rFonts w:ascii="Arial" w:eastAsia="Calibri" w:hAnsi="Arial" w:cs="Arial"/>
                <w:color w:val="000000" w:themeColor="text1"/>
                <w:sz w:val="14"/>
                <w:szCs w:val="14"/>
                <w:lang w:val="en-ZA"/>
              </w:rPr>
              <w:t>0.10</w:t>
            </w:r>
          </w:p>
        </w:tc>
        <w:tc>
          <w:tcPr>
            <w:tcW w:w="0" w:type="auto"/>
            <w:tcBorders>
              <w:bottom w:val="single" w:sz="12" w:space="0" w:color="auto"/>
            </w:tcBorders>
            <w:shd w:val="clear" w:color="auto" w:fill="auto"/>
            <w:noWrap/>
            <w:hideMark/>
          </w:tcPr>
          <w:p w14:paraId="7E521C60" w14:textId="77777777" w:rsidR="005E55DB" w:rsidRPr="003744BD" w:rsidRDefault="005E55DB" w:rsidP="0016122E">
            <w:pPr>
              <w:spacing w:after="160" w:line="360" w:lineRule="auto"/>
              <w:jc w:val="both"/>
              <w:rPr>
                <w:rFonts w:ascii="Arial" w:eastAsia="Calibri" w:hAnsi="Arial" w:cs="Arial"/>
                <w:b/>
                <w:color w:val="000000" w:themeColor="text1"/>
                <w:sz w:val="14"/>
                <w:szCs w:val="14"/>
                <w:lang w:val="en-ZA"/>
              </w:rPr>
            </w:pPr>
            <w:r w:rsidRPr="003744BD">
              <w:rPr>
                <w:rFonts w:ascii="Arial" w:eastAsia="Calibri" w:hAnsi="Arial" w:cs="Arial"/>
                <w:b/>
                <w:color w:val="000000" w:themeColor="text1"/>
                <w:sz w:val="14"/>
                <w:szCs w:val="14"/>
                <w:lang w:val="en-ZA"/>
              </w:rPr>
              <w:t>6.36</w:t>
            </w:r>
          </w:p>
        </w:tc>
      </w:tr>
    </w:tbl>
    <w:p w14:paraId="2864199D" w14:textId="77777777" w:rsidR="005E55DB" w:rsidRPr="003A2A60" w:rsidRDefault="005E55DB" w:rsidP="0016122E">
      <w:pPr>
        <w:spacing w:line="360" w:lineRule="auto"/>
        <w:jc w:val="both"/>
        <w:rPr>
          <w:rFonts w:ascii="Arial" w:eastAsia="Calibri" w:hAnsi="Arial" w:cs="Arial"/>
          <w:color w:val="000000" w:themeColor="text1"/>
          <w:sz w:val="20"/>
          <w:szCs w:val="20"/>
          <w:lang w:val="en-ZA"/>
        </w:rPr>
      </w:pPr>
      <w:r w:rsidRPr="003A2A60">
        <w:rPr>
          <w:rFonts w:ascii="Arial" w:eastAsia="Calibri" w:hAnsi="Arial" w:cs="Arial"/>
          <w:color w:val="000000" w:themeColor="text1"/>
          <w:sz w:val="20"/>
          <w:szCs w:val="20"/>
          <w:lang w:val="en-ZA"/>
        </w:rPr>
        <w:t>&lt; QL = below quantification limit</w:t>
      </w:r>
    </w:p>
    <w:p w14:paraId="23376D09" w14:textId="77777777" w:rsidR="005E55DB" w:rsidRPr="003A2A60" w:rsidRDefault="005E55DB" w:rsidP="0016122E">
      <w:pPr>
        <w:spacing w:line="360" w:lineRule="auto"/>
        <w:jc w:val="both"/>
        <w:rPr>
          <w:rFonts w:ascii="Arial" w:eastAsia="Calibri" w:hAnsi="Arial" w:cs="Arial"/>
          <w:color w:val="000000" w:themeColor="text1"/>
          <w:sz w:val="20"/>
          <w:szCs w:val="20"/>
          <w:lang w:val="en-ZA"/>
        </w:rPr>
      </w:pPr>
      <w:proofErr w:type="spellStart"/>
      <w:r w:rsidRPr="003A2A60">
        <w:rPr>
          <w:rFonts w:ascii="Arial" w:eastAsia="Calibri" w:hAnsi="Arial" w:cs="Arial"/>
          <w:color w:val="000000" w:themeColor="text1"/>
          <w:sz w:val="20"/>
          <w:szCs w:val="20"/>
          <w:lang w:val="en-ZA"/>
        </w:rPr>
        <w:t>nd</w:t>
      </w:r>
      <w:proofErr w:type="spellEnd"/>
      <w:r w:rsidRPr="003A2A60">
        <w:rPr>
          <w:rFonts w:ascii="Arial" w:eastAsia="Calibri" w:hAnsi="Arial" w:cs="Arial"/>
          <w:color w:val="000000" w:themeColor="text1"/>
          <w:sz w:val="20"/>
          <w:szCs w:val="20"/>
          <w:lang w:val="en-ZA"/>
        </w:rPr>
        <w:t xml:space="preserve"> = not detected  </w:t>
      </w:r>
    </w:p>
    <w:p w14:paraId="043CCE5A" w14:textId="77777777" w:rsidR="00094B0F" w:rsidRPr="00F13C54" w:rsidRDefault="00094B0F" w:rsidP="0016122E">
      <w:pPr>
        <w:spacing w:line="360" w:lineRule="auto"/>
        <w:rPr>
          <w:rFonts w:ascii="Arial" w:hAnsi="Arial" w:cs="Arial"/>
          <w:b/>
          <w:bCs/>
          <w:color w:val="000000" w:themeColor="text1"/>
          <w:sz w:val="22"/>
          <w:szCs w:val="22"/>
        </w:rPr>
      </w:pPr>
    </w:p>
    <w:p w14:paraId="0B45BBDF" w14:textId="44C48C4A" w:rsidR="00094B0F" w:rsidRDefault="00007F0E" w:rsidP="0016122E">
      <w:pPr>
        <w:spacing w:line="360" w:lineRule="auto"/>
        <w:jc w:val="both"/>
        <w:rPr>
          <w:rFonts w:ascii="Arial" w:hAnsi="Arial" w:cs="Arial"/>
          <w:color w:val="000000" w:themeColor="text1"/>
          <w:sz w:val="22"/>
          <w:szCs w:val="22"/>
        </w:rPr>
      </w:pPr>
      <w:r w:rsidRPr="00F13C54">
        <w:rPr>
          <w:rFonts w:ascii="Arial" w:hAnsi="Arial" w:cs="Arial"/>
          <w:color w:val="000000" w:themeColor="text1"/>
          <w:sz w:val="22"/>
          <w:szCs w:val="22"/>
        </w:rPr>
        <w:t>To demonstrate that the extracts of casework</w:t>
      </w:r>
      <w:r w:rsidR="000E7F8E" w:rsidRPr="00F13C54">
        <w:rPr>
          <w:rFonts w:ascii="Arial" w:hAnsi="Arial" w:cs="Arial"/>
          <w:color w:val="000000" w:themeColor="text1"/>
          <w:sz w:val="22"/>
          <w:szCs w:val="22"/>
        </w:rPr>
        <w:t xml:space="preserve"> samples are stable for up to 72</w:t>
      </w:r>
      <w:r w:rsidRPr="00F13C54">
        <w:rPr>
          <w:rFonts w:ascii="Arial" w:hAnsi="Arial" w:cs="Arial"/>
          <w:color w:val="000000" w:themeColor="text1"/>
          <w:sz w:val="22"/>
          <w:szCs w:val="22"/>
        </w:rPr>
        <w:t xml:space="preserve"> hours after extraction</w:t>
      </w:r>
      <w:r w:rsidR="00350A2B" w:rsidRPr="00F13C54">
        <w:rPr>
          <w:rFonts w:ascii="Arial" w:hAnsi="Arial" w:cs="Arial"/>
          <w:color w:val="000000" w:themeColor="text1"/>
          <w:sz w:val="22"/>
          <w:szCs w:val="22"/>
        </w:rPr>
        <w:t>,</w:t>
      </w:r>
      <w:r w:rsidRPr="00F13C54">
        <w:rPr>
          <w:rFonts w:ascii="Arial" w:hAnsi="Arial" w:cs="Arial"/>
          <w:color w:val="000000" w:themeColor="text1"/>
          <w:sz w:val="22"/>
          <w:szCs w:val="22"/>
        </w:rPr>
        <w:t xml:space="preserve"> chromatographic analysis of the five c</w:t>
      </w:r>
      <w:r w:rsidR="000C51B5" w:rsidRPr="00F13C54">
        <w:rPr>
          <w:rFonts w:ascii="Arial" w:hAnsi="Arial" w:cs="Arial"/>
          <w:color w:val="000000" w:themeColor="text1"/>
          <w:sz w:val="22"/>
          <w:szCs w:val="22"/>
        </w:rPr>
        <w:t xml:space="preserve">asework samples was </w:t>
      </w:r>
      <w:proofErr w:type="gramStart"/>
      <w:r w:rsidR="000C51B5" w:rsidRPr="00F13C54">
        <w:rPr>
          <w:rFonts w:ascii="Arial" w:hAnsi="Arial" w:cs="Arial"/>
          <w:color w:val="000000" w:themeColor="text1"/>
          <w:sz w:val="22"/>
          <w:szCs w:val="22"/>
        </w:rPr>
        <w:t>undertaken.</w:t>
      </w:r>
      <w:r w:rsidR="000E7F8E" w:rsidRPr="00F13C54">
        <w:rPr>
          <w:rFonts w:ascii="Arial" w:hAnsi="Arial" w:cs="Arial"/>
          <w:color w:val="000000" w:themeColor="text1"/>
          <w:sz w:val="22"/>
          <w:szCs w:val="22"/>
          <w:lang w:val="en-ZA"/>
        </w:rPr>
        <w:t>The</w:t>
      </w:r>
      <w:proofErr w:type="gramEnd"/>
      <w:r w:rsidR="000E7F8E" w:rsidRPr="00F13C54">
        <w:rPr>
          <w:rFonts w:ascii="Arial" w:hAnsi="Arial" w:cs="Arial"/>
          <w:color w:val="000000" w:themeColor="text1"/>
          <w:sz w:val="22"/>
          <w:szCs w:val="22"/>
          <w:lang w:val="en-ZA"/>
        </w:rPr>
        <w:t xml:space="preserve"> ANOVA statistical analysis of </w:t>
      </w:r>
      <w:r w:rsidR="000C51B5" w:rsidRPr="00F13C54">
        <w:rPr>
          <w:rFonts w:ascii="Arial" w:hAnsi="Arial" w:cs="Arial"/>
          <w:color w:val="000000" w:themeColor="text1"/>
          <w:sz w:val="22"/>
          <w:szCs w:val="22"/>
          <w:lang w:val="en-ZA"/>
        </w:rPr>
        <w:t xml:space="preserve">the PAR of </w:t>
      </w:r>
      <w:r w:rsidR="000E7F8E" w:rsidRPr="00F13C54">
        <w:rPr>
          <w:rFonts w:ascii="Arial" w:hAnsi="Arial" w:cs="Arial"/>
          <w:color w:val="000000" w:themeColor="text1"/>
          <w:sz w:val="22"/>
          <w:szCs w:val="22"/>
          <w:lang w:val="en-ZA"/>
        </w:rPr>
        <w:t xml:space="preserve">one of the </w:t>
      </w:r>
      <w:r w:rsidR="000C51B5" w:rsidRPr="00F13C54">
        <w:rPr>
          <w:rFonts w:ascii="Arial" w:hAnsi="Arial" w:cs="Arial"/>
          <w:color w:val="000000" w:themeColor="text1"/>
          <w:sz w:val="22"/>
          <w:szCs w:val="22"/>
          <w:lang w:val="en-ZA"/>
        </w:rPr>
        <w:t xml:space="preserve">casework </w:t>
      </w:r>
      <w:r w:rsidR="000E7F8E" w:rsidRPr="00F13C54">
        <w:rPr>
          <w:rFonts w:ascii="Arial" w:hAnsi="Arial" w:cs="Arial"/>
          <w:color w:val="000000" w:themeColor="text1"/>
          <w:sz w:val="22"/>
          <w:szCs w:val="22"/>
          <w:lang w:val="en-ZA"/>
        </w:rPr>
        <w:t>samples (379</w:t>
      </w:r>
      <w:r w:rsidR="00AB3F38" w:rsidRPr="00F13C54">
        <w:rPr>
          <w:rFonts w:ascii="Arial" w:hAnsi="Arial" w:cs="Arial"/>
          <w:color w:val="000000" w:themeColor="text1"/>
          <w:sz w:val="22"/>
          <w:szCs w:val="22"/>
          <w:lang w:val="en-ZA"/>
        </w:rPr>
        <w:t>59902B</w:t>
      </w:r>
      <w:r w:rsidR="000E7F8E" w:rsidRPr="00F13C54">
        <w:rPr>
          <w:rFonts w:ascii="Arial" w:hAnsi="Arial" w:cs="Arial"/>
          <w:color w:val="000000" w:themeColor="text1"/>
          <w:sz w:val="22"/>
          <w:szCs w:val="22"/>
          <w:lang w:val="en-ZA"/>
        </w:rPr>
        <w:t>)</w:t>
      </w:r>
      <w:r w:rsidR="00740648" w:rsidRPr="00F13C54">
        <w:rPr>
          <w:rFonts w:ascii="Arial" w:hAnsi="Arial" w:cs="Arial"/>
          <w:color w:val="000000" w:themeColor="text1"/>
          <w:sz w:val="22"/>
          <w:szCs w:val="22"/>
          <w:lang w:val="en-ZA"/>
        </w:rPr>
        <w:t xml:space="preserve"> using F-test (single factor)</w:t>
      </w:r>
      <w:r w:rsidR="000E7F8E" w:rsidRPr="00F13C54">
        <w:rPr>
          <w:rFonts w:ascii="Arial" w:hAnsi="Arial" w:cs="Arial"/>
          <w:color w:val="000000" w:themeColor="text1"/>
          <w:sz w:val="22"/>
          <w:szCs w:val="22"/>
          <w:lang w:val="en-ZA"/>
        </w:rPr>
        <w:t xml:space="preserve"> </w:t>
      </w:r>
      <w:r w:rsidR="00AB3F38" w:rsidRPr="00F13C54">
        <w:rPr>
          <w:rFonts w:ascii="Arial" w:hAnsi="Arial" w:cs="Arial"/>
          <w:color w:val="000000" w:themeColor="text1"/>
          <w:sz w:val="22"/>
          <w:szCs w:val="22"/>
          <w:lang w:val="en-ZA"/>
        </w:rPr>
        <w:t>gave</w:t>
      </w:r>
      <w:r w:rsidR="000E7F8E" w:rsidRPr="00F13C54">
        <w:rPr>
          <w:rFonts w:ascii="Arial" w:hAnsi="Arial" w:cs="Arial"/>
          <w:color w:val="000000" w:themeColor="text1"/>
          <w:sz w:val="22"/>
          <w:szCs w:val="22"/>
          <w:lang w:val="en-ZA"/>
        </w:rPr>
        <w:t xml:space="preserve">, </w:t>
      </w:r>
      <w:proofErr w:type="spellStart"/>
      <w:r w:rsidR="000E7F8E" w:rsidRPr="00F13C54">
        <w:rPr>
          <w:rFonts w:ascii="Arial" w:hAnsi="Arial" w:cs="Arial"/>
          <w:color w:val="000000" w:themeColor="text1"/>
          <w:sz w:val="22"/>
          <w:szCs w:val="22"/>
          <w:lang w:val="en-ZA"/>
        </w:rPr>
        <w:t>F</w:t>
      </w:r>
      <w:r w:rsidR="000E7F8E" w:rsidRPr="00F13C54">
        <w:rPr>
          <w:rFonts w:ascii="Arial" w:hAnsi="Arial" w:cs="Arial"/>
          <w:color w:val="000000" w:themeColor="text1"/>
          <w:sz w:val="22"/>
          <w:szCs w:val="22"/>
          <w:vertAlign w:val="subscript"/>
          <w:lang w:val="en-ZA"/>
        </w:rPr>
        <w:t>calc</w:t>
      </w:r>
      <w:proofErr w:type="spellEnd"/>
      <w:r w:rsidR="000E7F8E" w:rsidRPr="00F13C54">
        <w:rPr>
          <w:rFonts w:ascii="Arial" w:hAnsi="Arial" w:cs="Arial"/>
          <w:color w:val="000000" w:themeColor="text1"/>
          <w:sz w:val="22"/>
          <w:szCs w:val="22"/>
          <w:lang w:val="en-ZA"/>
        </w:rPr>
        <w:t xml:space="preserve"> = 0.0429 &lt; </w:t>
      </w:r>
      <w:proofErr w:type="spellStart"/>
      <w:r w:rsidR="000E7F8E" w:rsidRPr="00F13C54">
        <w:rPr>
          <w:rFonts w:ascii="Arial" w:hAnsi="Arial" w:cs="Arial"/>
          <w:color w:val="000000" w:themeColor="text1"/>
          <w:sz w:val="22"/>
          <w:szCs w:val="22"/>
          <w:lang w:val="en-ZA"/>
        </w:rPr>
        <w:t>F</w:t>
      </w:r>
      <w:r w:rsidR="000E7F8E" w:rsidRPr="00F13C54">
        <w:rPr>
          <w:rFonts w:ascii="Arial" w:hAnsi="Arial" w:cs="Arial"/>
          <w:color w:val="000000" w:themeColor="text1"/>
          <w:sz w:val="22"/>
          <w:szCs w:val="22"/>
          <w:vertAlign w:val="subscript"/>
          <w:lang w:val="en-ZA"/>
        </w:rPr>
        <w:t>crit</w:t>
      </w:r>
      <w:proofErr w:type="spellEnd"/>
      <w:r w:rsidR="000E7F8E" w:rsidRPr="00F13C54">
        <w:rPr>
          <w:rFonts w:ascii="Arial" w:hAnsi="Arial" w:cs="Arial"/>
          <w:color w:val="000000" w:themeColor="text1"/>
          <w:sz w:val="22"/>
          <w:szCs w:val="22"/>
          <w:lang w:val="en-ZA"/>
        </w:rPr>
        <w:t xml:space="preserve"> = </w:t>
      </w:r>
      <w:r w:rsidR="00AB3F38" w:rsidRPr="00F13C54">
        <w:rPr>
          <w:rFonts w:ascii="Arial" w:hAnsi="Arial" w:cs="Arial"/>
          <w:color w:val="000000" w:themeColor="text1"/>
          <w:sz w:val="22"/>
          <w:szCs w:val="22"/>
          <w:lang w:val="en-ZA"/>
        </w:rPr>
        <w:t>3.285 demonstrating</w:t>
      </w:r>
      <w:r w:rsidR="000E7F8E" w:rsidRPr="00F13C54">
        <w:rPr>
          <w:rFonts w:ascii="Arial" w:hAnsi="Arial" w:cs="Arial"/>
          <w:color w:val="000000" w:themeColor="text1"/>
          <w:sz w:val="22"/>
          <w:szCs w:val="22"/>
          <w:lang w:val="en-ZA"/>
        </w:rPr>
        <w:t xml:space="preserve"> that there were no significant difference between the PAR over the 72 hours.</w:t>
      </w:r>
      <w:r w:rsidR="00257172" w:rsidRPr="00F13C54">
        <w:rPr>
          <w:rFonts w:ascii="Arial" w:hAnsi="Arial" w:cs="Arial"/>
          <w:color w:val="000000" w:themeColor="text1"/>
          <w:sz w:val="22"/>
          <w:szCs w:val="22"/>
        </w:rPr>
        <w:t xml:space="preserve"> </w:t>
      </w:r>
      <w:r w:rsidR="00740648" w:rsidRPr="00F13C54">
        <w:rPr>
          <w:rFonts w:ascii="Arial" w:hAnsi="Arial" w:cs="Arial"/>
          <w:color w:val="000000" w:themeColor="text1"/>
          <w:sz w:val="22"/>
          <w:szCs w:val="22"/>
        </w:rPr>
        <w:t xml:space="preserve">ANOVA statistical analysis of the pooled average response ratios gave </w:t>
      </w:r>
      <w:proofErr w:type="spellStart"/>
      <w:r w:rsidR="00AB3F38" w:rsidRPr="00F13C54">
        <w:rPr>
          <w:rFonts w:ascii="Arial" w:hAnsi="Arial" w:cs="Arial"/>
          <w:color w:val="000000" w:themeColor="text1"/>
          <w:sz w:val="22"/>
          <w:szCs w:val="22"/>
          <w:lang w:val="en-ZA"/>
        </w:rPr>
        <w:t>F</w:t>
      </w:r>
      <w:r w:rsidR="00AB3F38" w:rsidRPr="00F13C54">
        <w:rPr>
          <w:rFonts w:ascii="Arial" w:hAnsi="Arial" w:cs="Arial"/>
          <w:color w:val="000000" w:themeColor="text1"/>
          <w:sz w:val="22"/>
          <w:szCs w:val="22"/>
          <w:vertAlign w:val="subscript"/>
          <w:lang w:val="en-ZA"/>
        </w:rPr>
        <w:t>calc</w:t>
      </w:r>
      <w:proofErr w:type="spellEnd"/>
      <w:r w:rsidR="00AB3F38" w:rsidRPr="00F13C54">
        <w:rPr>
          <w:rFonts w:ascii="Arial" w:hAnsi="Arial" w:cs="Arial"/>
          <w:color w:val="000000" w:themeColor="text1"/>
          <w:sz w:val="22"/>
          <w:szCs w:val="22"/>
          <w:lang w:val="en-ZA"/>
        </w:rPr>
        <w:t xml:space="preserve"> = 0.0429 &lt; </w:t>
      </w:r>
      <w:proofErr w:type="spellStart"/>
      <w:r w:rsidR="00AB3F38" w:rsidRPr="00F13C54">
        <w:rPr>
          <w:rFonts w:ascii="Arial" w:hAnsi="Arial" w:cs="Arial"/>
          <w:color w:val="000000" w:themeColor="text1"/>
          <w:sz w:val="22"/>
          <w:szCs w:val="22"/>
          <w:lang w:val="en-ZA"/>
        </w:rPr>
        <w:t>F</w:t>
      </w:r>
      <w:r w:rsidR="00AB3F38" w:rsidRPr="00F13C54">
        <w:rPr>
          <w:rFonts w:ascii="Arial" w:hAnsi="Arial" w:cs="Arial"/>
          <w:color w:val="000000" w:themeColor="text1"/>
          <w:sz w:val="22"/>
          <w:szCs w:val="22"/>
          <w:vertAlign w:val="subscript"/>
          <w:lang w:val="en-ZA"/>
        </w:rPr>
        <w:t>crit</w:t>
      </w:r>
      <w:proofErr w:type="spellEnd"/>
      <w:r w:rsidR="00AB3F38" w:rsidRPr="00F13C54">
        <w:rPr>
          <w:rFonts w:ascii="Arial" w:hAnsi="Arial" w:cs="Arial"/>
          <w:color w:val="000000" w:themeColor="text1"/>
          <w:sz w:val="22"/>
          <w:szCs w:val="22"/>
          <w:lang w:val="en-ZA"/>
        </w:rPr>
        <w:t xml:space="preserve"> = 3.285</w:t>
      </w:r>
      <w:r w:rsidR="000C51B5" w:rsidRPr="00F13C54">
        <w:rPr>
          <w:rFonts w:ascii="Arial" w:hAnsi="Arial" w:cs="Arial"/>
          <w:color w:val="000000" w:themeColor="text1"/>
          <w:sz w:val="22"/>
          <w:szCs w:val="22"/>
          <w:lang w:val="en-ZA"/>
        </w:rPr>
        <w:t xml:space="preserve"> demonstrating that there </w:t>
      </w:r>
      <w:proofErr w:type="gramStart"/>
      <w:r w:rsidR="000C51B5" w:rsidRPr="00F13C54">
        <w:rPr>
          <w:rFonts w:ascii="Arial" w:hAnsi="Arial" w:cs="Arial"/>
          <w:color w:val="000000" w:themeColor="text1"/>
          <w:sz w:val="22"/>
          <w:szCs w:val="22"/>
          <w:lang w:val="en-ZA"/>
        </w:rPr>
        <w:t>were</w:t>
      </w:r>
      <w:proofErr w:type="gramEnd"/>
      <w:r w:rsidR="000C51B5" w:rsidRPr="00F13C54">
        <w:rPr>
          <w:rFonts w:ascii="Arial" w:hAnsi="Arial" w:cs="Arial"/>
          <w:color w:val="000000" w:themeColor="text1"/>
          <w:sz w:val="22"/>
          <w:szCs w:val="22"/>
          <w:lang w:val="en-ZA"/>
        </w:rPr>
        <w:t xml:space="preserve"> no significant difference amongst the peak area ratios for the samples belonging to the </w:t>
      </w:r>
      <w:r w:rsidR="000C51B5" w:rsidRPr="00F13C54">
        <w:rPr>
          <w:rFonts w:ascii="Arial" w:hAnsi="Arial" w:cs="Arial"/>
          <w:color w:val="000000" w:themeColor="text1"/>
          <w:sz w:val="22"/>
          <w:szCs w:val="22"/>
          <w:lang w:val="en-ZA"/>
        </w:rPr>
        <w:lastRenderedPageBreak/>
        <w:t>same group over the 72 hours autosampler storage.</w:t>
      </w:r>
      <w:r w:rsidR="00AB3F38" w:rsidRPr="00F13C54">
        <w:rPr>
          <w:rFonts w:ascii="Arial" w:hAnsi="Arial" w:cs="Arial"/>
          <w:color w:val="000000" w:themeColor="text1"/>
          <w:sz w:val="22"/>
          <w:szCs w:val="22"/>
          <w:lang w:val="en-ZA"/>
        </w:rPr>
        <w:t xml:space="preserve">  </w:t>
      </w:r>
      <w:r w:rsidR="00257172" w:rsidRPr="00F13C54">
        <w:rPr>
          <w:rFonts w:ascii="Arial" w:hAnsi="Arial" w:cs="Arial"/>
          <w:color w:val="000000" w:themeColor="text1"/>
          <w:sz w:val="22"/>
          <w:szCs w:val="22"/>
        </w:rPr>
        <w:t xml:space="preserve">From this data it can be concluded that, as with simulated </w:t>
      </w:r>
      <w:proofErr w:type="spellStart"/>
      <w:r w:rsidR="00257172" w:rsidRPr="00F13C54">
        <w:rPr>
          <w:rFonts w:ascii="Arial" w:hAnsi="Arial" w:cs="Arial"/>
          <w:color w:val="000000" w:themeColor="text1"/>
          <w:sz w:val="22"/>
          <w:szCs w:val="22"/>
        </w:rPr>
        <w:t>nyaope</w:t>
      </w:r>
      <w:proofErr w:type="spellEnd"/>
      <w:r w:rsidR="00257172" w:rsidRPr="00F13C54">
        <w:rPr>
          <w:rFonts w:ascii="Arial" w:hAnsi="Arial" w:cs="Arial"/>
          <w:color w:val="000000" w:themeColor="text1"/>
          <w:sz w:val="22"/>
          <w:szCs w:val="22"/>
        </w:rPr>
        <w:t xml:space="preserve"> samples, casework sampl</w:t>
      </w:r>
      <w:r w:rsidR="00AB3F38" w:rsidRPr="00F13C54">
        <w:rPr>
          <w:rFonts w:ascii="Arial" w:hAnsi="Arial" w:cs="Arial"/>
          <w:color w:val="000000" w:themeColor="text1"/>
          <w:sz w:val="22"/>
          <w:szCs w:val="22"/>
        </w:rPr>
        <w:t xml:space="preserve">es of </w:t>
      </w:r>
      <w:proofErr w:type="spellStart"/>
      <w:r w:rsidR="00AB3F38" w:rsidRPr="00F13C54">
        <w:rPr>
          <w:rFonts w:ascii="Arial" w:hAnsi="Arial" w:cs="Arial"/>
          <w:color w:val="000000" w:themeColor="text1"/>
          <w:sz w:val="22"/>
          <w:szCs w:val="22"/>
        </w:rPr>
        <w:t>nyaope</w:t>
      </w:r>
      <w:proofErr w:type="spellEnd"/>
      <w:r w:rsidR="00AB3F38" w:rsidRPr="00F13C54">
        <w:rPr>
          <w:rFonts w:ascii="Arial" w:hAnsi="Arial" w:cs="Arial"/>
          <w:color w:val="000000" w:themeColor="text1"/>
          <w:sz w:val="22"/>
          <w:szCs w:val="22"/>
        </w:rPr>
        <w:t xml:space="preserve"> are stable up to 72</w:t>
      </w:r>
      <w:r w:rsidR="00257172" w:rsidRPr="00F13C54">
        <w:rPr>
          <w:rFonts w:ascii="Arial" w:hAnsi="Arial" w:cs="Arial"/>
          <w:color w:val="000000" w:themeColor="text1"/>
          <w:sz w:val="22"/>
          <w:szCs w:val="22"/>
        </w:rPr>
        <w:t xml:space="preserve"> hours after the preparation of drug extracts in tertiary butyl alcohol.</w:t>
      </w:r>
    </w:p>
    <w:p w14:paraId="6DC5FE2F" w14:textId="36D00C42" w:rsidR="00FF7285" w:rsidRDefault="00FF7285" w:rsidP="0016122E">
      <w:pPr>
        <w:spacing w:line="360" w:lineRule="auto"/>
        <w:jc w:val="both"/>
        <w:rPr>
          <w:rFonts w:ascii="Arial" w:hAnsi="Arial" w:cs="Arial"/>
          <w:color w:val="000000" w:themeColor="text1"/>
          <w:sz w:val="22"/>
          <w:szCs w:val="22"/>
        </w:rPr>
      </w:pPr>
      <w:r>
        <w:rPr>
          <w:rFonts w:ascii="Arial" w:hAnsi="Arial" w:cs="Arial"/>
          <w:color w:val="000000" w:themeColor="text1"/>
          <w:sz w:val="22"/>
          <w:szCs w:val="22"/>
        </w:rPr>
        <w:t xml:space="preserve"> </w:t>
      </w:r>
    </w:p>
    <w:p w14:paraId="1FC472AD" w14:textId="6530B462" w:rsidR="00E3688C" w:rsidRPr="00FF7285" w:rsidRDefault="00FF7285" w:rsidP="0016122E">
      <w:pPr>
        <w:spacing w:line="360" w:lineRule="auto"/>
        <w:jc w:val="both"/>
        <w:rPr>
          <w:rFonts w:ascii="Arial" w:hAnsi="Arial" w:cs="Arial"/>
          <w:b/>
          <w:color w:val="000000" w:themeColor="text1"/>
          <w:sz w:val="22"/>
          <w:szCs w:val="22"/>
        </w:rPr>
      </w:pPr>
      <w:r w:rsidRPr="00FF7285">
        <w:rPr>
          <w:rFonts w:ascii="Arial" w:hAnsi="Arial" w:cs="Arial"/>
          <w:b/>
          <w:color w:val="000000" w:themeColor="text1"/>
          <w:sz w:val="22"/>
          <w:szCs w:val="22"/>
        </w:rPr>
        <w:t>3.7</w:t>
      </w:r>
      <w:r w:rsidRPr="00FF7285">
        <w:rPr>
          <w:rFonts w:ascii="Arial" w:hAnsi="Arial" w:cs="Arial"/>
          <w:b/>
          <w:color w:val="000000" w:themeColor="text1"/>
          <w:sz w:val="22"/>
          <w:szCs w:val="22"/>
        </w:rPr>
        <w:tab/>
      </w:r>
      <w:r w:rsidR="00A317F5" w:rsidRPr="00A317F5">
        <w:rPr>
          <w:rFonts w:ascii="Calibri" w:eastAsia="Times New Roman" w:hAnsi="Calibri" w:cs="Times New Roman"/>
          <w:b/>
          <w:iCs/>
          <w:color w:val="000000"/>
          <w:sz w:val="28"/>
          <w:szCs w:val="28"/>
          <w:lang w:val="en-US"/>
        </w:rPr>
        <w:t>Hierarchical Cluster Analysis</w:t>
      </w:r>
    </w:p>
    <w:p w14:paraId="44073317" w14:textId="41F71AFF" w:rsidR="005F6CC7" w:rsidRPr="00F13C54" w:rsidRDefault="005F6CC7" w:rsidP="0016122E">
      <w:pPr>
        <w:spacing w:line="360" w:lineRule="auto"/>
        <w:jc w:val="both"/>
        <w:rPr>
          <w:rFonts w:ascii="Arial" w:eastAsia="Calibri" w:hAnsi="Arial" w:cs="Arial"/>
          <w:sz w:val="22"/>
          <w:szCs w:val="22"/>
          <w:lang w:val="en-ZA"/>
        </w:rPr>
      </w:pPr>
      <w:r w:rsidRPr="00F13C54">
        <w:rPr>
          <w:rFonts w:ascii="Arial" w:eastAsia="Calibri" w:hAnsi="Arial" w:cs="Arial"/>
          <w:bCs/>
          <w:color w:val="000000"/>
          <w:sz w:val="22"/>
          <w:szCs w:val="22"/>
          <w:lang w:val="en-ZA"/>
        </w:rPr>
        <w:t>HCA, using agglomerative clustering and unweighted linkage, was conducted on the average concentrations of CAFF, DAM, EFV, NVP PNT and Δ</w:t>
      </w:r>
      <w:r w:rsidRPr="00F13C54">
        <w:rPr>
          <w:rFonts w:ascii="Arial" w:eastAsia="Calibri" w:hAnsi="Arial" w:cs="Arial"/>
          <w:bCs/>
          <w:color w:val="000000"/>
          <w:sz w:val="22"/>
          <w:szCs w:val="22"/>
          <w:vertAlign w:val="superscript"/>
          <w:lang w:val="en-ZA"/>
        </w:rPr>
        <w:t>9</w:t>
      </w:r>
      <w:r w:rsidRPr="00F13C54">
        <w:rPr>
          <w:rFonts w:ascii="Arial" w:eastAsia="Calibri" w:hAnsi="Arial" w:cs="Arial"/>
          <w:bCs/>
          <w:color w:val="000000"/>
          <w:sz w:val="22"/>
          <w:szCs w:val="22"/>
          <w:lang w:val="en-ZA"/>
        </w:rPr>
        <w:t xml:space="preserve">-THC for each of the 18 blind simulated and the </w:t>
      </w:r>
      <w:proofErr w:type="gramStart"/>
      <w:r w:rsidRPr="00F13C54">
        <w:rPr>
          <w:rFonts w:ascii="Arial" w:eastAsia="Calibri" w:hAnsi="Arial" w:cs="Arial"/>
          <w:bCs/>
          <w:color w:val="000000"/>
          <w:sz w:val="22"/>
          <w:szCs w:val="22"/>
          <w:lang w:val="en-ZA"/>
        </w:rPr>
        <w:t>5 case</w:t>
      </w:r>
      <w:proofErr w:type="gramEnd"/>
      <w:r w:rsidRPr="00F13C54">
        <w:rPr>
          <w:rFonts w:ascii="Arial" w:eastAsia="Calibri" w:hAnsi="Arial" w:cs="Arial"/>
          <w:bCs/>
          <w:color w:val="000000"/>
          <w:sz w:val="22"/>
          <w:szCs w:val="22"/>
          <w:lang w:val="en-ZA"/>
        </w:rPr>
        <w:t xml:space="preserve"> work</w:t>
      </w:r>
      <w:r w:rsidR="00744397">
        <w:rPr>
          <w:rFonts w:ascii="Arial" w:eastAsia="Calibri" w:hAnsi="Arial" w:cs="Arial"/>
          <w:bCs/>
          <w:color w:val="000000"/>
          <w:sz w:val="22"/>
          <w:szCs w:val="22"/>
          <w:lang w:val="en-ZA"/>
        </w:rPr>
        <w:t xml:space="preserve"> </w:t>
      </w:r>
      <w:proofErr w:type="spellStart"/>
      <w:r w:rsidR="00D71762">
        <w:rPr>
          <w:rFonts w:ascii="Arial" w:eastAsia="Calibri" w:hAnsi="Arial" w:cs="Arial"/>
          <w:bCs/>
          <w:color w:val="000000"/>
          <w:sz w:val="22"/>
          <w:szCs w:val="22"/>
          <w:lang w:val="en-ZA"/>
        </w:rPr>
        <w:t>nyaope</w:t>
      </w:r>
      <w:proofErr w:type="spellEnd"/>
      <w:r w:rsidR="00D71762">
        <w:rPr>
          <w:rFonts w:ascii="Arial" w:eastAsia="Calibri" w:hAnsi="Arial" w:cs="Arial"/>
          <w:bCs/>
          <w:color w:val="000000"/>
          <w:sz w:val="22"/>
          <w:szCs w:val="22"/>
          <w:lang w:val="en-ZA"/>
        </w:rPr>
        <w:t xml:space="preserve"> </w:t>
      </w:r>
      <w:r w:rsidR="00744397">
        <w:rPr>
          <w:rFonts w:ascii="Arial" w:eastAsia="Calibri" w:hAnsi="Arial" w:cs="Arial"/>
          <w:bCs/>
          <w:color w:val="000000"/>
          <w:sz w:val="22"/>
          <w:szCs w:val="22"/>
          <w:lang w:val="en-ZA"/>
        </w:rPr>
        <w:t>samples</w:t>
      </w:r>
      <w:r w:rsidRPr="00F13C54">
        <w:rPr>
          <w:rFonts w:ascii="Arial" w:eastAsia="Calibri" w:hAnsi="Arial" w:cs="Arial"/>
          <w:bCs/>
          <w:color w:val="000000"/>
          <w:sz w:val="22"/>
          <w:szCs w:val="22"/>
          <w:lang w:val="en-ZA"/>
        </w:rPr>
        <w:t xml:space="preserve">. The matrices generated for the HCA clustering indicated in </w:t>
      </w:r>
      <w:r w:rsidRPr="00C42073">
        <w:rPr>
          <w:rFonts w:ascii="Arial" w:eastAsia="Calibri" w:hAnsi="Arial" w:cs="Arial"/>
          <w:bCs/>
          <w:color w:val="000000" w:themeColor="text1"/>
          <w:sz w:val="22"/>
          <w:szCs w:val="22"/>
          <w:lang w:val="en-ZA"/>
        </w:rPr>
        <w:t xml:space="preserve">Table </w:t>
      </w:r>
      <w:r w:rsidR="00A31154" w:rsidRPr="00C42073">
        <w:rPr>
          <w:rFonts w:ascii="Arial" w:eastAsia="Calibri" w:hAnsi="Arial" w:cs="Arial"/>
          <w:bCs/>
          <w:color w:val="000000" w:themeColor="text1"/>
          <w:sz w:val="22"/>
          <w:szCs w:val="22"/>
          <w:lang w:val="en-ZA"/>
        </w:rPr>
        <w:t>6</w:t>
      </w:r>
      <w:r w:rsidRPr="00F13C54">
        <w:rPr>
          <w:rFonts w:ascii="Arial" w:eastAsia="Calibri" w:hAnsi="Arial" w:cs="Arial"/>
          <w:bCs/>
          <w:color w:val="000000"/>
          <w:sz w:val="22"/>
          <w:szCs w:val="22"/>
          <w:lang w:val="en-ZA"/>
        </w:rPr>
        <w:t xml:space="preserve"> </w:t>
      </w:r>
      <w:r w:rsidR="00BD688A">
        <w:rPr>
          <w:rFonts w:ascii="Arial" w:eastAsia="Calibri" w:hAnsi="Arial" w:cs="Arial"/>
          <w:bCs/>
          <w:color w:val="000000"/>
          <w:sz w:val="22"/>
          <w:szCs w:val="22"/>
          <w:lang w:val="en-ZA"/>
        </w:rPr>
        <w:t xml:space="preserve">for the time interval t = 72 </w:t>
      </w:r>
      <w:proofErr w:type="gramStart"/>
      <w:r w:rsidR="00BD688A">
        <w:rPr>
          <w:rFonts w:ascii="Arial" w:eastAsia="Calibri" w:hAnsi="Arial" w:cs="Arial"/>
          <w:bCs/>
          <w:color w:val="000000"/>
          <w:sz w:val="22"/>
          <w:szCs w:val="22"/>
          <w:lang w:val="en-ZA"/>
        </w:rPr>
        <w:t xml:space="preserve">hours,  </w:t>
      </w:r>
      <w:r w:rsidRPr="00F13C54">
        <w:rPr>
          <w:rFonts w:ascii="Arial" w:eastAsia="Calibri" w:hAnsi="Arial" w:cs="Arial"/>
          <w:bCs/>
          <w:color w:val="000000"/>
          <w:sz w:val="22"/>
          <w:szCs w:val="22"/>
          <w:lang w:val="en-ZA"/>
        </w:rPr>
        <w:t>demon</w:t>
      </w:r>
      <w:r>
        <w:rPr>
          <w:rFonts w:ascii="Arial" w:eastAsia="Calibri" w:hAnsi="Arial" w:cs="Arial"/>
          <w:bCs/>
          <w:color w:val="000000"/>
          <w:sz w:val="22"/>
          <w:szCs w:val="22"/>
          <w:lang w:val="en-ZA"/>
        </w:rPr>
        <w:t>strate</w:t>
      </w:r>
      <w:proofErr w:type="gramEnd"/>
      <w:r>
        <w:rPr>
          <w:rFonts w:ascii="Arial" w:eastAsia="Calibri" w:hAnsi="Arial" w:cs="Arial"/>
          <w:bCs/>
          <w:color w:val="000000"/>
          <w:sz w:val="22"/>
          <w:szCs w:val="22"/>
          <w:lang w:val="en-ZA"/>
        </w:rPr>
        <w:t xml:space="preserve"> that the HCA method was </w:t>
      </w:r>
      <w:r w:rsidRPr="00F13C54">
        <w:rPr>
          <w:rFonts w:ascii="Arial" w:eastAsia="Calibri" w:hAnsi="Arial" w:cs="Arial"/>
          <w:bCs/>
          <w:color w:val="000000"/>
          <w:sz w:val="22"/>
          <w:szCs w:val="22"/>
          <w:lang w:val="en-ZA"/>
        </w:rPr>
        <w:t>suitable in discriminating the samples into d</w:t>
      </w:r>
      <w:r>
        <w:rPr>
          <w:rFonts w:ascii="Arial" w:eastAsia="Calibri" w:hAnsi="Arial" w:cs="Arial"/>
          <w:bCs/>
          <w:color w:val="000000"/>
          <w:sz w:val="22"/>
          <w:szCs w:val="22"/>
          <w:lang w:val="en-ZA"/>
        </w:rPr>
        <w:t>ifferent classes</w:t>
      </w:r>
      <w:r w:rsidR="001747AF">
        <w:rPr>
          <w:rFonts w:ascii="Arial" w:eastAsia="Calibri" w:hAnsi="Arial" w:cs="Arial"/>
          <w:bCs/>
          <w:color w:val="000000"/>
          <w:sz w:val="22"/>
          <w:szCs w:val="22"/>
          <w:vertAlign w:val="superscript"/>
          <w:lang w:val="en-ZA"/>
        </w:rPr>
        <w:t>27</w:t>
      </w:r>
      <w:r w:rsidRPr="00F13C54">
        <w:rPr>
          <w:rFonts w:ascii="Arial" w:eastAsia="Calibri" w:hAnsi="Arial" w:cs="Arial"/>
          <w:bCs/>
          <w:color w:val="000000"/>
          <w:sz w:val="22"/>
          <w:szCs w:val="22"/>
          <w:lang w:val="en-ZA"/>
        </w:rPr>
        <w:t xml:space="preserve">. </w:t>
      </w:r>
      <w:r w:rsidRPr="00F13C54">
        <w:rPr>
          <w:rFonts w:ascii="Arial" w:eastAsia="Calibri" w:hAnsi="Arial" w:cs="Arial"/>
          <w:sz w:val="22"/>
          <w:szCs w:val="22"/>
          <w:lang w:val="en-ZA"/>
        </w:rPr>
        <w:t>The matrices demonstrate that there was a maximum</w:t>
      </w:r>
      <w:r w:rsidRPr="00F13C54">
        <w:rPr>
          <w:rFonts w:ascii="Arial" w:hAnsi="Arial" w:cs="Arial"/>
          <w:sz w:val="22"/>
          <w:szCs w:val="22"/>
        </w:rPr>
        <w:t xml:space="preserve"> </w:t>
      </w:r>
      <w:r w:rsidRPr="00F13C54">
        <w:rPr>
          <w:rFonts w:ascii="Arial" w:eastAsia="Calibri" w:hAnsi="Arial" w:cs="Arial"/>
          <w:sz w:val="22"/>
          <w:szCs w:val="22"/>
          <w:lang w:val="en-ZA"/>
        </w:rPr>
        <w:t>dista</w:t>
      </w:r>
      <w:r>
        <w:rPr>
          <w:rFonts w:ascii="Arial" w:eastAsia="Calibri" w:hAnsi="Arial" w:cs="Arial"/>
          <w:sz w:val="22"/>
          <w:szCs w:val="22"/>
          <w:lang w:val="en-ZA"/>
        </w:rPr>
        <w:t xml:space="preserve">nce between Class 2 and Class 3 for the simulated samples and between class 1 and class 3 for the case work samples. It further </w:t>
      </w:r>
      <w:proofErr w:type="gramStart"/>
      <w:r>
        <w:rPr>
          <w:rFonts w:ascii="Arial" w:eastAsia="Calibri" w:hAnsi="Arial" w:cs="Arial"/>
          <w:sz w:val="22"/>
          <w:szCs w:val="22"/>
          <w:lang w:val="en-ZA"/>
        </w:rPr>
        <w:t>demonstrate</w:t>
      </w:r>
      <w:proofErr w:type="gramEnd"/>
      <w:r>
        <w:rPr>
          <w:rFonts w:ascii="Arial" w:eastAsia="Calibri" w:hAnsi="Arial" w:cs="Arial"/>
          <w:sz w:val="22"/>
          <w:szCs w:val="22"/>
          <w:lang w:val="en-ZA"/>
        </w:rPr>
        <w:t xml:space="preserve"> that there was</w:t>
      </w:r>
      <w:r w:rsidRPr="00F13C54">
        <w:rPr>
          <w:rFonts w:ascii="Arial" w:eastAsia="Calibri" w:hAnsi="Arial" w:cs="Arial"/>
          <w:sz w:val="22"/>
          <w:szCs w:val="22"/>
          <w:lang w:val="en-ZA"/>
        </w:rPr>
        <w:t xml:space="preserve"> a minimum distance between Class 1 and Class 3</w:t>
      </w:r>
      <w:r>
        <w:rPr>
          <w:rFonts w:ascii="Arial" w:eastAsia="Calibri" w:hAnsi="Arial" w:cs="Arial"/>
          <w:sz w:val="22"/>
          <w:szCs w:val="22"/>
          <w:lang w:val="en-ZA"/>
        </w:rPr>
        <w:t xml:space="preserve"> for the simulated samples and between class 2 and class 3 for the case work samples</w:t>
      </w:r>
      <w:r w:rsidRPr="00F13C54">
        <w:rPr>
          <w:rFonts w:ascii="Arial" w:eastAsia="Calibri" w:hAnsi="Arial" w:cs="Arial"/>
          <w:sz w:val="22"/>
          <w:szCs w:val="22"/>
          <w:lang w:val="en-ZA"/>
        </w:rPr>
        <w:t>.</w:t>
      </w:r>
    </w:p>
    <w:p w14:paraId="633FDE82" w14:textId="427A3726" w:rsidR="005F6CC7" w:rsidRDefault="005F6CC7" w:rsidP="0016122E">
      <w:pPr>
        <w:spacing w:line="360" w:lineRule="auto"/>
        <w:jc w:val="both"/>
        <w:rPr>
          <w:rFonts w:ascii="Arial" w:eastAsia="Calibri" w:hAnsi="Arial" w:cs="Arial"/>
          <w:color w:val="000000"/>
          <w:sz w:val="22"/>
          <w:szCs w:val="22"/>
          <w:lang w:val="en-US"/>
        </w:rPr>
      </w:pPr>
      <w:r w:rsidRPr="00F13C54">
        <w:rPr>
          <w:rFonts w:ascii="Arial" w:eastAsia="Calibri" w:hAnsi="Arial" w:cs="Arial"/>
          <w:bCs/>
          <w:color w:val="000000"/>
          <w:sz w:val="22"/>
          <w:szCs w:val="22"/>
          <w:lang w:val="en-ZA"/>
        </w:rPr>
        <w:t xml:space="preserve">The results of the </w:t>
      </w:r>
      <w:r w:rsidRPr="00F13C54">
        <w:rPr>
          <w:rFonts w:ascii="Arial" w:eastAsia="Calibri" w:hAnsi="Arial" w:cs="Arial"/>
          <w:color w:val="000000"/>
          <w:sz w:val="22"/>
          <w:szCs w:val="22"/>
          <w:lang w:val="en-ZA"/>
        </w:rPr>
        <w:t xml:space="preserve">hierarchical clustering analysis </w:t>
      </w:r>
      <w:r w:rsidRPr="00F13C54">
        <w:rPr>
          <w:rFonts w:ascii="Arial" w:eastAsia="Calibri" w:hAnsi="Arial" w:cs="Arial"/>
          <w:sz w:val="22"/>
          <w:szCs w:val="22"/>
          <w:lang w:val="en-ZA"/>
        </w:rPr>
        <w:t xml:space="preserve">performed on both the simulated and case work </w:t>
      </w:r>
      <w:proofErr w:type="spellStart"/>
      <w:r w:rsidRPr="00F13C54">
        <w:rPr>
          <w:rFonts w:ascii="Arial" w:eastAsia="Calibri" w:hAnsi="Arial" w:cs="Arial"/>
          <w:sz w:val="22"/>
          <w:szCs w:val="22"/>
          <w:lang w:val="en-ZA"/>
        </w:rPr>
        <w:t>nyaope</w:t>
      </w:r>
      <w:proofErr w:type="spellEnd"/>
      <w:r w:rsidRPr="00F13C54">
        <w:rPr>
          <w:rFonts w:ascii="Arial" w:eastAsia="Calibri" w:hAnsi="Arial" w:cs="Arial"/>
          <w:sz w:val="22"/>
          <w:szCs w:val="22"/>
          <w:lang w:val="en-ZA"/>
        </w:rPr>
        <w:t xml:space="preserve"> samples is </w:t>
      </w:r>
      <w:r w:rsidR="00693615">
        <w:rPr>
          <w:rFonts w:ascii="Arial" w:eastAsia="Calibri" w:hAnsi="Arial" w:cs="Arial"/>
          <w:sz w:val="22"/>
          <w:szCs w:val="22"/>
          <w:lang w:val="en-ZA"/>
        </w:rPr>
        <w:t xml:space="preserve">also </w:t>
      </w:r>
      <w:r w:rsidRPr="00F13C54">
        <w:rPr>
          <w:rFonts w:ascii="Arial" w:eastAsia="Calibri" w:hAnsi="Arial" w:cs="Arial"/>
          <w:sz w:val="22"/>
          <w:szCs w:val="22"/>
          <w:lang w:val="en-ZA"/>
        </w:rPr>
        <w:t>indicated in the dendrograms in Figure 3</w:t>
      </w:r>
      <w:r w:rsidR="00BD688A" w:rsidRPr="00BD688A">
        <w:t xml:space="preserve"> </w:t>
      </w:r>
      <w:r w:rsidR="00BD688A" w:rsidRPr="00BD688A">
        <w:rPr>
          <w:rFonts w:ascii="Arial" w:eastAsia="Calibri" w:hAnsi="Arial" w:cs="Arial"/>
          <w:sz w:val="22"/>
          <w:szCs w:val="22"/>
          <w:lang w:val="en-ZA"/>
        </w:rPr>
        <w:t>for the time interval t = 72 hours</w:t>
      </w:r>
      <w:r w:rsidRPr="00F13C54">
        <w:rPr>
          <w:rFonts w:ascii="Arial" w:eastAsia="Calibri" w:hAnsi="Arial" w:cs="Arial"/>
          <w:sz w:val="22"/>
          <w:szCs w:val="22"/>
          <w:lang w:val="en-ZA"/>
        </w:rPr>
        <w:t xml:space="preserve">. The results demonstrate that HCA has successfully discriminated both </w:t>
      </w:r>
      <w:r>
        <w:rPr>
          <w:rFonts w:ascii="Arial" w:eastAsia="Calibri" w:hAnsi="Arial" w:cs="Arial"/>
          <w:sz w:val="22"/>
          <w:szCs w:val="22"/>
          <w:lang w:val="en-ZA"/>
        </w:rPr>
        <w:t>the simulated and case work samples into three and five different batches respectively.</w:t>
      </w:r>
      <w:r w:rsidRPr="00F13C54">
        <w:rPr>
          <w:rFonts w:ascii="Arial" w:eastAsia="Calibri" w:hAnsi="Arial" w:cs="Arial"/>
          <w:color w:val="000000"/>
          <w:sz w:val="22"/>
          <w:szCs w:val="22"/>
          <w:lang w:val="en-US"/>
        </w:rPr>
        <w:t xml:space="preserve"> </w:t>
      </w:r>
      <w:r w:rsidRPr="00B32FB3">
        <w:rPr>
          <w:rFonts w:ascii="Arial" w:eastAsia="Calibri" w:hAnsi="Arial" w:cs="Arial"/>
          <w:color w:val="000000"/>
          <w:sz w:val="22"/>
          <w:szCs w:val="22"/>
          <w:lang w:val="en-US"/>
        </w:rPr>
        <w:t xml:space="preserve">The HCA further demonstrated that </w:t>
      </w:r>
      <w:r>
        <w:rPr>
          <w:rFonts w:ascii="Arial" w:eastAsia="Calibri" w:hAnsi="Arial" w:cs="Arial"/>
          <w:color w:val="000000"/>
          <w:sz w:val="22"/>
          <w:szCs w:val="22"/>
          <w:lang w:val="en-US"/>
        </w:rPr>
        <w:t>both simulated and case work</w:t>
      </w:r>
      <w:r w:rsidRPr="00B32FB3">
        <w:rPr>
          <w:rFonts w:ascii="Arial" w:eastAsia="Calibri" w:hAnsi="Arial" w:cs="Arial"/>
          <w:color w:val="000000"/>
          <w:sz w:val="22"/>
          <w:szCs w:val="22"/>
          <w:lang w:val="en-US"/>
        </w:rPr>
        <w:t xml:space="preserve"> </w:t>
      </w:r>
      <w:proofErr w:type="spellStart"/>
      <w:r w:rsidRPr="00B32FB3">
        <w:rPr>
          <w:rFonts w:ascii="Arial" w:eastAsia="Calibri" w:hAnsi="Arial" w:cs="Arial"/>
          <w:color w:val="000000"/>
          <w:sz w:val="22"/>
          <w:szCs w:val="22"/>
          <w:lang w:val="en-US"/>
        </w:rPr>
        <w:t>nyaope</w:t>
      </w:r>
      <w:proofErr w:type="spellEnd"/>
      <w:r w:rsidRPr="00B32FB3">
        <w:rPr>
          <w:rFonts w:ascii="Arial" w:eastAsia="Calibri" w:hAnsi="Arial" w:cs="Arial"/>
          <w:color w:val="000000"/>
          <w:sz w:val="22"/>
          <w:szCs w:val="22"/>
          <w:lang w:val="en-US"/>
        </w:rPr>
        <w:t xml:space="preserve"> samples can still be discriminated even after 72 hours of autosampler storage.</w:t>
      </w:r>
    </w:p>
    <w:p w14:paraId="2582DC74" w14:textId="77777777" w:rsidR="003744BD" w:rsidRPr="00F13C54" w:rsidRDefault="003744BD" w:rsidP="0016122E">
      <w:pPr>
        <w:spacing w:line="360" w:lineRule="auto"/>
        <w:jc w:val="both"/>
        <w:rPr>
          <w:rFonts w:ascii="Arial" w:hAnsi="Arial" w:cs="Arial"/>
          <w:color w:val="000000" w:themeColor="text1"/>
          <w:sz w:val="22"/>
          <w:szCs w:val="22"/>
        </w:rPr>
      </w:pPr>
    </w:p>
    <w:p w14:paraId="1CA7A6B1" w14:textId="44BA3D7D" w:rsidR="0057195D" w:rsidRPr="0057195D" w:rsidRDefault="0057195D" w:rsidP="0016122E">
      <w:pPr>
        <w:spacing w:after="160" w:line="360" w:lineRule="auto"/>
        <w:rPr>
          <w:rFonts w:ascii="Arial" w:eastAsia="Calibri" w:hAnsi="Arial" w:cs="Arial"/>
          <w:b/>
          <w:bCs/>
          <w:sz w:val="22"/>
          <w:szCs w:val="22"/>
          <w:lang w:val="en-ZA"/>
        </w:rPr>
      </w:pPr>
      <w:bookmarkStart w:id="0" w:name="_Toc40094901"/>
      <w:bookmarkStart w:id="1" w:name="_Toc44491011"/>
      <w:r w:rsidRPr="00C42073">
        <w:rPr>
          <w:rFonts w:ascii="Arial" w:eastAsia="Calibri" w:hAnsi="Arial" w:cs="Arial"/>
          <w:b/>
          <w:bCs/>
          <w:color w:val="000000" w:themeColor="text1"/>
          <w:sz w:val="22"/>
          <w:szCs w:val="22"/>
          <w:lang w:val="en-ZA"/>
        </w:rPr>
        <w:t xml:space="preserve">Table </w:t>
      </w:r>
      <w:r w:rsidR="00A31154" w:rsidRPr="00C42073">
        <w:rPr>
          <w:rFonts w:ascii="Arial" w:eastAsia="Calibri" w:hAnsi="Arial" w:cs="Arial"/>
          <w:b/>
          <w:bCs/>
          <w:color w:val="000000" w:themeColor="text1"/>
          <w:sz w:val="22"/>
          <w:szCs w:val="22"/>
          <w:lang w:val="en-ZA"/>
        </w:rPr>
        <w:t>6</w:t>
      </w:r>
      <w:r w:rsidRPr="0057195D">
        <w:rPr>
          <w:rFonts w:ascii="Arial" w:eastAsia="Calibri" w:hAnsi="Arial" w:cs="Arial"/>
          <w:b/>
          <w:bCs/>
          <w:sz w:val="22"/>
          <w:szCs w:val="22"/>
          <w:lang w:val="en-ZA"/>
        </w:rPr>
        <w:t xml:space="preserve">: Matrices showing distances between central objects at t </w:t>
      </w:r>
      <w:r w:rsidR="001407E5" w:rsidRPr="0057195D">
        <w:rPr>
          <w:rFonts w:ascii="Arial" w:eastAsia="Calibri" w:hAnsi="Arial" w:cs="Arial"/>
          <w:b/>
          <w:bCs/>
          <w:sz w:val="22"/>
          <w:szCs w:val="22"/>
          <w:lang w:val="en-ZA"/>
        </w:rPr>
        <w:t>= 72</w:t>
      </w:r>
      <w:r w:rsidRPr="0057195D">
        <w:rPr>
          <w:rFonts w:ascii="Arial" w:eastAsia="Calibri" w:hAnsi="Arial" w:cs="Arial"/>
          <w:b/>
          <w:bCs/>
          <w:sz w:val="22"/>
          <w:szCs w:val="22"/>
          <w:lang w:val="en-ZA"/>
        </w:rPr>
        <w:t xml:space="preserve"> hours for the simulated </w:t>
      </w:r>
      <w:proofErr w:type="spellStart"/>
      <w:r w:rsidRPr="0057195D">
        <w:rPr>
          <w:rFonts w:ascii="Arial" w:eastAsia="Calibri" w:hAnsi="Arial" w:cs="Arial"/>
          <w:b/>
          <w:bCs/>
          <w:sz w:val="22"/>
          <w:szCs w:val="22"/>
          <w:lang w:val="en-ZA"/>
        </w:rPr>
        <w:t>nyaope</w:t>
      </w:r>
      <w:proofErr w:type="spellEnd"/>
      <w:r w:rsidRPr="0057195D">
        <w:rPr>
          <w:rFonts w:ascii="Arial" w:eastAsia="Calibri" w:hAnsi="Arial" w:cs="Arial"/>
          <w:b/>
          <w:bCs/>
          <w:sz w:val="22"/>
          <w:szCs w:val="22"/>
          <w:lang w:val="en-ZA"/>
        </w:rPr>
        <w:t xml:space="preserve"> samples S2, S3 and S18</w:t>
      </w:r>
      <w:r w:rsidR="00F57B82">
        <w:rPr>
          <w:rFonts w:ascii="Arial" w:eastAsia="Calibri" w:hAnsi="Arial" w:cs="Arial"/>
          <w:b/>
          <w:bCs/>
          <w:sz w:val="22"/>
          <w:szCs w:val="22"/>
          <w:lang w:val="en-ZA"/>
        </w:rPr>
        <w:t xml:space="preserve"> and case work samples A2, B3 and C1</w:t>
      </w:r>
      <w:r w:rsidRPr="0057195D">
        <w:rPr>
          <w:rFonts w:ascii="Arial" w:eastAsia="Calibri" w:hAnsi="Arial" w:cs="Arial"/>
          <w:b/>
          <w:bCs/>
          <w:sz w:val="22"/>
          <w:szCs w:val="22"/>
          <w:lang w:val="en-ZA"/>
        </w:rPr>
        <w:t>.</w:t>
      </w:r>
      <w:bookmarkEnd w:id="0"/>
      <w:bookmarkEnd w:id="1"/>
    </w:p>
    <w:tbl>
      <w:tblPr>
        <w:tblW w:w="0" w:type="auto"/>
        <w:tblLook w:val="04A0" w:firstRow="1" w:lastRow="0" w:firstColumn="1" w:lastColumn="0" w:noHBand="0" w:noVBand="1"/>
      </w:tblPr>
      <w:tblGrid>
        <w:gridCol w:w="955"/>
        <w:gridCol w:w="956"/>
        <w:gridCol w:w="1237"/>
        <w:gridCol w:w="956"/>
        <w:gridCol w:w="955"/>
        <w:gridCol w:w="955"/>
        <w:gridCol w:w="955"/>
        <w:gridCol w:w="1096"/>
        <w:gridCol w:w="955"/>
      </w:tblGrid>
      <w:tr w:rsidR="002146CD" w:rsidRPr="0057195D" w14:paraId="0D08DF27" w14:textId="77777777" w:rsidTr="002146CD">
        <w:trPr>
          <w:trHeight w:val="300"/>
        </w:trPr>
        <w:tc>
          <w:tcPr>
            <w:tcW w:w="4104" w:type="dxa"/>
            <w:gridSpan w:val="4"/>
            <w:tcBorders>
              <w:top w:val="single" w:sz="8" w:space="0" w:color="auto"/>
              <w:bottom w:val="single" w:sz="8" w:space="0" w:color="auto"/>
            </w:tcBorders>
            <w:shd w:val="clear" w:color="auto" w:fill="auto"/>
            <w:noWrap/>
            <w:hideMark/>
          </w:tcPr>
          <w:p w14:paraId="45DD04C6" w14:textId="59541514" w:rsidR="002146CD" w:rsidRPr="0057195D" w:rsidRDefault="002146CD" w:rsidP="0016122E">
            <w:pPr>
              <w:spacing w:line="360" w:lineRule="auto"/>
              <w:rPr>
                <w:rFonts w:ascii="Arial" w:eastAsia="Calibri" w:hAnsi="Arial" w:cs="Arial"/>
                <w:b/>
                <w:sz w:val="22"/>
                <w:szCs w:val="22"/>
                <w:lang w:val="en-ZA"/>
              </w:rPr>
            </w:pPr>
            <w:r w:rsidRPr="00F13C54">
              <w:rPr>
                <w:rFonts w:ascii="Arial" w:eastAsia="Calibri" w:hAnsi="Arial" w:cs="Arial"/>
                <w:b/>
                <w:sz w:val="22"/>
                <w:szCs w:val="22"/>
                <w:lang w:val="en-ZA"/>
              </w:rPr>
              <w:t>Blind simulated samples</w:t>
            </w:r>
          </w:p>
        </w:tc>
        <w:tc>
          <w:tcPr>
            <w:tcW w:w="955" w:type="dxa"/>
            <w:tcBorders>
              <w:top w:val="single" w:sz="8" w:space="0" w:color="auto"/>
              <w:bottom w:val="single" w:sz="8" w:space="0" w:color="auto"/>
            </w:tcBorders>
            <w:shd w:val="clear" w:color="auto" w:fill="auto"/>
            <w:noWrap/>
            <w:hideMark/>
          </w:tcPr>
          <w:p w14:paraId="4B0D0216" w14:textId="77777777" w:rsidR="002146CD" w:rsidRPr="0057195D" w:rsidRDefault="002146CD" w:rsidP="0016122E">
            <w:pPr>
              <w:spacing w:line="360" w:lineRule="auto"/>
              <w:rPr>
                <w:rFonts w:ascii="Arial" w:eastAsia="Calibri" w:hAnsi="Arial" w:cs="Arial"/>
                <w:sz w:val="22"/>
                <w:szCs w:val="22"/>
                <w:lang w:val="en-ZA"/>
              </w:rPr>
            </w:pPr>
          </w:p>
        </w:tc>
        <w:tc>
          <w:tcPr>
            <w:tcW w:w="3961" w:type="dxa"/>
            <w:gridSpan w:val="4"/>
            <w:tcBorders>
              <w:top w:val="single" w:sz="8" w:space="0" w:color="auto"/>
              <w:bottom w:val="single" w:sz="8" w:space="0" w:color="auto"/>
            </w:tcBorders>
            <w:shd w:val="clear" w:color="auto" w:fill="auto"/>
            <w:noWrap/>
            <w:vAlign w:val="bottom"/>
            <w:hideMark/>
          </w:tcPr>
          <w:p w14:paraId="1147DD7E" w14:textId="11EE5F1B" w:rsidR="002146CD" w:rsidRPr="0057195D" w:rsidRDefault="002146CD" w:rsidP="0016122E">
            <w:pPr>
              <w:spacing w:line="360" w:lineRule="auto"/>
              <w:rPr>
                <w:rFonts w:ascii="Arial" w:eastAsia="Calibri" w:hAnsi="Arial" w:cs="Arial"/>
                <w:b/>
                <w:sz w:val="22"/>
                <w:szCs w:val="22"/>
                <w:lang w:val="en-ZA"/>
              </w:rPr>
            </w:pPr>
            <w:r w:rsidRPr="00C42073">
              <w:rPr>
                <w:rFonts w:ascii="Arial" w:eastAsia="Calibri" w:hAnsi="Arial" w:cs="Arial"/>
                <w:b/>
                <w:color w:val="000000" w:themeColor="text1"/>
                <w:sz w:val="22"/>
                <w:szCs w:val="22"/>
                <w:lang w:val="en-ZA"/>
              </w:rPr>
              <w:t>Case wo</w:t>
            </w:r>
            <w:r w:rsidR="00D40CE4" w:rsidRPr="00C42073">
              <w:rPr>
                <w:rFonts w:ascii="Arial" w:eastAsia="Calibri" w:hAnsi="Arial" w:cs="Arial"/>
                <w:b/>
                <w:color w:val="000000" w:themeColor="text1"/>
                <w:sz w:val="22"/>
                <w:szCs w:val="22"/>
                <w:lang w:val="en-ZA"/>
              </w:rPr>
              <w:t>r</w:t>
            </w:r>
            <w:r w:rsidRPr="00C42073">
              <w:rPr>
                <w:rFonts w:ascii="Arial" w:eastAsia="Calibri" w:hAnsi="Arial" w:cs="Arial"/>
                <w:b/>
                <w:color w:val="000000" w:themeColor="text1"/>
                <w:sz w:val="22"/>
                <w:szCs w:val="22"/>
                <w:lang w:val="en-ZA"/>
              </w:rPr>
              <w:t>k s</w:t>
            </w:r>
            <w:r w:rsidRPr="00F13C54">
              <w:rPr>
                <w:rFonts w:ascii="Arial" w:eastAsia="Calibri" w:hAnsi="Arial" w:cs="Arial"/>
                <w:b/>
                <w:sz w:val="22"/>
                <w:szCs w:val="22"/>
                <w:lang w:val="en-ZA"/>
              </w:rPr>
              <w:t>amples</w:t>
            </w:r>
          </w:p>
        </w:tc>
      </w:tr>
      <w:tr w:rsidR="0057195D" w:rsidRPr="0057195D" w14:paraId="2CA55F29" w14:textId="77777777" w:rsidTr="002146CD">
        <w:trPr>
          <w:trHeight w:val="300"/>
        </w:trPr>
        <w:tc>
          <w:tcPr>
            <w:tcW w:w="955" w:type="dxa"/>
            <w:tcBorders>
              <w:top w:val="single" w:sz="8" w:space="0" w:color="auto"/>
            </w:tcBorders>
            <w:shd w:val="clear" w:color="auto" w:fill="auto"/>
            <w:noWrap/>
            <w:hideMark/>
          </w:tcPr>
          <w:p w14:paraId="28658D5F" w14:textId="6BB4A21E" w:rsidR="0057195D" w:rsidRPr="0057195D" w:rsidRDefault="0057195D" w:rsidP="0016122E">
            <w:pPr>
              <w:spacing w:after="160" w:line="360" w:lineRule="auto"/>
              <w:rPr>
                <w:rFonts w:ascii="Arial" w:eastAsia="Calibri" w:hAnsi="Arial" w:cs="Arial"/>
                <w:b/>
                <w:sz w:val="22"/>
                <w:szCs w:val="22"/>
                <w:lang w:val="en-ZA"/>
              </w:rPr>
            </w:pPr>
            <w:r w:rsidRPr="0057195D">
              <w:rPr>
                <w:rFonts w:ascii="Arial" w:eastAsia="Calibri" w:hAnsi="Arial" w:cs="Arial"/>
                <w:b/>
                <w:sz w:val="22"/>
                <w:szCs w:val="22"/>
                <w:lang w:val="en-ZA"/>
              </w:rPr>
              <w:t>Class</w:t>
            </w:r>
          </w:p>
        </w:tc>
        <w:tc>
          <w:tcPr>
            <w:tcW w:w="956" w:type="dxa"/>
            <w:tcBorders>
              <w:top w:val="single" w:sz="8" w:space="0" w:color="auto"/>
            </w:tcBorders>
            <w:shd w:val="clear" w:color="auto" w:fill="auto"/>
            <w:noWrap/>
            <w:hideMark/>
          </w:tcPr>
          <w:p w14:paraId="5AED43CF" w14:textId="4FB979F9" w:rsidR="0057195D" w:rsidRPr="0057195D" w:rsidRDefault="0057195D" w:rsidP="0016122E">
            <w:pPr>
              <w:spacing w:after="160" w:line="360" w:lineRule="auto"/>
              <w:rPr>
                <w:rFonts w:ascii="Arial" w:eastAsia="Calibri" w:hAnsi="Arial" w:cs="Arial"/>
                <w:b/>
                <w:sz w:val="22"/>
                <w:szCs w:val="22"/>
                <w:lang w:val="en-ZA"/>
              </w:rPr>
            </w:pPr>
            <w:r w:rsidRPr="0057195D">
              <w:rPr>
                <w:rFonts w:ascii="Arial" w:eastAsia="Calibri" w:hAnsi="Arial" w:cs="Arial"/>
                <w:b/>
                <w:sz w:val="22"/>
                <w:szCs w:val="22"/>
                <w:lang w:val="en-ZA"/>
              </w:rPr>
              <w:t>1 (S2)</w:t>
            </w:r>
          </w:p>
        </w:tc>
        <w:tc>
          <w:tcPr>
            <w:tcW w:w="1237" w:type="dxa"/>
            <w:tcBorders>
              <w:top w:val="single" w:sz="8" w:space="0" w:color="auto"/>
            </w:tcBorders>
            <w:shd w:val="clear" w:color="auto" w:fill="auto"/>
            <w:noWrap/>
            <w:hideMark/>
          </w:tcPr>
          <w:p w14:paraId="5B4F5548" w14:textId="3DA4CB38" w:rsidR="0057195D" w:rsidRPr="0057195D" w:rsidRDefault="0057195D" w:rsidP="0016122E">
            <w:pPr>
              <w:spacing w:after="160" w:line="360" w:lineRule="auto"/>
              <w:rPr>
                <w:rFonts w:ascii="Arial" w:eastAsia="Calibri" w:hAnsi="Arial" w:cs="Arial"/>
                <w:b/>
                <w:sz w:val="22"/>
                <w:szCs w:val="22"/>
                <w:lang w:val="en-ZA"/>
              </w:rPr>
            </w:pPr>
            <w:r w:rsidRPr="0057195D">
              <w:rPr>
                <w:rFonts w:ascii="Arial" w:eastAsia="Calibri" w:hAnsi="Arial" w:cs="Arial"/>
                <w:b/>
                <w:sz w:val="22"/>
                <w:szCs w:val="22"/>
                <w:lang w:val="en-ZA"/>
              </w:rPr>
              <w:t>2 (S3)</w:t>
            </w:r>
          </w:p>
        </w:tc>
        <w:tc>
          <w:tcPr>
            <w:tcW w:w="956" w:type="dxa"/>
            <w:tcBorders>
              <w:top w:val="single" w:sz="8" w:space="0" w:color="auto"/>
            </w:tcBorders>
            <w:shd w:val="clear" w:color="auto" w:fill="auto"/>
            <w:noWrap/>
            <w:hideMark/>
          </w:tcPr>
          <w:p w14:paraId="0D879961" w14:textId="1F0DDC91" w:rsidR="0057195D" w:rsidRPr="0057195D" w:rsidRDefault="0057195D" w:rsidP="0016122E">
            <w:pPr>
              <w:spacing w:after="160" w:line="360" w:lineRule="auto"/>
              <w:rPr>
                <w:rFonts w:ascii="Arial" w:eastAsia="Calibri" w:hAnsi="Arial" w:cs="Arial"/>
                <w:b/>
                <w:sz w:val="22"/>
                <w:szCs w:val="22"/>
                <w:lang w:val="en-ZA"/>
              </w:rPr>
            </w:pPr>
            <w:r w:rsidRPr="0057195D">
              <w:rPr>
                <w:rFonts w:ascii="Arial" w:eastAsia="Calibri" w:hAnsi="Arial" w:cs="Arial"/>
                <w:b/>
                <w:sz w:val="22"/>
                <w:szCs w:val="22"/>
                <w:lang w:val="en-ZA"/>
              </w:rPr>
              <w:t>3 (S18)</w:t>
            </w:r>
          </w:p>
        </w:tc>
        <w:tc>
          <w:tcPr>
            <w:tcW w:w="955" w:type="dxa"/>
            <w:tcBorders>
              <w:top w:val="single" w:sz="8" w:space="0" w:color="auto"/>
            </w:tcBorders>
            <w:shd w:val="clear" w:color="auto" w:fill="auto"/>
            <w:noWrap/>
            <w:hideMark/>
          </w:tcPr>
          <w:p w14:paraId="2613D922" w14:textId="77777777" w:rsidR="0057195D" w:rsidRPr="0057195D" w:rsidRDefault="0057195D" w:rsidP="0016122E">
            <w:pPr>
              <w:spacing w:after="160" w:line="360" w:lineRule="auto"/>
              <w:rPr>
                <w:rFonts w:ascii="Arial" w:eastAsia="Calibri" w:hAnsi="Arial" w:cs="Arial"/>
                <w:sz w:val="22"/>
                <w:szCs w:val="22"/>
                <w:lang w:val="en-ZA"/>
              </w:rPr>
            </w:pPr>
          </w:p>
        </w:tc>
        <w:tc>
          <w:tcPr>
            <w:tcW w:w="955" w:type="dxa"/>
            <w:tcBorders>
              <w:top w:val="single" w:sz="8" w:space="0" w:color="auto"/>
            </w:tcBorders>
            <w:shd w:val="clear" w:color="auto" w:fill="auto"/>
            <w:noWrap/>
            <w:hideMark/>
          </w:tcPr>
          <w:p w14:paraId="627DBE59" w14:textId="23A57306" w:rsidR="0057195D" w:rsidRPr="0057195D" w:rsidRDefault="0057195D" w:rsidP="0016122E">
            <w:pPr>
              <w:spacing w:after="160" w:line="360" w:lineRule="auto"/>
              <w:rPr>
                <w:rFonts w:ascii="Arial" w:eastAsia="Calibri" w:hAnsi="Arial" w:cs="Arial"/>
                <w:b/>
                <w:sz w:val="22"/>
                <w:szCs w:val="22"/>
                <w:lang w:val="en-ZA"/>
              </w:rPr>
            </w:pPr>
            <w:r w:rsidRPr="0057195D">
              <w:rPr>
                <w:rFonts w:ascii="Arial" w:eastAsia="Calibri" w:hAnsi="Arial" w:cs="Arial"/>
                <w:b/>
                <w:sz w:val="22"/>
                <w:szCs w:val="22"/>
                <w:lang w:val="en-ZA"/>
              </w:rPr>
              <w:t>Class</w:t>
            </w:r>
          </w:p>
        </w:tc>
        <w:tc>
          <w:tcPr>
            <w:tcW w:w="955" w:type="dxa"/>
            <w:tcBorders>
              <w:top w:val="single" w:sz="8" w:space="0" w:color="auto"/>
            </w:tcBorders>
            <w:shd w:val="clear" w:color="auto" w:fill="auto"/>
            <w:noWrap/>
            <w:hideMark/>
          </w:tcPr>
          <w:p w14:paraId="0CFC43BD" w14:textId="68692759" w:rsidR="0057195D" w:rsidRPr="0057195D" w:rsidRDefault="0057195D" w:rsidP="0016122E">
            <w:pPr>
              <w:spacing w:after="160" w:line="360" w:lineRule="auto"/>
              <w:rPr>
                <w:rFonts w:ascii="Arial" w:eastAsia="Calibri" w:hAnsi="Arial" w:cs="Arial"/>
                <w:b/>
                <w:sz w:val="22"/>
                <w:szCs w:val="22"/>
                <w:lang w:val="en-ZA"/>
              </w:rPr>
            </w:pPr>
            <w:r w:rsidRPr="0057195D">
              <w:rPr>
                <w:rFonts w:ascii="Arial" w:eastAsia="Calibri" w:hAnsi="Arial" w:cs="Arial"/>
                <w:b/>
                <w:sz w:val="22"/>
                <w:szCs w:val="22"/>
                <w:lang w:val="en-ZA"/>
              </w:rPr>
              <w:t>1 (A2)</w:t>
            </w:r>
          </w:p>
        </w:tc>
        <w:tc>
          <w:tcPr>
            <w:tcW w:w="1096" w:type="dxa"/>
            <w:tcBorders>
              <w:top w:val="single" w:sz="8" w:space="0" w:color="auto"/>
            </w:tcBorders>
            <w:shd w:val="clear" w:color="auto" w:fill="auto"/>
            <w:noWrap/>
            <w:hideMark/>
          </w:tcPr>
          <w:p w14:paraId="44BF5040" w14:textId="11E275AB" w:rsidR="0057195D" w:rsidRPr="0057195D" w:rsidRDefault="0057195D" w:rsidP="0016122E">
            <w:pPr>
              <w:spacing w:after="160" w:line="360" w:lineRule="auto"/>
              <w:rPr>
                <w:rFonts w:ascii="Arial" w:eastAsia="Calibri" w:hAnsi="Arial" w:cs="Arial"/>
                <w:b/>
                <w:sz w:val="22"/>
                <w:szCs w:val="22"/>
                <w:lang w:val="en-ZA"/>
              </w:rPr>
            </w:pPr>
            <w:r w:rsidRPr="0057195D">
              <w:rPr>
                <w:rFonts w:ascii="Arial" w:eastAsia="Calibri" w:hAnsi="Arial" w:cs="Arial"/>
                <w:b/>
                <w:sz w:val="22"/>
                <w:szCs w:val="22"/>
                <w:lang w:val="en-ZA"/>
              </w:rPr>
              <w:t>2 (B3)</w:t>
            </w:r>
          </w:p>
        </w:tc>
        <w:tc>
          <w:tcPr>
            <w:tcW w:w="955" w:type="dxa"/>
            <w:tcBorders>
              <w:top w:val="single" w:sz="8" w:space="0" w:color="auto"/>
            </w:tcBorders>
            <w:shd w:val="clear" w:color="auto" w:fill="auto"/>
            <w:noWrap/>
            <w:hideMark/>
          </w:tcPr>
          <w:p w14:paraId="7A766FA1" w14:textId="308AAC7E" w:rsidR="0057195D" w:rsidRPr="0057195D" w:rsidRDefault="0057195D" w:rsidP="0016122E">
            <w:pPr>
              <w:spacing w:after="160" w:line="360" w:lineRule="auto"/>
              <w:rPr>
                <w:rFonts w:ascii="Arial" w:eastAsia="Calibri" w:hAnsi="Arial" w:cs="Arial"/>
                <w:b/>
                <w:sz w:val="22"/>
                <w:szCs w:val="22"/>
                <w:lang w:val="en-ZA"/>
              </w:rPr>
            </w:pPr>
            <w:r w:rsidRPr="0057195D">
              <w:rPr>
                <w:rFonts w:ascii="Arial" w:eastAsia="Calibri" w:hAnsi="Arial" w:cs="Arial"/>
                <w:b/>
                <w:sz w:val="22"/>
                <w:szCs w:val="22"/>
                <w:lang w:val="en-ZA"/>
              </w:rPr>
              <w:t>3 (C1)</w:t>
            </w:r>
          </w:p>
        </w:tc>
      </w:tr>
      <w:tr w:rsidR="0057195D" w:rsidRPr="0057195D" w14:paraId="26F02199" w14:textId="77777777" w:rsidTr="002146CD">
        <w:trPr>
          <w:trHeight w:val="300"/>
        </w:trPr>
        <w:tc>
          <w:tcPr>
            <w:tcW w:w="955" w:type="dxa"/>
            <w:shd w:val="clear" w:color="auto" w:fill="auto"/>
            <w:noWrap/>
            <w:hideMark/>
          </w:tcPr>
          <w:p w14:paraId="5F40827B" w14:textId="564D03C9" w:rsidR="0057195D" w:rsidRPr="0057195D" w:rsidRDefault="0057195D" w:rsidP="0016122E">
            <w:pPr>
              <w:spacing w:after="160" w:line="360" w:lineRule="auto"/>
              <w:rPr>
                <w:rFonts w:ascii="Arial" w:eastAsia="Calibri" w:hAnsi="Arial" w:cs="Arial"/>
                <w:b/>
                <w:sz w:val="22"/>
                <w:szCs w:val="22"/>
                <w:lang w:val="en-ZA"/>
              </w:rPr>
            </w:pPr>
            <w:r w:rsidRPr="0057195D">
              <w:rPr>
                <w:rFonts w:ascii="Arial" w:eastAsia="Calibri" w:hAnsi="Arial" w:cs="Arial"/>
                <w:b/>
                <w:sz w:val="22"/>
                <w:szCs w:val="22"/>
                <w:lang w:val="en-ZA"/>
              </w:rPr>
              <w:t>1 (S2)</w:t>
            </w:r>
          </w:p>
        </w:tc>
        <w:tc>
          <w:tcPr>
            <w:tcW w:w="956" w:type="dxa"/>
            <w:shd w:val="clear" w:color="auto" w:fill="auto"/>
            <w:noWrap/>
            <w:hideMark/>
          </w:tcPr>
          <w:p w14:paraId="48DA99AD" w14:textId="3553BC14" w:rsidR="0057195D" w:rsidRPr="0057195D" w:rsidRDefault="0057195D" w:rsidP="0016122E">
            <w:pPr>
              <w:spacing w:after="160" w:line="360" w:lineRule="auto"/>
              <w:rPr>
                <w:rFonts w:ascii="Arial" w:eastAsia="Calibri" w:hAnsi="Arial" w:cs="Arial"/>
                <w:sz w:val="22"/>
                <w:szCs w:val="22"/>
                <w:lang w:val="en-ZA"/>
              </w:rPr>
            </w:pPr>
            <w:r w:rsidRPr="0057195D">
              <w:rPr>
                <w:rFonts w:ascii="Arial" w:eastAsia="Calibri" w:hAnsi="Arial" w:cs="Arial"/>
                <w:sz w:val="22"/>
                <w:szCs w:val="22"/>
                <w:lang w:val="en-ZA"/>
              </w:rPr>
              <w:t>0</w:t>
            </w:r>
          </w:p>
        </w:tc>
        <w:tc>
          <w:tcPr>
            <w:tcW w:w="1237" w:type="dxa"/>
            <w:shd w:val="clear" w:color="auto" w:fill="auto"/>
            <w:noWrap/>
            <w:hideMark/>
          </w:tcPr>
          <w:p w14:paraId="05465865" w14:textId="3C09ABB5" w:rsidR="0057195D" w:rsidRPr="0057195D" w:rsidRDefault="0057195D" w:rsidP="0016122E">
            <w:pPr>
              <w:spacing w:after="160" w:line="360" w:lineRule="auto"/>
              <w:rPr>
                <w:rFonts w:ascii="Arial" w:eastAsia="Calibri" w:hAnsi="Arial" w:cs="Arial"/>
                <w:sz w:val="22"/>
                <w:szCs w:val="22"/>
                <w:lang w:val="en-ZA"/>
              </w:rPr>
            </w:pPr>
            <w:r w:rsidRPr="0057195D">
              <w:rPr>
                <w:rFonts w:ascii="Arial" w:eastAsia="Calibri" w:hAnsi="Arial" w:cs="Arial"/>
                <w:sz w:val="22"/>
                <w:szCs w:val="22"/>
                <w:lang w:val="en-ZA"/>
              </w:rPr>
              <w:t>2.92</w:t>
            </w:r>
          </w:p>
        </w:tc>
        <w:tc>
          <w:tcPr>
            <w:tcW w:w="956" w:type="dxa"/>
            <w:shd w:val="clear" w:color="auto" w:fill="auto"/>
            <w:noWrap/>
            <w:hideMark/>
          </w:tcPr>
          <w:p w14:paraId="76B9C64C" w14:textId="44FC3F4D" w:rsidR="0057195D" w:rsidRPr="0057195D" w:rsidRDefault="0057195D" w:rsidP="0016122E">
            <w:pPr>
              <w:spacing w:after="160" w:line="360" w:lineRule="auto"/>
              <w:rPr>
                <w:rFonts w:ascii="Arial" w:eastAsia="Calibri" w:hAnsi="Arial" w:cs="Arial"/>
                <w:sz w:val="22"/>
                <w:szCs w:val="22"/>
                <w:lang w:val="en-ZA"/>
              </w:rPr>
            </w:pPr>
            <w:r w:rsidRPr="0057195D">
              <w:rPr>
                <w:rFonts w:ascii="Arial" w:eastAsia="Calibri" w:hAnsi="Arial" w:cs="Arial"/>
                <w:sz w:val="22"/>
                <w:szCs w:val="22"/>
                <w:lang w:val="en-ZA"/>
              </w:rPr>
              <w:t>2.34</w:t>
            </w:r>
          </w:p>
        </w:tc>
        <w:tc>
          <w:tcPr>
            <w:tcW w:w="955" w:type="dxa"/>
            <w:shd w:val="clear" w:color="auto" w:fill="auto"/>
            <w:noWrap/>
            <w:hideMark/>
          </w:tcPr>
          <w:p w14:paraId="4FF946DF" w14:textId="77777777" w:rsidR="0057195D" w:rsidRPr="0057195D" w:rsidRDefault="0057195D" w:rsidP="0016122E">
            <w:pPr>
              <w:spacing w:after="160" w:line="360" w:lineRule="auto"/>
              <w:rPr>
                <w:rFonts w:ascii="Arial" w:eastAsia="Calibri" w:hAnsi="Arial" w:cs="Arial"/>
                <w:sz w:val="22"/>
                <w:szCs w:val="22"/>
                <w:lang w:val="en-ZA"/>
              </w:rPr>
            </w:pPr>
          </w:p>
        </w:tc>
        <w:tc>
          <w:tcPr>
            <w:tcW w:w="955" w:type="dxa"/>
            <w:shd w:val="clear" w:color="auto" w:fill="auto"/>
            <w:noWrap/>
            <w:hideMark/>
          </w:tcPr>
          <w:p w14:paraId="2920BD31" w14:textId="7DC30E46" w:rsidR="0057195D" w:rsidRPr="0057195D" w:rsidRDefault="0057195D" w:rsidP="0016122E">
            <w:pPr>
              <w:spacing w:after="160" w:line="360" w:lineRule="auto"/>
              <w:rPr>
                <w:rFonts w:ascii="Arial" w:eastAsia="Calibri" w:hAnsi="Arial" w:cs="Arial"/>
                <w:b/>
                <w:sz w:val="22"/>
                <w:szCs w:val="22"/>
                <w:lang w:val="en-ZA"/>
              </w:rPr>
            </w:pPr>
            <w:r w:rsidRPr="0057195D">
              <w:rPr>
                <w:rFonts w:ascii="Arial" w:eastAsia="Calibri" w:hAnsi="Arial" w:cs="Arial"/>
                <w:b/>
                <w:sz w:val="22"/>
                <w:szCs w:val="22"/>
                <w:lang w:val="en-ZA"/>
              </w:rPr>
              <w:t>1 (A2)</w:t>
            </w:r>
          </w:p>
        </w:tc>
        <w:tc>
          <w:tcPr>
            <w:tcW w:w="955" w:type="dxa"/>
            <w:shd w:val="clear" w:color="auto" w:fill="auto"/>
            <w:noWrap/>
            <w:hideMark/>
          </w:tcPr>
          <w:p w14:paraId="6806D505" w14:textId="1DB52243" w:rsidR="0057195D" w:rsidRPr="0057195D" w:rsidRDefault="0057195D" w:rsidP="0016122E">
            <w:pPr>
              <w:spacing w:after="160" w:line="360" w:lineRule="auto"/>
              <w:rPr>
                <w:rFonts w:ascii="Arial" w:eastAsia="Calibri" w:hAnsi="Arial" w:cs="Arial"/>
                <w:sz w:val="22"/>
                <w:szCs w:val="22"/>
                <w:lang w:val="en-ZA"/>
              </w:rPr>
            </w:pPr>
            <w:r w:rsidRPr="0057195D">
              <w:rPr>
                <w:rFonts w:ascii="Arial" w:eastAsia="Calibri" w:hAnsi="Arial" w:cs="Arial"/>
                <w:sz w:val="22"/>
                <w:szCs w:val="22"/>
                <w:lang w:val="en-ZA"/>
              </w:rPr>
              <w:t>0</w:t>
            </w:r>
          </w:p>
        </w:tc>
        <w:tc>
          <w:tcPr>
            <w:tcW w:w="1096" w:type="dxa"/>
            <w:shd w:val="clear" w:color="auto" w:fill="auto"/>
            <w:noWrap/>
            <w:hideMark/>
          </w:tcPr>
          <w:p w14:paraId="692700F2" w14:textId="3D922150" w:rsidR="0057195D" w:rsidRPr="0057195D" w:rsidRDefault="0057195D" w:rsidP="0016122E">
            <w:pPr>
              <w:spacing w:after="160" w:line="360" w:lineRule="auto"/>
              <w:rPr>
                <w:rFonts w:ascii="Arial" w:eastAsia="Calibri" w:hAnsi="Arial" w:cs="Arial"/>
                <w:sz w:val="22"/>
                <w:szCs w:val="22"/>
                <w:lang w:val="en-ZA"/>
              </w:rPr>
            </w:pPr>
            <w:r w:rsidRPr="0057195D">
              <w:rPr>
                <w:rFonts w:ascii="Arial" w:eastAsia="Calibri" w:hAnsi="Arial" w:cs="Arial"/>
                <w:sz w:val="22"/>
                <w:szCs w:val="22"/>
                <w:lang w:val="en-ZA"/>
              </w:rPr>
              <w:t>3.72</w:t>
            </w:r>
          </w:p>
        </w:tc>
        <w:tc>
          <w:tcPr>
            <w:tcW w:w="955" w:type="dxa"/>
            <w:shd w:val="clear" w:color="auto" w:fill="auto"/>
            <w:noWrap/>
            <w:hideMark/>
          </w:tcPr>
          <w:p w14:paraId="185C45D8" w14:textId="7D79666C" w:rsidR="0057195D" w:rsidRPr="0057195D" w:rsidRDefault="0057195D" w:rsidP="0016122E">
            <w:pPr>
              <w:spacing w:after="160" w:line="360" w:lineRule="auto"/>
              <w:rPr>
                <w:rFonts w:ascii="Arial" w:eastAsia="Calibri" w:hAnsi="Arial" w:cs="Arial"/>
                <w:sz w:val="22"/>
                <w:szCs w:val="22"/>
                <w:lang w:val="en-ZA"/>
              </w:rPr>
            </w:pPr>
            <w:r w:rsidRPr="0057195D">
              <w:rPr>
                <w:rFonts w:ascii="Arial" w:eastAsia="Calibri" w:hAnsi="Arial" w:cs="Arial"/>
                <w:sz w:val="22"/>
                <w:szCs w:val="22"/>
                <w:lang w:val="en-ZA"/>
              </w:rPr>
              <w:t>5.22</w:t>
            </w:r>
          </w:p>
        </w:tc>
      </w:tr>
      <w:tr w:rsidR="0057195D" w:rsidRPr="0057195D" w14:paraId="1EEDE7C4" w14:textId="77777777" w:rsidTr="002146CD">
        <w:trPr>
          <w:trHeight w:val="300"/>
        </w:trPr>
        <w:tc>
          <w:tcPr>
            <w:tcW w:w="955" w:type="dxa"/>
            <w:shd w:val="clear" w:color="auto" w:fill="auto"/>
            <w:noWrap/>
            <w:hideMark/>
          </w:tcPr>
          <w:p w14:paraId="6545B1E9" w14:textId="79781224" w:rsidR="0057195D" w:rsidRPr="0057195D" w:rsidRDefault="0057195D" w:rsidP="0016122E">
            <w:pPr>
              <w:spacing w:after="160" w:line="360" w:lineRule="auto"/>
              <w:rPr>
                <w:rFonts w:ascii="Arial" w:eastAsia="Calibri" w:hAnsi="Arial" w:cs="Arial"/>
                <w:b/>
                <w:sz w:val="22"/>
                <w:szCs w:val="22"/>
                <w:lang w:val="en-ZA"/>
              </w:rPr>
            </w:pPr>
            <w:r w:rsidRPr="0057195D">
              <w:rPr>
                <w:rFonts w:ascii="Arial" w:eastAsia="Calibri" w:hAnsi="Arial" w:cs="Arial"/>
                <w:b/>
                <w:sz w:val="22"/>
                <w:szCs w:val="22"/>
                <w:lang w:val="en-ZA"/>
              </w:rPr>
              <w:t>2 (S3)</w:t>
            </w:r>
          </w:p>
        </w:tc>
        <w:tc>
          <w:tcPr>
            <w:tcW w:w="956" w:type="dxa"/>
            <w:shd w:val="clear" w:color="auto" w:fill="auto"/>
            <w:noWrap/>
            <w:hideMark/>
          </w:tcPr>
          <w:p w14:paraId="3DC734DA" w14:textId="1F2EE514" w:rsidR="0057195D" w:rsidRPr="0057195D" w:rsidRDefault="0057195D" w:rsidP="0016122E">
            <w:pPr>
              <w:spacing w:after="160" w:line="360" w:lineRule="auto"/>
              <w:rPr>
                <w:rFonts w:ascii="Arial" w:eastAsia="Calibri" w:hAnsi="Arial" w:cs="Arial"/>
                <w:sz w:val="22"/>
                <w:szCs w:val="22"/>
                <w:lang w:val="en-ZA"/>
              </w:rPr>
            </w:pPr>
            <w:r w:rsidRPr="0057195D">
              <w:rPr>
                <w:rFonts w:ascii="Arial" w:eastAsia="Calibri" w:hAnsi="Arial" w:cs="Arial"/>
                <w:sz w:val="22"/>
                <w:szCs w:val="22"/>
                <w:lang w:val="en-ZA"/>
              </w:rPr>
              <w:t>2.92</w:t>
            </w:r>
          </w:p>
        </w:tc>
        <w:tc>
          <w:tcPr>
            <w:tcW w:w="1237" w:type="dxa"/>
            <w:shd w:val="clear" w:color="auto" w:fill="auto"/>
            <w:noWrap/>
            <w:hideMark/>
          </w:tcPr>
          <w:p w14:paraId="1E4356AE" w14:textId="3A34614F" w:rsidR="0057195D" w:rsidRPr="0057195D" w:rsidRDefault="0057195D" w:rsidP="0016122E">
            <w:pPr>
              <w:spacing w:after="160" w:line="360" w:lineRule="auto"/>
              <w:rPr>
                <w:rFonts w:ascii="Arial" w:eastAsia="Calibri" w:hAnsi="Arial" w:cs="Arial"/>
                <w:sz w:val="22"/>
                <w:szCs w:val="22"/>
                <w:lang w:val="en-ZA"/>
              </w:rPr>
            </w:pPr>
            <w:r w:rsidRPr="0057195D">
              <w:rPr>
                <w:rFonts w:ascii="Arial" w:eastAsia="Calibri" w:hAnsi="Arial" w:cs="Arial"/>
                <w:sz w:val="22"/>
                <w:szCs w:val="22"/>
                <w:lang w:val="en-ZA"/>
              </w:rPr>
              <w:t>0</w:t>
            </w:r>
          </w:p>
        </w:tc>
        <w:tc>
          <w:tcPr>
            <w:tcW w:w="956" w:type="dxa"/>
            <w:shd w:val="clear" w:color="auto" w:fill="auto"/>
            <w:noWrap/>
            <w:hideMark/>
          </w:tcPr>
          <w:p w14:paraId="18610FA1" w14:textId="590B0EEB" w:rsidR="0057195D" w:rsidRPr="0057195D" w:rsidRDefault="0057195D" w:rsidP="0016122E">
            <w:pPr>
              <w:spacing w:after="160" w:line="360" w:lineRule="auto"/>
              <w:rPr>
                <w:rFonts w:ascii="Arial" w:eastAsia="Calibri" w:hAnsi="Arial" w:cs="Arial"/>
                <w:sz w:val="22"/>
                <w:szCs w:val="22"/>
                <w:lang w:val="en-ZA"/>
              </w:rPr>
            </w:pPr>
            <w:r w:rsidRPr="0057195D">
              <w:rPr>
                <w:rFonts w:ascii="Arial" w:eastAsia="Calibri" w:hAnsi="Arial" w:cs="Arial"/>
                <w:sz w:val="22"/>
                <w:szCs w:val="22"/>
                <w:lang w:val="en-ZA"/>
              </w:rPr>
              <w:t>3.63</w:t>
            </w:r>
          </w:p>
        </w:tc>
        <w:tc>
          <w:tcPr>
            <w:tcW w:w="955" w:type="dxa"/>
            <w:shd w:val="clear" w:color="auto" w:fill="auto"/>
            <w:noWrap/>
            <w:hideMark/>
          </w:tcPr>
          <w:p w14:paraId="5EA152BA" w14:textId="77777777" w:rsidR="0057195D" w:rsidRPr="0057195D" w:rsidRDefault="0057195D" w:rsidP="0016122E">
            <w:pPr>
              <w:spacing w:after="160" w:line="360" w:lineRule="auto"/>
              <w:rPr>
                <w:rFonts w:ascii="Arial" w:eastAsia="Calibri" w:hAnsi="Arial" w:cs="Arial"/>
                <w:sz w:val="22"/>
                <w:szCs w:val="22"/>
                <w:lang w:val="en-ZA"/>
              </w:rPr>
            </w:pPr>
          </w:p>
        </w:tc>
        <w:tc>
          <w:tcPr>
            <w:tcW w:w="955" w:type="dxa"/>
            <w:shd w:val="clear" w:color="auto" w:fill="auto"/>
            <w:noWrap/>
            <w:hideMark/>
          </w:tcPr>
          <w:p w14:paraId="6DEF8F18" w14:textId="05CA009D" w:rsidR="0057195D" w:rsidRPr="0057195D" w:rsidRDefault="0057195D" w:rsidP="0016122E">
            <w:pPr>
              <w:spacing w:after="160" w:line="360" w:lineRule="auto"/>
              <w:rPr>
                <w:rFonts w:ascii="Arial" w:eastAsia="Calibri" w:hAnsi="Arial" w:cs="Arial"/>
                <w:b/>
                <w:sz w:val="22"/>
                <w:szCs w:val="22"/>
                <w:lang w:val="en-ZA"/>
              </w:rPr>
            </w:pPr>
            <w:r w:rsidRPr="0057195D">
              <w:rPr>
                <w:rFonts w:ascii="Arial" w:eastAsia="Calibri" w:hAnsi="Arial" w:cs="Arial"/>
                <w:b/>
                <w:sz w:val="22"/>
                <w:szCs w:val="22"/>
                <w:lang w:val="en-ZA"/>
              </w:rPr>
              <w:t>2 (B3)</w:t>
            </w:r>
          </w:p>
        </w:tc>
        <w:tc>
          <w:tcPr>
            <w:tcW w:w="955" w:type="dxa"/>
            <w:shd w:val="clear" w:color="auto" w:fill="auto"/>
            <w:noWrap/>
            <w:hideMark/>
          </w:tcPr>
          <w:p w14:paraId="1A5190A5" w14:textId="02BF44F3" w:rsidR="0057195D" w:rsidRPr="0057195D" w:rsidRDefault="0057195D" w:rsidP="0016122E">
            <w:pPr>
              <w:spacing w:after="160" w:line="360" w:lineRule="auto"/>
              <w:rPr>
                <w:rFonts w:ascii="Arial" w:eastAsia="Calibri" w:hAnsi="Arial" w:cs="Arial"/>
                <w:sz w:val="22"/>
                <w:szCs w:val="22"/>
                <w:lang w:val="en-ZA"/>
              </w:rPr>
            </w:pPr>
            <w:r w:rsidRPr="0057195D">
              <w:rPr>
                <w:rFonts w:ascii="Arial" w:eastAsia="Calibri" w:hAnsi="Arial" w:cs="Arial"/>
                <w:sz w:val="22"/>
                <w:szCs w:val="22"/>
                <w:lang w:val="en-ZA"/>
              </w:rPr>
              <w:t>3.72</w:t>
            </w:r>
          </w:p>
        </w:tc>
        <w:tc>
          <w:tcPr>
            <w:tcW w:w="1096" w:type="dxa"/>
            <w:shd w:val="clear" w:color="auto" w:fill="auto"/>
            <w:noWrap/>
            <w:hideMark/>
          </w:tcPr>
          <w:p w14:paraId="4626C669" w14:textId="6172F67B" w:rsidR="0057195D" w:rsidRPr="0057195D" w:rsidRDefault="0057195D" w:rsidP="0016122E">
            <w:pPr>
              <w:spacing w:after="160" w:line="360" w:lineRule="auto"/>
              <w:rPr>
                <w:rFonts w:ascii="Arial" w:eastAsia="Calibri" w:hAnsi="Arial" w:cs="Arial"/>
                <w:sz w:val="22"/>
                <w:szCs w:val="22"/>
                <w:lang w:val="en-ZA"/>
              </w:rPr>
            </w:pPr>
            <w:r w:rsidRPr="0057195D">
              <w:rPr>
                <w:rFonts w:ascii="Arial" w:eastAsia="Calibri" w:hAnsi="Arial" w:cs="Arial"/>
                <w:sz w:val="22"/>
                <w:szCs w:val="22"/>
                <w:lang w:val="en-ZA"/>
              </w:rPr>
              <w:t>0</w:t>
            </w:r>
          </w:p>
        </w:tc>
        <w:tc>
          <w:tcPr>
            <w:tcW w:w="955" w:type="dxa"/>
            <w:shd w:val="clear" w:color="auto" w:fill="auto"/>
            <w:noWrap/>
            <w:hideMark/>
          </w:tcPr>
          <w:p w14:paraId="58967406" w14:textId="0B36C481" w:rsidR="0057195D" w:rsidRPr="0057195D" w:rsidRDefault="0057195D" w:rsidP="0016122E">
            <w:pPr>
              <w:spacing w:after="160" w:line="360" w:lineRule="auto"/>
              <w:rPr>
                <w:rFonts w:ascii="Arial" w:eastAsia="Calibri" w:hAnsi="Arial" w:cs="Arial"/>
                <w:sz w:val="22"/>
                <w:szCs w:val="22"/>
                <w:lang w:val="en-ZA"/>
              </w:rPr>
            </w:pPr>
            <w:r w:rsidRPr="0057195D">
              <w:rPr>
                <w:rFonts w:ascii="Arial" w:eastAsia="Calibri" w:hAnsi="Arial" w:cs="Arial"/>
                <w:sz w:val="22"/>
                <w:szCs w:val="22"/>
                <w:lang w:val="en-ZA"/>
              </w:rPr>
              <w:t>2.62</w:t>
            </w:r>
          </w:p>
        </w:tc>
      </w:tr>
      <w:tr w:rsidR="0057195D" w:rsidRPr="0057195D" w14:paraId="3A8E985D" w14:textId="77777777" w:rsidTr="002146CD">
        <w:trPr>
          <w:trHeight w:val="300"/>
        </w:trPr>
        <w:tc>
          <w:tcPr>
            <w:tcW w:w="955" w:type="dxa"/>
            <w:tcBorders>
              <w:bottom w:val="single" w:sz="8" w:space="0" w:color="auto"/>
            </w:tcBorders>
            <w:shd w:val="clear" w:color="auto" w:fill="auto"/>
            <w:noWrap/>
            <w:hideMark/>
          </w:tcPr>
          <w:p w14:paraId="27E11F06" w14:textId="25231CA0" w:rsidR="0057195D" w:rsidRPr="0057195D" w:rsidRDefault="0057195D" w:rsidP="0016122E">
            <w:pPr>
              <w:spacing w:after="160" w:line="360" w:lineRule="auto"/>
              <w:rPr>
                <w:rFonts w:ascii="Arial" w:eastAsia="Calibri" w:hAnsi="Arial" w:cs="Arial"/>
                <w:b/>
                <w:sz w:val="22"/>
                <w:szCs w:val="22"/>
                <w:lang w:val="en-ZA"/>
              </w:rPr>
            </w:pPr>
            <w:r w:rsidRPr="0057195D">
              <w:rPr>
                <w:rFonts w:ascii="Arial" w:eastAsia="Calibri" w:hAnsi="Arial" w:cs="Arial"/>
                <w:b/>
                <w:sz w:val="22"/>
                <w:szCs w:val="22"/>
                <w:lang w:val="en-ZA"/>
              </w:rPr>
              <w:t>3 (S18)</w:t>
            </w:r>
          </w:p>
        </w:tc>
        <w:tc>
          <w:tcPr>
            <w:tcW w:w="956" w:type="dxa"/>
            <w:tcBorders>
              <w:bottom w:val="single" w:sz="8" w:space="0" w:color="auto"/>
            </w:tcBorders>
            <w:shd w:val="clear" w:color="auto" w:fill="auto"/>
            <w:noWrap/>
            <w:hideMark/>
          </w:tcPr>
          <w:p w14:paraId="026FF456" w14:textId="634784C2" w:rsidR="0057195D" w:rsidRPr="0057195D" w:rsidRDefault="0057195D" w:rsidP="0016122E">
            <w:pPr>
              <w:spacing w:after="160" w:line="360" w:lineRule="auto"/>
              <w:rPr>
                <w:rFonts w:ascii="Arial" w:eastAsia="Calibri" w:hAnsi="Arial" w:cs="Arial"/>
                <w:sz w:val="22"/>
                <w:szCs w:val="22"/>
                <w:lang w:val="en-ZA"/>
              </w:rPr>
            </w:pPr>
            <w:r w:rsidRPr="0057195D">
              <w:rPr>
                <w:rFonts w:ascii="Arial" w:eastAsia="Calibri" w:hAnsi="Arial" w:cs="Arial"/>
                <w:sz w:val="22"/>
                <w:szCs w:val="22"/>
                <w:lang w:val="en-ZA"/>
              </w:rPr>
              <w:t>2.34</w:t>
            </w:r>
          </w:p>
        </w:tc>
        <w:tc>
          <w:tcPr>
            <w:tcW w:w="1237" w:type="dxa"/>
            <w:tcBorders>
              <w:bottom w:val="single" w:sz="8" w:space="0" w:color="auto"/>
            </w:tcBorders>
            <w:shd w:val="clear" w:color="auto" w:fill="auto"/>
            <w:noWrap/>
            <w:hideMark/>
          </w:tcPr>
          <w:p w14:paraId="1BFD41D7" w14:textId="72C1BDDF" w:rsidR="0057195D" w:rsidRPr="0057195D" w:rsidRDefault="0057195D" w:rsidP="0016122E">
            <w:pPr>
              <w:spacing w:after="160" w:line="360" w:lineRule="auto"/>
              <w:rPr>
                <w:rFonts w:ascii="Arial" w:eastAsia="Calibri" w:hAnsi="Arial" w:cs="Arial"/>
                <w:sz w:val="22"/>
                <w:szCs w:val="22"/>
                <w:lang w:val="en-ZA"/>
              </w:rPr>
            </w:pPr>
            <w:r w:rsidRPr="0057195D">
              <w:rPr>
                <w:rFonts w:ascii="Arial" w:eastAsia="Calibri" w:hAnsi="Arial" w:cs="Arial"/>
                <w:sz w:val="22"/>
                <w:szCs w:val="22"/>
                <w:lang w:val="en-ZA"/>
              </w:rPr>
              <w:t>3.63</w:t>
            </w:r>
          </w:p>
        </w:tc>
        <w:tc>
          <w:tcPr>
            <w:tcW w:w="956" w:type="dxa"/>
            <w:tcBorders>
              <w:bottom w:val="single" w:sz="8" w:space="0" w:color="auto"/>
            </w:tcBorders>
            <w:shd w:val="clear" w:color="auto" w:fill="auto"/>
            <w:noWrap/>
            <w:hideMark/>
          </w:tcPr>
          <w:p w14:paraId="5DD38A3B" w14:textId="0529ABC4" w:rsidR="0057195D" w:rsidRPr="0057195D" w:rsidRDefault="0057195D" w:rsidP="0016122E">
            <w:pPr>
              <w:spacing w:after="160" w:line="360" w:lineRule="auto"/>
              <w:rPr>
                <w:rFonts w:ascii="Arial" w:eastAsia="Calibri" w:hAnsi="Arial" w:cs="Arial"/>
                <w:sz w:val="22"/>
                <w:szCs w:val="22"/>
                <w:lang w:val="en-ZA"/>
              </w:rPr>
            </w:pPr>
            <w:r w:rsidRPr="0057195D">
              <w:rPr>
                <w:rFonts w:ascii="Arial" w:eastAsia="Calibri" w:hAnsi="Arial" w:cs="Arial"/>
                <w:sz w:val="22"/>
                <w:szCs w:val="22"/>
                <w:lang w:val="en-ZA"/>
              </w:rPr>
              <w:t>0</w:t>
            </w:r>
          </w:p>
        </w:tc>
        <w:tc>
          <w:tcPr>
            <w:tcW w:w="955" w:type="dxa"/>
            <w:tcBorders>
              <w:bottom w:val="single" w:sz="8" w:space="0" w:color="auto"/>
            </w:tcBorders>
            <w:shd w:val="clear" w:color="auto" w:fill="auto"/>
            <w:noWrap/>
            <w:hideMark/>
          </w:tcPr>
          <w:p w14:paraId="176AE1F6" w14:textId="77777777" w:rsidR="0057195D" w:rsidRPr="0057195D" w:rsidRDefault="0057195D" w:rsidP="0016122E">
            <w:pPr>
              <w:spacing w:after="160" w:line="360" w:lineRule="auto"/>
              <w:rPr>
                <w:rFonts w:ascii="Arial" w:eastAsia="Calibri" w:hAnsi="Arial" w:cs="Arial"/>
                <w:sz w:val="22"/>
                <w:szCs w:val="22"/>
                <w:lang w:val="en-ZA"/>
              </w:rPr>
            </w:pPr>
          </w:p>
        </w:tc>
        <w:tc>
          <w:tcPr>
            <w:tcW w:w="955" w:type="dxa"/>
            <w:tcBorders>
              <w:bottom w:val="single" w:sz="8" w:space="0" w:color="auto"/>
            </w:tcBorders>
            <w:shd w:val="clear" w:color="auto" w:fill="auto"/>
            <w:noWrap/>
            <w:hideMark/>
          </w:tcPr>
          <w:p w14:paraId="7A6B5CC0" w14:textId="3105173E" w:rsidR="0057195D" w:rsidRPr="0057195D" w:rsidRDefault="0057195D" w:rsidP="0016122E">
            <w:pPr>
              <w:spacing w:after="160" w:line="360" w:lineRule="auto"/>
              <w:rPr>
                <w:rFonts w:ascii="Arial" w:eastAsia="Calibri" w:hAnsi="Arial" w:cs="Arial"/>
                <w:b/>
                <w:sz w:val="22"/>
                <w:szCs w:val="22"/>
                <w:lang w:val="en-ZA"/>
              </w:rPr>
            </w:pPr>
            <w:r w:rsidRPr="0057195D">
              <w:rPr>
                <w:rFonts w:ascii="Arial" w:eastAsia="Calibri" w:hAnsi="Arial" w:cs="Arial"/>
                <w:b/>
                <w:sz w:val="22"/>
                <w:szCs w:val="22"/>
                <w:lang w:val="en-ZA"/>
              </w:rPr>
              <w:t>3 (C1)</w:t>
            </w:r>
          </w:p>
        </w:tc>
        <w:tc>
          <w:tcPr>
            <w:tcW w:w="955" w:type="dxa"/>
            <w:tcBorders>
              <w:bottom w:val="single" w:sz="8" w:space="0" w:color="auto"/>
            </w:tcBorders>
            <w:shd w:val="clear" w:color="auto" w:fill="auto"/>
            <w:noWrap/>
            <w:hideMark/>
          </w:tcPr>
          <w:p w14:paraId="03D22F69" w14:textId="218F3A72" w:rsidR="0057195D" w:rsidRPr="0057195D" w:rsidRDefault="0057195D" w:rsidP="0016122E">
            <w:pPr>
              <w:spacing w:after="160" w:line="360" w:lineRule="auto"/>
              <w:rPr>
                <w:rFonts w:ascii="Arial" w:eastAsia="Calibri" w:hAnsi="Arial" w:cs="Arial"/>
                <w:sz w:val="22"/>
                <w:szCs w:val="22"/>
                <w:lang w:val="en-ZA"/>
              </w:rPr>
            </w:pPr>
            <w:r w:rsidRPr="0057195D">
              <w:rPr>
                <w:rFonts w:ascii="Arial" w:eastAsia="Calibri" w:hAnsi="Arial" w:cs="Arial"/>
                <w:sz w:val="22"/>
                <w:szCs w:val="22"/>
                <w:lang w:val="en-ZA"/>
              </w:rPr>
              <w:t>5.22</w:t>
            </w:r>
          </w:p>
        </w:tc>
        <w:tc>
          <w:tcPr>
            <w:tcW w:w="1096" w:type="dxa"/>
            <w:tcBorders>
              <w:bottom w:val="single" w:sz="8" w:space="0" w:color="auto"/>
            </w:tcBorders>
            <w:shd w:val="clear" w:color="auto" w:fill="auto"/>
            <w:noWrap/>
            <w:hideMark/>
          </w:tcPr>
          <w:p w14:paraId="317173C9" w14:textId="3F671DF2" w:rsidR="0057195D" w:rsidRPr="0057195D" w:rsidRDefault="0057195D" w:rsidP="0016122E">
            <w:pPr>
              <w:spacing w:after="160" w:line="360" w:lineRule="auto"/>
              <w:rPr>
                <w:rFonts w:ascii="Arial" w:eastAsia="Calibri" w:hAnsi="Arial" w:cs="Arial"/>
                <w:sz w:val="22"/>
                <w:szCs w:val="22"/>
                <w:lang w:val="en-ZA"/>
              </w:rPr>
            </w:pPr>
            <w:r w:rsidRPr="0057195D">
              <w:rPr>
                <w:rFonts w:ascii="Arial" w:eastAsia="Calibri" w:hAnsi="Arial" w:cs="Arial"/>
                <w:sz w:val="22"/>
                <w:szCs w:val="22"/>
                <w:lang w:val="en-ZA"/>
              </w:rPr>
              <w:t>2.62</w:t>
            </w:r>
          </w:p>
        </w:tc>
        <w:tc>
          <w:tcPr>
            <w:tcW w:w="955" w:type="dxa"/>
            <w:tcBorders>
              <w:bottom w:val="single" w:sz="8" w:space="0" w:color="auto"/>
            </w:tcBorders>
            <w:shd w:val="clear" w:color="auto" w:fill="auto"/>
            <w:noWrap/>
            <w:hideMark/>
          </w:tcPr>
          <w:p w14:paraId="6873B90A" w14:textId="530CBC02" w:rsidR="0057195D" w:rsidRPr="0057195D" w:rsidRDefault="0057195D" w:rsidP="0016122E">
            <w:pPr>
              <w:spacing w:after="160" w:line="360" w:lineRule="auto"/>
              <w:rPr>
                <w:rFonts w:ascii="Arial" w:eastAsia="Calibri" w:hAnsi="Arial" w:cs="Arial"/>
                <w:sz w:val="22"/>
                <w:szCs w:val="22"/>
                <w:lang w:val="en-ZA"/>
              </w:rPr>
            </w:pPr>
            <w:r w:rsidRPr="0057195D">
              <w:rPr>
                <w:rFonts w:ascii="Arial" w:eastAsia="Calibri" w:hAnsi="Arial" w:cs="Arial"/>
                <w:sz w:val="22"/>
                <w:szCs w:val="22"/>
                <w:lang w:val="en-ZA"/>
              </w:rPr>
              <w:t>0</w:t>
            </w:r>
          </w:p>
        </w:tc>
      </w:tr>
    </w:tbl>
    <w:p w14:paraId="50886C18" w14:textId="77777777" w:rsidR="0057195D" w:rsidRPr="003A2A60" w:rsidRDefault="0057195D" w:rsidP="0016122E">
      <w:pPr>
        <w:spacing w:line="360" w:lineRule="auto"/>
        <w:jc w:val="both"/>
        <w:rPr>
          <w:rFonts w:ascii="Arial" w:hAnsi="Arial" w:cs="Arial"/>
          <w:color w:val="000000" w:themeColor="text1"/>
        </w:rPr>
      </w:pPr>
    </w:p>
    <w:p w14:paraId="52850A41" w14:textId="384E8E5B" w:rsidR="00E3688C" w:rsidRPr="003A2A60" w:rsidRDefault="00181330" w:rsidP="0016122E">
      <w:pPr>
        <w:spacing w:line="360" w:lineRule="auto"/>
        <w:jc w:val="both"/>
        <w:rPr>
          <w:rFonts w:ascii="Arial" w:hAnsi="Arial" w:cs="Arial"/>
          <w:color w:val="000000" w:themeColor="text1"/>
        </w:rPr>
      </w:pPr>
      <w:r w:rsidRPr="003A2A60">
        <w:rPr>
          <w:rFonts w:ascii="Arial" w:hAnsi="Arial" w:cs="Arial"/>
          <w:noProof/>
          <w:color w:val="000000" w:themeColor="text1"/>
          <w:lang w:val="en-ZA" w:eastAsia="en-ZA"/>
        </w:rPr>
        <w:lastRenderedPageBreak/>
        <w:drawing>
          <wp:inline distT="0" distB="0" distL="0" distR="0" wp14:anchorId="1A063BF4" wp14:editId="62E8E4FC">
            <wp:extent cx="2646000" cy="2343600"/>
            <wp:effectExtent l="0" t="0" r="254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46000" cy="2343600"/>
                    </a:xfrm>
                    <a:prstGeom prst="rect">
                      <a:avLst/>
                    </a:prstGeom>
                    <a:noFill/>
                  </pic:spPr>
                </pic:pic>
              </a:graphicData>
            </a:graphic>
          </wp:inline>
        </w:drawing>
      </w:r>
      <w:r w:rsidRPr="003A2A60">
        <w:rPr>
          <w:rFonts w:ascii="Arial" w:hAnsi="Arial" w:cs="Arial"/>
          <w:noProof/>
          <w:color w:val="000000" w:themeColor="text1"/>
          <w:lang w:val="en-ZA" w:eastAsia="en-ZA"/>
        </w:rPr>
        <w:drawing>
          <wp:inline distT="0" distB="0" distL="0" distR="0" wp14:anchorId="3908025B" wp14:editId="1BA58791">
            <wp:extent cx="2646000" cy="2343600"/>
            <wp:effectExtent l="0" t="0" r="254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46000" cy="2343600"/>
                    </a:xfrm>
                    <a:prstGeom prst="rect">
                      <a:avLst/>
                    </a:prstGeom>
                    <a:noFill/>
                  </pic:spPr>
                </pic:pic>
              </a:graphicData>
            </a:graphic>
          </wp:inline>
        </w:drawing>
      </w:r>
    </w:p>
    <w:p w14:paraId="192C51D4" w14:textId="04E8FF94" w:rsidR="00162539" w:rsidRDefault="00690AFF" w:rsidP="0016122E">
      <w:pPr>
        <w:spacing w:line="360" w:lineRule="auto"/>
        <w:jc w:val="both"/>
        <w:rPr>
          <w:rFonts w:ascii="Arial" w:eastAsia="Calibri" w:hAnsi="Arial" w:cs="Arial"/>
          <w:color w:val="000000"/>
          <w:sz w:val="22"/>
          <w:szCs w:val="22"/>
          <w:lang w:val="en-US"/>
        </w:rPr>
      </w:pPr>
      <w:r w:rsidRPr="003A2A60">
        <w:rPr>
          <w:rFonts w:ascii="Arial" w:eastAsia="Calibri" w:hAnsi="Arial" w:cs="Arial"/>
          <w:b/>
          <w:color w:val="000000"/>
          <w:sz w:val="22"/>
          <w:szCs w:val="22"/>
          <w:lang w:val="en-US"/>
        </w:rPr>
        <w:t xml:space="preserve">Figure 3: </w:t>
      </w:r>
      <w:r w:rsidR="00181330" w:rsidRPr="003A2A60">
        <w:rPr>
          <w:rFonts w:ascii="Arial" w:eastAsia="Calibri" w:hAnsi="Arial" w:cs="Arial"/>
          <w:b/>
          <w:color w:val="000000"/>
          <w:sz w:val="22"/>
          <w:szCs w:val="22"/>
          <w:lang w:val="en-US"/>
        </w:rPr>
        <w:t>Dendrogram</w:t>
      </w:r>
      <w:r w:rsidR="00F57B82">
        <w:rPr>
          <w:rFonts w:ascii="Arial" w:eastAsia="Calibri" w:hAnsi="Arial" w:cs="Arial"/>
          <w:b/>
          <w:color w:val="000000"/>
          <w:sz w:val="22"/>
          <w:szCs w:val="22"/>
          <w:lang w:val="en-US"/>
        </w:rPr>
        <w:t xml:space="preserve">s </w:t>
      </w:r>
      <w:r w:rsidR="00181330" w:rsidRPr="003A2A60">
        <w:rPr>
          <w:rFonts w:ascii="Arial" w:eastAsia="Calibri" w:hAnsi="Arial" w:cs="Arial"/>
          <w:b/>
          <w:color w:val="000000"/>
          <w:sz w:val="22"/>
          <w:szCs w:val="22"/>
          <w:lang w:val="en-US"/>
        </w:rPr>
        <w:t xml:space="preserve">of (A) blind simulated </w:t>
      </w:r>
      <w:proofErr w:type="spellStart"/>
      <w:r w:rsidR="00181330" w:rsidRPr="003A2A60">
        <w:rPr>
          <w:rFonts w:ascii="Arial" w:eastAsia="Calibri" w:hAnsi="Arial" w:cs="Arial"/>
          <w:b/>
          <w:color w:val="000000"/>
          <w:sz w:val="22"/>
          <w:szCs w:val="22"/>
          <w:lang w:val="en-US"/>
        </w:rPr>
        <w:t>nyaope</w:t>
      </w:r>
      <w:proofErr w:type="spellEnd"/>
      <w:r w:rsidR="00181330" w:rsidRPr="003A2A60">
        <w:rPr>
          <w:rFonts w:ascii="Arial" w:eastAsia="Calibri" w:hAnsi="Arial" w:cs="Arial"/>
          <w:b/>
          <w:color w:val="000000"/>
          <w:sz w:val="22"/>
          <w:szCs w:val="22"/>
          <w:lang w:val="en-US"/>
        </w:rPr>
        <w:t xml:space="preserve"> samples and (B) case work samples </w:t>
      </w:r>
      <w:proofErr w:type="spellStart"/>
      <w:r w:rsidR="00181330" w:rsidRPr="003A2A60">
        <w:rPr>
          <w:rFonts w:ascii="Arial" w:eastAsia="Calibri" w:hAnsi="Arial" w:cs="Arial"/>
          <w:b/>
          <w:color w:val="000000"/>
          <w:sz w:val="22"/>
          <w:szCs w:val="22"/>
          <w:lang w:val="en-US"/>
        </w:rPr>
        <w:t>analysed</w:t>
      </w:r>
      <w:proofErr w:type="spellEnd"/>
      <w:r w:rsidR="00181330" w:rsidRPr="003A2A60">
        <w:rPr>
          <w:rFonts w:ascii="Arial" w:eastAsia="Calibri" w:hAnsi="Arial" w:cs="Arial"/>
          <w:b/>
          <w:color w:val="000000"/>
          <w:sz w:val="22"/>
          <w:szCs w:val="22"/>
          <w:lang w:val="en-US"/>
        </w:rPr>
        <w:t xml:space="preserve"> by HCA using unweighted linkage and Euclidean distance</w:t>
      </w:r>
      <w:r w:rsidR="009E05F8" w:rsidRPr="009E05F8">
        <w:t xml:space="preserve"> </w:t>
      </w:r>
      <w:r w:rsidR="009E05F8" w:rsidRPr="009E05F8">
        <w:rPr>
          <w:rFonts w:ascii="Arial" w:eastAsia="Calibri" w:hAnsi="Arial" w:cs="Arial"/>
          <w:b/>
          <w:color w:val="000000"/>
          <w:sz w:val="22"/>
          <w:szCs w:val="22"/>
          <w:lang w:val="en-US"/>
        </w:rPr>
        <w:t>for the time interval</w:t>
      </w:r>
      <w:r w:rsidR="009E05F8">
        <w:rPr>
          <w:rFonts w:ascii="Arial" w:eastAsia="Calibri" w:hAnsi="Arial" w:cs="Arial"/>
          <w:b/>
          <w:color w:val="000000"/>
          <w:sz w:val="22"/>
          <w:szCs w:val="22"/>
          <w:lang w:val="en-US"/>
        </w:rPr>
        <w:t xml:space="preserve"> t = 72 hours.</w:t>
      </w:r>
    </w:p>
    <w:p w14:paraId="79A17E05" w14:textId="77777777" w:rsidR="00326175" w:rsidRPr="00326175" w:rsidRDefault="00326175" w:rsidP="0016122E">
      <w:pPr>
        <w:spacing w:line="360" w:lineRule="auto"/>
        <w:jc w:val="both"/>
        <w:rPr>
          <w:rFonts w:ascii="Arial" w:eastAsia="Calibri" w:hAnsi="Arial" w:cs="Arial"/>
          <w:color w:val="000000"/>
          <w:sz w:val="22"/>
          <w:szCs w:val="22"/>
          <w:lang w:val="en-US"/>
        </w:rPr>
      </w:pPr>
    </w:p>
    <w:p w14:paraId="0DA63B82" w14:textId="1884FA68" w:rsidR="00A317F5" w:rsidRPr="00ED29DE" w:rsidRDefault="00A317F5" w:rsidP="0016122E">
      <w:pPr>
        <w:spacing w:line="360" w:lineRule="auto"/>
        <w:jc w:val="both"/>
        <w:rPr>
          <w:rFonts w:ascii="Arial" w:eastAsia="Times New Roman" w:hAnsi="Arial" w:cs="Arial"/>
          <w:b/>
          <w:iCs/>
          <w:color w:val="000000"/>
          <w:sz w:val="22"/>
          <w:szCs w:val="22"/>
          <w:lang w:val="en-US"/>
        </w:rPr>
      </w:pPr>
      <w:r w:rsidRPr="00ED29DE">
        <w:rPr>
          <w:rFonts w:ascii="Arial" w:eastAsia="Times New Roman" w:hAnsi="Arial" w:cs="Arial"/>
          <w:b/>
          <w:iCs/>
          <w:color w:val="000000"/>
          <w:sz w:val="22"/>
          <w:szCs w:val="22"/>
          <w:lang w:val="en-US"/>
        </w:rPr>
        <w:t>3.8</w:t>
      </w:r>
      <w:r w:rsidRPr="00ED29DE">
        <w:rPr>
          <w:rFonts w:ascii="Arial" w:eastAsia="Times New Roman" w:hAnsi="Arial" w:cs="Arial"/>
          <w:b/>
          <w:iCs/>
          <w:color w:val="000000"/>
          <w:sz w:val="22"/>
          <w:szCs w:val="22"/>
          <w:lang w:val="en-US"/>
        </w:rPr>
        <w:tab/>
        <w:t>Principal Component Analysis</w:t>
      </w:r>
    </w:p>
    <w:p w14:paraId="5D303477" w14:textId="2C567278" w:rsidR="00860922" w:rsidRPr="00ED29DE" w:rsidRDefault="00B32FB3" w:rsidP="0016122E">
      <w:pPr>
        <w:spacing w:after="160" w:line="360" w:lineRule="auto"/>
        <w:jc w:val="both"/>
        <w:rPr>
          <w:rFonts w:ascii="Arial" w:eastAsia="Calibri" w:hAnsi="Arial" w:cs="Arial"/>
          <w:sz w:val="22"/>
          <w:szCs w:val="22"/>
          <w:lang w:val="en-ZA"/>
        </w:rPr>
      </w:pPr>
      <w:r w:rsidRPr="00ED29DE">
        <w:rPr>
          <w:rFonts w:ascii="Arial" w:eastAsia="Calibri" w:hAnsi="Arial" w:cs="Arial"/>
          <w:sz w:val="22"/>
          <w:szCs w:val="22"/>
          <w:lang w:val="en-ZA"/>
        </w:rPr>
        <w:t xml:space="preserve">The correlation matrices for the PCA analysis of both simulated and case work </w:t>
      </w:r>
      <w:proofErr w:type="spellStart"/>
      <w:r w:rsidRPr="00ED29DE">
        <w:rPr>
          <w:rFonts w:ascii="Arial" w:eastAsia="Calibri" w:hAnsi="Arial" w:cs="Arial"/>
          <w:sz w:val="22"/>
          <w:szCs w:val="22"/>
          <w:lang w:val="en-ZA"/>
        </w:rPr>
        <w:t>nyaope</w:t>
      </w:r>
      <w:proofErr w:type="spellEnd"/>
      <w:r w:rsidRPr="00ED29DE">
        <w:rPr>
          <w:rFonts w:ascii="Arial" w:eastAsia="Calibri" w:hAnsi="Arial" w:cs="Arial"/>
          <w:sz w:val="22"/>
          <w:szCs w:val="22"/>
          <w:lang w:val="en-ZA"/>
        </w:rPr>
        <w:t xml:space="preserve"> </w:t>
      </w:r>
      <w:proofErr w:type="gramStart"/>
      <w:r w:rsidRPr="00ED29DE">
        <w:rPr>
          <w:rFonts w:ascii="Arial" w:eastAsia="Calibri" w:hAnsi="Arial" w:cs="Arial"/>
          <w:sz w:val="22"/>
          <w:szCs w:val="22"/>
          <w:lang w:val="en-ZA"/>
        </w:rPr>
        <w:t xml:space="preserve">samples </w:t>
      </w:r>
      <w:r w:rsidR="001F7E35" w:rsidRPr="00ED29DE">
        <w:rPr>
          <w:rFonts w:ascii="Arial" w:eastAsia="Calibri" w:hAnsi="Arial" w:cs="Arial"/>
          <w:sz w:val="22"/>
          <w:szCs w:val="22"/>
          <w:lang w:val="en-ZA"/>
        </w:rPr>
        <w:t xml:space="preserve"> (</w:t>
      </w:r>
      <w:proofErr w:type="gramEnd"/>
      <w:r w:rsidR="001F7E35" w:rsidRPr="00C42073">
        <w:rPr>
          <w:rFonts w:ascii="Arial" w:eastAsia="Calibri" w:hAnsi="Arial" w:cs="Arial"/>
          <w:color w:val="000000" w:themeColor="text1"/>
          <w:sz w:val="22"/>
          <w:szCs w:val="22"/>
          <w:lang w:val="en-ZA"/>
        </w:rPr>
        <w:t xml:space="preserve">Table </w:t>
      </w:r>
      <w:r w:rsidR="00A31154" w:rsidRPr="00C42073">
        <w:rPr>
          <w:rFonts w:ascii="Arial" w:eastAsia="Calibri" w:hAnsi="Arial" w:cs="Arial"/>
          <w:color w:val="000000" w:themeColor="text1"/>
          <w:sz w:val="22"/>
          <w:szCs w:val="22"/>
          <w:lang w:val="en-ZA"/>
        </w:rPr>
        <w:t>7</w:t>
      </w:r>
      <w:r w:rsidR="001F7E35" w:rsidRPr="00ED29DE">
        <w:rPr>
          <w:rFonts w:ascii="Arial" w:eastAsia="Calibri" w:hAnsi="Arial" w:cs="Arial"/>
          <w:sz w:val="22"/>
          <w:szCs w:val="22"/>
          <w:lang w:val="en-ZA"/>
        </w:rPr>
        <w:t>)</w:t>
      </w:r>
      <w:r w:rsidRPr="00ED29DE">
        <w:rPr>
          <w:rFonts w:ascii="Arial" w:eastAsia="Calibri" w:hAnsi="Arial" w:cs="Arial"/>
          <w:sz w:val="22"/>
          <w:szCs w:val="22"/>
          <w:lang w:val="en-ZA"/>
        </w:rPr>
        <w:t xml:space="preserve"> </w:t>
      </w:r>
      <w:r w:rsidR="001F7E35" w:rsidRPr="00ED29DE">
        <w:rPr>
          <w:rFonts w:ascii="Arial" w:eastAsia="Calibri" w:hAnsi="Arial" w:cs="Arial"/>
          <w:sz w:val="22"/>
          <w:szCs w:val="22"/>
          <w:lang w:val="en-ZA"/>
        </w:rPr>
        <w:t>indicate that all</w:t>
      </w:r>
      <w:r w:rsidRPr="00ED29DE">
        <w:rPr>
          <w:rFonts w:ascii="Arial" w:eastAsia="Calibri" w:hAnsi="Arial" w:cs="Arial"/>
          <w:sz w:val="22"/>
          <w:szCs w:val="22"/>
          <w:lang w:val="en-ZA"/>
        </w:rPr>
        <w:t xml:space="preserve"> values are different from zero with a significant level α = 0.95 (two-tailed) which indicate that there is a linear correlation between the variables</w:t>
      </w:r>
      <w:r w:rsidR="001747AF">
        <w:rPr>
          <w:rFonts w:ascii="Arial" w:eastAsia="Calibri" w:hAnsi="Arial" w:cs="Arial"/>
          <w:sz w:val="22"/>
          <w:szCs w:val="22"/>
          <w:vertAlign w:val="superscript"/>
          <w:lang w:val="en-ZA"/>
        </w:rPr>
        <w:t>28</w:t>
      </w:r>
      <w:r w:rsidRPr="00ED29DE">
        <w:rPr>
          <w:rFonts w:ascii="Arial" w:eastAsia="Calibri" w:hAnsi="Arial" w:cs="Arial"/>
          <w:sz w:val="22"/>
          <w:szCs w:val="22"/>
          <w:lang w:val="en-ZA"/>
        </w:rPr>
        <w:t xml:space="preserve">. </w:t>
      </w:r>
      <w:r w:rsidR="00114099" w:rsidRPr="00ED29DE">
        <w:rPr>
          <w:rFonts w:ascii="Arial" w:eastAsia="Calibri" w:hAnsi="Arial" w:cs="Arial"/>
          <w:sz w:val="22"/>
          <w:szCs w:val="22"/>
          <w:lang w:val="en-ZA"/>
        </w:rPr>
        <w:t xml:space="preserve">The transpose of these correlation matrices </w:t>
      </w:r>
      <w:proofErr w:type="gramStart"/>
      <w:r w:rsidR="00114099" w:rsidRPr="00ED29DE">
        <w:rPr>
          <w:rFonts w:ascii="Arial" w:eastAsia="Calibri" w:hAnsi="Arial" w:cs="Arial"/>
          <w:sz w:val="22"/>
          <w:szCs w:val="22"/>
          <w:lang w:val="en-ZA"/>
        </w:rPr>
        <w:t>are</w:t>
      </w:r>
      <w:proofErr w:type="gramEnd"/>
      <w:r w:rsidR="00114099" w:rsidRPr="00ED29DE">
        <w:rPr>
          <w:rFonts w:ascii="Arial" w:eastAsia="Calibri" w:hAnsi="Arial" w:cs="Arial"/>
          <w:sz w:val="22"/>
          <w:szCs w:val="22"/>
          <w:lang w:val="en-ZA"/>
        </w:rPr>
        <w:t xml:space="preserve"> identical to the </w:t>
      </w:r>
      <w:r w:rsidR="00114099" w:rsidRPr="00C42073">
        <w:rPr>
          <w:rFonts w:ascii="Arial" w:eastAsia="Calibri" w:hAnsi="Arial" w:cs="Arial"/>
          <w:color w:val="000000" w:themeColor="text1"/>
          <w:sz w:val="22"/>
          <w:szCs w:val="22"/>
          <w:lang w:val="en-ZA"/>
        </w:rPr>
        <w:t>matrices themsel</w:t>
      </w:r>
      <w:r w:rsidR="00D40CE4" w:rsidRPr="00C42073">
        <w:rPr>
          <w:rFonts w:ascii="Arial" w:eastAsia="Calibri" w:hAnsi="Arial" w:cs="Arial"/>
          <w:color w:val="000000" w:themeColor="text1"/>
          <w:sz w:val="22"/>
          <w:szCs w:val="22"/>
          <w:lang w:val="en-ZA"/>
        </w:rPr>
        <w:t>ves</w:t>
      </w:r>
      <w:r w:rsidR="00791EAB" w:rsidRPr="00C42073">
        <w:rPr>
          <w:rFonts w:ascii="Arial" w:eastAsia="Calibri" w:hAnsi="Arial" w:cs="Arial"/>
          <w:color w:val="000000" w:themeColor="text1"/>
          <w:sz w:val="22"/>
          <w:szCs w:val="22"/>
          <w:lang w:val="en-ZA"/>
        </w:rPr>
        <w:t>. A</w:t>
      </w:r>
      <w:r w:rsidR="00D40CE4" w:rsidRPr="00C42073">
        <w:rPr>
          <w:rFonts w:ascii="Arial" w:eastAsia="Calibri" w:hAnsi="Arial" w:cs="Arial"/>
          <w:color w:val="000000" w:themeColor="text1"/>
          <w:sz w:val="22"/>
          <w:szCs w:val="22"/>
          <w:lang w:val="en-ZA"/>
        </w:rPr>
        <w:t>s a result</w:t>
      </w:r>
      <w:r w:rsidR="00791EAB" w:rsidRPr="00C42073">
        <w:rPr>
          <w:rFonts w:ascii="Arial" w:eastAsia="Calibri" w:hAnsi="Arial" w:cs="Arial"/>
          <w:color w:val="000000" w:themeColor="text1"/>
          <w:sz w:val="22"/>
          <w:szCs w:val="22"/>
          <w:lang w:val="en-ZA"/>
        </w:rPr>
        <w:t>,</w:t>
      </w:r>
      <w:r w:rsidR="00114099" w:rsidRPr="00C42073">
        <w:rPr>
          <w:rFonts w:ascii="Arial" w:eastAsia="Calibri" w:hAnsi="Arial" w:cs="Arial"/>
          <w:color w:val="000000" w:themeColor="text1"/>
          <w:sz w:val="22"/>
          <w:szCs w:val="22"/>
          <w:lang w:val="en-ZA"/>
        </w:rPr>
        <w:t xml:space="preserve"> their product would yield identity matrices, which </w:t>
      </w:r>
      <w:r w:rsidR="001F7E35" w:rsidRPr="00C42073">
        <w:rPr>
          <w:rFonts w:ascii="Arial" w:eastAsia="Calibri" w:hAnsi="Arial" w:cs="Arial"/>
          <w:color w:val="000000" w:themeColor="text1"/>
          <w:sz w:val="22"/>
          <w:szCs w:val="22"/>
          <w:lang w:val="en-ZA"/>
        </w:rPr>
        <w:t>demonstrate that the</w:t>
      </w:r>
      <w:r w:rsidR="001F7E35" w:rsidRPr="00ED29DE">
        <w:rPr>
          <w:rFonts w:ascii="Arial" w:eastAsia="Calibri" w:hAnsi="Arial" w:cs="Arial"/>
          <w:sz w:val="22"/>
          <w:szCs w:val="22"/>
          <w:lang w:val="en-ZA"/>
        </w:rPr>
        <w:t xml:space="preserve"> PCA is orthogonal [</w:t>
      </w:r>
      <w:r w:rsidR="0062136A" w:rsidRPr="00ED29DE">
        <w:rPr>
          <w:rFonts w:ascii="Arial" w:eastAsia="Calibri" w:hAnsi="Arial" w:cs="Arial"/>
          <w:sz w:val="22"/>
          <w:szCs w:val="22"/>
          <w:lang w:val="en-ZA"/>
        </w:rPr>
        <w:t>ibid</w:t>
      </w:r>
      <w:r w:rsidR="001F7E35" w:rsidRPr="00ED29DE">
        <w:rPr>
          <w:rFonts w:ascii="Arial" w:eastAsia="Calibri" w:hAnsi="Arial" w:cs="Arial"/>
          <w:sz w:val="22"/>
          <w:szCs w:val="22"/>
          <w:lang w:val="en-ZA"/>
        </w:rPr>
        <w:t xml:space="preserve">]. </w:t>
      </w:r>
      <w:r w:rsidRPr="00ED29DE">
        <w:rPr>
          <w:rFonts w:ascii="Arial" w:eastAsia="Calibri" w:hAnsi="Arial" w:cs="Arial"/>
          <w:sz w:val="22"/>
          <w:szCs w:val="22"/>
          <w:lang w:val="en-ZA"/>
        </w:rPr>
        <w:t>The principal component analysis indicates that there are three prin</w:t>
      </w:r>
      <w:r w:rsidR="004440AF" w:rsidRPr="00ED29DE">
        <w:rPr>
          <w:rFonts w:ascii="Arial" w:eastAsia="Calibri" w:hAnsi="Arial" w:cs="Arial"/>
          <w:sz w:val="22"/>
          <w:szCs w:val="22"/>
          <w:lang w:val="en-ZA"/>
        </w:rPr>
        <w:t xml:space="preserve">cipal components, F1, F2 and F3 and one principal component F1 for the simulated and case work samples respectively, </w:t>
      </w:r>
      <w:r w:rsidRPr="00ED29DE">
        <w:rPr>
          <w:rFonts w:ascii="Arial" w:eastAsia="Calibri" w:hAnsi="Arial" w:cs="Arial"/>
          <w:sz w:val="22"/>
          <w:szCs w:val="22"/>
          <w:lang w:val="en-ZA"/>
        </w:rPr>
        <w:t xml:space="preserve">that explains the variability </w:t>
      </w:r>
      <w:r w:rsidR="004440AF" w:rsidRPr="00ED29DE">
        <w:rPr>
          <w:rFonts w:ascii="Arial" w:eastAsia="Calibri" w:hAnsi="Arial" w:cs="Arial"/>
          <w:sz w:val="22"/>
          <w:szCs w:val="22"/>
          <w:lang w:val="en-ZA"/>
        </w:rPr>
        <w:t>of the variables</w:t>
      </w:r>
      <w:r w:rsidRPr="00ED29DE">
        <w:rPr>
          <w:rFonts w:ascii="Arial" w:eastAsia="Calibri" w:hAnsi="Arial" w:cs="Arial"/>
          <w:sz w:val="22"/>
          <w:szCs w:val="22"/>
          <w:lang w:val="en-ZA"/>
        </w:rPr>
        <w:t xml:space="preserve">. </w:t>
      </w:r>
    </w:p>
    <w:p w14:paraId="40872359" w14:textId="5A5A6F4C" w:rsidR="00A317F5" w:rsidRPr="00ED29DE" w:rsidRDefault="00860922" w:rsidP="0016122E">
      <w:pPr>
        <w:spacing w:line="360" w:lineRule="auto"/>
        <w:jc w:val="both"/>
        <w:rPr>
          <w:rFonts w:ascii="Arial" w:eastAsia="Calibri" w:hAnsi="Arial" w:cs="Arial"/>
          <w:sz w:val="22"/>
          <w:szCs w:val="22"/>
          <w:lang w:val="en-ZA"/>
        </w:rPr>
      </w:pPr>
      <w:r w:rsidRPr="00ED29DE">
        <w:rPr>
          <w:rFonts w:ascii="Arial" w:eastAsia="Calibri" w:hAnsi="Arial" w:cs="Arial"/>
          <w:sz w:val="22"/>
          <w:szCs w:val="22"/>
          <w:lang w:val="en-ZA"/>
        </w:rPr>
        <w:t xml:space="preserve">The eigenvalues </w:t>
      </w:r>
      <w:r w:rsidR="004B405C" w:rsidRPr="00ED29DE">
        <w:rPr>
          <w:rFonts w:ascii="Arial" w:eastAsia="Calibri" w:hAnsi="Arial" w:cs="Arial"/>
          <w:sz w:val="22"/>
          <w:szCs w:val="22"/>
          <w:lang w:val="en-ZA"/>
        </w:rPr>
        <w:t xml:space="preserve">of these principal components were </w:t>
      </w:r>
      <w:r w:rsidRPr="00ED29DE">
        <w:rPr>
          <w:rFonts w:ascii="Arial" w:eastAsia="Calibri" w:hAnsi="Arial" w:cs="Arial"/>
          <w:sz w:val="22"/>
          <w:szCs w:val="22"/>
          <w:lang w:val="en-ZA"/>
        </w:rPr>
        <w:t>greater than 1.00</w:t>
      </w:r>
      <w:r w:rsidR="000A3355" w:rsidRPr="00ED29DE">
        <w:rPr>
          <w:rFonts w:ascii="Arial" w:eastAsia="Calibri" w:hAnsi="Arial" w:cs="Arial"/>
          <w:sz w:val="22"/>
          <w:szCs w:val="22"/>
          <w:lang w:val="en-ZA"/>
        </w:rPr>
        <w:t>. T</w:t>
      </w:r>
      <w:r w:rsidR="004B405C" w:rsidRPr="00ED29DE">
        <w:rPr>
          <w:rFonts w:ascii="Arial" w:eastAsia="Calibri" w:hAnsi="Arial" w:cs="Arial"/>
          <w:sz w:val="22"/>
          <w:szCs w:val="22"/>
          <w:lang w:val="en-ZA"/>
        </w:rPr>
        <w:t xml:space="preserve">he total variability (%) </w:t>
      </w:r>
      <w:r w:rsidR="000A3355" w:rsidRPr="00ED29DE">
        <w:rPr>
          <w:rFonts w:ascii="Arial" w:eastAsia="Calibri" w:hAnsi="Arial" w:cs="Arial"/>
          <w:sz w:val="22"/>
          <w:szCs w:val="22"/>
          <w:lang w:val="en-ZA"/>
        </w:rPr>
        <w:t xml:space="preserve">of the principal components (F1 and F2) </w:t>
      </w:r>
      <w:r w:rsidR="004B405C" w:rsidRPr="00ED29DE">
        <w:rPr>
          <w:rFonts w:ascii="Arial" w:eastAsia="Calibri" w:hAnsi="Arial" w:cs="Arial"/>
          <w:sz w:val="22"/>
          <w:szCs w:val="22"/>
          <w:lang w:val="en-ZA"/>
        </w:rPr>
        <w:t xml:space="preserve">for </w:t>
      </w:r>
      <w:r w:rsidR="000A3355" w:rsidRPr="00ED29DE">
        <w:rPr>
          <w:rFonts w:ascii="Arial" w:eastAsia="Calibri" w:hAnsi="Arial" w:cs="Arial"/>
          <w:sz w:val="22"/>
          <w:szCs w:val="22"/>
          <w:lang w:val="en-ZA"/>
        </w:rPr>
        <w:t xml:space="preserve">the simulated samples </w:t>
      </w:r>
      <w:r w:rsidR="004B405C" w:rsidRPr="00ED29DE">
        <w:rPr>
          <w:rFonts w:ascii="Arial" w:eastAsia="Calibri" w:hAnsi="Arial" w:cs="Arial"/>
          <w:sz w:val="22"/>
          <w:szCs w:val="22"/>
          <w:lang w:val="en-ZA"/>
        </w:rPr>
        <w:t xml:space="preserve">were </w:t>
      </w:r>
      <w:r w:rsidR="00ED29DE">
        <w:rPr>
          <w:rFonts w:ascii="Arial" w:eastAsia="Calibri" w:hAnsi="Arial" w:cs="Arial"/>
          <w:sz w:val="22"/>
          <w:szCs w:val="22"/>
          <w:lang w:val="en-ZA"/>
        </w:rPr>
        <w:t>more than the minimum 70</w:t>
      </w:r>
      <w:r w:rsidR="000A3355" w:rsidRPr="00ED29DE">
        <w:rPr>
          <w:rFonts w:ascii="Arial" w:eastAsia="Calibri" w:hAnsi="Arial" w:cs="Arial"/>
          <w:sz w:val="22"/>
          <w:szCs w:val="22"/>
          <w:lang w:val="en-ZA"/>
        </w:rPr>
        <w:t xml:space="preserve">%, while the principal component F1 alone accounted for more than 70% variability for the case work sample. This </w:t>
      </w:r>
      <w:r w:rsidR="00D66484" w:rsidRPr="00ED29DE">
        <w:rPr>
          <w:rFonts w:ascii="Arial" w:eastAsia="Calibri" w:hAnsi="Arial" w:cs="Arial"/>
          <w:sz w:val="22"/>
          <w:szCs w:val="22"/>
          <w:lang w:val="en-ZA"/>
        </w:rPr>
        <w:t>further indicates that</w:t>
      </w:r>
      <w:r w:rsidRPr="00ED29DE">
        <w:rPr>
          <w:rFonts w:ascii="Arial" w:eastAsia="Calibri" w:hAnsi="Arial" w:cs="Arial"/>
          <w:sz w:val="22"/>
          <w:szCs w:val="22"/>
          <w:lang w:val="en-ZA"/>
        </w:rPr>
        <w:t xml:space="preserve"> </w:t>
      </w:r>
      <w:r w:rsidR="00D66484" w:rsidRPr="00ED29DE">
        <w:rPr>
          <w:rFonts w:ascii="Arial" w:eastAsia="Calibri" w:hAnsi="Arial" w:cs="Arial"/>
          <w:sz w:val="22"/>
          <w:szCs w:val="22"/>
          <w:lang w:val="en-ZA"/>
        </w:rPr>
        <w:t>the two principal components F1 and F2 for</w:t>
      </w:r>
      <w:r w:rsidRPr="00ED29DE">
        <w:rPr>
          <w:rFonts w:ascii="Arial" w:eastAsia="Calibri" w:hAnsi="Arial" w:cs="Arial"/>
          <w:sz w:val="22"/>
          <w:szCs w:val="22"/>
          <w:lang w:val="en-ZA"/>
        </w:rPr>
        <w:t xml:space="preserve"> </w:t>
      </w:r>
      <w:r w:rsidR="00D66484" w:rsidRPr="00ED29DE">
        <w:rPr>
          <w:rFonts w:ascii="Arial" w:eastAsia="Calibri" w:hAnsi="Arial" w:cs="Arial"/>
          <w:sz w:val="22"/>
          <w:szCs w:val="22"/>
          <w:lang w:val="en-ZA"/>
        </w:rPr>
        <w:t xml:space="preserve">the simulated samples and the single component F1 for the case work sample </w:t>
      </w:r>
      <w:r w:rsidRPr="00ED29DE">
        <w:rPr>
          <w:rFonts w:ascii="Arial" w:eastAsia="Calibri" w:hAnsi="Arial" w:cs="Arial"/>
          <w:sz w:val="22"/>
          <w:szCs w:val="22"/>
          <w:lang w:val="en-ZA"/>
        </w:rPr>
        <w:t>are sufficient to explain the variability of the data set</w:t>
      </w:r>
      <w:r w:rsidR="001747AF">
        <w:rPr>
          <w:rFonts w:ascii="Arial" w:eastAsia="Calibri" w:hAnsi="Arial" w:cs="Arial"/>
          <w:sz w:val="22"/>
          <w:szCs w:val="22"/>
          <w:vertAlign w:val="superscript"/>
          <w:lang w:val="en-ZA"/>
        </w:rPr>
        <w:t>29,30</w:t>
      </w:r>
      <w:r w:rsidR="00D66484" w:rsidRPr="00ED29DE">
        <w:rPr>
          <w:rFonts w:ascii="Arial" w:eastAsia="Calibri" w:hAnsi="Arial" w:cs="Arial"/>
          <w:sz w:val="22"/>
          <w:szCs w:val="22"/>
          <w:lang w:val="en-ZA"/>
        </w:rPr>
        <w:t>.</w:t>
      </w:r>
      <w:r w:rsidR="00114099" w:rsidRPr="00ED29DE">
        <w:rPr>
          <w:rFonts w:ascii="Arial" w:eastAsia="Calibri" w:hAnsi="Arial" w:cs="Arial"/>
          <w:sz w:val="22"/>
          <w:szCs w:val="22"/>
          <w:lang w:val="en-ZA"/>
        </w:rPr>
        <w:t xml:space="preserve"> </w:t>
      </w:r>
      <w:r w:rsidR="00114099" w:rsidRPr="00ED29DE">
        <w:rPr>
          <w:rFonts w:ascii="Arial" w:eastAsia="Calibri" w:hAnsi="Arial" w:cs="Arial"/>
          <w:color w:val="000000"/>
          <w:sz w:val="22"/>
          <w:szCs w:val="22"/>
          <w:lang w:val="en-US"/>
        </w:rPr>
        <w:t xml:space="preserve">As indicated in Figure 4 the PCA has discriminated the simulated samples into three different batches and the </w:t>
      </w:r>
      <w:r w:rsidR="00B444EA" w:rsidRPr="00ED29DE">
        <w:rPr>
          <w:rFonts w:ascii="Arial" w:eastAsia="Calibri" w:hAnsi="Arial" w:cs="Arial"/>
          <w:color w:val="000000"/>
          <w:sz w:val="22"/>
          <w:szCs w:val="22"/>
          <w:lang w:val="en-US"/>
        </w:rPr>
        <w:t xml:space="preserve">case work samples into five different batches </w:t>
      </w:r>
      <w:proofErr w:type="gramStart"/>
      <w:r w:rsidR="00B444EA" w:rsidRPr="00ED29DE">
        <w:rPr>
          <w:rFonts w:ascii="Arial" w:eastAsia="Calibri" w:hAnsi="Arial" w:cs="Arial"/>
          <w:color w:val="000000"/>
          <w:sz w:val="22"/>
          <w:szCs w:val="22"/>
          <w:lang w:val="en-US"/>
        </w:rPr>
        <w:t>similar to</w:t>
      </w:r>
      <w:proofErr w:type="gramEnd"/>
      <w:r w:rsidR="00B444EA" w:rsidRPr="00ED29DE">
        <w:rPr>
          <w:rFonts w:ascii="Arial" w:eastAsia="Calibri" w:hAnsi="Arial" w:cs="Arial"/>
          <w:color w:val="000000"/>
          <w:sz w:val="22"/>
          <w:szCs w:val="22"/>
          <w:lang w:val="en-US"/>
        </w:rPr>
        <w:t xml:space="preserve"> the observation made using chromatographic profiles and HCA</w:t>
      </w:r>
      <w:r w:rsidR="00114099" w:rsidRPr="00ED29DE">
        <w:rPr>
          <w:rFonts w:ascii="Arial" w:eastAsia="Calibri" w:hAnsi="Arial" w:cs="Arial"/>
          <w:color w:val="000000"/>
          <w:sz w:val="22"/>
          <w:szCs w:val="22"/>
          <w:lang w:val="en-US"/>
        </w:rPr>
        <w:t xml:space="preserve">. The PCA further demonstrated that the simulated </w:t>
      </w:r>
      <w:proofErr w:type="spellStart"/>
      <w:r w:rsidR="00114099" w:rsidRPr="00ED29DE">
        <w:rPr>
          <w:rFonts w:ascii="Arial" w:eastAsia="Calibri" w:hAnsi="Arial" w:cs="Arial"/>
          <w:color w:val="000000"/>
          <w:sz w:val="22"/>
          <w:szCs w:val="22"/>
          <w:lang w:val="en-US"/>
        </w:rPr>
        <w:t>nyaope</w:t>
      </w:r>
      <w:proofErr w:type="spellEnd"/>
      <w:r w:rsidR="00114099" w:rsidRPr="00ED29DE">
        <w:rPr>
          <w:rFonts w:ascii="Arial" w:eastAsia="Calibri" w:hAnsi="Arial" w:cs="Arial"/>
          <w:color w:val="000000"/>
          <w:sz w:val="22"/>
          <w:szCs w:val="22"/>
          <w:lang w:val="en-US"/>
        </w:rPr>
        <w:t xml:space="preserve"> samples can still be discriminated even after 72 hours of autosampler storage </w:t>
      </w:r>
      <w:r w:rsidR="00974473" w:rsidRPr="00C42073">
        <w:rPr>
          <w:rFonts w:ascii="Arial" w:eastAsia="Calibri" w:hAnsi="Arial" w:cs="Arial"/>
          <w:color w:val="000000" w:themeColor="text1"/>
          <w:sz w:val="22"/>
          <w:szCs w:val="22"/>
          <w:lang w:val="en-US"/>
        </w:rPr>
        <w:t>confirming</w:t>
      </w:r>
      <w:r w:rsidR="00114099" w:rsidRPr="00ED29DE">
        <w:rPr>
          <w:rFonts w:ascii="Arial" w:eastAsia="Calibri" w:hAnsi="Arial" w:cs="Arial"/>
          <w:color w:val="000000"/>
          <w:sz w:val="22"/>
          <w:szCs w:val="22"/>
          <w:lang w:val="en-US"/>
        </w:rPr>
        <w:t xml:space="preserve"> the stability of the samples once extracted into tertiary butyl alcohol for 72 hours.</w:t>
      </w:r>
    </w:p>
    <w:p w14:paraId="5F7F08B7" w14:textId="6729462F" w:rsidR="00114099" w:rsidRDefault="00114099" w:rsidP="0016122E">
      <w:pPr>
        <w:spacing w:line="360" w:lineRule="auto"/>
        <w:jc w:val="both"/>
        <w:rPr>
          <w:rFonts w:ascii="Calibri" w:eastAsia="Calibri" w:hAnsi="Calibri" w:cs="Times New Roman"/>
          <w:lang w:val="en-ZA"/>
        </w:rPr>
      </w:pPr>
    </w:p>
    <w:p w14:paraId="3576546A" w14:textId="77777777" w:rsidR="00E52F26" w:rsidRDefault="00E52F26" w:rsidP="0016122E">
      <w:pPr>
        <w:spacing w:line="360" w:lineRule="auto"/>
        <w:jc w:val="both"/>
        <w:rPr>
          <w:rFonts w:ascii="Calibri" w:eastAsia="Calibri" w:hAnsi="Calibri" w:cs="Times New Roman"/>
          <w:lang w:val="en-ZA"/>
        </w:rPr>
      </w:pPr>
    </w:p>
    <w:p w14:paraId="28EE1E19" w14:textId="1FDC6D91" w:rsidR="005E4744" w:rsidRPr="0016122E" w:rsidRDefault="00114099" w:rsidP="00DA3C8B">
      <w:pPr>
        <w:spacing w:line="480" w:lineRule="auto"/>
        <w:jc w:val="both"/>
        <w:rPr>
          <w:rFonts w:ascii="Arial" w:eastAsia="Calibri" w:hAnsi="Arial" w:cs="Arial"/>
          <w:lang w:val="en-ZA"/>
        </w:rPr>
      </w:pPr>
      <w:bookmarkStart w:id="2" w:name="_Toc40094902"/>
      <w:bookmarkStart w:id="3" w:name="_Toc44491012"/>
      <w:r w:rsidRPr="00C42073">
        <w:rPr>
          <w:rFonts w:ascii="Arial" w:eastAsia="Calibri" w:hAnsi="Arial" w:cs="Arial"/>
          <w:b/>
          <w:bCs/>
          <w:color w:val="000000" w:themeColor="text1"/>
          <w:sz w:val="22"/>
          <w:szCs w:val="22"/>
          <w:lang w:val="en-ZA"/>
        </w:rPr>
        <w:lastRenderedPageBreak/>
        <w:t xml:space="preserve">Table </w:t>
      </w:r>
      <w:r w:rsidR="00A31154" w:rsidRPr="00C42073">
        <w:rPr>
          <w:rFonts w:ascii="Arial" w:eastAsia="Calibri" w:hAnsi="Arial" w:cs="Arial"/>
          <w:b/>
          <w:bCs/>
          <w:color w:val="000000" w:themeColor="text1"/>
          <w:sz w:val="22"/>
          <w:szCs w:val="22"/>
          <w:lang w:val="en-ZA"/>
        </w:rPr>
        <w:t>7</w:t>
      </w:r>
      <w:r w:rsidRPr="00C42073">
        <w:rPr>
          <w:rFonts w:ascii="Arial" w:eastAsia="Calibri" w:hAnsi="Arial" w:cs="Arial"/>
          <w:b/>
          <w:bCs/>
          <w:color w:val="000000" w:themeColor="text1"/>
          <w:sz w:val="22"/>
          <w:szCs w:val="22"/>
          <w:lang w:val="en-ZA"/>
        </w:rPr>
        <w:t xml:space="preserve">: </w:t>
      </w:r>
      <w:r w:rsidRPr="0016122E">
        <w:rPr>
          <w:rFonts w:ascii="Arial" w:eastAsia="Calibri" w:hAnsi="Arial" w:cs="Arial"/>
          <w:b/>
          <w:bCs/>
          <w:sz w:val="22"/>
          <w:szCs w:val="22"/>
          <w:lang w:val="en-ZA"/>
        </w:rPr>
        <w:t>Pearson correlation matrices for the simulated and case work samples.</w:t>
      </w:r>
      <w:bookmarkEnd w:id="2"/>
      <w:bookmarkEnd w:id="3"/>
    </w:p>
    <w:tbl>
      <w:tblPr>
        <w:tblW w:w="9067" w:type="dxa"/>
        <w:tblLayout w:type="fixed"/>
        <w:tblLook w:val="04A0" w:firstRow="1" w:lastRow="0" w:firstColumn="1" w:lastColumn="0" w:noHBand="0" w:noVBand="1"/>
      </w:tblPr>
      <w:tblGrid>
        <w:gridCol w:w="966"/>
        <w:gridCol w:w="735"/>
        <w:gridCol w:w="709"/>
        <w:gridCol w:w="851"/>
        <w:gridCol w:w="850"/>
        <w:gridCol w:w="704"/>
        <w:gridCol w:w="850"/>
        <w:gridCol w:w="993"/>
        <w:gridCol w:w="850"/>
        <w:gridCol w:w="709"/>
        <w:gridCol w:w="850"/>
      </w:tblGrid>
      <w:tr w:rsidR="005E4744" w:rsidRPr="0016122E" w14:paraId="6777EF87" w14:textId="00CE8E92" w:rsidTr="005E4744">
        <w:trPr>
          <w:trHeight w:val="315"/>
        </w:trPr>
        <w:tc>
          <w:tcPr>
            <w:tcW w:w="2410" w:type="dxa"/>
            <w:gridSpan w:val="3"/>
            <w:tcBorders>
              <w:top w:val="single" w:sz="4" w:space="0" w:color="auto"/>
              <w:bottom w:val="single" w:sz="4" w:space="0" w:color="auto"/>
            </w:tcBorders>
            <w:shd w:val="clear" w:color="auto" w:fill="auto"/>
            <w:noWrap/>
            <w:hideMark/>
          </w:tcPr>
          <w:p w14:paraId="5758AE3A" w14:textId="74EC10EA" w:rsidR="005E4744" w:rsidRPr="0016122E" w:rsidRDefault="005E4744" w:rsidP="00DA3C8B">
            <w:pPr>
              <w:spacing w:line="480" w:lineRule="auto"/>
              <w:rPr>
                <w:rFonts w:ascii="Arial" w:eastAsia="Calibri" w:hAnsi="Arial" w:cs="Arial"/>
                <w:sz w:val="18"/>
                <w:szCs w:val="18"/>
                <w:lang w:val="en-ZA"/>
              </w:rPr>
            </w:pPr>
            <w:r w:rsidRPr="0016122E">
              <w:rPr>
                <w:rFonts w:ascii="Arial" w:eastAsia="Calibri" w:hAnsi="Arial" w:cs="Arial"/>
                <w:b/>
                <w:sz w:val="18"/>
                <w:szCs w:val="18"/>
                <w:lang w:val="en-ZA"/>
              </w:rPr>
              <w:t>Simulated samples</w:t>
            </w:r>
          </w:p>
        </w:tc>
        <w:tc>
          <w:tcPr>
            <w:tcW w:w="851" w:type="dxa"/>
            <w:tcBorders>
              <w:top w:val="single" w:sz="4" w:space="0" w:color="auto"/>
              <w:bottom w:val="single" w:sz="4" w:space="0" w:color="auto"/>
            </w:tcBorders>
            <w:shd w:val="clear" w:color="auto" w:fill="auto"/>
            <w:noWrap/>
            <w:hideMark/>
          </w:tcPr>
          <w:p w14:paraId="0020B872" w14:textId="426D4490" w:rsidR="005E4744" w:rsidRPr="0016122E" w:rsidRDefault="005E4744" w:rsidP="00DA3C8B">
            <w:pPr>
              <w:spacing w:before="240" w:line="480" w:lineRule="auto"/>
              <w:rPr>
                <w:rFonts w:ascii="Arial" w:eastAsia="Calibri" w:hAnsi="Arial" w:cs="Arial"/>
                <w:b/>
                <w:sz w:val="18"/>
                <w:szCs w:val="18"/>
                <w:lang w:val="en-ZA"/>
              </w:rPr>
            </w:pPr>
          </w:p>
        </w:tc>
        <w:tc>
          <w:tcPr>
            <w:tcW w:w="2404" w:type="dxa"/>
            <w:gridSpan w:val="3"/>
            <w:tcBorders>
              <w:top w:val="single" w:sz="4" w:space="0" w:color="auto"/>
              <w:bottom w:val="single" w:sz="4" w:space="0" w:color="auto"/>
              <w:right w:val="single" w:sz="4" w:space="0" w:color="auto"/>
            </w:tcBorders>
            <w:shd w:val="clear" w:color="auto" w:fill="auto"/>
            <w:noWrap/>
            <w:hideMark/>
          </w:tcPr>
          <w:p w14:paraId="64E2AF9C" w14:textId="77777777" w:rsidR="005E4744" w:rsidRPr="0016122E" w:rsidRDefault="005E4744" w:rsidP="00DA3C8B">
            <w:pPr>
              <w:spacing w:line="480" w:lineRule="auto"/>
              <w:rPr>
                <w:rFonts w:ascii="Arial" w:eastAsia="Calibri" w:hAnsi="Arial" w:cs="Arial"/>
                <w:sz w:val="18"/>
                <w:szCs w:val="18"/>
                <w:lang w:val="en-ZA"/>
              </w:rPr>
            </w:pPr>
          </w:p>
        </w:tc>
        <w:tc>
          <w:tcPr>
            <w:tcW w:w="3402" w:type="dxa"/>
            <w:gridSpan w:val="4"/>
            <w:tcBorders>
              <w:top w:val="single" w:sz="4" w:space="0" w:color="auto"/>
              <w:left w:val="single" w:sz="4" w:space="0" w:color="auto"/>
              <w:bottom w:val="single" w:sz="4" w:space="0" w:color="auto"/>
            </w:tcBorders>
            <w:shd w:val="clear" w:color="auto" w:fill="auto"/>
            <w:vAlign w:val="bottom"/>
          </w:tcPr>
          <w:p w14:paraId="70F76829" w14:textId="4F8DF3CC" w:rsidR="005E4744" w:rsidRPr="0016122E" w:rsidRDefault="005E4744" w:rsidP="00DA3C8B">
            <w:pPr>
              <w:spacing w:line="480" w:lineRule="auto"/>
              <w:rPr>
                <w:rFonts w:ascii="Arial" w:eastAsia="Calibri" w:hAnsi="Arial" w:cs="Arial"/>
                <w:sz w:val="18"/>
                <w:szCs w:val="18"/>
                <w:lang w:val="en-ZA"/>
              </w:rPr>
            </w:pPr>
            <w:r w:rsidRPr="0016122E">
              <w:rPr>
                <w:rFonts w:ascii="Arial" w:eastAsia="Times New Roman" w:hAnsi="Arial" w:cs="Arial"/>
                <w:b/>
                <w:color w:val="000000"/>
                <w:sz w:val="18"/>
                <w:szCs w:val="18"/>
                <w:lang w:eastAsia="en-ZA"/>
              </w:rPr>
              <w:t>Case work</w:t>
            </w:r>
          </w:p>
        </w:tc>
      </w:tr>
      <w:tr w:rsidR="005E4744" w:rsidRPr="0016122E" w14:paraId="691B2E4C" w14:textId="37A49B4C" w:rsidTr="005E4744">
        <w:trPr>
          <w:trHeight w:val="300"/>
        </w:trPr>
        <w:tc>
          <w:tcPr>
            <w:tcW w:w="966" w:type="dxa"/>
            <w:tcBorders>
              <w:top w:val="single" w:sz="4" w:space="0" w:color="auto"/>
            </w:tcBorders>
            <w:shd w:val="clear" w:color="auto" w:fill="auto"/>
            <w:noWrap/>
            <w:hideMark/>
          </w:tcPr>
          <w:p w14:paraId="7F2CF18B" w14:textId="77777777" w:rsidR="005E4744" w:rsidRPr="0016122E" w:rsidRDefault="005E4744" w:rsidP="00DA3C8B">
            <w:pPr>
              <w:spacing w:line="480" w:lineRule="auto"/>
              <w:rPr>
                <w:rFonts w:ascii="Arial" w:eastAsia="Calibri" w:hAnsi="Arial" w:cs="Arial"/>
                <w:sz w:val="16"/>
                <w:szCs w:val="16"/>
                <w:lang w:val="en-ZA"/>
              </w:rPr>
            </w:pPr>
            <w:r w:rsidRPr="0016122E">
              <w:rPr>
                <w:rFonts w:ascii="Arial" w:eastAsia="Calibri" w:hAnsi="Arial" w:cs="Arial"/>
                <w:sz w:val="16"/>
                <w:szCs w:val="16"/>
                <w:lang w:val="en-ZA"/>
              </w:rPr>
              <w:t>Variables</w:t>
            </w:r>
          </w:p>
        </w:tc>
        <w:tc>
          <w:tcPr>
            <w:tcW w:w="735" w:type="dxa"/>
            <w:tcBorders>
              <w:top w:val="single" w:sz="4" w:space="0" w:color="auto"/>
            </w:tcBorders>
            <w:shd w:val="clear" w:color="auto" w:fill="auto"/>
            <w:hideMark/>
          </w:tcPr>
          <w:p w14:paraId="7A3B6A16" w14:textId="77777777" w:rsidR="005E4744" w:rsidRPr="0016122E" w:rsidRDefault="005E4744" w:rsidP="00DA3C8B">
            <w:pPr>
              <w:spacing w:line="480" w:lineRule="auto"/>
              <w:rPr>
                <w:rFonts w:ascii="Arial" w:eastAsia="Calibri" w:hAnsi="Arial" w:cs="Arial"/>
                <w:sz w:val="16"/>
                <w:szCs w:val="16"/>
                <w:lang w:val="en-ZA"/>
              </w:rPr>
            </w:pPr>
            <w:r w:rsidRPr="0016122E">
              <w:rPr>
                <w:rFonts w:ascii="Arial" w:eastAsia="Calibri" w:hAnsi="Arial" w:cs="Arial"/>
                <w:sz w:val="16"/>
                <w:szCs w:val="16"/>
                <w:lang w:val="en-ZA"/>
              </w:rPr>
              <w:t>CAFF</w:t>
            </w:r>
          </w:p>
        </w:tc>
        <w:tc>
          <w:tcPr>
            <w:tcW w:w="709" w:type="dxa"/>
            <w:tcBorders>
              <w:top w:val="single" w:sz="4" w:space="0" w:color="auto"/>
            </w:tcBorders>
            <w:shd w:val="clear" w:color="auto" w:fill="auto"/>
            <w:hideMark/>
          </w:tcPr>
          <w:p w14:paraId="5461D34A" w14:textId="77777777" w:rsidR="005E4744" w:rsidRPr="0016122E" w:rsidRDefault="005E4744" w:rsidP="00DA3C8B">
            <w:pPr>
              <w:spacing w:line="480" w:lineRule="auto"/>
              <w:rPr>
                <w:rFonts w:ascii="Arial" w:eastAsia="Calibri" w:hAnsi="Arial" w:cs="Arial"/>
                <w:sz w:val="16"/>
                <w:szCs w:val="16"/>
                <w:lang w:val="en-ZA"/>
              </w:rPr>
            </w:pPr>
            <w:r w:rsidRPr="0016122E">
              <w:rPr>
                <w:rFonts w:ascii="Arial" w:eastAsia="Calibri" w:hAnsi="Arial" w:cs="Arial"/>
                <w:sz w:val="16"/>
                <w:szCs w:val="16"/>
                <w:lang w:val="en-ZA"/>
              </w:rPr>
              <w:t>DAM</w:t>
            </w:r>
          </w:p>
        </w:tc>
        <w:tc>
          <w:tcPr>
            <w:tcW w:w="851" w:type="dxa"/>
            <w:tcBorders>
              <w:top w:val="single" w:sz="4" w:space="0" w:color="auto"/>
            </w:tcBorders>
            <w:shd w:val="clear" w:color="auto" w:fill="auto"/>
            <w:hideMark/>
          </w:tcPr>
          <w:p w14:paraId="47F39D1E" w14:textId="77777777" w:rsidR="005E4744" w:rsidRPr="0016122E" w:rsidRDefault="005E4744" w:rsidP="00DA3C8B">
            <w:pPr>
              <w:spacing w:line="480" w:lineRule="auto"/>
              <w:rPr>
                <w:rFonts w:ascii="Arial" w:eastAsia="Calibri" w:hAnsi="Arial" w:cs="Arial"/>
                <w:sz w:val="16"/>
                <w:szCs w:val="16"/>
                <w:lang w:val="en-ZA"/>
              </w:rPr>
            </w:pPr>
            <w:r w:rsidRPr="0016122E">
              <w:rPr>
                <w:rFonts w:ascii="Arial" w:eastAsia="Calibri" w:hAnsi="Arial" w:cs="Arial"/>
                <w:sz w:val="16"/>
                <w:szCs w:val="16"/>
                <w:lang w:val="en-ZA"/>
              </w:rPr>
              <w:t>EFV</w:t>
            </w:r>
          </w:p>
        </w:tc>
        <w:tc>
          <w:tcPr>
            <w:tcW w:w="850" w:type="dxa"/>
            <w:tcBorders>
              <w:top w:val="single" w:sz="4" w:space="0" w:color="auto"/>
            </w:tcBorders>
            <w:shd w:val="clear" w:color="auto" w:fill="auto"/>
            <w:hideMark/>
          </w:tcPr>
          <w:p w14:paraId="67DF5C91" w14:textId="77777777" w:rsidR="005E4744" w:rsidRPr="0016122E" w:rsidRDefault="005E4744" w:rsidP="00DA3C8B">
            <w:pPr>
              <w:spacing w:line="480" w:lineRule="auto"/>
              <w:rPr>
                <w:rFonts w:ascii="Arial" w:eastAsia="Calibri" w:hAnsi="Arial" w:cs="Arial"/>
                <w:sz w:val="16"/>
                <w:szCs w:val="16"/>
                <w:lang w:val="en-ZA"/>
              </w:rPr>
            </w:pPr>
            <w:r w:rsidRPr="0016122E">
              <w:rPr>
                <w:rFonts w:ascii="Arial" w:eastAsia="Calibri" w:hAnsi="Arial" w:cs="Arial"/>
                <w:sz w:val="16"/>
                <w:szCs w:val="16"/>
                <w:lang w:val="en-ZA"/>
              </w:rPr>
              <w:t>NVP</w:t>
            </w:r>
          </w:p>
        </w:tc>
        <w:tc>
          <w:tcPr>
            <w:tcW w:w="704" w:type="dxa"/>
            <w:tcBorders>
              <w:top w:val="single" w:sz="4" w:space="0" w:color="auto"/>
            </w:tcBorders>
            <w:shd w:val="clear" w:color="auto" w:fill="auto"/>
            <w:hideMark/>
          </w:tcPr>
          <w:p w14:paraId="7EEF0A41" w14:textId="77777777" w:rsidR="005E4744" w:rsidRPr="0016122E" w:rsidRDefault="005E4744" w:rsidP="00DA3C8B">
            <w:pPr>
              <w:spacing w:line="480" w:lineRule="auto"/>
              <w:rPr>
                <w:rFonts w:ascii="Arial" w:eastAsia="Calibri" w:hAnsi="Arial" w:cs="Arial"/>
                <w:sz w:val="16"/>
                <w:szCs w:val="16"/>
                <w:lang w:val="en-ZA"/>
              </w:rPr>
            </w:pPr>
            <w:r w:rsidRPr="0016122E">
              <w:rPr>
                <w:rFonts w:ascii="Arial" w:eastAsia="Calibri" w:hAnsi="Arial" w:cs="Arial"/>
                <w:sz w:val="16"/>
                <w:szCs w:val="16"/>
                <w:lang w:val="en-ZA"/>
              </w:rPr>
              <w:t>PNT</w:t>
            </w:r>
          </w:p>
        </w:tc>
        <w:tc>
          <w:tcPr>
            <w:tcW w:w="850" w:type="dxa"/>
            <w:tcBorders>
              <w:top w:val="single" w:sz="4" w:space="0" w:color="auto"/>
              <w:right w:val="single" w:sz="4" w:space="0" w:color="auto"/>
            </w:tcBorders>
            <w:shd w:val="clear" w:color="auto" w:fill="auto"/>
            <w:hideMark/>
          </w:tcPr>
          <w:p w14:paraId="336948D0" w14:textId="77777777" w:rsidR="005E4744" w:rsidRPr="0016122E" w:rsidRDefault="005E4744" w:rsidP="00DA3C8B">
            <w:pPr>
              <w:spacing w:line="480" w:lineRule="auto"/>
              <w:rPr>
                <w:rFonts w:ascii="Arial" w:eastAsia="Calibri" w:hAnsi="Arial" w:cs="Arial"/>
                <w:sz w:val="16"/>
                <w:szCs w:val="16"/>
                <w:lang w:val="en-ZA"/>
              </w:rPr>
            </w:pPr>
            <w:r w:rsidRPr="0016122E">
              <w:rPr>
                <w:rFonts w:ascii="Arial" w:eastAsia="Calibri" w:hAnsi="Arial" w:cs="Arial"/>
                <w:sz w:val="16"/>
                <w:szCs w:val="16"/>
                <w:lang w:val="en-ZA"/>
              </w:rPr>
              <w:t>Δ</w:t>
            </w:r>
            <w:r w:rsidRPr="0016122E">
              <w:rPr>
                <w:rFonts w:ascii="Arial" w:eastAsia="Calibri" w:hAnsi="Arial" w:cs="Arial"/>
                <w:sz w:val="16"/>
                <w:szCs w:val="16"/>
                <w:vertAlign w:val="superscript"/>
                <w:lang w:val="en-ZA"/>
              </w:rPr>
              <w:t>9</w:t>
            </w:r>
            <w:r w:rsidRPr="0016122E">
              <w:rPr>
                <w:rFonts w:ascii="Arial" w:eastAsia="Calibri" w:hAnsi="Arial" w:cs="Arial"/>
                <w:sz w:val="16"/>
                <w:szCs w:val="16"/>
                <w:lang w:val="en-ZA"/>
              </w:rPr>
              <w:t xml:space="preserve"> -THC</w:t>
            </w:r>
          </w:p>
        </w:tc>
        <w:tc>
          <w:tcPr>
            <w:tcW w:w="993" w:type="dxa"/>
            <w:tcBorders>
              <w:top w:val="single" w:sz="4" w:space="0" w:color="auto"/>
              <w:left w:val="single" w:sz="4" w:space="0" w:color="auto"/>
            </w:tcBorders>
            <w:shd w:val="clear" w:color="auto" w:fill="auto"/>
            <w:vAlign w:val="center"/>
          </w:tcPr>
          <w:p w14:paraId="5919C40B" w14:textId="2E034548" w:rsidR="005E4744" w:rsidRPr="0016122E" w:rsidRDefault="005E4744" w:rsidP="00DA3C8B">
            <w:pPr>
              <w:spacing w:line="480" w:lineRule="auto"/>
              <w:rPr>
                <w:rFonts w:ascii="Arial" w:eastAsia="Calibri" w:hAnsi="Arial" w:cs="Arial"/>
                <w:sz w:val="16"/>
                <w:szCs w:val="16"/>
                <w:lang w:val="en-ZA"/>
              </w:rPr>
            </w:pPr>
            <w:r w:rsidRPr="0016122E">
              <w:rPr>
                <w:rFonts w:ascii="Arial" w:eastAsia="Times New Roman" w:hAnsi="Arial" w:cs="Arial"/>
                <w:color w:val="000000"/>
                <w:sz w:val="16"/>
                <w:szCs w:val="16"/>
                <w:lang w:eastAsia="en-ZA"/>
              </w:rPr>
              <w:t>Variables</w:t>
            </w:r>
          </w:p>
        </w:tc>
        <w:tc>
          <w:tcPr>
            <w:tcW w:w="850" w:type="dxa"/>
            <w:tcBorders>
              <w:top w:val="single" w:sz="4" w:space="0" w:color="auto"/>
            </w:tcBorders>
            <w:shd w:val="clear" w:color="auto" w:fill="auto"/>
            <w:vAlign w:val="center"/>
          </w:tcPr>
          <w:p w14:paraId="40E68D93" w14:textId="4E85B525" w:rsidR="005E4744" w:rsidRPr="0016122E" w:rsidRDefault="005E4744" w:rsidP="00DA3C8B">
            <w:pPr>
              <w:spacing w:line="480" w:lineRule="auto"/>
              <w:rPr>
                <w:rFonts w:ascii="Arial" w:eastAsia="Calibri" w:hAnsi="Arial" w:cs="Arial"/>
                <w:sz w:val="16"/>
                <w:szCs w:val="16"/>
                <w:lang w:val="en-ZA"/>
              </w:rPr>
            </w:pPr>
            <w:r w:rsidRPr="0016122E">
              <w:rPr>
                <w:rFonts w:ascii="Arial" w:eastAsia="Times New Roman" w:hAnsi="Arial" w:cs="Arial"/>
                <w:color w:val="000000"/>
                <w:sz w:val="16"/>
                <w:szCs w:val="16"/>
                <w:lang w:eastAsia="en-ZA"/>
              </w:rPr>
              <w:t>CAFF</w:t>
            </w:r>
          </w:p>
        </w:tc>
        <w:tc>
          <w:tcPr>
            <w:tcW w:w="709" w:type="dxa"/>
            <w:tcBorders>
              <w:top w:val="single" w:sz="4" w:space="0" w:color="auto"/>
            </w:tcBorders>
            <w:shd w:val="clear" w:color="auto" w:fill="auto"/>
            <w:vAlign w:val="center"/>
          </w:tcPr>
          <w:p w14:paraId="67D20782" w14:textId="7A832C0C" w:rsidR="005E4744" w:rsidRPr="0016122E" w:rsidRDefault="005E4744" w:rsidP="00DA3C8B">
            <w:pPr>
              <w:spacing w:line="480" w:lineRule="auto"/>
              <w:rPr>
                <w:rFonts w:ascii="Arial" w:eastAsia="Calibri" w:hAnsi="Arial" w:cs="Arial"/>
                <w:sz w:val="16"/>
                <w:szCs w:val="16"/>
                <w:lang w:val="en-ZA"/>
              </w:rPr>
            </w:pPr>
            <w:r w:rsidRPr="0016122E">
              <w:rPr>
                <w:rFonts w:ascii="Arial" w:eastAsia="Times New Roman" w:hAnsi="Arial" w:cs="Arial"/>
                <w:color w:val="000000"/>
                <w:sz w:val="16"/>
                <w:szCs w:val="16"/>
                <w:lang w:eastAsia="en-ZA"/>
              </w:rPr>
              <w:t>DAM</w:t>
            </w:r>
          </w:p>
        </w:tc>
        <w:tc>
          <w:tcPr>
            <w:tcW w:w="850" w:type="dxa"/>
            <w:tcBorders>
              <w:top w:val="single" w:sz="4" w:space="0" w:color="auto"/>
            </w:tcBorders>
            <w:shd w:val="clear" w:color="auto" w:fill="auto"/>
            <w:vAlign w:val="center"/>
          </w:tcPr>
          <w:p w14:paraId="7F76EE86" w14:textId="153DBFDF" w:rsidR="005E4744" w:rsidRPr="0016122E" w:rsidRDefault="005E4744" w:rsidP="00DA3C8B">
            <w:pPr>
              <w:spacing w:line="480" w:lineRule="auto"/>
              <w:rPr>
                <w:rFonts w:ascii="Arial" w:eastAsia="Calibri" w:hAnsi="Arial" w:cs="Arial"/>
                <w:sz w:val="16"/>
                <w:szCs w:val="16"/>
                <w:lang w:val="en-ZA"/>
              </w:rPr>
            </w:pPr>
            <w:r w:rsidRPr="0016122E">
              <w:rPr>
                <w:rFonts w:ascii="Arial" w:eastAsia="Times New Roman" w:hAnsi="Arial" w:cs="Arial"/>
                <w:color w:val="000000"/>
                <w:sz w:val="16"/>
                <w:szCs w:val="16"/>
                <w:lang w:eastAsia="en-ZA"/>
              </w:rPr>
              <w:t>THC</w:t>
            </w:r>
          </w:p>
        </w:tc>
      </w:tr>
      <w:tr w:rsidR="005E4744" w:rsidRPr="0016122E" w14:paraId="5C9AFFC6" w14:textId="5FE8A1E3" w:rsidTr="005E4744">
        <w:trPr>
          <w:trHeight w:val="300"/>
        </w:trPr>
        <w:tc>
          <w:tcPr>
            <w:tcW w:w="966" w:type="dxa"/>
            <w:shd w:val="clear" w:color="auto" w:fill="auto"/>
            <w:noWrap/>
            <w:hideMark/>
          </w:tcPr>
          <w:p w14:paraId="52CC1889" w14:textId="77777777" w:rsidR="005E4744" w:rsidRPr="0016122E" w:rsidRDefault="005E4744" w:rsidP="00DA3C8B">
            <w:pPr>
              <w:spacing w:line="480" w:lineRule="auto"/>
              <w:rPr>
                <w:rFonts w:ascii="Arial" w:eastAsia="Calibri" w:hAnsi="Arial" w:cs="Arial"/>
                <w:sz w:val="16"/>
                <w:szCs w:val="16"/>
                <w:lang w:val="en-ZA"/>
              </w:rPr>
            </w:pPr>
            <w:r w:rsidRPr="0016122E">
              <w:rPr>
                <w:rFonts w:ascii="Arial" w:eastAsia="Calibri" w:hAnsi="Arial" w:cs="Arial"/>
                <w:sz w:val="16"/>
                <w:szCs w:val="16"/>
                <w:lang w:val="en-ZA"/>
              </w:rPr>
              <w:t>CAFF</w:t>
            </w:r>
          </w:p>
        </w:tc>
        <w:tc>
          <w:tcPr>
            <w:tcW w:w="735" w:type="dxa"/>
            <w:shd w:val="clear" w:color="auto" w:fill="auto"/>
            <w:noWrap/>
            <w:hideMark/>
          </w:tcPr>
          <w:p w14:paraId="7AD6346E" w14:textId="77777777" w:rsidR="005E4744" w:rsidRPr="0016122E" w:rsidRDefault="005E4744" w:rsidP="00DA3C8B">
            <w:pPr>
              <w:spacing w:line="480" w:lineRule="auto"/>
              <w:rPr>
                <w:rFonts w:ascii="Arial" w:eastAsia="Calibri" w:hAnsi="Arial" w:cs="Arial"/>
                <w:b/>
                <w:bCs/>
                <w:sz w:val="16"/>
                <w:szCs w:val="16"/>
                <w:lang w:val="en-ZA"/>
              </w:rPr>
            </w:pPr>
            <w:r w:rsidRPr="0016122E">
              <w:rPr>
                <w:rFonts w:ascii="Arial" w:eastAsia="Calibri" w:hAnsi="Arial" w:cs="Arial"/>
                <w:b/>
                <w:bCs/>
                <w:sz w:val="16"/>
                <w:szCs w:val="16"/>
                <w:lang w:val="en-ZA"/>
              </w:rPr>
              <w:t>1</w:t>
            </w:r>
          </w:p>
        </w:tc>
        <w:tc>
          <w:tcPr>
            <w:tcW w:w="709" w:type="dxa"/>
            <w:shd w:val="clear" w:color="auto" w:fill="auto"/>
            <w:noWrap/>
            <w:hideMark/>
          </w:tcPr>
          <w:p w14:paraId="06A6590D" w14:textId="77777777" w:rsidR="005E4744" w:rsidRPr="0016122E" w:rsidRDefault="005E4744" w:rsidP="00DA3C8B">
            <w:pPr>
              <w:spacing w:line="480" w:lineRule="auto"/>
              <w:rPr>
                <w:rFonts w:ascii="Arial" w:eastAsia="Calibri" w:hAnsi="Arial" w:cs="Arial"/>
                <w:b/>
                <w:bCs/>
                <w:sz w:val="16"/>
                <w:szCs w:val="16"/>
                <w:lang w:val="en-ZA"/>
              </w:rPr>
            </w:pPr>
            <w:r w:rsidRPr="0016122E">
              <w:rPr>
                <w:rFonts w:ascii="Arial" w:eastAsia="Calibri" w:hAnsi="Arial" w:cs="Arial"/>
                <w:b/>
                <w:bCs/>
                <w:sz w:val="16"/>
                <w:szCs w:val="16"/>
                <w:lang w:val="en-ZA"/>
              </w:rPr>
              <w:t>0.884</w:t>
            </w:r>
          </w:p>
        </w:tc>
        <w:tc>
          <w:tcPr>
            <w:tcW w:w="851" w:type="dxa"/>
            <w:shd w:val="clear" w:color="auto" w:fill="auto"/>
            <w:noWrap/>
            <w:hideMark/>
          </w:tcPr>
          <w:p w14:paraId="36B2E937" w14:textId="77777777" w:rsidR="005E4744" w:rsidRPr="0016122E" w:rsidRDefault="005E4744" w:rsidP="00DA3C8B">
            <w:pPr>
              <w:spacing w:line="480" w:lineRule="auto"/>
              <w:rPr>
                <w:rFonts w:ascii="Arial" w:eastAsia="Calibri" w:hAnsi="Arial" w:cs="Arial"/>
                <w:b/>
                <w:bCs/>
                <w:sz w:val="16"/>
                <w:szCs w:val="16"/>
                <w:lang w:val="en-ZA"/>
              </w:rPr>
            </w:pPr>
            <w:r w:rsidRPr="0016122E">
              <w:rPr>
                <w:rFonts w:ascii="Arial" w:eastAsia="Calibri" w:hAnsi="Arial" w:cs="Arial"/>
                <w:b/>
                <w:bCs/>
                <w:sz w:val="16"/>
                <w:szCs w:val="16"/>
                <w:lang w:val="en-ZA"/>
              </w:rPr>
              <w:t>0.595</w:t>
            </w:r>
          </w:p>
        </w:tc>
        <w:tc>
          <w:tcPr>
            <w:tcW w:w="850" w:type="dxa"/>
            <w:shd w:val="clear" w:color="auto" w:fill="auto"/>
            <w:noWrap/>
            <w:hideMark/>
          </w:tcPr>
          <w:p w14:paraId="08A9C43E" w14:textId="77777777" w:rsidR="005E4744" w:rsidRPr="0016122E" w:rsidRDefault="005E4744" w:rsidP="00DA3C8B">
            <w:pPr>
              <w:spacing w:line="480" w:lineRule="auto"/>
              <w:rPr>
                <w:rFonts w:ascii="Arial" w:eastAsia="Calibri" w:hAnsi="Arial" w:cs="Arial"/>
                <w:b/>
                <w:bCs/>
                <w:sz w:val="16"/>
                <w:szCs w:val="16"/>
                <w:lang w:val="en-ZA"/>
              </w:rPr>
            </w:pPr>
            <w:r w:rsidRPr="0016122E">
              <w:rPr>
                <w:rFonts w:ascii="Arial" w:eastAsia="Calibri" w:hAnsi="Arial" w:cs="Arial"/>
                <w:b/>
                <w:bCs/>
                <w:sz w:val="16"/>
                <w:szCs w:val="16"/>
                <w:lang w:val="en-ZA"/>
              </w:rPr>
              <w:t>-0.771</w:t>
            </w:r>
          </w:p>
        </w:tc>
        <w:tc>
          <w:tcPr>
            <w:tcW w:w="704" w:type="dxa"/>
            <w:shd w:val="clear" w:color="auto" w:fill="auto"/>
            <w:noWrap/>
            <w:hideMark/>
          </w:tcPr>
          <w:p w14:paraId="73DA2928" w14:textId="77777777" w:rsidR="005E4744" w:rsidRPr="0016122E" w:rsidRDefault="005E4744" w:rsidP="00DA3C8B">
            <w:pPr>
              <w:spacing w:line="480" w:lineRule="auto"/>
              <w:rPr>
                <w:rFonts w:ascii="Arial" w:eastAsia="Calibri" w:hAnsi="Arial" w:cs="Arial"/>
                <w:b/>
                <w:bCs/>
                <w:sz w:val="16"/>
                <w:szCs w:val="16"/>
                <w:lang w:val="en-ZA"/>
              </w:rPr>
            </w:pPr>
            <w:r w:rsidRPr="0016122E">
              <w:rPr>
                <w:rFonts w:ascii="Arial" w:eastAsia="Calibri" w:hAnsi="Arial" w:cs="Arial"/>
                <w:b/>
                <w:bCs/>
                <w:sz w:val="16"/>
                <w:szCs w:val="16"/>
                <w:lang w:val="en-ZA"/>
              </w:rPr>
              <w:t>0.125</w:t>
            </w:r>
          </w:p>
        </w:tc>
        <w:tc>
          <w:tcPr>
            <w:tcW w:w="850" w:type="dxa"/>
            <w:tcBorders>
              <w:right w:val="single" w:sz="4" w:space="0" w:color="auto"/>
            </w:tcBorders>
            <w:shd w:val="clear" w:color="auto" w:fill="auto"/>
            <w:noWrap/>
            <w:hideMark/>
          </w:tcPr>
          <w:p w14:paraId="1369CAEF" w14:textId="77777777" w:rsidR="005E4744" w:rsidRPr="0016122E" w:rsidRDefault="005E4744" w:rsidP="00DA3C8B">
            <w:pPr>
              <w:spacing w:line="480" w:lineRule="auto"/>
              <w:rPr>
                <w:rFonts w:ascii="Arial" w:eastAsia="Calibri" w:hAnsi="Arial" w:cs="Arial"/>
                <w:b/>
                <w:bCs/>
                <w:sz w:val="16"/>
                <w:szCs w:val="16"/>
                <w:lang w:val="en-ZA"/>
              </w:rPr>
            </w:pPr>
            <w:r w:rsidRPr="0016122E">
              <w:rPr>
                <w:rFonts w:ascii="Arial" w:eastAsia="Calibri" w:hAnsi="Arial" w:cs="Arial"/>
                <w:b/>
                <w:bCs/>
                <w:sz w:val="16"/>
                <w:szCs w:val="16"/>
                <w:lang w:val="en-ZA"/>
              </w:rPr>
              <w:t>0.981</w:t>
            </w:r>
          </w:p>
        </w:tc>
        <w:tc>
          <w:tcPr>
            <w:tcW w:w="993" w:type="dxa"/>
            <w:tcBorders>
              <w:left w:val="single" w:sz="4" w:space="0" w:color="auto"/>
            </w:tcBorders>
            <w:shd w:val="clear" w:color="auto" w:fill="auto"/>
            <w:vAlign w:val="bottom"/>
          </w:tcPr>
          <w:p w14:paraId="4EA13A3F" w14:textId="7CF69D0F" w:rsidR="005E4744" w:rsidRPr="0016122E" w:rsidRDefault="005E4744" w:rsidP="00DA3C8B">
            <w:pPr>
              <w:spacing w:line="480" w:lineRule="auto"/>
              <w:rPr>
                <w:rFonts w:ascii="Arial" w:eastAsia="Calibri" w:hAnsi="Arial" w:cs="Arial"/>
                <w:b/>
                <w:bCs/>
                <w:sz w:val="16"/>
                <w:szCs w:val="16"/>
                <w:lang w:val="en-ZA"/>
              </w:rPr>
            </w:pPr>
            <w:r w:rsidRPr="0016122E">
              <w:rPr>
                <w:rFonts w:ascii="Arial" w:eastAsia="Times New Roman" w:hAnsi="Arial" w:cs="Arial"/>
                <w:color w:val="000000"/>
                <w:sz w:val="16"/>
                <w:szCs w:val="16"/>
                <w:lang w:eastAsia="en-ZA"/>
              </w:rPr>
              <w:t>CAFF</w:t>
            </w:r>
          </w:p>
        </w:tc>
        <w:tc>
          <w:tcPr>
            <w:tcW w:w="850" w:type="dxa"/>
            <w:shd w:val="clear" w:color="auto" w:fill="auto"/>
            <w:vAlign w:val="bottom"/>
          </w:tcPr>
          <w:p w14:paraId="7A976F15" w14:textId="1BF43A7E" w:rsidR="005E4744" w:rsidRPr="0016122E" w:rsidRDefault="005E4744" w:rsidP="00DA3C8B">
            <w:pPr>
              <w:spacing w:line="480" w:lineRule="auto"/>
              <w:rPr>
                <w:rFonts w:ascii="Arial" w:eastAsia="Calibri" w:hAnsi="Arial" w:cs="Arial"/>
                <w:b/>
                <w:bCs/>
                <w:sz w:val="16"/>
                <w:szCs w:val="16"/>
                <w:lang w:val="en-ZA"/>
              </w:rPr>
            </w:pPr>
            <w:r w:rsidRPr="0016122E">
              <w:rPr>
                <w:rFonts w:ascii="Arial" w:eastAsia="Times New Roman" w:hAnsi="Arial" w:cs="Arial"/>
                <w:b/>
                <w:bCs/>
                <w:color w:val="000000"/>
                <w:sz w:val="16"/>
                <w:szCs w:val="16"/>
                <w:lang w:eastAsia="en-ZA"/>
              </w:rPr>
              <w:t>1</w:t>
            </w:r>
          </w:p>
        </w:tc>
        <w:tc>
          <w:tcPr>
            <w:tcW w:w="709" w:type="dxa"/>
            <w:shd w:val="clear" w:color="auto" w:fill="auto"/>
            <w:vAlign w:val="bottom"/>
          </w:tcPr>
          <w:p w14:paraId="1E8D6EDE" w14:textId="0374B8F0" w:rsidR="005E4744" w:rsidRPr="0016122E" w:rsidRDefault="005E4744" w:rsidP="00DA3C8B">
            <w:pPr>
              <w:spacing w:line="480" w:lineRule="auto"/>
              <w:rPr>
                <w:rFonts w:ascii="Arial" w:eastAsia="Calibri" w:hAnsi="Arial" w:cs="Arial"/>
                <w:b/>
                <w:bCs/>
                <w:sz w:val="16"/>
                <w:szCs w:val="16"/>
                <w:lang w:val="en-ZA"/>
              </w:rPr>
            </w:pPr>
            <w:r w:rsidRPr="0016122E">
              <w:rPr>
                <w:rFonts w:ascii="Arial" w:eastAsia="Times New Roman" w:hAnsi="Arial" w:cs="Arial"/>
                <w:b/>
                <w:bCs/>
                <w:color w:val="000000"/>
                <w:sz w:val="16"/>
                <w:szCs w:val="16"/>
                <w:lang w:eastAsia="en-ZA"/>
              </w:rPr>
              <w:t>0.984</w:t>
            </w:r>
          </w:p>
        </w:tc>
        <w:tc>
          <w:tcPr>
            <w:tcW w:w="850" w:type="dxa"/>
            <w:shd w:val="clear" w:color="auto" w:fill="auto"/>
            <w:vAlign w:val="bottom"/>
          </w:tcPr>
          <w:p w14:paraId="32E30667" w14:textId="2FE77567" w:rsidR="005E4744" w:rsidRPr="0016122E" w:rsidRDefault="005E4744" w:rsidP="00DA3C8B">
            <w:pPr>
              <w:spacing w:line="480" w:lineRule="auto"/>
              <w:rPr>
                <w:rFonts w:ascii="Arial" w:eastAsia="Calibri" w:hAnsi="Arial" w:cs="Arial"/>
                <w:b/>
                <w:bCs/>
                <w:sz w:val="16"/>
                <w:szCs w:val="16"/>
                <w:lang w:val="en-ZA"/>
              </w:rPr>
            </w:pPr>
            <w:r w:rsidRPr="0016122E">
              <w:rPr>
                <w:rFonts w:ascii="Arial" w:eastAsia="Times New Roman" w:hAnsi="Arial" w:cs="Arial"/>
                <w:b/>
                <w:bCs/>
                <w:color w:val="000000"/>
                <w:sz w:val="16"/>
                <w:szCs w:val="16"/>
                <w:lang w:eastAsia="en-ZA"/>
              </w:rPr>
              <w:t>-0.710</w:t>
            </w:r>
          </w:p>
        </w:tc>
      </w:tr>
      <w:tr w:rsidR="005E4744" w:rsidRPr="0016122E" w14:paraId="23AB8E9D" w14:textId="3B7E9651" w:rsidTr="005E4744">
        <w:trPr>
          <w:trHeight w:val="300"/>
        </w:trPr>
        <w:tc>
          <w:tcPr>
            <w:tcW w:w="966" w:type="dxa"/>
            <w:shd w:val="clear" w:color="auto" w:fill="auto"/>
            <w:noWrap/>
            <w:hideMark/>
          </w:tcPr>
          <w:p w14:paraId="41533DAD" w14:textId="77777777" w:rsidR="005E4744" w:rsidRPr="0016122E" w:rsidRDefault="005E4744" w:rsidP="00DA3C8B">
            <w:pPr>
              <w:spacing w:line="480" w:lineRule="auto"/>
              <w:rPr>
                <w:rFonts w:ascii="Arial" w:eastAsia="Calibri" w:hAnsi="Arial" w:cs="Arial"/>
                <w:sz w:val="16"/>
                <w:szCs w:val="16"/>
                <w:lang w:val="en-ZA"/>
              </w:rPr>
            </w:pPr>
            <w:r w:rsidRPr="0016122E">
              <w:rPr>
                <w:rFonts w:ascii="Arial" w:eastAsia="Calibri" w:hAnsi="Arial" w:cs="Arial"/>
                <w:sz w:val="16"/>
                <w:szCs w:val="16"/>
                <w:lang w:val="en-ZA"/>
              </w:rPr>
              <w:t>DAM</w:t>
            </w:r>
          </w:p>
        </w:tc>
        <w:tc>
          <w:tcPr>
            <w:tcW w:w="735" w:type="dxa"/>
            <w:shd w:val="clear" w:color="auto" w:fill="auto"/>
            <w:noWrap/>
            <w:hideMark/>
          </w:tcPr>
          <w:p w14:paraId="3171DB28" w14:textId="77777777" w:rsidR="005E4744" w:rsidRPr="0016122E" w:rsidRDefault="005E4744" w:rsidP="00DA3C8B">
            <w:pPr>
              <w:spacing w:line="480" w:lineRule="auto"/>
              <w:rPr>
                <w:rFonts w:ascii="Arial" w:eastAsia="Calibri" w:hAnsi="Arial" w:cs="Arial"/>
                <w:b/>
                <w:bCs/>
                <w:sz w:val="16"/>
                <w:szCs w:val="16"/>
                <w:lang w:val="en-ZA"/>
              </w:rPr>
            </w:pPr>
            <w:r w:rsidRPr="0016122E">
              <w:rPr>
                <w:rFonts w:ascii="Arial" w:eastAsia="Calibri" w:hAnsi="Arial" w:cs="Arial"/>
                <w:b/>
                <w:bCs/>
                <w:sz w:val="16"/>
                <w:szCs w:val="16"/>
                <w:lang w:val="en-ZA"/>
              </w:rPr>
              <w:t>0.884</w:t>
            </w:r>
          </w:p>
        </w:tc>
        <w:tc>
          <w:tcPr>
            <w:tcW w:w="709" w:type="dxa"/>
            <w:shd w:val="clear" w:color="auto" w:fill="auto"/>
            <w:noWrap/>
            <w:hideMark/>
          </w:tcPr>
          <w:p w14:paraId="77F1680B" w14:textId="77777777" w:rsidR="005E4744" w:rsidRPr="0016122E" w:rsidRDefault="005E4744" w:rsidP="00DA3C8B">
            <w:pPr>
              <w:spacing w:line="480" w:lineRule="auto"/>
              <w:rPr>
                <w:rFonts w:ascii="Arial" w:eastAsia="Calibri" w:hAnsi="Arial" w:cs="Arial"/>
                <w:b/>
                <w:bCs/>
                <w:sz w:val="16"/>
                <w:szCs w:val="16"/>
                <w:lang w:val="en-ZA"/>
              </w:rPr>
            </w:pPr>
            <w:r w:rsidRPr="0016122E">
              <w:rPr>
                <w:rFonts w:ascii="Arial" w:eastAsia="Calibri" w:hAnsi="Arial" w:cs="Arial"/>
                <w:b/>
                <w:bCs/>
                <w:sz w:val="16"/>
                <w:szCs w:val="16"/>
                <w:lang w:val="en-ZA"/>
              </w:rPr>
              <w:t>1</w:t>
            </w:r>
          </w:p>
        </w:tc>
        <w:tc>
          <w:tcPr>
            <w:tcW w:w="851" w:type="dxa"/>
            <w:shd w:val="clear" w:color="auto" w:fill="auto"/>
            <w:noWrap/>
            <w:hideMark/>
          </w:tcPr>
          <w:p w14:paraId="03315806" w14:textId="77777777" w:rsidR="005E4744" w:rsidRPr="0016122E" w:rsidRDefault="005E4744" w:rsidP="00DA3C8B">
            <w:pPr>
              <w:spacing w:line="480" w:lineRule="auto"/>
              <w:rPr>
                <w:rFonts w:ascii="Arial" w:eastAsia="Calibri" w:hAnsi="Arial" w:cs="Arial"/>
                <w:b/>
                <w:bCs/>
                <w:sz w:val="16"/>
                <w:szCs w:val="16"/>
                <w:lang w:val="en-ZA"/>
              </w:rPr>
            </w:pPr>
            <w:r w:rsidRPr="0016122E">
              <w:rPr>
                <w:rFonts w:ascii="Arial" w:eastAsia="Calibri" w:hAnsi="Arial" w:cs="Arial"/>
                <w:b/>
                <w:bCs/>
                <w:sz w:val="16"/>
                <w:szCs w:val="16"/>
                <w:lang w:val="en-ZA"/>
              </w:rPr>
              <w:t>0.290</w:t>
            </w:r>
          </w:p>
        </w:tc>
        <w:tc>
          <w:tcPr>
            <w:tcW w:w="850" w:type="dxa"/>
            <w:shd w:val="clear" w:color="auto" w:fill="auto"/>
            <w:noWrap/>
            <w:hideMark/>
          </w:tcPr>
          <w:p w14:paraId="170A928F" w14:textId="77777777" w:rsidR="005E4744" w:rsidRPr="0016122E" w:rsidRDefault="005E4744" w:rsidP="00DA3C8B">
            <w:pPr>
              <w:spacing w:line="480" w:lineRule="auto"/>
              <w:rPr>
                <w:rFonts w:ascii="Arial" w:eastAsia="Calibri" w:hAnsi="Arial" w:cs="Arial"/>
                <w:b/>
                <w:bCs/>
                <w:sz w:val="16"/>
                <w:szCs w:val="16"/>
                <w:lang w:val="en-ZA"/>
              </w:rPr>
            </w:pPr>
            <w:r w:rsidRPr="0016122E">
              <w:rPr>
                <w:rFonts w:ascii="Arial" w:eastAsia="Calibri" w:hAnsi="Arial" w:cs="Arial"/>
                <w:b/>
                <w:bCs/>
                <w:sz w:val="16"/>
                <w:szCs w:val="16"/>
                <w:lang w:val="en-ZA"/>
              </w:rPr>
              <w:t>-0.471</w:t>
            </w:r>
          </w:p>
        </w:tc>
        <w:tc>
          <w:tcPr>
            <w:tcW w:w="704" w:type="dxa"/>
            <w:shd w:val="clear" w:color="auto" w:fill="auto"/>
            <w:noWrap/>
            <w:hideMark/>
          </w:tcPr>
          <w:p w14:paraId="0BA52A28" w14:textId="77777777" w:rsidR="005E4744" w:rsidRPr="0016122E" w:rsidRDefault="005E4744" w:rsidP="00DA3C8B">
            <w:pPr>
              <w:spacing w:line="480" w:lineRule="auto"/>
              <w:rPr>
                <w:rFonts w:ascii="Arial" w:eastAsia="Calibri" w:hAnsi="Arial" w:cs="Arial"/>
                <w:b/>
                <w:bCs/>
                <w:sz w:val="16"/>
                <w:szCs w:val="16"/>
                <w:lang w:val="en-ZA"/>
              </w:rPr>
            </w:pPr>
            <w:r w:rsidRPr="0016122E">
              <w:rPr>
                <w:rFonts w:ascii="Arial" w:eastAsia="Calibri" w:hAnsi="Arial" w:cs="Arial"/>
                <w:b/>
                <w:bCs/>
                <w:sz w:val="16"/>
                <w:szCs w:val="16"/>
                <w:lang w:val="en-ZA"/>
              </w:rPr>
              <w:t>0.556</w:t>
            </w:r>
          </w:p>
        </w:tc>
        <w:tc>
          <w:tcPr>
            <w:tcW w:w="850" w:type="dxa"/>
            <w:tcBorders>
              <w:right w:val="single" w:sz="4" w:space="0" w:color="auto"/>
            </w:tcBorders>
            <w:shd w:val="clear" w:color="auto" w:fill="auto"/>
            <w:noWrap/>
            <w:hideMark/>
          </w:tcPr>
          <w:p w14:paraId="5A4EFF78" w14:textId="77777777" w:rsidR="005E4744" w:rsidRPr="0016122E" w:rsidRDefault="005E4744" w:rsidP="00DA3C8B">
            <w:pPr>
              <w:spacing w:line="480" w:lineRule="auto"/>
              <w:rPr>
                <w:rFonts w:ascii="Arial" w:eastAsia="Calibri" w:hAnsi="Arial" w:cs="Arial"/>
                <w:b/>
                <w:bCs/>
                <w:sz w:val="16"/>
                <w:szCs w:val="16"/>
                <w:lang w:val="en-ZA"/>
              </w:rPr>
            </w:pPr>
            <w:r w:rsidRPr="0016122E">
              <w:rPr>
                <w:rFonts w:ascii="Arial" w:eastAsia="Calibri" w:hAnsi="Arial" w:cs="Arial"/>
                <w:b/>
                <w:bCs/>
                <w:sz w:val="16"/>
                <w:szCs w:val="16"/>
                <w:lang w:val="en-ZA"/>
              </w:rPr>
              <w:t>0.858</w:t>
            </w:r>
          </w:p>
        </w:tc>
        <w:tc>
          <w:tcPr>
            <w:tcW w:w="993" w:type="dxa"/>
            <w:tcBorders>
              <w:left w:val="single" w:sz="4" w:space="0" w:color="auto"/>
            </w:tcBorders>
            <w:shd w:val="clear" w:color="auto" w:fill="auto"/>
            <w:vAlign w:val="bottom"/>
          </w:tcPr>
          <w:p w14:paraId="4EDF1820" w14:textId="5D8FBC52" w:rsidR="005E4744" w:rsidRPr="0016122E" w:rsidRDefault="005E4744" w:rsidP="00DA3C8B">
            <w:pPr>
              <w:spacing w:line="480" w:lineRule="auto"/>
              <w:rPr>
                <w:rFonts w:ascii="Arial" w:eastAsia="Calibri" w:hAnsi="Arial" w:cs="Arial"/>
                <w:b/>
                <w:bCs/>
                <w:sz w:val="16"/>
                <w:szCs w:val="16"/>
                <w:lang w:val="en-ZA"/>
              </w:rPr>
            </w:pPr>
            <w:r w:rsidRPr="0016122E">
              <w:rPr>
                <w:rFonts w:ascii="Arial" w:eastAsia="Times New Roman" w:hAnsi="Arial" w:cs="Arial"/>
                <w:color w:val="000000"/>
                <w:sz w:val="16"/>
                <w:szCs w:val="16"/>
                <w:lang w:eastAsia="en-ZA"/>
              </w:rPr>
              <w:t>DAM</w:t>
            </w:r>
          </w:p>
        </w:tc>
        <w:tc>
          <w:tcPr>
            <w:tcW w:w="850" w:type="dxa"/>
            <w:shd w:val="clear" w:color="auto" w:fill="auto"/>
            <w:vAlign w:val="bottom"/>
          </w:tcPr>
          <w:p w14:paraId="02597B6B" w14:textId="6E386FB3" w:rsidR="005E4744" w:rsidRPr="0016122E" w:rsidRDefault="005E4744" w:rsidP="00DA3C8B">
            <w:pPr>
              <w:spacing w:line="480" w:lineRule="auto"/>
              <w:rPr>
                <w:rFonts w:ascii="Arial" w:eastAsia="Calibri" w:hAnsi="Arial" w:cs="Arial"/>
                <w:b/>
                <w:bCs/>
                <w:sz w:val="16"/>
                <w:szCs w:val="16"/>
                <w:lang w:val="en-ZA"/>
              </w:rPr>
            </w:pPr>
            <w:r w:rsidRPr="0016122E">
              <w:rPr>
                <w:rFonts w:ascii="Arial" w:eastAsia="Times New Roman" w:hAnsi="Arial" w:cs="Arial"/>
                <w:b/>
                <w:bCs/>
                <w:color w:val="000000"/>
                <w:sz w:val="16"/>
                <w:szCs w:val="16"/>
                <w:lang w:eastAsia="en-ZA"/>
              </w:rPr>
              <w:t>0.984</w:t>
            </w:r>
          </w:p>
        </w:tc>
        <w:tc>
          <w:tcPr>
            <w:tcW w:w="709" w:type="dxa"/>
            <w:shd w:val="clear" w:color="auto" w:fill="auto"/>
            <w:vAlign w:val="bottom"/>
          </w:tcPr>
          <w:p w14:paraId="3DE0711E" w14:textId="06222509" w:rsidR="005E4744" w:rsidRPr="0016122E" w:rsidRDefault="005E4744" w:rsidP="00DA3C8B">
            <w:pPr>
              <w:spacing w:line="480" w:lineRule="auto"/>
              <w:rPr>
                <w:rFonts w:ascii="Arial" w:eastAsia="Calibri" w:hAnsi="Arial" w:cs="Arial"/>
                <w:b/>
                <w:bCs/>
                <w:sz w:val="16"/>
                <w:szCs w:val="16"/>
                <w:lang w:val="en-ZA"/>
              </w:rPr>
            </w:pPr>
            <w:r w:rsidRPr="0016122E">
              <w:rPr>
                <w:rFonts w:ascii="Arial" w:eastAsia="Times New Roman" w:hAnsi="Arial" w:cs="Arial"/>
                <w:b/>
                <w:bCs/>
                <w:color w:val="000000"/>
                <w:sz w:val="16"/>
                <w:szCs w:val="16"/>
                <w:lang w:eastAsia="en-ZA"/>
              </w:rPr>
              <w:t>1</w:t>
            </w:r>
          </w:p>
        </w:tc>
        <w:tc>
          <w:tcPr>
            <w:tcW w:w="850" w:type="dxa"/>
            <w:shd w:val="clear" w:color="auto" w:fill="auto"/>
            <w:vAlign w:val="bottom"/>
          </w:tcPr>
          <w:p w14:paraId="66605D0C" w14:textId="66F3793F" w:rsidR="005E4744" w:rsidRPr="0016122E" w:rsidRDefault="005E4744" w:rsidP="00DA3C8B">
            <w:pPr>
              <w:spacing w:line="480" w:lineRule="auto"/>
              <w:rPr>
                <w:rFonts w:ascii="Arial" w:eastAsia="Calibri" w:hAnsi="Arial" w:cs="Arial"/>
                <w:b/>
                <w:bCs/>
                <w:sz w:val="16"/>
                <w:szCs w:val="16"/>
                <w:lang w:val="en-ZA"/>
              </w:rPr>
            </w:pPr>
            <w:r w:rsidRPr="0016122E">
              <w:rPr>
                <w:rFonts w:ascii="Arial" w:eastAsia="Times New Roman" w:hAnsi="Arial" w:cs="Arial"/>
                <w:b/>
                <w:bCs/>
                <w:color w:val="000000"/>
                <w:sz w:val="16"/>
                <w:szCs w:val="16"/>
                <w:lang w:eastAsia="en-ZA"/>
              </w:rPr>
              <w:t>-0.687</w:t>
            </w:r>
          </w:p>
        </w:tc>
      </w:tr>
      <w:tr w:rsidR="005E4744" w:rsidRPr="0016122E" w14:paraId="057FDE65" w14:textId="3752E61D" w:rsidTr="005E4744">
        <w:trPr>
          <w:trHeight w:val="300"/>
        </w:trPr>
        <w:tc>
          <w:tcPr>
            <w:tcW w:w="966" w:type="dxa"/>
            <w:shd w:val="clear" w:color="auto" w:fill="auto"/>
            <w:noWrap/>
            <w:hideMark/>
          </w:tcPr>
          <w:p w14:paraId="078AE5B8" w14:textId="77777777" w:rsidR="005E4744" w:rsidRPr="0016122E" w:rsidRDefault="005E4744" w:rsidP="00DA3C8B">
            <w:pPr>
              <w:spacing w:line="480" w:lineRule="auto"/>
              <w:rPr>
                <w:rFonts w:ascii="Arial" w:eastAsia="Calibri" w:hAnsi="Arial" w:cs="Arial"/>
                <w:sz w:val="16"/>
                <w:szCs w:val="16"/>
                <w:lang w:val="en-ZA"/>
              </w:rPr>
            </w:pPr>
            <w:r w:rsidRPr="0016122E">
              <w:rPr>
                <w:rFonts w:ascii="Arial" w:eastAsia="Calibri" w:hAnsi="Arial" w:cs="Arial"/>
                <w:sz w:val="16"/>
                <w:szCs w:val="16"/>
                <w:lang w:val="en-ZA"/>
              </w:rPr>
              <w:t>EFV</w:t>
            </w:r>
          </w:p>
        </w:tc>
        <w:tc>
          <w:tcPr>
            <w:tcW w:w="735" w:type="dxa"/>
            <w:shd w:val="clear" w:color="auto" w:fill="auto"/>
            <w:noWrap/>
            <w:hideMark/>
          </w:tcPr>
          <w:p w14:paraId="769B7EA9" w14:textId="77777777" w:rsidR="005E4744" w:rsidRPr="0016122E" w:rsidRDefault="005E4744" w:rsidP="00DA3C8B">
            <w:pPr>
              <w:spacing w:line="480" w:lineRule="auto"/>
              <w:rPr>
                <w:rFonts w:ascii="Arial" w:eastAsia="Calibri" w:hAnsi="Arial" w:cs="Arial"/>
                <w:b/>
                <w:bCs/>
                <w:sz w:val="16"/>
                <w:szCs w:val="16"/>
                <w:lang w:val="en-ZA"/>
              </w:rPr>
            </w:pPr>
            <w:r w:rsidRPr="0016122E">
              <w:rPr>
                <w:rFonts w:ascii="Arial" w:eastAsia="Calibri" w:hAnsi="Arial" w:cs="Arial"/>
                <w:b/>
                <w:bCs/>
                <w:sz w:val="16"/>
                <w:szCs w:val="16"/>
                <w:lang w:val="en-ZA"/>
              </w:rPr>
              <w:t>0.595</w:t>
            </w:r>
          </w:p>
        </w:tc>
        <w:tc>
          <w:tcPr>
            <w:tcW w:w="709" w:type="dxa"/>
            <w:shd w:val="clear" w:color="auto" w:fill="auto"/>
            <w:noWrap/>
            <w:hideMark/>
          </w:tcPr>
          <w:p w14:paraId="465709C9" w14:textId="77777777" w:rsidR="005E4744" w:rsidRPr="0016122E" w:rsidRDefault="005E4744" w:rsidP="00DA3C8B">
            <w:pPr>
              <w:spacing w:line="480" w:lineRule="auto"/>
              <w:rPr>
                <w:rFonts w:ascii="Arial" w:eastAsia="Calibri" w:hAnsi="Arial" w:cs="Arial"/>
                <w:b/>
                <w:bCs/>
                <w:sz w:val="16"/>
                <w:szCs w:val="16"/>
                <w:lang w:val="en-ZA"/>
              </w:rPr>
            </w:pPr>
            <w:r w:rsidRPr="0016122E">
              <w:rPr>
                <w:rFonts w:ascii="Arial" w:eastAsia="Calibri" w:hAnsi="Arial" w:cs="Arial"/>
                <w:b/>
                <w:bCs/>
                <w:sz w:val="16"/>
                <w:szCs w:val="16"/>
                <w:lang w:val="en-ZA"/>
              </w:rPr>
              <w:t>0.290</w:t>
            </w:r>
          </w:p>
        </w:tc>
        <w:tc>
          <w:tcPr>
            <w:tcW w:w="851" w:type="dxa"/>
            <w:shd w:val="clear" w:color="auto" w:fill="auto"/>
            <w:noWrap/>
            <w:hideMark/>
          </w:tcPr>
          <w:p w14:paraId="141F4F8B" w14:textId="77777777" w:rsidR="005E4744" w:rsidRPr="0016122E" w:rsidRDefault="005E4744" w:rsidP="00DA3C8B">
            <w:pPr>
              <w:spacing w:line="480" w:lineRule="auto"/>
              <w:rPr>
                <w:rFonts w:ascii="Arial" w:eastAsia="Calibri" w:hAnsi="Arial" w:cs="Arial"/>
                <w:b/>
                <w:bCs/>
                <w:sz w:val="16"/>
                <w:szCs w:val="16"/>
                <w:lang w:val="en-ZA"/>
              </w:rPr>
            </w:pPr>
            <w:r w:rsidRPr="0016122E">
              <w:rPr>
                <w:rFonts w:ascii="Arial" w:eastAsia="Calibri" w:hAnsi="Arial" w:cs="Arial"/>
                <w:b/>
                <w:bCs/>
                <w:sz w:val="16"/>
                <w:szCs w:val="16"/>
                <w:lang w:val="en-ZA"/>
              </w:rPr>
              <w:t>1</w:t>
            </w:r>
          </w:p>
        </w:tc>
        <w:tc>
          <w:tcPr>
            <w:tcW w:w="850" w:type="dxa"/>
            <w:shd w:val="clear" w:color="auto" w:fill="auto"/>
            <w:noWrap/>
            <w:hideMark/>
          </w:tcPr>
          <w:p w14:paraId="103B5413" w14:textId="77777777" w:rsidR="005E4744" w:rsidRPr="0016122E" w:rsidRDefault="005E4744" w:rsidP="00DA3C8B">
            <w:pPr>
              <w:spacing w:line="480" w:lineRule="auto"/>
              <w:rPr>
                <w:rFonts w:ascii="Arial" w:eastAsia="Calibri" w:hAnsi="Arial" w:cs="Arial"/>
                <w:b/>
                <w:bCs/>
                <w:sz w:val="16"/>
                <w:szCs w:val="16"/>
                <w:lang w:val="en-ZA"/>
              </w:rPr>
            </w:pPr>
            <w:r w:rsidRPr="0016122E">
              <w:rPr>
                <w:rFonts w:ascii="Arial" w:eastAsia="Calibri" w:hAnsi="Arial" w:cs="Arial"/>
                <w:b/>
                <w:bCs/>
                <w:sz w:val="16"/>
                <w:szCs w:val="16"/>
                <w:lang w:val="en-ZA"/>
              </w:rPr>
              <w:t>-0.645</w:t>
            </w:r>
          </w:p>
        </w:tc>
        <w:tc>
          <w:tcPr>
            <w:tcW w:w="704" w:type="dxa"/>
            <w:shd w:val="clear" w:color="auto" w:fill="auto"/>
            <w:noWrap/>
            <w:hideMark/>
          </w:tcPr>
          <w:p w14:paraId="4F1528CE" w14:textId="77777777" w:rsidR="005E4744" w:rsidRPr="0016122E" w:rsidRDefault="005E4744" w:rsidP="00DA3C8B">
            <w:pPr>
              <w:spacing w:line="480" w:lineRule="auto"/>
              <w:rPr>
                <w:rFonts w:ascii="Arial" w:eastAsia="Calibri" w:hAnsi="Arial" w:cs="Arial"/>
                <w:b/>
                <w:bCs/>
                <w:sz w:val="16"/>
                <w:szCs w:val="16"/>
                <w:lang w:val="en-ZA"/>
              </w:rPr>
            </w:pPr>
            <w:r w:rsidRPr="0016122E">
              <w:rPr>
                <w:rFonts w:ascii="Arial" w:eastAsia="Calibri" w:hAnsi="Arial" w:cs="Arial"/>
                <w:b/>
                <w:bCs/>
                <w:sz w:val="16"/>
                <w:szCs w:val="16"/>
                <w:lang w:val="en-ZA"/>
              </w:rPr>
              <w:t>-0.437</w:t>
            </w:r>
          </w:p>
        </w:tc>
        <w:tc>
          <w:tcPr>
            <w:tcW w:w="850" w:type="dxa"/>
            <w:tcBorders>
              <w:right w:val="single" w:sz="4" w:space="0" w:color="auto"/>
            </w:tcBorders>
            <w:shd w:val="clear" w:color="auto" w:fill="auto"/>
            <w:noWrap/>
            <w:hideMark/>
          </w:tcPr>
          <w:p w14:paraId="79CB40BF" w14:textId="77777777" w:rsidR="005E4744" w:rsidRPr="0016122E" w:rsidRDefault="005E4744" w:rsidP="00DA3C8B">
            <w:pPr>
              <w:spacing w:line="480" w:lineRule="auto"/>
              <w:rPr>
                <w:rFonts w:ascii="Arial" w:eastAsia="Calibri" w:hAnsi="Arial" w:cs="Arial"/>
                <w:b/>
                <w:bCs/>
                <w:sz w:val="16"/>
                <w:szCs w:val="16"/>
                <w:lang w:val="en-ZA"/>
              </w:rPr>
            </w:pPr>
            <w:r w:rsidRPr="0016122E">
              <w:rPr>
                <w:rFonts w:ascii="Arial" w:eastAsia="Calibri" w:hAnsi="Arial" w:cs="Arial"/>
                <w:b/>
                <w:bCs/>
                <w:sz w:val="16"/>
                <w:szCs w:val="16"/>
                <w:lang w:val="en-ZA"/>
              </w:rPr>
              <w:t>0.512</w:t>
            </w:r>
          </w:p>
        </w:tc>
        <w:tc>
          <w:tcPr>
            <w:tcW w:w="993" w:type="dxa"/>
            <w:tcBorders>
              <w:left w:val="single" w:sz="4" w:space="0" w:color="auto"/>
            </w:tcBorders>
            <w:shd w:val="clear" w:color="auto" w:fill="auto"/>
            <w:vAlign w:val="bottom"/>
          </w:tcPr>
          <w:p w14:paraId="19D0456E" w14:textId="257F61D2" w:rsidR="005E4744" w:rsidRPr="0016122E" w:rsidRDefault="005E4744" w:rsidP="00DA3C8B">
            <w:pPr>
              <w:spacing w:line="480" w:lineRule="auto"/>
              <w:rPr>
                <w:rFonts w:ascii="Arial" w:eastAsia="Calibri" w:hAnsi="Arial" w:cs="Arial"/>
                <w:b/>
                <w:bCs/>
                <w:sz w:val="16"/>
                <w:szCs w:val="16"/>
                <w:lang w:val="en-ZA"/>
              </w:rPr>
            </w:pPr>
            <w:r w:rsidRPr="0016122E">
              <w:rPr>
                <w:rFonts w:ascii="Arial" w:eastAsia="Times New Roman" w:hAnsi="Arial" w:cs="Arial"/>
                <w:color w:val="000000"/>
                <w:sz w:val="16"/>
                <w:szCs w:val="16"/>
                <w:lang w:eastAsia="en-ZA"/>
              </w:rPr>
              <w:t>THC</w:t>
            </w:r>
          </w:p>
        </w:tc>
        <w:tc>
          <w:tcPr>
            <w:tcW w:w="850" w:type="dxa"/>
            <w:shd w:val="clear" w:color="auto" w:fill="auto"/>
            <w:vAlign w:val="bottom"/>
          </w:tcPr>
          <w:p w14:paraId="0252B211" w14:textId="22D87967" w:rsidR="005E4744" w:rsidRPr="0016122E" w:rsidRDefault="005E4744" w:rsidP="00DA3C8B">
            <w:pPr>
              <w:spacing w:line="480" w:lineRule="auto"/>
              <w:rPr>
                <w:rFonts w:ascii="Arial" w:eastAsia="Calibri" w:hAnsi="Arial" w:cs="Arial"/>
                <w:b/>
                <w:bCs/>
                <w:sz w:val="16"/>
                <w:szCs w:val="16"/>
                <w:lang w:val="en-ZA"/>
              </w:rPr>
            </w:pPr>
            <w:r w:rsidRPr="0016122E">
              <w:rPr>
                <w:rFonts w:ascii="Arial" w:eastAsia="Times New Roman" w:hAnsi="Arial" w:cs="Arial"/>
                <w:b/>
                <w:bCs/>
                <w:color w:val="000000"/>
                <w:sz w:val="16"/>
                <w:szCs w:val="16"/>
                <w:lang w:eastAsia="en-ZA"/>
              </w:rPr>
              <w:t>-0.710</w:t>
            </w:r>
          </w:p>
        </w:tc>
        <w:tc>
          <w:tcPr>
            <w:tcW w:w="709" w:type="dxa"/>
            <w:shd w:val="clear" w:color="auto" w:fill="auto"/>
            <w:vAlign w:val="bottom"/>
          </w:tcPr>
          <w:p w14:paraId="3985ED40" w14:textId="65B61C2A" w:rsidR="005E4744" w:rsidRPr="0016122E" w:rsidRDefault="005E4744" w:rsidP="00DA3C8B">
            <w:pPr>
              <w:spacing w:line="480" w:lineRule="auto"/>
              <w:rPr>
                <w:rFonts w:ascii="Arial" w:eastAsia="Calibri" w:hAnsi="Arial" w:cs="Arial"/>
                <w:b/>
                <w:bCs/>
                <w:sz w:val="16"/>
                <w:szCs w:val="16"/>
                <w:lang w:val="en-ZA"/>
              </w:rPr>
            </w:pPr>
            <w:r w:rsidRPr="0016122E">
              <w:rPr>
                <w:rFonts w:ascii="Arial" w:eastAsia="Times New Roman" w:hAnsi="Arial" w:cs="Arial"/>
                <w:b/>
                <w:bCs/>
                <w:color w:val="000000"/>
                <w:sz w:val="16"/>
                <w:szCs w:val="16"/>
                <w:lang w:eastAsia="en-ZA"/>
              </w:rPr>
              <w:t>-0.687</w:t>
            </w:r>
          </w:p>
        </w:tc>
        <w:tc>
          <w:tcPr>
            <w:tcW w:w="850" w:type="dxa"/>
            <w:shd w:val="clear" w:color="auto" w:fill="auto"/>
            <w:vAlign w:val="bottom"/>
          </w:tcPr>
          <w:p w14:paraId="61EB7722" w14:textId="1663567F" w:rsidR="005E4744" w:rsidRPr="0016122E" w:rsidRDefault="005E4744" w:rsidP="00DA3C8B">
            <w:pPr>
              <w:spacing w:line="480" w:lineRule="auto"/>
              <w:rPr>
                <w:rFonts w:ascii="Arial" w:eastAsia="Calibri" w:hAnsi="Arial" w:cs="Arial"/>
                <w:b/>
                <w:bCs/>
                <w:sz w:val="16"/>
                <w:szCs w:val="16"/>
                <w:lang w:val="en-ZA"/>
              </w:rPr>
            </w:pPr>
            <w:r w:rsidRPr="0016122E">
              <w:rPr>
                <w:rFonts w:ascii="Arial" w:eastAsia="Times New Roman" w:hAnsi="Arial" w:cs="Arial"/>
                <w:b/>
                <w:bCs/>
                <w:color w:val="000000"/>
                <w:sz w:val="16"/>
                <w:szCs w:val="16"/>
                <w:lang w:eastAsia="en-ZA"/>
              </w:rPr>
              <w:t>1</w:t>
            </w:r>
          </w:p>
        </w:tc>
      </w:tr>
      <w:tr w:rsidR="005E4744" w:rsidRPr="0016122E" w14:paraId="3D75D3E9" w14:textId="77777777" w:rsidTr="005E4744">
        <w:trPr>
          <w:trHeight w:val="300"/>
        </w:trPr>
        <w:tc>
          <w:tcPr>
            <w:tcW w:w="966" w:type="dxa"/>
            <w:shd w:val="clear" w:color="auto" w:fill="auto"/>
            <w:noWrap/>
          </w:tcPr>
          <w:p w14:paraId="49DCC720" w14:textId="26688172" w:rsidR="005E4744" w:rsidRPr="0016122E" w:rsidRDefault="005E4744" w:rsidP="00DA3C8B">
            <w:pPr>
              <w:spacing w:line="480" w:lineRule="auto"/>
              <w:rPr>
                <w:rFonts w:ascii="Arial" w:eastAsia="Calibri" w:hAnsi="Arial" w:cs="Arial"/>
                <w:sz w:val="16"/>
                <w:szCs w:val="16"/>
                <w:lang w:val="en-ZA"/>
              </w:rPr>
            </w:pPr>
            <w:r w:rsidRPr="0016122E">
              <w:rPr>
                <w:rFonts w:ascii="Arial" w:eastAsia="Calibri" w:hAnsi="Arial" w:cs="Arial"/>
                <w:sz w:val="16"/>
                <w:szCs w:val="16"/>
                <w:lang w:val="en-ZA"/>
              </w:rPr>
              <w:t>NVP</w:t>
            </w:r>
          </w:p>
        </w:tc>
        <w:tc>
          <w:tcPr>
            <w:tcW w:w="735" w:type="dxa"/>
            <w:shd w:val="clear" w:color="auto" w:fill="auto"/>
            <w:noWrap/>
          </w:tcPr>
          <w:p w14:paraId="35CFF3B0" w14:textId="123AAF69" w:rsidR="005E4744" w:rsidRPr="0016122E" w:rsidRDefault="005E4744" w:rsidP="00DA3C8B">
            <w:pPr>
              <w:spacing w:line="480" w:lineRule="auto"/>
              <w:rPr>
                <w:rFonts w:ascii="Arial" w:eastAsia="Calibri" w:hAnsi="Arial" w:cs="Arial"/>
                <w:b/>
                <w:bCs/>
                <w:sz w:val="16"/>
                <w:szCs w:val="16"/>
                <w:lang w:val="en-ZA"/>
              </w:rPr>
            </w:pPr>
            <w:r w:rsidRPr="0016122E">
              <w:rPr>
                <w:rFonts w:ascii="Arial" w:eastAsia="Calibri" w:hAnsi="Arial" w:cs="Arial"/>
                <w:b/>
                <w:bCs/>
                <w:sz w:val="16"/>
                <w:szCs w:val="16"/>
                <w:lang w:val="en-ZA"/>
              </w:rPr>
              <w:t>-0.771</w:t>
            </w:r>
          </w:p>
        </w:tc>
        <w:tc>
          <w:tcPr>
            <w:tcW w:w="709" w:type="dxa"/>
            <w:shd w:val="clear" w:color="auto" w:fill="auto"/>
            <w:noWrap/>
          </w:tcPr>
          <w:p w14:paraId="05C47158" w14:textId="7067FD13" w:rsidR="005E4744" w:rsidRPr="0016122E" w:rsidRDefault="005E4744" w:rsidP="00DA3C8B">
            <w:pPr>
              <w:spacing w:line="480" w:lineRule="auto"/>
              <w:rPr>
                <w:rFonts w:ascii="Arial" w:eastAsia="Calibri" w:hAnsi="Arial" w:cs="Arial"/>
                <w:b/>
                <w:bCs/>
                <w:sz w:val="16"/>
                <w:szCs w:val="16"/>
                <w:lang w:val="en-ZA"/>
              </w:rPr>
            </w:pPr>
            <w:r w:rsidRPr="0016122E">
              <w:rPr>
                <w:rFonts w:ascii="Arial" w:eastAsia="Calibri" w:hAnsi="Arial" w:cs="Arial"/>
                <w:b/>
                <w:bCs/>
                <w:sz w:val="16"/>
                <w:szCs w:val="16"/>
                <w:lang w:val="en-ZA"/>
              </w:rPr>
              <w:t>-0.471</w:t>
            </w:r>
          </w:p>
        </w:tc>
        <w:tc>
          <w:tcPr>
            <w:tcW w:w="851" w:type="dxa"/>
            <w:shd w:val="clear" w:color="auto" w:fill="auto"/>
            <w:noWrap/>
          </w:tcPr>
          <w:p w14:paraId="5C3CFE9B" w14:textId="6064A901" w:rsidR="005E4744" w:rsidRPr="0016122E" w:rsidRDefault="005E4744" w:rsidP="00DA3C8B">
            <w:pPr>
              <w:spacing w:line="480" w:lineRule="auto"/>
              <w:rPr>
                <w:rFonts w:ascii="Arial" w:eastAsia="Calibri" w:hAnsi="Arial" w:cs="Arial"/>
                <w:b/>
                <w:bCs/>
                <w:sz w:val="16"/>
                <w:szCs w:val="16"/>
                <w:lang w:val="en-ZA"/>
              </w:rPr>
            </w:pPr>
            <w:r w:rsidRPr="0016122E">
              <w:rPr>
                <w:rFonts w:ascii="Arial" w:eastAsia="Calibri" w:hAnsi="Arial" w:cs="Arial"/>
                <w:b/>
                <w:bCs/>
                <w:sz w:val="16"/>
                <w:szCs w:val="16"/>
                <w:lang w:val="en-ZA"/>
              </w:rPr>
              <w:t>-0.645</w:t>
            </w:r>
          </w:p>
        </w:tc>
        <w:tc>
          <w:tcPr>
            <w:tcW w:w="850" w:type="dxa"/>
            <w:shd w:val="clear" w:color="auto" w:fill="auto"/>
            <w:noWrap/>
          </w:tcPr>
          <w:p w14:paraId="2B005EA5" w14:textId="10B462CF" w:rsidR="005E4744" w:rsidRPr="0016122E" w:rsidRDefault="005E4744" w:rsidP="00DA3C8B">
            <w:pPr>
              <w:spacing w:line="480" w:lineRule="auto"/>
              <w:rPr>
                <w:rFonts w:ascii="Arial" w:eastAsia="Calibri" w:hAnsi="Arial" w:cs="Arial"/>
                <w:b/>
                <w:bCs/>
                <w:sz w:val="16"/>
                <w:szCs w:val="16"/>
                <w:lang w:val="en-ZA"/>
              </w:rPr>
            </w:pPr>
            <w:r w:rsidRPr="0016122E">
              <w:rPr>
                <w:rFonts w:ascii="Arial" w:eastAsia="Calibri" w:hAnsi="Arial" w:cs="Arial"/>
                <w:b/>
                <w:bCs/>
                <w:sz w:val="16"/>
                <w:szCs w:val="16"/>
                <w:lang w:val="en-ZA"/>
              </w:rPr>
              <w:t>1</w:t>
            </w:r>
          </w:p>
        </w:tc>
        <w:tc>
          <w:tcPr>
            <w:tcW w:w="704" w:type="dxa"/>
            <w:shd w:val="clear" w:color="auto" w:fill="auto"/>
            <w:noWrap/>
          </w:tcPr>
          <w:p w14:paraId="483BADB8" w14:textId="733F51B3" w:rsidR="005E4744" w:rsidRPr="0016122E" w:rsidRDefault="005E4744" w:rsidP="00DA3C8B">
            <w:pPr>
              <w:spacing w:line="480" w:lineRule="auto"/>
              <w:rPr>
                <w:rFonts w:ascii="Arial" w:eastAsia="Calibri" w:hAnsi="Arial" w:cs="Arial"/>
                <w:b/>
                <w:bCs/>
                <w:sz w:val="16"/>
                <w:szCs w:val="16"/>
                <w:lang w:val="en-ZA"/>
              </w:rPr>
            </w:pPr>
            <w:r w:rsidRPr="0016122E">
              <w:rPr>
                <w:rFonts w:ascii="Arial" w:eastAsia="Calibri" w:hAnsi="Arial" w:cs="Arial"/>
                <w:b/>
                <w:bCs/>
                <w:sz w:val="16"/>
                <w:szCs w:val="16"/>
                <w:lang w:val="en-ZA"/>
              </w:rPr>
              <w:t>0.412</w:t>
            </w:r>
          </w:p>
        </w:tc>
        <w:tc>
          <w:tcPr>
            <w:tcW w:w="850" w:type="dxa"/>
            <w:tcBorders>
              <w:right w:val="single" w:sz="4" w:space="0" w:color="auto"/>
            </w:tcBorders>
            <w:shd w:val="clear" w:color="auto" w:fill="auto"/>
            <w:noWrap/>
          </w:tcPr>
          <w:p w14:paraId="34843427" w14:textId="5F2E2A33" w:rsidR="005E4744" w:rsidRPr="0016122E" w:rsidRDefault="005E4744" w:rsidP="00DA3C8B">
            <w:pPr>
              <w:spacing w:line="480" w:lineRule="auto"/>
              <w:rPr>
                <w:rFonts w:ascii="Arial" w:eastAsia="Calibri" w:hAnsi="Arial" w:cs="Arial"/>
                <w:b/>
                <w:bCs/>
                <w:sz w:val="16"/>
                <w:szCs w:val="16"/>
                <w:lang w:val="en-ZA"/>
              </w:rPr>
            </w:pPr>
            <w:r w:rsidRPr="0016122E">
              <w:rPr>
                <w:rFonts w:ascii="Arial" w:eastAsia="Calibri" w:hAnsi="Arial" w:cs="Arial"/>
                <w:b/>
                <w:bCs/>
                <w:sz w:val="16"/>
                <w:szCs w:val="16"/>
                <w:lang w:val="en-ZA"/>
              </w:rPr>
              <w:t>-0.801</w:t>
            </w:r>
          </w:p>
        </w:tc>
        <w:tc>
          <w:tcPr>
            <w:tcW w:w="993" w:type="dxa"/>
            <w:tcBorders>
              <w:left w:val="single" w:sz="4" w:space="0" w:color="auto"/>
            </w:tcBorders>
            <w:shd w:val="clear" w:color="auto" w:fill="auto"/>
            <w:vAlign w:val="bottom"/>
          </w:tcPr>
          <w:p w14:paraId="4ED17A82" w14:textId="77777777" w:rsidR="005E4744" w:rsidRPr="0016122E" w:rsidRDefault="005E4744" w:rsidP="00DA3C8B">
            <w:pPr>
              <w:spacing w:line="480" w:lineRule="auto"/>
              <w:rPr>
                <w:rFonts w:ascii="Arial" w:eastAsia="Calibri" w:hAnsi="Arial" w:cs="Arial"/>
                <w:b/>
                <w:bCs/>
                <w:sz w:val="16"/>
                <w:szCs w:val="16"/>
                <w:lang w:val="en-ZA"/>
              </w:rPr>
            </w:pPr>
          </w:p>
        </w:tc>
        <w:tc>
          <w:tcPr>
            <w:tcW w:w="850" w:type="dxa"/>
            <w:shd w:val="clear" w:color="auto" w:fill="auto"/>
            <w:vAlign w:val="bottom"/>
          </w:tcPr>
          <w:p w14:paraId="5555ABDC" w14:textId="77777777" w:rsidR="005E4744" w:rsidRPr="0016122E" w:rsidRDefault="005E4744" w:rsidP="00DA3C8B">
            <w:pPr>
              <w:spacing w:line="480" w:lineRule="auto"/>
              <w:rPr>
                <w:rFonts w:ascii="Arial" w:eastAsia="Calibri" w:hAnsi="Arial" w:cs="Arial"/>
                <w:b/>
                <w:bCs/>
                <w:sz w:val="16"/>
                <w:szCs w:val="16"/>
                <w:lang w:val="en-ZA"/>
              </w:rPr>
            </w:pPr>
          </w:p>
        </w:tc>
        <w:tc>
          <w:tcPr>
            <w:tcW w:w="709" w:type="dxa"/>
            <w:shd w:val="clear" w:color="auto" w:fill="auto"/>
            <w:vAlign w:val="bottom"/>
          </w:tcPr>
          <w:p w14:paraId="52AF0092" w14:textId="77777777" w:rsidR="005E4744" w:rsidRPr="0016122E" w:rsidRDefault="005E4744" w:rsidP="00DA3C8B">
            <w:pPr>
              <w:spacing w:line="480" w:lineRule="auto"/>
              <w:rPr>
                <w:rFonts w:ascii="Arial" w:eastAsia="Calibri" w:hAnsi="Arial" w:cs="Arial"/>
                <w:b/>
                <w:bCs/>
                <w:sz w:val="16"/>
                <w:szCs w:val="16"/>
                <w:lang w:val="en-ZA"/>
              </w:rPr>
            </w:pPr>
          </w:p>
        </w:tc>
        <w:tc>
          <w:tcPr>
            <w:tcW w:w="850" w:type="dxa"/>
            <w:shd w:val="clear" w:color="auto" w:fill="auto"/>
            <w:vAlign w:val="bottom"/>
          </w:tcPr>
          <w:p w14:paraId="1EB5BF3A" w14:textId="77777777" w:rsidR="005E4744" w:rsidRPr="0016122E" w:rsidRDefault="005E4744" w:rsidP="00DA3C8B">
            <w:pPr>
              <w:spacing w:line="480" w:lineRule="auto"/>
              <w:rPr>
                <w:rFonts w:ascii="Arial" w:eastAsia="Calibri" w:hAnsi="Arial" w:cs="Arial"/>
                <w:b/>
                <w:bCs/>
                <w:sz w:val="16"/>
                <w:szCs w:val="16"/>
                <w:lang w:val="en-ZA"/>
              </w:rPr>
            </w:pPr>
          </w:p>
        </w:tc>
      </w:tr>
      <w:tr w:rsidR="005E4744" w:rsidRPr="0016122E" w14:paraId="1B272B3A" w14:textId="77777777" w:rsidTr="005E4744">
        <w:trPr>
          <w:trHeight w:val="300"/>
        </w:trPr>
        <w:tc>
          <w:tcPr>
            <w:tcW w:w="966" w:type="dxa"/>
            <w:shd w:val="clear" w:color="auto" w:fill="auto"/>
            <w:noWrap/>
          </w:tcPr>
          <w:p w14:paraId="0C75DD41" w14:textId="0915CF35" w:rsidR="005E4744" w:rsidRPr="0016122E" w:rsidRDefault="005E4744" w:rsidP="00DA3C8B">
            <w:pPr>
              <w:spacing w:line="480" w:lineRule="auto"/>
              <w:rPr>
                <w:rFonts w:ascii="Arial" w:eastAsia="Calibri" w:hAnsi="Arial" w:cs="Arial"/>
                <w:sz w:val="16"/>
                <w:szCs w:val="16"/>
                <w:lang w:val="en-ZA"/>
              </w:rPr>
            </w:pPr>
            <w:r w:rsidRPr="0016122E">
              <w:rPr>
                <w:rFonts w:ascii="Arial" w:eastAsia="Calibri" w:hAnsi="Arial" w:cs="Arial"/>
                <w:sz w:val="16"/>
                <w:szCs w:val="16"/>
                <w:lang w:val="en-ZA"/>
              </w:rPr>
              <w:t>PNT</w:t>
            </w:r>
          </w:p>
        </w:tc>
        <w:tc>
          <w:tcPr>
            <w:tcW w:w="735" w:type="dxa"/>
            <w:shd w:val="clear" w:color="auto" w:fill="auto"/>
            <w:noWrap/>
          </w:tcPr>
          <w:p w14:paraId="20B5C4CE" w14:textId="24BACE37" w:rsidR="005E4744" w:rsidRPr="0016122E" w:rsidRDefault="005E4744" w:rsidP="00DA3C8B">
            <w:pPr>
              <w:spacing w:line="480" w:lineRule="auto"/>
              <w:rPr>
                <w:rFonts w:ascii="Arial" w:eastAsia="Calibri" w:hAnsi="Arial" w:cs="Arial"/>
                <w:b/>
                <w:bCs/>
                <w:sz w:val="16"/>
                <w:szCs w:val="16"/>
                <w:lang w:val="en-ZA"/>
              </w:rPr>
            </w:pPr>
            <w:r w:rsidRPr="0016122E">
              <w:rPr>
                <w:rFonts w:ascii="Arial" w:eastAsia="Calibri" w:hAnsi="Arial" w:cs="Arial"/>
                <w:b/>
                <w:bCs/>
                <w:sz w:val="16"/>
                <w:szCs w:val="16"/>
                <w:lang w:val="en-ZA"/>
              </w:rPr>
              <w:t>0.125</w:t>
            </w:r>
          </w:p>
        </w:tc>
        <w:tc>
          <w:tcPr>
            <w:tcW w:w="709" w:type="dxa"/>
            <w:shd w:val="clear" w:color="auto" w:fill="auto"/>
            <w:noWrap/>
          </w:tcPr>
          <w:p w14:paraId="784BE388" w14:textId="2D85E308" w:rsidR="005E4744" w:rsidRPr="0016122E" w:rsidRDefault="005E4744" w:rsidP="00DA3C8B">
            <w:pPr>
              <w:spacing w:line="480" w:lineRule="auto"/>
              <w:rPr>
                <w:rFonts w:ascii="Arial" w:eastAsia="Calibri" w:hAnsi="Arial" w:cs="Arial"/>
                <w:b/>
                <w:bCs/>
                <w:sz w:val="16"/>
                <w:szCs w:val="16"/>
                <w:lang w:val="en-ZA"/>
              </w:rPr>
            </w:pPr>
            <w:r w:rsidRPr="0016122E">
              <w:rPr>
                <w:rFonts w:ascii="Arial" w:eastAsia="Calibri" w:hAnsi="Arial" w:cs="Arial"/>
                <w:b/>
                <w:bCs/>
                <w:sz w:val="16"/>
                <w:szCs w:val="16"/>
                <w:lang w:val="en-ZA"/>
              </w:rPr>
              <w:t>0.556</w:t>
            </w:r>
          </w:p>
        </w:tc>
        <w:tc>
          <w:tcPr>
            <w:tcW w:w="851" w:type="dxa"/>
            <w:shd w:val="clear" w:color="auto" w:fill="auto"/>
            <w:noWrap/>
          </w:tcPr>
          <w:p w14:paraId="1264CA4D" w14:textId="04637596" w:rsidR="005E4744" w:rsidRPr="0016122E" w:rsidRDefault="005E4744" w:rsidP="00DA3C8B">
            <w:pPr>
              <w:spacing w:line="480" w:lineRule="auto"/>
              <w:rPr>
                <w:rFonts w:ascii="Arial" w:eastAsia="Calibri" w:hAnsi="Arial" w:cs="Arial"/>
                <w:b/>
                <w:bCs/>
                <w:sz w:val="16"/>
                <w:szCs w:val="16"/>
                <w:lang w:val="en-ZA"/>
              </w:rPr>
            </w:pPr>
            <w:r w:rsidRPr="0016122E">
              <w:rPr>
                <w:rFonts w:ascii="Arial" w:eastAsia="Calibri" w:hAnsi="Arial" w:cs="Arial"/>
                <w:b/>
                <w:bCs/>
                <w:sz w:val="16"/>
                <w:szCs w:val="16"/>
                <w:lang w:val="en-ZA"/>
              </w:rPr>
              <w:t>-0.437</w:t>
            </w:r>
          </w:p>
        </w:tc>
        <w:tc>
          <w:tcPr>
            <w:tcW w:w="850" w:type="dxa"/>
            <w:shd w:val="clear" w:color="auto" w:fill="auto"/>
            <w:noWrap/>
          </w:tcPr>
          <w:p w14:paraId="3FB1A30C" w14:textId="76A2C080" w:rsidR="005E4744" w:rsidRPr="0016122E" w:rsidRDefault="005E4744" w:rsidP="00DA3C8B">
            <w:pPr>
              <w:spacing w:line="480" w:lineRule="auto"/>
              <w:rPr>
                <w:rFonts w:ascii="Arial" w:eastAsia="Calibri" w:hAnsi="Arial" w:cs="Arial"/>
                <w:b/>
                <w:bCs/>
                <w:sz w:val="16"/>
                <w:szCs w:val="16"/>
                <w:lang w:val="en-ZA"/>
              </w:rPr>
            </w:pPr>
            <w:r w:rsidRPr="0016122E">
              <w:rPr>
                <w:rFonts w:ascii="Arial" w:eastAsia="Calibri" w:hAnsi="Arial" w:cs="Arial"/>
                <w:b/>
                <w:bCs/>
                <w:sz w:val="16"/>
                <w:szCs w:val="16"/>
                <w:lang w:val="en-ZA"/>
              </w:rPr>
              <w:t>0.412</w:t>
            </w:r>
          </w:p>
        </w:tc>
        <w:tc>
          <w:tcPr>
            <w:tcW w:w="704" w:type="dxa"/>
            <w:shd w:val="clear" w:color="auto" w:fill="auto"/>
            <w:noWrap/>
          </w:tcPr>
          <w:p w14:paraId="1CC8CA3E" w14:textId="5CBFD380" w:rsidR="005E4744" w:rsidRPr="0016122E" w:rsidRDefault="005E4744" w:rsidP="00DA3C8B">
            <w:pPr>
              <w:spacing w:line="480" w:lineRule="auto"/>
              <w:rPr>
                <w:rFonts w:ascii="Arial" w:eastAsia="Calibri" w:hAnsi="Arial" w:cs="Arial"/>
                <w:b/>
                <w:bCs/>
                <w:sz w:val="16"/>
                <w:szCs w:val="16"/>
                <w:lang w:val="en-ZA"/>
              </w:rPr>
            </w:pPr>
            <w:r w:rsidRPr="0016122E">
              <w:rPr>
                <w:rFonts w:ascii="Arial" w:eastAsia="Calibri" w:hAnsi="Arial" w:cs="Arial"/>
                <w:b/>
                <w:bCs/>
                <w:sz w:val="16"/>
                <w:szCs w:val="16"/>
                <w:lang w:val="en-ZA"/>
              </w:rPr>
              <w:t>1</w:t>
            </w:r>
          </w:p>
        </w:tc>
        <w:tc>
          <w:tcPr>
            <w:tcW w:w="850" w:type="dxa"/>
            <w:tcBorders>
              <w:right w:val="single" w:sz="4" w:space="0" w:color="auto"/>
            </w:tcBorders>
            <w:shd w:val="clear" w:color="auto" w:fill="auto"/>
            <w:noWrap/>
          </w:tcPr>
          <w:p w14:paraId="5E037FEB" w14:textId="4621D002" w:rsidR="005E4744" w:rsidRPr="0016122E" w:rsidRDefault="005E4744" w:rsidP="00DA3C8B">
            <w:pPr>
              <w:spacing w:line="480" w:lineRule="auto"/>
              <w:rPr>
                <w:rFonts w:ascii="Arial" w:eastAsia="Calibri" w:hAnsi="Arial" w:cs="Arial"/>
                <w:b/>
                <w:bCs/>
                <w:sz w:val="16"/>
                <w:szCs w:val="16"/>
                <w:lang w:val="en-ZA"/>
              </w:rPr>
            </w:pPr>
            <w:r w:rsidRPr="0016122E">
              <w:rPr>
                <w:rFonts w:ascii="Arial" w:eastAsia="Calibri" w:hAnsi="Arial" w:cs="Arial"/>
                <w:b/>
                <w:bCs/>
                <w:sz w:val="16"/>
                <w:szCs w:val="16"/>
                <w:lang w:val="en-ZA"/>
              </w:rPr>
              <w:t>0.089</w:t>
            </w:r>
          </w:p>
        </w:tc>
        <w:tc>
          <w:tcPr>
            <w:tcW w:w="993" w:type="dxa"/>
            <w:tcBorders>
              <w:left w:val="single" w:sz="4" w:space="0" w:color="auto"/>
            </w:tcBorders>
            <w:shd w:val="clear" w:color="auto" w:fill="auto"/>
            <w:vAlign w:val="bottom"/>
          </w:tcPr>
          <w:p w14:paraId="474F3A94" w14:textId="77777777" w:rsidR="005E4744" w:rsidRPr="0016122E" w:rsidRDefault="005E4744" w:rsidP="00DA3C8B">
            <w:pPr>
              <w:spacing w:line="480" w:lineRule="auto"/>
              <w:rPr>
                <w:rFonts w:ascii="Arial" w:eastAsia="Calibri" w:hAnsi="Arial" w:cs="Arial"/>
                <w:b/>
                <w:bCs/>
                <w:sz w:val="16"/>
                <w:szCs w:val="16"/>
                <w:lang w:val="en-ZA"/>
              </w:rPr>
            </w:pPr>
          </w:p>
        </w:tc>
        <w:tc>
          <w:tcPr>
            <w:tcW w:w="850" w:type="dxa"/>
            <w:shd w:val="clear" w:color="auto" w:fill="auto"/>
            <w:vAlign w:val="bottom"/>
          </w:tcPr>
          <w:p w14:paraId="4587224C" w14:textId="77777777" w:rsidR="005E4744" w:rsidRPr="0016122E" w:rsidRDefault="005E4744" w:rsidP="00DA3C8B">
            <w:pPr>
              <w:spacing w:line="480" w:lineRule="auto"/>
              <w:rPr>
                <w:rFonts w:ascii="Arial" w:eastAsia="Calibri" w:hAnsi="Arial" w:cs="Arial"/>
                <w:b/>
                <w:bCs/>
                <w:sz w:val="16"/>
                <w:szCs w:val="16"/>
                <w:lang w:val="en-ZA"/>
              </w:rPr>
            </w:pPr>
          </w:p>
        </w:tc>
        <w:tc>
          <w:tcPr>
            <w:tcW w:w="709" w:type="dxa"/>
            <w:shd w:val="clear" w:color="auto" w:fill="auto"/>
            <w:vAlign w:val="bottom"/>
          </w:tcPr>
          <w:p w14:paraId="6C3B91FA" w14:textId="77777777" w:rsidR="005E4744" w:rsidRPr="0016122E" w:rsidRDefault="005E4744" w:rsidP="00DA3C8B">
            <w:pPr>
              <w:spacing w:line="480" w:lineRule="auto"/>
              <w:rPr>
                <w:rFonts w:ascii="Arial" w:eastAsia="Calibri" w:hAnsi="Arial" w:cs="Arial"/>
                <w:b/>
                <w:bCs/>
                <w:sz w:val="16"/>
                <w:szCs w:val="16"/>
                <w:lang w:val="en-ZA"/>
              </w:rPr>
            </w:pPr>
          </w:p>
        </w:tc>
        <w:tc>
          <w:tcPr>
            <w:tcW w:w="850" w:type="dxa"/>
            <w:shd w:val="clear" w:color="auto" w:fill="auto"/>
            <w:vAlign w:val="bottom"/>
          </w:tcPr>
          <w:p w14:paraId="445C11E4" w14:textId="77777777" w:rsidR="005E4744" w:rsidRPr="0016122E" w:rsidRDefault="005E4744" w:rsidP="00DA3C8B">
            <w:pPr>
              <w:spacing w:line="480" w:lineRule="auto"/>
              <w:rPr>
                <w:rFonts w:ascii="Arial" w:eastAsia="Calibri" w:hAnsi="Arial" w:cs="Arial"/>
                <w:b/>
                <w:bCs/>
                <w:sz w:val="16"/>
                <w:szCs w:val="16"/>
                <w:lang w:val="en-ZA"/>
              </w:rPr>
            </w:pPr>
          </w:p>
        </w:tc>
      </w:tr>
      <w:tr w:rsidR="005E4744" w:rsidRPr="0016122E" w14:paraId="06F8886E" w14:textId="77777777" w:rsidTr="005E4744">
        <w:trPr>
          <w:trHeight w:val="300"/>
        </w:trPr>
        <w:tc>
          <w:tcPr>
            <w:tcW w:w="966" w:type="dxa"/>
            <w:tcBorders>
              <w:bottom w:val="single" w:sz="4" w:space="0" w:color="auto"/>
            </w:tcBorders>
            <w:shd w:val="clear" w:color="auto" w:fill="auto"/>
            <w:noWrap/>
          </w:tcPr>
          <w:p w14:paraId="396FD9EE" w14:textId="1A35B5E5" w:rsidR="005E4744" w:rsidRPr="0016122E" w:rsidRDefault="005E4744" w:rsidP="00DA3C8B">
            <w:pPr>
              <w:spacing w:line="480" w:lineRule="auto"/>
              <w:rPr>
                <w:rFonts w:ascii="Arial" w:eastAsia="Calibri" w:hAnsi="Arial" w:cs="Arial"/>
                <w:sz w:val="16"/>
                <w:szCs w:val="16"/>
                <w:lang w:val="en-ZA"/>
              </w:rPr>
            </w:pPr>
            <w:r w:rsidRPr="0016122E">
              <w:rPr>
                <w:rFonts w:ascii="Arial" w:eastAsia="Calibri" w:hAnsi="Arial" w:cs="Arial"/>
                <w:sz w:val="16"/>
                <w:szCs w:val="16"/>
                <w:lang w:val="en-ZA"/>
              </w:rPr>
              <w:t>Δ</w:t>
            </w:r>
            <w:r w:rsidRPr="0016122E">
              <w:rPr>
                <w:rFonts w:ascii="Arial" w:eastAsia="Calibri" w:hAnsi="Arial" w:cs="Arial"/>
                <w:sz w:val="16"/>
                <w:szCs w:val="16"/>
                <w:vertAlign w:val="superscript"/>
                <w:lang w:val="en-ZA"/>
              </w:rPr>
              <w:t>9</w:t>
            </w:r>
            <w:r w:rsidRPr="0016122E">
              <w:rPr>
                <w:rFonts w:ascii="Arial" w:eastAsia="Calibri" w:hAnsi="Arial" w:cs="Arial"/>
                <w:sz w:val="16"/>
                <w:szCs w:val="16"/>
                <w:lang w:val="en-ZA"/>
              </w:rPr>
              <w:t xml:space="preserve"> -THC</w:t>
            </w:r>
          </w:p>
        </w:tc>
        <w:tc>
          <w:tcPr>
            <w:tcW w:w="735" w:type="dxa"/>
            <w:tcBorders>
              <w:bottom w:val="single" w:sz="4" w:space="0" w:color="auto"/>
            </w:tcBorders>
            <w:shd w:val="clear" w:color="auto" w:fill="auto"/>
            <w:noWrap/>
          </w:tcPr>
          <w:p w14:paraId="13085AF4" w14:textId="198FCB84" w:rsidR="005E4744" w:rsidRPr="0016122E" w:rsidRDefault="005E4744" w:rsidP="00DA3C8B">
            <w:pPr>
              <w:spacing w:line="480" w:lineRule="auto"/>
              <w:rPr>
                <w:rFonts w:ascii="Arial" w:eastAsia="Calibri" w:hAnsi="Arial" w:cs="Arial"/>
                <w:b/>
                <w:bCs/>
                <w:sz w:val="16"/>
                <w:szCs w:val="16"/>
                <w:lang w:val="en-ZA"/>
              </w:rPr>
            </w:pPr>
            <w:r w:rsidRPr="0016122E">
              <w:rPr>
                <w:rFonts w:ascii="Arial" w:eastAsia="Calibri" w:hAnsi="Arial" w:cs="Arial"/>
                <w:b/>
                <w:bCs/>
                <w:sz w:val="16"/>
                <w:szCs w:val="16"/>
                <w:lang w:val="en-ZA"/>
              </w:rPr>
              <w:t>0.981</w:t>
            </w:r>
          </w:p>
        </w:tc>
        <w:tc>
          <w:tcPr>
            <w:tcW w:w="709" w:type="dxa"/>
            <w:tcBorders>
              <w:bottom w:val="single" w:sz="4" w:space="0" w:color="auto"/>
            </w:tcBorders>
            <w:shd w:val="clear" w:color="auto" w:fill="auto"/>
            <w:noWrap/>
          </w:tcPr>
          <w:p w14:paraId="4295EDCD" w14:textId="3C7F38B5" w:rsidR="005E4744" w:rsidRPr="0016122E" w:rsidRDefault="005E4744" w:rsidP="00DA3C8B">
            <w:pPr>
              <w:spacing w:line="480" w:lineRule="auto"/>
              <w:rPr>
                <w:rFonts w:ascii="Arial" w:eastAsia="Calibri" w:hAnsi="Arial" w:cs="Arial"/>
                <w:b/>
                <w:bCs/>
                <w:sz w:val="16"/>
                <w:szCs w:val="16"/>
                <w:lang w:val="en-ZA"/>
              </w:rPr>
            </w:pPr>
            <w:r w:rsidRPr="0016122E">
              <w:rPr>
                <w:rFonts w:ascii="Arial" w:eastAsia="Calibri" w:hAnsi="Arial" w:cs="Arial"/>
                <w:b/>
                <w:bCs/>
                <w:sz w:val="16"/>
                <w:szCs w:val="16"/>
                <w:lang w:val="en-ZA"/>
              </w:rPr>
              <w:t>0.858</w:t>
            </w:r>
          </w:p>
        </w:tc>
        <w:tc>
          <w:tcPr>
            <w:tcW w:w="851" w:type="dxa"/>
            <w:tcBorders>
              <w:bottom w:val="single" w:sz="4" w:space="0" w:color="auto"/>
            </w:tcBorders>
            <w:shd w:val="clear" w:color="auto" w:fill="auto"/>
            <w:noWrap/>
          </w:tcPr>
          <w:p w14:paraId="0CD09CEE" w14:textId="77AF429B" w:rsidR="005E4744" w:rsidRPr="0016122E" w:rsidRDefault="005E4744" w:rsidP="00DA3C8B">
            <w:pPr>
              <w:spacing w:line="480" w:lineRule="auto"/>
              <w:rPr>
                <w:rFonts w:ascii="Arial" w:eastAsia="Calibri" w:hAnsi="Arial" w:cs="Arial"/>
                <w:b/>
                <w:bCs/>
                <w:sz w:val="16"/>
                <w:szCs w:val="16"/>
                <w:lang w:val="en-ZA"/>
              </w:rPr>
            </w:pPr>
            <w:r w:rsidRPr="0016122E">
              <w:rPr>
                <w:rFonts w:ascii="Arial" w:eastAsia="Calibri" w:hAnsi="Arial" w:cs="Arial"/>
                <w:b/>
                <w:bCs/>
                <w:sz w:val="16"/>
                <w:szCs w:val="16"/>
                <w:lang w:val="en-ZA"/>
              </w:rPr>
              <w:t>0.512</w:t>
            </w:r>
          </w:p>
        </w:tc>
        <w:tc>
          <w:tcPr>
            <w:tcW w:w="850" w:type="dxa"/>
            <w:tcBorders>
              <w:bottom w:val="single" w:sz="4" w:space="0" w:color="auto"/>
            </w:tcBorders>
            <w:shd w:val="clear" w:color="auto" w:fill="auto"/>
            <w:noWrap/>
          </w:tcPr>
          <w:p w14:paraId="3A210691" w14:textId="199B1FC2" w:rsidR="005E4744" w:rsidRPr="0016122E" w:rsidRDefault="005E4744" w:rsidP="00DA3C8B">
            <w:pPr>
              <w:spacing w:line="480" w:lineRule="auto"/>
              <w:rPr>
                <w:rFonts w:ascii="Arial" w:eastAsia="Calibri" w:hAnsi="Arial" w:cs="Arial"/>
                <w:b/>
                <w:bCs/>
                <w:sz w:val="16"/>
                <w:szCs w:val="16"/>
                <w:lang w:val="en-ZA"/>
              </w:rPr>
            </w:pPr>
            <w:r w:rsidRPr="0016122E">
              <w:rPr>
                <w:rFonts w:ascii="Arial" w:eastAsia="Calibri" w:hAnsi="Arial" w:cs="Arial"/>
                <w:b/>
                <w:bCs/>
                <w:sz w:val="16"/>
                <w:szCs w:val="16"/>
                <w:lang w:val="en-ZA"/>
              </w:rPr>
              <w:t>-0.801</w:t>
            </w:r>
          </w:p>
        </w:tc>
        <w:tc>
          <w:tcPr>
            <w:tcW w:w="704" w:type="dxa"/>
            <w:tcBorders>
              <w:bottom w:val="single" w:sz="4" w:space="0" w:color="auto"/>
            </w:tcBorders>
            <w:shd w:val="clear" w:color="auto" w:fill="auto"/>
            <w:noWrap/>
          </w:tcPr>
          <w:p w14:paraId="2005B3AE" w14:textId="6F1E1B3B" w:rsidR="005E4744" w:rsidRPr="0016122E" w:rsidRDefault="005E4744" w:rsidP="00DA3C8B">
            <w:pPr>
              <w:spacing w:line="480" w:lineRule="auto"/>
              <w:rPr>
                <w:rFonts w:ascii="Arial" w:eastAsia="Calibri" w:hAnsi="Arial" w:cs="Arial"/>
                <w:b/>
                <w:bCs/>
                <w:sz w:val="16"/>
                <w:szCs w:val="16"/>
                <w:lang w:val="en-ZA"/>
              </w:rPr>
            </w:pPr>
            <w:r w:rsidRPr="0016122E">
              <w:rPr>
                <w:rFonts w:ascii="Arial" w:eastAsia="Calibri" w:hAnsi="Arial" w:cs="Arial"/>
                <w:b/>
                <w:bCs/>
                <w:sz w:val="16"/>
                <w:szCs w:val="16"/>
                <w:lang w:val="en-ZA"/>
              </w:rPr>
              <w:t>0.089</w:t>
            </w:r>
          </w:p>
        </w:tc>
        <w:tc>
          <w:tcPr>
            <w:tcW w:w="850" w:type="dxa"/>
            <w:tcBorders>
              <w:bottom w:val="single" w:sz="4" w:space="0" w:color="auto"/>
              <w:right w:val="single" w:sz="4" w:space="0" w:color="auto"/>
            </w:tcBorders>
            <w:shd w:val="clear" w:color="auto" w:fill="auto"/>
            <w:noWrap/>
          </w:tcPr>
          <w:p w14:paraId="15CAED3C" w14:textId="7107AAC1" w:rsidR="005E4744" w:rsidRPr="0016122E" w:rsidRDefault="005E4744" w:rsidP="00DA3C8B">
            <w:pPr>
              <w:spacing w:line="480" w:lineRule="auto"/>
              <w:rPr>
                <w:rFonts w:ascii="Arial" w:eastAsia="Calibri" w:hAnsi="Arial" w:cs="Arial"/>
                <w:b/>
                <w:bCs/>
                <w:sz w:val="16"/>
                <w:szCs w:val="16"/>
                <w:lang w:val="en-ZA"/>
              </w:rPr>
            </w:pPr>
            <w:r w:rsidRPr="0016122E">
              <w:rPr>
                <w:rFonts w:ascii="Arial" w:eastAsia="Calibri" w:hAnsi="Arial" w:cs="Arial"/>
                <w:b/>
                <w:bCs/>
                <w:sz w:val="16"/>
                <w:szCs w:val="16"/>
                <w:lang w:val="en-ZA"/>
              </w:rPr>
              <w:t>1</w:t>
            </w:r>
          </w:p>
        </w:tc>
        <w:tc>
          <w:tcPr>
            <w:tcW w:w="993" w:type="dxa"/>
            <w:tcBorders>
              <w:left w:val="single" w:sz="4" w:space="0" w:color="auto"/>
              <w:bottom w:val="single" w:sz="4" w:space="0" w:color="auto"/>
            </w:tcBorders>
            <w:shd w:val="clear" w:color="auto" w:fill="auto"/>
            <w:vAlign w:val="bottom"/>
          </w:tcPr>
          <w:p w14:paraId="24FBD42A" w14:textId="77777777" w:rsidR="005E4744" w:rsidRPr="0016122E" w:rsidRDefault="005E4744" w:rsidP="00DA3C8B">
            <w:pPr>
              <w:spacing w:line="480" w:lineRule="auto"/>
              <w:rPr>
                <w:rFonts w:ascii="Arial" w:eastAsia="Calibri" w:hAnsi="Arial" w:cs="Arial"/>
                <w:b/>
                <w:bCs/>
                <w:sz w:val="16"/>
                <w:szCs w:val="16"/>
                <w:lang w:val="en-ZA"/>
              </w:rPr>
            </w:pPr>
          </w:p>
        </w:tc>
        <w:tc>
          <w:tcPr>
            <w:tcW w:w="850" w:type="dxa"/>
            <w:tcBorders>
              <w:bottom w:val="single" w:sz="4" w:space="0" w:color="auto"/>
            </w:tcBorders>
            <w:shd w:val="clear" w:color="auto" w:fill="auto"/>
            <w:vAlign w:val="bottom"/>
          </w:tcPr>
          <w:p w14:paraId="6C072007" w14:textId="77777777" w:rsidR="005E4744" w:rsidRPr="0016122E" w:rsidRDefault="005E4744" w:rsidP="00DA3C8B">
            <w:pPr>
              <w:spacing w:line="480" w:lineRule="auto"/>
              <w:rPr>
                <w:rFonts w:ascii="Arial" w:eastAsia="Calibri" w:hAnsi="Arial" w:cs="Arial"/>
                <w:b/>
                <w:bCs/>
                <w:sz w:val="16"/>
                <w:szCs w:val="16"/>
                <w:lang w:val="en-ZA"/>
              </w:rPr>
            </w:pPr>
          </w:p>
        </w:tc>
        <w:tc>
          <w:tcPr>
            <w:tcW w:w="709" w:type="dxa"/>
            <w:tcBorders>
              <w:bottom w:val="single" w:sz="4" w:space="0" w:color="auto"/>
            </w:tcBorders>
            <w:shd w:val="clear" w:color="auto" w:fill="auto"/>
            <w:vAlign w:val="bottom"/>
          </w:tcPr>
          <w:p w14:paraId="6864A566" w14:textId="77777777" w:rsidR="005E4744" w:rsidRPr="0016122E" w:rsidRDefault="005E4744" w:rsidP="00DA3C8B">
            <w:pPr>
              <w:spacing w:line="480" w:lineRule="auto"/>
              <w:rPr>
                <w:rFonts w:ascii="Arial" w:eastAsia="Calibri" w:hAnsi="Arial" w:cs="Arial"/>
                <w:b/>
                <w:bCs/>
                <w:sz w:val="16"/>
                <w:szCs w:val="16"/>
                <w:lang w:val="en-ZA"/>
              </w:rPr>
            </w:pPr>
          </w:p>
        </w:tc>
        <w:tc>
          <w:tcPr>
            <w:tcW w:w="850" w:type="dxa"/>
            <w:tcBorders>
              <w:bottom w:val="single" w:sz="4" w:space="0" w:color="auto"/>
            </w:tcBorders>
            <w:shd w:val="clear" w:color="auto" w:fill="auto"/>
            <w:vAlign w:val="bottom"/>
          </w:tcPr>
          <w:p w14:paraId="782A39CE" w14:textId="77777777" w:rsidR="005E4744" w:rsidRPr="0016122E" w:rsidRDefault="005E4744" w:rsidP="00DA3C8B">
            <w:pPr>
              <w:spacing w:line="480" w:lineRule="auto"/>
              <w:rPr>
                <w:rFonts w:ascii="Arial" w:eastAsia="Calibri" w:hAnsi="Arial" w:cs="Arial"/>
                <w:b/>
                <w:bCs/>
                <w:sz w:val="16"/>
                <w:szCs w:val="16"/>
                <w:lang w:val="en-ZA"/>
              </w:rPr>
            </w:pPr>
          </w:p>
        </w:tc>
      </w:tr>
    </w:tbl>
    <w:p w14:paraId="04C1E3CF" w14:textId="77777777" w:rsidR="00A36D87" w:rsidRPr="0016122E" w:rsidRDefault="00A36D87" w:rsidP="00DA3C8B">
      <w:pPr>
        <w:spacing w:line="480" w:lineRule="auto"/>
        <w:jc w:val="both"/>
        <w:rPr>
          <w:rFonts w:ascii="Arial" w:hAnsi="Arial" w:cs="Arial"/>
          <w:b/>
          <w:color w:val="000000" w:themeColor="text1"/>
          <w:sz w:val="22"/>
          <w:szCs w:val="22"/>
        </w:rPr>
      </w:pPr>
    </w:p>
    <w:p w14:paraId="5E410C0A" w14:textId="6788B8A1" w:rsidR="00AB20E6" w:rsidRPr="0016122E" w:rsidRDefault="00D47D0D" w:rsidP="001407E5">
      <w:pPr>
        <w:jc w:val="both"/>
        <w:rPr>
          <w:rFonts w:ascii="Arial" w:hAnsi="Arial" w:cs="Arial"/>
          <w:color w:val="000000" w:themeColor="text1"/>
        </w:rPr>
      </w:pPr>
      <w:r w:rsidRPr="0016122E">
        <w:rPr>
          <w:rFonts w:ascii="Arial" w:hAnsi="Arial" w:cs="Arial"/>
          <w:noProof/>
          <w:color w:val="000000" w:themeColor="text1"/>
          <w:lang w:val="en-ZA" w:eastAsia="en-ZA"/>
        </w:rPr>
        <w:drawing>
          <wp:inline distT="0" distB="0" distL="0" distR="0" wp14:anchorId="6E574FD6" wp14:editId="12DDBABF">
            <wp:extent cx="2696400" cy="2365200"/>
            <wp:effectExtent l="0" t="0" r="889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96400" cy="2365200"/>
                    </a:xfrm>
                    <a:prstGeom prst="rect">
                      <a:avLst/>
                    </a:prstGeom>
                    <a:noFill/>
                    <a:ln>
                      <a:noFill/>
                    </a:ln>
                  </pic:spPr>
                </pic:pic>
              </a:graphicData>
            </a:graphic>
          </wp:inline>
        </w:drawing>
      </w:r>
      <w:r w:rsidRPr="0016122E">
        <w:rPr>
          <w:rFonts w:ascii="Arial" w:hAnsi="Arial" w:cs="Arial"/>
          <w:noProof/>
          <w:color w:val="000000" w:themeColor="text1"/>
          <w:lang w:val="en-ZA" w:eastAsia="en-ZA"/>
        </w:rPr>
        <w:drawing>
          <wp:inline distT="0" distB="0" distL="0" distR="0" wp14:anchorId="7A7DE83E" wp14:editId="5F51FDF6">
            <wp:extent cx="2667600" cy="23652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67600" cy="2365200"/>
                    </a:xfrm>
                    <a:prstGeom prst="rect">
                      <a:avLst/>
                    </a:prstGeom>
                    <a:noFill/>
                    <a:ln>
                      <a:noFill/>
                    </a:ln>
                  </pic:spPr>
                </pic:pic>
              </a:graphicData>
            </a:graphic>
          </wp:inline>
        </w:drawing>
      </w:r>
    </w:p>
    <w:p w14:paraId="0E9BCDE8" w14:textId="2846CD95" w:rsidR="0016122E" w:rsidRPr="0016122E" w:rsidRDefault="00B926A7" w:rsidP="00326175">
      <w:pPr>
        <w:rPr>
          <w:rFonts w:ascii="Arial" w:hAnsi="Arial" w:cs="Arial"/>
          <w:b/>
          <w:bCs/>
          <w:color w:val="000000" w:themeColor="text1"/>
          <w:sz w:val="22"/>
          <w:szCs w:val="22"/>
        </w:rPr>
      </w:pPr>
      <w:r w:rsidRPr="0016122E">
        <w:rPr>
          <w:rFonts w:ascii="Arial" w:hAnsi="Arial" w:cs="Arial"/>
          <w:b/>
          <w:bCs/>
          <w:color w:val="000000" w:themeColor="text1"/>
          <w:sz w:val="20"/>
          <w:szCs w:val="20"/>
        </w:rPr>
        <w:t xml:space="preserve">Figure 4: </w:t>
      </w:r>
      <w:r w:rsidR="00181330" w:rsidRPr="0016122E">
        <w:rPr>
          <w:rFonts w:ascii="Arial" w:hAnsi="Arial" w:cs="Arial"/>
          <w:b/>
          <w:bCs/>
          <w:color w:val="000000" w:themeColor="text1"/>
          <w:sz w:val="20"/>
          <w:szCs w:val="20"/>
        </w:rPr>
        <w:t xml:space="preserve">Observation axis for (A) blind simulated </w:t>
      </w:r>
      <w:proofErr w:type="spellStart"/>
      <w:r w:rsidR="00181330" w:rsidRPr="0016122E">
        <w:rPr>
          <w:rFonts w:ascii="Arial" w:hAnsi="Arial" w:cs="Arial"/>
          <w:b/>
          <w:bCs/>
          <w:color w:val="000000" w:themeColor="text1"/>
          <w:sz w:val="20"/>
          <w:szCs w:val="20"/>
        </w:rPr>
        <w:t>nyaope</w:t>
      </w:r>
      <w:proofErr w:type="spellEnd"/>
      <w:r w:rsidR="00181330" w:rsidRPr="0016122E">
        <w:rPr>
          <w:rFonts w:ascii="Arial" w:hAnsi="Arial" w:cs="Arial"/>
          <w:b/>
          <w:bCs/>
          <w:color w:val="000000" w:themeColor="text1"/>
          <w:sz w:val="20"/>
          <w:szCs w:val="20"/>
        </w:rPr>
        <w:t xml:space="preserve"> and (B) case work samples</w:t>
      </w:r>
      <w:r w:rsidR="00181330" w:rsidRPr="0016122E">
        <w:rPr>
          <w:rFonts w:ascii="Arial" w:hAnsi="Arial" w:cs="Arial"/>
          <w:b/>
          <w:bCs/>
          <w:color w:val="000000" w:themeColor="text1"/>
          <w:sz w:val="22"/>
          <w:szCs w:val="22"/>
        </w:rPr>
        <w:t xml:space="preserve"> analysed by PCA</w:t>
      </w:r>
    </w:p>
    <w:p w14:paraId="7A91FE86" w14:textId="163250B2" w:rsidR="00094B0F" w:rsidRPr="0016122E" w:rsidRDefault="003636AD" w:rsidP="0016122E">
      <w:pPr>
        <w:spacing w:line="360" w:lineRule="auto"/>
        <w:rPr>
          <w:rFonts w:ascii="Arial" w:hAnsi="Arial" w:cs="Arial"/>
          <w:b/>
          <w:bCs/>
          <w:color w:val="000000" w:themeColor="text1"/>
          <w:sz w:val="22"/>
          <w:szCs w:val="22"/>
        </w:rPr>
      </w:pPr>
      <w:r w:rsidRPr="0016122E">
        <w:rPr>
          <w:rFonts w:ascii="Arial" w:hAnsi="Arial" w:cs="Arial"/>
          <w:b/>
          <w:bCs/>
          <w:color w:val="000000" w:themeColor="text1"/>
          <w:sz w:val="22"/>
          <w:szCs w:val="22"/>
        </w:rPr>
        <w:t>Conclusions.</w:t>
      </w:r>
    </w:p>
    <w:p w14:paraId="2820AE28" w14:textId="414D1AB7" w:rsidR="003636AD" w:rsidRPr="00F13C54" w:rsidRDefault="003636AD" w:rsidP="0016122E">
      <w:pPr>
        <w:spacing w:line="360" w:lineRule="auto"/>
        <w:rPr>
          <w:rFonts w:ascii="Arial" w:hAnsi="Arial" w:cs="Arial"/>
          <w:color w:val="000000" w:themeColor="text1"/>
          <w:sz w:val="22"/>
          <w:szCs w:val="22"/>
        </w:rPr>
      </w:pPr>
    </w:p>
    <w:p w14:paraId="4606B3F9" w14:textId="2B3E7353" w:rsidR="003636AD" w:rsidRPr="00F13C54" w:rsidRDefault="003636AD" w:rsidP="0016122E">
      <w:pPr>
        <w:spacing w:line="360" w:lineRule="auto"/>
        <w:jc w:val="both"/>
        <w:rPr>
          <w:rFonts w:ascii="Arial" w:hAnsi="Arial" w:cs="Arial"/>
          <w:color w:val="000000" w:themeColor="text1"/>
          <w:sz w:val="22"/>
          <w:szCs w:val="22"/>
        </w:rPr>
      </w:pPr>
      <w:r w:rsidRPr="00F13C54">
        <w:rPr>
          <w:rFonts w:ascii="Arial" w:hAnsi="Arial" w:cs="Arial"/>
          <w:color w:val="000000" w:themeColor="text1"/>
          <w:sz w:val="22"/>
          <w:szCs w:val="22"/>
        </w:rPr>
        <w:t xml:space="preserve">This paper describes, for the first time, a method for the comparative analysis of </w:t>
      </w:r>
      <w:proofErr w:type="spellStart"/>
      <w:r w:rsidRPr="00F13C54">
        <w:rPr>
          <w:rFonts w:ascii="Arial" w:hAnsi="Arial" w:cs="Arial"/>
          <w:color w:val="000000" w:themeColor="text1"/>
          <w:sz w:val="22"/>
          <w:szCs w:val="22"/>
        </w:rPr>
        <w:t>nyaope</w:t>
      </w:r>
      <w:proofErr w:type="spellEnd"/>
      <w:r w:rsidRPr="00F13C54">
        <w:rPr>
          <w:rFonts w:ascii="Arial" w:hAnsi="Arial" w:cs="Arial"/>
          <w:color w:val="000000" w:themeColor="text1"/>
          <w:sz w:val="22"/>
          <w:szCs w:val="22"/>
        </w:rPr>
        <w:t>. Provided that the samples are correctly seized and stored</w:t>
      </w:r>
      <w:r w:rsidR="000B005B">
        <w:rPr>
          <w:rFonts w:ascii="Arial" w:hAnsi="Arial" w:cs="Arial"/>
          <w:color w:val="000000" w:themeColor="text1"/>
          <w:sz w:val="22"/>
          <w:szCs w:val="22"/>
          <w:vertAlign w:val="superscript"/>
        </w:rPr>
        <w:t>13</w:t>
      </w:r>
      <w:r w:rsidRPr="00F13C54">
        <w:rPr>
          <w:rFonts w:ascii="Arial" w:hAnsi="Arial" w:cs="Arial"/>
          <w:color w:val="000000" w:themeColor="text1"/>
          <w:sz w:val="22"/>
          <w:szCs w:val="22"/>
        </w:rPr>
        <w:t>, extracted into tertiary butyl alcohol</w:t>
      </w:r>
      <w:r w:rsidR="000B005B">
        <w:rPr>
          <w:rFonts w:ascii="Arial" w:hAnsi="Arial" w:cs="Arial"/>
          <w:color w:val="000000" w:themeColor="text1"/>
          <w:sz w:val="22"/>
          <w:szCs w:val="22"/>
          <w:vertAlign w:val="superscript"/>
        </w:rPr>
        <w:t>12</w:t>
      </w:r>
      <w:r w:rsidR="00AB3F38" w:rsidRPr="00F13C54">
        <w:rPr>
          <w:rFonts w:ascii="Arial" w:hAnsi="Arial" w:cs="Arial"/>
          <w:color w:val="000000" w:themeColor="text1"/>
          <w:sz w:val="22"/>
          <w:szCs w:val="22"/>
        </w:rPr>
        <w:t>, and analysed within 72</w:t>
      </w:r>
      <w:r w:rsidRPr="00F13C54">
        <w:rPr>
          <w:rFonts w:ascii="Arial" w:hAnsi="Arial" w:cs="Arial"/>
          <w:color w:val="000000" w:themeColor="text1"/>
          <w:sz w:val="22"/>
          <w:szCs w:val="22"/>
        </w:rPr>
        <w:t xml:space="preserve"> hours</w:t>
      </w:r>
      <w:r w:rsidR="000B005B">
        <w:rPr>
          <w:rFonts w:ascii="Arial" w:hAnsi="Arial" w:cs="Arial"/>
          <w:color w:val="000000" w:themeColor="text1"/>
          <w:sz w:val="22"/>
          <w:szCs w:val="22"/>
          <w:vertAlign w:val="superscript"/>
        </w:rPr>
        <w:t>12</w:t>
      </w:r>
      <w:r w:rsidRPr="00F13C54">
        <w:rPr>
          <w:rFonts w:ascii="Arial" w:hAnsi="Arial" w:cs="Arial"/>
          <w:color w:val="000000" w:themeColor="text1"/>
          <w:sz w:val="22"/>
          <w:szCs w:val="22"/>
        </w:rPr>
        <w:t>, this study demonstrates</w:t>
      </w:r>
      <w:r w:rsidR="002532FE" w:rsidRPr="00F13C54">
        <w:rPr>
          <w:rFonts w:ascii="Arial" w:hAnsi="Arial" w:cs="Arial"/>
          <w:color w:val="000000" w:themeColor="text1"/>
          <w:sz w:val="22"/>
          <w:szCs w:val="22"/>
        </w:rPr>
        <w:t>, for the first time,</w:t>
      </w:r>
      <w:r w:rsidRPr="00F13C54">
        <w:rPr>
          <w:rFonts w:ascii="Arial" w:hAnsi="Arial" w:cs="Arial"/>
          <w:color w:val="000000" w:themeColor="text1"/>
          <w:sz w:val="22"/>
          <w:szCs w:val="22"/>
        </w:rPr>
        <w:t xml:space="preserve"> that quantitative comparisons of </w:t>
      </w:r>
      <w:proofErr w:type="spellStart"/>
      <w:r w:rsidRPr="00F13C54">
        <w:rPr>
          <w:rFonts w:ascii="Arial" w:hAnsi="Arial" w:cs="Arial"/>
          <w:color w:val="000000" w:themeColor="text1"/>
          <w:sz w:val="22"/>
          <w:szCs w:val="22"/>
        </w:rPr>
        <w:t>nyaope</w:t>
      </w:r>
      <w:proofErr w:type="spellEnd"/>
      <w:r w:rsidRPr="00F13C54">
        <w:rPr>
          <w:rFonts w:ascii="Arial" w:hAnsi="Arial" w:cs="Arial"/>
          <w:color w:val="000000" w:themeColor="text1"/>
          <w:sz w:val="22"/>
          <w:szCs w:val="22"/>
        </w:rPr>
        <w:t xml:space="preserve"> samples can be made. </w:t>
      </w:r>
      <w:r w:rsidR="009C16D6" w:rsidRPr="009C16D6">
        <w:rPr>
          <w:rFonts w:ascii="Arial" w:hAnsi="Arial" w:cs="Arial"/>
          <w:color w:val="000000" w:themeColor="text1"/>
          <w:sz w:val="22"/>
          <w:szCs w:val="22"/>
        </w:rPr>
        <w:t xml:space="preserve">It also demonstrates, for the first time, that clustering techniques can be successfully applied to </w:t>
      </w:r>
      <w:proofErr w:type="spellStart"/>
      <w:r w:rsidR="009C16D6" w:rsidRPr="009C16D6">
        <w:rPr>
          <w:rFonts w:ascii="Arial" w:hAnsi="Arial" w:cs="Arial"/>
          <w:color w:val="000000" w:themeColor="text1"/>
          <w:sz w:val="22"/>
          <w:szCs w:val="22"/>
        </w:rPr>
        <w:t>nyaope</w:t>
      </w:r>
      <w:proofErr w:type="spellEnd"/>
      <w:r w:rsidR="009C16D6" w:rsidRPr="009C16D6">
        <w:rPr>
          <w:rFonts w:ascii="Arial" w:hAnsi="Arial" w:cs="Arial"/>
          <w:color w:val="000000" w:themeColor="text1"/>
          <w:sz w:val="22"/>
          <w:szCs w:val="22"/>
        </w:rPr>
        <w:t xml:space="preserve"> samples to identify different members of the same batch.</w:t>
      </w:r>
      <w:r w:rsidR="009C16D6">
        <w:rPr>
          <w:rFonts w:ascii="Arial" w:hAnsi="Arial" w:cs="Arial"/>
          <w:color w:val="000000" w:themeColor="text1"/>
          <w:sz w:val="22"/>
          <w:szCs w:val="22"/>
        </w:rPr>
        <w:t xml:space="preserve"> </w:t>
      </w:r>
      <w:r w:rsidRPr="00F13C54">
        <w:rPr>
          <w:rFonts w:ascii="Arial" w:hAnsi="Arial" w:cs="Arial"/>
          <w:color w:val="000000" w:themeColor="text1"/>
          <w:sz w:val="22"/>
          <w:szCs w:val="22"/>
        </w:rPr>
        <w:t xml:space="preserve">This means that law enforcement agencies in the Southern African Development Community (SADC) and beyond have, for the first time, the ability to analyse </w:t>
      </w:r>
      <w:proofErr w:type="spellStart"/>
      <w:r w:rsidRPr="00F13C54">
        <w:rPr>
          <w:rFonts w:ascii="Arial" w:hAnsi="Arial" w:cs="Arial"/>
          <w:color w:val="000000" w:themeColor="text1"/>
          <w:sz w:val="22"/>
          <w:szCs w:val="22"/>
        </w:rPr>
        <w:t>nyaope</w:t>
      </w:r>
      <w:proofErr w:type="spellEnd"/>
      <w:r w:rsidRPr="00F13C54">
        <w:rPr>
          <w:rFonts w:ascii="Arial" w:hAnsi="Arial" w:cs="Arial"/>
          <w:color w:val="000000" w:themeColor="text1"/>
          <w:sz w:val="22"/>
          <w:szCs w:val="22"/>
        </w:rPr>
        <w:t xml:space="preserve"> and compare forensic science data. This will allow distribution and trafficking routes to be identified and will assist in the determination of the origins of this drug type. It does, however, require that decisions are made about how the samples will be treated prior to any investigative activity. It has been shown</w:t>
      </w:r>
      <w:r w:rsidR="000B005B">
        <w:rPr>
          <w:rFonts w:ascii="Arial" w:hAnsi="Arial" w:cs="Arial"/>
          <w:color w:val="000000" w:themeColor="text1"/>
          <w:sz w:val="22"/>
          <w:szCs w:val="22"/>
          <w:vertAlign w:val="superscript"/>
        </w:rPr>
        <w:t>12</w:t>
      </w:r>
      <w:r w:rsidRPr="00F13C54">
        <w:rPr>
          <w:rFonts w:ascii="Arial" w:hAnsi="Arial" w:cs="Arial"/>
          <w:color w:val="000000" w:themeColor="text1"/>
          <w:sz w:val="22"/>
          <w:szCs w:val="22"/>
        </w:rPr>
        <w:t xml:space="preserve"> that the extraction of the drugs for analysis should be made as soon as possible after samples are seized and this requires planning before any police action.</w:t>
      </w:r>
    </w:p>
    <w:p w14:paraId="5EA4CE7C" w14:textId="7392427C" w:rsidR="003636AD" w:rsidRPr="00F13C54" w:rsidRDefault="003636AD" w:rsidP="0016122E">
      <w:pPr>
        <w:spacing w:line="360" w:lineRule="auto"/>
        <w:rPr>
          <w:rFonts w:ascii="Arial" w:hAnsi="Arial" w:cs="Arial"/>
          <w:color w:val="000000" w:themeColor="text1"/>
          <w:sz w:val="22"/>
          <w:szCs w:val="22"/>
        </w:rPr>
      </w:pPr>
    </w:p>
    <w:p w14:paraId="4D0D8E46" w14:textId="6E6A9019" w:rsidR="003636AD" w:rsidRPr="00F13C54" w:rsidRDefault="003636AD" w:rsidP="0016122E">
      <w:pPr>
        <w:spacing w:line="360" w:lineRule="auto"/>
        <w:jc w:val="both"/>
        <w:rPr>
          <w:rFonts w:ascii="Arial" w:hAnsi="Arial" w:cs="Arial"/>
          <w:color w:val="000000" w:themeColor="text1"/>
          <w:sz w:val="22"/>
          <w:szCs w:val="22"/>
        </w:rPr>
      </w:pPr>
      <w:r w:rsidRPr="00F13C54">
        <w:rPr>
          <w:rFonts w:ascii="Arial" w:hAnsi="Arial" w:cs="Arial"/>
          <w:color w:val="000000" w:themeColor="text1"/>
          <w:sz w:val="22"/>
          <w:szCs w:val="22"/>
        </w:rPr>
        <w:t xml:space="preserve">It is also interesting that </w:t>
      </w:r>
      <w:r w:rsidR="005D5BE4" w:rsidRPr="00F13C54">
        <w:rPr>
          <w:rFonts w:ascii="Arial" w:hAnsi="Arial" w:cs="Arial"/>
          <w:color w:val="000000" w:themeColor="text1"/>
          <w:sz w:val="22"/>
          <w:szCs w:val="22"/>
        </w:rPr>
        <w:t xml:space="preserve">whilst </w:t>
      </w:r>
      <w:r w:rsidRPr="00F13C54">
        <w:rPr>
          <w:rFonts w:ascii="Arial" w:hAnsi="Arial" w:cs="Arial"/>
          <w:color w:val="000000" w:themeColor="text1"/>
          <w:sz w:val="22"/>
          <w:szCs w:val="22"/>
        </w:rPr>
        <w:t xml:space="preserve">antiretrovirals have been reported to be present in </w:t>
      </w:r>
      <w:proofErr w:type="spellStart"/>
      <w:r w:rsidRPr="00F13C54">
        <w:rPr>
          <w:rFonts w:ascii="Arial" w:hAnsi="Arial" w:cs="Arial"/>
          <w:color w:val="000000" w:themeColor="text1"/>
          <w:sz w:val="22"/>
          <w:szCs w:val="22"/>
        </w:rPr>
        <w:t>nyaope</w:t>
      </w:r>
      <w:proofErr w:type="spellEnd"/>
      <w:r w:rsidR="005D5BE4" w:rsidRPr="00F13C54">
        <w:rPr>
          <w:rFonts w:ascii="Arial" w:hAnsi="Arial" w:cs="Arial"/>
          <w:color w:val="000000" w:themeColor="text1"/>
          <w:sz w:val="22"/>
          <w:szCs w:val="22"/>
        </w:rPr>
        <w:t>, i</w:t>
      </w:r>
      <w:r w:rsidRPr="00F13C54">
        <w:rPr>
          <w:rFonts w:ascii="Arial" w:hAnsi="Arial" w:cs="Arial"/>
          <w:color w:val="000000" w:themeColor="text1"/>
          <w:sz w:val="22"/>
          <w:szCs w:val="22"/>
        </w:rPr>
        <w:t xml:space="preserve">n the five </w:t>
      </w:r>
      <w:r w:rsidR="00763875" w:rsidRPr="00F13C54">
        <w:rPr>
          <w:rFonts w:ascii="Arial" w:hAnsi="Arial" w:cs="Arial"/>
          <w:color w:val="000000" w:themeColor="text1"/>
          <w:sz w:val="22"/>
          <w:szCs w:val="22"/>
        </w:rPr>
        <w:t xml:space="preserve">casework </w:t>
      </w:r>
      <w:r w:rsidRPr="00F13C54">
        <w:rPr>
          <w:rFonts w:ascii="Arial" w:hAnsi="Arial" w:cs="Arial"/>
          <w:color w:val="000000" w:themeColor="text1"/>
          <w:sz w:val="22"/>
          <w:szCs w:val="22"/>
        </w:rPr>
        <w:t xml:space="preserve">samples analysed here, </w:t>
      </w:r>
      <w:r w:rsidR="005D5BE4" w:rsidRPr="00F13C54">
        <w:rPr>
          <w:rFonts w:ascii="Arial" w:hAnsi="Arial" w:cs="Arial"/>
          <w:color w:val="000000" w:themeColor="text1"/>
          <w:sz w:val="22"/>
          <w:szCs w:val="22"/>
        </w:rPr>
        <w:t xml:space="preserve">the </w:t>
      </w:r>
      <w:r w:rsidRPr="00F13C54">
        <w:rPr>
          <w:rFonts w:ascii="Arial" w:hAnsi="Arial" w:cs="Arial"/>
          <w:color w:val="000000" w:themeColor="text1"/>
          <w:sz w:val="22"/>
          <w:szCs w:val="22"/>
        </w:rPr>
        <w:t xml:space="preserve">antiretrovirals </w:t>
      </w:r>
      <w:r w:rsidR="005D5BE4" w:rsidRPr="00F13C54">
        <w:rPr>
          <w:rFonts w:ascii="Arial" w:hAnsi="Arial" w:cs="Arial"/>
          <w:color w:val="000000" w:themeColor="text1"/>
          <w:sz w:val="22"/>
          <w:szCs w:val="22"/>
        </w:rPr>
        <w:t xml:space="preserve">efavirenz and nevirapine </w:t>
      </w:r>
      <w:r w:rsidRPr="00F13C54">
        <w:rPr>
          <w:rFonts w:ascii="Arial" w:hAnsi="Arial" w:cs="Arial"/>
          <w:color w:val="000000" w:themeColor="text1"/>
          <w:sz w:val="22"/>
          <w:szCs w:val="22"/>
        </w:rPr>
        <w:t>were not identified. It may be that they were below the detection limit of the instrument or that they were indeed absent.</w:t>
      </w:r>
      <w:r w:rsidR="00763875" w:rsidRPr="00F13C54">
        <w:rPr>
          <w:rFonts w:ascii="Arial" w:hAnsi="Arial" w:cs="Arial"/>
          <w:color w:val="000000" w:themeColor="text1"/>
          <w:sz w:val="22"/>
          <w:szCs w:val="22"/>
        </w:rPr>
        <w:t xml:space="preserve"> However, the method does provide for the determination of these antiretrovirals where they are present</w:t>
      </w:r>
      <w:r w:rsidR="005D5BE4" w:rsidRPr="00F13C54">
        <w:rPr>
          <w:rFonts w:ascii="Arial" w:hAnsi="Arial" w:cs="Arial"/>
          <w:color w:val="000000" w:themeColor="text1"/>
          <w:sz w:val="22"/>
          <w:szCs w:val="22"/>
        </w:rPr>
        <w:t xml:space="preserve"> at concentrations above the detection threshold</w:t>
      </w:r>
      <w:r w:rsidR="00763875" w:rsidRPr="00F13C54">
        <w:rPr>
          <w:rFonts w:ascii="Arial" w:hAnsi="Arial" w:cs="Arial"/>
          <w:color w:val="000000" w:themeColor="text1"/>
          <w:sz w:val="22"/>
          <w:szCs w:val="22"/>
        </w:rPr>
        <w:t>.</w:t>
      </w:r>
      <w:r w:rsidR="005D5BE4" w:rsidRPr="00F13C54">
        <w:rPr>
          <w:rFonts w:ascii="Arial" w:hAnsi="Arial" w:cs="Arial"/>
          <w:color w:val="000000" w:themeColor="text1"/>
          <w:sz w:val="22"/>
          <w:szCs w:val="22"/>
        </w:rPr>
        <w:t xml:space="preserve"> It should however be noted that other </w:t>
      </w:r>
      <w:r w:rsidR="00722421" w:rsidRPr="00F13C54">
        <w:rPr>
          <w:rFonts w:ascii="Arial" w:hAnsi="Arial" w:cs="Arial"/>
          <w:color w:val="000000" w:themeColor="text1"/>
          <w:sz w:val="22"/>
          <w:szCs w:val="22"/>
        </w:rPr>
        <w:t>antiretrovirals</w:t>
      </w:r>
      <w:r w:rsidR="005D5BE4" w:rsidRPr="00F13C54">
        <w:rPr>
          <w:rFonts w:ascii="Arial" w:hAnsi="Arial" w:cs="Arial"/>
          <w:color w:val="000000" w:themeColor="text1"/>
          <w:sz w:val="22"/>
          <w:szCs w:val="22"/>
        </w:rPr>
        <w:t xml:space="preserve"> cannot be detected by GC – MS, but that LC-MS is a suitable method. However, LC-MS is not currently </w:t>
      </w:r>
      <w:r w:rsidR="00722421" w:rsidRPr="00F13C54">
        <w:rPr>
          <w:rFonts w:ascii="Arial" w:hAnsi="Arial" w:cs="Arial"/>
          <w:color w:val="000000" w:themeColor="text1"/>
          <w:sz w:val="22"/>
          <w:szCs w:val="22"/>
        </w:rPr>
        <w:t xml:space="preserve">readily </w:t>
      </w:r>
      <w:r w:rsidR="005D5BE4" w:rsidRPr="00F13C54">
        <w:rPr>
          <w:rFonts w:ascii="Arial" w:hAnsi="Arial" w:cs="Arial"/>
          <w:color w:val="000000" w:themeColor="text1"/>
          <w:sz w:val="22"/>
          <w:szCs w:val="22"/>
        </w:rPr>
        <w:t>available to SAPS.</w:t>
      </w:r>
    </w:p>
    <w:p w14:paraId="6AD257ED" w14:textId="4B752A16" w:rsidR="00763875" w:rsidRPr="00F13C54" w:rsidRDefault="00763875" w:rsidP="0016122E">
      <w:pPr>
        <w:spacing w:line="360" w:lineRule="auto"/>
        <w:rPr>
          <w:rFonts w:ascii="Arial" w:hAnsi="Arial" w:cs="Arial"/>
          <w:color w:val="000000" w:themeColor="text1"/>
          <w:sz w:val="22"/>
          <w:szCs w:val="22"/>
        </w:rPr>
      </w:pPr>
    </w:p>
    <w:p w14:paraId="53098656" w14:textId="5C775475" w:rsidR="005D5BE4" w:rsidRPr="00F13C54" w:rsidRDefault="00763875" w:rsidP="0016122E">
      <w:pPr>
        <w:spacing w:line="360" w:lineRule="auto"/>
        <w:jc w:val="both"/>
        <w:rPr>
          <w:rFonts w:ascii="Arial" w:hAnsi="Arial" w:cs="Arial"/>
          <w:color w:val="000000" w:themeColor="text1"/>
          <w:sz w:val="22"/>
          <w:szCs w:val="22"/>
        </w:rPr>
      </w:pPr>
      <w:r w:rsidRPr="00F13C54">
        <w:rPr>
          <w:rFonts w:ascii="Arial" w:hAnsi="Arial" w:cs="Arial"/>
          <w:color w:val="000000" w:themeColor="text1"/>
          <w:sz w:val="22"/>
          <w:szCs w:val="22"/>
        </w:rPr>
        <w:t xml:space="preserve">This method assists law enforcement and public health officials in </w:t>
      </w:r>
      <w:proofErr w:type="gramStart"/>
      <w:r w:rsidRPr="00F13C54">
        <w:rPr>
          <w:rFonts w:ascii="Arial" w:hAnsi="Arial" w:cs="Arial"/>
          <w:color w:val="000000" w:themeColor="text1"/>
          <w:sz w:val="22"/>
          <w:szCs w:val="22"/>
        </w:rPr>
        <w:t>a number of</w:t>
      </w:r>
      <w:proofErr w:type="gramEnd"/>
      <w:r w:rsidRPr="00F13C54">
        <w:rPr>
          <w:rFonts w:ascii="Arial" w:hAnsi="Arial" w:cs="Arial"/>
          <w:color w:val="000000" w:themeColor="text1"/>
          <w:sz w:val="22"/>
          <w:szCs w:val="22"/>
        </w:rPr>
        <w:t xml:space="preserve"> ways. It assists the law enforcement agencies in the identification and comparison of </w:t>
      </w:r>
      <w:proofErr w:type="spellStart"/>
      <w:r w:rsidRPr="00F13C54">
        <w:rPr>
          <w:rFonts w:ascii="Arial" w:hAnsi="Arial" w:cs="Arial"/>
          <w:color w:val="000000" w:themeColor="text1"/>
          <w:sz w:val="22"/>
          <w:szCs w:val="22"/>
        </w:rPr>
        <w:t>nyaope</w:t>
      </w:r>
      <w:proofErr w:type="spellEnd"/>
      <w:r w:rsidRPr="00F13C54">
        <w:rPr>
          <w:rFonts w:ascii="Arial" w:hAnsi="Arial" w:cs="Arial"/>
          <w:color w:val="000000" w:themeColor="text1"/>
          <w:sz w:val="22"/>
          <w:szCs w:val="22"/>
        </w:rPr>
        <w:t xml:space="preserve"> samples. It allows the establishment, for the first time, of a database on the composition of </w:t>
      </w:r>
      <w:proofErr w:type="spellStart"/>
      <w:r w:rsidRPr="00F13C54">
        <w:rPr>
          <w:rFonts w:ascii="Arial" w:hAnsi="Arial" w:cs="Arial"/>
          <w:color w:val="000000" w:themeColor="text1"/>
          <w:sz w:val="22"/>
          <w:szCs w:val="22"/>
        </w:rPr>
        <w:t>nyaope</w:t>
      </w:r>
      <w:proofErr w:type="spellEnd"/>
      <w:r w:rsidRPr="00F13C54">
        <w:rPr>
          <w:rFonts w:ascii="Arial" w:hAnsi="Arial" w:cs="Arial"/>
          <w:color w:val="000000" w:themeColor="text1"/>
          <w:sz w:val="22"/>
          <w:szCs w:val="22"/>
        </w:rPr>
        <w:t xml:space="preserve">. It allows exchange of analytical data between </w:t>
      </w:r>
      <w:r w:rsidR="00C82CB3" w:rsidRPr="00F13C54">
        <w:rPr>
          <w:rFonts w:ascii="Arial" w:hAnsi="Arial" w:cs="Arial"/>
          <w:color w:val="000000" w:themeColor="text1"/>
          <w:sz w:val="22"/>
          <w:szCs w:val="22"/>
        </w:rPr>
        <w:t>jurisdictions</w:t>
      </w:r>
      <w:r w:rsidRPr="00F13C54">
        <w:rPr>
          <w:rFonts w:ascii="Arial" w:hAnsi="Arial" w:cs="Arial"/>
          <w:color w:val="000000" w:themeColor="text1"/>
          <w:sz w:val="22"/>
          <w:szCs w:val="22"/>
        </w:rPr>
        <w:t xml:space="preserve"> provided that the necessary quality control protocols are in place. It also facilitates the prosecution of trafficking offences. In terms of public </w:t>
      </w:r>
      <w:proofErr w:type="gramStart"/>
      <w:r w:rsidRPr="00F13C54">
        <w:rPr>
          <w:rFonts w:ascii="Arial" w:hAnsi="Arial" w:cs="Arial"/>
          <w:color w:val="000000" w:themeColor="text1"/>
          <w:sz w:val="22"/>
          <w:szCs w:val="22"/>
        </w:rPr>
        <w:t>health</w:t>
      </w:r>
      <w:proofErr w:type="gramEnd"/>
      <w:r w:rsidRPr="00F13C54">
        <w:rPr>
          <w:rFonts w:ascii="Arial" w:hAnsi="Arial" w:cs="Arial"/>
          <w:color w:val="000000" w:themeColor="text1"/>
          <w:sz w:val="22"/>
          <w:szCs w:val="22"/>
        </w:rPr>
        <w:t xml:space="preserve"> </w:t>
      </w:r>
      <w:r w:rsidR="00BF7754" w:rsidRPr="00F13C54">
        <w:rPr>
          <w:rFonts w:ascii="Arial" w:hAnsi="Arial" w:cs="Arial"/>
          <w:color w:val="000000" w:themeColor="text1"/>
          <w:sz w:val="22"/>
          <w:szCs w:val="22"/>
        </w:rPr>
        <w:t xml:space="preserve">it </w:t>
      </w:r>
      <w:r w:rsidRPr="00F13C54">
        <w:rPr>
          <w:rFonts w:ascii="Arial" w:hAnsi="Arial" w:cs="Arial"/>
          <w:color w:val="000000" w:themeColor="text1"/>
          <w:sz w:val="22"/>
          <w:szCs w:val="22"/>
        </w:rPr>
        <w:t xml:space="preserve">allows determination of the drugs present in </w:t>
      </w:r>
      <w:proofErr w:type="spellStart"/>
      <w:r w:rsidRPr="00F13C54">
        <w:rPr>
          <w:rFonts w:ascii="Arial" w:hAnsi="Arial" w:cs="Arial"/>
          <w:color w:val="000000" w:themeColor="text1"/>
          <w:sz w:val="22"/>
          <w:szCs w:val="22"/>
        </w:rPr>
        <w:t>nyaope</w:t>
      </w:r>
      <w:proofErr w:type="spellEnd"/>
      <w:r w:rsidRPr="00F13C54">
        <w:rPr>
          <w:rFonts w:ascii="Arial" w:hAnsi="Arial" w:cs="Arial"/>
          <w:color w:val="000000" w:themeColor="text1"/>
          <w:sz w:val="22"/>
          <w:szCs w:val="22"/>
        </w:rPr>
        <w:t xml:space="preserve"> and better public health information to be disseminated amongst the users of </w:t>
      </w:r>
      <w:proofErr w:type="spellStart"/>
      <w:r w:rsidRPr="00F13C54">
        <w:rPr>
          <w:rFonts w:ascii="Arial" w:hAnsi="Arial" w:cs="Arial"/>
          <w:color w:val="000000" w:themeColor="text1"/>
          <w:sz w:val="22"/>
          <w:szCs w:val="22"/>
        </w:rPr>
        <w:t>nyaope</w:t>
      </w:r>
      <w:proofErr w:type="spellEnd"/>
      <w:r w:rsidRPr="00F13C54">
        <w:rPr>
          <w:rFonts w:ascii="Arial" w:hAnsi="Arial" w:cs="Arial"/>
          <w:color w:val="000000" w:themeColor="text1"/>
          <w:sz w:val="22"/>
          <w:szCs w:val="22"/>
        </w:rPr>
        <w:t xml:space="preserve">. In turn they </w:t>
      </w:r>
      <w:r w:rsidR="005D5BE4" w:rsidRPr="00F13C54">
        <w:rPr>
          <w:rFonts w:ascii="Arial" w:hAnsi="Arial" w:cs="Arial"/>
          <w:color w:val="000000" w:themeColor="text1"/>
          <w:sz w:val="22"/>
          <w:szCs w:val="22"/>
        </w:rPr>
        <w:t xml:space="preserve">may </w:t>
      </w:r>
      <w:r w:rsidRPr="00F13C54">
        <w:rPr>
          <w:rFonts w:ascii="Arial" w:hAnsi="Arial" w:cs="Arial"/>
          <w:color w:val="000000" w:themeColor="text1"/>
          <w:sz w:val="22"/>
          <w:szCs w:val="22"/>
        </w:rPr>
        <w:t>choose, having this information, to avoid using this drug cocktail.</w:t>
      </w:r>
    </w:p>
    <w:p w14:paraId="6D10CB9B" w14:textId="77777777" w:rsidR="00A12A78" w:rsidRDefault="00A12A78" w:rsidP="0016122E">
      <w:pPr>
        <w:spacing w:line="360" w:lineRule="auto"/>
        <w:jc w:val="both"/>
        <w:rPr>
          <w:rFonts w:ascii="Arial" w:hAnsi="Arial" w:cs="Arial"/>
          <w:color w:val="000000" w:themeColor="text1"/>
        </w:rPr>
      </w:pPr>
    </w:p>
    <w:p w14:paraId="78E8A09A" w14:textId="17912A19" w:rsidR="00444F70" w:rsidRDefault="00444F70" w:rsidP="0016122E">
      <w:pPr>
        <w:spacing w:line="360" w:lineRule="auto"/>
        <w:jc w:val="both"/>
        <w:rPr>
          <w:rFonts w:ascii="Arial" w:hAnsi="Arial" w:cs="Arial"/>
          <w:color w:val="000000" w:themeColor="text1"/>
        </w:rPr>
      </w:pPr>
    </w:p>
    <w:p w14:paraId="3708AE6A" w14:textId="2DD3C9C5" w:rsidR="00E52F26" w:rsidRDefault="00E52F26" w:rsidP="0016122E">
      <w:pPr>
        <w:spacing w:line="360" w:lineRule="auto"/>
        <w:jc w:val="both"/>
        <w:rPr>
          <w:rFonts w:ascii="Arial" w:hAnsi="Arial" w:cs="Arial"/>
          <w:color w:val="000000" w:themeColor="text1"/>
        </w:rPr>
      </w:pPr>
    </w:p>
    <w:p w14:paraId="30F04430" w14:textId="0C74B311" w:rsidR="00E52F26" w:rsidRDefault="00E52F26" w:rsidP="0016122E">
      <w:pPr>
        <w:spacing w:line="360" w:lineRule="auto"/>
        <w:jc w:val="both"/>
        <w:rPr>
          <w:rFonts w:ascii="Arial" w:hAnsi="Arial" w:cs="Arial"/>
          <w:color w:val="000000" w:themeColor="text1"/>
        </w:rPr>
      </w:pPr>
    </w:p>
    <w:p w14:paraId="74064D8B" w14:textId="30D9BA71" w:rsidR="00E52F26" w:rsidRDefault="00E52F26" w:rsidP="0016122E">
      <w:pPr>
        <w:spacing w:line="360" w:lineRule="auto"/>
        <w:jc w:val="both"/>
        <w:rPr>
          <w:rFonts w:ascii="Arial" w:hAnsi="Arial" w:cs="Arial"/>
          <w:color w:val="000000" w:themeColor="text1"/>
        </w:rPr>
      </w:pPr>
    </w:p>
    <w:p w14:paraId="2BD25F16" w14:textId="4096A742" w:rsidR="00E52F26" w:rsidRDefault="00E52F26" w:rsidP="0016122E">
      <w:pPr>
        <w:spacing w:line="360" w:lineRule="auto"/>
        <w:jc w:val="both"/>
        <w:rPr>
          <w:rFonts w:ascii="Arial" w:hAnsi="Arial" w:cs="Arial"/>
          <w:color w:val="000000" w:themeColor="text1"/>
        </w:rPr>
      </w:pPr>
    </w:p>
    <w:p w14:paraId="6E9B67C4" w14:textId="5AE8AD68" w:rsidR="00E52F26" w:rsidRDefault="00E52F26" w:rsidP="0016122E">
      <w:pPr>
        <w:spacing w:line="360" w:lineRule="auto"/>
        <w:jc w:val="both"/>
        <w:rPr>
          <w:rFonts w:ascii="Arial" w:hAnsi="Arial" w:cs="Arial"/>
          <w:color w:val="000000" w:themeColor="text1"/>
        </w:rPr>
      </w:pPr>
    </w:p>
    <w:p w14:paraId="2B515B81" w14:textId="6B302CD7" w:rsidR="00E52F26" w:rsidRDefault="00E52F26" w:rsidP="0016122E">
      <w:pPr>
        <w:spacing w:line="360" w:lineRule="auto"/>
        <w:jc w:val="both"/>
        <w:rPr>
          <w:rFonts w:ascii="Arial" w:hAnsi="Arial" w:cs="Arial"/>
          <w:color w:val="000000" w:themeColor="text1"/>
        </w:rPr>
      </w:pPr>
    </w:p>
    <w:p w14:paraId="32353129" w14:textId="3DABD1E1" w:rsidR="00E52F26" w:rsidRDefault="00E52F26" w:rsidP="0016122E">
      <w:pPr>
        <w:spacing w:line="360" w:lineRule="auto"/>
        <w:jc w:val="both"/>
        <w:rPr>
          <w:rFonts w:ascii="Arial" w:hAnsi="Arial" w:cs="Arial"/>
          <w:color w:val="000000" w:themeColor="text1"/>
        </w:rPr>
      </w:pPr>
    </w:p>
    <w:p w14:paraId="039F725E" w14:textId="16F33A85" w:rsidR="00E52F26" w:rsidRDefault="00E52F26" w:rsidP="0016122E">
      <w:pPr>
        <w:spacing w:line="360" w:lineRule="auto"/>
        <w:jc w:val="both"/>
        <w:rPr>
          <w:rFonts w:ascii="Arial" w:hAnsi="Arial" w:cs="Arial"/>
          <w:color w:val="000000" w:themeColor="text1"/>
        </w:rPr>
      </w:pPr>
    </w:p>
    <w:p w14:paraId="0C18C6E7" w14:textId="2D934371" w:rsidR="00E52F26" w:rsidRDefault="00E52F26" w:rsidP="0016122E">
      <w:pPr>
        <w:spacing w:line="360" w:lineRule="auto"/>
        <w:jc w:val="both"/>
        <w:rPr>
          <w:rFonts w:ascii="Arial" w:hAnsi="Arial" w:cs="Arial"/>
          <w:color w:val="000000" w:themeColor="text1"/>
        </w:rPr>
      </w:pPr>
    </w:p>
    <w:p w14:paraId="058F1062" w14:textId="5C743A45" w:rsidR="00E52F26" w:rsidRDefault="00E52F26" w:rsidP="0016122E">
      <w:pPr>
        <w:spacing w:line="360" w:lineRule="auto"/>
        <w:jc w:val="both"/>
        <w:rPr>
          <w:rFonts w:ascii="Arial" w:hAnsi="Arial" w:cs="Arial"/>
          <w:color w:val="000000" w:themeColor="text1"/>
        </w:rPr>
      </w:pPr>
    </w:p>
    <w:p w14:paraId="71EC4B85" w14:textId="111A2115" w:rsidR="00E52F26" w:rsidRDefault="00E52F26" w:rsidP="0016122E">
      <w:pPr>
        <w:spacing w:line="360" w:lineRule="auto"/>
        <w:jc w:val="both"/>
        <w:rPr>
          <w:rFonts w:ascii="Arial" w:hAnsi="Arial" w:cs="Arial"/>
          <w:color w:val="000000" w:themeColor="text1"/>
        </w:rPr>
      </w:pPr>
    </w:p>
    <w:p w14:paraId="3273EE88" w14:textId="2492B152" w:rsidR="00E52F26" w:rsidRDefault="00E52F26" w:rsidP="0016122E">
      <w:pPr>
        <w:spacing w:line="360" w:lineRule="auto"/>
        <w:jc w:val="both"/>
        <w:rPr>
          <w:rFonts w:ascii="Arial" w:hAnsi="Arial" w:cs="Arial"/>
          <w:color w:val="000000" w:themeColor="text1"/>
        </w:rPr>
      </w:pPr>
    </w:p>
    <w:p w14:paraId="2AA96F6E" w14:textId="4124A43B" w:rsidR="00E52F26" w:rsidRDefault="00E52F26" w:rsidP="0016122E">
      <w:pPr>
        <w:spacing w:line="360" w:lineRule="auto"/>
        <w:jc w:val="both"/>
        <w:rPr>
          <w:rFonts w:ascii="Arial" w:hAnsi="Arial" w:cs="Arial"/>
          <w:color w:val="000000" w:themeColor="text1"/>
        </w:rPr>
      </w:pPr>
    </w:p>
    <w:p w14:paraId="35BD3A09" w14:textId="77777777" w:rsidR="00E52F26" w:rsidRDefault="00E52F26" w:rsidP="0016122E">
      <w:pPr>
        <w:spacing w:line="360" w:lineRule="auto"/>
        <w:jc w:val="both"/>
        <w:rPr>
          <w:rFonts w:ascii="Arial" w:hAnsi="Arial" w:cs="Arial"/>
          <w:color w:val="000000" w:themeColor="text1"/>
        </w:rPr>
      </w:pPr>
    </w:p>
    <w:p w14:paraId="0F661CA0" w14:textId="77777777" w:rsidR="00444F70" w:rsidRDefault="00444F70" w:rsidP="0016122E">
      <w:pPr>
        <w:spacing w:line="360" w:lineRule="auto"/>
        <w:jc w:val="both"/>
        <w:rPr>
          <w:rFonts w:ascii="Arial" w:hAnsi="Arial" w:cs="Arial"/>
          <w:color w:val="000000" w:themeColor="text1"/>
        </w:rPr>
      </w:pPr>
    </w:p>
    <w:p w14:paraId="2D7C3C39" w14:textId="3F49895F" w:rsidR="00444F70" w:rsidRPr="003A2A60" w:rsidRDefault="00444F70" w:rsidP="0016122E">
      <w:pPr>
        <w:spacing w:line="360" w:lineRule="auto"/>
        <w:jc w:val="both"/>
        <w:rPr>
          <w:rFonts w:ascii="Arial" w:hAnsi="Arial" w:cs="Arial"/>
          <w:color w:val="000000" w:themeColor="text1"/>
        </w:rPr>
      </w:pPr>
    </w:p>
    <w:p w14:paraId="121F2ADB" w14:textId="77777777" w:rsidR="00444F70" w:rsidRPr="00D075FD" w:rsidRDefault="00444F70" w:rsidP="0016122E">
      <w:pPr>
        <w:spacing w:line="360" w:lineRule="auto"/>
        <w:rPr>
          <w:rFonts w:ascii="Arial" w:hAnsi="Arial" w:cs="Arial"/>
          <w:b/>
          <w:bCs/>
          <w:color w:val="000000" w:themeColor="text1"/>
          <w:sz w:val="22"/>
          <w:szCs w:val="22"/>
        </w:rPr>
      </w:pPr>
      <w:r w:rsidRPr="00D075FD">
        <w:rPr>
          <w:rFonts w:ascii="Arial" w:hAnsi="Arial" w:cs="Arial"/>
          <w:b/>
          <w:bCs/>
          <w:color w:val="000000" w:themeColor="text1"/>
          <w:sz w:val="22"/>
          <w:szCs w:val="22"/>
        </w:rPr>
        <w:lastRenderedPageBreak/>
        <w:t>References</w:t>
      </w:r>
    </w:p>
    <w:p w14:paraId="50BBC65C" w14:textId="77777777" w:rsidR="00444F70" w:rsidRPr="00D075FD" w:rsidRDefault="00444F70" w:rsidP="0016122E">
      <w:pPr>
        <w:spacing w:line="360" w:lineRule="auto"/>
        <w:rPr>
          <w:rFonts w:ascii="Arial" w:hAnsi="Arial" w:cs="Arial"/>
          <w:b/>
          <w:bCs/>
          <w:color w:val="000000" w:themeColor="text1"/>
          <w:sz w:val="22"/>
          <w:szCs w:val="22"/>
        </w:rPr>
      </w:pPr>
    </w:p>
    <w:p w14:paraId="4EB5971B" w14:textId="6384381B" w:rsidR="00444F70" w:rsidRPr="00D075FD" w:rsidRDefault="00F9061B" w:rsidP="0016122E">
      <w:pPr>
        <w:spacing w:line="360" w:lineRule="auto"/>
        <w:rPr>
          <w:rFonts w:ascii="Arial" w:hAnsi="Arial" w:cs="Arial"/>
          <w:color w:val="000000" w:themeColor="text1"/>
          <w:sz w:val="22"/>
          <w:szCs w:val="22"/>
          <w:lang w:val="en-ZA"/>
        </w:rPr>
      </w:pPr>
      <w:r>
        <w:rPr>
          <w:rFonts w:ascii="Arial" w:hAnsi="Arial" w:cs="Arial"/>
          <w:color w:val="000000" w:themeColor="text1"/>
          <w:sz w:val="22"/>
          <w:szCs w:val="22"/>
        </w:rPr>
        <w:t>[1] Mokwena</w:t>
      </w:r>
      <w:r w:rsidR="00444F70" w:rsidRPr="00D075FD">
        <w:rPr>
          <w:rFonts w:ascii="Arial" w:hAnsi="Arial" w:cs="Arial"/>
          <w:color w:val="000000" w:themeColor="text1"/>
          <w:sz w:val="22"/>
          <w:szCs w:val="22"/>
        </w:rPr>
        <w:t xml:space="preserve"> K. </w:t>
      </w:r>
      <w:r w:rsidR="00444F70" w:rsidRPr="00D075FD">
        <w:rPr>
          <w:rFonts w:ascii="Arial" w:hAnsi="Arial" w:cs="Arial"/>
          <w:color w:val="000000" w:themeColor="text1"/>
          <w:sz w:val="22"/>
          <w:szCs w:val="22"/>
          <w:lang w:val="en"/>
        </w:rPr>
        <w:t xml:space="preserve"> </w:t>
      </w:r>
      <w:r w:rsidR="00444F70" w:rsidRPr="00D075FD">
        <w:rPr>
          <w:rFonts w:ascii="Arial" w:hAnsi="Arial" w:cs="Arial"/>
          <w:color w:val="000000" w:themeColor="text1"/>
          <w:sz w:val="22"/>
          <w:szCs w:val="22"/>
          <w:lang w:val="en-ZA"/>
        </w:rPr>
        <w:t xml:space="preserve">  </w:t>
      </w:r>
      <w:bookmarkStart w:id="4" w:name="OLE_LINK23"/>
      <w:bookmarkStart w:id="5" w:name="OLE_LINK24"/>
      <w:r w:rsidR="00444F70" w:rsidRPr="00D075FD">
        <w:rPr>
          <w:rFonts w:ascii="Arial" w:hAnsi="Arial" w:cs="Arial"/>
          <w:color w:val="000000" w:themeColor="text1"/>
          <w:sz w:val="22"/>
          <w:szCs w:val="22"/>
          <w:lang w:val="en-ZA"/>
        </w:rPr>
        <w:t xml:space="preserve">“Consider our plight”: a cry for help from </w:t>
      </w:r>
      <w:proofErr w:type="spellStart"/>
      <w:r w:rsidR="00444F70" w:rsidRPr="00D075FD">
        <w:rPr>
          <w:rFonts w:ascii="Arial" w:hAnsi="Arial" w:cs="Arial"/>
          <w:color w:val="000000" w:themeColor="text1"/>
          <w:sz w:val="22"/>
          <w:szCs w:val="22"/>
          <w:lang w:val="en-ZA"/>
        </w:rPr>
        <w:t>nyaope</w:t>
      </w:r>
      <w:proofErr w:type="spellEnd"/>
      <w:r w:rsidR="00444F70" w:rsidRPr="00D075FD">
        <w:rPr>
          <w:rFonts w:ascii="Arial" w:hAnsi="Arial" w:cs="Arial"/>
          <w:color w:val="000000" w:themeColor="text1"/>
          <w:sz w:val="22"/>
          <w:szCs w:val="22"/>
          <w:lang w:val="en-ZA"/>
        </w:rPr>
        <w:t xml:space="preserve"> users, Health SA </w:t>
      </w:r>
      <w:proofErr w:type="spellStart"/>
      <w:r w:rsidR="00444F70" w:rsidRPr="00D075FD">
        <w:rPr>
          <w:rFonts w:ascii="Arial" w:hAnsi="Arial" w:cs="Arial"/>
          <w:color w:val="000000" w:themeColor="text1"/>
          <w:sz w:val="22"/>
          <w:szCs w:val="22"/>
          <w:lang w:val="en-ZA"/>
        </w:rPr>
        <w:t>Gesondheid</w:t>
      </w:r>
      <w:proofErr w:type="spellEnd"/>
      <w:r>
        <w:rPr>
          <w:rFonts w:ascii="Arial" w:hAnsi="Arial" w:cs="Arial"/>
          <w:color w:val="000000" w:themeColor="text1"/>
          <w:sz w:val="22"/>
          <w:szCs w:val="22"/>
          <w:lang w:val="en-ZA"/>
        </w:rPr>
        <w:t>.</w:t>
      </w:r>
      <w:r w:rsidR="00444F70" w:rsidRPr="00D075FD">
        <w:rPr>
          <w:rFonts w:ascii="Arial" w:hAnsi="Arial" w:cs="Arial"/>
          <w:color w:val="000000" w:themeColor="text1"/>
          <w:sz w:val="22"/>
          <w:szCs w:val="22"/>
          <w:lang w:val="en-ZA"/>
        </w:rPr>
        <w:t xml:space="preserve"> </w:t>
      </w:r>
      <w:bookmarkEnd w:id="4"/>
      <w:bookmarkEnd w:id="5"/>
      <w:r w:rsidRPr="00D075FD">
        <w:rPr>
          <w:rFonts w:ascii="Arial" w:hAnsi="Arial" w:cs="Arial"/>
          <w:color w:val="000000" w:themeColor="text1"/>
          <w:sz w:val="22"/>
          <w:szCs w:val="22"/>
          <w:lang w:val="en-ZA"/>
        </w:rPr>
        <w:t>2016</w:t>
      </w:r>
      <w:r w:rsidR="00ED11AF">
        <w:rPr>
          <w:rFonts w:ascii="Arial" w:hAnsi="Arial" w:cs="Arial"/>
          <w:color w:val="000000" w:themeColor="text1"/>
          <w:sz w:val="22"/>
          <w:szCs w:val="22"/>
          <w:lang w:val="en-ZA"/>
        </w:rPr>
        <w:t xml:space="preserve"> Dec 2016</w:t>
      </w:r>
      <w:r>
        <w:rPr>
          <w:rFonts w:ascii="Arial" w:hAnsi="Arial" w:cs="Arial"/>
          <w:color w:val="000000" w:themeColor="text1"/>
          <w:sz w:val="22"/>
          <w:szCs w:val="22"/>
          <w:lang w:val="en-ZA"/>
        </w:rPr>
        <w:t>, 21:</w:t>
      </w:r>
      <w:r w:rsidR="00ED11AF">
        <w:rPr>
          <w:rFonts w:ascii="Arial" w:hAnsi="Arial" w:cs="Arial"/>
          <w:color w:val="000000" w:themeColor="text1"/>
          <w:sz w:val="22"/>
          <w:szCs w:val="22"/>
          <w:lang w:val="en-ZA"/>
        </w:rPr>
        <w:t>137-142. URL</w:t>
      </w:r>
      <w:r w:rsidR="00444F70" w:rsidRPr="00D075FD">
        <w:rPr>
          <w:rFonts w:ascii="Arial" w:hAnsi="Arial" w:cs="Arial"/>
          <w:color w:val="000000" w:themeColor="text1"/>
          <w:sz w:val="22"/>
          <w:szCs w:val="22"/>
          <w:lang w:val="en-ZA"/>
        </w:rPr>
        <w:t xml:space="preserve">: </w:t>
      </w:r>
      <w:hyperlink r:id="rId13" w:history="1">
        <w:r w:rsidR="00ED11AF" w:rsidRPr="009040A0">
          <w:rPr>
            <w:rStyle w:val="Hyperlink"/>
            <w:rFonts w:ascii="Arial" w:hAnsi="Arial" w:cs="Arial"/>
            <w:sz w:val="22"/>
            <w:szCs w:val="22"/>
            <w:lang w:val="en-ZA"/>
          </w:rPr>
          <w:t>https://doi.org/10.1016/j.hsag.2015.09.001</w:t>
        </w:r>
      </w:hyperlink>
      <w:r w:rsidR="00444F70" w:rsidRPr="00D075FD">
        <w:rPr>
          <w:rFonts w:ascii="Arial" w:hAnsi="Arial" w:cs="Arial"/>
          <w:color w:val="000000" w:themeColor="text1"/>
          <w:sz w:val="22"/>
          <w:szCs w:val="22"/>
          <w:lang w:val="en-ZA"/>
        </w:rPr>
        <w:t>.</w:t>
      </w:r>
    </w:p>
    <w:p w14:paraId="2772BEED" w14:textId="3F2DA338" w:rsidR="00444F70" w:rsidRPr="00D075FD" w:rsidRDefault="00444F70" w:rsidP="0016122E">
      <w:pPr>
        <w:spacing w:line="360" w:lineRule="auto"/>
        <w:rPr>
          <w:rFonts w:ascii="Arial" w:hAnsi="Arial" w:cs="Arial"/>
          <w:color w:val="000000" w:themeColor="text1"/>
          <w:sz w:val="22"/>
          <w:szCs w:val="22"/>
          <w:lang w:val="en-ZA"/>
        </w:rPr>
      </w:pPr>
      <w:r w:rsidRPr="00D075FD">
        <w:rPr>
          <w:rFonts w:ascii="Arial" w:hAnsi="Arial" w:cs="Arial"/>
          <w:color w:val="000000" w:themeColor="text1"/>
          <w:sz w:val="22"/>
          <w:szCs w:val="22"/>
        </w:rPr>
        <w:t xml:space="preserve">[2] </w:t>
      </w:r>
      <w:proofErr w:type="spellStart"/>
      <w:r w:rsidR="00F9061B" w:rsidRPr="00D075FD">
        <w:rPr>
          <w:rFonts w:ascii="Arial" w:hAnsi="Arial" w:cs="Arial"/>
          <w:color w:val="000000" w:themeColor="text1"/>
          <w:sz w:val="22"/>
          <w:szCs w:val="22"/>
          <w:lang w:val="en-ZA"/>
        </w:rPr>
        <w:t>Grelotti</w:t>
      </w:r>
      <w:proofErr w:type="spellEnd"/>
      <w:r w:rsidR="00F9061B">
        <w:rPr>
          <w:rFonts w:ascii="Arial" w:hAnsi="Arial" w:cs="Arial"/>
          <w:color w:val="000000" w:themeColor="text1"/>
          <w:sz w:val="22"/>
          <w:szCs w:val="22"/>
          <w:lang w:val="en-ZA"/>
        </w:rPr>
        <w:t xml:space="preserve"> DJ, </w:t>
      </w:r>
      <w:proofErr w:type="spellStart"/>
      <w:r w:rsidR="00F9061B">
        <w:rPr>
          <w:rFonts w:ascii="Arial" w:hAnsi="Arial" w:cs="Arial"/>
          <w:color w:val="000000" w:themeColor="text1"/>
          <w:sz w:val="22"/>
          <w:szCs w:val="22"/>
          <w:lang w:val="en-ZA"/>
        </w:rPr>
        <w:t>Closson</w:t>
      </w:r>
      <w:proofErr w:type="spellEnd"/>
      <w:r w:rsidR="00F9061B">
        <w:rPr>
          <w:rFonts w:ascii="Arial" w:hAnsi="Arial" w:cs="Arial"/>
          <w:color w:val="000000" w:themeColor="text1"/>
          <w:sz w:val="22"/>
          <w:szCs w:val="22"/>
          <w:lang w:val="en-ZA"/>
        </w:rPr>
        <w:t xml:space="preserve"> EF, Smit JA, </w:t>
      </w:r>
      <w:proofErr w:type="spellStart"/>
      <w:r w:rsidR="00F9061B">
        <w:rPr>
          <w:rFonts w:ascii="Arial" w:hAnsi="Arial" w:cs="Arial"/>
          <w:color w:val="000000" w:themeColor="text1"/>
          <w:sz w:val="22"/>
          <w:szCs w:val="22"/>
          <w:lang w:val="en-ZA"/>
        </w:rPr>
        <w:t>Mabude</w:t>
      </w:r>
      <w:proofErr w:type="spellEnd"/>
      <w:r w:rsidR="00F9061B">
        <w:rPr>
          <w:rFonts w:ascii="Arial" w:hAnsi="Arial" w:cs="Arial"/>
          <w:color w:val="000000" w:themeColor="text1"/>
          <w:sz w:val="22"/>
          <w:szCs w:val="22"/>
          <w:lang w:val="en-ZA"/>
        </w:rPr>
        <w:t xml:space="preserve"> Z, Matthews LT, </w:t>
      </w:r>
      <w:proofErr w:type="spellStart"/>
      <w:r w:rsidR="00F9061B">
        <w:rPr>
          <w:rFonts w:ascii="Arial" w:hAnsi="Arial" w:cs="Arial"/>
          <w:color w:val="000000" w:themeColor="text1"/>
          <w:sz w:val="22"/>
          <w:szCs w:val="22"/>
          <w:lang w:val="en-ZA"/>
        </w:rPr>
        <w:t>Safren</w:t>
      </w:r>
      <w:proofErr w:type="spellEnd"/>
      <w:r w:rsidRPr="00D075FD">
        <w:rPr>
          <w:rFonts w:ascii="Arial" w:hAnsi="Arial" w:cs="Arial"/>
          <w:color w:val="000000" w:themeColor="text1"/>
          <w:sz w:val="22"/>
          <w:szCs w:val="22"/>
          <w:lang w:val="en-ZA"/>
        </w:rPr>
        <w:t xml:space="preserve"> S</w:t>
      </w:r>
      <w:r w:rsidR="00F9061B">
        <w:rPr>
          <w:rFonts w:ascii="Arial" w:hAnsi="Arial" w:cs="Arial"/>
          <w:color w:val="000000" w:themeColor="text1"/>
          <w:sz w:val="22"/>
          <w:szCs w:val="22"/>
          <w:lang w:val="en-ZA"/>
        </w:rPr>
        <w:t xml:space="preserve">A, </w:t>
      </w:r>
      <w:proofErr w:type="spellStart"/>
      <w:r w:rsidR="00F9061B">
        <w:rPr>
          <w:rFonts w:ascii="Arial" w:hAnsi="Arial" w:cs="Arial"/>
          <w:color w:val="000000" w:themeColor="text1"/>
          <w:sz w:val="22"/>
          <w:szCs w:val="22"/>
          <w:lang w:val="en-ZA"/>
        </w:rPr>
        <w:t>Bangsberg</w:t>
      </w:r>
      <w:proofErr w:type="spellEnd"/>
      <w:r w:rsidR="00F9061B">
        <w:rPr>
          <w:rFonts w:ascii="Arial" w:hAnsi="Arial" w:cs="Arial"/>
          <w:color w:val="000000" w:themeColor="text1"/>
          <w:sz w:val="22"/>
          <w:szCs w:val="22"/>
          <w:lang w:val="en-ZA"/>
        </w:rPr>
        <w:t xml:space="preserve"> DR, </w:t>
      </w:r>
      <w:proofErr w:type="spellStart"/>
      <w:r w:rsidR="00F9061B">
        <w:rPr>
          <w:rFonts w:ascii="Arial" w:hAnsi="Arial" w:cs="Arial"/>
          <w:color w:val="000000" w:themeColor="text1"/>
          <w:sz w:val="22"/>
          <w:szCs w:val="22"/>
          <w:lang w:val="en-ZA"/>
        </w:rPr>
        <w:t>Mimiaga</w:t>
      </w:r>
      <w:proofErr w:type="spellEnd"/>
      <w:r w:rsidR="00F9061B">
        <w:rPr>
          <w:rFonts w:ascii="Arial" w:hAnsi="Arial" w:cs="Arial"/>
          <w:color w:val="000000" w:themeColor="text1"/>
          <w:sz w:val="22"/>
          <w:szCs w:val="22"/>
          <w:lang w:val="en-ZA"/>
        </w:rPr>
        <w:t xml:space="preserve"> MJ.</w:t>
      </w:r>
      <w:r w:rsidRPr="00D075FD">
        <w:rPr>
          <w:rFonts w:ascii="Arial" w:hAnsi="Arial" w:cs="Arial"/>
          <w:color w:val="000000" w:themeColor="text1"/>
          <w:sz w:val="22"/>
          <w:szCs w:val="22"/>
          <w:lang w:val="en-ZA"/>
        </w:rPr>
        <w:t xml:space="preserve"> </w:t>
      </w:r>
      <w:proofErr w:type="spellStart"/>
      <w:r w:rsidRPr="00D075FD">
        <w:rPr>
          <w:rFonts w:ascii="Arial" w:hAnsi="Arial" w:cs="Arial"/>
          <w:color w:val="000000" w:themeColor="text1"/>
          <w:sz w:val="22"/>
          <w:szCs w:val="22"/>
          <w:lang w:val="en-ZA"/>
        </w:rPr>
        <w:t>Whoonga</w:t>
      </w:r>
      <w:proofErr w:type="spellEnd"/>
      <w:r w:rsidRPr="00D075FD">
        <w:rPr>
          <w:rFonts w:ascii="Arial" w:hAnsi="Arial" w:cs="Arial"/>
          <w:color w:val="000000" w:themeColor="text1"/>
          <w:sz w:val="22"/>
          <w:szCs w:val="22"/>
          <w:lang w:val="en-ZA"/>
        </w:rPr>
        <w:t xml:space="preserve">: </w:t>
      </w:r>
      <w:bookmarkStart w:id="6" w:name="OLE_LINK25"/>
      <w:bookmarkStart w:id="7" w:name="OLE_LINK26"/>
      <w:r w:rsidRPr="00D075FD">
        <w:rPr>
          <w:rFonts w:ascii="Arial" w:hAnsi="Arial" w:cs="Arial"/>
          <w:color w:val="000000" w:themeColor="text1"/>
          <w:sz w:val="22"/>
          <w:szCs w:val="22"/>
          <w:lang w:val="en-ZA"/>
        </w:rPr>
        <w:t>Potential Recreational Use of HIV Antiretroviral Medication in South Africa.</w:t>
      </w:r>
      <w:bookmarkEnd w:id="6"/>
      <w:bookmarkEnd w:id="7"/>
      <w:r w:rsidR="002462CA">
        <w:rPr>
          <w:rFonts w:ascii="Arial" w:hAnsi="Arial" w:cs="Arial"/>
          <w:color w:val="000000" w:themeColor="text1"/>
          <w:sz w:val="22"/>
          <w:szCs w:val="22"/>
          <w:lang w:val="en-ZA"/>
        </w:rPr>
        <w:t xml:space="preserve"> AIDS and </w:t>
      </w:r>
      <w:proofErr w:type="spellStart"/>
      <w:r w:rsidR="002462CA">
        <w:rPr>
          <w:rFonts w:ascii="Arial" w:hAnsi="Arial" w:cs="Arial"/>
          <w:color w:val="000000" w:themeColor="text1"/>
          <w:sz w:val="22"/>
          <w:szCs w:val="22"/>
          <w:lang w:val="en-ZA"/>
        </w:rPr>
        <w:t>Behav</w:t>
      </w:r>
      <w:proofErr w:type="spellEnd"/>
      <w:r w:rsidR="00F9061B">
        <w:rPr>
          <w:rFonts w:ascii="Arial" w:hAnsi="Arial" w:cs="Arial"/>
          <w:color w:val="000000" w:themeColor="text1"/>
          <w:sz w:val="22"/>
          <w:szCs w:val="22"/>
          <w:lang w:val="en-ZA"/>
        </w:rPr>
        <w:t>. 2014</w:t>
      </w:r>
      <w:r w:rsidR="002462CA">
        <w:rPr>
          <w:rFonts w:ascii="Arial" w:hAnsi="Arial" w:cs="Arial"/>
          <w:color w:val="000000" w:themeColor="text1"/>
          <w:sz w:val="22"/>
          <w:szCs w:val="22"/>
          <w:lang w:val="en-ZA"/>
        </w:rPr>
        <w:t xml:space="preserve"> Mar</w:t>
      </w:r>
      <w:r w:rsidR="00F9061B">
        <w:rPr>
          <w:rFonts w:ascii="Arial" w:hAnsi="Arial" w:cs="Arial"/>
          <w:color w:val="000000" w:themeColor="text1"/>
          <w:sz w:val="22"/>
          <w:szCs w:val="22"/>
          <w:lang w:val="en-ZA"/>
        </w:rPr>
        <w:t xml:space="preserve">, 18: </w:t>
      </w:r>
      <w:r w:rsidRPr="00D075FD">
        <w:rPr>
          <w:rFonts w:ascii="Arial" w:hAnsi="Arial" w:cs="Arial"/>
          <w:color w:val="000000" w:themeColor="text1"/>
          <w:sz w:val="22"/>
          <w:szCs w:val="22"/>
          <w:lang w:val="en-ZA"/>
        </w:rPr>
        <w:t>511–518.</w:t>
      </w:r>
      <w:r w:rsidR="009355C7">
        <w:rPr>
          <w:rFonts w:ascii="Arial" w:hAnsi="Arial" w:cs="Arial"/>
          <w:color w:val="000000" w:themeColor="text1"/>
          <w:sz w:val="22"/>
          <w:szCs w:val="22"/>
          <w:lang w:val="en-ZA"/>
        </w:rPr>
        <w:t xml:space="preserve"> URL</w:t>
      </w:r>
    </w:p>
    <w:p w14:paraId="781354F3" w14:textId="604044DC" w:rsidR="00444F70" w:rsidRPr="00D075FD" w:rsidRDefault="00444F70" w:rsidP="0016122E">
      <w:pPr>
        <w:spacing w:line="360" w:lineRule="auto"/>
        <w:rPr>
          <w:rFonts w:ascii="Arial" w:hAnsi="Arial" w:cs="Arial"/>
          <w:color w:val="000000" w:themeColor="text1"/>
          <w:sz w:val="22"/>
          <w:szCs w:val="22"/>
        </w:rPr>
      </w:pPr>
      <w:r w:rsidRPr="00D075FD">
        <w:rPr>
          <w:rFonts w:ascii="Arial" w:hAnsi="Arial" w:cs="Arial"/>
          <w:color w:val="000000" w:themeColor="text1"/>
          <w:sz w:val="22"/>
          <w:szCs w:val="22"/>
        </w:rPr>
        <w:t xml:space="preserve">. </w:t>
      </w:r>
      <w:hyperlink r:id="rId14" w:history="1">
        <w:r w:rsidRPr="002462CA">
          <w:rPr>
            <w:rStyle w:val="Hyperlink"/>
            <w:rFonts w:ascii="Arial" w:hAnsi="Arial" w:cs="Arial"/>
            <w:color w:val="0070C0"/>
            <w:sz w:val="22"/>
            <w:szCs w:val="22"/>
          </w:rPr>
          <w:t>https://doi.org/10.1007/s10461-013-0575-0</w:t>
        </w:r>
      </w:hyperlink>
      <w:r w:rsidR="002462CA">
        <w:rPr>
          <w:rStyle w:val="Hyperlink"/>
          <w:rFonts w:ascii="Arial" w:hAnsi="Arial" w:cs="Arial"/>
          <w:color w:val="0070C0"/>
          <w:sz w:val="22"/>
          <w:szCs w:val="22"/>
        </w:rPr>
        <w:t>.</w:t>
      </w:r>
    </w:p>
    <w:p w14:paraId="18AED9BA" w14:textId="6E123D51" w:rsidR="00444F70" w:rsidRPr="00D075FD" w:rsidRDefault="00444F70" w:rsidP="0016122E">
      <w:pPr>
        <w:spacing w:line="360" w:lineRule="auto"/>
        <w:rPr>
          <w:rFonts w:ascii="Arial" w:hAnsi="Arial" w:cs="Arial"/>
          <w:color w:val="000000" w:themeColor="text1"/>
          <w:sz w:val="22"/>
          <w:szCs w:val="22"/>
        </w:rPr>
      </w:pPr>
      <w:r w:rsidRPr="00D075FD">
        <w:rPr>
          <w:rFonts w:ascii="Arial" w:hAnsi="Arial" w:cs="Arial"/>
          <w:color w:val="000000" w:themeColor="text1"/>
          <w:sz w:val="22"/>
          <w:szCs w:val="22"/>
        </w:rPr>
        <w:t xml:space="preserve">[3] </w:t>
      </w:r>
      <w:r w:rsidR="00F9061B" w:rsidRPr="00D075FD">
        <w:rPr>
          <w:rFonts w:ascii="Arial" w:hAnsi="Arial" w:cs="Arial"/>
          <w:color w:val="000000" w:themeColor="text1"/>
          <w:sz w:val="22"/>
          <w:szCs w:val="22"/>
        </w:rPr>
        <w:t xml:space="preserve">Mokwena </w:t>
      </w:r>
      <w:r w:rsidR="00F9061B">
        <w:rPr>
          <w:rFonts w:ascii="Arial" w:hAnsi="Arial" w:cs="Arial"/>
          <w:color w:val="000000" w:themeColor="text1"/>
          <w:sz w:val="22"/>
          <w:szCs w:val="22"/>
        </w:rPr>
        <w:t>K</w:t>
      </w:r>
      <w:r w:rsidRPr="00D075FD">
        <w:rPr>
          <w:rFonts w:ascii="Arial" w:hAnsi="Arial" w:cs="Arial"/>
          <w:color w:val="000000" w:themeColor="text1"/>
          <w:sz w:val="22"/>
          <w:szCs w:val="22"/>
        </w:rPr>
        <w:t xml:space="preserve">E. </w:t>
      </w:r>
      <w:bookmarkStart w:id="8" w:name="OLE_LINK3"/>
      <w:bookmarkStart w:id="9" w:name="OLE_LINK4"/>
      <w:bookmarkStart w:id="10" w:name="OLE_LINK27"/>
      <w:bookmarkStart w:id="11" w:name="OLE_LINK28"/>
      <w:r w:rsidRPr="00D075FD">
        <w:rPr>
          <w:rFonts w:ascii="Arial" w:hAnsi="Arial" w:cs="Arial"/>
          <w:color w:val="000000" w:themeColor="text1"/>
          <w:sz w:val="22"/>
          <w:szCs w:val="22"/>
        </w:rPr>
        <w:t>The Novel Psychoactive Substance ‘</w:t>
      </w:r>
      <w:proofErr w:type="spellStart"/>
      <w:r w:rsidRPr="00D075FD">
        <w:rPr>
          <w:rFonts w:ascii="Arial" w:hAnsi="Arial" w:cs="Arial"/>
          <w:color w:val="000000" w:themeColor="text1"/>
          <w:sz w:val="22"/>
          <w:szCs w:val="22"/>
        </w:rPr>
        <w:t>Nyaope</w:t>
      </w:r>
      <w:proofErr w:type="spellEnd"/>
      <w:r w:rsidRPr="00D075FD">
        <w:rPr>
          <w:rFonts w:ascii="Arial" w:hAnsi="Arial" w:cs="Arial"/>
          <w:color w:val="000000" w:themeColor="text1"/>
          <w:sz w:val="22"/>
          <w:szCs w:val="22"/>
        </w:rPr>
        <w:t>’ Brings Unique</w:t>
      </w:r>
    </w:p>
    <w:p w14:paraId="06E37A55" w14:textId="7AAE78D3" w:rsidR="00444F70" w:rsidRPr="00D075FD" w:rsidRDefault="00444F70" w:rsidP="0016122E">
      <w:pPr>
        <w:spacing w:line="360" w:lineRule="auto"/>
        <w:rPr>
          <w:rFonts w:ascii="Arial" w:hAnsi="Arial" w:cs="Arial"/>
          <w:color w:val="000000" w:themeColor="text1"/>
          <w:sz w:val="22"/>
          <w:szCs w:val="22"/>
        </w:rPr>
      </w:pPr>
      <w:r w:rsidRPr="00D075FD">
        <w:rPr>
          <w:rFonts w:ascii="Arial" w:hAnsi="Arial" w:cs="Arial"/>
          <w:color w:val="000000" w:themeColor="text1"/>
          <w:sz w:val="22"/>
          <w:szCs w:val="22"/>
        </w:rPr>
        <w:t>Challenges to Mental Health Services in South Africa</w:t>
      </w:r>
      <w:bookmarkStart w:id="12" w:name="OLE_LINK1"/>
      <w:bookmarkStart w:id="13" w:name="OLE_LINK2"/>
      <w:bookmarkEnd w:id="8"/>
      <w:bookmarkEnd w:id="9"/>
      <w:r w:rsidR="009355C7">
        <w:rPr>
          <w:rFonts w:ascii="Arial" w:hAnsi="Arial" w:cs="Arial"/>
          <w:color w:val="000000" w:themeColor="text1"/>
          <w:sz w:val="22"/>
          <w:szCs w:val="22"/>
        </w:rPr>
        <w:t>.</w:t>
      </w:r>
      <w:bookmarkEnd w:id="10"/>
      <w:bookmarkEnd w:id="11"/>
      <w:r w:rsidR="009355C7">
        <w:rPr>
          <w:rFonts w:ascii="Arial" w:hAnsi="Arial" w:cs="Arial"/>
          <w:color w:val="000000" w:themeColor="text1"/>
          <w:sz w:val="22"/>
          <w:szCs w:val="22"/>
        </w:rPr>
        <w:t xml:space="preserve"> </w:t>
      </w:r>
      <w:r w:rsidRPr="00D075FD">
        <w:rPr>
          <w:rFonts w:ascii="Arial" w:hAnsi="Arial" w:cs="Arial"/>
          <w:color w:val="000000" w:themeColor="text1"/>
          <w:sz w:val="22"/>
          <w:szCs w:val="22"/>
        </w:rPr>
        <w:t>International Journal of Emergency Mental Health and Human Resilience</w:t>
      </w:r>
      <w:bookmarkEnd w:id="12"/>
      <w:bookmarkEnd w:id="13"/>
      <w:r w:rsidR="0039081F">
        <w:rPr>
          <w:rFonts w:ascii="Arial" w:hAnsi="Arial" w:cs="Arial"/>
          <w:color w:val="000000" w:themeColor="text1"/>
          <w:sz w:val="22"/>
          <w:szCs w:val="22"/>
        </w:rPr>
        <w:t>.</w:t>
      </w:r>
      <w:r w:rsidRPr="00D075FD">
        <w:rPr>
          <w:rFonts w:ascii="Arial" w:hAnsi="Arial" w:cs="Arial"/>
          <w:color w:val="000000" w:themeColor="text1"/>
          <w:sz w:val="22"/>
          <w:szCs w:val="22"/>
        </w:rPr>
        <w:t xml:space="preserve">  </w:t>
      </w:r>
      <w:r w:rsidR="0039081F" w:rsidRPr="00D075FD">
        <w:rPr>
          <w:rFonts w:ascii="Arial" w:hAnsi="Arial" w:cs="Arial"/>
          <w:color w:val="000000" w:themeColor="text1"/>
          <w:sz w:val="22"/>
          <w:szCs w:val="22"/>
        </w:rPr>
        <w:t>2015</w:t>
      </w:r>
      <w:r w:rsidR="0039081F">
        <w:rPr>
          <w:rFonts w:ascii="Arial" w:hAnsi="Arial" w:cs="Arial"/>
          <w:color w:val="000000" w:themeColor="text1"/>
          <w:sz w:val="22"/>
          <w:szCs w:val="22"/>
        </w:rPr>
        <w:t>, 17(1):</w:t>
      </w:r>
      <w:r w:rsidR="00487E57">
        <w:rPr>
          <w:rFonts w:ascii="Arial" w:hAnsi="Arial" w:cs="Arial"/>
          <w:color w:val="000000" w:themeColor="text1"/>
          <w:sz w:val="22"/>
          <w:szCs w:val="22"/>
        </w:rPr>
        <w:t xml:space="preserve"> 251-252. </w:t>
      </w:r>
      <w:r w:rsidR="009355C7">
        <w:rPr>
          <w:rFonts w:ascii="Arial" w:hAnsi="Arial" w:cs="Arial"/>
          <w:color w:val="000000" w:themeColor="text1"/>
          <w:sz w:val="22"/>
          <w:szCs w:val="22"/>
        </w:rPr>
        <w:t xml:space="preserve">URL: </w:t>
      </w:r>
      <w:hyperlink r:id="rId15" w:history="1">
        <w:r w:rsidR="009355C7" w:rsidRPr="009040A0">
          <w:rPr>
            <w:rStyle w:val="Hyperlink"/>
            <w:rFonts w:ascii="Arial" w:hAnsi="Arial" w:cs="Arial"/>
            <w:sz w:val="22"/>
            <w:szCs w:val="22"/>
          </w:rPr>
          <w:t>https://doi.org/10.4172/1522-4821.1000152</w:t>
        </w:r>
      </w:hyperlink>
      <w:r w:rsidR="009355C7">
        <w:rPr>
          <w:rFonts w:ascii="Arial" w:hAnsi="Arial" w:cs="Arial"/>
          <w:color w:val="000000" w:themeColor="text1"/>
          <w:sz w:val="22"/>
          <w:szCs w:val="22"/>
        </w:rPr>
        <w:t xml:space="preserve"> </w:t>
      </w:r>
    </w:p>
    <w:p w14:paraId="5FD8C679" w14:textId="2EEBB921" w:rsidR="00444F70" w:rsidRPr="00D075FD" w:rsidRDefault="00444F70" w:rsidP="0016122E">
      <w:pPr>
        <w:spacing w:line="360" w:lineRule="auto"/>
        <w:rPr>
          <w:rFonts w:ascii="Arial" w:hAnsi="Arial" w:cs="Arial"/>
          <w:color w:val="000000" w:themeColor="text1"/>
          <w:sz w:val="22"/>
          <w:szCs w:val="22"/>
        </w:rPr>
      </w:pPr>
      <w:r w:rsidRPr="00D075FD">
        <w:rPr>
          <w:rFonts w:ascii="Arial" w:hAnsi="Arial" w:cs="Arial"/>
          <w:color w:val="000000" w:themeColor="text1"/>
          <w:sz w:val="22"/>
          <w:szCs w:val="22"/>
        </w:rPr>
        <w:t xml:space="preserve">[4] </w:t>
      </w:r>
      <w:proofErr w:type="spellStart"/>
      <w:r w:rsidR="00F9061B" w:rsidRPr="00D075FD">
        <w:rPr>
          <w:rFonts w:ascii="Arial" w:hAnsi="Arial" w:cs="Arial"/>
          <w:color w:val="000000" w:themeColor="text1"/>
          <w:sz w:val="22"/>
          <w:szCs w:val="22"/>
        </w:rPr>
        <w:t>Monyakane</w:t>
      </w:r>
      <w:proofErr w:type="spellEnd"/>
      <w:r w:rsidR="00F9061B" w:rsidRPr="00D075FD">
        <w:rPr>
          <w:rFonts w:ascii="Arial" w:hAnsi="Arial" w:cs="Arial"/>
          <w:color w:val="000000" w:themeColor="text1"/>
          <w:sz w:val="22"/>
          <w:szCs w:val="22"/>
        </w:rPr>
        <w:t xml:space="preserve"> </w:t>
      </w:r>
      <w:r w:rsidR="00F9061B">
        <w:rPr>
          <w:rFonts w:ascii="Arial" w:hAnsi="Arial" w:cs="Arial"/>
          <w:color w:val="000000" w:themeColor="text1"/>
          <w:sz w:val="22"/>
          <w:szCs w:val="22"/>
        </w:rPr>
        <w:t>M M-E M.</w:t>
      </w:r>
      <w:r w:rsidRPr="00D075FD">
        <w:rPr>
          <w:rFonts w:ascii="Arial" w:hAnsi="Arial" w:cs="Arial"/>
          <w:color w:val="000000" w:themeColor="text1"/>
          <w:sz w:val="22"/>
          <w:szCs w:val="22"/>
        </w:rPr>
        <w:t xml:space="preserve"> </w:t>
      </w:r>
      <w:bookmarkStart w:id="14" w:name="OLE_LINK5"/>
      <w:bookmarkStart w:id="15" w:name="OLE_LINK6"/>
      <w:r w:rsidRPr="00D075FD">
        <w:rPr>
          <w:rFonts w:ascii="Arial" w:hAnsi="Arial" w:cs="Arial"/>
          <w:color w:val="000000" w:themeColor="text1"/>
          <w:sz w:val="22"/>
          <w:szCs w:val="22"/>
        </w:rPr>
        <w:t xml:space="preserve">A Rehabilitative South African Criminal Law Response to </w:t>
      </w:r>
      <w:proofErr w:type="spellStart"/>
      <w:r w:rsidRPr="00D075FD">
        <w:rPr>
          <w:rFonts w:ascii="Arial" w:hAnsi="Arial" w:cs="Arial"/>
          <w:color w:val="000000" w:themeColor="text1"/>
          <w:sz w:val="22"/>
          <w:szCs w:val="22"/>
        </w:rPr>
        <w:t>Nyaope</w:t>
      </w:r>
      <w:proofErr w:type="spellEnd"/>
      <w:r w:rsidRPr="00D075FD">
        <w:rPr>
          <w:rFonts w:ascii="Arial" w:hAnsi="Arial" w:cs="Arial"/>
          <w:color w:val="000000" w:themeColor="text1"/>
          <w:sz w:val="22"/>
          <w:szCs w:val="22"/>
        </w:rPr>
        <w:t xml:space="preserve">, Drug Addiction: - A Recommendation for Health Oriented </w:t>
      </w:r>
      <w:proofErr w:type="spellStart"/>
      <w:r w:rsidRPr="00D075FD">
        <w:rPr>
          <w:rFonts w:ascii="Arial" w:hAnsi="Arial" w:cs="Arial"/>
          <w:color w:val="000000" w:themeColor="text1"/>
          <w:sz w:val="22"/>
          <w:szCs w:val="22"/>
        </w:rPr>
        <w:t>Nyaope</w:t>
      </w:r>
      <w:proofErr w:type="spellEnd"/>
      <w:r w:rsidRPr="00D075FD">
        <w:rPr>
          <w:rFonts w:ascii="Arial" w:hAnsi="Arial" w:cs="Arial"/>
          <w:color w:val="000000" w:themeColor="text1"/>
          <w:sz w:val="22"/>
          <w:szCs w:val="22"/>
        </w:rPr>
        <w:t xml:space="preserve"> Drug Weaning.</w:t>
      </w:r>
      <w:bookmarkEnd w:id="14"/>
      <w:bookmarkEnd w:id="15"/>
      <w:r w:rsidRPr="00D075FD">
        <w:rPr>
          <w:rFonts w:ascii="Arial" w:hAnsi="Arial" w:cs="Arial"/>
          <w:color w:val="000000" w:themeColor="text1"/>
          <w:sz w:val="22"/>
          <w:szCs w:val="22"/>
        </w:rPr>
        <w:t xml:space="preserve"> Research in </w:t>
      </w:r>
      <w:proofErr w:type="spellStart"/>
      <w:r w:rsidRPr="00D075FD">
        <w:rPr>
          <w:rFonts w:ascii="Arial" w:hAnsi="Arial" w:cs="Arial"/>
          <w:color w:val="000000" w:themeColor="text1"/>
          <w:sz w:val="22"/>
          <w:szCs w:val="22"/>
        </w:rPr>
        <w:t>Pediatrics</w:t>
      </w:r>
      <w:proofErr w:type="spellEnd"/>
      <w:r w:rsidRPr="00D075FD">
        <w:rPr>
          <w:rFonts w:ascii="Arial" w:hAnsi="Arial" w:cs="Arial"/>
          <w:color w:val="000000" w:themeColor="text1"/>
          <w:sz w:val="22"/>
          <w:szCs w:val="22"/>
        </w:rPr>
        <w:t xml:space="preserve"> &amp; Neonatology</w:t>
      </w:r>
      <w:r w:rsidR="000E3B49">
        <w:rPr>
          <w:rFonts w:ascii="Arial" w:hAnsi="Arial" w:cs="Arial"/>
          <w:color w:val="000000" w:themeColor="text1"/>
          <w:sz w:val="22"/>
          <w:szCs w:val="22"/>
        </w:rPr>
        <w:t>. 2018</w:t>
      </w:r>
      <w:r w:rsidR="002462CA">
        <w:rPr>
          <w:rFonts w:ascii="Arial" w:hAnsi="Arial" w:cs="Arial"/>
          <w:color w:val="000000" w:themeColor="text1"/>
          <w:sz w:val="22"/>
          <w:szCs w:val="22"/>
        </w:rPr>
        <w:t xml:space="preserve"> Oct 5</w:t>
      </w:r>
      <w:r w:rsidR="00487E57">
        <w:rPr>
          <w:rFonts w:ascii="Arial" w:hAnsi="Arial" w:cs="Arial"/>
          <w:color w:val="000000" w:themeColor="text1"/>
          <w:sz w:val="22"/>
          <w:szCs w:val="22"/>
        </w:rPr>
        <w:t>,</w:t>
      </w:r>
      <w:r w:rsidRPr="00D075FD">
        <w:rPr>
          <w:rFonts w:ascii="Arial" w:hAnsi="Arial" w:cs="Arial"/>
          <w:color w:val="000000" w:themeColor="text1"/>
          <w:sz w:val="22"/>
          <w:szCs w:val="22"/>
        </w:rPr>
        <w:t xml:space="preserve"> 3(1)</w:t>
      </w:r>
      <w:r w:rsidR="00487E57">
        <w:rPr>
          <w:rFonts w:ascii="Arial" w:hAnsi="Arial" w:cs="Arial"/>
          <w:color w:val="000000" w:themeColor="text1"/>
          <w:sz w:val="22"/>
          <w:szCs w:val="22"/>
        </w:rPr>
        <w:t>: 206 – 214</w:t>
      </w:r>
      <w:bookmarkStart w:id="16" w:name="OLE_LINK7"/>
      <w:bookmarkStart w:id="17" w:name="OLE_LINK8"/>
      <w:r w:rsidR="009355C7">
        <w:rPr>
          <w:rFonts w:ascii="Arial" w:hAnsi="Arial" w:cs="Arial"/>
          <w:color w:val="000000" w:themeColor="text1"/>
          <w:sz w:val="22"/>
          <w:szCs w:val="22"/>
        </w:rPr>
        <w:t>:</w:t>
      </w:r>
      <w:r w:rsidR="00487E57">
        <w:rPr>
          <w:rFonts w:ascii="Arial" w:hAnsi="Arial" w:cs="Arial"/>
          <w:color w:val="000000" w:themeColor="text1"/>
          <w:sz w:val="22"/>
          <w:szCs w:val="22"/>
        </w:rPr>
        <w:t xml:space="preserve"> URL </w:t>
      </w:r>
      <w:hyperlink r:id="rId16" w:history="1">
        <w:r w:rsidR="0039081F" w:rsidRPr="009040A0">
          <w:rPr>
            <w:rStyle w:val="Hyperlink"/>
            <w:rFonts w:ascii="Arial" w:hAnsi="Arial" w:cs="Arial"/>
            <w:sz w:val="22"/>
            <w:szCs w:val="22"/>
          </w:rPr>
          <w:t>http://dx.doi.org/10.31031/rpn.2018.03.000554</w:t>
        </w:r>
      </w:hyperlink>
    </w:p>
    <w:bookmarkEnd w:id="16"/>
    <w:bookmarkEnd w:id="17"/>
    <w:p w14:paraId="1A43079F" w14:textId="77777777" w:rsidR="00444F70" w:rsidRPr="00D075FD" w:rsidRDefault="00444F70" w:rsidP="0016122E">
      <w:pPr>
        <w:spacing w:line="360" w:lineRule="auto"/>
        <w:rPr>
          <w:rFonts w:ascii="Arial" w:hAnsi="Arial" w:cs="Arial"/>
          <w:color w:val="000000" w:themeColor="text1"/>
          <w:sz w:val="22"/>
          <w:szCs w:val="22"/>
        </w:rPr>
      </w:pPr>
      <w:r w:rsidRPr="00D075FD">
        <w:rPr>
          <w:rFonts w:ascii="Arial" w:hAnsi="Arial" w:cs="Arial"/>
          <w:color w:val="000000" w:themeColor="text1"/>
          <w:sz w:val="22"/>
          <w:szCs w:val="22"/>
        </w:rPr>
        <w:t>[5] J. Alegre, Portuguese Criminal Police, personal communication</w:t>
      </w:r>
    </w:p>
    <w:p w14:paraId="18881550" w14:textId="6A42E013" w:rsidR="00444F70" w:rsidRPr="00D075FD" w:rsidRDefault="00444F70" w:rsidP="0016122E">
      <w:pPr>
        <w:spacing w:line="360" w:lineRule="auto"/>
        <w:rPr>
          <w:rFonts w:ascii="Arial" w:hAnsi="Arial" w:cs="Arial"/>
          <w:color w:val="000000" w:themeColor="text1"/>
          <w:sz w:val="22"/>
          <w:szCs w:val="22"/>
          <w:lang w:val="en-ZA"/>
        </w:rPr>
      </w:pPr>
      <w:r w:rsidRPr="00D075FD">
        <w:rPr>
          <w:rFonts w:ascii="Arial" w:hAnsi="Arial" w:cs="Arial"/>
          <w:color w:val="000000" w:themeColor="text1"/>
          <w:sz w:val="22"/>
          <w:szCs w:val="22"/>
        </w:rPr>
        <w:t xml:space="preserve">[6] </w:t>
      </w:r>
      <w:proofErr w:type="spellStart"/>
      <w:r w:rsidR="00F9061B">
        <w:rPr>
          <w:rFonts w:ascii="Arial" w:hAnsi="Arial" w:cs="Arial"/>
          <w:color w:val="000000" w:themeColor="text1"/>
          <w:sz w:val="22"/>
          <w:szCs w:val="22"/>
          <w:lang w:val="en-ZA"/>
        </w:rPr>
        <w:t>Masombuka</w:t>
      </w:r>
      <w:proofErr w:type="spellEnd"/>
      <w:r w:rsidR="00F9061B">
        <w:rPr>
          <w:rFonts w:ascii="Arial" w:hAnsi="Arial" w:cs="Arial"/>
          <w:color w:val="000000" w:themeColor="text1"/>
          <w:sz w:val="22"/>
          <w:szCs w:val="22"/>
          <w:lang w:val="en-ZA"/>
        </w:rPr>
        <w:t xml:space="preserve"> </w:t>
      </w:r>
      <w:r w:rsidRPr="00D075FD">
        <w:rPr>
          <w:rFonts w:ascii="Arial" w:hAnsi="Arial" w:cs="Arial"/>
          <w:color w:val="000000" w:themeColor="text1"/>
          <w:sz w:val="22"/>
          <w:szCs w:val="22"/>
          <w:lang w:val="en-ZA"/>
        </w:rPr>
        <w:t>J. Children’s Addiction to the Drug “NYAOPE” in Soshanguve</w:t>
      </w:r>
    </w:p>
    <w:p w14:paraId="37A65A88" w14:textId="77777777" w:rsidR="00444F70" w:rsidRPr="00D075FD" w:rsidRDefault="00444F70" w:rsidP="0016122E">
      <w:pPr>
        <w:spacing w:line="360" w:lineRule="auto"/>
        <w:rPr>
          <w:rFonts w:ascii="Arial" w:hAnsi="Arial" w:cs="Arial"/>
          <w:color w:val="000000" w:themeColor="text1"/>
          <w:sz w:val="22"/>
          <w:szCs w:val="22"/>
          <w:lang w:val="en-ZA"/>
        </w:rPr>
      </w:pPr>
      <w:r w:rsidRPr="00D075FD">
        <w:rPr>
          <w:rFonts w:ascii="Arial" w:hAnsi="Arial" w:cs="Arial"/>
          <w:color w:val="000000" w:themeColor="text1"/>
          <w:sz w:val="22"/>
          <w:szCs w:val="22"/>
          <w:lang w:val="en-ZA"/>
        </w:rPr>
        <w:t>Township: Parents’ Experiences and Support Needs. Thesis 154 p, University of</w:t>
      </w:r>
    </w:p>
    <w:p w14:paraId="03EBDD4A" w14:textId="5BD5B93A" w:rsidR="00444F70" w:rsidRPr="00D075FD" w:rsidRDefault="00444F70" w:rsidP="0016122E">
      <w:pPr>
        <w:spacing w:line="360" w:lineRule="auto"/>
        <w:rPr>
          <w:rFonts w:ascii="Arial" w:hAnsi="Arial" w:cs="Arial"/>
          <w:color w:val="000000" w:themeColor="text1"/>
          <w:sz w:val="22"/>
          <w:szCs w:val="22"/>
        </w:rPr>
      </w:pPr>
      <w:r w:rsidRPr="00D075FD">
        <w:rPr>
          <w:rFonts w:ascii="Arial" w:hAnsi="Arial" w:cs="Arial"/>
          <w:color w:val="000000" w:themeColor="text1"/>
          <w:sz w:val="22"/>
          <w:szCs w:val="22"/>
          <w:lang w:val="en-ZA"/>
        </w:rPr>
        <w:t>South Africa, 2013.</w:t>
      </w:r>
      <w:r>
        <w:rPr>
          <w:rFonts w:ascii="Arial" w:hAnsi="Arial" w:cs="Arial"/>
          <w:color w:val="000000" w:themeColor="text1"/>
          <w:sz w:val="22"/>
          <w:szCs w:val="22"/>
          <w:lang w:val="en-ZA"/>
        </w:rPr>
        <w:t xml:space="preserve"> </w:t>
      </w:r>
      <w:r w:rsidR="00487E57">
        <w:rPr>
          <w:rFonts w:ascii="Arial" w:hAnsi="Arial" w:cs="Arial"/>
          <w:color w:val="000000" w:themeColor="text1"/>
          <w:sz w:val="22"/>
          <w:szCs w:val="22"/>
          <w:lang w:val="en-ZA"/>
        </w:rPr>
        <w:t>URL</w:t>
      </w:r>
      <w:r w:rsidRPr="00BF5C2E">
        <w:rPr>
          <w:rFonts w:ascii="Arial" w:hAnsi="Arial" w:cs="Arial"/>
          <w:color w:val="000000" w:themeColor="text1"/>
          <w:sz w:val="22"/>
          <w:szCs w:val="22"/>
          <w:lang w:val="en-ZA"/>
        </w:rPr>
        <w:t xml:space="preserve">: </w:t>
      </w:r>
      <w:hyperlink r:id="rId17" w:history="1">
        <w:r w:rsidRPr="00351A9E">
          <w:rPr>
            <w:rStyle w:val="Hyperlink"/>
            <w:rFonts w:ascii="Arial" w:hAnsi="Arial" w:cs="Arial"/>
            <w:sz w:val="22"/>
            <w:szCs w:val="22"/>
            <w:lang w:val="en-ZA"/>
          </w:rPr>
          <w:t>http://hdl.handle.net/10500/11903</w:t>
        </w:r>
      </w:hyperlink>
      <w:r>
        <w:rPr>
          <w:rFonts w:ascii="Arial" w:hAnsi="Arial" w:cs="Arial"/>
          <w:color w:val="000000" w:themeColor="text1"/>
          <w:sz w:val="22"/>
          <w:szCs w:val="22"/>
          <w:lang w:val="en-ZA"/>
        </w:rPr>
        <w:t xml:space="preserve">. </w:t>
      </w:r>
    </w:p>
    <w:p w14:paraId="7B905AA3" w14:textId="1734DB0D" w:rsidR="00444F70" w:rsidRPr="00D7681C" w:rsidRDefault="00444F70" w:rsidP="0016122E">
      <w:pPr>
        <w:spacing w:line="360" w:lineRule="auto"/>
        <w:rPr>
          <w:rFonts w:ascii="Arial" w:hAnsi="Arial" w:cs="Arial"/>
          <w:color w:val="000000" w:themeColor="text1"/>
          <w:sz w:val="22"/>
          <w:szCs w:val="22"/>
          <w:lang w:val="en-ZA"/>
        </w:rPr>
      </w:pPr>
      <w:r w:rsidRPr="00D075FD">
        <w:rPr>
          <w:rFonts w:ascii="Arial" w:hAnsi="Arial" w:cs="Arial"/>
          <w:color w:val="000000" w:themeColor="text1"/>
          <w:sz w:val="22"/>
          <w:szCs w:val="22"/>
        </w:rPr>
        <w:t xml:space="preserve">[7] </w:t>
      </w:r>
      <w:r w:rsidR="00F9061B">
        <w:rPr>
          <w:rFonts w:ascii="Arial" w:hAnsi="Arial" w:cs="Arial"/>
          <w:color w:val="000000" w:themeColor="text1"/>
          <w:sz w:val="22"/>
          <w:szCs w:val="22"/>
          <w:lang w:val="en-ZA"/>
        </w:rPr>
        <w:t>Thomas R,</w:t>
      </w:r>
      <w:r w:rsidRPr="00D075FD">
        <w:rPr>
          <w:rFonts w:ascii="Arial" w:hAnsi="Arial" w:cs="Arial"/>
          <w:color w:val="000000" w:themeColor="text1"/>
          <w:sz w:val="22"/>
          <w:szCs w:val="22"/>
          <w:lang w:val="en-ZA"/>
        </w:rPr>
        <w:t xml:space="preserve"> </w:t>
      </w:r>
      <w:proofErr w:type="spellStart"/>
      <w:r w:rsidR="00F9061B">
        <w:rPr>
          <w:rFonts w:ascii="Arial" w:hAnsi="Arial" w:cs="Arial"/>
          <w:color w:val="000000" w:themeColor="text1"/>
          <w:sz w:val="22"/>
          <w:szCs w:val="22"/>
          <w:lang w:val="en-ZA"/>
        </w:rPr>
        <w:t>Velaphi</w:t>
      </w:r>
      <w:proofErr w:type="spellEnd"/>
      <w:r w:rsidR="00F9061B">
        <w:rPr>
          <w:rFonts w:ascii="Arial" w:hAnsi="Arial" w:cs="Arial"/>
          <w:color w:val="000000" w:themeColor="text1"/>
          <w:sz w:val="22"/>
          <w:szCs w:val="22"/>
          <w:lang w:val="en-ZA"/>
        </w:rPr>
        <w:t xml:space="preserve"> </w:t>
      </w:r>
      <w:r w:rsidRPr="00D075FD">
        <w:rPr>
          <w:rFonts w:ascii="Arial" w:hAnsi="Arial" w:cs="Arial"/>
          <w:color w:val="000000" w:themeColor="text1"/>
          <w:sz w:val="22"/>
          <w:szCs w:val="22"/>
          <w:lang w:val="en-ZA"/>
        </w:rPr>
        <w:t>S. Abuse of antiretrovira</w:t>
      </w:r>
      <w:r w:rsidR="00D7681C">
        <w:rPr>
          <w:rFonts w:ascii="Arial" w:hAnsi="Arial" w:cs="Arial"/>
          <w:color w:val="000000" w:themeColor="text1"/>
          <w:sz w:val="22"/>
          <w:szCs w:val="22"/>
          <w:lang w:val="en-ZA"/>
        </w:rPr>
        <w:t xml:space="preserve">l drugs combined with addictive </w:t>
      </w:r>
      <w:r w:rsidRPr="00D075FD">
        <w:rPr>
          <w:rFonts w:ascii="Arial" w:hAnsi="Arial" w:cs="Arial"/>
          <w:color w:val="000000" w:themeColor="text1"/>
          <w:sz w:val="22"/>
          <w:szCs w:val="22"/>
          <w:lang w:val="en-ZA"/>
        </w:rPr>
        <w:t>drugs by pregnant women is associated with adverse</w:t>
      </w:r>
      <w:r w:rsidR="00D7681C">
        <w:rPr>
          <w:rFonts w:ascii="Arial" w:hAnsi="Arial" w:cs="Arial"/>
          <w:color w:val="000000" w:themeColor="text1"/>
          <w:sz w:val="22"/>
          <w:szCs w:val="22"/>
          <w:lang w:val="en-ZA"/>
        </w:rPr>
        <w:t xml:space="preserve"> effects in infants and risk </w:t>
      </w:r>
      <w:r w:rsidRPr="00D075FD">
        <w:rPr>
          <w:rFonts w:ascii="Arial" w:hAnsi="Arial" w:cs="Arial"/>
          <w:color w:val="000000" w:themeColor="text1"/>
          <w:sz w:val="22"/>
          <w:szCs w:val="22"/>
          <w:lang w:val="en-ZA"/>
        </w:rPr>
        <w:t>of resistance, S. Afr. J. Child Health</w:t>
      </w:r>
      <w:r w:rsidR="00487E57">
        <w:rPr>
          <w:rFonts w:ascii="Arial" w:hAnsi="Arial" w:cs="Arial"/>
          <w:color w:val="000000" w:themeColor="text1"/>
          <w:sz w:val="22"/>
          <w:szCs w:val="22"/>
          <w:lang w:val="en-ZA"/>
        </w:rPr>
        <w:t>.</w:t>
      </w:r>
      <w:r w:rsidRPr="00D075FD">
        <w:rPr>
          <w:rFonts w:ascii="Arial" w:hAnsi="Arial" w:cs="Arial"/>
          <w:color w:val="000000" w:themeColor="text1"/>
          <w:sz w:val="22"/>
          <w:szCs w:val="22"/>
          <w:lang w:val="en-ZA"/>
        </w:rPr>
        <w:t xml:space="preserve"> </w:t>
      </w:r>
      <w:r w:rsidR="00487E57" w:rsidRPr="00D075FD">
        <w:rPr>
          <w:rFonts w:ascii="Arial" w:hAnsi="Arial" w:cs="Arial"/>
          <w:color w:val="000000" w:themeColor="text1"/>
          <w:sz w:val="22"/>
          <w:szCs w:val="22"/>
          <w:lang w:val="en-ZA"/>
        </w:rPr>
        <w:t>2014</w:t>
      </w:r>
      <w:r w:rsidR="00D7681C">
        <w:rPr>
          <w:rFonts w:ascii="Arial" w:hAnsi="Arial" w:cs="Arial"/>
          <w:color w:val="000000" w:themeColor="text1"/>
          <w:sz w:val="22"/>
          <w:szCs w:val="22"/>
          <w:lang w:val="en-ZA"/>
        </w:rPr>
        <w:t xml:space="preserve"> May</w:t>
      </w:r>
      <w:r w:rsidR="00487E57">
        <w:rPr>
          <w:rFonts w:ascii="Arial" w:hAnsi="Arial" w:cs="Arial"/>
          <w:color w:val="000000" w:themeColor="text1"/>
          <w:sz w:val="22"/>
          <w:szCs w:val="22"/>
          <w:lang w:val="en-ZA"/>
        </w:rPr>
        <w:t>, 8</w:t>
      </w:r>
      <w:r w:rsidR="00D7681C">
        <w:rPr>
          <w:rFonts w:ascii="Arial" w:hAnsi="Arial" w:cs="Arial"/>
          <w:color w:val="000000" w:themeColor="text1"/>
          <w:sz w:val="22"/>
          <w:szCs w:val="22"/>
          <w:lang w:val="en-ZA"/>
        </w:rPr>
        <w:t xml:space="preserve"> (2)</w:t>
      </w:r>
      <w:r w:rsidR="00487E57">
        <w:rPr>
          <w:rFonts w:ascii="Arial" w:hAnsi="Arial" w:cs="Arial"/>
          <w:color w:val="000000" w:themeColor="text1"/>
          <w:sz w:val="22"/>
          <w:szCs w:val="22"/>
          <w:lang w:val="en-ZA"/>
        </w:rPr>
        <w:t>:</w:t>
      </w:r>
      <w:r w:rsidRPr="00D075FD">
        <w:rPr>
          <w:rFonts w:ascii="Arial" w:hAnsi="Arial" w:cs="Arial"/>
          <w:color w:val="000000" w:themeColor="text1"/>
          <w:sz w:val="22"/>
          <w:szCs w:val="22"/>
          <w:lang w:val="en-ZA"/>
        </w:rPr>
        <w:t xml:space="preserve"> 78–79.</w:t>
      </w:r>
      <w:r w:rsidR="00487E57">
        <w:rPr>
          <w:rFonts w:ascii="Arial" w:hAnsi="Arial" w:cs="Arial"/>
          <w:color w:val="000000" w:themeColor="text1"/>
          <w:sz w:val="22"/>
          <w:szCs w:val="22"/>
          <w:lang w:val="en-ZA"/>
        </w:rPr>
        <w:t xml:space="preserve"> URL:</w:t>
      </w:r>
      <w:r w:rsidRPr="00BF5C2E">
        <w:t xml:space="preserve"> </w:t>
      </w:r>
      <w:hyperlink r:id="rId18" w:history="1">
        <w:r w:rsidRPr="00351A9E">
          <w:rPr>
            <w:rStyle w:val="Hyperlink"/>
            <w:rFonts w:ascii="Arial" w:hAnsi="Arial" w:cs="Arial"/>
            <w:sz w:val="22"/>
            <w:szCs w:val="22"/>
            <w:lang w:val="en-ZA"/>
          </w:rPr>
          <w:t>https://doi.org/10.7196/sajch.734</w:t>
        </w:r>
      </w:hyperlink>
      <w:r>
        <w:rPr>
          <w:rFonts w:ascii="Arial" w:hAnsi="Arial" w:cs="Arial"/>
          <w:color w:val="000000" w:themeColor="text1"/>
          <w:sz w:val="22"/>
          <w:szCs w:val="22"/>
          <w:lang w:val="en-ZA"/>
        </w:rPr>
        <w:t xml:space="preserve">. </w:t>
      </w:r>
    </w:p>
    <w:p w14:paraId="6BF22688" w14:textId="1CCC8601" w:rsidR="00444F70" w:rsidRPr="00D075FD" w:rsidRDefault="00444F70" w:rsidP="0016122E">
      <w:pPr>
        <w:spacing w:line="360" w:lineRule="auto"/>
        <w:rPr>
          <w:rFonts w:ascii="Arial" w:hAnsi="Arial" w:cs="Arial"/>
          <w:color w:val="000000" w:themeColor="text1"/>
          <w:sz w:val="22"/>
          <w:szCs w:val="22"/>
        </w:rPr>
      </w:pPr>
      <w:r w:rsidRPr="00D075FD">
        <w:rPr>
          <w:rFonts w:ascii="Arial" w:hAnsi="Arial" w:cs="Arial"/>
          <w:color w:val="000000" w:themeColor="text1"/>
          <w:sz w:val="22"/>
          <w:szCs w:val="22"/>
        </w:rPr>
        <w:t xml:space="preserve">[8] </w:t>
      </w:r>
      <w:proofErr w:type="spellStart"/>
      <w:r w:rsidR="009355C7">
        <w:rPr>
          <w:rFonts w:ascii="Arial" w:hAnsi="Arial" w:cs="Arial"/>
          <w:color w:val="000000" w:themeColor="text1"/>
          <w:sz w:val="22"/>
          <w:szCs w:val="22"/>
        </w:rPr>
        <w:t>Meel</w:t>
      </w:r>
      <w:proofErr w:type="spellEnd"/>
      <w:r w:rsidR="009355C7">
        <w:rPr>
          <w:rFonts w:ascii="Arial" w:hAnsi="Arial" w:cs="Arial"/>
          <w:color w:val="000000" w:themeColor="text1"/>
          <w:sz w:val="22"/>
          <w:szCs w:val="22"/>
        </w:rPr>
        <w:t xml:space="preserve"> </w:t>
      </w:r>
      <w:r w:rsidRPr="00D075FD">
        <w:rPr>
          <w:rFonts w:ascii="Arial" w:hAnsi="Arial" w:cs="Arial"/>
          <w:color w:val="000000" w:themeColor="text1"/>
          <w:sz w:val="22"/>
          <w:szCs w:val="22"/>
        </w:rPr>
        <w:t>R</w:t>
      </w:r>
      <w:r w:rsidR="009355C7">
        <w:rPr>
          <w:rFonts w:ascii="Arial" w:hAnsi="Arial" w:cs="Arial"/>
          <w:color w:val="000000" w:themeColor="text1"/>
          <w:sz w:val="22"/>
          <w:szCs w:val="22"/>
        </w:rPr>
        <w:t>,</w:t>
      </w:r>
      <w:r w:rsidRPr="00D075FD">
        <w:rPr>
          <w:rFonts w:ascii="Arial" w:hAnsi="Arial" w:cs="Arial"/>
          <w:color w:val="000000" w:themeColor="text1"/>
          <w:sz w:val="22"/>
          <w:szCs w:val="22"/>
        </w:rPr>
        <w:t xml:space="preserve"> </w:t>
      </w:r>
      <w:proofErr w:type="spellStart"/>
      <w:r w:rsidR="009355C7" w:rsidRPr="00D075FD">
        <w:rPr>
          <w:rFonts w:ascii="Arial" w:hAnsi="Arial" w:cs="Arial"/>
          <w:color w:val="000000" w:themeColor="text1"/>
          <w:sz w:val="22"/>
          <w:szCs w:val="22"/>
        </w:rPr>
        <w:t>Essop</w:t>
      </w:r>
      <w:proofErr w:type="spellEnd"/>
      <w:r w:rsidR="009355C7" w:rsidRPr="00D075FD">
        <w:rPr>
          <w:rFonts w:ascii="Arial" w:hAnsi="Arial" w:cs="Arial"/>
          <w:color w:val="000000" w:themeColor="text1"/>
          <w:sz w:val="22"/>
          <w:szCs w:val="22"/>
        </w:rPr>
        <w:t xml:space="preserve"> </w:t>
      </w:r>
      <w:r w:rsidR="009355C7">
        <w:rPr>
          <w:rFonts w:ascii="Arial" w:hAnsi="Arial" w:cs="Arial"/>
          <w:color w:val="000000" w:themeColor="text1"/>
          <w:sz w:val="22"/>
          <w:szCs w:val="22"/>
        </w:rPr>
        <w:t>M</w:t>
      </w:r>
      <w:r w:rsidRPr="00D075FD">
        <w:rPr>
          <w:rFonts w:ascii="Arial" w:hAnsi="Arial" w:cs="Arial"/>
          <w:color w:val="000000" w:themeColor="text1"/>
          <w:sz w:val="22"/>
          <w:szCs w:val="22"/>
        </w:rPr>
        <w:t>R</w:t>
      </w:r>
      <w:r w:rsidR="009355C7">
        <w:rPr>
          <w:rFonts w:ascii="Arial" w:hAnsi="Arial" w:cs="Arial"/>
          <w:color w:val="000000" w:themeColor="text1"/>
          <w:sz w:val="22"/>
          <w:szCs w:val="22"/>
        </w:rPr>
        <w:t>.</w:t>
      </w:r>
      <w:r w:rsidRPr="00D075FD">
        <w:rPr>
          <w:rFonts w:ascii="Arial" w:hAnsi="Arial" w:cs="Arial"/>
          <w:color w:val="000000" w:themeColor="text1"/>
          <w:sz w:val="22"/>
          <w:szCs w:val="22"/>
        </w:rPr>
        <w:t xml:space="preserve"> </w:t>
      </w:r>
      <w:bookmarkStart w:id="18" w:name="OLE_LINK9"/>
      <w:bookmarkStart w:id="19" w:name="OLE_LINK10"/>
      <w:r w:rsidRPr="00D075FD">
        <w:rPr>
          <w:rFonts w:ascii="Arial" w:hAnsi="Arial" w:cs="Arial"/>
          <w:color w:val="000000" w:themeColor="text1"/>
          <w:sz w:val="22"/>
          <w:szCs w:val="22"/>
        </w:rPr>
        <w:t>Striking increase in the incidence of infective endocarditis associated with recreational drug abuse in urban South Africa</w:t>
      </w:r>
      <w:bookmarkEnd w:id="18"/>
      <w:bookmarkEnd w:id="19"/>
      <w:r w:rsidRPr="00D075FD">
        <w:rPr>
          <w:rFonts w:ascii="Arial" w:hAnsi="Arial" w:cs="Arial"/>
          <w:color w:val="000000" w:themeColor="text1"/>
          <w:sz w:val="22"/>
          <w:szCs w:val="22"/>
        </w:rPr>
        <w:t xml:space="preserve">, </w:t>
      </w:r>
      <w:r w:rsidR="009355C7">
        <w:rPr>
          <w:rFonts w:ascii="Arial" w:hAnsi="Arial" w:cs="Arial"/>
          <w:i/>
          <w:iCs/>
          <w:color w:val="000000" w:themeColor="text1"/>
          <w:sz w:val="22"/>
          <w:szCs w:val="22"/>
        </w:rPr>
        <w:t xml:space="preserve">S </w:t>
      </w:r>
      <w:proofErr w:type="spellStart"/>
      <w:r w:rsidR="009355C7">
        <w:rPr>
          <w:rFonts w:ascii="Arial" w:hAnsi="Arial" w:cs="Arial"/>
          <w:i/>
          <w:iCs/>
          <w:color w:val="000000" w:themeColor="text1"/>
          <w:sz w:val="22"/>
          <w:szCs w:val="22"/>
        </w:rPr>
        <w:t>Afri</w:t>
      </w:r>
      <w:proofErr w:type="spellEnd"/>
      <w:r w:rsidR="009355C7">
        <w:rPr>
          <w:rFonts w:ascii="Arial" w:hAnsi="Arial" w:cs="Arial"/>
          <w:i/>
          <w:iCs/>
          <w:color w:val="000000" w:themeColor="text1"/>
          <w:sz w:val="22"/>
          <w:szCs w:val="22"/>
        </w:rPr>
        <w:t xml:space="preserve"> Med J.</w:t>
      </w:r>
      <w:r w:rsidRPr="00D075FD">
        <w:rPr>
          <w:rStyle w:val="apple-converted-space"/>
          <w:rFonts w:ascii="Arial" w:hAnsi="Arial" w:cs="Arial"/>
          <w:color w:val="000000" w:themeColor="text1"/>
          <w:sz w:val="22"/>
          <w:szCs w:val="22"/>
          <w:shd w:val="clear" w:color="auto" w:fill="FFFFFF"/>
        </w:rPr>
        <w:t> </w:t>
      </w:r>
      <w:r w:rsidRPr="00D075FD">
        <w:rPr>
          <w:rFonts w:ascii="Arial" w:hAnsi="Arial" w:cs="Arial"/>
          <w:color w:val="000000" w:themeColor="text1"/>
          <w:sz w:val="22"/>
          <w:szCs w:val="22"/>
          <w:shd w:val="clear" w:color="auto" w:fill="FFFFFF"/>
        </w:rPr>
        <w:t>2018</w:t>
      </w:r>
      <w:r w:rsidR="009355C7">
        <w:rPr>
          <w:rFonts w:ascii="Arial" w:hAnsi="Arial" w:cs="Arial"/>
          <w:color w:val="000000" w:themeColor="text1"/>
          <w:sz w:val="22"/>
          <w:szCs w:val="22"/>
          <w:shd w:val="clear" w:color="auto" w:fill="FFFFFF"/>
        </w:rPr>
        <w:t xml:space="preserve"> June 26</w:t>
      </w:r>
      <w:r w:rsidRPr="00D075FD">
        <w:rPr>
          <w:rFonts w:ascii="Arial" w:hAnsi="Arial" w:cs="Arial"/>
          <w:color w:val="000000" w:themeColor="text1"/>
          <w:sz w:val="22"/>
          <w:szCs w:val="22"/>
          <w:shd w:val="clear" w:color="auto" w:fill="FFFFFF"/>
        </w:rPr>
        <w:t>;108(7</w:t>
      </w:r>
      <w:proofErr w:type="gramStart"/>
      <w:r w:rsidRPr="00D075FD">
        <w:rPr>
          <w:rFonts w:ascii="Arial" w:hAnsi="Arial" w:cs="Arial"/>
          <w:color w:val="000000" w:themeColor="text1"/>
          <w:sz w:val="22"/>
          <w:szCs w:val="22"/>
          <w:shd w:val="clear" w:color="auto" w:fill="FFFFFF"/>
        </w:rPr>
        <w:t>):585-589.</w:t>
      </w:r>
      <w:r w:rsidR="009355C7">
        <w:rPr>
          <w:rFonts w:ascii="Arial" w:hAnsi="Arial" w:cs="Arial"/>
          <w:color w:val="000000" w:themeColor="text1"/>
          <w:sz w:val="22"/>
          <w:szCs w:val="22"/>
          <w:shd w:val="clear" w:color="auto" w:fill="FFFFFF"/>
        </w:rPr>
        <w:t>URL</w:t>
      </w:r>
      <w:proofErr w:type="gramEnd"/>
      <w:r w:rsidR="009355C7">
        <w:rPr>
          <w:rFonts w:ascii="Arial" w:hAnsi="Arial" w:cs="Arial"/>
          <w:color w:val="000000" w:themeColor="text1"/>
          <w:sz w:val="22"/>
          <w:szCs w:val="22"/>
          <w:shd w:val="clear" w:color="auto" w:fill="FFFFFF"/>
        </w:rPr>
        <w:t xml:space="preserve">: </w:t>
      </w:r>
      <w:r w:rsidRPr="00D075FD">
        <w:rPr>
          <w:rFonts w:ascii="Arial" w:hAnsi="Arial" w:cs="Arial"/>
          <w:color w:val="000000" w:themeColor="text1"/>
          <w:sz w:val="22"/>
          <w:szCs w:val="22"/>
          <w:shd w:val="clear" w:color="auto" w:fill="FFFFFF"/>
        </w:rPr>
        <w:t xml:space="preserve"> </w:t>
      </w:r>
      <w:hyperlink r:id="rId19" w:history="1">
        <w:r w:rsidR="009355C7" w:rsidRPr="009040A0">
          <w:rPr>
            <w:rStyle w:val="Hyperlink"/>
            <w:rFonts w:ascii="Arial" w:hAnsi="Arial" w:cs="Arial"/>
            <w:sz w:val="22"/>
            <w:szCs w:val="22"/>
            <w:shd w:val="clear" w:color="auto" w:fill="FFFFFF"/>
          </w:rPr>
          <w:t>https://doi.org/10.7196/samj.2018.v108i7.13007</w:t>
        </w:r>
      </w:hyperlink>
      <w:r w:rsidR="009355C7">
        <w:rPr>
          <w:rFonts w:ascii="Arial" w:hAnsi="Arial" w:cs="Arial"/>
          <w:color w:val="000000" w:themeColor="text1"/>
          <w:sz w:val="22"/>
          <w:szCs w:val="22"/>
          <w:shd w:val="clear" w:color="auto" w:fill="FFFFFF"/>
        </w:rPr>
        <w:t xml:space="preserve"> </w:t>
      </w:r>
      <w:r w:rsidR="009355C7" w:rsidRPr="00D075FD">
        <w:rPr>
          <w:rFonts w:ascii="Arial" w:hAnsi="Arial" w:cs="Arial"/>
          <w:color w:val="000000" w:themeColor="text1"/>
          <w:sz w:val="22"/>
          <w:szCs w:val="22"/>
        </w:rPr>
        <w:t xml:space="preserve"> </w:t>
      </w:r>
    </w:p>
    <w:p w14:paraId="43BD3168" w14:textId="1BC75E8C" w:rsidR="00444F70" w:rsidRPr="00D075FD" w:rsidRDefault="00444F70" w:rsidP="0016122E">
      <w:pPr>
        <w:spacing w:line="360" w:lineRule="auto"/>
        <w:rPr>
          <w:rFonts w:ascii="Arial" w:hAnsi="Arial" w:cs="Arial"/>
          <w:color w:val="000000" w:themeColor="text1"/>
          <w:sz w:val="22"/>
          <w:szCs w:val="22"/>
        </w:rPr>
      </w:pPr>
      <w:r w:rsidRPr="00D075FD">
        <w:rPr>
          <w:rFonts w:ascii="Arial" w:hAnsi="Arial" w:cs="Arial"/>
          <w:color w:val="000000" w:themeColor="text1"/>
          <w:sz w:val="22"/>
          <w:szCs w:val="22"/>
        </w:rPr>
        <w:t xml:space="preserve">[9] </w:t>
      </w:r>
      <w:r w:rsidR="009355C7" w:rsidRPr="00D075FD">
        <w:rPr>
          <w:rFonts w:ascii="Arial" w:hAnsi="Arial" w:cs="Arial"/>
          <w:color w:val="000000" w:themeColor="text1"/>
          <w:sz w:val="22"/>
          <w:szCs w:val="22"/>
        </w:rPr>
        <w:t xml:space="preserve">Chambers </w:t>
      </w:r>
      <w:r w:rsidRPr="00D075FD">
        <w:rPr>
          <w:rFonts w:ascii="Arial" w:hAnsi="Arial" w:cs="Arial"/>
          <w:color w:val="000000" w:themeColor="text1"/>
          <w:sz w:val="22"/>
          <w:szCs w:val="22"/>
        </w:rPr>
        <w:t xml:space="preserve">D. 10 die after destroying their hearts by mainlining </w:t>
      </w:r>
      <w:proofErr w:type="spellStart"/>
      <w:r w:rsidRPr="00D075FD">
        <w:rPr>
          <w:rFonts w:ascii="Arial" w:hAnsi="Arial" w:cs="Arial"/>
          <w:color w:val="000000" w:themeColor="text1"/>
          <w:sz w:val="22"/>
          <w:szCs w:val="22"/>
        </w:rPr>
        <w:t>nyaope</w:t>
      </w:r>
      <w:proofErr w:type="spellEnd"/>
      <w:r w:rsidRPr="00D075FD">
        <w:rPr>
          <w:rFonts w:ascii="Arial" w:hAnsi="Arial" w:cs="Arial"/>
          <w:color w:val="000000" w:themeColor="text1"/>
          <w:sz w:val="22"/>
          <w:szCs w:val="22"/>
        </w:rPr>
        <w:t xml:space="preserve">. </w:t>
      </w:r>
      <w:proofErr w:type="spellStart"/>
      <w:r w:rsidRPr="00D075FD">
        <w:rPr>
          <w:rFonts w:ascii="Arial" w:hAnsi="Arial" w:cs="Arial"/>
          <w:color w:val="000000" w:themeColor="text1"/>
          <w:sz w:val="22"/>
          <w:szCs w:val="22"/>
        </w:rPr>
        <w:t>TimesLive</w:t>
      </w:r>
      <w:proofErr w:type="spellEnd"/>
      <w:r w:rsidRPr="00D075FD">
        <w:rPr>
          <w:rFonts w:ascii="Arial" w:hAnsi="Arial" w:cs="Arial"/>
          <w:color w:val="000000" w:themeColor="text1"/>
          <w:sz w:val="22"/>
          <w:szCs w:val="22"/>
        </w:rPr>
        <w:t xml:space="preserve"> South Africa, 02 July 2018. Available at: </w:t>
      </w:r>
      <w:hyperlink r:id="rId20" w:history="1">
        <w:r w:rsidRPr="00D075FD">
          <w:rPr>
            <w:rStyle w:val="Hyperlink"/>
            <w:rFonts w:ascii="Arial" w:hAnsi="Arial" w:cs="Arial"/>
            <w:color w:val="000000" w:themeColor="text1"/>
            <w:sz w:val="22"/>
            <w:szCs w:val="22"/>
          </w:rPr>
          <w:t>https://www.timeslive.co.za/news/south-africa/2018-07-02-10-die-after-destroying-their-hearts-by-mainlining-nyaope/</w:t>
        </w:r>
      </w:hyperlink>
      <w:r w:rsidRPr="00D075FD">
        <w:rPr>
          <w:rFonts w:ascii="Arial" w:hAnsi="Arial" w:cs="Arial"/>
          <w:color w:val="000000" w:themeColor="text1"/>
          <w:sz w:val="22"/>
          <w:szCs w:val="22"/>
        </w:rPr>
        <w:t xml:space="preserve"> accessed 6</w:t>
      </w:r>
      <w:r w:rsidRPr="00D075FD">
        <w:rPr>
          <w:rFonts w:ascii="Arial" w:hAnsi="Arial" w:cs="Arial"/>
          <w:color w:val="000000" w:themeColor="text1"/>
          <w:sz w:val="22"/>
          <w:szCs w:val="22"/>
          <w:vertAlign w:val="superscript"/>
        </w:rPr>
        <w:t>th</w:t>
      </w:r>
      <w:r w:rsidRPr="00D075FD">
        <w:rPr>
          <w:rFonts w:ascii="Arial" w:hAnsi="Arial" w:cs="Arial"/>
          <w:color w:val="000000" w:themeColor="text1"/>
          <w:sz w:val="22"/>
          <w:szCs w:val="22"/>
        </w:rPr>
        <w:t xml:space="preserve"> June 2019</w:t>
      </w:r>
    </w:p>
    <w:p w14:paraId="4C1D4250" w14:textId="77777777" w:rsidR="00444F70" w:rsidRPr="00D075FD" w:rsidRDefault="00444F70" w:rsidP="0016122E">
      <w:pPr>
        <w:spacing w:line="360" w:lineRule="auto"/>
        <w:rPr>
          <w:rFonts w:ascii="Arial" w:hAnsi="Arial" w:cs="Arial"/>
          <w:color w:val="000000" w:themeColor="text1"/>
          <w:sz w:val="22"/>
          <w:szCs w:val="22"/>
        </w:rPr>
      </w:pPr>
      <w:r w:rsidRPr="00D075FD">
        <w:rPr>
          <w:rFonts w:ascii="Arial" w:hAnsi="Arial" w:cs="Arial"/>
          <w:color w:val="000000" w:themeColor="text1"/>
          <w:sz w:val="22"/>
          <w:szCs w:val="22"/>
        </w:rPr>
        <w:t xml:space="preserve">[10] Recovery Direct, Cape Town's Top </w:t>
      </w:r>
      <w:proofErr w:type="spellStart"/>
      <w:r w:rsidRPr="00D075FD">
        <w:rPr>
          <w:rFonts w:ascii="Arial" w:hAnsi="Arial" w:cs="Arial"/>
          <w:color w:val="000000" w:themeColor="text1"/>
          <w:sz w:val="22"/>
          <w:szCs w:val="22"/>
        </w:rPr>
        <w:t>Whoonga</w:t>
      </w:r>
      <w:proofErr w:type="spellEnd"/>
      <w:r w:rsidRPr="00D075FD">
        <w:rPr>
          <w:rFonts w:ascii="Arial" w:hAnsi="Arial" w:cs="Arial"/>
          <w:color w:val="000000" w:themeColor="text1"/>
          <w:sz w:val="22"/>
          <w:szCs w:val="22"/>
        </w:rPr>
        <w:t xml:space="preserve"> / </w:t>
      </w:r>
      <w:proofErr w:type="spellStart"/>
      <w:r w:rsidRPr="00D075FD">
        <w:rPr>
          <w:rFonts w:ascii="Arial" w:hAnsi="Arial" w:cs="Arial"/>
          <w:color w:val="000000" w:themeColor="text1"/>
          <w:sz w:val="22"/>
          <w:szCs w:val="22"/>
        </w:rPr>
        <w:t>Nyaope</w:t>
      </w:r>
      <w:proofErr w:type="spellEnd"/>
      <w:r w:rsidRPr="00D075FD">
        <w:rPr>
          <w:rFonts w:ascii="Arial" w:hAnsi="Arial" w:cs="Arial"/>
          <w:color w:val="000000" w:themeColor="text1"/>
          <w:sz w:val="22"/>
          <w:szCs w:val="22"/>
        </w:rPr>
        <w:t xml:space="preserve"> Rehab Centre, </w:t>
      </w:r>
      <w:hyperlink r:id="rId21" w:history="1">
        <w:r w:rsidRPr="00D075FD">
          <w:rPr>
            <w:rStyle w:val="Hyperlink"/>
            <w:rFonts w:ascii="Arial" w:hAnsi="Arial" w:cs="Arial"/>
            <w:color w:val="000000" w:themeColor="text1"/>
            <w:sz w:val="22"/>
            <w:szCs w:val="22"/>
          </w:rPr>
          <w:t>https://www.recoverydirect.co.za/drug/whoonga-addiction/</w:t>
        </w:r>
      </w:hyperlink>
      <w:r w:rsidRPr="00D075FD">
        <w:rPr>
          <w:rFonts w:ascii="Arial" w:hAnsi="Arial" w:cs="Arial"/>
          <w:color w:val="000000" w:themeColor="text1"/>
          <w:sz w:val="22"/>
          <w:szCs w:val="22"/>
        </w:rPr>
        <w:t xml:space="preserve"> accessed 6</w:t>
      </w:r>
      <w:r w:rsidRPr="00D075FD">
        <w:rPr>
          <w:rFonts w:ascii="Arial" w:hAnsi="Arial" w:cs="Arial"/>
          <w:color w:val="000000" w:themeColor="text1"/>
          <w:sz w:val="22"/>
          <w:szCs w:val="22"/>
          <w:vertAlign w:val="superscript"/>
        </w:rPr>
        <w:t>th</w:t>
      </w:r>
      <w:r w:rsidRPr="00D075FD">
        <w:rPr>
          <w:rFonts w:ascii="Arial" w:hAnsi="Arial" w:cs="Arial"/>
          <w:color w:val="000000" w:themeColor="text1"/>
          <w:sz w:val="22"/>
          <w:szCs w:val="22"/>
        </w:rPr>
        <w:t xml:space="preserve"> June 2019</w:t>
      </w:r>
    </w:p>
    <w:p w14:paraId="1985E79C" w14:textId="5D7AA5FB" w:rsidR="00444F70" w:rsidRPr="00D075FD" w:rsidRDefault="00444F70" w:rsidP="0016122E">
      <w:pPr>
        <w:spacing w:line="360" w:lineRule="auto"/>
        <w:rPr>
          <w:rFonts w:ascii="Arial" w:hAnsi="Arial" w:cs="Arial"/>
          <w:color w:val="000000" w:themeColor="text1"/>
          <w:sz w:val="22"/>
          <w:szCs w:val="22"/>
        </w:rPr>
      </w:pPr>
      <w:r w:rsidRPr="00D075FD">
        <w:rPr>
          <w:rFonts w:ascii="Arial" w:hAnsi="Arial" w:cs="Arial"/>
          <w:color w:val="000000" w:themeColor="text1"/>
          <w:sz w:val="22"/>
          <w:szCs w:val="22"/>
        </w:rPr>
        <w:t xml:space="preserve">[11] </w:t>
      </w:r>
      <w:proofErr w:type="spellStart"/>
      <w:r w:rsidR="005F696F" w:rsidRPr="00D075FD">
        <w:rPr>
          <w:rFonts w:ascii="Arial" w:hAnsi="Arial" w:cs="Arial"/>
          <w:color w:val="000000" w:themeColor="text1"/>
          <w:sz w:val="22"/>
          <w:szCs w:val="22"/>
        </w:rPr>
        <w:t>Haysom</w:t>
      </w:r>
      <w:proofErr w:type="spellEnd"/>
      <w:r w:rsidR="005F696F" w:rsidRPr="00D075FD">
        <w:rPr>
          <w:rFonts w:ascii="Arial" w:hAnsi="Arial" w:cs="Arial"/>
          <w:color w:val="000000" w:themeColor="text1"/>
          <w:sz w:val="22"/>
          <w:szCs w:val="22"/>
        </w:rPr>
        <w:t xml:space="preserve"> </w:t>
      </w:r>
      <w:r w:rsidRPr="00D075FD">
        <w:rPr>
          <w:rFonts w:ascii="Arial" w:hAnsi="Arial" w:cs="Arial"/>
          <w:color w:val="000000" w:themeColor="text1"/>
          <w:sz w:val="22"/>
          <w:szCs w:val="22"/>
        </w:rPr>
        <w:t xml:space="preserve">S. Hiding in plain sight: Heroin’s stealthy takeover of South Africa. ENACT Heroin Policy Brief 07, March 2019. Available at:  </w:t>
      </w:r>
      <w:hyperlink r:id="rId22" w:history="1">
        <w:r w:rsidRPr="00D075FD">
          <w:rPr>
            <w:rStyle w:val="Hyperlink"/>
            <w:rFonts w:ascii="Arial" w:hAnsi="Arial" w:cs="Arial"/>
            <w:color w:val="000000" w:themeColor="text1"/>
            <w:sz w:val="22"/>
            <w:szCs w:val="22"/>
          </w:rPr>
          <w:t>https://enactafrica.org/research/policy-briefs/hiding-in-plain-sight-heroins-stealthy-takeover-of</w:t>
        </w:r>
      </w:hyperlink>
      <w:r w:rsidRPr="00D075FD">
        <w:rPr>
          <w:rFonts w:ascii="Arial" w:hAnsi="Arial" w:cs="Arial"/>
          <w:color w:val="000000" w:themeColor="text1"/>
          <w:sz w:val="22"/>
          <w:szCs w:val="22"/>
          <w:u w:val="single"/>
        </w:rPr>
        <w:t xml:space="preserve"> south-</w:t>
      </w:r>
      <w:proofErr w:type="spellStart"/>
      <w:r w:rsidRPr="00D075FD">
        <w:rPr>
          <w:rFonts w:ascii="Arial" w:hAnsi="Arial" w:cs="Arial"/>
          <w:color w:val="000000" w:themeColor="text1"/>
          <w:sz w:val="22"/>
          <w:szCs w:val="22"/>
          <w:u w:val="single"/>
        </w:rPr>
        <w:t>africa</w:t>
      </w:r>
      <w:proofErr w:type="spellEnd"/>
      <w:r w:rsidRPr="00D075FD">
        <w:rPr>
          <w:rFonts w:ascii="Arial" w:hAnsi="Arial" w:cs="Arial"/>
          <w:color w:val="000000" w:themeColor="text1"/>
          <w:sz w:val="22"/>
          <w:szCs w:val="22"/>
        </w:rPr>
        <w:t xml:space="preserve">   </w:t>
      </w:r>
    </w:p>
    <w:p w14:paraId="4112F868" w14:textId="586C6C29" w:rsidR="00444F70" w:rsidRPr="00D075FD" w:rsidRDefault="00444F70" w:rsidP="0016122E">
      <w:pPr>
        <w:spacing w:line="360" w:lineRule="auto"/>
        <w:rPr>
          <w:rFonts w:ascii="Arial" w:hAnsi="Arial" w:cs="Arial"/>
          <w:color w:val="000000" w:themeColor="text1"/>
          <w:sz w:val="22"/>
          <w:szCs w:val="22"/>
        </w:rPr>
      </w:pPr>
      <w:r w:rsidRPr="00D075FD">
        <w:rPr>
          <w:rFonts w:ascii="Arial" w:hAnsi="Arial" w:cs="Arial"/>
          <w:color w:val="000000" w:themeColor="text1"/>
          <w:sz w:val="22"/>
          <w:szCs w:val="22"/>
        </w:rPr>
        <w:t xml:space="preserve">[12] </w:t>
      </w:r>
      <w:proofErr w:type="spellStart"/>
      <w:r w:rsidR="009355C7" w:rsidRPr="00D075FD">
        <w:rPr>
          <w:rFonts w:ascii="Arial" w:hAnsi="Arial" w:cs="Arial"/>
          <w:color w:val="000000" w:themeColor="text1"/>
          <w:sz w:val="22"/>
          <w:szCs w:val="22"/>
        </w:rPr>
        <w:t>Mthembi</w:t>
      </w:r>
      <w:proofErr w:type="spellEnd"/>
      <w:r w:rsidR="009355C7" w:rsidRPr="00D075FD">
        <w:rPr>
          <w:rFonts w:ascii="Arial" w:hAnsi="Arial" w:cs="Arial"/>
          <w:color w:val="000000" w:themeColor="text1"/>
          <w:sz w:val="22"/>
          <w:szCs w:val="22"/>
        </w:rPr>
        <w:t xml:space="preserve"> </w:t>
      </w:r>
      <w:r w:rsidR="009355C7">
        <w:rPr>
          <w:rFonts w:ascii="Arial" w:hAnsi="Arial" w:cs="Arial"/>
          <w:color w:val="000000" w:themeColor="text1"/>
          <w:sz w:val="22"/>
          <w:szCs w:val="22"/>
        </w:rPr>
        <w:t>PM</w:t>
      </w:r>
      <w:r w:rsidRPr="00D075FD">
        <w:rPr>
          <w:rFonts w:ascii="Arial" w:hAnsi="Arial" w:cs="Arial"/>
          <w:color w:val="000000" w:themeColor="text1"/>
          <w:sz w:val="22"/>
          <w:szCs w:val="22"/>
        </w:rPr>
        <w:t xml:space="preserve">, </w:t>
      </w:r>
      <w:proofErr w:type="spellStart"/>
      <w:r w:rsidR="009355C7" w:rsidRPr="00D075FD">
        <w:rPr>
          <w:rFonts w:ascii="Arial" w:hAnsi="Arial" w:cs="Arial"/>
          <w:color w:val="000000" w:themeColor="text1"/>
          <w:sz w:val="22"/>
          <w:szCs w:val="22"/>
        </w:rPr>
        <w:t>Mwenesongole</w:t>
      </w:r>
      <w:proofErr w:type="spellEnd"/>
      <w:r w:rsidR="009355C7" w:rsidRPr="00D075FD">
        <w:rPr>
          <w:rFonts w:ascii="Arial" w:hAnsi="Arial" w:cs="Arial"/>
          <w:color w:val="000000" w:themeColor="text1"/>
          <w:sz w:val="22"/>
          <w:szCs w:val="22"/>
        </w:rPr>
        <w:t xml:space="preserve"> </w:t>
      </w:r>
      <w:r w:rsidR="009355C7">
        <w:rPr>
          <w:rFonts w:ascii="Arial" w:hAnsi="Arial" w:cs="Arial"/>
          <w:color w:val="000000" w:themeColor="text1"/>
          <w:sz w:val="22"/>
          <w:szCs w:val="22"/>
        </w:rPr>
        <w:t>EM</w:t>
      </w:r>
      <w:r w:rsidRPr="00D075FD">
        <w:rPr>
          <w:rFonts w:ascii="Arial" w:hAnsi="Arial" w:cs="Arial"/>
          <w:color w:val="000000" w:themeColor="text1"/>
          <w:sz w:val="22"/>
          <w:szCs w:val="22"/>
        </w:rPr>
        <w:t xml:space="preserve">, </w:t>
      </w:r>
      <w:r w:rsidR="009355C7" w:rsidRPr="00D075FD">
        <w:rPr>
          <w:rFonts w:ascii="Arial" w:hAnsi="Arial" w:cs="Arial"/>
          <w:color w:val="000000" w:themeColor="text1"/>
          <w:sz w:val="22"/>
          <w:szCs w:val="22"/>
        </w:rPr>
        <w:t xml:space="preserve">Cole </w:t>
      </w:r>
      <w:r w:rsidR="009355C7">
        <w:rPr>
          <w:rFonts w:ascii="Arial" w:hAnsi="Arial" w:cs="Arial"/>
          <w:color w:val="000000" w:themeColor="text1"/>
          <w:sz w:val="22"/>
          <w:szCs w:val="22"/>
        </w:rPr>
        <w:t>M</w:t>
      </w:r>
      <w:r w:rsidRPr="00D075FD">
        <w:rPr>
          <w:rFonts w:ascii="Arial" w:hAnsi="Arial" w:cs="Arial"/>
          <w:color w:val="000000" w:themeColor="text1"/>
          <w:sz w:val="22"/>
          <w:szCs w:val="22"/>
        </w:rPr>
        <w:t>D.</w:t>
      </w:r>
      <w:bookmarkStart w:id="20" w:name="OLE_LINK29"/>
      <w:bookmarkStart w:id="21" w:name="OLE_LINK30"/>
      <w:r w:rsidRPr="00D075FD">
        <w:rPr>
          <w:rFonts w:ascii="Arial" w:hAnsi="Arial" w:cs="Arial"/>
          <w:color w:val="000000" w:themeColor="text1"/>
          <w:sz w:val="22"/>
          <w:szCs w:val="22"/>
        </w:rPr>
        <w:t xml:space="preserve"> </w:t>
      </w:r>
      <w:bookmarkStart w:id="22" w:name="OLE_LINK11"/>
      <w:bookmarkStart w:id="23" w:name="OLE_LINK12"/>
      <w:r w:rsidRPr="00D075FD">
        <w:rPr>
          <w:rFonts w:ascii="Arial" w:hAnsi="Arial" w:cs="Arial"/>
          <w:color w:val="000000" w:themeColor="text1"/>
          <w:sz w:val="22"/>
          <w:szCs w:val="22"/>
        </w:rPr>
        <w:t>Chemical profiling of the street cocktail drug ‘</w:t>
      </w:r>
      <w:proofErr w:type="spellStart"/>
      <w:r w:rsidRPr="00D075FD">
        <w:rPr>
          <w:rFonts w:ascii="Arial" w:hAnsi="Arial" w:cs="Arial"/>
          <w:color w:val="000000" w:themeColor="text1"/>
          <w:sz w:val="22"/>
          <w:szCs w:val="22"/>
        </w:rPr>
        <w:t>nyaope</w:t>
      </w:r>
      <w:proofErr w:type="spellEnd"/>
      <w:r w:rsidRPr="00D075FD">
        <w:rPr>
          <w:rFonts w:ascii="Arial" w:hAnsi="Arial" w:cs="Arial"/>
          <w:color w:val="000000" w:themeColor="text1"/>
          <w:sz w:val="22"/>
          <w:szCs w:val="22"/>
        </w:rPr>
        <w:t xml:space="preserve">’ in South Africa using GC–MS II: Stability studies of the cannabinoid, </w:t>
      </w:r>
      <w:proofErr w:type="gramStart"/>
      <w:r w:rsidRPr="00D075FD">
        <w:rPr>
          <w:rFonts w:ascii="Arial" w:hAnsi="Arial" w:cs="Arial"/>
          <w:color w:val="000000" w:themeColor="text1"/>
          <w:sz w:val="22"/>
          <w:szCs w:val="22"/>
        </w:rPr>
        <w:t>opiate</w:t>
      </w:r>
      <w:proofErr w:type="gramEnd"/>
      <w:r w:rsidRPr="00D075FD">
        <w:rPr>
          <w:rFonts w:ascii="Arial" w:hAnsi="Arial" w:cs="Arial"/>
          <w:color w:val="000000" w:themeColor="text1"/>
          <w:sz w:val="22"/>
          <w:szCs w:val="22"/>
        </w:rPr>
        <w:t xml:space="preserve"> </w:t>
      </w:r>
      <w:r w:rsidRPr="00D075FD">
        <w:rPr>
          <w:rFonts w:ascii="Arial" w:hAnsi="Arial" w:cs="Arial"/>
          <w:color w:val="000000" w:themeColor="text1"/>
          <w:sz w:val="22"/>
          <w:szCs w:val="22"/>
        </w:rPr>
        <w:lastRenderedPageBreak/>
        <w:t>and antiretroviral components during sample storage.</w:t>
      </w:r>
      <w:bookmarkEnd w:id="20"/>
      <w:bookmarkEnd w:id="21"/>
      <w:bookmarkEnd w:id="22"/>
      <w:bookmarkEnd w:id="23"/>
      <w:r w:rsidR="009355C7">
        <w:rPr>
          <w:rFonts w:ascii="Arial" w:hAnsi="Arial" w:cs="Arial"/>
          <w:color w:val="000000" w:themeColor="text1"/>
          <w:sz w:val="22"/>
          <w:szCs w:val="22"/>
        </w:rPr>
        <w:t xml:space="preserve"> Forensic Sci Int. 2019</w:t>
      </w:r>
      <w:r w:rsidR="00C77052">
        <w:rPr>
          <w:rFonts w:ascii="Arial" w:hAnsi="Arial" w:cs="Arial"/>
          <w:color w:val="000000" w:themeColor="text1"/>
          <w:sz w:val="22"/>
          <w:szCs w:val="22"/>
        </w:rPr>
        <w:t xml:space="preserve"> Jul</w:t>
      </w:r>
      <w:r w:rsidR="009355C7">
        <w:rPr>
          <w:rFonts w:ascii="Arial" w:hAnsi="Arial" w:cs="Arial"/>
          <w:color w:val="000000" w:themeColor="text1"/>
          <w:sz w:val="22"/>
          <w:szCs w:val="22"/>
        </w:rPr>
        <w:t>, 300:</w:t>
      </w:r>
      <w:r w:rsidRPr="00D075FD">
        <w:rPr>
          <w:rFonts w:ascii="Arial" w:hAnsi="Arial" w:cs="Arial"/>
          <w:color w:val="000000" w:themeColor="text1"/>
          <w:sz w:val="22"/>
          <w:szCs w:val="22"/>
        </w:rPr>
        <w:t xml:space="preserve"> 187-192.</w:t>
      </w:r>
      <w:r w:rsidR="009355C7">
        <w:rPr>
          <w:rFonts w:ascii="Arial" w:hAnsi="Arial" w:cs="Arial"/>
          <w:color w:val="000000" w:themeColor="text1"/>
          <w:sz w:val="22"/>
          <w:szCs w:val="22"/>
        </w:rPr>
        <w:t xml:space="preserve"> URL:</w:t>
      </w:r>
      <w:r w:rsidRPr="00BF5C2E">
        <w:t xml:space="preserve"> </w:t>
      </w:r>
      <w:hyperlink r:id="rId23" w:history="1">
        <w:r w:rsidRPr="00351A9E">
          <w:rPr>
            <w:rStyle w:val="Hyperlink"/>
            <w:rFonts w:ascii="Arial" w:hAnsi="Arial" w:cs="Arial"/>
            <w:sz w:val="22"/>
            <w:szCs w:val="22"/>
          </w:rPr>
          <w:t>https://doi.org/10.1016/j.forsciint.2019.04.040</w:t>
        </w:r>
      </w:hyperlink>
      <w:r>
        <w:rPr>
          <w:rFonts w:ascii="Arial" w:hAnsi="Arial" w:cs="Arial"/>
          <w:color w:val="000000" w:themeColor="text1"/>
          <w:sz w:val="22"/>
          <w:szCs w:val="22"/>
        </w:rPr>
        <w:t xml:space="preserve">. </w:t>
      </w:r>
    </w:p>
    <w:p w14:paraId="0FD0721E" w14:textId="0CD567D3" w:rsidR="00444F70" w:rsidRPr="00D075FD" w:rsidRDefault="00444F70" w:rsidP="0016122E">
      <w:pPr>
        <w:spacing w:line="360" w:lineRule="auto"/>
        <w:rPr>
          <w:rFonts w:ascii="Arial" w:hAnsi="Arial" w:cs="Arial"/>
          <w:bCs/>
          <w:color w:val="000000" w:themeColor="text1"/>
          <w:sz w:val="22"/>
          <w:szCs w:val="22"/>
          <w:lang w:val="en-ZA"/>
        </w:rPr>
      </w:pPr>
      <w:r w:rsidRPr="00D075FD">
        <w:rPr>
          <w:rFonts w:ascii="Arial" w:hAnsi="Arial" w:cs="Arial"/>
          <w:color w:val="000000" w:themeColor="text1"/>
          <w:sz w:val="22"/>
          <w:szCs w:val="22"/>
        </w:rPr>
        <w:t xml:space="preserve">[13] </w:t>
      </w:r>
      <w:proofErr w:type="spellStart"/>
      <w:r w:rsidR="009355C7" w:rsidRPr="009355C7">
        <w:rPr>
          <w:rFonts w:ascii="Arial" w:hAnsi="Arial" w:cs="Arial"/>
          <w:bCs/>
          <w:color w:val="000000" w:themeColor="text1"/>
          <w:sz w:val="22"/>
          <w:szCs w:val="22"/>
          <w:lang w:val="en-ZA"/>
        </w:rPr>
        <w:t>Mthembi</w:t>
      </w:r>
      <w:proofErr w:type="spellEnd"/>
      <w:r w:rsidR="009355C7" w:rsidRPr="009355C7">
        <w:rPr>
          <w:rFonts w:ascii="Arial" w:hAnsi="Arial" w:cs="Arial"/>
          <w:bCs/>
          <w:color w:val="000000" w:themeColor="text1"/>
          <w:sz w:val="22"/>
          <w:szCs w:val="22"/>
          <w:lang w:val="en-ZA"/>
        </w:rPr>
        <w:t xml:space="preserve"> PM, </w:t>
      </w:r>
      <w:proofErr w:type="spellStart"/>
      <w:r w:rsidR="009355C7" w:rsidRPr="009355C7">
        <w:rPr>
          <w:rFonts w:ascii="Arial" w:hAnsi="Arial" w:cs="Arial"/>
          <w:bCs/>
          <w:color w:val="000000" w:themeColor="text1"/>
          <w:sz w:val="22"/>
          <w:szCs w:val="22"/>
          <w:lang w:val="en-ZA"/>
        </w:rPr>
        <w:t>Mwenesongole</w:t>
      </w:r>
      <w:proofErr w:type="spellEnd"/>
      <w:r w:rsidR="009355C7" w:rsidRPr="009355C7">
        <w:rPr>
          <w:rFonts w:ascii="Arial" w:hAnsi="Arial" w:cs="Arial"/>
          <w:bCs/>
          <w:color w:val="000000" w:themeColor="text1"/>
          <w:sz w:val="22"/>
          <w:szCs w:val="22"/>
          <w:lang w:val="en-ZA"/>
        </w:rPr>
        <w:t xml:space="preserve"> EM, Cole MD. </w:t>
      </w:r>
      <w:r w:rsidRPr="00D075FD">
        <w:rPr>
          <w:rFonts w:ascii="Arial" w:hAnsi="Arial" w:cs="Arial"/>
          <w:bCs/>
          <w:color w:val="000000" w:themeColor="text1"/>
          <w:sz w:val="22"/>
          <w:szCs w:val="22"/>
          <w:lang w:val="en-ZA"/>
        </w:rPr>
        <w:t xml:space="preserve"> Chemical profiling of the street cocktail drug ‘</w:t>
      </w:r>
      <w:proofErr w:type="spellStart"/>
      <w:r w:rsidRPr="00D075FD">
        <w:rPr>
          <w:rFonts w:ascii="Arial" w:hAnsi="Arial" w:cs="Arial"/>
          <w:bCs/>
          <w:color w:val="000000" w:themeColor="text1"/>
          <w:sz w:val="22"/>
          <w:szCs w:val="22"/>
          <w:lang w:val="en-ZA"/>
        </w:rPr>
        <w:t>nyaope</w:t>
      </w:r>
      <w:proofErr w:type="spellEnd"/>
      <w:r w:rsidRPr="00D075FD">
        <w:rPr>
          <w:rFonts w:ascii="Arial" w:hAnsi="Arial" w:cs="Arial"/>
          <w:bCs/>
          <w:color w:val="000000" w:themeColor="text1"/>
          <w:sz w:val="22"/>
          <w:szCs w:val="22"/>
          <w:lang w:val="en-ZA"/>
        </w:rPr>
        <w:t>’ in South Africa using GC–MS I: Stability studies of components of ‘</w:t>
      </w:r>
      <w:proofErr w:type="spellStart"/>
      <w:r w:rsidRPr="00D075FD">
        <w:rPr>
          <w:rFonts w:ascii="Arial" w:hAnsi="Arial" w:cs="Arial"/>
          <w:bCs/>
          <w:color w:val="000000" w:themeColor="text1"/>
          <w:sz w:val="22"/>
          <w:szCs w:val="22"/>
          <w:lang w:val="en-ZA"/>
        </w:rPr>
        <w:t>nyaope</w:t>
      </w:r>
      <w:proofErr w:type="spellEnd"/>
      <w:r w:rsidRPr="00D075FD">
        <w:rPr>
          <w:rFonts w:ascii="Arial" w:hAnsi="Arial" w:cs="Arial"/>
          <w:bCs/>
          <w:color w:val="000000" w:themeColor="text1"/>
          <w:sz w:val="22"/>
          <w:szCs w:val="22"/>
          <w:lang w:val="en-ZA"/>
        </w:rPr>
        <w:t>’ in organic solvents.</w:t>
      </w:r>
      <w:r w:rsidRPr="00D075FD">
        <w:rPr>
          <w:rFonts w:ascii="Arial" w:hAnsi="Arial" w:cs="Arial"/>
          <w:color w:val="000000" w:themeColor="text1"/>
          <w:sz w:val="22"/>
          <w:szCs w:val="22"/>
        </w:rPr>
        <w:t xml:space="preserve"> </w:t>
      </w:r>
      <w:r w:rsidR="009863D3">
        <w:rPr>
          <w:rFonts w:ascii="Arial" w:hAnsi="Arial" w:cs="Arial"/>
          <w:bCs/>
          <w:color w:val="000000" w:themeColor="text1"/>
          <w:sz w:val="22"/>
          <w:szCs w:val="22"/>
          <w:lang w:val="en-ZA"/>
        </w:rPr>
        <w:t>Forensic Sci Int</w:t>
      </w:r>
      <w:r w:rsidR="00C77052">
        <w:rPr>
          <w:rFonts w:ascii="Arial" w:hAnsi="Arial" w:cs="Arial"/>
          <w:bCs/>
          <w:color w:val="000000" w:themeColor="text1"/>
          <w:sz w:val="22"/>
          <w:szCs w:val="22"/>
          <w:lang w:val="en-ZA"/>
        </w:rPr>
        <w:t>.</w:t>
      </w:r>
      <w:r w:rsidRPr="00D075FD">
        <w:rPr>
          <w:rFonts w:ascii="Arial" w:hAnsi="Arial" w:cs="Arial"/>
          <w:bCs/>
          <w:color w:val="000000" w:themeColor="text1"/>
          <w:sz w:val="22"/>
          <w:szCs w:val="22"/>
          <w:lang w:val="en-ZA"/>
        </w:rPr>
        <w:t xml:space="preserve"> </w:t>
      </w:r>
      <w:r w:rsidR="00C77052" w:rsidRPr="00D075FD">
        <w:rPr>
          <w:rFonts w:ascii="Arial" w:hAnsi="Arial" w:cs="Arial"/>
          <w:bCs/>
          <w:color w:val="000000" w:themeColor="text1"/>
          <w:sz w:val="22"/>
          <w:szCs w:val="22"/>
          <w:lang w:val="en-ZA"/>
        </w:rPr>
        <w:t>2018</w:t>
      </w:r>
      <w:r w:rsidR="00C77052">
        <w:rPr>
          <w:rFonts w:ascii="Arial" w:hAnsi="Arial" w:cs="Arial"/>
          <w:bCs/>
          <w:color w:val="000000" w:themeColor="text1"/>
          <w:sz w:val="22"/>
          <w:szCs w:val="22"/>
          <w:lang w:val="en-ZA"/>
        </w:rPr>
        <w:t xml:space="preserve"> Nov, 292:</w:t>
      </w:r>
      <w:r w:rsidRPr="00D075FD">
        <w:rPr>
          <w:rFonts w:ascii="Arial" w:hAnsi="Arial" w:cs="Arial"/>
          <w:bCs/>
          <w:color w:val="000000" w:themeColor="text1"/>
          <w:sz w:val="22"/>
          <w:szCs w:val="22"/>
          <w:lang w:val="en-ZA"/>
        </w:rPr>
        <w:t xml:space="preserve"> 115-124.</w:t>
      </w:r>
      <w:r w:rsidRPr="00BF5C2E">
        <w:t xml:space="preserve"> </w:t>
      </w:r>
      <w:r w:rsidR="009863D3">
        <w:t xml:space="preserve">URL: </w:t>
      </w:r>
      <w:hyperlink r:id="rId24" w:history="1">
        <w:r w:rsidRPr="00351A9E">
          <w:rPr>
            <w:rStyle w:val="Hyperlink"/>
            <w:rFonts w:ascii="Arial" w:hAnsi="Arial" w:cs="Arial"/>
            <w:bCs/>
            <w:sz w:val="22"/>
            <w:szCs w:val="22"/>
            <w:lang w:val="en-ZA"/>
          </w:rPr>
          <w:t>https://doi.org/10.1016/j.forsciint.2018.08.001</w:t>
        </w:r>
      </w:hyperlink>
      <w:r>
        <w:rPr>
          <w:rFonts w:ascii="Arial" w:hAnsi="Arial" w:cs="Arial"/>
          <w:bCs/>
          <w:color w:val="000000" w:themeColor="text1"/>
          <w:sz w:val="22"/>
          <w:szCs w:val="22"/>
          <w:lang w:val="en-ZA"/>
        </w:rPr>
        <w:t xml:space="preserve">. </w:t>
      </w:r>
    </w:p>
    <w:p w14:paraId="4AB6B58D" w14:textId="77777777" w:rsidR="00444F70" w:rsidRPr="00D075FD" w:rsidRDefault="00444F70" w:rsidP="0016122E">
      <w:pPr>
        <w:spacing w:line="360" w:lineRule="auto"/>
        <w:rPr>
          <w:rFonts w:ascii="Arial" w:hAnsi="Arial" w:cs="Arial"/>
          <w:color w:val="000000" w:themeColor="text1"/>
          <w:sz w:val="22"/>
          <w:szCs w:val="22"/>
        </w:rPr>
      </w:pPr>
      <w:r w:rsidRPr="00D075FD">
        <w:rPr>
          <w:rFonts w:ascii="Arial" w:hAnsi="Arial" w:cs="Arial"/>
          <w:color w:val="000000" w:themeColor="text1"/>
          <w:sz w:val="22"/>
          <w:szCs w:val="22"/>
          <w:lang w:val="en-ZA"/>
        </w:rPr>
        <w:t>[14]</w:t>
      </w:r>
      <w:r w:rsidRPr="00D075FD">
        <w:rPr>
          <w:rFonts w:ascii="Arial" w:hAnsi="Arial" w:cs="Arial"/>
          <w:color w:val="000000" w:themeColor="text1"/>
          <w:sz w:val="22"/>
          <w:szCs w:val="22"/>
          <w:lang w:val="en-ZA"/>
        </w:rPr>
        <w:tab/>
        <w:t xml:space="preserve">ICH Harmonised Tripartite Guideline: Validation of Analytical Procedures: Text And Methodology, Q2 (R1), 2005, available at: </w:t>
      </w:r>
      <w:hyperlink r:id="rId25" w:history="1">
        <w:r w:rsidRPr="00D075FD">
          <w:rPr>
            <w:rStyle w:val="Hyperlink"/>
            <w:rFonts w:ascii="Arial" w:hAnsi="Arial" w:cs="Arial"/>
            <w:color w:val="000000" w:themeColor="text1"/>
            <w:sz w:val="22"/>
            <w:szCs w:val="22"/>
            <w:lang w:val="en-ZA"/>
          </w:rPr>
          <w:t>http://www.ich.org/fileadmin/Public_Web_Site/ICH_Products/Guidelines/Quality/Q2_R1/Step4/Q2_R1__Guideline.pdf</w:t>
        </w:r>
      </w:hyperlink>
      <w:r w:rsidRPr="00D075FD">
        <w:rPr>
          <w:rFonts w:ascii="Arial" w:hAnsi="Arial" w:cs="Arial"/>
          <w:color w:val="000000" w:themeColor="text1"/>
          <w:sz w:val="22"/>
          <w:szCs w:val="22"/>
        </w:rPr>
        <w:t xml:space="preserve"> (Accessed 7 July 2019)</w:t>
      </w:r>
    </w:p>
    <w:p w14:paraId="5E5FB518" w14:textId="3AA68F1C" w:rsidR="00444F70" w:rsidRDefault="00444F70" w:rsidP="0016122E">
      <w:pPr>
        <w:spacing w:line="360" w:lineRule="auto"/>
        <w:rPr>
          <w:rFonts w:ascii="Arial" w:hAnsi="Arial" w:cs="Arial"/>
          <w:color w:val="000000" w:themeColor="text1"/>
          <w:sz w:val="22"/>
          <w:szCs w:val="22"/>
        </w:rPr>
      </w:pPr>
      <w:r w:rsidRPr="00D075FD">
        <w:rPr>
          <w:rFonts w:ascii="Arial" w:hAnsi="Arial" w:cs="Arial"/>
          <w:color w:val="000000" w:themeColor="text1"/>
          <w:sz w:val="22"/>
          <w:szCs w:val="22"/>
        </w:rPr>
        <w:t>[15] UNODC in: S. Section (Ed.) Guidance for the Validation of Analytical Methodology and Calibration of Equipment used for Testing of Illicit Drugs in Seized Materials and Biological Specimens, United Nations, Vienna, 2009.</w:t>
      </w:r>
    </w:p>
    <w:p w14:paraId="22CD035C" w14:textId="2E115F25" w:rsidR="007C50FE" w:rsidRPr="007C50FE" w:rsidRDefault="007C50FE" w:rsidP="00C6091F">
      <w:pPr>
        <w:spacing w:line="360" w:lineRule="auto"/>
        <w:rPr>
          <w:rFonts w:ascii="Arial" w:hAnsi="Arial" w:cs="Arial"/>
          <w:color w:val="000000" w:themeColor="text1"/>
          <w:sz w:val="22"/>
          <w:szCs w:val="22"/>
        </w:rPr>
      </w:pPr>
      <w:r>
        <w:rPr>
          <w:rFonts w:ascii="Arial" w:hAnsi="Arial" w:cs="Arial"/>
          <w:color w:val="000000" w:themeColor="text1"/>
          <w:sz w:val="22"/>
          <w:szCs w:val="22"/>
        </w:rPr>
        <w:t xml:space="preserve">[16] </w:t>
      </w:r>
      <w:proofErr w:type="spellStart"/>
      <w:r w:rsidR="00C6091F" w:rsidRPr="00D075FD">
        <w:rPr>
          <w:rFonts w:ascii="Arial" w:hAnsi="Arial" w:cs="Arial"/>
          <w:color w:val="000000" w:themeColor="text1"/>
          <w:sz w:val="22"/>
          <w:szCs w:val="22"/>
        </w:rPr>
        <w:t>Bonfilio</w:t>
      </w:r>
      <w:proofErr w:type="spellEnd"/>
      <w:r w:rsidR="00C6091F" w:rsidRPr="00D075FD">
        <w:rPr>
          <w:rFonts w:ascii="Arial" w:hAnsi="Arial" w:cs="Arial"/>
          <w:color w:val="000000" w:themeColor="text1"/>
          <w:sz w:val="22"/>
          <w:szCs w:val="22"/>
        </w:rPr>
        <w:t xml:space="preserve"> </w:t>
      </w:r>
      <w:r w:rsidR="00C6091F">
        <w:rPr>
          <w:rFonts w:ascii="Arial" w:hAnsi="Arial" w:cs="Arial"/>
          <w:color w:val="000000" w:themeColor="text1"/>
          <w:sz w:val="22"/>
          <w:szCs w:val="22"/>
        </w:rPr>
        <w:t>R</w:t>
      </w:r>
      <w:r w:rsidR="00A23D11" w:rsidRPr="00D075FD">
        <w:rPr>
          <w:rFonts w:ascii="Arial" w:hAnsi="Arial" w:cs="Arial"/>
          <w:color w:val="000000" w:themeColor="text1"/>
          <w:sz w:val="22"/>
          <w:szCs w:val="22"/>
        </w:rPr>
        <w:t xml:space="preserve">, </w:t>
      </w:r>
      <w:proofErr w:type="spellStart"/>
      <w:r w:rsidR="00C6091F" w:rsidRPr="00D075FD">
        <w:rPr>
          <w:rFonts w:ascii="Arial" w:hAnsi="Arial" w:cs="Arial"/>
          <w:color w:val="000000" w:themeColor="text1"/>
          <w:sz w:val="22"/>
          <w:szCs w:val="22"/>
        </w:rPr>
        <w:t>Cazedey</w:t>
      </w:r>
      <w:proofErr w:type="spellEnd"/>
      <w:r w:rsidR="00C6091F" w:rsidRPr="00D075FD">
        <w:rPr>
          <w:rFonts w:ascii="Arial" w:hAnsi="Arial" w:cs="Arial"/>
          <w:color w:val="000000" w:themeColor="text1"/>
          <w:sz w:val="22"/>
          <w:szCs w:val="22"/>
        </w:rPr>
        <w:t xml:space="preserve"> </w:t>
      </w:r>
      <w:r w:rsidR="00C6091F">
        <w:rPr>
          <w:rFonts w:ascii="Arial" w:hAnsi="Arial" w:cs="Arial"/>
          <w:color w:val="000000" w:themeColor="text1"/>
          <w:sz w:val="22"/>
          <w:szCs w:val="22"/>
        </w:rPr>
        <w:t>E C L</w:t>
      </w:r>
      <w:r w:rsidR="00A23D11" w:rsidRPr="00D075FD">
        <w:rPr>
          <w:rFonts w:ascii="Arial" w:hAnsi="Arial" w:cs="Arial"/>
          <w:color w:val="000000" w:themeColor="text1"/>
          <w:sz w:val="22"/>
          <w:szCs w:val="22"/>
        </w:rPr>
        <w:t xml:space="preserve">, </w:t>
      </w:r>
      <w:r w:rsidR="00C6091F" w:rsidRPr="00D075FD">
        <w:rPr>
          <w:rFonts w:ascii="Arial" w:hAnsi="Arial" w:cs="Arial"/>
          <w:color w:val="000000" w:themeColor="text1"/>
          <w:sz w:val="22"/>
          <w:szCs w:val="22"/>
        </w:rPr>
        <w:t xml:space="preserve">de </w:t>
      </w:r>
      <w:proofErr w:type="spellStart"/>
      <w:r w:rsidR="00C6091F" w:rsidRPr="00D075FD">
        <w:rPr>
          <w:rFonts w:ascii="Arial" w:hAnsi="Arial" w:cs="Arial"/>
          <w:color w:val="000000" w:themeColor="text1"/>
          <w:sz w:val="22"/>
          <w:szCs w:val="22"/>
        </w:rPr>
        <w:t>Arańjo</w:t>
      </w:r>
      <w:proofErr w:type="spellEnd"/>
      <w:r w:rsidR="00C6091F" w:rsidRPr="00D075FD">
        <w:rPr>
          <w:rFonts w:ascii="Arial" w:hAnsi="Arial" w:cs="Arial"/>
          <w:color w:val="000000" w:themeColor="text1"/>
          <w:sz w:val="22"/>
          <w:szCs w:val="22"/>
        </w:rPr>
        <w:t xml:space="preserve"> </w:t>
      </w:r>
      <w:r w:rsidR="00C6091F">
        <w:rPr>
          <w:rFonts w:ascii="Arial" w:hAnsi="Arial" w:cs="Arial"/>
          <w:color w:val="000000" w:themeColor="text1"/>
          <w:sz w:val="22"/>
          <w:szCs w:val="22"/>
        </w:rPr>
        <w:t>M B</w:t>
      </w:r>
      <w:r w:rsidR="00A23D11" w:rsidRPr="00D075FD">
        <w:rPr>
          <w:rFonts w:ascii="Arial" w:hAnsi="Arial" w:cs="Arial"/>
          <w:color w:val="000000" w:themeColor="text1"/>
          <w:sz w:val="22"/>
          <w:szCs w:val="22"/>
        </w:rPr>
        <w:t xml:space="preserve">, </w:t>
      </w:r>
      <w:r w:rsidR="00C6091F" w:rsidRPr="00D075FD">
        <w:rPr>
          <w:rFonts w:ascii="Arial" w:hAnsi="Arial" w:cs="Arial"/>
          <w:color w:val="000000" w:themeColor="text1"/>
          <w:sz w:val="22"/>
          <w:szCs w:val="22"/>
        </w:rPr>
        <w:t xml:space="preserve">Salgado </w:t>
      </w:r>
      <w:r w:rsidR="00C6091F">
        <w:rPr>
          <w:rFonts w:ascii="Arial" w:hAnsi="Arial" w:cs="Arial"/>
          <w:color w:val="000000" w:themeColor="text1"/>
          <w:sz w:val="22"/>
          <w:szCs w:val="22"/>
        </w:rPr>
        <w:t>H R</w:t>
      </w:r>
      <w:r w:rsidR="00A23D11" w:rsidRPr="00D075FD">
        <w:rPr>
          <w:rFonts w:ascii="Arial" w:hAnsi="Arial" w:cs="Arial"/>
          <w:color w:val="000000" w:themeColor="text1"/>
          <w:sz w:val="22"/>
          <w:szCs w:val="22"/>
        </w:rPr>
        <w:t xml:space="preserve"> N. </w:t>
      </w:r>
      <w:bookmarkStart w:id="24" w:name="OLE_LINK31"/>
      <w:bookmarkStart w:id="25" w:name="OLE_LINK32"/>
      <w:r w:rsidR="00A23D11" w:rsidRPr="00D075FD">
        <w:rPr>
          <w:rFonts w:ascii="Arial" w:hAnsi="Arial" w:cs="Arial"/>
          <w:color w:val="000000" w:themeColor="text1"/>
          <w:sz w:val="22"/>
          <w:szCs w:val="22"/>
        </w:rPr>
        <w:t>Analytical Validation of Quantitative High-Performance Liquid Chromatographic Methods in Pharmaceutical Analysis: A Practical Approach.</w:t>
      </w:r>
      <w:bookmarkEnd w:id="24"/>
      <w:bookmarkEnd w:id="25"/>
      <w:r w:rsidR="00A23D11" w:rsidRPr="00D075FD">
        <w:rPr>
          <w:rFonts w:ascii="Arial" w:hAnsi="Arial" w:cs="Arial"/>
          <w:color w:val="000000" w:themeColor="text1"/>
          <w:sz w:val="22"/>
          <w:szCs w:val="22"/>
        </w:rPr>
        <w:t xml:space="preserve"> </w:t>
      </w:r>
      <w:r w:rsidR="00C6091F">
        <w:rPr>
          <w:rFonts w:ascii="Arial" w:hAnsi="Arial" w:cs="Arial"/>
          <w:color w:val="000000" w:themeColor="text1"/>
          <w:sz w:val="22"/>
          <w:szCs w:val="22"/>
        </w:rPr>
        <w:t xml:space="preserve">Crit Rev Anal </w:t>
      </w:r>
      <w:r w:rsidR="00C6091F" w:rsidRPr="00C6091F">
        <w:rPr>
          <w:rFonts w:ascii="Arial" w:hAnsi="Arial" w:cs="Arial"/>
          <w:color w:val="000000" w:themeColor="text1"/>
          <w:sz w:val="22"/>
          <w:szCs w:val="22"/>
        </w:rPr>
        <w:t>Chem.</w:t>
      </w:r>
      <w:r w:rsidR="00A23D11" w:rsidRPr="00D075FD">
        <w:rPr>
          <w:rFonts w:ascii="Arial" w:hAnsi="Arial" w:cs="Arial"/>
          <w:color w:val="000000" w:themeColor="text1"/>
          <w:sz w:val="22"/>
          <w:szCs w:val="22"/>
        </w:rPr>
        <w:t xml:space="preserve"> </w:t>
      </w:r>
      <w:r w:rsidR="00E538C0">
        <w:rPr>
          <w:rFonts w:ascii="Arial" w:hAnsi="Arial" w:cs="Arial"/>
          <w:color w:val="000000" w:themeColor="text1"/>
          <w:sz w:val="22"/>
          <w:szCs w:val="22"/>
        </w:rPr>
        <w:t>2012 Jan</w:t>
      </w:r>
      <w:r w:rsidR="00963AFB">
        <w:rPr>
          <w:rFonts w:ascii="Arial" w:hAnsi="Arial" w:cs="Arial"/>
          <w:color w:val="000000" w:themeColor="text1"/>
          <w:sz w:val="22"/>
          <w:szCs w:val="22"/>
        </w:rPr>
        <w:t xml:space="preserve">, 2: </w:t>
      </w:r>
      <w:r w:rsidR="00A23D11" w:rsidRPr="00D075FD">
        <w:rPr>
          <w:rFonts w:ascii="Arial" w:hAnsi="Arial" w:cs="Arial"/>
          <w:color w:val="000000" w:themeColor="text1"/>
          <w:sz w:val="22"/>
          <w:szCs w:val="22"/>
        </w:rPr>
        <w:t>87–100.</w:t>
      </w:r>
      <w:r w:rsidR="00A23D11" w:rsidRPr="00BF5C2E">
        <w:t xml:space="preserve"> </w:t>
      </w:r>
      <w:r w:rsidR="00963AFB">
        <w:t xml:space="preserve">URL: </w:t>
      </w:r>
      <w:hyperlink r:id="rId26" w:history="1">
        <w:r w:rsidR="00A23D11" w:rsidRPr="00351A9E">
          <w:rPr>
            <w:rStyle w:val="Hyperlink"/>
            <w:rFonts w:ascii="Arial" w:hAnsi="Arial" w:cs="Arial"/>
            <w:sz w:val="22"/>
            <w:szCs w:val="22"/>
          </w:rPr>
          <w:t>https://doi.org/10.1080/10408347.2012.630926</w:t>
        </w:r>
      </w:hyperlink>
      <w:r w:rsidR="00A23D11">
        <w:rPr>
          <w:rFonts w:ascii="Arial" w:hAnsi="Arial" w:cs="Arial"/>
          <w:color w:val="000000" w:themeColor="text1"/>
          <w:sz w:val="22"/>
          <w:szCs w:val="22"/>
        </w:rPr>
        <w:t>.</w:t>
      </w:r>
    </w:p>
    <w:p w14:paraId="18B32F84" w14:textId="68F8F03D" w:rsidR="00444F70" w:rsidRDefault="00DC6935" w:rsidP="0016122E">
      <w:pPr>
        <w:spacing w:line="360" w:lineRule="auto"/>
        <w:rPr>
          <w:rFonts w:ascii="Arial" w:hAnsi="Arial" w:cs="Arial"/>
          <w:color w:val="000000" w:themeColor="text1"/>
          <w:sz w:val="22"/>
          <w:szCs w:val="22"/>
        </w:rPr>
      </w:pPr>
      <w:r>
        <w:rPr>
          <w:rFonts w:ascii="Arial" w:hAnsi="Arial" w:cs="Arial"/>
          <w:color w:val="000000" w:themeColor="text1"/>
          <w:sz w:val="22"/>
          <w:szCs w:val="22"/>
        </w:rPr>
        <w:t>[17</w:t>
      </w:r>
      <w:r w:rsidR="00444F70" w:rsidRPr="00D075FD">
        <w:rPr>
          <w:rFonts w:ascii="Arial" w:hAnsi="Arial" w:cs="Arial"/>
          <w:color w:val="000000" w:themeColor="text1"/>
          <w:sz w:val="22"/>
          <w:szCs w:val="22"/>
        </w:rPr>
        <w:t xml:space="preserve">] </w:t>
      </w:r>
      <w:r w:rsidR="00A23D11" w:rsidRPr="007C50FE">
        <w:rPr>
          <w:rFonts w:ascii="Arial" w:hAnsi="Arial" w:cs="Arial"/>
          <w:color w:val="000000" w:themeColor="text1"/>
          <w:sz w:val="22"/>
          <w:szCs w:val="22"/>
        </w:rPr>
        <w:t>D.A.</w:t>
      </w:r>
      <w:r w:rsidR="00A23D11">
        <w:rPr>
          <w:rFonts w:ascii="Arial" w:hAnsi="Arial" w:cs="Arial"/>
          <w:color w:val="000000" w:themeColor="text1"/>
          <w:sz w:val="22"/>
          <w:szCs w:val="22"/>
        </w:rPr>
        <w:t xml:space="preserve"> </w:t>
      </w:r>
      <w:r w:rsidR="00A23D11" w:rsidRPr="007C50FE">
        <w:rPr>
          <w:rFonts w:ascii="Arial" w:hAnsi="Arial" w:cs="Arial"/>
          <w:color w:val="000000" w:themeColor="text1"/>
          <w:sz w:val="22"/>
          <w:szCs w:val="22"/>
        </w:rPr>
        <w:t>Skoog, D.M.</w:t>
      </w:r>
      <w:r w:rsidR="00A23D11">
        <w:rPr>
          <w:rFonts w:ascii="Arial" w:hAnsi="Arial" w:cs="Arial"/>
          <w:color w:val="000000" w:themeColor="text1"/>
          <w:sz w:val="22"/>
          <w:szCs w:val="22"/>
        </w:rPr>
        <w:t xml:space="preserve"> </w:t>
      </w:r>
      <w:r w:rsidR="00A23D11" w:rsidRPr="007C50FE">
        <w:rPr>
          <w:rFonts w:ascii="Arial" w:hAnsi="Arial" w:cs="Arial"/>
          <w:color w:val="000000" w:themeColor="text1"/>
          <w:sz w:val="22"/>
          <w:szCs w:val="22"/>
        </w:rPr>
        <w:t>West, F.J.</w:t>
      </w:r>
      <w:r w:rsidR="00A23D11">
        <w:rPr>
          <w:rFonts w:ascii="Arial" w:hAnsi="Arial" w:cs="Arial"/>
          <w:color w:val="000000" w:themeColor="text1"/>
          <w:sz w:val="22"/>
          <w:szCs w:val="22"/>
        </w:rPr>
        <w:t xml:space="preserve"> </w:t>
      </w:r>
      <w:r w:rsidR="00A23D11" w:rsidRPr="007C50FE">
        <w:rPr>
          <w:rFonts w:ascii="Arial" w:hAnsi="Arial" w:cs="Arial"/>
          <w:color w:val="000000" w:themeColor="text1"/>
          <w:sz w:val="22"/>
          <w:szCs w:val="22"/>
        </w:rPr>
        <w:t>Holler, S.R.</w:t>
      </w:r>
      <w:r w:rsidR="00A23D11">
        <w:rPr>
          <w:rFonts w:ascii="Arial" w:hAnsi="Arial" w:cs="Arial"/>
          <w:color w:val="000000" w:themeColor="text1"/>
          <w:sz w:val="22"/>
          <w:szCs w:val="22"/>
        </w:rPr>
        <w:t xml:space="preserve"> </w:t>
      </w:r>
      <w:r w:rsidR="00A23D11" w:rsidRPr="007C50FE">
        <w:rPr>
          <w:rFonts w:ascii="Arial" w:hAnsi="Arial" w:cs="Arial"/>
          <w:color w:val="000000" w:themeColor="text1"/>
          <w:sz w:val="22"/>
          <w:szCs w:val="22"/>
        </w:rPr>
        <w:t>Crouch</w:t>
      </w:r>
      <w:r w:rsidR="00A23D11">
        <w:rPr>
          <w:rFonts w:ascii="Arial" w:hAnsi="Arial" w:cs="Arial"/>
          <w:color w:val="000000" w:themeColor="text1"/>
          <w:sz w:val="22"/>
          <w:szCs w:val="22"/>
        </w:rPr>
        <w:t>,</w:t>
      </w:r>
      <w:r w:rsidR="00A23D11" w:rsidRPr="007C50FE">
        <w:rPr>
          <w:rFonts w:ascii="Arial" w:hAnsi="Arial" w:cs="Arial"/>
          <w:color w:val="000000" w:themeColor="text1"/>
          <w:sz w:val="22"/>
          <w:szCs w:val="22"/>
        </w:rPr>
        <w:t xml:space="preserve"> Fundamentals of Analytical Chemistry. 8th ed., Chapter 7 p. 163. Brooks/Cole </w:t>
      </w:r>
      <w:r w:rsidR="00A23D11">
        <w:rPr>
          <w:rFonts w:ascii="Arial" w:hAnsi="Arial" w:cs="Arial"/>
          <w:color w:val="000000" w:themeColor="text1"/>
          <w:sz w:val="22"/>
          <w:szCs w:val="22"/>
        </w:rPr>
        <w:t>– Thomson Learning Inc. Toronto,</w:t>
      </w:r>
      <w:r w:rsidR="00A23D11" w:rsidRPr="007C50FE">
        <w:rPr>
          <w:rFonts w:ascii="Arial" w:hAnsi="Arial" w:cs="Arial"/>
          <w:color w:val="000000" w:themeColor="text1"/>
          <w:sz w:val="22"/>
          <w:szCs w:val="22"/>
        </w:rPr>
        <w:t xml:space="preserve"> 2004.</w:t>
      </w:r>
    </w:p>
    <w:p w14:paraId="36B11D25" w14:textId="2FAD73BC" w:rsidR="00377AF2" w:rsidRPr="00377AF2" w:rsidRDefault="00DC6935" w:rsidP="0016122E">
      <w:pPr>
        <w:spacing w:line="360" w:lineRule="auto"/>
        <w:rPr>
          <w:rFonts w:ascii="Arial" w:hAnsi="Arial" w:cs="Arial"/>
          <w:color w:val="000000" w:themeColor="text1"/>
          <w:sz w:val="22"/>
          <w:szCs w:val="22"/>
          <w:lang w:val="en-ZA"/>
        </w:rPr>
      </w:pPr>
      <w:r>
        <w:rPr>
          <w:rFonts w:ascii="Arial" w:hAnsi="Arial" w:cs="Arial"/>
          <w:color w:val="000000" w:themeColor="text1"/>
          <w:sz w:val="22"/>
          <w:szCs w:val="22"/>
        </w:rPr>
        <w:t>[18</w:t>
      </w:r>
      <w:r w:rsidR="00444F70">
        <w:rPr>
          <w:rFonts w:ascii="Arial" w:hAnsi="Arial" w:cs="Arial"/>
          <w:color w:val="000000" w:themeColor="text1"/>
          <w:sz w:val="22"/>
          <w:szCs w:val="22"/>
        </w:rPr>
        <w:t>]</w:t>
      </w:r>
      <w:r w:rsidR="00377AF2" w:rsidRPr="00377AF2">
        <w:rPr>
          <w:rFonts w:ascii="Calibri" w:eastAsia="Calibri" w:hAnsi="Calibri" w:cs="Times New Roman"/>
          <w:sz w:val="22"/>
          <w:szCs w:val="22"/>
          <w:lang w:val="en-ZA"/>
        </w:rPr>
        <w:t xml:space="preserve"> </w:t>
      </w:r>
      <w:r w:rsidR="0047733F" w:rsidRPr="00377AF2">
        <w:rPr>
          <w:rFonts w:ascii="Arial" w:hAnsi="Arial" w:cs="Arial"/>
          <w:color w:val="000000" w:themeColor="text1"/>
          <w:sz w:val="22"/>
          <w:szCs w:val="22"/>
          <w:lang w:val="en-ZA"/>
        </w:rPr>
        <w:t xml:space="preserve">Ahmad </w:t>
      </w:r>
      <w:r w:rsidR="0047733F">
        <w:rPr>
          <w:rFonts w:ascii="Arial" w:hAnsi="Arial" w:cs="Arial"/>
          <w:color w:val="000000" w:themeColor="text1"/>
          <w:sz w:val="22"/>
          <w:szCs w:val="22"/>
          <w:lang w:val="en-ZA"/>
        </w:rPr>
        <w:t>U K</w:t>
      </w:r>
      <w:r w:rsidR="00377AF2" w:rsidRPr="00377AF2">
        <w:rPr>
          <w:rFonts w:ascii="Arial" w:hAnsi="Arial" w:cs="Arial"/>
          <w:color w:val="000000" w:themeColor="text1"/>
          <w:sz w:val="22"/>
          <w:szCs w:val="22"/>
          <w:lang w:val="en-ZA"/>
        </w:rPr>
        <w:t xml:space="preserve">, </w:t>
      </w:r>
      <w:proofErr w:type="spellStart"/>
      <w:r w:rsidR="0047733F" w:rsidRPr="00377AF2">
        <w:rPr>
          <w:rFonts w:ascii="Arial" w:hAnsi="Arial" w:cs="Arial"/>
          <w:color w:val="000000" w:themeColor="text1"/>
          <w:sz w:val="22"/>
          <w:szCs w:val="22"/>
          <w:lang w:val="en-ZA"/>
        </w:rPr>
        <w:t>Muniandy</w:t>
      </w:r>
      <w:proofErr w:type="spellEnd"/>
      <w:r w:rsidR="0047733F" w:rsidRPr="00377AF2">
        <w:rPr>
          <w:rFonts w:ascii="Arial" w:hAnsi="Arial" w:cs="Arial"/>
          <w:color w:val="000000" w:themeColor="text1"/>
          <w:sz w:val="22"/>
          <w:szCs w:val="22"/>
          <w:lang w:val="en-ZA"/>
        </w:rPr>
        <w:t xml:space="preserve"> </w:t>
      </w:r>
      <w:proofErr w:type="gramStart"/>
      <w:r w:rsidR="0047733F">
        <w:rPr>
          <w:rFonts w:ascii="Arial" w:hAnsi="Arial" w:cs="Arial"/>
          <w:color w:val="000000" w:themeColor="text1"/>
          <w:sz w:val="22"/>
          <w:szCs w:val="22"/>
          <w:lang w:val="en-ZA"/>
        </w:rPr>
        <w:t>Y</w:t>
      </w:r>
      <w:r w:rsidR="00377AF2" w:rsidRPr="00377AF2">
        <w:rPr>
          <w:rFonts w:ascii="Arial" w:hAnsi="Arial" w:cs="Arial"/>
          <w:color w:val="000000" w:themeColor="text1"/>
          <w:sz w:val="22"/>
          <w:szCs w:val="22"/>
          <w:lang w:val="en-ZA"/>
        </w:rPr>
        <w:t xml:space="preserve">,  </w:t>
      </w:r>
      <w:r w:rsidR="0047733F" w:rsidRPr="00377AF2">
        <w:rPr>
          <w:rFonts w:ascii="Arial" w:hAnsi="Arial" w:cs="Arial"/>
          <w:color w:val="000000" w:themeColor="text1"/>
          <w:sz w:val="22"/>
          <w:szCs w:val="22"/>
          <w:lang w:val="en-ZA"/>
        </w:rPr>
        <w:t>Hassan</w:t>
      </w:r>
      <w:proofErr w:type="gramEnd"/>
      <w:r w:rsidR="0047733F" w:rsidRPr="00377AF2">
        <w:rPr>
          <w:rFonts w:ascii="Arial" w:hAnsi="Arial" w:cs="Arial"/>
          <w:color w:val="000000" w:themeColor="text1"/>
          <w:sz w:val="22"/>
          <w:szCs w:val="22"/>
          <w:lang w:val="en-ZA"/>
        </w:rPr>
        <w:t xml:space="preserve"> </w:t>
      </w:r>
      <w:r w:rsidR="0047733F">
        <w:rPr>
          <w:rFonts w:ascii="Arial" w:hAnsi="Arial" w:cs="Arial"/>
          <w:color w:val="000000" w:themeColor="text1"/>
          <w:sz w:val="22"/>
          <w:szCs w:val="22"/>
          <w:lang w:val="en-ZA"/>
        </w:rPr>
        <w:t xml:space="preserve">M </w:t>
      </w:r>
      <w:r w:rsidR="00377AF2" w:rsidRPr="00377AF2">
        <w:rPr>
          <w:rFonts w:ascii="Arial" w:hAnsi="Arial" w:cs="Arial"/>
          <w:color w:val="000000" w:themeColor="text1"/>
          <w:sz w:val="22"/>
          <w:szCs w:val="22"/>
          <w:lang w:val="en-ZA"/>
        </w:rPr>
        <w:t xml:space="preserve">S. </w:t>
      </w:r>
      <w:bookmarkStart w:id="26" w:name="OLE_LINK13"/>
      <w:bookmarkStart w:id="27" w:name="OLE_LINK14"/>
      <w:bookmarkStart w:id="28" w:name="OLE_LINK33"/>
      <w:r w:rsidR="00377AF2" w:rsidRPr="00377AF2">
        <w:rPr>
          <w:rFonts w:ascii="Arial" w:hAnsi="Arial" w:cs="Arial"/>
          <w:color w:val="000000" w:themeColor="text1"/>
          <w:sz w:val="22"/>
          <w:szCs w:val="22"/>
          <w:lang w:val="en-ZA"/>
        </w:rPr>
        <w:t>Physical Analysis and Chemical Profiling of Illicit Herbal Cannabis using Mul</w:t>
      </w:r>
      <w:r w:rsidR="00963AFB">
        <w:rPr>
          <w:rFonts w:ascii="Arial" w:hAnsi="Arial" w:cs="Arial"/>
          <w:color w:val="000000" w:themeColor="text1"/>
          <w:sz w:val="22"/>
          <w:szCs w:val="22"/>
          <w:lang w:val="en-ZA"/>
        </w:rPr>
        <w:t>tivariate Analysis.</w:t>
      </w:r>
      <w:bookmarkEnd w:id="26"/>
      <w:bookmarkEnd w:id="27"/>
      <w:bookmarkEnd w:id="28"/>
      <w:r w:rsidR="00963AFB">
        <w:rPr>
          <w:rFonts w:ascii="Arial" w:hAnsi="Arial" w:cs="Arial"/>
          <w:color w:val="000000" w:themeColor="text1"/>
          <w:sz w:val="22"/>
          <w:szCs w:val="22"/>
          <w:lang w:val="en-ZA"/>
        </w:rPr>
        <w:t xml:space="preserve"> Malaysian J</w:t>
      </w:r>
      <w:r w:rsidR="00377AF2" w:rsidRPr="00377AF2">
        <w:rPr>
          <w:rFonts w:ascii="Arial" w:hAnsi="Arial" w:cs="Arial"/>
          <w:color w:val="000000" w:themeColor="text1"/>
          <w:sz w:val="22"/>
          <w:szCs w:val="22"/>
          <w:lang w:val="en-ZA"/>
        </w:rPr>
        <w:t xml:space="preserve"> For</w:t>
      </w:r>
      <w:r w:rsidR="004F0246">
        <w:rPr>
          <w:rFonts w:ascii="Arial" w:hAnsi="Arial" w:cs="Arial"/>
          <w:color w:val="000000" w:themeColor="text1"/>
          <w:sz w:val="22"/>
          <w:szCs w:val="22"/>
          <w:lang w:val="en-ZA"/>
        </w:rPr>
        <w:t xml:space="preserve">ensic Sci. </w:t>
      </w:r>
      <w:r w:rsidR="00963AFB">
        <w:rPr>
          <w:rFonts w:ascii="Arial" w:hAnsi="Arial" w:cs="Arial"/>
          <w:color w:val="000000" w:themeColor="text1"/>
          <w:sz w:val="22"/>
          <w:szCs w:val="22"/>
          <w:lang w:val="en-ZA"/>
        </w:rPr>
        <w:t>2005, 5(1):</w:t>
      </w:r>
      <w:r w:rsidR="004F0246">
        <w:rPr>
          <w:rFonts w:ascii="Arial" w:hAnsi="Arial" w:cs="Arial"/>
          <w:color w:val="000000" w:themeColor="text1"/>
          <w:sz w:val="22"/>
          <w:szCs w:val="22"/>
          <w:lang w:val="en-ZA"/>
        </w:rPr>
        <w:t xml:space="preserve"> 26 – 34.</w:t>
      </w:r>
      <w:r w:rsidR="00963AFB">
        <w:rPr>
          <w:rFonts w:ascii="Arial" w:hAnsi="Arial" w:cs="Arial"/>
          <w:color w:val="000000" w:themeColor="text1"/>
          <w:sz w:val="22"/>
          <w:szCs w:val="22"/>
          <w:lang w:val="en-ZA"/>
        </w:rPr>
        <w:t xml:space="preserve"> URL: </w:t>
      </w:r>
      <w:hyperlink r:id="rId27" w:history="1">
        <w:r w:rsidR="00963AFB" w:rsidRPr="009040A0">
          <w:rPr>
            <w:rStyle w:val="Hyperlink"/>
            <w:rFonts w:ascii="Arial" w:hAnsi="Arial" w:cs="Arial"/>
            <w:sz w:val="22"/>
            <w:szCs w:val="22"/>
            <w:lang w:val="en-ZA"/>
          </w:rPr>
          <w:t>http://forensics.org.my/mjofs/pdf/fssmVol.5No.1/Article%2005.pdf</w:t>
        </w:r>
      </w:hyperlink>
      <w:r w:rsidR="00963AFB">
        <w:rPr>
          <w:rFonts w:ascii="Arial" w:hAnsi="Arial" w:cs="Arial"/>
          <w:color w:val="000000" w:themeColor="text1"/>
          <w:sz w:val="22"/>
          <w:szCs w:val="22"/>
          <w:lang w:val="en-ZA"/>
        </w:rPr>
        <w:t>.</w:t>
      </w:r>
    </w:p>
    <w:p w14:paraId="6F656759" w14:textId="7E3777F8" w:rsidR="00377AF2" w:rsidRDefault="00DC6935" w:rsidP="0016122E">
      <w:pPr>
        <w:spacing w:line="360" w:lineRule="auto"/>
        <w:rPr>
          <w:rFonts w:ascii="Arial" w:hAnsi="Arial" w:cs="Arial"/>
          <w:color w:val="000000" w:themeColor="text1"/>
          <w:sz w:val="22"/>
          <w:szCs w:val="22"/>
        </w:rPr>
      </w:pPr>
      <w:r>
        <w:rPr>
          <w:rFonts w:ascii="Arial" w:hAnsi="Arial" w:cs="Arial"/>
          <w:color w:val="000000" w:themeColor="text1"/>
          <w:sz w:val="22"/>
          <w:szCs w:val="22"/>
          <w:lang w:val="en-ZA"/>
        </w:rPr>
        <w:t>[19</w:t>
      </w:r>
      <w:r w:rsidR="00087D49">
        <w:rPr>
          <w:rFonts w:ascii="Arial" w:hAnsi="Arial" w:cs="Arial"/>
          <w:color w:val="000000" w:themeColor="text1"/>
          <w:sz w:val="22"/>
          <w:szCs w:val="22"/>
          <w:lang w:val="en-ZA"/>
        </w:rPr>
        <w:t xml:space="preserve">] </w:t>
      </w:r>
      <w:r w:rsidR="00087D49" w:rsidRPr="00D075FD">
        <w:rPr>
          <w:rFonts w:ascii="Arial" w:eastAsia="Times New Roman" w:hAnsi="Arial" w:cs="Arial"/>
          <w:color w:val="000000" w:themeColor="text1"/>
          <w:sz w:val="22"/>
          <w:szCs w:val="22"/>
          <w:shd w:val="clear" w:color="auto" w:fill="FFFFFF"/>
        </w:rPr>
        <w:t>United Nations Office on Drugs and Crime, 2009. </w:t>
      </w:r>
      <w:r w:rsidR="00087D49" w:rsidRPr="00D075FD">
        <w:rPr>
          <w:rFonts w:ascii="Arial" w:eastAsia="Times New Roman" w:hAnsi="Arial" w:cs="Arial"/>
          <w:i/>
          <w:iCs/>
          <w:color w:val="000000" w:themeColor="text1"/>
          <w:sz w:val="22"/>
          <w:szCs w:val="22"/>
        </w:rPr>
        <w:t>Recommended methods for the identification and analysis of cannabis and cannabis products</w:t>
      </w:r>
      <w:r w:rsidR="00087D49" w:rsidRPr="00D075FD">
        <w:rPr>
          <w:rFonts w:ascii="Arial" w:eastAsia="Times New Roman" w:hAnsi="Arial" w:cs="Arial"/>
          <w:color w:val="000000" w:themeColor="text1"/>
          <w:sz w:val="22"/>
          <w:szCs w:val="22"/>
          <w:shd w:val="clear" w:color="auto" w:fill="FFFFFF"/>
        </w:rPr>
        <w:t>. United Nations Publications.</w:t>
      </w:r>
    </w:p>
    <w:p w14:paraId="076F450F" w14:textId="25B6F4E0" w:rsidR="00444F70" w:rsidRPr="00D075FD" w:rsidRDefault="0087294A" w:rsidP="0016122E">
      <w:pPr>
        <w:spacing w:line="360" w:lineRule="auto"/>
        <w:rPr>
          <w:rFonts w:ascii="Arial" w:hAnsi="Arial" w:cs="Arial"/>
          <w:color w:val="000000" w:themeColor="text1"/>
          <w:sz w:val="22"/>
          <w:szCs w:val="22"/>
        </w:rPr>
      </w:pPr>
      <w:r>
        <w:rPr>
          <w:rFonts w:ascii="Arial" w:hAnsi="Arial" w:cs="Arial"/>
          <w:color w:val="000000" w:themeColor="text1"/>
          <w:sz w:val="22"/>
          <w:szCs w:val="22"/>
        </w:rPr>
        <w:t xml:space="preserve"> [20</w:t>
      </w:r>
      <w:r w:rsidR="00444F70" w:rsidRPr="00D075FD">
        <w:rPr>
          <w:rFonts w:ascii="Arial" w:hAnsi="Arial" w:cs="Arial"/>
          <w:color w:val="000000" w:themeColor="text1"/>
          <w:sz w:val="22"/>
          <w:szCs w:val="22"/>
        </w:rPr>
        <w:t xml:space="preserve">] </w:t>
      </w:r>
      <w:r w:rsidR="00B03ABD" w:rsidRPr="00D075FD">
        <w:rPr>
          <w:rFonts w:ascii="Arial" w:hAnsi="Arial" w:cs="Arial"/>
          <w:color w:val="000000" w:themeColor="text1"/>
          <w:sz w:val="22"/>
          <w:szCs w:val="22"/>
        </w:rPr>
        <w:t xml:space="preserve">Peters </w:t>
      </w:r>
      <w:r w:rsidR="00B03ABD">
        <w:rPr>
          <w:rFonts w:ascii="Arial" w:hAnsi="Arial" w:cs="Arial"/>
          <w:color w:val="000000" w:themeColor="text1"/>
          <w:sz w:val="22"/>
          <w:szCs w:val="22"/>
        </w:rPr>
        <w:t>FT</w:t>
      </w:r>
      <w:r w:rsidR="00444F70" w:rsidRPr="00D075FD">
        <w:rPr>
          <w:rFonts w:ascii="Arial" w:hAnsi="Arial" w:cs="Arial"/>
          <w:color w:val="000000" w:themeColor="text1"/>
          <w:sz w:val="22"/>
          <w:szCs w:val="22"/>
        </w:rPr>
        <w:t xml:space="preserve">, </w:t>
      </w:r>
      <w:r w:rsidR="00B03ABD" w:rsidRPr="00D075FD">
        <w:rPr>
          <w:rFonts w:ascii="Arial" w:hAnsi="Arial" w:cs="Arial"/>
          <w:color w:val="000000" w:themeColor="text1"/>
          <w:sz w:val="22"/>
          <w:szCs w:val="22"/>
        </w:rPr>
        <w:t xml:space="preserve">Drummer </w:t>
      </w:r>
      <w:r w:rsidR="00B03ABD">
        <w:rPr>
          <w:rFonts w:ascii="Arial" w:hAnsi="Arial" w:cs="Arial"/>
          <w:color w:val="000000" w:themeColor="text1"/>
          <w:sz w:val="22"/>
          <w:szCs w:val="22"/>
        </w:rPr>
        <w:t>O H</w:t>
      </w:r>
      <w:r w:rsidR="00444F70" w:rsidRPr="00D075FD">
        <w:rPr>
          <w:rFonts w:ascii="Arial" w:hAnsi="Arial" w:cs="Arial"/>
          <w:color w:val="000000" w:themeColor="text1"/>
          <w:sz w:val="22"/>
          <w:szCs w:val="22"/>
        </w:rPr>
        <w:t xml:space="preserve">, </w:t>
      </w:r>
      <w:proofErr w:type="spellStart"/>
      <w:r w:rsidR="00B03ABD" w:rsidRPr="00D075FD">
        <w:rPr>
          <w:rFonts w:ascii="Arial" w:hAnsi="Arial" w:cs="Arial"/>
          <w:color w:val="000000" w:themeColor="text1"/>
          <w:sz w:val="22"/>
          <w:szCs w:val="22"/>
        </w:rPr>
        <w:t>Musshoff</w:t>
      </w:r>
      <w:proofErr w:type="spellEnd"/>
      <w:r w:rsidR="00B03ABD" w:rsidRPr="00D075FD">
        <w:rPr>
          <w:rFonts w:ascii="Arial" w:hAnsi="Arial" w:cs="Arial"/>
          <w:color w:val="000000" w:themeColor="text1"/>
          <w:sz w:val="22"/>
          <w:szCs w:val="22"/>
        </w:rPr>
        <w:t xml:space="preserve"> </w:t>
      </w:r>
      <w:r w:rsidR="00444F70" w:rsidRPr="00D075FD">
        <w:rPr>
          <w:rFonts w:ascii="Arial" w:hAnsi="Arial" w:cs="Arial"/>
          <w:color w:val="000000" w:themeColor="text1"/>
          <w:sz w:val="22"/>
          <w:szCs w:val="22"/>
        </w:rPr>
        <w:t xml:space="preserve">F. </w:t>
      </w:r>
      <w:bookmarkStart w:id="29" w:name="OLE_LINK34"/>
      <w:bookmarkStart w:id="30" w:name="OLE_LINK35"/>
      <w:r w:rsidR="00444F70" w:rsidRPr="00D075FD">
        <w:rPr>
          <w:rFonts w:ascii="Arial" w:hAnsi="Arial" w:cs="Arial"/>
          <w:color w:val="000000" w:themeColor="text1"/>
          <w:sz w:val="22"/>
          <w:szCs w:val="22"/>
        </w:rPr>
        <w:t>Validation of analytical methods.</w:t>
      </w:r>
      <w:r w:rsidR="00963AFB">
        <w:rPr>
          <w:rFonts w:ascii="Arial" w:hAnsi="Arial" w:cs="Arial"/>
          <w:color w:val="000000" w:themeColor="text1"/>
          <w:sz w:val="22"/>
          <w:szCs w:val="22"/>
        </w:rPr>
        <w:t xml:space="preserve"> Forensic Sci Int.</w:t>
      </w:r>
      <w:r w:rsidR="00444F70" w:rsidRPr="00D075FD">
        <w:rPr>
          <w:rFonts w:ascii="Arial" w:hAnsi="Arial" w:cs="Arial"/>
          <w:color w:val="000000" w:themeColor="text1"/>
          <w:sz w:val="22"/>
          <w:szCs w:val="22"/>
        </w:rPr>
        <w:t xml:space="preserve"> </w:t>
      </w:r>
      <w:r w:rsidR="00963AFB" w:rsidRPr="00D075FD">
        <w:rPr>
          <w:rFonts w:ascii="Arial" w:hAnsi="Arial" w:cs="Arial"/>
          <w:color w:val="000000" w:themeColor="text1"/>
          <w:sz w:val="22"/>
          <w:szCs w:val="22"/>
        </w:rPr>
        <w:t>2007</w:t>
      </w:r>
      <w:r w:rsidR="0047733F">
        <w:rPr>
          <w:rFonts w:ascii="Arial" w:hAnsi="Arial" w:cs="Arial"/>
          <w:color w:val="000000" w:themeColor="text1"/>
          <w:sz w:val="22"/>
          <w:szCs w:val="22"/>
        </w:rPr>
        <w:t xml:space="preserve"> Jan 17</w:t>
      </w:r>
      <w:r w:rsidR="00963AFB">
        <w:rPr>
          <w:rFonts w:ascii="Arial" w:hAnsi="Arial" w:cs="Arial"/>
          <w:color w:val="000000" w:themeColor="text1"/>
          <w:sz w:val="22"/>
          <w:szCs w:val="22"/>
        </w:rPr>
        <w:t>, 165</w:t>
      </w:r>
      <w:r w:rsidR="0047733F">
        <w:rPr>
          <w:rFonts w:ascii="Arial" w:hAnsi="Arial" w:cs="Arial"/>
          <w:color w:val="000000" w:themeColor="text1"/>
          <w:sz w:val="22"/>
          <w:szCs w:val="22"/>
        </w:rPr>
        <w:t xml:space="preserve"> (2 -3)</w:t>
      </w:r>
      <w:r w:rsidR="00963AFB">
        <w:rPr>
          <w:rFonts w:ascii="Arial" w:hAnsi="Arial" w:cs="Arial"/>
          <w:color w:val="000000" w:themeColor="text1"/>
          <w:sz w:val="22"/>
          <w:szCs w:val="22"/>
        </w:rPr>
        <w:t xml:space="preserve">: </w:t>
      </w:r>
      <w:r w:rsidR="00444F70" w:rsidRPr="00D075FD">
        <w:rPr>
          <w:rFonts w:ascii="Arial" w:hAnsi="Arial" w:cs="Arial"/>
          <w:color w:val="000000" w:themeColor="text1"/>
          <w:sz w:val="22"/>
          <w:szCs w:val="22"/>
        </w:rPr>
        <w:t>216-224.</w:t>
      </w:r>
      <w:bookmarkEnd w:id="29"/>
      <w:bookmarkEnd w:id="30"/>
      <w:r w:rsidR="00963AFB">
        <w:rPr>
          <w:rFonts w:ascii="Arial" w:hAnsi="Arial" w:cs="Arial"/>
          <w:color w:val="000000" w:themeColor="text1"/>
          <w:sz w:val="22"/>
          <w:szCs w:val="22"/>
        </w:rPr>
        <w:t xml:space="preserve"> URL: </w:t>
      </w:r>
      <w:r w:rsidR="00444F70" w:rsidRPr="00D075FD">
        <w:rPr>
          <w:rFonts w:ascii="Arial" w:hAnsi="Arial" w:cs="Arial"/>
          <w:color w:val="000000" w:themeColor="text1"/>
          <w:sz w:val="22"/>
          <w:szCs w:val="22"/>
        </w:rPr>
        <w:t xml:space="preserve"> </w:t>
      </w:r>
      <w:hyperlink r:id="rId28" w:history="1">
        <w:r w:rsidR="00444F70" w:rsidRPr="00351A9E">
          <w:rPr>
            <w:rStyle w:val="Hyperlink"/>
            <w:rFonts w:ascii="Arial" w:hAnsi="Arial" w:cs="Arial"/>
            <w:sz w:val="22"/>
            <w:szCs w:val="22"/>
          </w:rPr>
          <w:t>https://doi.org/10.1016/j.forsciint.2006.05.021</w:t>
        </w:r>
      </w:hyperlink>
      <w:r w:rsidR="00444F70">
        <w:rPr>
          <w:rFonts w:ascii="Arial" w:hAnsi="Arial" w:cs="Arial"/>
          <w:color w:val="000000" w:themeColor="text1"/>
          <w:sz w:val="22"/>
          <w:szCs w:val="22"/>
        </w:rPr>
        <w:t xml:space="preserve">. </w:t>
      </w:r>
    </w:p>
    <w:p w14:paraId="52B90A71" w14:textId="74359920" w:rsidR="00444F70" w:rsidRPr="00D075FD" w:rsidRDefault="00444F70" w:rsidP="0016122E">
      <w:pPr>
        <w:spacing w:line="360" w:lineRule="auto"/>
        <w:rPr>
          <w:rFonts w:ascii="Arial" w:hAnsi="Arial" w:cs="Arial"/>
          <w:color w:val="000000" w:themeColor="text1"/>
          <w:sz w:val="22"/>
          <w:szCs w:val="22"/>
        </w:rPr>
      </w:pPr>
      <w:r w:rsidRPr="00D075FD">
        <w:rPr>
          <w:rFonts w:ascii="Arial" w:hAnsi="Arial" w:cs="Arial"/>
          <w:color w:val="000000" w:themeColor="text1"/>
          <w:sz w:val="22"/>
          <w:szCs w:val="22"/>
        </w:rPr>
        <w:t>[</w:t>
      </w:r>
      <w:r w:rsidR="0087294A">
        <w:rPr>
          <w:rFonts w:ascii="Arial" w:hAnsi="Arial" w:cs="Arial"/>
          <w:color w:val="000000" w:themeColor="text1"/>
          <w:sz w:val="22"/>
          <w:szCs w:val="22"/>
        </w:rPr>
        <w:t>21</w:t>
      </w:r>
      <w:r w:rsidRPr="00D075FD">
        <w:rPr>
          <w:rFonts w:ascii="Arial" w:hAnsi="Arial" w:cs="Arial"/>
          <w:color w:val="000000" w:themeColor="text1"/>
          <w:sz w:val="22"/>
          <w:szCs w:val="22"/>
        </w:rPr>
        <w:t xml:space="preserve">] </w:t>
      </w:r>
      <w:r w:rsidR="00B03ABD" w:rsidRPr="00D075FD">
        <w:rPr>
          <w:rFonts w:ascii="Arial" w:hAnsi="Arial" w:cs="Arial"/>
          <w:color w:val="000000" w:themeColor="text1"/>
          <w:sz w:val="22"/>
          <w:szCs w:val="22"/>
        </w:rPr>
        <w:t xml:space="preserve">González </w:t>
      </w:r>
      <w:r w:rsidR="00B03ABD">
        <w:rPr>
          <w:rFonts w:ascii="Arial" w:hAnsi="Arial" w:cs="Arial"/>
          <w:color w:val="000000" w:themeColor="text1"/>
          <w:sz w:val="22"/>
          <w:szCs w:val="22"/>
        </w:rPr>
        <w:t>O</w:t>
      </w:r>
      <w:r w:rsidRPr="00D075FD">
        <w:rPr>
          <w:rFonts w:ascii="Arial" w:hAnsi="Arial" w:cs="Arial"/>
          <w:color w:val="000000" w:themeColor="text1"/>
          <w:sz w:val="22"/>
          <w:szCs w:val="22"/>
        </w:rPr>
        <w:t xml:space="preserve">, </w:t>
      </w:r>
      <w:r w:rsidR="00B03ABD" w:rsidRPr="00D075FD">
        <w:rPr>
          <w:rFonts w:ascii="Arial" w:hAnsi="Arial" w:cs="Arial"/>
          <w:color w:val="000000" w:themeColor="text1"/>
          <w:sz w:val="22"/>
          <w:szCs w:val="22"/>
        </w:rPr>
        <w:t xml:space="preserve">Blanco </w:t>
      </w:r>
      <w:r w:rsidR="00B03ABD">
        <w:rPr>
          <w:rFonts w:ascii="Arial" w:hAnsi="Arial" w:cs="Arial"/>
          <w:color w:val="000000" w:themeColor="text1"/>
          <w:sz w:val="22"/>
          <w:szCs w:val="22"/>
        </w:rPr>
        <w:t>M E</w:t>
      </w:r>
      <w:r w:rsidRPr="00D075FD">
        <w:rPr>
          <w:rFonts w:ascii="Arial" w:hAnsi="Arial" w:cs="Arial"/>
          <w:color w:val="000000" w:themeColor="text1"/>
          <w:sz w:val="22"/>
          <w:szCs w:val="22"/>
        </w:rPr>
        <w:t xml:space="preserve">, </w:t>
      </w:r>
      <w:proofErr w:type="spellStart"/>
      <w:r w:rsidR="00B03ABD" w:rsidRPr="00D075FD">
        <w:rPr>
          <w:rFonts w:ascii="Arial" w:hAnsi="Arial" w:cs="Arial"/>
          <w:color w:val="000000" w:themeColor="text1"/>
          <w:sz w:val="22"/>
          <w:szCs w:val="22"/>
        </w:rPr>
        <w:t>Iriarte</w:t>
      </w:r>
      <w:proofErr w:type="spellEnd"/>
      <w:r w:rsidR="00B03ABD" w:rsidRPr="00D075FD">
        <w:rPr>
          <w:rFonts w:ascii="Arial" w:hAnsi="Arial" w:cs="Arial"/>
          <w:color w:val="000000" w:themeColor="text1"/>
          <w:sz w:val="22"/>
          <w:szCs w:val="22"/>
        </w:rPr>
        <w:t xml:space="preserve"> </w:t>
      </w:r>
      <w:r w:rsidR="00B03ABD">
        <w:rPr>
          <w:rFonts w:ascii="Arial" w:hAnsi="Arial" w:cs="Arial"/>
          <w:color w:val="000000" w:themeColor="text1"/>
          <w:sz w:val="22"/>
          <w:szCs w:val="22"/>
        </w:rPr>
        <w:t>G</w:t>
      </w:r>
      <w:r w:rsidRPr="00D075FD">
        <w:rPr>
          <w:rFonts w:ascii="Arial" w:hAnsi="Arial" w:cs="Arial"/>
          <w:color w:val="000000" w:themeColor="text1"/>
          <w:sz w:val="22"/>
          <w:szCs w:val="22"/>
        </w:rPr>
        <w:t xml:space="preserve">, </w:t>
      </w:r>
      <w:proofErr w:type="spellStart"/>
      <w:r w:rsidR="00B03ABD" w:rsidRPr="00D075FD">
        <w:rPr>
          <w:rFonts w:ascii="Arial" w:hAnsi="Arial" w:cs="Arial"/>
          <w:color w:val="000000" w:themeColor="text1"/>
          <w:sz w:val="22"/>
          <w:szCs w:val="22"/>
        </w:rPr>
        <w:t>Bartoloméd</w:t>
      </w:r>
      <w:proofErr w:type="spellEnd"/>
      <w:r w:rsidR="00B03ABD" w:rsidRPr="00D075FD">
        <w:rPr>
          <w:rFonts w:ascii="Arial" w:hAnsi="Arial" w:cs="Arial"/>
          <w:color w:val="000000" w:themeColor="text1"/>
          <w:sz w:val="22"/>
          <w:szCs w:val="22"/>
        </w:rPr>
        <w:t xml:space="preserve"> </w:t>
      </w:r>
      <w:r w:rsidR="00B03ABD">
        <w:rPr>
          <w:rFonts w:ascii="Arial" w:hAnsi="Arial" w:cs="Arial"/>
          <w:color w:val="000000" w:themeColor="text1"/>
          <w:sz w:val="22"/>
          <w:szCs w:val="22"/>
        </w:rPr>
        <w:t>L</w:t>
      </w:r>
      <w:r w:rsidRPr="00D075FD">
        <w:rPr>
          <w:rFonts w:ascii="Arial" w:hAnsi="Arial" w:cs="Arial"/>
          <w:color w:val="000000" w:themeColor="text1"/>
          <w:sz w:val="22"/>
          <w:szCs w:val="22"/>
        </w:rPr>
        <w:t xml:space="preserve">, </w:t>
      </w:r>
      <w:proofErr w:type="spellStart"/>
      <w:r w:rsidR="00B03ABD" w:rsidRPr="00D075FD">
        <w:rPr>
          <w:rFonts w:ascii="Arial" w:hAnsi="Arial" w:cs="Arial"/>
          <w:color w:val="000000" w:themeColor="text1"/>
          <w:sz w:val="22"/>
          <w:szCs w:val="22"/>
        </w:rPr>
        <w:t>Maguregui</w:t>
      </w:r>
      <w:proofErr w:type="spellEnd"/>
      <w:r w:rsidR="00B03ABD" w:rsidRPr="00D075FD">
        <w:rPr>
          <w:rFonts w:ascii="Arial" w:hAnsi="Arial" w:cs="Arial"/>
          <w:color w:val="000000" w:themeColor="text1"/>
          <w:sz w:val="22"/>
          <w:szCs w:val="22"/>
        </w:rPr>
        <w:t xml:space="preserve"> </w:t>
      </w:r>
      <w:r w:rsidR="00B03ABD">
        <w:rPr>
          <w:rFonts w:ascii="Arial" w:hAnsi="Arial" w:cs="Arial"/>
          <w:color w:val="000000" w:themeColor="text1"/>
          <w:sz w:val="22"/>
          <w:szCs w:val="22"/>
        </w:rPr>
        <w:t>M I</w:t>
      </w:r>
      <w:r w:rsidRPr="00D075FD">
        <w:rPr>
          <w:rFonts w:ascii="Arial" w:hAnsi="Arial" w:cs="Arial"/>
          <w:color w:val="000000" w:themeColor="text1"/>
          <w:sz w:val="22"/>
          <w:szCs w:val="22"/>
        </w:rPr>
        <w:t xml:space="preserve">, </w:t>
      </w:r>
      <w:r w:rsidR="00B03ABD" w:rsidRPr="00D075FD">
        <w:rPr>
          <w:rFonts w:ascii="Arial" w:hAnsi="Arial" w:cs="Arial"/>
          <w:color w:val="000000" w:themeColor="text1"/>
          <w:sz w:val="22"/>
          <w:szCs w:val="22"/>
        </w:rPr>
        <w:t xml:space="preserve">Alonso </w:t>
      </w:r>
      <w:r w:rsidR="00B03ABD">
        <w:rPr>
          <w:rFonts w:ascii="Arial" w:hAnsi="Arial" w:cs="Arial"/>
          <w:color w:val="000000" w:themeColor="text1"/>
          <w:sz w:val="22"/>
          <w:szCs w:val="22"/>
        </w:rPr>
        <w:t>R M.</w:t>
      </w:r>
      <w:r w:rsidRPr="00D075FD">
        <w:rPr>
          <w:rFonts w:ascii="Arial" w:hAnsi="Arial" w:cs="Arial"/>
          <w:color w:val="000000" w:themeColor="text1"/>
          <w:sz w:val="22"/>
          <w:szCs w:val="22"/>
        </w:rPr>
        <w:t xml:space="preserve"> </w:t>
      </w:r>
      <w:bookmarkStart w:id="31" w:name="OLE_LINK15"/>
      <w:bookmarkStart w:id="32" w:name="OLE_LINK16"/>
      <w:bookmarkStart w:id="33" w:name="OLE_LINK36"/>
      <w:r w:rsidRPr="00D075FD">
        <w:rPr>
          <w:rFonts w:ascii="Arial" w:hAnsi="Arial" w:cs="Arial"/>
          <w:color w:val="000000" w:themeColor="text1"/>
          <w:sz w:val="22"/>
          <w:szCs w:val="22"/>
        </w:rPr>
        <w:t xml:space="preserve">Bioanalytical chromatographic method validation according to current regulations, with a special focus on the non-well defined parameters limit of quantification, </w:t>
      </w:r>
      <w:proofErr w:type="gramStart"/>
      <w:r w:rsidRPr="00D075FD">
        <w:rPr>
          <w:rFonts w:ascii="Arial" w:hAnsi="Arial" w:cs="Arial"/>
          <w:color w:val="000000" w:themeColor="text1"/>
          <w:sz w:val="22"/>
          <w:szCs w:val="22"/>
        </w:rPr>
        <w:t>robustness</w:t>
      </w:r>
      <w:proofErr w:type="gramEnd"/>
      <w:r w:rsidRPr="00D075FD">
        <w:rPr>
          <w:rFonts w:ascii="Arial" w:hAnsi="Arial" w:cs="Arial"/>
          <w:color w:val="000000" w:themeColor="text1"/>
          <w:sz w:val="22"/>
          <w:szCs w:val="22"/>
        </w:rPr>
        <w:t xml:space="preserve"> and matrix effect.</w:t>
      </w:r>
      <w:bookmarkEnd w:id="31"/>
      <w:bookmarkEnd w:id="32"/>
      <w:bookmarkEnd w:id="33"/>
      <w:r w:rsidRPr="00D075FD">
        <w:rPr>
          <w:rFonts w:ascii="Arial" w:hAnsi="Arial" w:cs="Arial"/>
          <w:color w:val="000000" w:themeColor="text1"/>
          <w:sz w:val="22"/>
          <w:szCs w:val="22"/>
        </w:rPr>
        <w:t xml:space="preserve"> </w:t>
      </w:r>
      <w:r w:rsidR="00B77F56">
        <w:rPr>
          <w:rFonts w:ascii="Arial" w:hAnsi="Arial" w:cs="Arial"/>
          <w:color w:val="000000" w:themeColor="text1"/>
          <w:sz w:val="22"/>
          <w:szCs w:val="22"/>
        </w:rPr>
        <w:t>J</w:t>
      </w:r>
      <w:r w:rsidRPr="00D075FD">
        <w:rPr>
          <w:rFonts w:ascii="Arial" w:hAnsi="Arial" w:cs="Arial"/>
          <w:color w:val="000000" w:themeColor="text1"/>
          <w:sz w:val="22"/>
          <w:szCs w:val="22"/>
        </w:rPr>
        <w:t xml:space="preserve"> </w:t>
      </w:r>
      <w:proofErr w:type="spellStart"/>
      <w:r w:rsidR="00B77F56">
        <w:rPr>
          <w:rFonts w:ascii="Arial" w:hAnsi="Arial" w:cs="Arial"/>
          <w:color w:val="000000" w:themeColor="text1"/>
          <w:sz w:val="22"/>
          <w:szCs w:val="22"/>
        </w:rPr>
        <w:t>Chrom</w:t>
      </w:r>
      <w:proofErr w:type="spellEnd"/>
      <w:r w:rsidR="00B77F56">
        <w:rPr>
          <w:rFonts w:ascii="Arial" w:hAnsi="Arial" w:cs="Arial"/>
          <w:color w:val="000000" w:themeColor="text1"/>
          <w:sz w:val="22"/>
          <w:szCs w:val="22"/>
        </w:rPr>
        <w:t xml:space="preserve"> A.</w:t>
      </w:r>
      <w:r w:rsidRPr="00D075FD">
        <w:rPr>
          <w:rFonts w:ascii="Arial" w:hAnsi="Arial" w:cs="Arial"/>
          <w:color w:val="000000" w:themeColor="text1"/>
          <w:sz w:val="22"/>
          <w:szCs w:val="22"/>
        </w:rPr>
        <w:t xml:space="preserve"> </w:t>
      </w:r>
      <w:r w:rsidR="00963AFB" w:rsidRPr="00D075FD">
        <w:rPr>
          <w:rFonts w:ascii="Arial" w:hAnsi="Arial" w:cs="Arial"/>
          <w:color w:val="000000" w:themeColor="text1"/>
          <w:sz w:val="22"/>
          <w:szCs w:val="22"/>
        </w:rPr>
        <w:t>2014</w:t>
      </w:r>
      <w:r w:rsidR="005C481D">
        <w:rPr>
          <w:rFonts w:ascii="Arial" w:hAnsi="Arial" w:cs="Arial"/>
          <w:color w:val="000000" w:themeColor="text1"/>
          <w:sz w:val="22"/>
          <w:szCs w:val="22"/>
        </w:rPr>
        <w:t xml:space="preserve"> Aug 1</w:t>
      </w:r>
      <w:r w:rsidR="00963AFB">
        <w:rPr>
          <w:rFonts w:ascii="Arial" w:hAnsi="Arial" w:cs="Arial"/>
          <w:color w:val="000000" w:themeColor="text1"/>
          <w:sz w:val="22"/>
          <w:szCs w:val="22"/>
        </w:rPr>
        <w:t xml:space="preserve">, </w:t>
      </w:r>
      <w:r w:rsidR="00B77F56">
        <w:rPr>
          <w:rFonts w:ascii="Arial" w:hAnsi="Arial" w:cs="Arial"/>
          <w:color w:val="000000" w:themeColor="text1"/>
          <w:sz w:val="22"/>
          <w:szCs w:val="22"/>
        </w:rPr>
        <w:t>1353:</w:t>
      </w:r>
      <w:r w:rsidRPr="00D075FD">
        <w:rPr>
          <w:rFonts w:ascii="Arial" w:hAnsi="Arial" w:cs="Arial"/>
          <w:color w:val="000000" w:themeColor="text1"/>
          <w:sz w:val="22"/>
          <w:szCs w:val="22"/>
        </w:rPr>
        <w:t xml:space="preserve"> 10–27.</w:t>
      </w:r>
      <w:r w:rsidRPr="00BF5C2E">
        <w:t xml:space="preserve"> </w:t>
      </w:r>
      <w:hyperlink r:id="rId29" w:history="1">
        <w:r w:rsidRPr="00351A9E">
          <w:rPr>
            <w:rStyle w:val="Hyperlink"/>
            <w:rFonts w:ascii="Arial" w:hAnsi="Arial" w:cs="Arial"/>
            <w:sz w:val="22"/>
            <w:szCs w:val="22"/>
          </w:rPr>
          <w:t>https://doi.org/10.1016/j.chroma.2014.03.077</w:t>
        </w:r>
      </w:hyperlink>
      <w:r>
        <w:rPr>
          <w:rFonts w:ascii="Arial" w:hAnsi="Arial" w:cs="Arial"/>
          <w:color w:val="000000" w:themeColor="text1"/>
          <w:sz w:val="22"/>
          <w:szCs w:val="22"/>
        </w:rPr>
        <w:t xml:space="preserve">. </w:t>
      </w:r>
    </w:p>
    <w:p w14:paraId="1FD28185" w14:textId="6C2C45D9" w:rsidR="00444F70" w:rsidRPr="00D075FD" w:rsidRDefault="0087294A" w:rsidP="0016122E">
      <w:pPr>
        <w:spacing w:line="360" w:lineRule="auto"/>
        <w:rPr>
          <w:rFonts w:ascii="Arial" w:hAnsi="Arial" w:cs="Arial"/>
          <w:color w:val="000000" w:themeColor="text1"/>
          <w:sz w:val="22"/>
          <w:szCs w:val="22"/>
        </w:rPr>
      </w:pPr>
      <w:r>
        <w:rPr>
          <w:rFonts w:ascii="Arial" w:hAnsi="Arial" w:cs="Arial"/>
          <w:color w:val="000000" w:themeColor="text1"/>
          <w:sz w:val="22"/>
          <w:szCs w:val="22"/>
        </w:rPr>
        <w:t>[22</w:t>
      </w:r>
      <w:r w:rsidR="00444F70" w:rsidRPr="00D075FD">
        <w:rPr>
          <w:rFonts w:ascii="Arial" w:hAnsi="Arial" w:cs="Arial"/>
          <w:color w:val="000000" w:themeColor="text1"/>
          <w:sz w:val="22"/>
          <w:szCs w:val="22"/>
        </w:rPr>
        <w:t xml:space="preserve">] </w:t>
      </w:r>
      <w:proofErr w:type="spellStart"/>
      <w:r w:rsidR="00B03ABD">
        <w:rPr>
          <w:rFonts w:ascii="Arial" w:hAnsi="Arial" w:cs="Arial"/>
          <w:color w:val="000000" w:themeColor="text1"/>
          <w:sz w:val="22"/>
          <w:szCs w:val="22"/>
        </w:rPr>
        <w:t>Kadiana</w:t>
      </w:r>
      <w:proofErr w:type="spellEnd"/>
      <w:r w:rsidR="00B03ABD">
        <w:rPr>
          <w:rFonts w:ascii="Arial" w:hAnsi="Arial" w:cs="Arial"/>
          <w:color w:val="000000" w:themeColor="text1"/>
          <w:sz w:val="22"/>
          <w:szCs w:val="22"/>
        </w:rPr>
        <w:t xml:space="preserve"> N,</w:t>
      </w:r>
      <w:r w:rsidR="00444F70" w:rsidRPr="00D075FD">
        <w:rPr>
          <w:rFonts w:ascii="Arial" w:hAnsi="Arial" w:cs="Arial"/>
          <w:color w:val="000000" w:themeColor="text1"/>
          <w:sz w:val="22"/>
          <w:szCs w:val="22"/>
        </w:rPr>
        <w:t xml:space="preserve"> </w:t>
      </w:r>
      <w:r w:rsidR="00B03ABD" w:rsidRPr="00D075FD">
        <w:rPr>
          <w:rFonts w:ascii="Arial" w:hAnsi="Arial" w:cs="Arial"/>
          <w:color w:val="000000" w:themeColor="text1"/>
          <w:sz w:val="22"/>
          <w:szCs w:val="22"/>
        </w:rPr>
        <w:t xml:space="preserve">Raju </w:t>
      </w:r>
      <w:r w:rsidR="00B03ABD">
        <w:rPr>
          <w:rFonts w:ascii="Arial" w:hAnsi="Arial" w:cs="Arial"/>
          <w:color w:val="000000" w:themeColor="text1"/>
          <w:sz w:val="22"/>
          <w:szCs w:val="22"/>
        </w:rPr>
        <w:t>K S R</w:t>
      </w:r>
      <w:r w:rsidR="00444F70" w:rsidRPr="00D075FD">
        <w:rPr>
          <w:rFonts w:ascii="Arial" w:hAnsi="Arial" w:cs="Arial"/>
          <w:color w:val="000000" w:themeColor="text1"/>
          <w:sz w:val="22"/>
          <w:szCs w:val="22"/>
        </w:rPr>
        <w:t xml:space="preserve">, </w:t>
      </w:r>
      <w:r w:rsidR="00B03ABD" w:rsidRPr="00D075FD">
        <w:rPr>
          <w:rFonts w:ascii="Arial" w:hAnsi="Arial" w:cs="Arial"/>
          <w:color w:val="000000" w:themeColor="text1"/>
          <w:sz w:val="22"/>
          <w:szCs w:val="22"/>
        </w:rPr>
        <w:t xml:space="preserve">Rashid </w:t>
      </w:r>
      <w:r w:rsidR="00B03ABD">
        <w:rPr>
          <w:rFonts w:ascii="Arial" w:hAnsi="Arial" w:cs="Arial"/>
          <w:color w:val="000000" w:themeColor="text1"/>
          <w:sz w:val="22"/>
          <w:szCs w:val="22"/>
        </w:rPr>
        <w:t>M</w:t>
      </w:r>
      <w:r w:rsidR="00444F70" w:rsidRPr="00D075FD">
        <w:rPr>
          <w:rFonts w:ascii="Arial" w:hAnsi="Arial" w:cs="Arial"/>
          <w:color w:val="000000" w:themeColor="text1"/>
          <w:sz w:val="22"/>
          <w:szCs w:val="22"/>
        </w:rPr>
        <w:t xml:space="preserve">, </w:t>
      </w:r>
      <w:r w:rsidR="00B03ABD" w:rsidRPr="00D075FD">
        <w:rPr>
          <w:rFonts w:ascii="Arial" w:hAnsi="Arial" w:cs="Arial"/>
          <w:color w:val="000000" w:themeColor="text1"/>
          <w:sz w:val="22"/>
          <w:szCs w:val="22"/>
        </w:rPr>
        <w:t xml:space="preserve">Malika </w:t>
      </w:r>
      <w:r w:rsidR="00B03ABD">
        <w:rPr>
          <w:rFonts w:ascii="Arial" w:hAnsi="Arial" w:cs="Arial"/>
          <w:color w:val="000000" w:themeColor="text1"/>
          <w:sz w:val="22"/>
          <w:szCs w:val="22"/>
        </w:rPr>
        <w:t>M Y</w:t>
      </w:r>
      <w:r w:rsidR="00444F70" w:rsidRPr="00D075FD">
        <w:rPr>
          <w:rFonts w:ascii="Arial" w:hAnsi="Arial" w:cs="Arial"/>
          <w:color w:val="000000" w:themeColor="text1"/>
          <w:sz w:val="22"/>
          <w:szCs w:val="22"/>
        </w:rPr>
        <w:t xml:space="preserve">, </w:t>
      </w:r>
      <w:r w:rsidR="00B03ABD" w:rsidRPr="00D075FD">
        <w:rPr>
          <w:rFonts w:ascii="Arial" w:hAnsi="Arial" w:cs="Arial"/>
          <w:color w:val="000000" w:themeColor="text1"/>
          <w:sz w:val="22"/>
          <w:szCs w:val="22"/>
        </w:rPr>
        <w:t xml:space="preserve">Taneja </w:t>
      </w:r>
      <w:r w:rsidR="00B03ABD">
        <w:rPr>
          <w:rFonts w:ascii="Arial" w:hAnsi="Arial" w:cs="Arial"/>
          <w:color w:val="000000" w:themeColor="text1"/>
          <w:sz w:val="22"/>
          <w:szCs w:val="22"/>
        </w:rPr>
        <w:t>I</w:t>
      </w:r>
      <w:r w:rsidR="00444F70" w:rsidRPr="00D075FD">
        <w:rPr>
          <w:rFonts w:ascii="Arial" w:hAnsi="Arial" w:cs="Arial"/>
          <w:color w:val="000000" w:themeColor="text1"/>
          <w:sz w:val="22"/>
          <w:szCs w:val="22"/>
        </w:rPr>
        <w:t xml:space="preserve">, </w:t>
      </w:r>
      <w:proofErr w:type="spellStart"/>
      <w:r w:rsidR="00B03ABD">
        <w:rPr>
          <w:rFonts w:ascii="Arial" w:hAnsi="Arial" w:cs="Arial"/>
          <w:color w:val="000000" w:themeColor="text1"/>
          <w:sz w:val="22"/>
          <w:szCs w:val="22"/>
        </w:rPr>
        <w:t>Wahajuddin</w:t>
      </w:r>
      <w:proofErr w:type="spellEnd"/>
      <w:r w:rsidR="00B03ABD">
        <w:rPr>
          <w:rFonts w:ascii="Arial" w:hAnsi="Arial" w:cs="Arial"/>
          <w:color w:val="000000" w:themeColor="text1"/>
          <w:sz w:val="22"/>
          <w:szCs w:val="22"/>
        </w:rPr>
        <w:t xml:space="preserve"> </w:t>
      </w:r>
      <w:r w:rsidR="00444F70" w:rsidRPr="00D075FD">
        <w:rPr>
          <w:rFonts w:ascii="Arial" w:hAnsi="Arial" w:cs="Arial"/>
          <w:color w:val="000000" w:themeColor="text1"/>
          <w:sz w:val="22"/>
          <w:szCs w:val="22"/>
        </w:rPr>
        <w:t xml:space="preserve">M. </w:t>
      </w:r>
      <w:bookmarkStart w:id="34" w:name="OLE_LINK37"/>
      <w:bookmarkStart w:id="35" w:name="OLE_LINK38"/>
      <w:bookmarkStart w:id="36" w:name="OLE_LINK17"/>
      <w:bookmarkStart w:id="37" w:name="OLE_LINK18"/>
      <w:r w:rsidR="00444F70" w:rsidRPr="00D075FD">
        <w:rPr>
          <w:rFonts w:ascii="Arial" w:hAnsi="Arial" w:cs="Arial"/>
          <w:color w:val="000000" w:themeColor="text1"/>
          <w:sz w:val="22"/>
          <w:szCs w:val="22"/>
        </w:rPr>
        <w:t>Comparative assessment of bioanalytical method validation guidelines for pharmaceutical industry</w:t>
      </w:r>
      <w:bookmarkEnd w:id="34"/>
      <w:bookmarkEnd w:id="35"/>
      <w:r w:rsidR="00444F70" w:rsidRPr="00D075FD">
        <w:rPr>
          <w:rFonts w:ascii="Arial" w:hAnsi="Arial" w:cs="Arial"/>
          <w:color w:val="000000" w:themeColor="text1"/>
          <w:sz w:val="22"/>
          <w:szCs w:val="22"/>
        </w:rPr>
        <w:t>.</w:t>
      </w:r>
      <w:bookmarkEnd w:id="36"/>
      <w:bookmarkEnd w:id="37"/>
      <w:r w:rsidR="00B77F56">
        <w:rPr>
          <w:rFonts w:ascii="Arial" w:hAnsi="Arial" w:cs="Arial"/>
          <w:color w:val="000000" w:themeColor="text1"/>
          <w:sz w:val="22"/>
          <w:szCs w:val="22"/>
        </w:rPr>
        <w:t xml:space="preserve"> J Pharm Biomed Anal.</w:t>
      </w:r>
      <w:r w:rsidR="00444F70" w:rsidRPr="00D075FD">
        <w:rPr>
          <w:rFonts w:ascii="Arial" w:hAnsi="Arial" w:cs="Arial"/>
          <w:color w:val="000000" w:themeColor="text1"/>
          <w:sz w:val="22"/>
          <w:szCs w:val="22"/>
        </w:rPr>
        <w:t xml:space="preserve"> </w:t>
      </w:r>
      <w:r w:rsidR="00B77F56" w:rsidRPr="00D075FD">
        <w:rPr>
          <w:rFonts w:ascii="Arial" w:hAnsi="Arial" w:cs="Arial"/>
          <w:color w:val="000000" w:themeColor="text1"/>
          <w:sz w:val="22"/>
          <w:szCs w:val="22"/>
        </w:rPr>
        <w:t>2016</w:t>
      </w:r>
      <w:r w:rsidR="00B77F56">
        <w:rPr>
          <w:rFonts w:ascii="Arial" w:hAnsi="Arial" w:cs="Arial"/>
          <w:color w:val="000000" w:themeColor="text1"/>
          <w:sz w:val="22"/>
          <w:szCs w:val="22"/>
        </w:rPr>
        <w:t xml:space="preserve"> Jul 15, 126: </w:t>
      </w:r>
      <w:r w:rsidR="00444F70" w:rsidRPr="00D075FD">
        <w:rPr>
          <w:rFonts w:ascii="Arial" w:hAnsi="Arial" w:cs="Arial"/>
          <w:color w:val="000000" w:themeColor="text1"/>
          <w:sz w:val="22"/>
          <w:szCs w:val="22"/>
        </w:rPr>
        <w:t>83–97.</w:t>
      </w:r>
      <w:r w:rsidR="00B77F56">
        <w:rPr>
          <w:rFonts w:ascii="Arial" w:hAnsi="Arial" w:cs="Arial"/>
          <w:color w:val="000000" w:themeColor="text1"/>
          <w:sz w:val="22"/>
          <w:szCs w:val="22"/>
        </w:rPr>
        <w:t xml:space="preserve"> URL: </w:t>
      </w:r>
      <w:r w:rsidR="00444F70" w:rsidRPr="00BF5C2E">
        <w:t xml:space="preserve"> </w:t>
      </w:r>
      <w:hyperlink r:id="rId30" w:history="1">
        <w:r w:rsidR="00444F70" w:rsidRPr="00351A9E">
          <w:rPr>
            <w:rStyle w:val="Hyperlink"/>
            <w:rFonts w:ascii="Arial" w:hAnsi="Arial" w:cs="Arial"/>
            <w:sz w:val="22"/>
            <w:szCs w:val="22"/>
          </w:rPr>
          <w:t>https://doi.org/10.1016/j.jpba.2016.03.052</w:t>
        </w:r>
      </w:hyperlink>
      <w:r w:rsidR="00444F70">
        <w:rPr>
          <w:rFonts w:ascii="Arial" w:hAnsi="Arial" w:cs="Arial"/>
          <w:color w:val="000000" w:themeColor="text1"/>
          <w:sz w:val="22"/>
          <w:szCs w:val="22"/>
        </w:rPr>
        <w:t xml:space="preserve">. </w:t>
      </w:r>
    </w:p>
    <w:p w14:paraId="69BF9771" w14:textId="3FECAF41" w:rsidR="00444F70" w:rsidRPr="00D075FD" w:rsidRDefault="0087294A" w:rsidP="0016122E">
      <w:pPr>
        <w:spacing w:line="360" w:lineRule="auto"/>
        <w:rPr>
          <w:rFonts w:ascii="Arial" w:hAnsi="Arial" w:cs="Arial"/>
          <w:color w:val="000000" w:themeColor="text1"/>
          <w:sz w:val="22"/>
          <w:szCs w:val="22"/>
        </w:rPr>
      </w:pPr>
      <w:r>
        <w:rPr>
          <w:rFonts w:ascii="Arial" w:hAnsi="Arial" w:cs="Arial"/>
          <w:color w:val="000000" w:themeColor="text1"/>
          <w:sz w:val="22"/>
          <w:szCs w:val="22"/>
        </w:rPr>
        <w:lastRenderedPageBreak/>
        <w:t>[23</w:t>
      </w:r>
      <w:r w:rsidR="00444F70" w:rsidRPr="00D075FD">
        <w:rPr>
          <w:rFonts w:ascii="Arial" w:hAnsi="Arial" w:cs="Arial"/>
          <w:color w:val="000000" w:themeColor="text1"/>
          <w:sz w:val="22"/>
          <w:szCs w:val="22"/>
        </w:rPr>
        <w:t xml:space="preserve">] </w:t>
      </w:r>
      <w:proofErr w:type="spellStart"/>
      <w:r w:rsidR="00B03ABD" w:rsidRPr="00D075FD">
        <w:rPr>
          <w:rFonts w:ascii="Arial" w:hAnsi="Arial" w:cs="Arial"/>
          <w:color w:val="000000" w:themeColor="text1"/>
          <w:sz w:val="22"/>
          <w:szCs w:val="22"/>
        </w:rPr>
        <w:t>Tarcomnicu</w:t>
      </w:r>
      <w:r w:rsidR="00444F70" w:rsidRPr="00D075FD">
        <w:rPr>
          <w:rFonts w:ascii="Arial" w:hAnsi="Arial" w:cs="Arial"/>
          <w:color w:val="000000" w:themeColor="text1"/>
          <w:sz w:val="22"/>
          <w:szCs w:val="22"/>
        </w:rPr>
        <w:t>I</w:t>
      </w:r>
      <w:proofErr w:type="spellEnd"/>
      <w:r w:rsidR="00B03ABD" w:rsidRPr="00D075FD">
        <w:rPr>
          <w:rFonts w:ascii="Arial" w:hAnsi="Arial" w:cs="Arial"/>
          <w:color w:val="000000" w:themeColor="text1"/>
          <w:sz w:val="22"/>
          <w:szCs w:val="22"/>
        </w:rPr>
        <w:t xml:space="preserve"> </w:t>
      </w:r>
      <w:proofErr w:type="gramStart"/>
      <w:r w:rsidR="00B03ABD">
        <w:rPr>
          <w:rFonts w:ascii="Arial" w:hAnsi="Arial" w:cs="Arial"/>
          <w:color w:val="000000" w:themeColor="text1"/>
          <w:sz w:val="22"/>
          <w:szCs w:val="22"/>
        </w:rPr>
        <w:t>I</w:t>
      </w:r>
      <w:r w:rsidR="00444F70" w:rsidRPr="00D075FD">
        <w:rPr>
          <w:rFonts w:ascii="Arial" w:hAnsi="Arial" w:cs="Arial"/>
          <w:color w:val="000000" w:themeColor="text1"/>
          <w:sz w:val="22"/>
          <w:szCs w:val="22"/>
        </w:rPr>
        <w:t xml:space="preserve">,  </w:t>
      </w:r>
      <w:r w:rsidR="00B03ABD" w:rsidRPr="00D075FD">
        <w:rPr>
          <w:rFonts w:ascii="Arial" w:hAnsi="Arial" w:cs="Arial"/>
          <w:color w:val="000000" w:themeColor="text1"/>
          <w:sz w:val="22"/>
          <w:szCs w:val="22"/>
        </w:rPr>
        <w:t>van</w:t>
      </w:r>
      <w:proofErr w:type="gramEnd"/>
      <w:r w:rsidR="00B03ABD" w:rsidRPr="00D075FD">
        <w:rPr>
          <w:rFonts w:ascii="Arial" w:hAnsi="Arial" w:cs="Arial"/>
          <w:color w:val="000000" w:themeColor="text1"/>
          <w:sz w:val="22"/>
          <w:szCs w:val="22"/>
        </w:rPr>
        <w:t xml:space="preserve"> </w:t>
      </w:r>
      <w:proofErr w:type="spellStart"/>
      <w:r w:rsidR="00B03ABD" w:rsidRPr="00D075FD">
        <w:rPr>
          <w:rFonts w:ascii="Arial" w:hAnsi="Arial" w:cs="Arial"/>
          <w:color w:val="000000" w:themeColor="text1"/>
          <w:sz w:val="22"/>
          <w:szCs w:val="22"/>
        </w:rPr>
        <w:t>Nuijs</w:t>
      </w:r>
      <w:proofErr w:type="spellEnd"/>
      <w:r w:rsidR="00B03ABD" w:rsidRPr="00D075FD">
        <w:rPr>
          <w:rFonts w:ascii="Arial" w:hAnsi="Arial" w:cs="Arial"/>
          <w:color w:val="000000" w:themeColor="text1"/>
          <w:sz w:val="22"/>
          <w:szCs w:val="22"/>
        </w:rPr>
        <w:t xml:space="preserve"> </w:t>
      </w:r>
      <w:r w:rsidR="00B03ABD">
        <w:rPr>
          <w:rFonts w:ascii="Arial" w:hAnsi="Arial" w:cs="Arial"/>
          <w:color w:val="000000" w:themeColor="text1"/>
          <w:sz w:val="22"/>
          <w:szCs w:val="22"/>
        </w:rPr>
        <w:t>A L</w:t>
      </w:r>
      <w:r w:rsidR="00444F70" w:rsidRPr="00D075FD">
        <w:rPr>
          <w:rFonts w:ascii="Arial" w:hAnsi="Arial" w:cs="Arial"/>
          <w:color w:val="000000" w:themeColor="text1"/>
          <w:sz w:val="22"/>
          <w:szCs w:val="22"/>
        </w:rPr>
        <w:t xml:space="preserve">, Simons W, </w:t>
      </w:r>
      <w:proofErr w:type="spellStart"/>
      <w:r w:rsidR="00444F70" w:rsidRPr="00D075FD">
        <w:rPr>
          <w:rFonts w:ascii="Arial" w:hAnsi="Arial" w:cs="Arial"/>
          <w:color w:val="000000" w:themeColor="text1"/>
          <w:sz w:val="22"/>
          <w:szCs w:val="22"/>
        </w:rPr>
        <w:t>Bervoets</w:t>
      </w:r>
      <w:proofErr w:type="spellEnd"/>
      <w:r w:rsidR="00444F70" w:rsidRPr="00D075FD">
        <w:rPr>
          <w:rFonts w:ascii="Arial" w:hAnsi="Arial" w:cs="Arial"/>
          <w:color w:val="000000" w:themeColor="text1"/>
          <w:sz w:val="22"/>
          <w:szCs w:val="22"/>
        </w:rPr>
        <w:t xml:space="preserve"> L, </w:t>
      </w:r>
      <w:proofErr w:type="spellStart"/>
      <w:r w:rsidR="00444F70" w:rsidRPr="00D075FD">
        <w:rPr>
          <w:rFonts w:ascii="Arial" w:hAnsi="Arial" w:cs="Arial"/>
          <w:color w:val="000000" w:themeColor="text1"/>
          <w:sz w:val="22"/>
          <w:szCs w:val="22"/>
        </w:rPr>
        <w:t>Blust</w:t>
      </w:r>
      <w:proofErr w:type="spellEnd"/>
      <w:r w:rsidR="00444F70" w:rsidRPr="00D075FD">
        <w:rPr>
          <w:rFonts w:ascii="Arial" w:hAnsi="Arial" w:cs="Arial"/>
          <w:color w:val="000000" w:themeColor="text1"/>
          <w:sz w:val="22"/>
          <w:szCs w:val="22"/>
        </w:rPr>
        <w:t xml:space="preserve"> R, </w:t>
      </w:r>
      <w:proofErr w:type="spellStart"/>
      <w:r w:rsidR="00444F70" w:rsidRPr="00D075FD">
        <w:rPr>
          <w:rFonts w:ascii="Arial" w:hAnsi="Arial" w:cs="Arial"/>
          <w:color w:val="000000" w:themeColor="text1"/>
          <w:sz w:val="22"/>
          <w:szCs w:val="22"/>
        </w:rPr>
        <w:t>Jorens</w:t>
      </w:r>
      <w:proofErr w:type="spellEnd"/>
      <w:r w:rsidR="00444F70" w:rsidRPr="00D075FD">
        <w:rPr>
          <w:rFonts w:ascii="Arial" w:hAnsi="Arial" w:cs="Arial"/>
          <w:color w:val="000000" w:themeColor="text1"/>
          <w:sz w:val="22"/>
          <w:szCs w:val="22"/>
        </w:rPr>
        <w:t xml:space="preserve"> PG, Neels H, </w:t>
      </w:r>
      <w:proofErr w:type="spellStart"/>
      <w:r w:rsidR="00444F70" w:rsidRPr="00D075FD">
        <w:rPr>
          <w:rFonts w:ascii="Arial" w:hAnsi="Arial" w:cs="Arial"/>
          <w:color w:val="000000" w:themeColor="text1"/>
          <w:sz w:val="22"/>
          <w:szCs w:val="22"/>
        </w:rPr>
        <w:t>Covaci</w:t>
      </w:r>
      <w:proofErr w:type="spellEnd"/>
      <w:r w:rsidR="00444F70" w:rsidRPr="00D075FD">
        <w:rPr>
          <w:rFonts w:ascii="Arial" w:hAnsi="Arial" w:cs="Arial"/>
          <w:color w:val="000000" w:themeColor="text1"/>
          <w:sz w:val="22"/>
          <w:szCs w:val="22"/>
        </w:rPr>
        <w:t xml:space="preserve"> A.  </w:t>
      </w:r>
      <w:bookmarkStart w:id="38" w:name="OLE_LINK19"/>
      <w:bookmarkStart w:id="39" w:name="OLE_LINK20"/>
      <w:r w:rsidR="00444F70" w:rsidRPr="00D075FD">
        <w:rPr>
          <w:rFonts w:ascii="Arial" w:hAnsi="Arial" w:cs="Arial"/>
          <w:color w:val="000000" w:themeColor="text1"/>
          <w:sz w:val="22"/>
          <w:szCs w:val="22"/>
        </w:rPr>
        <w:t xml:space="preserve">Simultaneous determination of 15 top-prescribed pharmaceuticals and their metabolites in influent </w:t>
      </w:r>
      <w:proofErr w:type="gramStart"/>
      <w:r w:rsidR="00444F70" w:rsidRPr="00D075FD">
        <w:rPr>
          <w:rFonts w:ascii="Arial" w:hAnsi="Arial" w:cs="Arial"/>
          <w:color w:val="000000" w:themeColor="text1"/>
          <w:sz w:val="22"/>
          <w:szCs w:val="22"/>
        </w:rPr>
        <w:t>waste water</w:t>
      </w:r>
      <w:proofErr w:type="gramEnd"/>
      <w:r w:rsidR="00444F70" w:rsidRPr="00D075FD">
        <w:rPr>
          <w:rFonts w:ascii="Arial" w:hAnsi="Arial" w:cs="Arial"/>
          <w:color w:val="000000" w:themeColor="text1"/>
          <w:sz w:val="22"/>
          <w:szCs w:val="22"/>
        </w:rPr>
        <w:t xml:space="preserve"> by reversed-phase liquid chromatography coupled to tandem mass spectrometry.</w:t>
      </w:r>
      <w:bookmarkEnd w:id="38"/>
      <w:bookmarkEnd w:id="39"/>
      <w:r w:rsidR="00444F70" w:rsidRPr="00D075FD">
        <w:rPr>
          <w:rFonts w:ascii="Arial" w:hAnsi="Arial" w:cs="Arial"/>
          <w:color w:val="000000" w:themeColor="text1"/>
          <w:sz w:val="22"/>
          <w:szCs w:val="22"/>
        </w:rPr>
        <w:t xml:space="preserve"> </w:t>
      </w:r>
      <w:proofErr w:type="spellStart"/>
      <w:r w:rsidR="00444F70" w:rsidRPr="00D075FD">
        <w:rPr>
          <w:rFonts w:ascii="Arial" w:hAnsi="Arial" w:cs="Arial"/>
          <w:color w:val="000000" w:themeColor="text1"/>
          <w:sz w:val="22"/>
          <w:szCs w:val="22"/>
        </w:rPr>
        <w:t>Tal</w:t>
      </w:r>
      <w:r w:rsidR="00B03ABD">
        <w:rPr>
          <w:rFonts w:ascii="Arial" w:hAnsi="Arial" w:cs="Arial"/>
          <w:color w:val="000000" w:themeColor="text1"/>
          <w:sz w:val="22"/>
          <w:szCs w:val="22"/>
        </w:rPr>
        <w:t>anta</w:t>
      </w:r>
      <w:proofErr w:type="spellEnd"/>
      <w:r w:rsidR="00B03ABD">
        <w:rPr>
          <w:rFonts w:ascii="Arial" w:hAnsi="Arial" w:cs="Arial"/>
          <w:color w:val="000000" w:themeColor="text1"/>
          <w:sz w:val="22"/>
          <w:szCs w:val="22"/>
        </w:rPr>
        <w:t>.</w:t>
      </w:r>
      <w:r w:rsidR="00444F70" w:rsidRPr="00D075FD">
        <w:rPr>
          <w:rFonts w:ascii="Arial" w:hAnsi="Arial" w:cs="Arial"/>
          <w:color w:val="000000" w:themeColor="text1"/>
          <w:sz w:val="22"/>
          <w:szCs w:val="22"/>
        </w:rPr>
        <w:t xml:space="preserve"> </w:t>
      </w:r>
      <w:r w:rsidR="00B03ABD">
        <w:rPr>
          <w:rFonts w:ascii="Arial" w:hAnsi="Arial" w:cs="Arial"/>
          <w:color w:val="000000" w:themeColor="text1"/>
          <w:sz w:val="22"/>
          <w:szCs w:val="22"/>
        </w:rPr>
        <w:t>2011 Jan 15, 83:</w:t>
      </w:r>
      <w:r w:rsidR="00444F70" w:rsidRPr="00D075FD">
        <w:rPr>
          <w:rFonts w:ascii="Arial" w:hAnsi="Arial" w:cs="Arial"/>
          <w:color w:val="000000" w:themeColor="text1"/>
          <w:sz w:val="22"/>
          <w:szCs w:val="22"/>
        </w:rPr>
        <w:t xml:space="preserve"> 795-803. </w:t>
      </w:r>
      <w:r w:rsidR="00B03ABD">
        <w:rPr>
          <w:rFonts w:ascii="Arial" w:hAnsi="Arial" w:cs="Arial"/>
          <w:color w:val="000000" w:themeColor="text1"/>
          <w:sz w:val="22"/>
          <w:szCs w:val="22"/>
        </w:rPr>
        <w:t xml:space="preserve">URL: </w:t>
      </w:r>
      <w:hyperlink r:id="rId31" w:history="1">
        <w:r w:rsidR="00444F70" w:rsidRPr="00351A9E">
          <w:rPr>
            <w:rStyle w:val="Hyperlink"/>
            <w:rFonts w:ascii="Arial" w:hAnsi="Arial" w:cs="Arial"/>
            <w:sz w:val="22"/>
            <w:szCs w:val="22"/>
          </w:rPr>
          <w:t>https://doi.org/10.1016/j.talanta.2010.10.045</w:t>
        </w:r>
      </w:hyperlink>
      <w:r w:rsidR="00444F70">
        <w:rPr>
          <w:rFonts w:ascii="Arial" w:hAnsi="Arial" w:cs="Arial"/>
          <w:color w:val="000000" w:themeColor="text1"/>
          <w:sz w:val="22"/>
          <w:szCs w:val="22"/>
        </w:rPr>
        <w:t xml:space="preserve">. </w:t>
      </w:r>
    </w:p>
    <w:p w14:paraId="06BE0F4B" w14:textId="5BD2043F" w:rsidR="00444F70" w:rsidRPr="00D77B1D" w:rsidRDefault="0087294A" w:rsidP="0016122E">
      <w:pPr>
        <w:spacing w:line="360" w:lineRule="auto"/>
        <w:rPr>
          <w:rFonts w:ascii="Arial" w:hAnsi="Arial" w:cs="Arial"/>
          <w:color w:val="000000" w:themeColor="text1"/>
          <w:sz w:val="22"/>
          <w:szCs w:val="22"/>
        </w:rPr>
      </w:pPr>
      <w:r>
        <w:rPr>
          <w:rFonts w:ascii="Arial" w:hAnsi="Arial" w:cs="Arial"/>
          <w:color w:val="000000" w:themeColor="text1"/>
          <w:sz w:val="22"/>
          <w:szCs w:val="22"/>
        </w:rPr>
        <w:t>[24</w:t>
      </w:r>
      <w:r w:rsidR="00444F70" w:rsidRPr="00D075FD">
        <w:rPr>
          <w:rFonts w:ascii="Arial" w:hAnsi="Arial" w:cs="Arial"/>
          <w:color w:val="000000" w:themeColor="text1"/>
          <w:sz w:val="22"/>
          <w:szCs w:val="22"/>
        </w:rPr>
        <w:t xml:space="preserve">] </w:t>
      </w:r>
      <w:proofErr w:type="spellStart"/>
      <w:r w:rsidR="00B03ABD" w:rsidRPr="00D075FD">
        <w:rPr>
          <w:rFonts w:ascii="Arial" w:hAnsi="Arial" w:cs="Arial"/>
          <w:color w:val="000000" w:themeColor="text1"/>
          <w:sz w:val="22"/>
          <w:szCs w:val="22"/>
        </w:rPr>
        <w:t>Karolak</w:t>
      </w:r>
      <w:proofErr w:type="spellEnd"/>
      <w:r w:rsidR="00B03ABD" w:rsidRPr="00D075FD">
        <w:rPr>
          <w:rFonts w:ascii="Arial" w:hAnsi="Arial" w:cs="Arial"/>
          <w:color w:val="000000" w:themeColor="text1"/>
          <w:sz w:val="22"/>
          <w:szCs w:val="22"/>
        </w:rPr>
        <w:t xml:space="preserve"> </w:t>
      </w:r>
      <w:r w:rsidR="00B03ABD">
        <w:rPr>
          <w:rFonts w:ascii="Arial" w:hAnsi="Arial" w:cs="Arial"/>
          <w:color w:val="000000" w:themeColor="text1"/>
          <w:sz w:val="22"/>
          <w:szCs w:val="22"/>
        </w:rPr>
        <w:t>S</w:t>
      </w:r>
      <w:r w:rsidR="00444F70" w:rsidRPr="00D075FD">
        <w:rPr>
          <w:rFonts w:ascii="Arial" w:hAnsi="Arial" w:cs="Arial"/>
          <w:color w:val="000000" w:themeColor="text1"/>
          <w:sz w:val="22"/>
          <w:szCs w:val="22"/>
        </w:rPr>
        <w:t xml:space="preserve">, </w:t>
      </w:r>
      <w:proofErr w:type="spellStart"/>
      <w:r w:rsidR="00B03ABD" w:rsidRPr="00D075FD">
        <w:rPr>
          <w:rFonts w:ascii="Arial" w:hAnsi="Arial" w:cs="Arial"/>
          <w:color w:val="000000" w:themeColor="text1"/>
          <w:sz w:val="22"/>
          <w:szCs w:val="22"/>
        </w:rPr>
        <w:t>Nefau</w:t>
      </w:r>
      <w:proofErr w:type="spellEnd"/>
      <w:r w:rsidR="00B03ABD" w:rsidRPr="00D075FD">
        <w:rPr>
          <w:rFonts w:ascii="Arial" w:hAnsi="Arial" w:cs="Arial"/>
          <w:color w:val="000000" w:themeColor="text1"/>
          <w:sz w:val="22"/>
          <w:szCs w:val="22"/>
        </w:rPr>
        <w:t xml:space="preserve"> </w:t>
      </w:r>
      <w:r w:rsidR="00B03ABD">
        <w:rPr>
          <w:rFonts w:ascii="Arial" w:hAnsi="Arial" w:cs="Arial"/>
          <w:color w:val="000000" w:themeColor="text1"/>
          <w:sz w:val="22"/>
          <w:szCs w:val="22"/>
        </w:rPr>
        <w:t>T</w:t>
      </w:r>
      <w:r w:rsidR="00444F70" w:rsidRPr="00D075FD">
        <w:rPr>
          <w:rFonts w:ascii="Arial" w:hAnsi="Arial" w:cs="Arial"/>
          <w:color w:val="000000" w:themeColor="text1"/>
          <w:sz w:val="22"/>
          <w:szCs w:val="22"/>
        </w:rPr>
        <w:t xml:space="preserve">, </w:t>
      </w:r>
      <w:r w:rsidR="00B03ABD" w:rsidRPr="00D075FD">
        <w:rPr>
          <w:rFonts w:ascii="Arial" w:hAnsi="Arial" w:cs="Arial"/>
          <w:color w:val="000000" w:themeColor="text1"/>
          <w:sz w:val="22"/>
          <w:szCs w:val="22"/>
        </w:rPr>
        <w:t>Bailly</w:t>
      </w:r>
      <w:r w:rsidR="00B03ABD">
        <w:rPr>
          <w:rFonts w:ascii="Arial" w:hAnsi="Arial" w:cs="Arial"/>
          <w:color w:val="000000" w:themeColor="text1"/>
          <w:sz w:val="22"/>
          <w:szCs w:val="22"/>
        </w:rPr>
        <w:t xml:space="preserve"> E</w:t>
      </w:r>
      <w:r w:rsidR="00444F70" w:rsidRPr="00D075FD">
        <w:rPr>
          <w:rFonts w:ascii="Arial" w:hAnsi="Arial" w:cs="Arial"/>
          <w:color w:val="000000" w:themeColor="text1"/>
          <w:sz w:val="22"/>
          <w:szCs w:val="22"/>
        </w:rPr>
        <w:t xml:space="preserve">, </w:t>
      </w:r>
      <w:proofErr w:type="spellStart"/>
      <w:r w:rsidR="00A83E96" w:rsidRPr="00D075FD">
        <w:rPr>
          <w:rFonts w:ascii="Arial" w:hAnsi="Arial" w:cs="Arial"/>
          <w:color w:val="000000" w:themeColor="text1"/>
          <w:sz w:val="22"/>
          <w:szCs w:val="22"/>
        </w:rPr>
        <w:t>Solgadi</w:t>
      </w:r>
      <w:proofErr w:type="spellEnd"/>
      <w:r w:rsidR="00A83E96" w:rsidRPr="00D075FD">
        <w:rPr>
          <w:rFonts w:ascii="Arial" w:hAnsi="Arial" w:cs="Arial"/>
          <w:color w:val="000000" w:themeColor="text1"/>
          <w:sz w:val="22"/>
          <w:szCs w:val="22"/>
        </w:rPr>
        <w:t xml:space="preserve"> </w:t>
      </w:r>
      <w:r w:rsidR="00A83E96">
        <w:rPr>
          <w:rFonts w:ascii="Arial" w:hAnsi="Arial" w:cs="Arial"/>
          <w:color w:val="000000" w:themeColor="text1"/>
          <w:sz w:val="22"/>
          <w:szCs w:val="22"/>
        </w:rPr>
        <w:t>A,</w:t>
      </w:r>
      <w:r w:rsidR="00444F70" w:rsidRPr="00D075FD">
        <w:rPr>
          <w:rFonts w:ascii="Arial" w:hAnsi="Arial" w:cs="Arial"/>
          <w:color w:val="000000" w:themeColor="text1"/>
          <w:sz w:val="22"/>
          <w:szCs w:val="22"/>
        </w:rPr>
        <w:t xml:space="preserve"> </w:t>
      </w:r>
      <w:proofErr w:type="spellStart"/>
      <w:r w:rsidR="00A83E96" w:rsidRPr="00D075FD">
        <w:rPr>
          <w:rFonts w:ascii="Arial" w:hAnsi="Arial" w:cs="Arial"/>
          <w:color w:val="000000" w:themeColor="text1"/>
          <w:sz w:val="22"/>
          <w:szCs w:val="22"/>
        </w:rPr>
        <w:t>Levia</w:t>
      </w:r>
      <w:proofErr w:type="spellEnd"/>
      <w:r w:rsidR="00A83E96" w:rsidRPr="00D075FD">
        <w:rPr>
          <w:rFonts w:ascii="Arial" w:hAnsi="Arial" w:cs="Arial"/>
          <w:color w:val="000000" w:themeColor="text1"/>
          <w:sz w:val="22"/>
          <w:szCs w:val="22"/>
        </w:rPr>
        <w:t xml:space="preserve"> </w:t>
      </w:r>
      <w:r w:rsidR="00444F70" w:rsidRPr="00D075FD">
        <w:rPr>
          <w:rFonts w:ascii="Arial" w:hAnsi="Arial" w:cs="Arial"/>
          <w:color w:val="000000" w:themeColor="text1"/>
          <w:sz w:val="22"/>
          <w:szCs w:val="22"/>
        </w:rPr>
        <w:t xml:space="preserve">Y. </w:t>
      </w:r>
      <w:bookmarkStart w:id="40" w:name="OLE_LINK21"/>
      <w:bookmarkStart w:id="41" w:name="OLE_LINK22"/>
      <w:r w:rsidR="00444F70" w:rsidRPr="00D075FD">
        <w:rPr>
          <w:rFonts w:ascii="Arial" w:hAnsi="Arial" w:cs="Arial"/>
          <w:color w:val="000000" w:themeColor="text1"/>
          <w:sz w:val="22"/>
          <w:szCs w:val="22"/>
        </w:rPr>
        <w:t xml:space="preserve">Estimation of illicit drug consumption by </w:t>
      </w:r>
      <w:proofErr w:type="gramStart"/>
      <w:r w:rsidR="00444F70" w:rsidRPr="00D075FD">
        <w:rPr>
          <w:rFonts w:ascii="Arial" w:hAnsi="Arial" w:cs="Arial"/>
          <w:color w:val="000000" w:themeColor="text1"/>
          <w:sz w:val="22"/>
          <w:szCs w:val="22"/>
        </w:rPr>
        <w:t>waste water</w:t>
      </w:r>
      <w:proofErr w:type="gramEnd"/>
      <w:r w:rsidR="00444F70" w:rsidRPr="00D075FD">
        <w:rPr>
          <w:rFonts w:ascii="Arial" w:hAnsi="Arial" w:cs="Arial"/>
          <w:color w:val="000000" w:themeColor="text1"/>
          <w:sz w:val="22"/>
          <w:szCs w:val="22"/>
        </w:rPr>
        <w:t xml:space="preserve"> analysis in Paris</w:t>
      </w:r>
      <w:r w:rsidR="00B03ABD">
        <w:rPr>
          <w:rFonts w:ascii="Arial" w:hAnsi="Arial" w:cs="Arial"/>
          <w:color w:val="000000" w:themeColor="text1"/>
          <w:sz w:val="22"/>
          <w:szCs w:val="22"/>
        </w:rPr>
        <w:t xml:space="preserve"> area (France).</w:t>
      </w:r>
      <w:bookmarkEnd w:id="40"/>
      <w:bookmarkEnd w:id="41"/>
      <w:r w:rsidR="00B03ABD">
        <w:rPr>
          <w:rFonts w:ascii="Arial" w:hAnsi="Arial" w:cs="Arial"/>
          <w:color w:val="000000" w:themeColor="text1"/>
          <w:sz w:val="22"/>
          <w:szCs w:val="22"/>
        </w:rPr>
        <w:t xml:space="preserve"> Forensic Sci Int. 2010</w:t>
      </w:r>
      <w:r w:rsidR="00444F70" w:rsidRPr="00D075FD">
        <w:rPr>
          <w:rFonts w:ascii="Arial" w:hAnsi="Arial" w:cs="Arial"/>
          <w:color w:val="000000" w:themeColor="text1"/>
          <w:sz w:val="22"/>
          <w:szCs w:val="22"/>
        </w:rPr>
        <w:t xml:space="preserve"> </w:t>
      </w:r>
      <w:r w:rsidR="00B03ABD">
        <w:rPr>
          <w:rFonts w:ascii="Arial" w:hAnsi="Arial" w:cs="Arial"/>
          <w:color w:val="000000" w:themeColor="text1"/>
          <w:sz w:val="22"/>
          <w:szCs w:val="22"/>
        </w:rPr>
        <w:t xml:space="preserve">Jul 15, </w:t>
      </w:r>
      <w:r w:rsidR="00444F70" w:rsidRPr="00D075FD">
        <w:rPr>
          <w:rFonts w:ascii="Arial" w:hAnsi="Arial" w:cs="Arial"/>
          <w:color w:val="000000" w:themeColor="text1"/>
          <w:sz w:val="22"/>
          <w:szCs w:val="22"/>
        </w:rPr>
        <w:t>200</w:t>
      </w:r>
      <w:r w:rsidR="00B03ABD">
        <w:rPr>
          <w:rFonts w:ascii="Arial" w:hAnsi="Arial" w:cs="Arial"/>
          <w:color w:val="000000" w:themeColor="text1"/>
          <w:sz w:val="22"/>
          <w:szCs w:val="22"/>
        </w:rPr>
        <w:t xml:space="preserve"> (1-3):</w:t>
      </w:r>
      <w:r w:rsidR="00444F70" w:rsidRPr="00D075FD">
        <w:rPr>
          <w:rFonts w:ascii="Arial" w:hAnsi="Arial" w:cs="Arial"/>
          <w:color w:val="000000" w:themeColor="text1"/>
          <w:sz w:val="22"/>
          <w:szCs w:val="22"/>
        </w:rPr>
        <w:t xml:space="preserve"> 153-160.</w:t>
      </w:r>
      <w:r w:rsidR="00B03ABD">
        <w:rPr>
          <w:rFonts w:ascii="Arial" w:hAnsi="Arial" w:cs="Arial"/>
          <w:color w:val="000000" w:themeColor="text1"/>
          <w:sz w:val="22"/>
          <w:szCs w:val="22"/>
        </w:rPr>
        <w:t xml:space="preserve"> URL: </w:t>
      </w:r>
      <w:r w:rsidR="00444F70" w:rsidRPr="00982E17">
        <w:t xml:space="preserve"> </w:t>
      </w:r>
      <w:hyperlink r:id="rId32" w:history="1">
        <w:r w:rsidR="00444F70" w:rsidRPr="00351A9E">
          <w:rPr>
            <w:rStyle w:val="Hyperlink"/>
            <w:rFonts w:ascii="Arial" w:hAnsi="Arial" w:cs="Arial"/>
            <w:sz w:val="22"/>
            <w:szCs w:val="22"/>
          </w:rPr>
          <w:t>https://doi.org/10.1016/j.forsciint.2010.04.007</w:t>
        </w:r>
      </w:hyperlink>
      <w:r w:rsidR="00444F70">
        <w:rPr>
          <w:rFonts w:ascii="Arial" w:hAnsi="Arial" w:cs="Arial"/>
          <w:color w:val="000000" w:themeColor="text1"/>
          <w:sz w:val="22"/>
          <w:szCs w:val="22"/>
        </w:rPr>
        <w:t xml:space="preserve">. </w:t>
      </w:r>
    </w:p>
    <w:p w14:paraId="445D606D" w14:textId="5A40C689" w:rsidR="00444F70" w:rsidRDefault="00444F70" w:rsidP="0016122E">
      <w:pPr>
        <w:spacing w:line="360" w:lineRule="auto"/>
        <w:rPr>
          <w:rFonts w:ascii="Arial" w:eastAsia="Times New Roman" w:hAnsi="Arial" w:cs="Arial"/>
          <w:color w:val="000000" w:themeColor="text1"/>
          <w:sz w:val="22"/>
          <w:szCs w:val="22"/>
          <w:shd w:val="clear" w:color="auto" w:fill="FFFFFF"/>
        </w:rPr>
      </w:pPr>
      <w:r w:rsidRPr="00D075FD">
        <w:rPr>
          <w:rFonts w:ascii="Arial" w:hAnsi="Arial" w:cs="Arial"/>
          <w:color w:val="000000" w:themeColor="text1"/>
          <w:sz w:val="22"/>
          <w:szCs w:val="22"/>
        </w:rPr>
        <w:t>[2</w:t>
      </w:r>
      <w:r w:rsidR="0087294A">
        <w:rPr>
          <w:rFonts w:ascii="Arial" w:hAnsi="Arial" w:cs="Arial"/>
          <w:color w:val="000000" w:themeColor="text1"/>
          <w:sz w:val="22"/>
          <w:szCs w:val="22"/>
        </w:rPr>
        <w:t>5</w:t>
      </w:r>
      <w:r w:rsidRPr="00D075FD">
        <w:rPr>
          <w:rFonts w:ascii="Arial" w:hAnsi="Arial" w:cs="Arial"/>
          <w:color w:val="000000" w:themeColor="text1"/>
          <w:sz w:val="22"/>
          <w:szCs w:val="22"/>
        </w:rPr>
        <w:t xml:space="preserve">] </w:t>
      </w:r>
      <w:r w:rsidRPr="00D075FD">
        <w:rPr>
          <w:rFonts w:ascii="Arial" w:eastAsia="Times New Roman" w:hAnsi="Arial" w:cs="Arial"/>
          <w:color w:val="000000" w:themeColor="text1"/>
          <w:sz w:val="22"/>
          <w:szCs w:val="22"/>
          <w:shd w:val="clear" w:color="auto" w:fill="FFFFFF"/>
        </w:rPr>
        <w:t>United Nations Office on Drugs, Crime. Laboratory and Scientific Section, 2005. </w:t>
      </w:r>
      <w:r w:rsidRPr="00D075FD">
        <w:rPr>
          <w:rFonts w:ascii="Arial" w:eastAsia="Times New Roman" w:hAnsi="Arial" w:cs="Arial"/>
          <w:i/>
          <w:iCs/>
          <w:color w:val="000000" w:themeColor="text1"/>
          <w:sz w:val="22"/>
          <w:szCs w:val="22"/>
        </w:rPr>
        <w:t>Methods for Impurity Profiling of Heroin and Cocaine: Manual for Use by National Drug Testing Laboratories</w:t>
      </w:r>
      <w:r w:rsidRPr="00D075FD">
        <w:rPr>
          <w:rFonts w:ascii="Arial" w:eastAsia="Times New Roman" w:hAnsi="Arial" w:cs="Arial"/>
          <w:color w:val="000000" w:themeColor="text1"/>
          <w:sz w:val="22"/>
          <w:szCs w:val="22"/>
          <w:shd w:val="clear" w:color="auto" w:fill="FFFFFF"/>
        </w:rPr>
        <w:t>. United Nations Publications.</w:t>
      </w:r>
    </w:p>
    <w:p w14:paraId="4D490792" w14:textId="3063E8B1" w:rsidR="00444F70" w:rsidRDefault="0087294A" w:rsidP="0016122E">
      <w:pPr>
        <w:spacing w:line="360" w:lineRule="auto"/>
        <w:ind w:left="567" w:hanging="567"/>
        <w:rPr>
          <w:rFonts w:ascii="Arial" w:eastAsia="Times New Roman" w:hAnsi="Arial" w:cs="Arial"/>
          <w:color w:val="000000" w:themeColor="text1"/>
          <w:sz w:val="22"/>
          <w:szCs w:val="22"/>
          <w:shd w:val="clear" w:color="auto" w:fill="FFFFFF"/>
        </w:rPr>
      </w:pPr>
      <w:r>
        <w:rPr>
          <w:rFonts w:ascii="Arial" w:eastAsia="Times New Roman" w:hAnsi="Arial" w:cs="Arial"/>
          <w:color w:val="000000" w:themeColor="text1"/>
          <w:sz w:val="22"/>
          <w:szCs w:val="22"/>
          <w:shd w:val="clear" w:color="auto" w:fill="FFFFFF"/>
        </w:rPr>
        <w:t>[26</w:t>
      </w:r>
      <w:r w:rsidR="00444F70">
        <w:rPr>
          <w:rFonts w:ascii="Arial" w:eastAsia="Times New Roman" w:hAnsi="Arial" w:cs="Arial"/>
          <w:color w:val="000000" w:themeColor="text1"/>
          <w:sz w:val="22"/>
          <w:szCs w:val="22"/>
          <w:shd w:val="clear" w:color="auto" w:fill="FFFFFF"/>
        </w:rPr>
        <w:t>]</w:t>
      </w:r>
      <w:r w:rsidR="00444F70">
        <w:rPr>
          <w:rFonts w:ascii="Arial" w:eastAsia="Times New Roman" w:hAnsi="Arial" w:cs="Arial"/>
          <w:color w:val="000000" w:themeColor="text1"/>
          <w:sz w:val="22"/>
          <w:szCs w:val="22"/>
          <w:shd w:val="clear" w:color="auto" w:fill="FFFFFF"/>
        </w:rPr>
        <w:tab/>
      </w:r>
      <w:r w:rsidR="005C481D">
        <w:rPr>
          <w:rFonts w:ascii="Arial" w:eastAsia="Times New Roman" w:hAnsi="Arial" w:cs="Arial"/>
          <w:color w:val="000000" w:themeColor="text1"/>
          <w:sz w:val="22"/>
          <w:szCs w:val="22"/>
          <w:shd w:val="clear" w:color="auto" w:fill="FFFFFF"/>
        </w:rPr>
        <w:t>Hennig</w:t>
      </w:r>
      <w:r w:rsidR="00444F70" w:rsidRPr="00FB63EC">
        <w:rPr>
          <w:rFonts w:ascii="Arial" w:eastAsia="Times New Roman" w:hAnsi="Arial" w:cs="Arial"/>
          <w:color w:val="000000" w:themeColor="text1"/>
          <w:sz w:val="22"/>
          <w:szCs w:val="22"/>
          <w:shd w:val="clear" w:color="auto" w:fill="FFFFFF"/>
        </w:rPr>
        <w:t xml:space="preserve"> C. </w:t>
      </w:r>
      <w:bookmarkStart w:id="42" w:name="OLE_LINK39"/>
      <w:bookmarkStart w:id="43" w:name="OLE_LINK40"/>
      <w:r w:rsidR="00444F70" w:rsidRPr="00FB63EC">
        <w:rPr>
          <w:rFonts w:ascii="Arial" w:eastAsia="Times New Roman" w:hAnsi="Arial" w:cs="Arial"/>
          <w:color w:val="000000" w:themeColor="text1"/>
          <w:sz w:val="22"/>
          <w:szCs w:val="22"/>
          <w:shd w:val="clear" w:color="auto" w:fill="FFFFFF"/>
        </w:rPr>
        <w:t>Dissolution point and isolation robustness: Robustness criteria for general cluster analysis methods.</w:t>
      </w:r>
      <w:bookmarkEnd w:id="42"/>
      <w:bookmarkEnd w:id="43"/>
      <w:r w:rsidR="00444F70" w:rsidRPr="00FB63EC">
        <w:rPr>
          <w:rFonts w:ascii="Arial" w:eastAsia="Times New Roman" w:hAnsi="Arial" w:cs="Arial"/>
          <w:color w:val="000000" w:themeColor="text1"/>
          <w:sz w:val="22"/>
          <w:szCs w:val="22"/>
          <w:shd w:val="clear" w:color="auto" w:fill="FFFFFF"/>
        </w:rPr>
        <w:t xml:space="preserve"> J</w:t>
      </w:r>
      <w:r w:rsidR="005C481D">
        <w:rPr>
          <w:rFonts w:ascii="Arial" w:eastAsia="Times New Roman" w:hAnsi="Arial" w:cs="Arial"/>
          <w:color w:val="000000" w:themeColor="text1"/>
          <w:sz w:val="22"/>
          <w:szCs w:val="22"/>
          <w:shd w:val="clear" w:color="auto" w:fill="FFFFFF"/>
        </w:rPr>
        <w:t>ournal of Multivariate Analysis.</w:t>
      </w:r>
      <w:r w:rsidR="00444F70" w:rsidRPr="00FB63EC">
        <w:rPr>
          <w:rFonts w:ascii="Arial" w:eastAsia="Times New Roman" w:hAnsi="Arial" w:cs="Arial"/>
          <w:color w:val="000000" w:themeColor="text1"/>
          <w:sz w:val="22"/>
          <w:szCs w:val="22"/>
          <w:shd w:val="clear" w:color="auto" w:fill="FFFFFF"/>
        </w:rPr>
        <w:t xml:space="preserve"> </w:t>
      </w:r>
      <w:r w:rsidR="005C481D" w:rsidRPr="00FB63EC">
        <w:rPr>
          <w:rFonts w:ascii="Arial" w:eastAsia="Times New Roman" w:hAnsi="Arial" w:cs="Arial"/>
          <w:color w:val="000000" w:themeColor="text1"/>
          <w:sz w:val="22"/>
          <w:szCs w:val="22"/>
          <w:shd w:val="clear" w:color="auto" w:fill="FFFFFF"/>
        </w:rPr>
        <w:t>2008</w:t>
      </w:r>
      <w:r w:rsidR="005C481D">
        <w:rPr>
          <w:rFonts w:ascii="Arial" w:eastAsia="Times New Roman" w:hAnsi="Arial" w:cs="Arial"/>
          <w:color w:val="000000" w:themeColor="text1"/>
          <w:sz w:val="22"/>
          <w:szCs w:val="22"/>
          <w:shd w:val="clear" w:color="auto" w:fill="FFFFFF"/>
        </w:rPr>
        <w:t xml:space="preserve"> Jul, </w:t>
      </w:r>
      <w:r w:rsidR="00444F70" w:rsidRPr="00FB63EC">
        <w:rPr>
          <w:rFonts w:ascii="Arial" w:eastAsia="Times New Roman" w:hAnsi="Arial" w:cs="Arial"/>
          <w:color w:val="000000" w:themeColor="text1"/>
          <w:sz w:val="22"/>
          <w:szCs w:val="22"/>
          <w:shd w:val="clear" w:color="auto" w:fill="FFFFFF"/>
        </w:rPr>
        <w:t>99</w:t>
      </w:r>
      <w:r w:rsidR="005C481D">
        <w:rPr>
          <w:rFonts w:ascii="Arial" w:eastAsia="Times New Roman" w:hAnsi="Arial" w:cs="Arial"/>
          <w:color w:val="000000" w:themeColor="text1"/>
          <w:sz w:val="22"/>
          <w:szCs w:val="22"/>
          <w:shd w:val="clear" w:color="auto" w:fill="FFFFFF"/>
        </w:rPr>
        <w:t xml:space="preserve"> (6)</w:t>
      </w:r>
      <w:r w:rsidR="00732311">
        <w:rPr>
          <w:rFonts w:ascii="Arial" w:eastAsia="Times New Roman" w:hAnsi="Arial" w:cs="Arial"/>
          <w:color w:val="000000" w:themeColor="text1"/>
          <w:sz w:val="22"/>
          <w:szCs w:val="22"/>
          <w:shd w:val="clear" w:color="auto" w:fill="FFFFFF"/>
        </w:rPr>
        <w:t>:</w:t>
      </w:r>
      <w:r w:rsidR="00444F70" w:rsidRPr="00FB63EC">
        <w:rPr>
          <w:rFonts w:ascii="Arial" w:eastAsia="Times New Roman" w:hAnsi="Arial" w:cs="Arial"/>
          <w:color w:val="000000" w:themeColor="text1"/>
          <w:sz w:val="22"/>
          <w:szCs w:val="22"/>
          <w:shd w:val="clear" w:color="auto" w:fill="FFFFFF"/>
        </w:rPr>
        <w:t xml:space="preserve"> 1154 – 1176.</w:t>
      </w:r>
      <w:r w:rsidR="00732311">
        <w:rPr>
          <w:rFonts w:ascii="Arial" w:eastAsia="Times New Roman" w:hAnsi="Arial" w:cs="Arial"/>
          <w:color w:val="000000" w:themeColor="text1"/>
          <w:sz w:val="22"/>
          <w:szCs w:val="22"/>
          <w:shd w:val="clear" w:color="auto" w:fill="FFFFFF"/>
        </w:rPr>
        <w:t xml:space="preserve"> URL: </w:t>
      </w:r>
      <w:r w:rsidR="00444F70" w:rsidRPr="00982E17">
        <w:t xml:space="preserve"> </w:t>
      </w:r>
      <w:hyperlink r:id="rId33" w:history="1">
        <w:r w:rsidR="00444F70" w:rsidRPr="00351A9E">
          <w:rPr>
            <w:rStyle w:val="Hyperlink"/>
            <w:rFonts w:ascii="Arial" w:eastAsia="Times New Roman" w:hAnsi="Arial" w:cs="Arial"/>
            <w:sz w:val="22"/>
            <w:szCs w:val="22"/>
            <w:shd w:val="clear" w:color="auto" w:fill="FFFFFF"/>
          </w:rPr>
          <w:t>https://doi.org/10.1016/j.jmva.2007.07.002</w:t>
        </w:r>
      </w:hyperlink>
      <w:r w:rsidR="00444F70">
        <w:rPr>
          <w:rFonts w:ascii="Arial" w:eastAsia="Times New Roman" w:hAnsi="Arial" w:cs="Arial"/>
          <w:color w:val="000000" w:themeColor="text1"/>
          <w:sz w:val="22"/>
          <w:szCs w:val="22"/>
          <w:shd w:val="clear" w:color="auto" w:fill="FFFFFF"/>
        </w:rPr>
        <w:t xml:space="preserve">. </w:t>
      </w:r>
    </w:p>
    <w:p w14:paraId="05B43AF1" w14:textId="2BC1E799" w:rsidR="00444F70" w:rsidRPr="00FF34EC" w:rsidRDefault="0087294A" w:rsidP="0016122E">
      <w:pPr>
        <w:spacing w:line="360" w:lineRule="auto"/>
        <w:ind w:left="567" w:hanging="567"/>
        <w:rPr>
          <w:rFonts w:ascii="Arial" w:eastAsia="Times New Roman" w:hAnsi="Arial" w:cs="Arial"/>
          <w:color w:val="000000" w:themeColor="text1"/>
          <w:sz w:val="22"/>
          <w:szCs w:val="22"/>
          <w:shd w:val="clear" w:color="auto" w:fill="FFFFFF"/>
        </w:rPr>
      </w:pPr>
      <w:r>
        <w:rPr>
          <w:rFonts w:ascii="Calibri" w:eastAsia="Calibri" w:hAnsi="Calibri" w:cs="Times New Roman"/>
          <w:sz w:val="22"/>
          <w:szCs w:val="22"/>
          <w:lang w:val="en-ZA"/>
        </w:rPr>
        <w:t>[27</w:t>
      </w:r>
      <w:r w:rsidR="00444F70">
        <w:rPr>
          <w:rFonts w:ascii="Calibri" w:eastAsia="Calibri" w:hAnsi="Calibri" w:cs="Times New Roman"/>
          <w:sz w:val="22"/>
          <w:szCs w:val="22"/>
          <w:lang w:val="en-ZA"/>
        </w:rPr>
        <w:t>]</w:t>
      </w:r>
      <w:r w:rsidR="00444F70">
        <w:rPr>
          <w:rFonts w:ascii="Calibri" w:eastAsia="Calibri" w:hAnsi="Calibri" w:cs="Times New Roman"/>
          <w:sz w:val="22"/>
          <w:szCs w:val="22"/>
          <w:lang w:val="en-ZA"/>
        </w:rPr>
        <w:tab/>
      </w:r>
      <w:proofErr w:type="spellStart"/>
      <w:r w:rsidR="005C481D">
        <w:rPr>
          <w:rFonts w:ascii="Arial" w:eastAsia="Calibri" w:hAnsi="Arial" w:cs="Arial"/>
          <w:sz w:val="22"/>
          <w:szCs w:val="22"/>
          <w:lang w:val="en-ZA"/>
        </w:rPr>
        <w:t>Shlens</w:t>
      </w:r>
      <w:proofErr w:type="spellEnd"/>
      <w:r w:rsidR="00444F70" w:rsidRPr="00FF34EC">
        <w:rPr>
          <w:rFonts w:ascii="Arial" w:eastAsia="Calibri" w:hAnsi="Arial" w:cs="Arial"/>
          <w:sz w:val="22"/>
          <w:szCs w:val="22"/>
          <w:lang w:val="en-ZA"/>
        </w:rPr>
        <w:t xml:space="preserve"> J. A Tutorial on Principal Component Analysis</w:t>
      </w:r>
      <w:r w:rsidR="005C481D">
        <w:rPr>
          <w:rFonts w:ascii="Arial" w:eastAsia="Calibri" w:hAnsi="Arial" w:cs="Arial"/>
          <w:sz w:val="22"/>
          <w:szCs w:val="22"/>
          <w:lang w:val="en-ZA"/>
        </w:rPr>
        <w:t xml:space="preserve"> (Internet).</w:t>
      </w:r>
      <w:r w:rsidR="00444F70" w:rsidRPr="00FF34EC">
        <w:rPr>
          <w:rFonts w:ascii="Arial" w:eastAsia="Calibri" w:hAnsi="Arial" w:cs="Arial"/>
          <w:sz w:val="22"/>
          <w:szCs w:val="22"/>
          <w:lang w:val="en-ZA"/>
        </w:rPr>
        <w:t xml:space="preserve"> </w:t>
      </w:r>
      <w:r w:rsidR="005C481D" w:rsidRPr="00FF34EC">
        <w:rPr>
          <w:rFonts w:ascii="Arial" w:eastAsia="Calibri" w:hAnsi="Arial" w:cs="Arial"/>
          <w:sz w:val="22"/>
          <w:szCs w:val="22"/>
          <w:lang w:val="en-ZA"/>
        </w:rPr>
        <w:t>2005</w:t>
      </w:r>
      <w:r w:rsidR="00011C4B">
        <w:rPr>
          <w:rFonts w:ascii="Arial" w:eastAsia="Calibri" w:hAnsi="Arial" w:cs="Arial"/>
          <w:sz w:val="22"/>
          <w:szCs w:val="22"/>
          <w:lang w:val="en-ZA"/>
        </w:rPr>
        <w:t xml:space="preserve"> [</w:t>
      </w:r>
      <w:proofErr w:type="gramStart"/>
      <w:r w:rsidR="005C481D">
        <w:rPr>
          <w:rFonts w:ascii="Arial" w:eastAsia="Calibri" w:hAnsi="Arial" w:cs="Arial"/>
          <w:sz w:val="22"/>
          <w:szCs w:val="22"/>
          <w:lang w:val="en-ZA"/>
        </w:rPr>
        <w:t xml:space="preserve">Cited </w:t>
      </w:r>
      <w:r w:rsidR="00732311">
        <w:rPr>
          <w:rFonts w:ascii="Arial" w:eastAsia="Calibri" w:hAnsi="Arial" w:cs="Arial"/>
          <w:sz w:val="22"/>
          <w:szCs w:val="22"/>
          <w:lang w:val="en-ZA"/>
        </w:rPr>
        <w:t xml:space="preserve"> 2020</w:t>
      </w:r>
      <w:proofErr w:type="gramEnd"/>
      <w:r w:rsidR="00732311">
        <w:rPr>
          <w:rFonts w:ascii="Arial" w:eastAsia="Calibri" w:hAnsi="Arial" w:cs="Arial"/>
          <w:sz w:val="22"/>
          <w:szCs w:val="22"/>
          <w:lang w:val="en-ZA"/>
        </w:rPr>
        <w:t xml:space="preserve"> March 22</w:t>
      </w:r>
      <w:r w:rsidR="005C481D">
        <w:rPr>
          <w:rFonts w:ascii="Arial" w:eastAsia="Calibri" w:hAnsi="Arial" w:cs="Arial"/>
          <w:sz w:val="22"/>
          <w:szCs w:val="22"/>
          <w:lang w:val="en-ZA"/>
        </w:rPr>
        <w:t xml:space="preserve">] </w:t>
      </w:r>
      <w:r w:rsidR="00444F70" w:rsidRPr="00FF34EC">
        <w:rPr>
          <w:rFonts w:ascii="Arial" w:eastAsia="Calibri" w:hAnsi="Arial" w:cs="Arial"/>
          <w:sz w:val="22"/>
          <w:szCs w:val="22"/>
          <w:lang w:val="en-ZA"/>
        </w:rPr>
        <w:t xml:space="preserve">Available at: </w:t>
      </w:r>
      <w:hyperlink r:id="rId34" w:history="1">
        <w:r w:rsidR="00444F70" w:rsidRPr="00FF34EC">
          <w:rPr>
            <w:rFonts w:ascii="Arial" w:eastAsia="Calibri" w:hAnsi="Arial" w:cs="Arial"/>
            <w:sz w:val="22"/>
            <w:szCs w:val="22"/>
            <w:u w:val="single"/>
            <w:lang w:val="en-ZA"/>
          </w:rPr>
          <w:t>http://www.cs.cmu,edu/~elaw/papers/pca.pdf</w:t>
        </w:r>
      </w:hyperlink>
      <w:r w:rsidR="00732311">
        <w:rPr>
          <w:rFonts w:ascii="Arial" w:eastAsia="Calibri" w:hAnsi="Arial" w:cs="Arial"/>
          <w:sz w:val="22"/>
          <w:szCs w:val="22"/>
          <w:lang w:val="en-ZA"/>
        </w:rPr>
        <w:t xml:space="preserve">. </w:t>
      </w:r>
      <w:r w:rsidR="00444F70" w:rsidRPr="00FF34EC">
        <w:rPr>
          <w:rFonts w:ascii="Arial" w:eastAsia="Calibri" w:hAnsi="Arial" w:cs="Arial"/>
          <w:color w:val="000000"/>
          <w:sz w:val="22"/>
          <w:szCs w:val="22"/>
          <w:lang w:val="en-ZA"/>
        </w:rPr>
        <w:t xml:space="preserve">  </w:t>
      </w:r>
      <w:r w:rsidR="00444F70" w:rsidRPr="00FF34EC">
        <w:rPr>
          <w:rFonts w:ascii="Arial" w:eastAsia="Times New Roman" w:hAnsi="Arial" w:cs="Arial"/>
          <w:color w:val="000000" w:themeColor="text1"/>
          <w:sz w:val="22"/>
          <w:szCs w:val="22"/>
          <w:shd w:val="clear" w:color="auto" w:fill="FFFFFF"/>
        </w:rPr>
        <w:t xml:space="preserve"> </w:t>
      </w:r>
    </w:p>
    <w:p w14:paraId="6E45ED4A" w14:textId="03E2A43F" w:rsidR="00444F70" w:rsidRPr="00FF34EC" w:rsidRDefault="0087294A" w:rsidP="0016122E">
      <w:pPr>
        <w:spacing w:line="360" w:lineRule="auto"/>
        <w:ind w:left="567" w:hanging="567"/>
        <w:rPr>
          <w:rFonts w:ascii="Arial" w:eastAsia="Calibri" w:hAnsi="Arial" w:cs="Arial"/>
          <w:sz w:val="22"/>
          <w:szCs w:val="22"/>
          <w:lang w:val="en-ZA"/>
        </w:rPr>
      </w:pPr>
      <w:r>
        <w:rPr>
          <w:rFonts w:ascii="Arial" w:eastAsia="Times New Roman" w:hAnsi="Arial" w:cs="Arial"/>
          <w:color w:val="000000" w:themeColor="text1"/>
          <w:sz w:val="22"/>
          <w:szCs w:val="22"/>
          <w:shd w:val="clear" w:color="auto" w:fill="FFFFFF"/>
        </w:rPr>
        <w:t>[28</w:t>
      </w:r>
      <w:r w:rsidR="00444F70" w:rsidRPr="00FF34EC">
        <w:rPr>
          <w:rFonts w:ascii="Arial" w:eastAsia="Times New Roman" w:hAnsi="Arial" w:cs="Arial"/>
          <w:color w:val="000000" w:themeColor="text1"/>
          <w:sz w:val="22"/>
          <w:szCs w:val="22"/>
          <w:shd w:val="clear" w:color="auto" w:fill="FFFFFF"/>
        </w:rPr>
        <w:t>]</w:t>
      </w:r>
      <w:r w:rsidR="00444F70" w:rsidRPr="00FF34EC">
        <w:rPr>
          <w:rFonts w:ascii="Arial" w:eastAsia="Times New Roman" w:hAnsi="Arial" w:cs="Arial"/>
          <w:color w:val="000000" w:themeColor="text1"/>
          <w:sz w:val="22"/>
          <w:szCs w:val="22"/>
          <w:shd w:val="clear" w:color="auto" w:fill="FFFFFF"/>
        </w:rPr>
        <w:tab/>
      </w:r>
      <w:r w:rsidR="00732311">
        <w:rPr>
          <w:rFonts w:ascii="Arial" w:eastAsia="Calibri" w:hAnsi="Arial" w:cs="Arial"/>
          <w:sz w:val="22"/>
          <w:szCs w:val="22"/>
          <w:lang w:val="en-ZA"/>
        </w:rPr>
        <w:t xml:space="preserve">Kaiser </w:t>
      </w:r>
      <w:proofErr w:type="gramStart"/>
      <w:r w:rsidR="00732311">
        <w:rPr>
          <w:rFonts w:ascii="Arial" w:eastAsia="Calibri" w:hAnsi="Arial" w:cs="Arial"/>
          <w:sz w:val="22"/>
          <w:szCs w:val="22"/>
          <w:lang w:val="en-ZA"/>
        </w:rPr>
        <w:t xml:space="preserve">H </w:t>
      </w:r>
      <w:r w:rsidR="00444F70" w:rsidRPr="00FF34EC">
        <w:rPr>
          <w:rFonts w:ascii="Arial" w:eastAsia="Calibri" w:hAnsi="Arial" w:cs="Arial"/>
          <w:sz w:val="22"/>
          <w:szCs w:val="22"/>
          <w:lang w:val="en-ZA"/>
        </w:rPr>
        <w:t>.</w:t>
      </w:r>
      <w:proofErr w:type="gramEnd"/>
      <w:r w:rsidR="00444F70" w:rsidRPr="00FF34EC">
        <w:rPr>
          <w:rFonts w:ascii="Arial" w:eastAsia="Calibri" w:hAnsi="Arial" w:cs="Arial"/>
          <w:sz w:val="22"/>
          <w:szCs w:val="22"/>
          <w:lang w:val="en-ZA"/>
        </w:rPr>
        <w:t xml:space="preserve"> </w:t>
      </w:r>
      <w:bookmarkStart w:id="44" w:name="OLE_LINK41"/>
      <w:bookmarkStart w:id="45" w:name="OLE_LINK42"/>
      <w:r w:rsidR="00444F70" w:rsidRPr="00FF34EC">
        <w:rPr>
          <w:rFonts w:ascii="Arial" w:eastAsia="Calibri" w:hAnsi="Arial" w:cs="Arial"/>
          <w:sz w:val="22"/>
          <w:szCs w:val="22"/>
          <w:lang w:val="en-ZA"/>
        </w:rPr>
        <w:t xml:space="preserve">A </w:t>
      </w:r>
      <w:proofErr w:type="gramStart"/>
      <w:r w:rsidR="00444F70" w:rsidRPr="00FF34EC">
        <w:rPr>
          <w:rFonts w:ascii="Arial" w:eastAsia="Calibri" w:hAnsi="Arial" w:cs="Arial"/>
          <w:sz w:val="22"/>
          <w:szCs w:val="22"/>
          <w:lang w:val="en-ZA"/>
        </w:rPr>
        <w:t>second generat</w:t>
      </w:r>
      <w:r w:rsidR="00732311">
        <w:rPr>
          <w:rFonts w:ascii="Arial" w:eastAsia="Calibri" w:hAnsi="Arial" w:cs="Arial"/>
          <w:sz w:val="22"/>
          <w:szCs w:val="22"/>
          <w:lang w:val="en-ZA"/>
        </w:rPr>
        <w:t>ion</w:t>
      </w:r>
      <w:proofErr w:type="gramEnd"/>
      <w:r w:rsidR="00732311">
        <w:rPr>
          <w:rFonts w:ascii="Arial" w:eastAsia="Calibri" w:hAnsi="Arial" w:cs="Arial"/>
          <w:sz w:val="22"/>
          <w:szCs w:val="22"/>
          <w:lang w:val="en-ZA"/>
        </w:rPr>
        <w:t xml:space="preserve"> Little Jiffy.</w:t>
      </w:r>
      <w:bookmarkEnd w:id="44"/>
      <w:bookmarkEnd w:id="45"/>
      <w:r w:rsidR="00732311">
        <w:rPr>
          <w:rFonts w:ascii="Arial" w:eastAsia="Calibri" w:hAnsi="Arial" w:cs="Arial"/>
          <w:sz w:val="22"/>
          <w:szCs w:val="22"/>
          <w:lang w:val="en-ZA"/>
        </w:rPr>
        <w:t xml:space="preserve"> Psychometrika.</w:t>
      </w:r>
      <w:r w:rsidR="00444F70" w:rsidRPr="00FF34EC">
        <w:rPr>
          <w:rFonts w:ascii="Arial" w:eastAsia="Calibri" w:hAnsi="Arial" w:cs="Arial"/>
          <w:sz w:val="22"/>
          <w:szCs w:val="22"/>
          <w:lang w:val="en-ZA"/>
        </w:rPr>
        <w:t xml:space="preserve"> </w:t>
      </w:r>
      <w:r w:rsidR="00732311" w:rsidRPr="00FF34EC">
        <w:rPr>
          <w:rFonts w:ascii="Arial" w:eastAsia="Calibri" w:hAnsi="Arial" w:cs="Arial"/>
          <w:sz w:val="22"/>
          <w:szCs w:val="22"/>
          <w:lang w:val="en-ZA"/>
        </w:rPr>
        <w:t>1970</w:t>
      </w:r>
      <w:r w:rsidR="00732311">
        <w:rPr>
          <w:rFonts w:ascii="Arial" w:eastAsia="Calibri" w:hAnsi="Arial" w:cs="Arial"/>
          <w:sz w:val="22"/>
          <w:szCs w:val="22"/>
          <w:lang w:val="en-ZA"/>
        </w:rPr>
        <w:t xml:space="preserve">, </w:t>
      </w:r>
      <w:r w:rsidR="00444F70" w:rsidRPr="00FF34EC">
        <w:rPr>
          <w:rFonts w:ascii="Arial" w:eastAsia="Calibri" w:hAnsi="Arial" w:cs="Arial"/>
          <w:sz w:val="22"/>
          <w:szCs w:val="22"/>
          <w:lang w:val="en-ZA"/>
        </w:rPr>
        <w:t>35</w:t>
      </w:r>
      <w:r w:rsidR="00732311">
        <w:rPr>
          <w:rFonts w:ascii="Arial" w:eastAsia="Calibri" w:hAnsi="Arial" w:cs="Arial"/>
          <w:sz w:val="22"/>
          <w:szCs w:val="22"/>
          <w:lang w:val="en-ZA"/>
        </w:rPr>
        <w:t>(4):</w:t>
      </w:r>
      <w:r w:rsidR="00444F70" w:rsidRPr="00FF34EC">
        <w:rPr>
          <w:rFonts w:ascii="Arial" w:eastAsia="Calibri" w:hAnsi="Arial" w:cs="Arial"/>
          <w:sz w:val="22"/>
          <w:szCs w:val="22"/>
          <w:lang w:val="en-ZA"/>
        </w:rPr>
        <w:t xml:space="preserve"> 401 – 415.</w:t>
      </w:r>
      <w:r w:rsidR="00732311">
        <w:rPr>
          <w:rFonts w:ascii="Arial" w:eastAsia="Calibri" w:hAnsi="Arial" w:cs="Arial"/>
          <w:sz w:val="22"/>
          <w:szCs w:val="22"/>
          <w:lang w:val="en-ZA"/>
        </w:rPr>
        <w:t xml:space="preserve"> </w:t>
      </w:r>
      <w:r w:rsidR="00732311">
        <w:rPr>
          <w:rFonts w:ascii="Arial" w:hAnsi="Arial" w:cs="Arial"/>
          <w:sz w:val="22"/>
          <w:szCs w:val="22"/>
        </w:rPr>
        <w:t xml:space="preserve">URL: </w:t>
      </w:r>
      <w:hyperlink r:id="rId35" w:history="1">
        <w:r w:rsidR="00444F70" w:rsidRPr="00FF34EC">
          <w:rPr>
            <w:rStyle w:val="Hyperlink"/>
            <w:rFonts w:ascii="Arial" w:eastAsia="Calibri" w:hAnsi="Arial" w:cs="Arial"/>
            <w:sz w:val="22"/>
            <w:szCs w:val="22"/>
            <w:lang w:val="en-ZA"/>
          </w:rPr>
          <w:t>https://doi.org/10.1007/bf02291817</w:t>
        </w:r>
      </w:hyperlink>
      <w:r w:rsidR="00444F70" w:rsidRPr="00FF34EC">
        <w:rPr>
          <w:rFonts w:ascii="Arial" w:eastAsia="Calibri" w:hAnsi="Arial" w:cs="Arial"/>
          <w:sz w:val="22"/>
          <w:szCs w:val="22"/>
          <w:lang w:val="en-ZA"/>
        </w:rPr>
        <w:t xml:space="preserve">. </w:t>
      </w:r>
    </w:p>
    <w:p w14:paraId="5A1D2416" w14:textId="1CA1E62B" w:rsidR="00A27C5E" w:rsidRPr="0041539A" w:rsidRDefault="0087294A" w:rsidP="0041539A">
      <w:pPr>
        <w:spacing w:line="360" w:lineRule="auto"/>
        <w:ind w:left="567" w:hanging="567"/>
        <w:rPr>
          <w:rFonts w:ascii="Arial" w:eastAsia="Calibri" w:hAnsi="Arial" w:cs="Arial"/>
          <w:color w:val="000000" w:themeColor="text1"/>
          <w:sz w:val="22"/>
          <w:szCs w:val="22"/>
          <w:lang w:val="en-ZA"/>
        </w:rPr>
      </w:pPr>
      <w:r>
        <w:rPr>
          <w:rFonts w:ascii="Arial" w:eastAsia="Calibri" w:hAnsi="Arial" w:cs="Arial"/>
          <w:sz w:val="22"/>
          <w:szCs w:val="22"/>
          <w:lang w:val="en-ZA"/>
        </w:rPr>
        <w:t>[29</w:t>
      </w:r>
      <w:r w:rsidR="00444F70" w:rsidRPr="00FF34EC">
        <w:rPr>
          <w:rFonts w:ascii="Arial" w:eastAsia="Calibri" w:hAnsi="Arial" w:cs="Arial"/>
          <w:sz w:val="22"/>
          <w:szCs w:val="22"/>
          <w:lang w:val="en-ZA"/>
        </w:rPr>
        <w:t>]</w:t>
      </w:r>
      <w:r w:rsidR="00444F70" w:rsidRPr="00FF34EC">
        <w:rPr>
          <w:rFonts w:ascii="Arial" w:eastAsia="Calibri" w:hAnsi="Arial" w:cs="Arial"/>
          <w:sz w:val="22"/>
          <w:szCs w:val="22"/>
          <w:lang w:val="en-ZA"/>
        </w:rPr>
        <w:tab/>
      </w:r>
      <w:r w:rsidR="00444F70" w:rsidRPr="00FF34EC">
        <w:rPr>
          <w:rFonts w:ascii="Arial" w:eastAsia="Calibri" w:hAnsi="Arial" w:cs="Arial"/>
          <w:color w:val="000000"/>
          <w:sz w:val="22"/>
          <w:szCs w:val="22"/>
          <w:lang w:val="en-ZA"/>
        </w:rPr>
        <w:t xml:space="preserve"> </w:t>
      </w:r>
      <w:r w:rsidR="00444F70" w:rsidRPr="00FF34EC">
        <w:rPr>
          <w:rFonts w:ascii="Arial" w:eastAsia="Calibri" w:hAnsi="Arial" w:cs="Arial"/>
          <w:color w:val="000000" w:themeColor="text1"/>
          <w:sz w:val="22"/>
          <w:szCs w:val="22"/>
          <w:lang w:val="en-ZA"/>
        </w:rPr>
        <w:t xml:space="preserve">Jolliffe IT, </w:t>
      </w:r>
      <w:proofErr w:type="spellStart"/>
      <w:r w:rsidR="00444F70" w:rsidRPr="00FF34EC">
        <w:rPr>
          <w:rFonts w:ascii="Arial" w:eastAsia="Calibri" w:hAnsi="Arial" w:cs="Arial"/>
          <w:color w:val="000000" w:themeColor="text1"/>
          <w:sz w:val="22"/>
          <w:szCs w:val="22"/>
          <w:lang w:val="en-ZA"/>
        </w:rPr>
        <w:t>Cadima</w:t>
      </w:r>
      <w:proofErr w:type="spellEnd"/>
      <w:r w:rsidR="00444F70" w:rsidRPr="00FF34EC">
        <w:rPr>
          <w:rFonts w:ascii="Arial" w:eastAsia="Calibri" w:hAnsi="Arial" w:cs="Arial"/>
          <w:color w:val="000000" w:themeColor="text1"/>
          <w:sz w:val="22"/>
          <w:szCs w:val="22"/>
          <w:lang w:val="en-ZA"/>
        </w:rPr>
        <w:t xml:space="preserve"> </w:t>
      </w:r>
      <w:proofErr w:type="spellStart"/>
      <w:proofErr w:type="gramStart"/>
      <w:r w:rsidR="00444F70" w:rsidRPr="00FF34EC">
        <w:rPr>
          <w:rFonts w:ascii="Arial" w:eastAsia="Calibri" w:hAnsi="Arial" w:cs="Arial"/>
          <w:color w:val="000000" w:themeColor="text1"/>
          <w:sz w:val="22"/>
          <w:szCs w:val="22"/>
          <w:lang w:val="en-ZA"/>
        </w:rPr>
        <w:t>J..</w:t>
      </w:r>
      <w:bookmarkStart w:id="46" w:name="OLE_LINK43"/>
      <w:bookmarkStart w:id="47" w:name="OLE_LINK44"/>
      <w:r w:rsidR="00444F70" w:rsidRPr="00FF34EC">
        <w:rPr>
          <w:rFonts w:ascii="Arial" w:eastAsia="Calibri" w:hAnsi="Arial" w:cs="Arial"/>
          <w:color w:val="000000" w:themeColor="text1"/>
          <w:sz w:val="22"/>
          <w:szCs w:val="22"/>
          <w:lang w:val="en-ZA"/>
        </w:rPr>
        <w:t>Principal</w:t>
      </w:r>
      <w:proofErr w:type="spellEnd"/>
      <w:proofErr w:type="gramEnd"/>
      <w:r w:rsidR="00444F70" w:rsidRPr="00FF34EC">
        <w:rPr>
          <w:rFonts w:ascii="Arial" w:eastAsia="Calibri" w:hAnsi="Arial" w:cs="Arial"/>
          <w:color w:val="000000" w:themeColor="text1"/>
          <w:sz w:val="22"/>
          <w:szCs w:val="22"/>
          <w:lang w:val="en-ZA"/>
        </w:rPr>
        <w:t xml:space="preserve"> component analysis: a review and recent developments.</w:t>
      </w:r>
      <w:bookmarkEnd w:id="46"/>
      <w:bookmarkEnd w:id="47"/>
      <w:r w:rsidR="00444F70" w:rsidRPr="00FF34EC">
        <w:rPr>
          <w:rFonts w:ascii="Arial" w:eastAsia="Calibri" w:hAnsi="Arial" w:cs="Arial"/>
          <w:color w:val="000000" w:themeColor="text1"/>
          <w:sz w:val="22"/>
          <w:szCs w:val="22"/>
          <w:lang w:val="en-ZA"/>
        </w:rPr>
        <w:t xml:space="preserve"> </w:t>
      </w:r>
      <w:proofErr w:type="spellStart"/>
      <w:r w:rsidR="0041539A">
        <w:rPr>
          <w:rFonts w:ascii="Arial" w:eastAsia="Calibri" w:hAnsi="Arial" w:cs="Arial"/>
          <w:color w:val="000000" w:themeColor="text1"/>
          <w:sz w:val="22"/>
          <w:szCs w:val="22"/>
          <w:lang w:val="en-ZA"/>
        </w:rPr>
        <w:t>Philos</w:t>
      </w:r>
      <w:proofErr w:type="spellEnd"/>
      <w:r w:rsidR="0041539A">
        <w:rPr>
          <w:rFonts w:ascii="Arial" w:eastAsia="Calibri" w:hAnsi="Arial" w:cs="Arial"/>
          <w:color w:val="000000" w:themeColor="text1"/>
          <w:sz w:val="22"/>
          <w:szCs w:val="22"/>
          <w:lang w:val="en-ZA"/>
        </w:rPr>
        <w:t xml:space="preserve"> Trans R Soc</w:t>
      </w:r>
      <w:r w:rsidR="0041539A" w:rsidRPr="0041539A">
        <w:rPr>
          <w:rFonts w:ascii="Arial" w:eastAsia="Calibri" w:hAnsi="Arial" w:cs="Arial"/>
          <w:color w:val="000000" w:themeColor="text1"/>
          <w:sz w:val="22"/>
          <w:szCs w:val="22"/>
          <w:lang w:val="en-ZA"/>
        </w:rPr>
        <w:t xml:space="preserve"> A</w:t>
      </w:r>
      <w:r w:rsidR="00732311">
        <w:rPr>
          <w:rFonts w:ascii="Arial" w:eastAsia="Calibri" w:hAnsi="Arial" w:cs="Arial"/>
          <w:color w:val="000000" w:themeColor="text1"/>
          <w:sz w:val="22"/>
          <w:szCs w:val="22"/>
          <w:lang w:val="en-ZA"/>
        </w:rPr>
        <w:t>.</w:t>
      </w:r>
      <w:r w:rsidR="00444F70" w:rsidRPr="00FF34EC">
        <w:rPr>
          <w:rFonts w:ascii="Arial" w:eastAsia="Calibri" w:hAnsi="Arial" w:cs="Arial"/>
          <w:color w:val="000000" w:themeColor="text1"/>
          <w:sz w:val="22"/>
          <w:szCs w:val="22"/>
          <w:lang w:val="en-ZA"/>
        </w:rPr>
        <w:t xml:space="preserve"> </w:t>
      </w:r>
      <w:r w:rsidR="00732311" w:rsidRPr="00FF34EC">
        <w:rPr>
          <w:rFonts w:ascii="Arial" w:eastAsia="Calibri" w:hAnsi="Arial" w:cs="Arial"/>
          <w:color w:val="000000" w:themeColor="text1"/>
          <w:sz w:val="22"/>
          <w:szCs w:val="22"/>
          <w:lang w:val="en-ZA"/>
        </w:rPr>
        <w:t>2016</w:t>
      </w:r>
      <w:r w:rsidR="005246A1">
        <w:rPr>
          <w:rFonts w:ascii="Arial" w:eastAsia="Calibri" w:hAnsi="Arial" w:cs="Arial"/>
          <w:color w:val="000000" w:themeColor="text1"/>
          <w:sz w:val="22"/>
          <w:szCs w:val="22"/>
          <w:lang w:val="en-ZA"/>
        </w:rPr>
        <w:t xml:space="preserve"> Apr</w:t>
      </w:r>
      <w:r w:rsidR="00011C4B">
        <w:rPr>
          <w:rFonts w:ascii="Arial" w:eastAsia="Calibri" w:hAnsi="Arial" w:cs="Arial"/>
          <w:color w:val="000000" w:themeColor="text1"/>
          <w:sz w:val="22"/>
          <w:szCs w:val="22"/>
          <w:lang w:val="en-ZA"/>
        </w:rPr>
        <w:t xml:space="preserve"> 16</w:t>
      </w:r>
      <w:r w:rsidR="00732311">
        <w:rPr>
          <w:rFonts w:ascii="Arial" w:eastAsia="Calibri" w:hAnsi="Arial" w:cs="Arial"/>
          <w:color w:val="000000" w:themeColor="text1"/>
          <w:sz w:val="22"/>
          <w:szCs w:val="22"/>
          <w:lang w:val="en-ZA"/>
        </w:rPr>
        <w:t xml:space="preserve">, </w:t>
      </w:r>
      <w:r w:rsidR="00444F70" w:rsidRPr="00FF34EC">
        <w:rPr>
          <w:rFonts w:ascii="Arial" w:eastAsia="Calibri" w:hAnsi="Arial" w:cs="Arial"/>
          <w:color w:val="000000" w:themeColor="text1"/>
          <w:sz w:val="22"/>
          <w:szCs w:val="22"/>
          <w:lang w:val="en-ZA"/>
        </w:rPr>
        <w:t xml:space="preserve">374: 20150202. </w:t>
      </w:r>
      <w:proofErr w:type="spellStart"/>
      <w:proofErr w:type="gramStart"/>
      <w:r w:rsidR="003A5329">
        <w:rPr>
          <w:rFonts w:ascii="Arial" w:eastAsia="Calibri" w:hAnsi="Arial" w:cs="Arial"/>
          <w:color w:val="000000" w:themeColor="text1"/>
          <w:sz w:val="22"/>
          <w:szCs w:val="22"/>
          <w:lang w:val="en-ZA"/>
        </w:rPr>
        <w:t>UR:L</w:t>
      </w:r>
      <w:proofErr w:type="gramEnd"/>
      <w:r w:rsidR="003A5329">
        <w:rPr>
          <w:rFonts w:ascii="Arial" w:eastAsia="Calibri" w:hAnsi="Arial" w:cs="Arial"/>
          <w:color w:val="000000" w:themeColor="text1"/>
          <w:sz w:val="22"/>
          <w:szCs w:val="22"/>
          <w:lang w:val="en-ZA"/>
        </w:rPr>
        <w:t>:</w:t>
      </w:r>
      <w:hyperlink r:id="rId36" w:history="1">
        <w:r w:rsidR="00444F70" w:rsidRPr="00FF34EC">
          <w:rPr>
            <w:rFonts w:ascii="Arial" w:eastAsia="Calibri" w:hAnsi="Arial" w:cs="Arial"/>
            <w:color w:val="000000" w:themeColor="text1"/>
            <w:sz w:val="22"/>
            <w:szCs w:val="22"/>
            <w:u w:val="single"/>
            <w:lang w:val="en-ZA"/>
          </w:rPr>
          <w:t>http</w:t>
        </w:r>
        <w:proofErr w:type="spellEnd"/>
        <w:r w:rsidR="00444F70" w:rsidRPr="00FF34EC">
          <w:rPr>
            <w:rFonts w:ascii="Arial" w:eastAsia="Calibri" w:hAnsi="Arial" w:cs="Arial"/>
            <w:color w:val="000000" w:themeColor="text1"/>
            <w:sz w:val="22"/>
            <w:szCs w:val="22"/>
            <w:u w:val="single"/>
            <w:lang w:val="en-ZA"/>
          </w:rPr>
          <w:t>://dx.doi.org/10.1098/rsta.2015.0202</w:t>
        </w:r>
      </w:hyperlink>
      <w:r w:rsidR="00444F70" w:rsidRPr="00FF34EC">
        <w:rPr>
          <w:rFonts w:ascii="Arial" w:eastAsia="Calibri" w:hAnsi="Arial" w:cs="Arial"/>
          <w:color w:val="000000" w:themeColor="text1"/>
          <w:sz w:val="22"/>
          <w:szCs w:val="22"/>
          <w:lang w:val="en-ZA"/>
        </w:rPr>
        <w:t xml:space="preserve"> </w:t>
      </w:r>
      <w:r w:rsidR="005F696F">
        <w:rPr>
          <w:rFonts w:ascii="Arial" w:eastAsia="Calibri" w:hAnsi="Arial" w:cs="Arial"/>
          <w:color w:val="000000" w:themeColor="text1"/>
          <w:sz w:val="22"/>
          <w:szCs w:val="22"/>
          <w:lang w:val="en-ZA"/>
        </w:rPr>
        <w:t>.</w:t>
      </w:r>
    </w:p>
    <w:sectPr w:rsidR="00A27C5E" w:rsidRPr="0041539A" w:rsidSect="00A37584">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9FD8FC" w14:textId="77777777" w:rsidR="00C55694" w:rsidRDefault="00C55694" w:rsidP="001407E5">
      <w:r>
        <w:separator/>
      </w:r>
    </w:p>
  </w:endnote>
  <w:endnote w:type="continuationSeparator" w:id="0">
    <w:p w14:paraId="1E2786C6" w14:textId="77777777" w:rsidR="00C55694" w:rsidRDefault="00C55694" w:rsidP="001407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F9415C" w14:textId="77777777" w:rsidR="00C55694" w:rsidRDefault="00C55694" w:rsidP="001407E5">
      <w:r>
        <w:separator/>
      </w:r>
    </w:p>
  </w:footnote>
  <w:footnote w:type="continuationSeparator" w:id="0">
    <w:p w14:paraId="5DC3AF35" w14:textId="77777777" w:rsidR="00C55694" w:rsidRDefault="00C55694" w:rsidP="001407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1F7"/>
    <w:rsid w:val="0000009C"/>
    <w:rsid w:val="00006018"/>
    <w:rsid w:val="00007F0E"/>
    <w:rsid w:val="00011C4B"/>
    <w:rsid w:val="000155E7"/>
    <w:rsid w:val="00017065"/>
    <w:rsid w:val="00023A00"/>
    <w:rsid w:val="000467B0"/>
    <w:rsid w:val="000629E7"/>
    <w:rsid w:val="00081B48"/>
    <w:rsid w:val="00086026"/>
    <w:rsid w:val="00087D49"/>
    <w:rsid w:val="00091F1C"/>
    <w:rsid w:val="000921F7"/>
    <w:rsid w:val="000940BD"/>
    <w:rsid w:val="000946CA"/>
    <w:rsid w:val="00094B0F"/>
    <w:rsid w:val="00095E13"/>
    <w:rsid w:val="000A0518"/>
    <w:rsid w:val="000A3355"/>
    <w:rsid w:val="000A38BD"/>
    <w:rsid w:val="000B005B"/>
    <w:rsid w:val="000B6A3B"/>
    <w:rsid w:val="000B7F82"/>
    <w:rsid w:val="000C1213"/>
    <w:rsid w:val="000C51B5"/>
    <w:rsid w:val="000D4A1E"/>
    <w:rsid w:val="000E3B49"/>
    <w:rsid w:val="000E578C"/>
    <w:rsid w:val="000E7F8E"/>
    <w:rsid w:val="000F7A29"/>
    <w:rsid w:val="00113A45"/>
    <w:rsid w:val="00114099"/>
    <w:rsid w:val="001223F8"/>
    <w:rsid w:val="00126A08"/>
    <w:rsid w:val="00137ED9"/>
    <w:rsid w:val="001407E5"/>
    <w:rsid w:val="00142AB9"/>
    <w:rsid w:val="0015368A"/>
    <w:rsid w:val="001546FB"/>
    <w:rsid w:val="0016122E"/>
    <w:rsid w:val="00162539"/>
    <w:rsid w:val="001747AF"/>
    <w:rsid w:val="00176DC0"/>
    <w:rsid w:val="001808EE"/>
    <w:rsid w:val="00181330"/>
    <w:rsid w:val="00181AB9"/>
    <w:rsid w:val="00181BCD"/>
    <w:rsid w:val="00186689"/>
    <w:rsid w:val="00193B33"/>
    <w:rsid w:val="00197BBC"/>
    <w:rsid w:val="001A1F45"/>
    <w:rsid w:val="001A363B"/>
    <w:rsid w:val="001B1ACE"/>
    <w:rsid w:val="001B1E03"/>
    <w:rsid w:val="001B63A8"/>
    <w:rsid w:val="001D0365"/>
    <w:rsid w:val="001D1C9E"/>
    <w:rsid w:val="001D1CE1"/>
    <w:rsid w:val="001D5ACC"/>
    <w:rsid w:val="001F528D"/>
    <w:rsid w:val="001F7E35"/>
    <w:rsid w:val="002146CD"/>
    <w:rsid w:val="0021696F"/>
    <w:rsid w:val="00231929"/>
    <w:rsid w:val="0023380B"/>
    <w:rsid w:val="00235B9E"/>
    <w:rsid w:val="002462CA"/>
    <w:rsid w:val="0025013D"/>
    <w:rsid w:val="0025065B"/>
    <w:rsid w:val="002514BA"/>
    <w:rsid w:val="0025209B"/>
    <w:rsid w:val="00252984"/>
    <w:rsid w:val="002532FE"/>
    <w:rsid w:val="00257172"/>
    <w:rsid w:val="002739B6"/>
    <w:rsid w:val="002832A9"/>
    <w:rsid w:val="002A3272"/>
    <w:rsid w:val="002C46EE"/>
    <w:rsid w:val="002C5FE1"/>
    <w:rsid w:val="002D5780"/>
    <w:rsid w:val="002D6FF3"/>
    <w:rsid w:val="002E26A3"/>
    <w:rsid w:val="002E3ABB"/>
    <w:rsid w:val="002E4635"/>
    <w:rsid w:val="002E526E"/>
    <w:rsid w:val="00301012"/>
    <w:rsid w:val="00301A64"/>
    <w:rsid w:val="00302A3F"/>
    <w:rsid w:val="003057D6"/>
    <w:rsid w:val="003172E3"/>
    <w:rsid w:val="00326175"/>
    <w:rsid w:val="003301CE"/>
    <w:rsid w:val="0034294E"/>
    <w:rsid w:val="00350A2B"/>
    <w:rsid w:val="00350B28"/>
    <w:rsid w:val="00356081"/>
    <w:rsid w:val="003636AD"/>
    <w:rsid w:val="003713B0"/>
    <w:rsid w:val="003744BD"/>
    <w:rsid w:val="00376C1F"/>
    <w:rsid w:val="00376CBE"/>
    <w:rsid w:val="003773CF"/>
    <w:rsid w:val="00377AF2"/>
    <w:rsid w:val="003879AD"/>
    <w:rsid w:val="0039081F"/>
    <w:rsid w:val="003A09E9"/>
    <w:rsid w:val="003A2A60"/>
    <w:rsid w:val="003A3A2B"/>
    <w:rsid w:val="003A5329"/>
    <w:rsid w:val="003B3370"/>
    <w:rsid w:val="003B5F74"/>
    <w:rsid w:val="003F0834"/>
    <w:rsid w:val="003F78D7"/>
    <w:rsid w:val="00414366"/>
    <w:rsid w:val="00414BB2"/>
    <w:rsid w:val="0041539A"/>
    <w:rsid w:val="004154BF"/>
    <w:rsid w:val="00416243"/>
    <w:rsid w:val="00425724"/>
    <w:rsid w:val="00431E9B"/>
    <w:rsid w:val="0043637C"/>
    <w:rsid w:val="00440E49"/>
    <w:rsid w:val="004432EC"/>
    <w:rsid w:val="00443E05"/>
    <w:rsid w:val="004440AF"/>
    <w:rsid w:val="00444F70"/>
    <w:rsid w:val="00447900"/>
    <w:rsid w:val="00461B47"/>
    <w:rsid w:val="00461C67"/>
    <w:rsid w:val="0046286E"/>
    <w:rsid w:val="00466387"/>
    <w:rsid w:val="0047733F"/>
    <w:rsid w:val="00486816"/>
    <w:rsid w:val="00487E57"/>
    <w:rsid w:val="00491AD0"/>
    <w:rsid w:val="004A0BF6"/>
    <w:rsid w:val="004A3A4F"/>
    <w:rsid w:val="004B3470"/>
    <w:rsid w:val="004B405C"/>
    <w:rsid w:val="004C45D5"/>
    <w:rsid w:val="004C7192"/>
    <w:rsid w:val="004D1E39"/>
    <w:rsid w:val="004F0246"/>
    <w:rsid w:val="004F3A31"/>
    <w:rsid w:val="004F65C7"/>
    <w:rsid w:val="004F679E"/>
    <w:rsid w:val="004F702C"/>
    <w:rsid w:val="00502172"/>
    <w:rsid w:val="0052099C"/>
    <w:rsid w:val="005226A6"/>
    <w:rsid w:val="00522C19"/>
    <w:rsid w:val="005246A1"/>
    <w:rsid w:val="00524AF3"/>
    <w:rsid w:val="0053366E"/>
    <w:rsid w:val="00545D28"/>
    <w:rsid w:val="0057195D"/>
    <w:rsid w:val="00572F0A"/>
    <w:rsid w:val="00597131"/>
    <w:rsid w:val="005A355F"/>
    <w:rsid w:val="005A5CBB"/>
    <w:rsid w:val="005A7556"/>
    <w:rsid w:val="005C1B11"/>
    <w:rsid w:val="005C481D"/>
    <w:rsid w:val="005C4E61"/>
    <w:rsid w:val="005D5BE4"/>
    <w:rsid w:val="005E4744"/>
    <w:rsid w:val="005E55DB"/>
    <w:rsid w:val="005F09FC"/>
    <w:rsid w:val="005F21B8"/>
    <w:rsid w:val="005F60D7"/>
    <w:rsid w:val="005F696F"/>
    <w:rsid w:val="005F6CC7"/>
    <w:rsid w:val="005F7EB4"/>
    <w:rsid w:val="00601168"/>
    <w:rsid w:val="0060260A"/>
    <w:rsid w:val="00604BD2"/>
    <w:rsid w:val="0062136A"/>
    <w:rsid w:val="006223F5"/>
    <w:rsid w:val="006265F1"/>
    <w:rsid w:val="00631B3D"/>
    <w:rsid w:val="00633A1B"/>
    <w:rsid w:val="0063532D"/>
    <w:rsid w:val="00644C00"/>
    <w:rsid w:val="0064642E"/>
    <w:rsid w:val="00651A75"/>
    <w:rsid w:val="006535FB"/>
    <w:rsid w:val="00654AE1"/>
    <w:rsid w:val="00655B9C"/>
    <w:rsid w:val="00660245"/>
    <w:rsid w:val="00663D0E"/>
    <w:rsid w:val="006647AD"/>
    <w:rsid w:val="0067088C"/>
    <w:rsid w:val="006810A9"/>
    <w:rsid w:val="00690AFF"/>
    <w:rsid w:val="0069181C"/>
    <w:rsid w:val="00693615"/>
    <w:rsid w:val="00696880"/>
    <w:rsid w:val="006A207E"/>
    <w:rsid w:val="006A44E0"/>
    <w:rsid w:val="006B18EB"/>
    <w:rsid w:val="006C4DB7"/>
    <w:rsid w:val="006D2B96"/>
    <w:rsid w:val="006D4E4B"/>
    <w:rsid w:val="006D6978"/>
    <w:rsid w:val="006E2DDB"/>
    <w:rsid w:val="006F0423"/>
    <w:rsid w:val="00700D82"/>
    <w:rsid w:val="00722421"/>
    <w:rsid w:val="0072538E"/>
    <w:rsid w:val="00732311"/>
    <w:rsid w:val="007364A0"/>
    <w:rsid w:val="00740648"/>
    <w:rsid w:val="0074369A"/>
    <w:rsid w:val="00744397"/>
    <w:rsid w:val="007525BE"/>
    <w:rsid w:val="007548C8"/>
    <w:rsid w:val="00756946"/>
    <w:rsid w:val="00756E90"/>
    <w:rsid w:val="00763875"/>
    <w:rsid w:val="00772857"/>
    <w:rsid w:val="00777059"/>
    <w:rsid w:val="00777F95"/>
    <w:rsid w:val="00782F97"/>
    <w:rsid w:val="007842A2"/>
    <w:rsid w:val="00791EAB"/>
    <w:rsid w:val="00796404"/>
    <w:rsid w:val="007A3564"/>
    <w:rsid w:val="007B4D48"/>
    <w:rsid w:val="007C2E7A"/>
    <w:rsid w:val="007C50FE"/>
    <w:rsid w:val="007D557D"/>
    <w:rsid w:val="007D6CF0"/>
    <w:rsid w:val="007D78CC"/>
    <w:rsid w:val="007E7F06"/>
    <w:rsid w:val="00804BF2"/>
    <w:rsid w:val="008069F8"/>
    <w:rsid w:val="00824660"/>
    <w:rsid w:val="00830493"/>
    <w:rsid w:val="0085659A"/>
    <w:rsid w:val="00856889"/>
    <w:rsid w:val="00860922"/>
    <w:rsid w:val="00861B41"/>
    <w:rsid w:val="00864C09"/>
    <w:rsid w:val="008655D7"/>
    <w:rsid w:val="00865CFC"/>
    <w:rsid w:val="00866239"/>
    <w:rsid w:val="00867CE3"/>
    <w:rsid w:val="0087294A"/>
    <w:rsid w:val="00874E08"/>
    <w:rsid w:val="00876297"/>
    <w:rsid w:val="0089450A"/>
    <w:rsid w:val="00896953"/>
    <w:rsid w:val="008B23F2"/>
    <w:rsid w:val="008C3E08"/>
    <w:rsid w:val="008D4A05"/>
    <w:rsid w:val="008D554C"/>
    <w:rsid w:val="008E46CD"/>
    <w:rsid w:val="008F1B8C"/>
    <w:rsid w:val="008F3A55"/>
    <w:rsid w:val="008F53D1"/>
    <w:rsid w:val="00911267"/>
    <w:rsid w:val="0091167A"/>
    <w:rsid w:val="00911D5C"/>
    <w:rsid w:val="00913006"/>
    <w:rsid w:val="0091475F"/>
    <w:rsid w:val="009355C7"/>
    <w:rsid w:val="009363D2"/>
    <w:rsid w:val="00936B3A"/>
    <w:rsid w:val="00937844"/>
    <w:rsid w:val="009458BA"/>
    <w:rsid w:val="00946FE8"/>
    <w:rsid w:val="00947BAB"/>
    <w:rsid w:val="00950872"/>
    <w:rsid w:val="00956897"/>
    <w:rsid w:val="00963AFB"/>
    <w:rsid w:val="00964803"/>
    <w:rsid w:val="00965EFA"/>
    <w:rsid w:val="00972EEE"/>
    <w:rsid w:val="00974473"/>
    <w:rsid w:val="009863D3"/>
    <w:rsid w:val="00986EB0"/>
    <w:rsid w:val="00987946"/>
    <w:rsid w:val="00995216"/>
    <w:rsid w:val="009A618B"/>
    <w:rsid w:val="009B0618"/>
    <w:rsid w:val="009B2C2D"/>
    <w:rsid w:val="009C16D6"/>
    <w:rsid w:val="009C1D0F"/>
    <w:rsid w:val="009C687C"/>
    <w:rsid w:val="009E05F8"/>
    <w:rsid w:val="009E0886"/>
    <w:rsid w:val="009F1341"/>
    <w:rsid w:val="009F69BA"/>
    <w:rsid w:val="00A04DAE"/>
    <w:rsid w:val="00A12A78"/>
    <w:rsid w:val="00A14526"/>
    <w:rsid w:val="00A20BD3"/>
    <w:rsid w:val="00A23D11"/>
    <w:rsid w:val="00A27C5E"/>
    <w:rsid w:val="00A31154"/>
    <w:rsid w:val="00A317F5"/>
    <w:rsid w:val="00A36D87"/>
    <w:rsid w:val="00A37584"/>
    <w:rsid w:val="00A515B3"/>
    <w:rsid w:val="00A52778"/>
    <w:rsid w:val="00A54B9E"/>
    <w:rsid w:val="00A636AF"/>
    <w:rsid w:val="00A71A6E"/>
    <w:rsid w:val="00A83E96"/>
    <w:rsid w:val="00AB20E6"/>
    <w:rsid w:val="00AB3F38"/>
    <w:rsid w:val="00AB3FA5"/>
    <w:rsid w:val="00AC233D"/>
    <w:rsid w:val="00AC40C6"/>
    <w:rsid w:val="00AC7740"/>
    <w:rsid w:val="00AE295D"/>
    <w:rsid w:val="00AF56C9"/>
    <w:rsid w:val="00B03ABD"/>
    <w:rsid w:val="00B124C5"/>
    <w:rsid w:val="00B15088"/>
    <w:rsid w:val="00B22218"/>
    <w:rsid w:val="00B322DA"/>
    <w:rsid w:val="00B32FB3"/>
    <w:rsid w:val="00B337F5"/>
    <w:rsid w:val="00B444EA"/>
    <w:rsid w:val="00B468F1"/>
    <w:rsid w:val="00B60345"/>
    <w:rsid w:val="00B60735"/>
    <w:rsid w:val="00B61724"/>
    <w:rsid w:val="00B65129"/>
    <w:rsid w:val="00B67880"/>
    <w:rsid w:val="00B75FF5"/>
    <w:rsid w:val="00B77F56"/>
    <w:rsid w:val="00B84F0B"/>
    <w:rsid w:val="00B84F32"/>
    <w:rsid w:val="00B9067F"/>
    <w:rsid w:val="00B926A7"/>
    <w:rsid w:val="00BA1544"/>
    <w:rsid w:val="00BA4555"/>
    <w:rsid w:val="00BC68BA"/>
    <w:rsid w:val="00BD688A"/>
    <w:rsid w:val="00BE1A3F"/>
    <w:rsid w:val="00BE43C8"/>
    <w:rsid w:val="00BE5261"/>
    <w:rsid w:val="00BF2A05"/>
    <w:rsid w:val="00BF7754"/>
    <w:rsid w:val="00C0706A"/>
    <w:rsid w:val="00C10150"/>
    <w:rsid w:val="00C103D6"/>
    <w:rsid w:val="00C11759"/>
    <w:rsid w:val="00C15C72"/>
    <w:rsid w:val="00C273BC"/>
    <w:rsid w:val="00C334B0"/>
    <w:rsid w:val="00C33542"/>
    <w:rsid w:val="00C40A4F"/>
    <w:rsid w:val="00C42073"/>
    <w:rsid w:val="00C51570"/>
    <w:rsid w:val="00C547B2"/>
    <w:rsid w:val="00C55694"/>
    <w:rsid w:val="00C56B1D"/>
    <w:rsid w:val="00C6091F"/>
    <w:rsid w:val="00C624CC"/>
    <w:rsid w:val="00C71647"/>
    <w:rsid w:val="00C77052"/>
    <w:rsid w:val="00C77C63"/>
    <w:rsid w:val="00C80277"/>
    <w:rsid w:val="00C82CB3"/>
    <w:rsid w:val="00C83D74"/>
    <w:rsid w:val="00C879BF"/>
    <w:rsid w:val="00C87D2B"/>
    <w:rsid w:val="00C925FE"/>
    <w:rsid w:val="00C96997"/>
    <w:rsid w:val="00CA4177"/>
    <w:rsid w:val="00CB479E"/>
    <w:rsid w:val="00CC4B95"/>
    <w:rsid w:val="00CD53E7"/>
    <w:rsid w:val="00CF1705"/>
    <w:rsid w:val="00D075FD"/>
    <w:rsid w:val="00D22357"/>
    <w:rsid w:val="00D272CD"/>
    <w:rsid w:val="00D40CE4"/>
    <w:rsid w:val="00D454CE"/>
    <w:rsid w:val="00D47D0D"/>
    <w:rsid w:val="00D53D3C"/>
    <w:rsid w:val="00D60076"/>
    <w:rsid w:val="00D64ECC"/>
    <w:rsid w:val="00D654CE"/>
    <w:rsid w:val="00D66484"/>
    <w:rsid w:val="00D66E58"/>
    <w:rsid w:val="00D71762"/>
    <w:rsid w:val="00D7681C"/>
    <w:rsid w:val="00D77B1D"/>
    <w:rsid w:val="00D858A0"/>
    <w:rsid w:val="00D90C35"/>
    <w:rsid w:val="00D924B4"/>
    <w:rsid w:val="00D92BDD"/>
    <w:rsid w:val="00DA3C8B"/>
    <w:rsid w:val="00DA697E"/>
    <w:rsid w:val="00DB04E2"/>
    <w:rsid w:val="00DC0B34"/>
    <w:rsid w:val="00DC58BF"/>
    <w:rsid w:val="00DC6935"/>
    <w:rsid w:val="00DD7D88"/>
    <w:rsid w:val="00DE1FEB"/>
    <w:rsid w:val="00DF15E0"/>
    <w:rsid w:val="00DF1E11"/>
    <w:rsid w:val="00DF246D"/>
    <w:rsid w:val="00E0132D"/>
    <w:rsid w:val="00E11AC1"/>
    <w:rsid w:val="00E22682"/>
    <w:rsid w:val="00E32A8E"/>
    <w:rsid w:val="00E35CA2"/>
    <w:rsid w:val="00E3688C"/>
    <w:rsid w:val="00E43966"/>
    <w:rsid w:val="00E5286B"/>
    <w:rsid w:val="00E52F26"/>
    <w:rsid w:val="00E538C0"/>
    <w:rsid w:val="00E543C6"/>
    <w:rsid w:val="00E67FAC"/>
    <w:rsid w:val="00E7169A"/>
    <w:rsid w:val="00E73966"/>
    <w:rsid w:val="00E770B4"/>
    <w:rsid w:val="00E87C7C"/>
    <w:rsid w:val="00EB6523"/>
    <w:rsid w:val="00EC4AD4"/>
    <w:rsid w:val="00ED11AF"/>
    <w:rsid w:val="00ED29DE"/>
    <w:rsid w:val="00EE1A93"/>
    <w:rsid w:val="00F0577B"/>
    <w:rsid w:val="00F13C54"/>
    <w:rsid w:val="00F16A30"/>
    <w:rsid w:val="00F300F0"/>
    <w:rsid w:val="00F47A4C"/>
    <w:rsid w:val="00F57A6A"/>
    <w:rsid w:val="00F57B82"/>
    <w:rsid w:val="00F607B5"/>
    <w:rsid w:val="00F64502"/>
    <w:rsid w:val="00F65019"/>
    <w:rsid w:val="00F733AE"/>
    <w:rsid w:val="00F7748C"/>
    <w:rsid w:val="00F82AF4"/>
    <w:rsid w:val="00F9061B"/>
    <w:rsid w:val="00FA06F6"/>
    <w:rsid w:val="00FA1D67"/>
    <w:rsid w:val="00FA27DB"/>
    <w:rsid w:val="00FA45A4"/>
    <w:rsid w:val="00FB1F27"/>
    <w:rsid w:val="00FB63EC"/>
    <w:rsid w:val="00FC137F"/>
    <w:rsid w:val="00FC77B7"/>
    <w:rsid w:val="00FD292E"/>
    <w:rsid w:val="00FD4B49"/>
    <w:rsid w:val="00FE2F02"/>
    <w:rsid w:val="00FF23E6"/>
    <w:rsid w:val="00FF34EC"/>
    <w:rsid w:val="00FF7285"/>
    <w:rsid w:val="00FF7CF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8004D"/>
  <w15:docId w15:val="{D5982A51-F417-46A3-8324-AB8238C83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rPr>
  </w:style>
  <w:style w:type="paragraph" w:styleId="Heading1">
    <w:name w:val="heading 1"/>
    <w:basedOn w:val="Normal"/>
    <w:next w:val="Normal"/>
    <w:link w:val="Heading1Char"/>
    <w:uiPriority w:val="9"/>
    <w:qFormat/>
    <w:rsid w:val="00181AB9"/>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50872"/>
    <w:rPr>
      <w:color w:val="0563C1" w:themeColor="hyperlink"/>
      <w:u w:val="single"/>
    </w:rPr>
  </w:style>
  <w:style w:type="character" w:customStyle="1" w:styleId="UnresolvedMention1">
    <w:name w:val="Unresolved Mention1"/>
    <w:basedOn w:val="DefaultParagraphFont"/>
    <w:uiPriority w:val="99"/>
    <w:semiHidden/>
    <w:unhideWhenUsed/>
    <w:rsid w:val="00950872"/>
    <w:rPr>
      <w:color w:val="605E5C"/>
      <w:shd w:val="clear" w:color="auto" w:fill="E1DFDD"/>
    </w:rPr>
  </w:style>
  <w:style w:type="character" w:styleId="FollowedHyperlink">
    <w:name w:val="FollowedHyperlink"/>
    <w:basedOn w:val="DefaultParagraphFont"/>
    <w:uiPriority w:val="99"/>
    <w:semiHidden/>
    <w:unhideWhenUsed/>
    <w:rsid w:val="00950872"/>
    <w:rPr>
      <w:color w:val="954F72" w:themeColor="followedHyperlink"/>
      <w:u w:val="single"/>
    </w:rPr>
  </w:style>
  <w:style w:type="character" w:customStyle="1" w:styleId="apple-converted-space">
    <w:name w:val="apple-converted-space"/>
    <w:basedOn w:val="DefaultParagraphFont"/>
    <w:rsid w:val="00006018"/>
  </w:style>
  <w:style w:type="paragraph" w:styleId="ListParagraph">
    <w:name w:val="List Paragraph"/>
    <w:basedOn w:val="Normal"/>
    <w:uiPriority w:val="34"/>
    <w:qFormat/>
    <w:rsid w:val="0043637C"/>
    <w:pPr>
      <w:ind w:left="720"/>
      <w:contextualSpacing/>
    </w:pPr>
  </w:style>
  <w:style w:type="character" w:styleId="CommentReference">
    <w:name w:val="annotation reference"/>
    <w:basedOn w:val="DefaultParagraphFont"/>
    <w:uiPriority w:val="99"/>
    <w:semiHidden/>
    <w:unhideWhenUsed/>
    <w:rsid w:val="005A5CBB"/>
    <w:rPr>
      <w:sz w:val="16"/>
      <w:szCs w:val="16"/>
    </w:rPr>
  </w:style>
  <w:style w:type="paragraph" w:styleId="CommentText">
    <w:name w:val="annotation text"/>
    <w:basedOn w:val="Normal"/>
    <w:link w:val="CommentTextChar"/>
    <w:uiPriority w:val="99"/>
    <w:semiHidden/>
    <w:unhideWhenUsed/>
    <w:rsid w:val="005A5CBB"/>
    <w:rPr>
      <w:sz w:val="20"/>
      <w:szCs w:val="20"/>
    </w:rPr>
  </w:style>
  <w:style w:type="character" w:customStyle="1" w:styleId="CommentTextChar">
    <w:name w:val="Comment Text Char"/>
    <w:basedOn w:val="DefaultParagraphFont"/>
    <w:link w:val="CommentText"/>
    <w:uiPriority w:val="99"/>
    <w:semiHidden/>
    <w:rsid w:val="005A5CBB"/>
    <w:rPr>
      <w:sz w:val="20"/>
      <w:szCs w:val="20"/>
    </w:rPr>
  </w:style>
  <w:style w:type="paragraph" w:styleId="CommentSubject">
    <w:name w:val="annotation subject"/>
    <w:basedOn w:val="CommentText"/>
    <w:next w:val="CommentText"/>
    <w:link w:val="CommentSubjectChar"/>
    <w:uiPriority w:val="99"/>
    <w:semiHidden/>
    <w:unhideWhenUsed/>
    <w:rsid w:val="005A5CBB"/>
    <w:rPr>
      <w:b/>
      <w:bCs/>
    </w:rPr>
  </w:style>
  <w:style w:type="character" w:customStyle="1" w:styleId="CommentSubjectChar">
    <w:name w:val="Comment Subject Char"/>
    <w:basedOn w:val="CommentTextChar"/>
    <w:link w:val="CommentSubject"/>
    <w:uiPriority w:val="99"/>
    <w:semiHidden/>
    <w:rsid w:val="005A5CBB"/>
    <w:rPr>
      <w:b/>
      <w:bCs/>
      <w:sz w:val="20"/>
      <w:szCs w:val="20"/>
    </w:rPr>
  </w:style>
  <w:style w:type="paragraph" w:styleId="BalloonText">
    <w:name w:val="Balloon Text"/>
    <w:basedOn w:val="Normal"/>
    <w:link w:val="BalloonTextChar"/>
    <w:uiPriority w:val="99"/>
    <w:semiHidden/>
    <w:unhideWhenUsed/>
    <w:rsid w:val="005A5CBB"/>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A5CBB"/>
    <w:rPr>
      <w:rFonts w:ascii="Times New Roman" w:hAnsi="Times New Roman" w:cs="Times New Roman"/>
      <w:sz w:val="18"/>
      <w:szCs w:val="18"/>
    </w:rPr>
  </w:style>
  <w:style w:type="table" w:styleId="TableGrid">
    <w:name w:val="Table Grid"/>
    <w:basedOn w:val="TableNormal"/>
    <w:uiPriority w:val="39"/>
    <w:rsid w:val="00F57A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231929"/>
    <w:rPr>
      <w:rFonts w:eastAsiaTheme="minorEastAsia"/>
    </w:rPr>
  </w:style>
  <w:style w:type="paragraph" w:customStyle="1" w:styleId="Default">
    <w:name w:val="Default"/>
    <w:rsid w:val="008655D7"/>
    <w:pPr>
      <w:autoSpaceDE w:val="0"/>
      <w:autoSpaceDN w:val="0"/>
      <w:adjustRightInd w:val="0"/>
    </w:pPr>
    <w:rPr>
      <w:rFonts w:ascii="Calibri" w:hAnsi="Calibri" w:cs="Calibri"/>
      <w:color w:val="000000"/>
      <w:lang w:val="en-US"/>
    </w:rPr>
  </w:style>
  <w:style w:type="character" w:customStyle="1" w:styleId="Heading1Char">
    <w:name w:val="Heading 1 Char"/>
    <w:basedOn w:val="DefaultParagraphFont"/>
    <w:link w:val="Heading1"/>
    <w:uiPriority w:val="9"/>
    <w:rsid w:val="00181AB9"/>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1407E5"/>
    <w:pPr>
      <w:tabs>
        <w:tab w:val="center" w:pos="4513"/>
        <w:tab w:val="right" w:pos="9026"/>
      </w:tabs>
    </w:pPr>
  </w:style>
  <w:style w:type="character" w:customStyle="1" w:styleId="HeaderChar">
    <w:name w:val="Header Char"/>
    <w:basedOn w:val="DefaultParagraphFont"/>
    <w:link w:val="Header"/>
    <w:uiPriority w:val="99"/>
    <w:rsid w:val="001407E5"/>
    <w:rPr>
      <w:rFonts w:eastAsiaTheme="minorEastAsia"/>
    </w:rPr>
  </w:style>
  <w:style w:type="paragraph" w:styleId="Footer">
    <w:name w:val="footer"/>
    <w:basedOn w:val="Normal"/>
    <w:link w:val="FooterChar"/>
    <w:uiPriority w:val="99"/>
    <w:unhideWhenUsed/>
    <w:rsid w:val="001407E5"/>
    <w:pPr>
      <w:tabs>
        <w:tab w:val="center" w:pos="4513"/>
        <w:tab w:val="right" w:pos="9026"/>
      </w:tabs>
    </w:pPr>
  </w:style>
  <w:style w:type="character" w:customStyle="1" w:styleId="FooterChar">
    <w:name w:val="Footer Char"/>
    <w:basedOn w:val="DefaultParagraphFont"/>
    <w:link w:val="Footer"/>
    <w:uiPriority w:val="99"/>
    <w:rsid w:val="001407E5"/>
    <w:rPr>
      <w:rFonts w:eastAsiaTheme="minorEastAsia"/>
    </w:rPr>
  </w:style>
  <w:style w:type="character" w:styleId="PlaceholderText">
    <w:name w:val="Placeholder Text"/>
    <w:basedOn w:val="DefaultParagraphFont"/>
    <w:uiPriority w:val="99"/>
    <w:semiHidden/>
    <w:rsid w:val="000A0518"/>
    <w:rPr>
      <w:color w:val="808080"/>
    </w:rPr>
  </w:style>
  <w:style w:type="paragraph" w:styleId="Caption">
    <w:name w:val="caption"/>
    <w:basedOn w:val="Normal"/>
    <w:next w:val="Normal"/>
    <w:uiPriority w:val="35"/>
    <w:semiHidden/>
    <w:unhideWhenUsed/>
    <w:qFormat/>
    <w:rsid w:val="000629E7"/>
    <w:pPr>
      <w:spacing w:after="200"/>
    </w:pPr>
    <w:rPr>
      <w:i/>
      <w:iCs/>
      <w:color w:val="44546A" w:themeColor="text2"/>
      <w:sz w:val="18"/>
      <w:szCs w:val="18"/>
    </w:rPr>
  </w:style>
  <w:style w:type="paragraph" w:styleId="Title">
    <w:name w:val="Title"/>
    <w:basedOn w:val="Normal"/>
    <w:next w:val="Normal"/>
    <w:link w:val="TitleChar"/>
    <w:uiPriority w:val="10"/>
    <w:qFormat/>
    <w:rsid w:val="005F60D7"/>
    <w:pPr>
      <w:spacing w:line="480" w:lineRule="auto"/>
      <w:jc w:val="both"/>
    </w:pPr>
    <w:rPr>
      <w:rFonts w:ascii="Arial" w:eastAsia="Times New Roman" w:hAnsi="Arial" w:cs="Arial"/>
      <w:b/>
      <w:bCs/>
      <w:color w:val="000000"/>
      <w:sz w:val="22"/>
      <w:szCs w:val="22"/>
    </w:rPr>
  </w:style>
  <w:style w:type="character" w:customStyle="1" w:styleId="TitleChar">
    <w:name w:val="Title Char"/>
    <w:basedOn w:val="DefaultParagraphFont"/>
    <w:link w:val="Title"/>
    <w:uiPriority w:val="10"/>
    <w:rsid w:val="005F60D7"/>
    <w:rPr>
      <w:rFonts w:ascii="Arial" w:eastAsia="Times New Roman" w:hAnsi="Arial" w:cs="Arial"/>
      <w:b/>
      <w:b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240025">
      <w:bodyDiv w:val="1"/>
      <w:marLeft w:val="0"/>
      <w:marRight w:val="0"/>
      <w:marTop w:val="0"/>
      <w:marBottom w:val="0"/>
      <w:divBdr>
        <w:top w:val="none" w:sz="0" w:space="0" w:color="auto"/>
        <w:left w:val="none" w:sz="0" w:space="0" w:color="auto"/>
        <w:bottom w:val="none" w:sz="0" w:space="0" w:color="auto"/>
        <w:right w:val="none" w:sz="0" w:space="0" w:color="auto"/>
      </w:divBdr>
      <w:divsChild>
        <w:div w:id="366176574">
          <w:marLeft w:val="0"/>
          <w:marRight w:val="0"/>
          <w:marTop w:val="0"/>
          <w:marBottom w:val="0"/>
          <w:divBdr>
            <w:top w:val="none" w:sz="0" w:space="0" w:color="auto"/>
            <w:left w:val="none" w:sz="0" w:space="0" w:color="auto"/>
            <w:bottom w:val="none" w:sz="0" w:space="0" w:color="auto"/>
            <w:right w:val="none" w:sz="0" w:space="0" w:color="auto"/>
          </w:divBdr>
          <w:divsChild>
            <w:div w:id="422577676">
              <w:marLeft w:val="0"/>
              <w:marRight w:val="0"/>
              <w:marTop w:val="0"/>
              <w:marBottom w:val="0"/>
              <w:divBdr>
                <w:top w:val="none" w:sz="0" w:space="0" w:color="auto"/>
                <w:left w:val="none" w:sz="0" w:space="0" w:color="auto"/>
                <w:bottom w:val="none" w:sz="0" w:space="0" w:color="auto"/>
                <w:right w:val="none" w:sz="0" w:space="0" w:color="auto"/>
              </w:divBdr>
              <w:divsChild>
                <w:div w:id="737165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344164">
      <w:bodyDiv w:val="1"/>
      <w:marLeft w:val="0"/>
      <w:marRight w:val="0"/>
      <w:marTop w:val="0"/>
      <w:marBottom w:val="0"/>
      <w:divBdr>
        <w:top w:val="none" w:sz="0" w:space="0" w:color="auto"/>
        <w:left w:val="none" w:sz="0" w:space="0" w:color="auto"/>
        <w:bottom w:val="none" w:sz="0" w:space="0" w:color="auto"/>
        <w:right w:val="none" w:sz="0" w:space="0" w:color="auto"/>
      </w:divBdr>
    </w:div>
    <w:div w:id="618730616">
      <w:bodyDiv w:val="1"/>
      <w:marLeft w:val="0"/>
      <w:marRight w:val="0"/>
      <w:marTop w:val="0"/>
      <w:marBottom w:val="0"/>
      <w:divBdr>
        <w:top w:val="none" w:sz="0" w:space="0" w:color="auto"/>
        <w:left w:val="none" w:sz="0" w:space="0" w:color="auto"/>
        <w:bottom w:val="none" w:sz="0" w:space="0" w:color="auto"/>
        <w:right w:val="none" w:sz="0" w:space="0" w:color="auto"/>
      </w:divBdr>
    </w:div>
    <w:div w:id="757867407">
      <w:bodyDiv w:val="1"/>
      <w:marLeft w:val="0"/>
      <w:marRight w:val="0"/>
      <w:marTop w:val="0"/>
      <w:marBottom w:val="0"/>
      <w:divBdr>
        <w:top w:val="none" w:sz="0" w:space="0" w:color="auto"/>
        <w:left w:val="none" w:sz="0" w:space="0" w:color="auto"/>
        <w:bottom w:val="none" w:sz="0" w:space="0" w:color="auto"/>
        <w:right w:val="none" w:sz="0" w:space="0" w:color="auto"/>
      </w:divBdr>
    </w:div>
    <w:div w:id="802576275">
      <w:bodyDiv w:val="1"/>
      <w:marLeft w:val="0"/>
      <w:marRight w:val="0"/>
      <w:marTop w:val="0"/>
      <w:marBottom w:val="0"/>
      <w:divBdr>
        <w:top w:val="none" w:sz="0" w:space="0" w:color="auto"/>
        <w:left w:val="none" w:sz="0" w:space="0" w:color="auto"/>
        <w:bottom w:val="none" w:sz="0" w:space="0" w:color="auto"/>
        <w:right w:val="none" w:sz="0" w:space="0" w:color="auto"/>
      </w:divBdr>
    </w:div>
    <w:div w:id="996347539">
      <w:bodyDiv w:val="1"/>
      <w:marLeft w:val="0"/>
      <w:marRight w:val="0"/>
      <w:marTop w:val="0"/>
      <w:marBottom w:val="0"/>
      <w:divBdr>
        <w:top w:val="none" w:sz="0" w:space="0" w:color="auto"/>
        <w:left w:val="none" w:sz="0" w:space="0" w:color="auto"/>
        <w:bottom w:val="none" w:sz="0" w:space="0" w:color="auto"/>
        <w:right w:val="none" w:sz="0" w:space="0" w:color="auto"/>
      </w:divBdr>
    </w:div>
    <w:div w:id="1466703111">
      <w:bodyDiv w:val="1"/>
      <w:marLeft w:val="0"/>
      <w:marRight w:val="0"/>
      <w:marTop w:val="0"/>
      <w:marBottom w:val="0"/>
      <w:divBdr>
        <w:top w:val="none" w:sz="0" w:space="0" w:color="auto"/>
        <w:left w:val="none" w:sz="0" w:space="0" w:color="auto"/>
        <w:bottom w:val="none" w:sz="0" w:space="0" w:color="auto"/>
        <w:right w:val="none" w:sz="0" w:space="0" w:color="auto"/>
      </w:divBdr>
    </w:div>
    <w:div w:id="2039894744">
      <w:bodyDiv w:val="1"/>
      <w:marLeft w:val="0"/>
      <w:marRight w:val="0"/>
      <w:marTop w:val="0"/>
      <w:marBottom w:val="0"/>
      <w:divBdr>
        <w:top w:val="none" w:sz="0" w:space="0" w:color="auto"/>
        <w:left w:val="none" w:sz="0" w:space="0" w:color="auto"/>
        <w:bottom w:val="none" w:sz="0" w:space="0" w:color="auto"/>
        <w:right w:val="none" w:sz="0" w:space="0" w:color="auto"/>
      </w:divBdr>
    </w:div>
    <w:div w:id="2058385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16/j.hsag.2015.09.001" TargetMode="External"/><Relationship Id="rId18" Type="http://schemas.openxmlformats.org/officeDocument/2006/relationships/hyperlink" Target="https://doi.org/10.7196/sajch.734" TargetMode="External"/><Relationship Id="rId26" Type="http://schemas.openxmlformats.org/officeDocument/2006/relationships/hyperlink" Target="https://doi.org/10.1080/10408347.2012.630926" TargetMode="External"/><Relationship Id="rId21" Type="http://schemas.openxmlformats.org/officeDocument/2006/relationships/hyperlink" Target="https://www.recoverydirect.co.za/drug/whoonga-addiction/" TargetMode="External"/><Relationship Id="rId34" Type="http://schemas.openxmlformats.org/officeDocument/2006/relationships/hyperlink" Target="http://www.cs.cmu,edu/~elaw/papers/pca.pdf" TargetMode="External"/><Relationship Id="rId7" Type="http://schemas.openxmlformats.org/officeDocument/2006/relationships/image" Target="media/image1.emf"/><Relationship Id="rId12" Type="http://schemas.openxmlformats.org/officeDocument/2006/relationships/image" Target="media/image6.png"/><Relationship Id="rId17" Type="http://schemas.openxmlformats.org/officeDocument/2006/relationships/hyperlink" Target="http://hdl.handle.net/10500/11903" TargetMode="External"/><Relationship Id="rId25" Type="http://schemas.openxmlformats.org/officeDocument/2006/relationships/hyperlink" Target="http://www.ich.org/fileadmin/Public_Web_Site/ICH_Products/Guidelines/Quality/Q2_R1/Step4/Q2_R1__Guideline.pdf" TargetMode="External"/><Relationship Id="rId33" Type="http://schemas.openxmlformats.org/officeDocument/2006/relationships/hyperlink" Target="https://doi.org/10.1016/j.jmva.2007.07.002" TargetMode="External"/><Relationship Id="rId38"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dx.doi.org/10.31031/rpn.2018.03.000554" TargetMode="External"/><Relationship Id="rId20" Type="http://schemas.openxmlformats.org/officeDocument/2006/relationships/hyperlink" Target="https://www.timeslive.co.za/news/south-africa/2018-07-02-10-die-after-destroying-their-hearts-by-mainlining-nyaope/" TargetMode="External"/><Relationship Id="rId29" Type="http://schemas.openxmlformats.org/officeDocument/2006/relationships/hyperlink" Target="https://doi.org/10.1016/j.chroma.2014.03.077" TargetMode="External"/><Relationship Id="rId1" Type="http://schemas.openxmlformats.org/officeDocument/2006/relationships/styles" Target="styles.xml"/><Relationship Id="rId6" Type="http://schemas.openxmlformats.org/officeDocument/2006/relationships/hyperlink" Target="mailto:mthembim@saps.gov.za" TargetMode="External"/><Relationship Id="rId11" Type="http://schemas.openxmlformats.org/officeDocument/2006/relationships/image" Target="media/image5.png"/><Relationship Id="rId24" Type="http://schemas.openxmlformats.org/officeDocument/2006/relationships/hyperlink" Target="https://doi.org/10.1016/j.forsciint.2018.08.001" TargetMode="External"/><Relationship Id="rId32" Type="http://schemas.openxmlformats.org/officeDocument/2006/relationships/hyperlink" Target="https://doi.org/10.1016/j.forsciint.2010.04.007" TargetMode="External"/><Relationship Id="rId37"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https://doi.org/10.4172/1522-4821.1000152" TargetMode="External"/><Relationship Id="rId23" Type="http://schemas.openxmlformats.org/officeDocument/2006/relationships/hyperlink" Target="https://doi.org/10.1016/j.forsciint.2019.04.040" TargetMode="External"/><Relationship Id="rId28" Type="http://schemas.openxmlformats.org/officeDocument/2006/relationships/hyperlink" Target="https://doi.org/10.1016/j.forsciint.2006.05.021" TargetMode="External"/><Relationship Id="rId36" Type="http://schemas.openxmlformats.org/officeDocument/2006/relationships/hyperlink" Target="http://dx.doi.org/10.1098/rsta.2015.0202" TargetMode="External"/><Relationship Id="rId10" Type="http://schemas.openxmlformats.org/officeDocument/2006/relationships/image" Target="media/image4.png"/><Relationship Id="rId19" Type="http://schemas.openxmlformats.org/officeDocument/2006/relationships/hyperlink" Target="https://doi.org/10.7196/samj.2018.v108i7.13007" TargetMode="External"/><Relationship Id="rId31" Type="http://schemas.openxmlformats.org/officeDocument/2006/relationships/hyperlink" Target="https://doi.org/10.1016/j.talanta.2010.10.045" TargetMode="External"/><Relationship Id="rId4" Type="http://schemas.openxmlformats.org/officeDocument/2006/relationships/footnotes" Target="footnotes.xml"/><Relationship Id="rId9" Type="http://schemas.openxmlformats.org/officeDocument/2006/relationships/image" Target="media/image3.png"/><Relationship Id="rId14" Type="http://schemas.openxmlformats.org/officeDocument/2006/relationships/hyperlink" Target="https://doi.org/10.1007/s10461-013-0575-0" TargetMode="External"/><Relationship Id="rId22" Type="http://schemas.openxmlformats.org/officeDocument/2006/relationships/hyperlink" Target="https://enactafrica.org/research/policy-briefs/hiding-in-plain-sight-heroins-stealthy-takeover-of" TargetMode="External"/><Relationship Id="rId27" Type="http://schemas.openxmlformats.org/officeDocument/2006/relationships/hyperlink" Target="http://forensics.org.my/mjofs/pdf/fssmVol.5No.1/Article%2005.pdf" TargetMode="External"/><Relationship Id="rId30" Type="http://schemas.openxmlformats.org/officeDocument/2006/relationships/hyperlink" Target="https://doi.org/10.1016/j.jpba.2016.03.052" TargetMode="External"/><Relationship Id="rId35" Type="http://schemas.openxmlformats.org/officeDocument/2006/relationships/hyperlink" Target="https://doi.org/10.1007/bf02291817" TargetMode="External"/><Relationship Id="rId8" Type="http://schemas.openxmlformats.org/officeDocument/2006/relationships/image" Target="media/image2.png"/><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20</Pages>
  <Words>6425</Words>
  <Characters>36626</Characters>
  <Application>Microsoft Office Word</Application>
  <DocSecurity>0</DocSecurity>
  <Lines>305</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Cole, Michael</dc:creator>
  <cp:lastModifiedBy>Blanshard, Lisa</cp:lastModifiedBy>
  <cp:revision>4</cp:revision>
  <cp:lastPrinted>2019-07-23T10:12:00Z</cp:lastPrinted>
  <dcterms:created xsi:type="dcterms:W3CDTF">2021-09-12T16:38:00Z</dcterms:created>
  <dcterms:modified xsi:type="dcterms:W3CDTF">2021-09-15T10:02:00Z</dcterms:modified>
</cp:coreProperties>
</file>