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6DB82D" w14:textId="03579C8B" w:rsidR="003A4A1A" w:rsidRPr="000B7DB7" w:rsidRDefault="00420083" w:rsidP="000B7DB7">
      <w:pPr>
        <w:pStyle w:val="Title"/>
        <w:rPr>
          <w:rStyle w:val="normaltextrun"/>
        </w:rPr>
      </w:pPr>
      <w:r w:rsidRPr="000B7DB7">
        <w:rPr>
          <w:rStyle w:val="normaltextrun"/>
        </w:rPr>
        <w:t>Prefrontal cort</w:t>
      </w:r>
      <w:r w:rsidR="00D2767A" w:rsidRPr="000B7DB7">
        <w:rPr>
          <w:rStyle w:val="normaltextrun"/>
        </w:rPr>
        <w:t>ex</w:t>
      </w:r>
      <w:r w:rsidRPr="000B7DB7">
        <w:rPr>
          <w:rStyle w:val="normaltextrun"/>
        </w:rPr>
        <w:t xml:space="preserve"> activation</w:t>
      </w:r>
      <w:r w:rsidR="00B25B61" w:rsidRPr="000B7DB7">
        <w:rPr>
          <w:rStyle w:val="normaltextrun"/>
        </w:rPr>
        <w:t xml:space="preserve"> </w:t>
      </w:r>
      <w:r w:rsidR="00C100BA" w:rsidRPr="000B7DB7">
        <w:rPr>
          <w:rStyle w:val="normaltextrun"/>
        </w:rPr>
        <w:t xml:space="preserve">and stopping performance </w:t>
      </w:r>
      <w:r w:rsidR="00B25B61" w:rsidRPr="000B7DB7">
        <w:rPr>
          <w:rStyle w:val="normaltextrun"/>
        </w:rPr>
        <w:t xml:space="preserve">underlie </w:t>
      </w:r>
      <w:r w:rsidR="008D0522" w:rsidRPr="000B7DB7">
        <w:rPr>
          <w:rStyle w:val="normaltextrun"/>
        </w:rPr>
        <w:t xml:space="preserve">the </w:t>
      </w:r>
      <w:r w:rsidR="00B25B61" w:rsidRPr="000B7DB7">
        <w:rPr>
          <w:rStyle w:val="normaltextrun"/>
        </w:rPr>
        <w:t>beneficial effects of atomoxetine on response inhibition</w:t>
      </w:r>
      <w:r w:rsidR="001C265A" w:rsidRPr="000B7DB7">
        <w:rPr>
          <w:rStyle w:val="normaltextrun"/>
        </w:rPr>
        <w:t xml:space="preserve"> in healthy and cocaine </w:t>
      </w:r>
      <w:r w:rsidR="003D696A" w:rsidRPr="000B7DB7">
        <w:rPr>
          <w:rStyle w:val="normaltextrun"/>
        </w:rPr>
        <w:t xml:space="preserve">use disorder </w:t>
      </w:r>
      <w:r w:rsidR="00C100BA" w:rsidRPr="000B7DB7">
        <w:rPr>
          <w:rStyle w:val="normaltextrun"/>
        </w:rPr>
        <w:t>volun</w:t>
      </w:r>
      <w:r w:rsidR="009856FD" w:rsidRPr="000B7DB7">
        <w:rPr>
          <w:rStyle w:val="normaltextrun"/>
        </w:rPr>
        <w:t>t</w:t>
      </w:r>
      <w:r w:rsidR="00C100BA" w:rsidRPr="000B7DB7">
        <w:rPr>
          <w:rStyle w:val="normaltextrun"/>
        </w:rPr>
        <w:t>eers</w:t>
      </w:r>
    </w:p>
    <w:p w14:paraId="17C736B8" w14:textId="77777777" w:rsidR="00420083" w:rsidRPr="005D3CD3" w:rsidRDefault="00420083" w:rsidP="00BF7E9E">
      <w:pPr>
        <w:pStyle w:val="paragraph"/>
        <w:spacing w:before="0" w:beforeAutospacing="0" w:after="0" w:afterAutospacing="0" w:line="360" w:lineRule="auto"/>
        <w:textAlignment w:val="baseline"/>
        <w:rPr>
          <w:sz w:val="28"/>
          <w:szCs w:val="28"/>
        </w:rPr>
      </w:pPr>
    </w:p>
    <w:p w14:paraId="4A391BB8" w14:textId="40F4C5A7" w:rsidR="003A4A1A" w:rsidRPr="000A54C4" w:rsidRDefault="00E45620" w:rsidP="00BF7E9E">
      <w:pPr>
        <w:pStyle w:val="paragraph"/>
        <w:spacing w:before="0" w:beforeAutospacing="0" w:after="0" w:afterAutospacing="0" w:line="360" w:lineRule="auto"/>
        <w:textAlignment w:val="baseline"/>
        <w:rPr>
          <w:rFonts w:asciiTheme="majorBidi" w:hAnsiTheme="majorBidi" w:cstheme="majorBidi"/>
        </w:rPr>
      </w:pPr>
      <w:r w:rsidRPr="00EA5287">
        <w:rPr>
          <w:rStyle w:val="normaltextrun"/>
          <w:rFonts w:asciiTheme="majorBidi" w:hAnsiTheme="majorBidi" w:cstheme="majorBidi"/>
        </w:rPr>
        <w:t>Peter </w:t>
      </w:r>
      <w:proofErr w:type="spellStart"/>
      <w:r w:rsidRPr="00EA5287">
        <w:rPr>
          <w:rStyle w:val="spellingerror"/>
          <w:rFonts w:asciiTheme="majorBidi" w:hAnsiTheme="majorBidi" w:cstheme="majorBidi"/>
        </w:rPr>
        <w:t>Zhukovsky</w:t>
      </w:r>
      <w:proofErr w:type="spellEnd"/>
      <w:r w:rsidRPr="00EA5287">
        <w:rPr>
          <w:rStyle w:val="spellingerror"/>
          <w:rFonts w:asciiTheme="majorBidi" w:hAnsiTheme="majorBidi" w:cstheme="majorBidi"/>
          <w:vertAlign w:val="superscript"/>
        </w:rPr>
        <w:t xml:space="preserve"> </w:t>
      </w:r>
      <w:r w:rsidR="003A4A1A" w:rsidRPr="00EA5287">
        <w:rPr>
          <w:rStyle w:val="spellingerror"/>
          <w:rFonts w:asciiTheme="majorBidi" w:hAnsiTheme="majorBidi" w:cstheme="majorBidi"/>
          <w:vertAlign w:val="superscript"/>
        </w:rPr>
        <w:t>1</w:t>
      </w:r>
      <w:r w:rsidR="001C265A">
        <w:rPr>
          <w:rStyle w:val="spellingerror"/>
          <w:rFonts w:asciiTheme="majorBidi" w:hAnsiTheme="majorBidi" w:cstheme="majorBidi"/>
          <w:vertAlign w:val="superscript"/>
        </w:rPr>
        <w:t>,2</w:t>
      </w:r>
      <w:r w:rsidR="003A4A1A" w:rsidRPr="00EA5287">
        <w:rPr>
          <w:rStyle w:val="normaltextrun"/>
          <w:rFonts w:asciiTheme="majorBidi" w:hAnsiTheme="majorBidi" w:cstheme="majorBidi"/>
        </w:rPr>
        <w:t xml:space="preserve">*, </w:t>
      </w:r>
      <w:r w:rsidR="002C53C0" w:rsidRPr="00EA5287">
        <w:rPr>
          <w:rStyle w:val="normaltextrun"/>
          <w:rFonts w:asciiTheme="majorBidi" w:hAnsiTheme="majorBidi" w:cstheme="majorBidi"/>
        </w:rPr>
        <w:t>Sharon </w:t>
      </w:r>
      <w:r w:rsidR="002C53C0" w:rsidRPr="00EA5287">
        <w:rPr>
          <w:rStyle w:val="spellingerror"/>
          <w:rFonts w:asciiTheme="majorBidi" w:hAnsiTheme="majorBidi" w:cstheme="majorBidi"/>
        </w:rPr>
        <w:t>Morein-Zamir</w:t>
      </w:r>
      <w:r w:rsidR="002C53C0">
        <w:rPr>
          <w:rStyle w:val="spellingerror"/>
          <w:rFonts w:asciiTheme="majorBidi" w:hAnsiTheme="majorBidi" w:cstheme="majorBidi"/>
          <w:vertAlign w:val="superscript"/>
        </w:rPr>
        <w:t>3</w:t>
      </w:r>
      <w:r w:rsidR="002C53C0" w:rsidRPr="000A54C4">
        <w:rPr>
          <w:rStyle w:val="normaltextrun"/>
          <w:rFonts w:asciiTheme="majorBidi" w:hAnsiTheme="majorBidi" w:cstheme="majorBidi"/>
        </w:rPr>
        <w:t xml:space="preserve">*, </w:t>
      </w:r>
      <w:r w:rsidR="00635380" w:rsidRPr="000A54C4">
        <w:rPr>
          <w:rStyle w:val="normaltextrun"/>
          <w:rFonts w:asciiTheme="majorBidi" w:hAnsiTheme="majorBidi" w:cstheme="majorBidi"/>
        </w:rPr>
        <w:t>Hisham Ziauddeen</w:t>
      </w:r>
      <w:r w:rsidR="00F737E4" w:rsidRPr="00F737E4">
        <w:rPr>
          <w:rStyle w:val="normaltextrun"/>
          <w:rFonts w:asciiTheme="majorBidi" w:hAnsiTheme="majorBidi" w:cstheme="majorBidi"/>
          <w:vertAlign w:val="superscript"/>
        </w:rPr>
        <w:t>1</w:t>
      </w:r>
      <w:r w:rsidR="000675A3">
        <w:rPr>
          <w:rStyle w:val="normaltextrun"/>
          <w:rFonts w:asciiTheme="majorBidi" w:hAnsiTheme="majorBidi" w:cstheme="majorBidi"/>
          <w:vertAlign w:val="superscript"/>
        </w:rPr>
        <w:t>,4</w:t>
      </w:r>
      <w:r w:rsidR="00635380" w:rsidRPr="000A54C4">
        <w:rPr>
          <w:rStyle w:val="normaltextrun"/>
          <w:rFonts w:asciiTheme="majorBidi" w:hAnsiTheme="majorBidi" w:cstheme="majorBidi"/>
        </w:rPr>
        <w:t>, Emilio Fernandez-Egea</w:t>
      </w:r>
      <w:r w:rsidR="00BB3099" w:rsidRPr="00BB3099">
        <w:rPr>
          <w:rStyle w:val="normaltextrun"/>
          <w:rFonts w:asciiTheme="majorBidi" w:hAnsiTheme="majorBidi" w:cstheme="majorBidi"/>
          <w:vertAlign w:val="superscript"/>
        </w:rPr>
        <w:t>1</w:t>
      </w:r>
      <w:r w:rsidR="008F61A4">
        <w:rPr>
          <w:rStyle w:val="normaltextrun"/>
          <w:rFonts w:asciiTheme="majorBidi" w:hAnsiTheme="majorBidi" w:cstheme="majorBidi"/>
          <w:vertAlign w:val="superscript"/>
        </w:rPr>
        <w:t>,</w:t>
      </w:r>
      <w:r w:rsidR="0069226D">
        <w:rPr>
          <w:rStyle w:val="normaltextrun"/>
          <w:rFonts w:asciiTheme="majorBidi" w:hAnsiTheme="majorBidi" w:cstheme="majorBidi"/>
          <w:vertAlign w:val="superscript"/>
        </w:rPr>
        <w:t>4</w:t>
      </w:r>
      <w:r w:rsidR="00635380" w:rsidRPr="000A54C4">
        <w:rPr>
          <w:rStyle w:val="normaltextrun"/>
          <w:rFonts w:asciiTheme="majorBidi" w:hAnsiTheme="majorBidi" w:cstheme="majorBidi"/>
        </w:rPr>
        <w:t xml:space="preserve">, </w:t>
      </w:r>
      <w:r w:rsidR="003A4A1A" w:rsidRPr="000A54C4">
        <w:rPr>
          <w:rStyle w:val="normaltextrun"/>
          <w:rFonts w:asciiTheme="majorBidi" w:hAnsiTheme="majorBidi" w:cstheme="majorBidi"/>
        </w:rPr>
        <w:t>Chun Meng</w:t>
      </w:r>
      <w:r w:rsidR="003A4A1A" w:rsidRPr="000A54C4">
        <w:rPr>
          <w:rStyle w:val="normaltextrun"/>
          <w:rFonts w:asciiTheme="majorBidi" w:hAnsiTheme="majorBidi" w:cstheme="majorBidi"/>
          <w:vertAlign w:val="superscript"/>
        </w:rPr>
        <w:t>1,</w:t>
      </w:r>
      <w:r w:rsidR="00F16882">
        <w:rPr>
          <w:rStyle w:val="normaltextrun"/>
          <w:rFonts w:asciiTheme="majorBidi" w:hAnsiTheme="majorBidi" w:cstheme="majorBidi"/>
          <w:vertAlign w:val="superscript"/>
        </w:rPr>
        <w:t>5</w:t>
      </w:r>
      <w:r w:rsidR="003A4A1A" w:rsidRPr="000A54C4">
        <w:rPr>
          <w:rStyle w:val="normaltextrun"/>
          <w:rFonts w:asciiTheme="majorBidi" w:hAnsiTheme="majorBidi" w:cstheme="majorBidi"/>
        </w:rPr>
        <w:t>, </w:t>
      </w:r>
      <w:r w:rsidR="00635380" w:rsidRPr="000A54C4">
        <w:rPr>
          <w:rStyle w:val="normaltextrun"/>
          <w:rFonts w:asciiTheme="majorBidi" w:hAnsiTheme="majorBidi" w:cstheme="majorBidi"/>
        </w:rPr>
        <w:t>Ralf Regenthal</w:t>
      </w:r>
      <w:r w:rsidR="00F16882">
        <w:rPr>
          <w:rFonts w:asciiTheme="majorBidi" w:hAnsiTheme="majorBidi" w:cstheme="majorBidi"/>
          <w:vertAlign w:val="superscript"/>
        </w:rPr>
        <w:t>6,7</w:t>
      </w:r>
      <w:r w:rsidR="00635380" w:rsidRPr="000A54C4">
        <w:rPr>
          <w:rStyle w:val="normaltextrun"/>
          <w:rFonts w:asciiTheme="majorBidi" w:hAnsiTheme="majorBidi" w:cstheme="majorBidi"/>
        </w:rPr>
        <w:t>, Barbara J Sahakian</w:t>
      </w:r>
      <w:r w:rsidR="00846767" w:rsidRPr="00846767">
        <w:rPr>
          <w:rStyle w:val="normaltextrun"/>
          <w:rFonts w:asciiTheme="majorBidi" w:hAnsiTheme="majorBidi" w:cstheme="majorBidi"/>
          <w:vertAlign w:val="superscript"/>
        </w:rPr>
        <w:t>1</w:t>
      </w:r>
      <w:r w:rsidR="00B60A7A">
        <w:rPr>
          <w:rStyle w:val="normaltextrun"/>
          <w:rFonts w:asciiTheme="majorBidi" w:hAnsiTheme="majorBidi" w:cstheme="majorBidi"/>
          <w:vertAlign w:val="superscript"/>
        </w:rPr>
        <w:t>,5</w:t>
      </w:r>
      <w:r w:rsidR="00635380" w:rsidRPr="000A54C4">
        <w:rPr>
          <w:rStyle w:val="normaltextrun"/>
          <w:rFonts w:asciiTheme="majorBidi" w:hAnsiTheme="majorBidi" w:cstheme="majorBidi"/>
        </w:rPr>
        <w:t>, Edward T Bullmore</w:t>
      </w:r>
      <w:r w:rsidR="00827685" w:rsidRPr="00E14D8C">
        <w:rPr>
          <w:rStyle w:val="normaltextrun"/>
          <w:rFonts w:asciiTheme="majorBidi" w:hAnsiTheme="majorBidi" w:cstheme="majorBidi"/>
          <w:vertAlign w:val="superscript"/>
        </w:rPr>
        <w:t>1</w:t>
      </w:r>
      <w:r w:rsidR="00887F16">
        <w:rPr>
          <w:rStyle w:val="normaltextrun"/>
          <w:rFonts w:asciiTheme="majorBidi" w:hAnsiTheme="majorBidi" w:cstheme="majorBidi"/>
          <w:vertAlign w:val="superscript"/>
        </w:rPr>
        <w:t>,</w:t>
      </w:r>
      <w:r w:rsidR="006A6B9F">
        <w:rPr>
          <w:rStyle w:val="normaltextrun"/>
          <w:rFonts w:asciiTheme="majorBidi" w:hAnsiTheme="majorBidi" w:cstheme="majorBidi"/>
          <w:vertAlign w:val="superscript"/>
        </w:rPr>
        <w:t>4</w:t>
      </w:r>
      <w:r w:rsidR="003809AD">
        <w:rPr>
          <w:rStyle w:val="normaltextrun"/>
          <w:rFonts w:asciiTheme="majorBidi" w:hAnsiTheme="majorBidi" w:cstheme="majorBidi"/>
          <w:vertAlign w:val="superscript"/>
        </w:rPr>
        <w:t>,</w:t>
      </w:r>
      <w:r w:rsidR="00EE098E">
        <w:rPr>
          <w:rStyle w:val="normaltextrun"/>
          <w:rFonts w:asciiTheme="majorBidi" w:hAnsiTheme="majorBidi" w:cstheme="majorBidi"/>
          <w:vertAlign w:val="superscript"/>
        </w:rPr>
        <w:t>8</w:t>
      </w:r>
      <w:r w:rsidR="00635380" w:rsidRPr="000A54C4">
        <w:rPr>
          <w:rStyle w:val="normaltextrun"/>
          <w:rFonts w:asciiTheme="majorBidi" w:hAnsiTheme="majorBidi" w:cstheme="majorBidi"/>
        </w:rPr>
        <w:t>, Trevor W Robbins</w:t>
      </w:r>
      <w:r w:rsidR="00827685" w:rsidRPr="00E14D8C">
        <w:rPr>
          <w:rStyle w:val="normaltextrun"/>
          <w:rFonts w:asciiTheme="majorBidi" w:hAnsiTheme="majorBidi" w:cstheme="majorBidi"/>
          <w:vertAlign w:val="superscript"/>
        </w:rPr>
        <w:t>2</w:t>
      </w:r>
      <w:r w:rsidR="00595304">
        <w:rPr>
          <w:rStyle w:val="normaltextrun"/>
          <w:rFonts w:asciiTheme="majorBidi" w:hAnsiTheme="majorBidi" w:cstheme="majorBidi"/>
          <w:vertAlign w:val="superscript"/>
        </w:rPr>
        <w:t>,</w:t>
      </w:r>
      <w:r w:rsidR="00DF23A2">
        <w:rPr>
          <w:rStyle w:val="normaltextrun"/>
          <w:rFonts w:asciiTheme="majorBidi" w:hAnsiTheme="majorBidi" w:cstheme="majorBidi"/>
          <w:vertAlign w:val="superscript"/>
        </w:rPr>
        <w:t>5</w:t>
      </w:r>
      <w:r w:rsidR="00635380" w:rsidRPr="000A54C4">
        <w:rPr>
          <w:rStyle w:val="normaltextrun"/>
          <w:rFonts w:asciiTheme="majorBidi" w:hAnsiTheme="majorBidi" w:cstheme="majorBidi"/>
        </w:rPr>
        <w:t xml:space="preserve">, </w:t>
      </w:r>
      <w:r w:rsidR="003A4A1A" w:rsidRPr="000A54C4">
        <w:rPr>
          <w:rStyle w:val="normaltextrun"/>
          <w:rFonts w:asciiTheme="majorBidi" w:hAnsiTheme="majorBidi" w:cstheme="majorBidi"/>
        </w:rPr>
        <w:t>Jeffrey W </w:t>
      </w:r>
      <w:r w:rsidR="003A4A1A" w:rsidRPr="000A54C4">
        <w:rPr>
          <w:rStyle w:val="spellingerror"/>
          <w:rFonts w:asciiTheme="majorBidi" w:hAnsiTheme="majorBidi" w:cstheme="majorBidi"/>
        </w:rPr>
        <w:t>Dalley</w:t>
      </w:r>
      <w:r w:rsidR="003A4A1A" w:rsidRPr="000A54C4">
        <w:rPr>
          <w:rStyle w:val="spellingerror"/>
          <w:rFonts w:asciiTheme="majorBidi" w:hAnsiTheme="majorBidi" w:cstheme="majorBidi"/>
          <w:vertAlign w:val="superscript"/>
        </w:rPr>
        <w:t>1,2</w:t>
      </w:r>
      <w:r w:rsidR="00595304">
        <w:rPr>
          <w:rStyle w:val="spellingerror"/>
          <w:rFonts w:asciiTheme="majorBidi" w:hAnsiTheme="majorBidi" w:cstheme="majorBidi"/>
          <w:vertAlign w:val="superscript"/>
        </w:rPr>
        <w:t>,</w:t>
      </w:r>
      <w:r w:rsidR="00DF23A2">
        <w:rPr>
          <w:rStyle w:val="spellingerror"/>
          <w:rFonts w:asciiTheme="majorBidi" w:hAnsiTheme="majorBidi" w:cstheme="majorBidi"/>
          <w:vertAlign w:val="superscript"/>
        </w:rPr>
        <w:t>5</w:t>
      </w:r>
      <w:r w:rsidR="003A4A1A" w:rsidRPr="000A54C4">
        <w:rPr>
          <w:rStyle w:val="normaltextrun"/>
          <w:rFonts w:asciiTheme="majorBidi" w:hAnsiTheme="majorBidi" w:cstheme="majorBidi"/>
        </w:rPr>
        <w:t>, Karen D </w:t>
      </w:r>
      <w:r w:rsidR="003A4A1A" w:rsidRPr="000A54C4">
        <w:rPr>
          <w:rStyle w:val="spellingerror"/>
          <w:rFonts w:asciiTheme="majorBidi" w:hAnsiTheme="majorBidi" w:cstheme="majorBidi"/>
        </w:rPr>
        <w:t>Ersche</w:t>
      </w:r>
      <w:r w:rsidR="003A4A1A" w:rsidRPr="000A54C4">
        <w:rPr>
          <w:rStyle w:val="spellingerror"/>
          <w:rFonts w:asciiTheme="majorBidi" w:hAnsiTheme="majorBidi" w:cstheme="majorBidi"/>
          <w:vertAlign w:val="superscript"/>
        </w:rPr>
        <w:t>1,</w:t>
      </w:r>
      <w:r w:rsidR="00827685">
        <w:rPr>
          <w:rStyle w:val="spellingerror"/>
          <w:rFonts w:asciiTheme="majorBidi" w:hAnsiTheme="majorBidi" w:cstheme="majorBidi"/>
          <w:vertAlign w:val="superscript"/>
        </w:rPr>
        <w:t>2</w:t>
      </w:r>
      <w:r w:rsidR="004A65CD">
        <w:rPr>
          <w:rStyle w:val="spellingerror"/>
          <w:rFonts w:asciiTheme="majorBidi" w:hAnsiTheme="majorBidi" w:cstheme="majorBidi"/>
          <w:vertAlign w:val="superscript"/>
        </w:rPr>
        <w:t>,</w:t>
      </w:r>
      <w:r w:rsidR="00B60A7A">
        <w:rPr>
          <w:rStyle w:val="spellingerror"/>
          <w:rFonts w:asciiTheme="majorBidi" w:hAnsiTheme="majorBidi" w:cstheme="majorBidi"/>
          <w:vertAlign w:val="superscript"/>
        </w:rPr>
        <w:t>5</w:t>
      </w:r>
      <w:r w:rsidR="0036692F">
        <w:rPr>
          <w:rStyle w:val="spellingerror"/>
          <w:rFonts w:asciiTheme="majorBidi" w:hAnsiTheme="majorBidi" w:cstheme="majorBidi"/>
          <w:vertAlign w:val="superscript"/>
        </w:rPr>
        <w:t>,9</w:t>
      </w:r>
      <w:r w:rsidR="004A65CD">
        <w:rPr>
          <w:rStyle w:val="spellingerror"/>
          <w:rFonts w:asciiTheme="majorBidi" w:hAnsiTheme="majorBidi" w:cstheme="majorBidi"/>
          <w:vertAlign w:val="superscript"/>
        </w:rPr>
        <w:t>†</w:t>
      </w:r>
      <w:r w:rsidR="003A4A1A" w:rsidRPr="000A54C4">
        <w:rPr>
          <w:rStyle w:val="eop"/>
          <w:rFonts w:asciiTheme="majorBidi" w:hAnsiTheme="majorBidi" w:cstheme="majorBidi"/>
        </w:rPr>
        <w:t> </w:t>
      </w:r>
    </w:p>
    <w:p w14:paraId="0BE930E6" w14:textId="77777777" w:rsidR="003A4A1A" w:rsidRPr="00A320B9" w:rsidRDefault="003A4A1A" w:rsidP="00BF7E9E">
      <w:pPr>
        <w:pStyle w:val="paragraph"/>
        <w:spacing w:before="0" w:beforeAutospacing="0" w:after="0" w:afterAutospacing="0" w:line="360" w:lineRule="auto"/>
        <w:textAlignment w:val="baseline"/>
        <w:rPr>
          <w:rFonts w:asciiTheme="majorBidi" w:hAnsiTheme="majorBidi" w:cstheme="majorBidi"/>
        </w:rPr>
      </w:pPr>
      <w:r w:rsidRPr="00A320B9">
        <w:rPr>
          <w:rStyle w:val="normaltextrun"/>
          <w:rFonts w:asciiTheme="majorBidi" w:hAnsiTheme="majorBidi" w:cstheme="majorBidi"/>
        </w:rPr>
        <w:t>*These authors equally contributed to this manuscript</w:t>
      </w:r>
      <w:r w:rsidRPr="00A320B9">
        <w:rPr>
          <w:rStyle w:val="eop"/>
          <w:rFonts w:asciiTheme="majorBidi" w:hAnsiTheme="majorBidi" w:cstheme="majorBidi"/>
        </w:rPr>
        <w:t> </w:t>
      </w:r>
    </w:p>
    <w:p w14:paraId="0C058CDF" w14:textId="77777777" w:rsidR="003A4A1A" w:rsidRPr="00A320B9" w:rsidRDefault="003A4A1A" w:rsidP="00BF7E9E">
      <w:pPr>
        <w:pStyle w:val="paragraph"/>
        <w:spacing w:before="0" w:beforeAutospacing="0" w:after="0" w:afterAutospacing="0" w:line="360" w:lineRule="auto"/>
        <w:textAlignment w:val="baseline"/>
        <w:rPr>
          <w:rFonts w:asciiTheme="majorBidi" w:hAnsiTheme="majorBidi" w:cstheme="majorBidi"/>
        </w:rPr>
      </w:pPr>
      <w:r w:rsidRPr="00A320B9">
        <w:rPr>
          <w:rStyle w:val="eop"/>
          <w:rFonts w:asciiTheme="majorBidi" w:hAnsiTheme="majorBidi" w:cstheme="majorBidi"/>
        </w:rPr>
        <w:t> </w:t>
      </w:r>
    </w:p>
    <w:p w14:paraId="52AC00D2" w14:textId="6617B3C0" w:rsidR="003A4A1A" w:rsidRDefault="00974938" w:rsidP="00BF7E9E">
      <w:pPr>
        <w:pStyle w:val="paragraph"/>
        <w:spacing w:before="0" w:beforeAutospacing="0" w:after="0" w:afterAutospacing="0" w:line="360" w:lineRule="auto"/>
        <w:textAlignment w:val="baseline"/>
        <w:rPr>
          <w:rStyle w:val="eop"/>
          <w:rFonts w:asciiTheme="majorBidi" w:hAnsiTheme="majorBidi" w:cstheme="majorBidi"/>
        </w:rPr>
      </w:pPr>
      <w:r>
        <w:rPr>
          <w:rStyle w:val="spellingerror"/>
          <w:rFonts w:asciiTheme="majorBidi" w:hAnsiTheme="majorBidi" w:cstheme="majorBidi"/>
          <w:vertAlign w:val="superscript"/>
          <w:lang w:val="en-US"/>
        </w:rPr>
        <w:t>1</w:t>
      </w:r>
      <w:r w:rsidR="003A4A1A" w:rsidRPr="00A320B9">
        <w:rPr>
          <w:rStyle w:val="normaltextrun"/>
          <w:rFonts w:asciiTheme="majorBidi" w:hAnsiTheme="majorBidi" w:cstheme="majorBidi"/>
          <w:lang w:val="en-US"/>
        </w:rPr>
        <w:t xml:space="preserve">Department of </w:t>
      </w:r>
      <w:r w:rsidR="00304EC0">
        <w:rPr>
          <w:rStyle w:val="normaltextrun"/>
          <w:rFonts w:asciiTheme="majorBidi" w:hAnsiTheme="majorBidi" w:cstheme="majorBidi"/>
          <w:lang w:val="en-US"/>
        </w:rPr>
        <w:t>Psychiatry</w:t>
      </w:r>
      <w:r w:rsidR="003A4A1A" w:rsidRPr="00A320B9">
        <w:rPr>
          <w:rStyle w:val="normaltextrun"/>
          <w:rFonts w:asciiTheme="majorBidi" w:hAnsiTheme="majorBidi" w:cstheme="majorBidi"/>
          <w:lang w:val="en-US"/>
        </w:rPr>
        <w:t>, University of Cambridge, Cambridge, UK </w:t>
      </w:r>
      <w:r w:rsidR="003A4A1A" w:rsidRPr="00A320B9">
        <w:rPr>
          <w:rStyle w:val="eop"/>
          <w:rFonts w:asciiTheme="majorBidi" w:hAnsiTheme="majorBidi" w:cstheme="majorBidi"/>
        </w:rPr>
        <w:t> </w:t>
      </w:r>
    </w:p>
    <w:p w14:paraId="36D7387E" w14:textId="5F1F982D" w:rsidR="00304EC0" w:rsidRPr="00A320B9" w:rsidRDefault="00304EC0" w:rsidP="00BF7E9E">
      <w:pPr>
        <w:pStyle w:val="paragraph"/>
        <w:spacing w:before="0" w:beforeAutospacing="0" w:after="0" w:afterAutospacing="0" w:line="360" w:lineRule="auto"/>
        <w:textAlignment w:val="baseline"/>
        <w:rPr>
          <w:rFonts w:asciiTheme="majorBidi" w:hAnsiTheme="majorBidi" w:cstheme="majorBidi"/>
        </w:rPr>
      </w:pPr>
      <w:r>
        <w:rPr>
          <w:rStyle w:val="spellingerror"/>
          <w:rFonts w:asciiTheme="majorBidi" w:hAnsiTheme="majorBidi" w:cstheme="majorBidi"/>
          <w:vertAlign w:val="superscript"/>
          <w:lang w:val="en-US"/>
        </w:rPr>
        <w:t>2</w:t>
      </w:r>
      <w:r w:rsidRPr="00A320B9">
        <w:rPr>
          <w:rStyle w:val="normaltextrun"/>
          <w:rFonts w:asciiTheme="majorBidi" w:hAnsiTheme="majorBidi" w:cstheme="majorBidi"/>
          <w:lang w:val="en-US"/>
        </w:rPr>
        <w:t>Department of</w:t>
      </w:r>
      <w:r>
        <w:rPr>
          <w:rStyle w:val="normaltextrun"/>
          <w:rFonts w:asciiTheme="majorBidi" w:hAnsiTheme="majorBidi" w:cstheme="majorBidi"/>
          <w:lang w:val="en-US"/>
        </w:rPr>
        <w:t xml:space="preserve"> </w:t>
      </w:r>
      <w:r w:rsidRPr="00A320B9">
        <w:rPr>
          <w:rStyle w:val="normaltextrun"/>
          <w:rFonts w:asciiTheme="majorBidi" w:hAnsiTheme="majorBidi" w:cstheme="majorBidi"/>
          <w:lang w:val="en-US"/>
        </w:rPr>
        <w:t>Psychology, University of Cambridge, Cambridge, UK </w:t>
      </w:r>
      <w:r w:rsidRPr="00A320B9">
        <w:rPr>
          <w:rStyle w:val="eop"/>
          <w:rFonts w:asciiTheme="majorBidi" w:hAnsiTheme="majorBidi" w:cstheme="majorBidi"/>
        </w:rPr>
        <w:t> </w:t>
      </w:r>
    </w:p>
    <w:p w14:paraId="2BA84C6F" w14:textId="610C9C2F" w:rsidR="003A4A1A" w:rsidRDefault="00304EC0" w:rsidP="00BF7E9E">
      <w:pPr>
        <w:pStyle w:val="paragraph"/>
        <w:spacing w:before="0" w:beforeAutospacing="0" w:after="0" w:afterAutospacing="0" w:line="360" w:lineRule="auto"/>
        <w:textAlignment w:val="baseline"/>
        <w:rPr>
          <w:rStyle w:val="eop"/>
          <w:rFonts w:asciiTheme="majorBidi" w:hAnsiTheme="majorBidi" w:cstheme="majorBidi"/>
        </w:rPr>
      </w:pPr>
      <w:r>
        <w:rPr>
          <w:rStyle w:val="normaltextrun"/>
          <w:rFonts w:asciiTheme="majorBidi" w:hAnsiTheme="majorBidi" w:cstheme="majorBidi"/>
          <w:vertAlign w:val="superscript"/>
          <w:lang w:val="en-US"/>
        </w:rPr>
        <w:t>3</w:t>
      </w:r>
      <w:r w:rsidR="00974938" w:rsidRPr="00A320B9">
        <w:rPr>
          <w:rStyle w:val="normaltextrun"/>
          <w:rFonts w:asciiTheme="majorBidi" w:hAnsiTheme="majorBidi" w:cstheme="majorBidi"/>
          <w:lang w:val="en-US"/>
        </w:rPr>
        <w:t xml:space="preserve">School </w:t>
      </w:r>
      <w:r w:rsidR="003A4A1A" w:rsidRPr="00A320B9">
        <w:rPr>
          <w:rStyle w:val="normaltextrun"/>
          <w:rFonts w:asciiTheme="majorBidi" w:hAnsiTheme="majorBidi" w:cstheme="majorBidi"/>
          <w:lang w:val="en-US"/>
        </w:rPr>
        <w:t>of Psychology and Sports Science, Anglia Ruskin University, Cambridge, UK</w:t>
      </w:r>
      <w:r w:rsidR="003A4A1A" w:rsidRPr="00A320B9">
        <w:rPr>
          <w:rStyle w:val="eop"/>
          <w:rFonts w:asciiTheme="majorBidi" w:hAnsiTheme="majorBidi" w:cstheme="majorBidi"/>
        </w:rPr>
        <w:t> </w:t>
      </w:r>
    </w:p>
    <w:p w14:paraId="4D035F48" w14:textId="4ACD2D83" w:rsidR="00011429" w:rsidRPr="00635380" w:rsidRDefault="0069226D" w:rsidP="00BF7E9E">
      <w:pPr>
        <w:pStyle w:val="paragraph"/>
        <w:spacing w:before="0" w:beforeAutospacing="0" w:after="0" w:afterAutospacing="0" w:line="360" w:lineRule="auto"/>
        <w:textAlignment w:val="baseline"/>
        <w:rPr>
          <w:rFonts w:asciiTheme="majorBidi" w:hAnsiTheme="majorBidi" w:cstheme="majorBidi"/>
        </w:rPr>
      </w:pPr>
      <w:r>
        <w:rPr>
          <w:rStyle w:val="normaltextrun"/>
          <w:rFonts w:asciiTheme="majorBidi" w:hAnsiTheme="majorBidi" w:cstheme="majorBidi"/>
          <w:vertAlign w:val="superscript"/>
          <w:lang w:val="en-US"/>
        </w:rPr>
        <w:t>4</w:t>
      </w:r>
      <w:r w:rsidR="00011429" w:rsidRPr="00635380">
        <w:rPr>
          <w:rFonts w:asciiTheme="majorBidi" w:hAnsiTheme="majorBidi" w:cstheme="majorBidi"/>
        </w:rPr>
        <w:t>Cambridgeshire and Peterborough Foundation Trust, Cambridge, UK</w:t>
      </w:r>
    </w:p>
    <w:p w14:paraId="3217189A" w14:textId="15681FE2" w:rsidR="000524C4" w:rsidRDefault="000524C4" w:rsidP="00BF7E9E">
      <w:pPr>
        <w:pStyle w:val="paragraph"/>
        <w:spacing w:before="0" w:beforeAutospacing="0" w:after="0" w:afterAutospacing="0" w:line="360" w:lineRule="auto"/>
        <w:textAlignment w:val="baseline"/>
        <w:rPr>
          <w:rStyle w:val="eop"/>
          <w:rFonts w:asciiTheme="majorBidi" w:hAnsiTheme="majorBidi" w:cstheme="majorBidi"/>
          <w:lang w:val="en-US"/>
        </w:rPr>
      </w:pPr>
      <w:r>
        <w:rPr>
          <w:rStyle w:val="spellingerror"/>
          <w:rFonts w:asciiTheme="majorBidi" w:hAnsiTheme="majorBidi" w:cstheme="majorBidi"/>
          <w:vertAlign w:val="superscript"/>
        </w:rPr>
        <w:t>5</w:t>
      </w:r>
      <w:proofErr w:type="spellStart"/>
      <w:r w:rsidRPr="00A320B9">
        <w:rPr>
          <w:rStyle w:val="spellingerror"/>
          <w:rFonts w:asciiTheme="majorBidi" w:hAnsiTheme="majorBidi" w:cstheme="majorBidi"/>
          <w:lang w:val="en-US"/>
        </w:rPr>
        <w:t>Behavioural</w:t>
      </w:r>
      <w:proofErr w:type="spellEnd"/>
      <w:r w:rsidRPr="00A320B9">
        <w:rPr>
          <w:rStyle w:val="normaltextrun"/>
          <w:rFonts w:asciiTheme="majorBidi" w:hAnsiTheme="majorBidi" w:cstheme="majorBidi"/>
          <w:lang w:val="en-US"/>
        </w:rPr>
        <w:t> and Clinical Neuroscience Institute, University of Cambridge, Cambridge, UK</w:t>
      </w:r>
    </w:p>
    <w:p w14:paraId="3DA60E0A" w14:textId="35FFE35E" w:rsidR="00436C20" w:rsidRDefault="000524C4" w:rsidP="00BF7E9E">
      <w:pPr>
        <w:pStyle w:val="paragraph"/>
        <w:spacing w:before="0" w:beforeAutospacing="0" w:after="0" w:afterAutospacing="0" w:line="360" w:lineRule="auto"/>
        <w:textAlignment w:val="baseline"/>
        <w:rPr>
          <w:rFonts w:asciiTheme="majorBidi" w:hAnsiTheme="majorBidi" w:cstheme="majorBidi"/>
        </w:rPr>
      </w:pPr>
      <w:r>
        <w:rPr>
          <w:rFonts w:asciiTheme="majorBidi" w:hAnsiTheme="majorBidi" w:cstheme="majorBidi"/>
          <w:vertAlign w:val="superscript"/>
          <w:lang w:val="en-US"/>
        </w:rPr>
        <w:t>6</w:t>
      </w:r>
      <w:r w:rsidR="00312895" w:rsidRPr="00312895">
        <w:rPr>
          <w:rFonts w:asciiTheme="majorBidi" w:hAnsiTheme="majorBidi" w:cstheme="majorBidi"/>
        </w:rPr>
        <w:t>Clinical Pharmacology Department, University of Leipzig, Germany</w:t>
      </w:r>
    </w:p>
    <w:p w14:paraId="06C76BA9" w14:textId="1D35B4C7" w:rsidR="00275272" w:rsidRDefault="000524C4" w:rsidP="00BF7E9E">
      <w:pPr>
        <w:pStyle w:val="paragraph"/>
        <w:spacing w:before="0" w:beforeAutospacing="0" w:after="0" w:afterAutospacing="0" w:line="360" w:lineRule="auto"/>
        <w:textAlignment w:val="baseline"/>
        <w:rPr>
          <w:rFonts w:asciiTheme="majorBidi" w:hAnsiTheme="majorBidi" w:cstheme="majorBidi"/>
        </w:rPr>
      </w:pPr>
      <w:r>
        <w:rPr>
          <w:rFonts w:asciiTheme="majorBidi" w:hAnsiTheme="majorBidi" w:cstheme="majorBidi"/>
          <w:vertAlign w:val="superscript"/>
        </w:rPr>
        <w:t>7</w:t>
      </w:r>
      <w:r w:rsidR="00275272" w:rsidRPr="00635380">
        <w:rPr>
          <w:rFonts w:asciiTheme="majorBidi" w:hAnsiTheme="majorBidi" w:cstheme="majorBidi"/>
        </w:rPr>
        <w:t>Leipzig University, Division of Clinical Pharmacology, Rudolf-Boehm-Institute of</w:t>
      </w:r>
      <w:r w:rsidR="00275272">
        <w:rPr>
          <w:rFonts w:asciiTheme="majorBidi" w:hAnsiTheme="majorBidi" w:cstheme="majorBidi"/>
        </w:rPr>
        <w:t xml:space="preserve"> </w:t>
      </w:r>
      <w:r w:rsidR="00275272" w:rsidRPr="00635380">
        <w:rPr>
          <w:rFonts w:asciiTheme="majorBidi" w:hAnsiTheme="majorBidi" w:cstheme="majorBidi"/>
        </w:rPr>
        <w:t>Pharmacology and Toxicology, Leipzig, Germany</w:t>
      </w:r>
    </w:p>
    <w:p w14:paraId="4C27162F" w14:textId="6492281E" w:rsidR="00635380" w:rsidRDefault="008F6B80" w:rsidP="00BF7E9E">
      <w:pPr>
        <w:pStyle w:val="paragraph"/>
        <w:spacing w:before="0" w:beforeAutospacing="0" w:after="0" w:afterAutospacing="0" w:line="360" w:lineRule="auto"/>
        <w:textAlignment w:val="baseline"/>
        <w:rPr>
          <w:rFonts w:asciiTheme="majorBidi" w:hAnsiTheme="majorBidi" w:cstheme="majorBidi"/>
        </w:rPr>
      </w:pPr>
      <w:r>
        <w:rPr>
          <w:rFonts w:asciiTheme="majorBidi" w:hAnsiTheme="majorBidi" w:cstheme="majorBidi"/>
          <w:vertAlign w:val="superscript"/>
        </w:rPr>
        <w:t>8</w:t>
      </w:r>
      <w:r w:rsidR="00635380" w:rsidRPr="00635380">
        <w:rPr>
          <w:rFonts w:asciiTheme="majorBidi" w:hAnsiTheme="majorBidi" w:cstheme="majorBidi"/>
        </w:rPr>
        <w:t>GlaxoSmithKline, Immuno-Inflammation Therapeutic Area Unit, Stevenage UK</w:t>
      </w:r>
    </w:p>
    <w:p w14:paraId="561A0347" w14:textId="2C4956E4" w:rsidR="0036692F" w:rsidRPr="00635380" w:rsidRDefault="0036692F" w:rsidP="00BF7E9E">
      <w:pPr>
        <w:pStyle w:val="paragraph"/>
        <w:spacing w:before="0" w:beforeAutospacing="0" w:after="0" w:afterAutospacing="0" w:line="360" w:lineRule="auto"/>
        <w:textAlignment w:val="baseline"/>
        <w:rPr>
          <w:rFonts w:asciiTheme="majorBidi" w:hAnsiTheme="majorBidi" w:cstheme="majorBidi"/>
        </w:rPr>
      </w:pPr>
      <w:r w:rsidRPr="00866432">
        <w:rPr>
          <w:rFonts w:asciiTheme="majorBidi" w:hAnsiTheme="majorBidi" w:cstheme="majorBidi"/>
          <w:vertAlign w:val="superscript"/>
        </w:rPr>
        <w:t>9</w:t>
      </w:r>
      <w:r w:rsidRPr="0036692F">
        <w:rPr>
          <w:rStyle w:val="TitleChar"/>
          <w:color w:val="000000" w:themeColor="text1"/>
        </w:rPr>
        <w:t xml:space="preserve"> </w:t>
      </w:r>
      <w:proofErr w:type="spellStart"/>
      <w:r w:rsidRPr="004E738F">
        <w:rPr>
          <w:rStyle w:val="normaltextrun"/>
          <w:rFonts w:eastAsiaTheme="majorEastAsia"/>
          <w:color w:val="000000" w:themeColor="text1"/>
        </w:rPr>
        <w:t>Institut</w:t>
      </w:r>
      <w:proofErr w:type="spellEnd"/>
      <w:r w:rsidRPr="004E738F">
        <w:rPr>
          <w:rStyle w:val="normaltextrun"/>
          <w:rFonts w:eastAsiaTheme="majorEastAsia"/>
          <w:color w:val="000000" w:themeColor="text1"/>
        </w:rPr>
        <w:t xml:space="preserve"> for</w:t>
      </w:r>
      <w:r>
        <w:rPr>
          <w:rStyle w:val="normaltextrun"/>
          <w:rFonts w:eastAsiaTheme="majorEastAsia"/>
          <w:color w:val="000000" w:themeColor="text1"/>
          <w:lang w:val="en-US"/>
        </w:rPr>
        <w:t xml:space="preserve"> System Neuroscience, </w:t>
      </w:r>
      <w:r w:rsidRPr="00EC4A42">
        <w:rPr>
          <w:rStyle w:val="normaltextrun"/>
          <w:rFonts w:eastAsiaTheme="majorEastAsia"/>
          <w:color w:val="000000" w:themeColor="text1"/>
          <w:lang w:val="en-US"/>
        </w:rPr>
        <w:t>University Medical Centre Hamburg-Eppendorf, Hamburg,</w:t>
      </w:r>
      <w:r>
        <w:rPr>
          <w:rStyle w:val="normaltextrun"/>
          <w:rFonts w:eastAsiaTheme="majorEastAsia"/>
          <w:color w:val="000000" w:themeColor="text1"/>
          <w:lang w:val="en-US"/>
        </w:rPr>
        <w:t xml:space="preserve"> </w:t>
      </w:r>
      <w:r w:rsidRPr="00EC4A42">
        <w:rPr>
          <w:rStyle w:val="normaltextrun"/>
          <w:rFonts w:eastAsiaTheme="majorEastAsia"/>
          <w:color w:val="000000" w:themeColor="text1"/>
          <w:lang w:val="en-US"/>
        </w:rPr>
        <w:t>Germany</w:t>
      </w:r>
      <w:r>
        <w:rPr>
          <w:rFonts w:asciiTheme="majorBidi" w:hAnsiTheme="majorBidi" w:cstheme="majorBidi"/>
        </w:rPr>
        <w:t xml:space="preserve"> </w:t>
      </w:r>
    </w:p>
    <w:p w14:paraId="1056F619" w14:textId="77777777" w:rsidR="003A4A1A" w:rsidRDefault="003A4A1A" w:rsidP="00BF7E9E">
      <w:pPr>
        <w:pStyle w:val="paragraph"/>
        <w:spacing w:before="0" w:beforeAutospacing="0" w:after="0" w:afterAutospacing="0" w:line="360" w:lineRule="auto"/>
        <w:textAlignment w:val="baseline"/>
        <w:rPr>
          <w:rStyle w:val="normaltextrun"/>
          <w:rFonts w:asciiTheme="majorBidi" w:hAnsiTheme="majorBidi" w:cstheme="majorBidi"/>
        </w:rPr>
      </w:pPr>
    </w:p>
    <w:p w14:paraId="732BCEE8" w14:textId="2091FB1E" w:rsidR="003A4A1A" w:rsidRDefault="004A65CD" w:rsidP="00BF7E9E">
      <w:pPr>
        <w:pStyle w:val="paragraph"/>
        <w:spacing w:before="0" w:beforeAutospacing="0" w:after="0" w:afterAutospacing="0" w:line="360" w:lineRule="auto"/>
        <w:textAlignment w:val="baseline"/>
        <w:rPr>
          <w:rStyle w:val="normaltextrun"/>
          <w:rFonts w:asciiTheme="majorBidi" w:hAnsiTheme="majorBidi" w:cstheme="majorBidi"/>
          <w:lang w:val="en-US"/>
        </w:rPr>
      </w:pPr>
      <w:r>
        <w:rPr>
          <w:rStyle w:val="normaltextrun"/>
          <w:rFonts w:asciiTheme="majorBidi" w:hAnsiTheme="majorBidi" w:cstheme="majorBidi"/>
        </w:rPr>
        <w:t xml:space="preserve">† </w:t>
      </w:r>
      <w:r w:rsidR="003A4A1A" w:rsidRPr="00A320B9">
        <w:rPr>
          <w:rStyle w:val="normaltextrun"/>
          <w:rFonts w:asciiTheme="majorBidi" w:hAnsiTheme="majorBidi" w:cstheme="majorBidi"/>
        </w:rPr>
        <w:t>Correspondence: </w:t>
      </w:r>
      <w:r w:rsidR="003A4A1A">
        <w:rPr>
          <w:rStyle w:val="normaltextrun"/>
          <w:rFonts w:asciiTheme="majorBidi" w:hAnsiTheme="majorBidi" w:cstheme="majorBidi"/>
        </w:rPr>
        <w:t xml:space="preserve">Karen D </w:t>
      </w:r>
      <w:proofErr w:type="spellStart"/>
      <w:r w:rsidR="003A4A1A">
        <w:rPr>
          <w:rStyle w:val="normaltextrun"/>
          <w:rFonts w:asciiTheme="majorBidi" w:hAnsiTheme="majorBidi" w:cstheme="majorBidi"/>
        </w:rPr>
        <w:t>Ersche</w:t>
      </w:r>
      <w:proofErr w:type="spellEnd"/>
      <w:r w:rsidR="003A4A1A">
        <w:rPr>
          <w:rStyle w:val="spellingerror"/>
          <w:rFonts w:asciiTheme="majorBidi" w:hAnsiTheme="majorBidi" w:cstheme="majorBidi"/>
        </w:rPr>
        <w:t xml:space="preserve">, </w:t>
      </w:r>
      <w:r w:rsidR="003A4A1A" w:rsidRPr="00A320B9">
        <w:rPr>
          <w:rStyle w:val="normaltextrun"/>
          <w:rFonts w:asciiTheme="majorBidi" w:hAnsiTheme="majorBidi" w:cstheme="majorBidi"/>
          <w:lang w:val="en-US"/>
        </w:rPr>
        <w:t xml:space="preserve">Department of </w:t>
      </w:r>
      <w:r w:rsidR="003A4A1A">
        <w:rPr>
          <w:rStyle w:val="normaltextrun"/>
          <w:rFonts w:asciiTheme="majorBidi" w:hAnsiTheme="majorBidi" w:cstheme="majorBidi"/>
          <w:lang w:val="en-US"/>
        </w:rPr>
        <w:t>Psychiatry</w:t>
      </w:r>
      <w:r w:rsidR="003A4A1A" w:rsidRPr="00A320B9">
        <w:rPr>
          <w:rStyle w:val="normaltextrun"/>
          <w:rFonts w:asciiTheme="majorBidi" w:hAnsiTheme="majorBidi" w:cstheme="majorBidi"/>
          <w:lang w:val="en-US"/>
        </w:rPr>
        <w:t xml:space="preserve">, University of Cambridge, Cambridge, </w:t>
      </w:r>
      <w:r w:rsidRPr="0071656D">
        <w:rPr>
          <w:color w:val="000000"/>
          <w:shd w:val="clear" w:color="auto" w:fill="FFFFFF"/>
        </w:rPr>
        <w:t>CB2 0SZ</w:t>
      </w:r>
      <w:r>
        <w:rPr>
          <w:rFonts w:ascii="Arial" w:hAnsi="Arial" w:cs="Arial"/>
          <w:color w:val="000000"/>
          <w:sz w:val="20"/>
          <w:szCs w:val="20"/>
          <w:shd w:val="clear" w:color="auto" w:fill="FFFFFF"/>
        </w:rPr>
        <w:t xml:space="preserve"> </w:t>
      </w:r>
    </w:p>
    <w:p w14:paraId="72AD9277" w14:textId="2FB3719A" w:rsidR="003A4A1A" w:rsidRPr="0071656D" w:rsidRDefault="003A4A1A" w:rsidP="00BF7E9E">
      <w:pPr>
        <w:pStyle w:val="paragraph"/>
        <w:spacing w:before="0" w:beforeAutospacing="0" w:after="0" w:afterAutospacing="0" w:line="360" w:lineRule="auto"/>
        <w:textAlignment w:val="baseline"/>
        <w:rPr>
          <w:rStyle w:val="normaltextrun"/>
          <w:lang w:val="en-US"/>
        </w:rPr>
      </w:pPr>
      <w:r w:rsidRPr="0071656D">
        <w:rPr>
          <w:rStyle w:val="normaltextrun"/>
          <w:lang w:val="en-US"/>
        </w:rPr>
        <w:t>Tel.</w:t>
      </w:r>
      <w:r w:rsidR="004A65CD" w:rsidRPr="00FC4367">
        <w:rPr>
          <w:color w:val="000000"/>
          <w:shd w:val="clear" w:color="auto" w:fill="FFFFFF"/>
        </w:rPr>
        <w:t xml:space="preserve"> +44 (0)1223 </w:t>
      </w:r>
      <w:r w:rsidR="00A76089">
        <w:rPr>
          <w:color w:val="000000"/>
          <w:shd w:val="clear" w:color="auto" w:fill="FFFFFF"/>
        </w:rPr>
        <w:t>336587</w:t>
      </w:r>
      <w:r w:rsidRPr="0071656D">
        <w:rPr>
          <w:rStyle w:val="normaltextrun"/>
          <w:lang w:val="en-US"/>
        </w:rPr>
        <w:t xml:space="preserve">. Fax. </w:t>
      </w:r>
      <w:r w:rsidR="004A65CD" w:rsidRPr="00FC4367">
        <w:rPr>
          <w:color w:val="000000"/>
          <w:shd w:val="clear" w:color="auto" w:fill="FFFFFF"/>
        </w:rPr>
        <w:t>+44 (0)1223 3</w:t>
      </w:r>
      <w:r w:rsidR="00A76089">
        <w:rPr>
          <w:color w:val="000000"/>
          <w:shd w:val="clear" w:color="auto" w:fill="FFFFFF"/>
        </w:rPr>
        <w:t>38581</w:t>
      </w:r>
      <w:r w:rsidR="004A65CD" w:rsidRPr="00FC4367">
        <w:rPr>
          <w:color w:val="000000"/>
          <w:shd w:val="clear" w:color="auto" w:fill="FFFFFF"/>
        </w:rPr>
        <w:t> </w:t>
      </w:r>
    </w:p>
    <w:p w14:paraId="07D8C68F" w14:textId="1AE926FB" w:rsidR="003A4A1A" w:rsidRPr="00A320B9" w:rsidRDefault="003A4A1A" w:rsidP="00BF7E9E">
      <w:pPr>
        <w:pStyle w:val="paragraph"/>
        <w:spacing w:before="0" w:beforeAutospacing="0" w:after="0" w:afterAutospacing="0" w:line="360" w:lineRule="auto"/>
        <w:textAlignment w:val="baseline"/>
        <w:rPr>
          <w:rFonts w:asciiTheme="majorBidi" w:hAnsiTheme="majorBidi" w:cstheme="majorBidi"/>
        </w:rPr>
      </w:pPr>
      <w:r>
        <w:rPr>
          <w:rStyle w:val="normaltextrun"/>
          <w:rFonts w:asciiTheme="majorBidi" w:hAnsiTheme="majorBidi" w:cstheme="majorBidi"/>
          <w:lang w:val="en-US"/>
        </w:rPr>
        <w:t xml:space="preserve">Email. </w:t>
      </w:r>
      <w:r w:rsidRPr="000C3076">
        <w:rPr>
          <w:rStyle w:val="normaltextrun"/>
          <w:rFonts w:asciiTheme="majorBidi" w:hAnsiTheme="majorBidi" w:cstheme="majorBidi"/>
          <w:lang w:val="en-US"/>
        </w:rPr>
        <w:t>ke220@cam.ac.uk</w:t>
      </w:r>
    </w:p>
    <w:p w14:paraId="77937A32" w14:textId="670EF5E6" w:rsidR="003A4A1A" w:rsidRDefault="003A4A1A" w:rsidP="00BF7E9E">
      <w:pPr>
        <w:spacing w:line="360" w:lineRule="auto"/>
        <w:rPr>
          <w:rStyle w:val="normaltextrun"/>
          <w:rFonts w:asciiTheme="majorBidi" w:hAnsiTheme="majorBidi" w:cstheme="majorBidi"/>
          <w:b/>
          <w:bCs/>
          <w:lang w:val="en-US"/>
        </w:rPr>
      </w:pPr>
    </w:p>
    <w:p w14:paraId="43FC5D1C" w14:textId="77777777" w:rsidR="004A65CD" w:rsidRDefault="004A65CD" w:rsidP="00BF7E9E">
      <w:pPr>
        <w:spacing w:line="360" w:lineRule="auto"/>
        <w:rPr>
          <w:rStyle w:val="normaltextrun"/>
          <w:rFonts w:asciiTheme="majorBidi" w:hAnsiTheme="majorBidi" w:cstheme="majorBidi"/>
          <w:b/>
          <w:bCs/>
          <w:lang w:val="en-US"/>
        </w:rPr>
      </w:pPr>
    </w:p>
    <w:p w14:paraId="6FC3B756" w14:textId="77777777" w:rsidR="003A4A1A" w:rsidRPr="00A320B9" w:rsidRDefault="003A4A1A" w:rsidP="00BF7E9E">
      <w:pPr>
        <w:pStyle w:val="paragraph"/>
        <w:spacing w:before="0" w:beforeAutospacing="0" w:after="0" w:afterAutospacing="0" w:line="360" w:lineRule="auto"/>
        <w:textAlignment w:val="baseline"/>
        <w:rPr>
          <w:rFonts w:asciiTheme="majorBidi" w:hAnsiTheme="majorBidi" w:cstheme="majorBidi"/>
        </w:rPr>
      </w:pPr>
      <w:r w:rsidRPr="00A320B9">
        <w:rPr>
          <w:rStyle w:val="normaltextrun"/>
          <w:rFonts w:asciiTheme="majorBidi" w:hAnsiTheme="majorBidi" w:cstheme="majorBidi"/>
        </w:rPr>
        <w:t>Abstract:</w:t>
      </w:r>
      <w:r w:rsidRPr="00A320B9">
        <w:rPr>
          <w:rStyle w:val="eop"/>
          <w:rFonts w:asciiTheme="majorBidi" w:hAnsiTheme="majorBidi" w:cstheme="majorBidi"/>
        </w:rPr>
        <w:t> </w:t>
      </w:r>
      <w:r>
        <w:rPr>
          <w:rStyle w:val="eop"/>
          <w:rFonts w:asciiTheme="majorBidi" w:hAnsiTheme="majorBidi" w:cstheme="majorBidi"/>
        </w:rPr>
        <w:t>250</w:t>
      </w:r>
    </w:p>
    <w:p w14:paraId="425D6317" w14:textId="181474B4" w:rsidR="003A4A1A" w:rsidRPr="00A320B9" w:rsidRDefault="003A4A1A" w:rsidP="00BF7E9E">
      <w:pPr>
        <w:pStyle w:val="paragraph"/>
        <w:spacing w:before="0" w:beforeAutospacing="0" w:after="0" w:afterAutospacing="0" w:line="360" w:lineRule="auto"/>
        <w:textAlignment w:val="baseline"/>
        <w:rPr>
          <w:rFonts w:asciiTheme="majorBidi" w:hAnsiTheme="majorBidi" w:cstheme="majorBidi"/>
        </w:rPr>
      </w:pPr>
      <w:r>
        <w:rPr>
          <w:rStyle w:val="normaltextrun"/>
          <w:rFonts w:asciiTheme="majorBidi" w:hAnsiTheme="majorBidi" w:cstheme="majorBidi"/>
        </w:rPr>
        <w:t>T</w:t>
      </w:r>
      <w:r w:rsidRPr="00A320B9">
        <w:rPr>
          <w:rStyle w:val="normaltextrun"/>
          <w:rFonts w:asciiTheme="majorBidi" w:hAnsiTheme="majorBidi" w:cstheme="majorBidi"/>
        </w:rPr>
        <w:t>ables:</w:t>
      </w:r>
      <w:r w:rsidRPr="00A320B9">
        <w:rPr>
          <w:rStyle w:val="eop"/>
          <w:rFonts w:asciiTheme="majorBidi" w:hAnsiTheme="majorBidi" w:cstheme="majorBidi"/>
        </w:rPr>
        <w:t> </w:t>
      </w:r>
      <w:r w:rsidR="001679DF">
        <w:rPr>
          <w:rStyle w:val="eop"/>
          <w:rFonts w:asciiTheme="majorBidi" w:hAnsiTheme="majorBidi" w:cstheme="majorBidi"/>
        </w:rPr>
        <w:t>2</w:t>
      </w:r>
    </w:p>
    <w:p w14:paraId="13AF4525" w14:textId="3EEDB765" w:rsidR="003A4A1A" w:rsidRDefault="003A4A1A" w:rsidP="00BF7E9E">
      <w:pPr>
        <w:pStyle w:val="paragraph"/>
        <w:spacing w:before="0" w:beforeAutospacing="0" w:after="0" w:afterAutospacing="0" w:line="360" w:lineRule="auto"/>
        <w:textAlignment w:val="baseline"/>
        <w:rPr>
          <w:rStyle w:val="eop"/>
          <w:rFonts w:asciiTheme="majorBidi" w:hAnsiTheme="majorBidi" w:cstheme="majorBidi"/>
        </w:rPr>
      </w:pPr>
      <w:r w:rsidRPr="00A320B9">
        <w:rPr>
          <w:rStyle w:val="normaltextrun"/>
          <w:rFonts w:asciiTheme="majorBidi" w:hAnsiTheme="majorBidi" w:cstheme="majorBidi"/>
        </w:rPr>
        <w:t>Figures:</w:t>
      </w:r>
      <w:r w:rsidRPr="00A320B9">
        <w:rPr>
          <w:rStyle w:val="eop"/>
          <w:rFonts w:asciiTheme="majorBidi" w:hAnsiTheme="majorBidi" w:cstheme="majorBidi"/>
        </w:rPr>
        <w:t> </w:t>
      </w:r>
      <w:r w:rsidR="001114BC">
        <w:rPr>
          <w:rStyle w:val="eop"/>
          <w:rFonts w:asciiTheme="majorBidi" w:hAnsiTheme="majorBidi" w:cstheme="majorBidi"/>
        </w:rPr>
        <w:t>3</w:t>
      </w:r>
    </w:p>
    <w:p w14:paraId="40A166F9" w14:textId="4FADD2CB" w:rsidR="00EE56EB" w:rsidRDefault="00EE56EB" w:rsidP="00BF7E9E">
      <w:pPr>
        <w:pStyle w:val="paragraph"/>
        <w:spacing w:before="0" w:beforeAutospacing="0" w:after="0" w:afterAutospacing="0" w:line="360" w:lineRule="auto"/>
        <w:textAlignment w:val="baseline"/>
        <w:rPr>
          <w:rStyle w:val="eop"/>
          <w:rFonts w:asciiTheme="majorBidi" w:hAnsiTheme="majorBidi" w:cstheme="majorBidi"/>
        </w:rPr>
      </w:pPr>
      <w:r>
        <w:rPr>
          <w:rStyle w:val="eop"/>
          <w:rFonts w:asciiTheme="majorBidi" w:hAnsiTheme="majorBidi" w:cstheme="majorBidi"/>
        </w:rPr>
        <w:t>Supplementary Figures:</w:t>
      </w:r>
      <w:r w:rsidR="00CA2388">
        <w:rPr>
          <w:rStyle w:val="eop"/>
          <w:rFonts w:asciiTheme="majorBidi" w:hAnsiTheme="majorBidi" w:cstheme="majorBidi"/>
        </w:rPr>
        <w:t xml:space="preserve"> </w:t>
      </w:r>
      <w:r w:rsidR="00AD3F3D">
        <w:rPr>
          <w:rStyle w:val="eop"/>
          <w:rFonts w:asciiTheme="majorBidi" w:hAnsiTheme="majorBidi" w:cstheme="majorBidi"/>
        </w:rPr>
        <w:t>4</w:t>
      </w:r>
    </w:p>
    <w:p w14:paraId="59A516EF" w14:textId="023633F8" w:rsidR="003A4A1A" w:rsidRDefault="00EE56EB" w:rsidP="00BF7E9E">
      <w:pPr>
        <w:pStyle w:val="paragraph"/>
        <w:spacing w:before="0" w:beforeAutospacing="0" w:after="0" w:afterAutospacing="0" w:line="360" w:lineRule="auto"/>
        <w:textAlignment w:val="baseline"/>
        <w:rPr>
          <w:b/>
          <w:bCs/>
        </w:rPr>
      </w:pPr>
      <w:r>
        <w:rPr>
          <w:rStyle w:val="eop"/>
          <w:rFonts w:asciiTheme="majorBidi" w:hAnsiTheme="majorBidi" w:cstheme="majorBidi"/>
        </w:rPr>
        <w:t>Supplementary Tables:</w:t>
      </w:r>
      <w:r w:rsidR="00273117">
        <w:rPr>
          <w:rStyle w:val="eop"/>
          <w:rFonts w:asciiTheme="majorBidi" w:hAnsiTheme="majorBidi" w:cstheme="majorBidi"/>
        </w:rPr>
        <w:t xml:space="preserve"> 3</w:t>
      </w:r>
      <w:r w:rsidR="003A4A1A">
        <w:rPr>
          <w:b/>
          <w:bCs/>
        </w:rPr>
        <w:br w:type="page"/>
      </w:r>
    </w:p>
    <w:p w14:paraId="600BF34D" w14:textId="7EA46650" w:rsidR="00AD324C" w:rsidRPr="000B7DB7" w:rsidRDefault="00243698" w:rsidP="000B7DB7">
      <w:pPr>
        <w:pStyle w:val="Heading1"/>
      </w:pPr>
      <w:r w:rsidRPr="000B7DB7">
        <w:lastRenderedPageBreak/>
        <w:t>ABSTRACT</w:t>
      </w:r>
    </w:p>
    <w:p w14:paraId="25C36326" w14:textId="47559B5B" w:rsidR="00D25E5E" w:rsidRDefault="00F63D84" w:rsidP="00BF7E9E">
      <w:pPr>
        <w:spacing w:line="360" w:lineRule="auto"/>
        <w:rPr>
          <w:rFonts w:ascii="Times New Roman" w:hAnsi="Times New Roman" w:cs="Times New Roman"/>
          <w:sz w:val="24"/>
          <w:szCs w:val="24"/>
        </w:rPr>
      </w:pPr>
      <w:r>
        <w:rPr>
          <w:rFonts w:ascii="Times New Roman" w:hAnsi="Times New Roman" w:cs="Times New Roman"/>
          <w:sz w:val="24"/>
          <w:szCs w:val="24"/>
        </w:rPr>
        <w:t xml:space="preserve">Background: </w:t>
      </w:r>
      <w:r w:rsidR="00820F6D">
        <w:rPr>
          <w:rFonts w:ascii="Times New Roman" w:hAnsi="Times New Roman" w:cs="Times New Roman"/>
          <w:sz w:val="24"/>
          <w:szCs w:val="24"/>
        </w:rPr>
        <w:t xml:space="preserve">Impaired response inhibition in individuals </w:t>
      </w:r>
      <w:r w:rsidR="009802EA">
        <w:rPr>
          <w:rFonts w:ascii="Times New Roman" w:hAnsi="Times New Roman" w:cs="Times New Roman"/>
          <w:sz w:val="24"/>
          <w:szCs w:val="24"/>
        </w:rPr>
        <w:t>with cocaine use disorder (CUD)</w:t>
      </w:r>
      <w:r w:rsidR="00820F6D">
        <w:rPr>
          <w:rFonts w:ascii="Times New Roman" w:hAnsi="Times New Roman" w:cs="Times New Roman"/>
          <w:sz w:val="24"/>
          <w:szCs w:val="24"/>
        </w:rPr>
        <w:t xml:space="preserve"> </w:t>
      </w:r>
      <w:r w:rsidR="00B35B44">
        <w:rPr>
          <w:rFonts w:ascii="Times New Roman" w:hAnsi="Times New Roman" w:cs="Times New Roman"/>
          <w:sz w:val="24"/>
          <w:szCs w:val="24"/>
        </w:rPr>
        <w:t xml:space="preserve">is </w:t>
      </w:r>
      <w:r w:rsidR="000D5110">
        <w:rPr>
          <w:rFonts w:ascii="Times New Roman" w:hAnsi="Times New Roman" w:cs="Times New Roman"/>
          <w:sz w:val="24"/>
          <w:szCs w:val="24"/>
        </w:rPr>
        <w:t xml:space="preserve">hypothesised to depend on </w:t>
      </w:r>
      <w:r w:rsidR="00820F6D">
        <w:rPr>
          <w:rFonts w:ascii="Times New Roman" w:hAnsi="Times New Roman" w:cs="Times New Roman"/>
          <w:sz w:val="24"/>
          <w:szCs w:val="24"/>
        </w:rPr>
        <w:t xml:space="preserve">deficient noradrenergic signalling in cortico-striatal networks. </w:t>
      </w:r>
      <w:r w:rsidR="00C90B1F">
        <w:rPr>
          <w:rFonts w:ascii="Times New Roman" w:hAnsi="Times New Roman" w:cs="Times New Roman"/>
          <w:sz w:val="24"/>
          <w:szCs w:val="24"/>
        </w:rPr>
        <w:t>R</w:t>
      </w:r>
      <w:r w:rsidR="00820F6D">
        <w:rPr>
          <w:rFonts w:ascii="Times New Roman" w:hAnsi="Times New Roman" w:cs="Times New Roman"/>
          <w:sz w:val="24"/>
          <w:szCs w:val="24"/>
        </w:rPr>
        <w:t xml:space="preserve">emediation of </w:t>
      </w:r>
      <w:r w:rsidR="00AB5504">
        <w:rPr>
          <w:rFonts w:ascii="Times New Roman" w:hAnsi="Times New Roman" w:cs="Times New Roman"/>
          <w:sz w:val="24"/>
          <w:szCs w:val="24"/>
        </w:rPr>
        <w:t>noradren</w:t>
      </w:r>
      <w:r w:rsidR="004A65CD">
        <w:rPr>
          <w:rFonts w:ascii="Times New Roman" w:hAnsi="Times New Roman" w:cs="Times New Roman"/>
          <w:sz w:val="24"/>
          <w:szCs w:val="24"/>
        </w:rPr>
        <w:t xml:space="preserve">ergic </w:t>
      </w:r>
      <w:r w:rsidR="00057D4E" w:rsidRPr="00BF06E6">
        <w:rPr>
          <w:rFonts w:ascii="Times New Roman" w:hAnsi="Times New Roman" w:cs="Times New Roman"/>
          <w:sz w:val="24"/>
          <w:szCs w:val="24"/>
        </w:rPr>
        <w:t xml:space="preserve">neurotransmission </w:t>
      </w:r>
      <w:r w:rsidR="009802EA">
        <w:rPr>
          <w:rFonts w:ascii="Times New Roman" w:hAnsi="Times New Roman" w:cs="Times New Roman"/>
          <w:sz w:val="24"/>
          <w:szCs w:val="24"/>
        </w:rPr>
        <w:t xml:space="preserve">with </w:t>
      </w:r>
      <w:r w:rsidR="009802EA" w:rsidRPr="00BF06E6">
        <w:rPr>
          <w:rFonts w:ascii="Times New Roman" w:hAnsi="Times New Roman" w:cs="Times New Roman"/>
          <w:sz w:val="24"/>
          <w:szCs w:val="24"/>
        </w:rPr>
        <w:t xml:space="preserve">selective </w:t>
      </w:r>
      <w:r w:rsidR="00672702">
        <w:rPr>
          <w:rFonts w:ascii="Times New Roman" w:hAnsi="Times New Roman" w:cs="Times New Roman"/>
          <w:sz w:val="24"/>
          <w:szCs w:val="24"/>
        </w:rPr>
        <w:t>norepinephrine</w:t>
      </w:r>
      <w:r w:rsidR="00672702" w:rsidRPr="00BF06E6">
        <w:rPr>
          <w:rFonts w:ascii="Times New Roman" w:hAnsi="Times New Roman" w:cs="Times New Roman"/>
          <w:sz w:val="24"/>
          <w:szCs w:val="24"/>
        </w:rPr>
        <w:t xml:space="preserve"> </w:t>
      </w:r>
      <w:r w:rsidR="009802EA" w:rsidRPr="00BF06E6">
        <w:rPr>
          <w:rFonts w:ascii="Times New Roman" w:hAnsi="Times New Roman" w:cs="Times New Roman"/>
          <w:sz w:val="24"/>
          <w:szCs w:val="24"/>
        </w:rPr>
        <w:t>reuptake inhibitor</w:t>
      </w:r>
      <w:r w:rsidR="00820F6D">
        <w:rPr>
          <w:rFonts w:ascii="Times New Roman" w:hAnsi="Times New Roman" w:cs="Times New Roman"/>
          <w:sz w:val="24"/>
          <w:szCs w:val="24"/>
        </w:rPr>
        <w:t>s</w:t>
      </w:r>
      <w:r w:rsidR="009802EA" w:rsidRPr="00BF06E6">
        <w:rPr>
          <w:rFonts w:ascii="Times New Roman" w:hAnsi="Times New Roman" w:cs="Times New Roman"/>
          <w:sz w:val="24"/>
          <w:szCs w:val="24"/>
        </w:rPr>
        <w:t xml:space="preserve"> </w:t>
      </w:r>
      <w:r w:rsidR="00820F6D">
        <w:rPr>
          <w:rFonts w:ascii="Times New Roman" w:hAnsi="Times New Roman" w:cs="Times New Roman"/>
          <w:sz w:val="24"/>
          <w:szCs w:val="24"/>
        </w:rPr>
        <w:t xml:space="preserve">such as </w:t>
      </w:r>
      <w:r w:rsidR="009802EA">
        <w:rPr>
          <w:rFonts w:ascii="Times New Roman" w:hAnsi="Times New Roman" w:cs="Times New Roman"/>
          <w:sz w:val="24"/>
          <w:szCs w:val="24"/>
        </w:rPr>
        <w:t xml:space="preserve">atomoxetine </w:t>
      </w:r>
      <w:r w:rsidR="00820F6D">
        <w:rPr>
          <w:rFonts w:ascii="Times New Roman" w:hAnsi="Times New Roman" w:cs="Times New Roman"/>
          <w:sz w:val="24"/>
          <w:szCs w:val="24"/>
        </w:rPr>
        <w:t xml:space="preserve">may </w:t>
      </w:r>
      <w:r w:rsidR="00C90B1F">
        <w:rPr>
          <w:rFonts w:ascii="Times New Roman" w:hAnsi="Times New Roman" w:cs="Times New Roman"/>
          <w:sz w:val="24"/>
          <w:szCs w:val="24"/>
        </w:rPr>
        <w:t xml:space="preserve">therefore </w:t>
      </w:r>
      <w:r w:rsidR="00820F6D">
        <w:rPr>
          <w:rFonts w:ascii="Times New Roman" w:hAnsi="Times New Roman" w:cs="Times New Roman"/>
          <w:sz w:val="24"/>
          <w:szCs w:val="24"/>
        </w:rPr>
        <w:t xml:space="preserve">have clinical utility to improve response inhibitory control in CUD. </w:t>
      </w:r>
      <w:r w:rsidR="009802EA">
        <w:rPr>
          <w:rFonts w:ascii="Times New Roman" w:hAnsi="Times New Roman" w:cs="Times New Roman"/>
          <w:sz w:val="24"/>
          <w:szCs w:val="24"/>
        </w:rPr>
        <w:t xml:space="preserve"> </w:t>
      </w:r>
      <w:r w:rsidR="00C6449A" w:rsidRPr="00BF06E6">
        <w:rPr>
          <w:rFonts w:ascii="Times New Roman" w:hAnsi="Times New Roman" w:cs="Times New Roman"/>
          <w:sz w:val="24"/>
          <w:szCs w:val="24"/>
        </w:rPr>
        <w:t xml:space="preserve"> </w:t>
      </w:r>
    </w:p>
    <w:p w14:paraId="32B37F4B" w14:textId="5BA17B4F" w:rsidR="00E84DE4" w:rsidRDefault="00F63D84" w:rsidP="00BF7E9E">
      <w:pPr>
        <w:spacing w:line="360" w:lineRule="auto"/>
        <w:rPr>
          <w:rFonts w:ascii="Times New Roman" w:hAnsi="Times New Roman" w:cs="Times New Roman"/>
          <w:sz w:val="24"/>
          <w:szCs w:val="24"/>
        </w:rPr>
      </w:pPr>
      <w:r>
        <w:rPr>
          <w:rFonts w:ascii="Times New Roman" w:hAnsi="Times New Roman" w:cs="Times New Roman"/>
          <w:sz w:val="24"/>
          <w:szCs w:val="24"/>
        </w:rPr>
        <w:t xml:space="preserve">Methods: </w:t>
      </w:r>
      <w:r w:rsidR="00820F6D">
        <w:rPr>
          <w:rFonts w:ascii="Times New Roman" w:hAnsi="Times New Roman" w:cs="Times New Roman"/>
          <w:sz w:val="24"/>
          <w:szCs w:val="24"/>
        </w:rPr>
        <w:t xml:space="preserve">We carried out a </w:t>
      </w:r>
      <w:r w:rsidR="00D25E5E" w:rsidRPr="00D25E5E">
        <w:rPr>
          <w:rFonts w:ascii="Times New Roman" w:hAnsi="Times New Roman" w:cs="Times New Roman"/>
          <w:sz w:val="24"/>
          <w:szCs w:val="24"/>
        </w:rPr>
        <w:t xml:space="preserve">randomised, double-blind, placebo-controlled, crossover </w:t>
      </w:r>
      <w:r w:rsidR="00820F6D">
        <w:rPr>
          <w:rFonts w:ascii="Times New Roman" w:hAnsi="Times New Roman" w:cs="Times New Roman"/>
          <w:sz w:val="24"/>
          <w:szCs w:val="24"/>
        </w:rPr>
        <w:t xml:space="preserve">study </w:t>
      </w:r>
      <w:r w:rsidR="00D25E5E" w:rsidRPr="00D25E5E">
        <w:rPr>
          <w:rFonts w:ascii="Times New Roman" w:hAnsi="Times New Roman" w:cs="Times New Roman"/>
          <w:sz w:val="24"/>
          <w:szCs w:val="24"/>
        </w:rPr>
        <w:t xml:space="preserve">with </w:t>
      </w:r>
      <w:r w:rsidR="0082047D">
        <w:rPr>
          <w:rFonts w:ascii="Times New Roman" w:hAnsi="Times New Roman" w:cs="Times New Roman"/>
          <w:sz w:val="24"/>
          <w:szCs w:val="24"/>
        </w:rPr>
        <w:t>26</w:t>
      </w:r>
      <w:r w:rsidR="00D25E5E" w:rsidRPr="00D25E5E">
        <w:rPr>
          <w:rFonts w:ascii="Times New Roman" w:hAnsi="Times New Roman" w:cs="Times New Roman"/>
          <w:sz w:val="24"/>
          <w:szCs w:val="24"/>
        </w:rPr>
        <w:t xml:space="preserve"> CUD </w:t>
      </w:r>
      <w:r w:rsidR="009802EA">
        <w:rPr>
          <w:rFonts w:ascii="Times New Roman" w:hAnsi="Times New Roman" w:cs="Times New Roman"/>
          <w:sz w:val="24"/>
          <w:szCs w:val="24"/>
        </w:rPr>
        <w:t xml:space="preserve">participants </w:t>
      </w:r>
      <w:r w:rsidR="00D25E5E" w:rsidRPr="00D25E5E">
        <w:rPr>
          <w:rFonts w:ascii="Times New Roman" w:hAnsi="Times New Roman" w:cs="Times New Roman"/>
          <w:sz w:val="24"/>
          <w:szCs w:val="24"/>
        </w:rPr>
        <w:t xml:space="preserve">and </w:t>
      </w:r>
      <w:r w:rsidR="0082047D">
        <w:rPr>
          <w:rFonts w:ascii="Times New Roman" w:hAnsi="Times New Roman" w:cs="Times New Roman"/>
          <w:sz w:val="24"/>
          <w:szCs w:val="24"/>
        </w:rPr>
        <w:t>28</w:t>
      </w:r>
      <w:r w:rsidR="009802EA">
        <w:rPr>
          <w:rFonts w:ascii="Times New Roman" w:hAnsi="Times New Roman" w:cs="Times New Roman"/>
          <w:sz w:val="24"/>
          <w:szCs w:val="24"/>
        </w:rPr>
        <w:t xml:space="preserve"> </w:t>
      </w:r>
      <w:r w:rsidR="00D25E5E" w:rsidRPr="00D25E5E">
        <w:rPr>
          <w:rFonts w:ascii="Times New Roman" w:hAnsi="Times New Roman" w:cs="Times New Roman"/>
          <w:sz w:val="24"/>
          <w:szCs w:val="24"/>
        </w:rPr>
        <w:t>control</w:t>
      </w:r>
      <w:r w:rsidR="00D25E5E">
        <w:rPr>
          <w:rFonts w:ascii="Times New Roman" w:hAnsi="Times New Roman" w:cs="Times New Roman"/>
          <w:sz w:val="24"/>
          <w:szCs w:val="24"/>
        </w:rPr>
        <w:t xml:space="preserve"> </w:t>
      </w:r>
      <w:r w:rsidR="009802EA">
        <w:rPr>
          <w:rFonts w:ascii="Times New Roman" w:hAnsi="Times New Roman" w:cs="Times New Roman"/>
          <w:sz w:val="24"/>
          <w:szCs w:val="24"/>
        </w:rPr>
        <w:t>volunteers</w:t>
      </w:r>
      <w:r w:rsidR="00D25E5E" w:rsidRPr="00D25E5E">
        <w:rPr>
          <w:rFonts w:ascii="Times New Roman" w:hAnsi="Times New Roman" w:cs="Times New Roman"/>
          <w:sz w:val="24"/>
          <w:szCs w:val="24"/>
        </w:rPr>
        <w:t xml:space="preserve"> </w:t>
      </w:r>
      <w:r w:rsidR="00E84DE4">
        <w:rPr>
          <w:rFonts w:ascii="Times New Roman" w:hAnsi="Times New Roman" w:cs="Times New Roman"/>
          <w:sz w:val="24"/>
          <w:szCs w:val="24"/>
        </w:rPr>
        <w:t>investigating</w:t>
      </w:r>
      <w:r w:rsidR="00820F6D">
        <w:rPr>
          <w:rFonts w:ascii="Times New Roman" w:hAnsi="Times New Roman" w:cs="Times New Roman"/>
          <w:sz w:val="24"/>
          <w:szCs w:val="24"/>
        </w:rPr>
        <w:t xml:space="preserve"> the neural substrates of stop-signal inhibitory control. The </w:t>
      </w:r>
      <w:r w:rsidR="00D25E5E" w:rsidRPr="00BF06E6">
        <w:rPr>
          <w:rFonts w:ascii="Times New Roman" w:hAnsi="Times New Roman" w:cs="Times New Roman"/>
          <w:sz w:val="24"/>
          <w:szCs w:val="24"/>
        </w:rPr>
        <w:t xml:space="preserve">effects of a single dose of atomoxetine </w:t>
      </w:r>
      <w:r w:rsidR="00820F6D">
        <w:rPr>
          <w:rFonts w:ascii="Times New Roman" w:hAnsi="Times New Roman" w:cs="Times New Roman"/>
          <w:sz w:val="24"/>
          <w:szCs w:val="24"/>
        </w:rPr>
        <w:t xml:space="preserve">(40 mg) </w:t>
      </w:r>
      <w:r w:rsidR="00E84DE4">
        <w:rPr>
          <w:rFonts w:ascii="Times New Roman" w:hAnsi="Times New Roman" w:cs="Times New Roman"/>
          <w:sz w:val="24"/>
          <w:szCs w:val="24"/>
        </w:rPr>
        <w:t>were</w:t>
      </w:r>
      <w:r w:rsidR="00820F6D">
        <w:rPr>
          <w:rFonts w:ascii="Times New Roman" w:hAnsi="Times New Roman" w:cs="Times New Roman"/>
          <w:sz w:val="24"/>
          <w:szCs w:val="24"/>
        </w:rPr>
        <w:t xml:space="preserve"> </w:t>
      </w:r>
      <w:r w:rsidR="009802EA">
        <w:rPr>
          <w:rFonts w:ascii="Times New Roman" w:hAnsi="Times New Roman" w:cs="Times New Roman"/>
          <w:sz w:val="24"/>
          <w:szCs w:val="24"/>
        </w:rPr>
        <w:t xml:space="preserve">compared </w:t>
      </w:r>
      <w:r w:rsidR="00E84DE4">
        <w:rPr>
          <w:rFonts w:ascii="Times New Roman" w:hAnsi="Times New Roman" w:cs="Times New Roman"/>
          <w:sz w:val="24"/>
          <w:szCs w:val="24"/>
        </w:rPr>
        <w:t>with</w:t>
      </w:r>
      <w:r w:rsidR="00820F6D">
        <w:rPr>
          <w:rFonts w:ascii="Times New Roman" w:hAnsi="Times New Roman" w:cs="Times New Roman"/>
          <w:sz w:val="24"/>
          <w:szCs w:val="24"/>
        </w:rPr>
        <w:t xml:space="preserve"> placebo on stop-signal reaction time </w:t>
      </w:r>
      <w:r w:rsidR="00B35B44">
        <w:rPr>
          <w:rFonts w:ascii="Times New Roman" w:hAnsi="Times New Roman" w:cs="Times New Roman"/>
          <w:sz w:val="24"/>
          <w:szCs w:val="24"/>
        </w:rPr>
        <w:t xml:space="preserve">performance </w:t>
      </w:r>
      <w:r w:rsidR="00820F6D">
        <w:rPr>
          <w:rFonts w:ascii="Times New Roman" w:hAnsi="Times New Roman" w:cs="Times New Roman"/>
          <w:sz w:val="24"/>
          <w:szCs w:val="24"/>
        </w:rPr>
        <w:t xml:space="preserve">and </w:t>
      </w:r>
      <w:r w:rsidR="009802EA">
        <w:rPr>
          <w:rFonts w:ascii="Times New Roman" w:hAnsi="Times New Roman" w:cs="Times New Roman"/>
          <w:sz w:val="24"/>
          <w:szCs w:val="24"/>
        </w:rPr>
        <w:t>function</w:t>
      </w:r>
      <w:r w:rsidR="000D5110">
        <w:rPr>
          <w:rFonts w:ascii="Times New Roman" w:hAnsi="Times New Roman" w:cs="Times New Roman"/>
          <w:sz w:val="24"/>
          <w:szCs w:val="24"/>
        </w:rPr>
        <w:t xml:space="preserve">al network </w:t>
      </w:r>
      <w:r w:rsidR="00D25E5E" w:rsidRPr="00BF06E6">
        <w:rPr>
          <w:rFonts w:ascii="Times New Roman" w:hAnsi="Times New Roman" w:cs="Times New Roman"/>
          <w:sz w:val="24"/>
          <w:szCs w:val="24"/>
        </w:rPr>
        <w:t xml:space="preserve">connectivity </w:t>
      </w:r>
      <w:r w:rsidR="000D5110">
        <w:rPr>
          <w:rFonts w:ascii="Times New Roman" w:hAnsi="Times New Roman" w:cs="Times New Roman"/>
          <w:sz w:val="24"/>
          <w:szCs w:val="24"/>
        </w:rPr>
        <w:t>using dynamic causal modelling.</w:t>
      </w:r>
    </w:p>
    <w:p w14:paraId="54468AC9" w14:textId="77777777" w:rsidR="00FE44F1" w:rsidRDefault="00F63D84" w:rsidP="00BF7E9E">
      <w:pPr>
        <w:spacing w:line="360" w:lineRule="auto"/>
        <w:rPr>
          <w:rFonts w:ascii="Times New Roman" w:hAnsi="Times New Roman" w:cs="Times New Roman"/>
          <w:sz w:val="24"/>
          <w:szCs w:val="24"/>
        </w:rPr>
      </w:pPr>
      <w:r>
        <w:rPr>
          <w:rFonts w:ascii="Times New Roman" w:hAnsi="Times New Roman" w:cs="Times New Roman"/>
          <w:sz w:val="24"/>
          <w:szCs w:val="24"/>
        </w:rPr>
        <w:t xml:space="preserve">Results: </w:t>
      </w:r>
      <w:r w:rsidR="000D5110">
        <w:rPr>
          <w:rFonts w:ascii="Times New Roman" w:hAnsi="Times New Roman" w:cs="Times New Roman"/>
          <w:sz w:val="24"/>
          <w:szCs w:val="24"/>
        </w:rPr>
        <w:t xml:space="preserve">We found that atomoxetine speeded </w:t>
      </w:r>
      <w:r w:rsidR="00EC489E">
        <w:rPr>
          <w:rFonts w:ascii="Times New Roman" w:hAnsi="Times New Roman" w:cs="Times New Roman"/>
          <w:sz w:val="24"/>
          <w:szCs w:val="24"/>
        </w:rPr>
        <w:t xml:space="preserve">Go </w:t>
      </w:r>
      <w:r w:rsidR="004C3123">
        <w:rPr>
          <w:rFonts w:ascii="Times New Roman" w:hAnsi="Times New Roman" w:cs="Times New Roman"/>
          <w:sz w:val="24"/>
          <w:szCs w:val="24"/>
        </w:rPr>
        <w:t xml:space="preserve">response times </w:t>
      </w:r>
      <w:r w:rsidR="000D5110">
        <w:rPr>
          <w:rFonts w:ascii="Times New Roman" w:hAnsi="Times New Roman" w:cs="Times New Roman"/>
          <w:sz w:val="24"/>
          <w:szCs w:val="24"/>
        </w:rPr>
        <w:t>in both control and CUD</w:t>
      </w:r>
      <w:r w:rsidR="007D2814">
        <w:rPr>
          <w:rFonts w:ascii="Times New Roman" w:hAnsi="Times New Roman" w:cs="Times New Roman"/>
          <w:sz w:val="24"/>
          <w:szCs w:val="24"/>
        </w:rPr>
        <w:t xml:space="preserve"> participants</w:t>
      </w:r>
      <w:r w:rsidR="000D5110">
        <w:rPr>
          <w:rFonts w:ascii="Times New Roman" w:hAnsi="Times New Roman" w:cs="Times New Roman"/>
          <w:sz w:val="24"/>
          <w:szCs w:val="24"/>
        </w:rPr>
        <w:t xml:space="preserve">. </w:t>
      </w:r>
      <w:r w:rsidR="007D2814">
        <w:rPr>
          <w:rFonts w:ascii="Times New Roman" w:hAnsi="Times New Roman" w:cs="Times New Roman"/>
          <w:sz w:val="24"/>
          <w:szCs w:val="24"/>
        </w:rPr>
        <w:t>Improvements in stopping efficiency on atomoxetine were conditional on baseline</w:t>
      </w:r>
      <w:r w:rsidR="00954E88">
        <w:rPr>
          <w:rFonts w:ascii="Times New Roman" w:hAnsi="Times New Roman" w:cs="Times New Roman"/>
          <w:sz w:val="24"/>
          <w:szCs w:val="24"/>
        </w:rPr>
        <w:t xml:space="preserve"> (</w:t>
      </w:r>
      <w:r w:rsidR="00A71299">
        <w:rPr>
          <w:rFonts w:ascii="Times New Roman" w:hAnsi="Times New Roman" w:cs="Times New Roman"/>
          <w:sz w:val="24"/>
          <w:szCs w:val="24"/>
        </w:rPr>
        <w:t>placebo</w:t>
      </w:r>
      <w:r w:rsidR="00954E88">
        <w:rPr>
          <w:rFonts w:ascii="Times New Roman" w:hAnsi="Times New Roman" w:cs="Times New Roman"/>
          <w:sz w:val="24"/>
          <w:szCs w:val="24"/>
        </w:rPr>
        <w:t>)</w:t>
      </w:r>
      <w:r w:rsidR="007D2814">
        <w:rPr>
          <w:rFonts w:ascii="Times New Roman" w:hAnsi="Times New Roman" w:cs="Times New Roman"/>
          <w:sz w:val="24"/>
          <w:szCs w:val="24"/>
        </w:rPr>
        <w:t xml:space="preserve"> stopping performance and </w:t>
      </w:r>
      <w:r w:rsidR="006131E5">
        <w:rPr>
          <w:rFonts w:ascii="Times New Roman" w:hAnsi="Times New Roman" w:cs="Times New Roman"/>
          <w:sz w:val="24"/>
          <w:szCs w:val="24"/>
        </w:rPr>
        <w:t xml:space="preserve">were </w:t>
      </w:r>
      <w:r w:rsidR="003D4CDF">
        <w:rPr>
          <w:rFonts w:ascii="Times New Roman" w:hAnsi="Times New Roman" w:cs="Times New Roman"/>
          <w:sz w:val="24"/>
          <w:szCs w:val="24"/>
        </w:rPr>
        <w:t xml:space="preserve">directly </w:t>
      </w:r>
      <w:r w:rsidR="006131E5">
        <w:rPr>
          <w:rFonts w:ascii="Times New Roman" w:hAnsi="Times New Roman" w:cs="Times New Roman"/>
          <w:sz w:val="24"/>
          <w:szCs w:val="24"/>
        </w:rPr>
        <w:t xml:space="preserve">associated with </w:t>
      </w:r>
      <w:r w:rsidR="007D2814">
        <w:rPr>
          <w:rFonts w:ascii="Times New Roman" w:hAnsi="Times New Roman" w:cs="Times New Roman"/>
          <w:sz w:val="24"/>
          <w:szCs w:val="24"/>
        </w:rPr>
        <w:t xml:space="preserve">increased </w:t>
      </w:r>
      <w:r w:rsidR="00C11AD4">
        <w:rPr>
          <w:rFonts w:ascii="Times New Roman" w:hAnsi="Times New Roman" w:cs="Times New Roman"/>
          <w:sz w:val="24"/>
          <w:szCs w:val="24"/>
        </w:rPr>
        <w:t>inferior frontal gyrus</w:t>
      </w:r>
      <w:r w:rsidR="007D2814">
        <w:rPr>
          <w:rFonts w:ascii="Times New Roman" w:hAnsi="Times New Roman" w:cs="Times New Roman"/>
          <w:sz w:val="24"/>
          <w:szCs w:val="24"/>
        </w:rPr>
        <w:t xml:space="preserve"> activation. Further, stopping performance, task-based brain activation and effective connectivity were similar in the two groups. Dynamic causal modelling of effective connectivity of </w:t>
      </w:r>
      <w:r w:rsidR="007D2814" w:rsidRPr="006A15EE">
        <w:rPr>
          <w:rFonts w:ascii="Times New Roman" w:hAnsi="Times New Roman" w:cs="Times New Roman"/>
          <w:sz w:val="24"/>
          <w:szCs w:val="24"/>
        </w:rPr>
        <w:t xml:space="preserve">multiple </w:t>
      </w:r>
      <w:r w:rsidR="007D2814">
        <w:rPr>
          <w:rFonts w:ascii="Times New Roman" w:hAnsi="Times New Roman" w:cs="Times New Roman"/>
          <w:sz w:val="24"/>
          <w:szCs w:val="24"/>
        </w:rPr>
        <w:t>prefrontal and basal ganglia regions replicated and extended previous models of network function underlying inhibitory control to CUD</w:t>
      </w:r>
      <w:r w:rsidR="007931B1">
        <w:rPr>
          <w:rFonts w:ascii="Times New Roman" w:hAnsi="Times New Roman" w:cs="Times New Roman"/>
          <w:sz w:val="24"/>
          <w:szCs w:val="24"/>
        </w:rPr>
        <w:t xml:space="preserve"> </w:t>
      </w:r>
      <w:r w:rsidR="00D62E6D">
        <w:rPr>
          <w:rFonts w:ascii="Times New Roman" w:hAnsi="Times New Roman" w:cs="Times New Roman"/>
          <w:sz w:val="24"/>
          <w:szCs w:val="24"/>
        </w:rPr>
        <w:t>and control volunteers</w:t>
      </w:r>
      <w:r w:rsidR="00C33623">
        <w:rPr>
          <w:rFonts w:ascii="Times New Roman" w:hAnsi="Times New Roman" w:cs="Times New Roman"/>
          <w:sz w:val="24"/>
          <w:szCs w:val="24"/>
        </w:rPr>
        <w:t xml:space="preserve"> </w:t>
      </w:r>
      <w:r w:rsidR="007931B1">
        <w:rPr>
          <w:rFonts w:ascii="Times New Roman" w:hAnsi="Times New Roman" w:cs="Times New Roman"/>
          <w:sz w:val="24"/>
          <w:szCs w:val="24"/>
        </w:rPr>
        <w:t xml:space="preserve">and showed </w:t>
      </w:r>
      <w:r w:rsidR="003B37CD">
        <w:rPr>
          <w:rFonts w:ascii="Times New Roman" w:hAnsi="Times New Roman" w:cs="Times New Roman"/>
          <w:sz w:val="24"/>
          <w:szCs w:val="24"/>
        </w:rPr>
        <w:t>subtle effects of atomoxetine on prefrontal-basal ganglia interactions</w:t>
      </w:r>
      <w:r w:rsidR="007D2814">
        <w:rPr>
          <w:rFonts w:ascii="Times New Roman" w:hAnsi="Times New Roman" w:cs="Times New Roman"/>
          <w:sz w:val="24"/>
          <w:szCs w:val="24"/>
        </w:rPr>
        <w:t xml:space="preserve">. </w:t>
      </w:r>
    </w:p>
    <w:p w14:paraId="7511EB86" w14:textId="1D4AA91D" w:rsidR="009802EA" w:rsidRDefault="00F63D84" w:rsidP="00BF7E9E">
      <w:pPr>
        <w:spacing w:line="360" w:lineRule="auto"/>
        <w:rPr>
          <w:rFonts w:ascii="Times New Roman" w:hAnsi="Times New Roman" w:cs="Times New Roman"/>
          <w:sz w:val="24"/>
          <w:szCs w:val="24"/>
        </w:rPr>
      </w:pPr>
      <w:r>
        <w:rPr>
          <w:rFonts w:ascii="Times New Roman" w:hAnsi="Times New Roman" w:cs="Times New Roman"/>
          <w:sz w:val="24"/>
          <w:szCs w:val="24"/>
        </w:rPr>
        <w:t xml:space="preserve">Conclusions: </w:t>
      </w:r>
      <w:r w:rsidR="009802EA">
        <w:rPr>
          <w:rFonts w:ascii="Times New Roman" w:hAnsi="Times New Roman" w:cs="Times New Roman"/>
          <w:sz w:val="24"/>
          <w:szCs w:val="24"/>
        </w:rPr>
        <w:t>Th</w:t>
      </w:r>
      <w:r w:rsidR="000D5110">
        <w:rPr>
          <w:rFonts w:ascii="Times New Roman" w:hAnsi="Times New Roman" w:cs="Times New Roman"/>
          <w:sz w:val="24"/>
          <w:szCs w:val="24"/>
        </w:rPr>
        <w:t xml:space="preserve">ese findings demonstrate </w:t>
      </w:r>
      <w:r w:rsidR="00B35B44">
        <w:rPr>
          <w:rFonts w:ascii="Times New Roman" w:hAnsi="Times New Roman" w:cs="Times New Roman"/>
          <w:sz w:val="24"/>
          <w:szCs w:val="24"/>
        </w:rPr>
        <w:t xml:space="preserve">that atomoxetine improves response inhibition in </w:t>
      </w:r>
      <w:r w:rsidR="003D4CDF">
        <w:rPr>
          <w:rFonts w:ascii="Times New Roman" w:hAnsi="Times New Roman" w:cs="Times New Roman"/>
          <w:sz w:val="24"/>
          <w:szCs w:val="24"/>
        </w:rPr>
        <w:t xml:space="preserve">a </w:t>
      </w:r>
      <w:r w:rsidR="00B35B44">
        <w:rPr>
          <w:rFonts w:ascii="Times New Roman" w:hAnsi="Times New Roman" w:cs="Times New Roman"/>
          <w:sz w:val="24"/>
          <w:szCs w:val="24"/>
        </w:rPr>
        <w:t xml:space="preserve">baseline-dependent manner </w:t>
      </w:r>
      <w:r w:rsidR="00496CD5">
        <w:rPr>
          <w:rFonts w:ascii="Times New Roman" w:hAnsi="Times New Roman" w:cs="Times New Roman"/>
          <w:sz w:val="24"/>
          <w:szCs w:val="24"/>
        </w:rPr>
        <w:t xml:space="preserve">in control and </w:t>
      </w:r>
      <w:r w:rsidR="006131E5">
        <w:rPr>
          <w:rFonts w:ascii="Times New Roman" w:hAnsi="Times New Roman" w:cs="Times New Roman"/>
          <w:sz w:val="24"/>
          <w:szCs w:val="24"/>
        </w:rPr>
        <w:t xml:space="preserve">in </w:t>
      </w:r>
      <w:r w:rsidR="00496CD5">
        <w:rPr>
          <w:rFonts w:ascii="Times New Roman" w:hAnsi="Times New Roman" w:cs="Times New Roman"/>
          <w:sz w:val="24"/>
          <w:szCs w:val="24"/>
        </w:rPr>
        <w:t xml:space="preserve">CUD participants. Our results emphasize </w:t>
      </w:r>
      <w:r w:rsidR="00AA3961">
        <w:rPr>
          <w:rFonts w:ascii="Times New Roman" w:hAnsi="Times New Roman" w:cs="Times New Roman"/>
          <w:sz w:val="24"/>
          <w:szCs w:val="24"/>
        </w:rPr>
        <w:t>inferior frontal</w:t>
      </w:r>
      <w:r w:rsidR="00496CD5">
        <w:rPr>
          <w:rFonts w:ascii="Times New Roman" w:hAnsi="Times New Roman" w:cs="Times New Roman"/>
          <w:sz w:val="24"/>
          <w:szCs w:val="24"/>
        </w:rPr>
        <w:t xml:space="preserve"> cortex function as a future treatment target due to its key role in improving response inhibition in CUD. </w:t>
      </w:r>
    </w:p>
    <w:p w14:paraId="6519B567" w14:textId="27E62501" w:rsidR="004A65CD" w:rsidRPr="00A320B9" w:rsidRDefault="004A65CD" w:rsidP="00BF7E9E">
      <w:pPr>
        <w:pStyle w:val="paragraph"/>
        <w:spacing w:before="0" w:beforeAutospacing="0" w:after="0" w:afterAutospacing="0" w:line="360" w:lineRule="auto"/>
        <w:textAlignment w:val="baseline"/>
        <w:rPr>
          <w:rFonts w:asciiTheme="majorBidi" w:hAnsiTheme="majorBidi" w:cstheme="majorBidi"/>
        </w:rPr>
      </w:pPr>
      <w:r w:rsidRPr="00A320B9">
        <w:rPr>
          <w:rStyle w:val="normaltextrun"/>
          <w:rFonts w:asciiTheme="majorBidi" w:hAnsiTheme="majorBidi" w:cstheme="majorBidi"/>
        </w:rPr>
        <w:t xml:space="preserve">Key words: Impulsivity; </w:t>
      </w:r>
      <w:r>
        <w:rPr>
          <w:rStyle w:val="normaltextrun"/>
          <w:rFonts w:asciiTheme="majorBidi" w:hAnsiTheme="majorBidi" w:cstheme="majorBidi"/>
        </w:rPr>
        <w:t>Stop Signal Task</w:t>
      </w:r>
      <w:r w:rsidRPr="00A320B9">
        <w:rPr>
          <w:rStyle w:val="normaltextrun"/>
          <w:rFonts w:asciiTheme="majorBidi" w:hAnsiTheme="majorBidi" w:cstheme="majorBidi"/>
        </w:rPr>
        <w:t>; fMRI</w:t>
      </w:r>
      <w:r>
        <w:rPr>
          <w:rStyle w:val="eop"/>
          <w:rFonts w:asciiTheme="majorBidi" w:hAnsiTheme="majorBidi" w:cstheme="majorBidi"/>
        </w:rPr>
        <w:t xml:space="preserve">; </w:t>
      </w:r>
      <w:r w:rsidR="004D1DBD">
        <w:rPr>
          <w:rStyle w:val="eop"/>
          <w:rFonts w:asciiTheme="majorBidi" w:hAnsiTheme="majorBidi" w:cstheme="majorBidi"/>
        </w:rPr>
        <w:t>Cocaine Addiction</w:t>
      </w:r>
      <w:r>
        <w:rPr>
          <w:rStyle w:val="eop"/>
          <w:rFonts w:asciiTheme="majorBidi" w:hAnsiTheme="majorBidi" w:cstheme="majorBidi"/>
        </w:rPr>
        <w:t xml:space="preserve">; Connectivity, DCM, </w:t>
      </w:r>
      <w:r w:rsidR="007B6DCB">
        <w:rPr>
          <w:rStyle w:val="eop"/>
          <w:rFonts w:asciiTheme="majorBidi" w:hAnsiTheme="majorBidi" w:cstheme="majorBidi"/>
        </w:rPr>
        <w:t>N</w:t>
      </w:r>
      <w:r w:rsidR="00371268">
        <w:rPr>
          <w:rStyle w:val="eop"/>
          <w:rFonts w:asciiTheme="majorBidi" w:hAnsiTheme="majorBidi" w:cstheme="majorBidi"/>
        </w:rPr>
        <w:t>orepinephrine</w:t>
      </w:r>
      <w:r>
        <w:rPr>
          <w:rStyle w:val="eop"/>
          <w:rFonts w:asciiTheme="majorBidi" w:hAnsiTheme="majorBidi" w:cstheme="majorBidi"/>
        </w:rPr>
        <w:t xml:space="preserve"> </w:t>
      </w:r>
    </w:p>
    <w:p w14:paraId="6A7E30AC" w14:textId="77777777" w:rsidR="00861339" w:rsidRDefault="00861339" w:rsidP="00BF7E9E">
      <w:pPr>
        <w:spacing w:line="360" w:lineRule="auto"/>
        <w:rPr>
          <w:rFonts w:ascii="Times New Roman" w:hAnsi="Times New Roman" w:cs="Times New Roman"/>
          <w:sz w:val="24"/>
          <w:szCs w:val="24"/>
        </w:rPr>
      </w:pPr>
      <w:r>
        <w:rPr>
          <w:rFonts w:ascii="Times New Roman" w:hAnsi="Times New Roman" w:cs="Times New Roman"/>
          <w:sz w:val="24"/>
          <w:szCs w:val="24"/>
        </w:rPr>
        <w:br w:type="page"/>
      </w:r>
    </w:p>
    <w:p w14:paraId="45BF4354" w14:textId="1DD77C2D" w:rsidR="004638F8" w:rsidRPr="004E1CFF" w:rsidRDefault="004638F8" w:rsidP="000B7DB7">
      <w:pPr>
        <w:pStyle w:val="Heading1"/>
      </w:pPr>
      <w:r w:rsidRPr="004E1CFF">
        <w:lastRenderedPageBreak/>
        <w:t>INTRODUCTION</w:t>
      </w:r>
    </w:p>
    <w:p w14:paraId="4652F545" w14:textId="7BB5BFE9" w:rsidR="006131E5" w:rsidRDefault="00171532" w:rsidP="00BF7E9E">
      <w:pPr>
        <w:spacing w:line="360" w:lineRule="auto"/>
        <w:rPr>
          <w:rFonts w:ascii="Times New Roman" w:hAnsi="Times New Roman" w:cs="Times New Roman"/>
        </w:rPr>
      </w:pPr>
      <w:r>
        <w:rPr>
          <w:rFonts w:ascii="Times New Roman" w:hAnsi="Times New Roman" w:cs="Times New Roman"/>
        </w:rPr>
        <w:t>C</w:t>
      </w:r>
      <w:r w:rsidR="00D2767A">
        <w:rPr>
          <w:rFonts w:ascii="Times New Roman" w:hAnsi="Times New Roman" w:cs="Times New Roman"/>
        </w:rPr>
        <w:t xml:space="preserve">ocaine </w:t>
      </w:r>
      <w:r w:rsidR="005C4CFD">
        <w:rPr>
          <w:rFonts w:ascii="Times New Roman" w:hAnsi="Times New Roman" w:cs="Times New Roman"/>
        </w:rPr>
        <w:t xml:space="preserve">use </w:t>
      </w:r>
      <w:r w:rsidR="008C6C40">
        <w:rPr>
          <w:rFonts w:ascii="Times New Roman" w:hAnsi="Times New Roman" w:cs="Times New Roman"/>
        </w:rPr>
        <w:t xml:space="preserve">disorder (CUD) </w:t>
      </w:r>
      <w:r>
        <w:rPr>
          <w:rFonts w:ascii="Times New Roman" w:hAnsi="Times New Roman" w:cs="Times New Roman"/>
        </w:rPr>
        <w:t>is exemplified</w:t>
      </w:r>
      <w:r w:rsidR="008C78A5">
        <w:rPr>
          <w:rFonts w:ascii="Times New Roman" w:hAnsi="Times New Roman" w:cs="Times New Roman"/>
        </w:rPr>
        <w:t xml:space="preserve"> by </w:t>
      </w:r>
      <w:r w:rsidR="00B00866">
        <w:rPr>
          <w:rFonts w:ascii="Times New Roman" w:hAnsi="Times New Roman" w:cs="Times New Roman"/>
        </w:rPr>
        <w:t>high levels of</w:t>
      </w:r>
      <w:r w:rsidR="008C78A5" w:rsidRPr="004E1CFF">
        <w:rPr>
          <w:rFonts w:ascii="Times New Roman" w:hAnsi="Times New Roman" w:cs="Times New Roman"/>
        </w:rPr>
        <w:t xml:space="preserve"> impulsivity</w:t>
      </w:r>
      <w:r w:rsidR="008C78A5">
        <w:rPr>
          <w:rFonts w:ascii="Times New Roman" w:hAnsi="Times New Roman" w:cs="Times New Roman"/>
        </w:rPr>
        <w:t xml:space="preserve"> </w:t>
      </w:r>
      <w:r>
        <w:rPr>
          <w:rFonts w:ascii="Times New Roman" w:hAnsi="Times New Roman" w:cs="Times New Roman"/>
        </w:rPr>
        <w:t>and impaired response inhibition</w:t>
      </w:r>
      <w:r w:rsidR="00404C67">
        <w:rPr>
          <w:rFonts w:ascii="Times New Roman" w:hAnsi="Times New Roman" w:cs="Times New Roman"/>
        </w:rPr>
        <w:t xml:space="preserve"> </w:t>
      </w:r>
      <w:r w:rsidR="003D7C5E">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{"citationItems":[{"id":"ITEM-1","itemData":{"DOI":"10.1016/j.neuron.2018.03.048","ISBN":"1097-4199; 0896-6273","ISSN":"10974199","PMID":"29879391","abstract":"The impaired response inhibition and salience attribution (iRISA) model proposes that impaired response inhibition and salience attribution underlie drug seeking and taking. To update this model, we systematically reviewed 105 task-related neuroimaging studies (n &gt; 15/group) published since 2010. Results demonstrate specific impairments within six large-scale brain networks (reward, habit, salience, executive, memory, and self-directed networks) during drug cue exposure, decision making, inhibitory control, and social-emotional processing. Addicted individuals demonstrated increased recruitment of these networks during drug-related processing but a blunted response during non-drug-related processing, with the same networks also being implicated during resting state. Associations with real-life drug use, relapse, therapeutic interventions, and the relevance to initiation of drug use during adolescence support the clinical relevance of the results. Whereas the salience and executive networks showed impairments throughout the addiction cycle, the reward network was dysregulated at later stages of abuse. Effects were similar in alcohol, cannabis, and stimulant addiction. Zilverstand et al. find that behaviors in drug addiction are closely tied to brain impairments underlying drug cue reactivity, decision making, inhibitory control, and social-emotional processing. Neuroimaging biomarkers can also be used to predict initiation and progression of drug addiction.","author":[{"dropping-particle":"","family":"Zilverstand","given":"Anna","non-dropping-particle":"","parse-names":false,"suffix":""},{"dropping-particle":"","family":"Huang","given":"Anna S.","non-dropping-particle":"","parse-names":false,"suffix":""},{"dropping-particle":"","family":"Alia-Klein","given":"Nelly","non-dropping-particle":"","parse-names":false,"suffix":""},{"dropping-particle":"","family":"Goldstein","given":"Rita Z.","non-dropping-particle":"","parse-names":false,"suffix":""}],"container-title":"Neuron","id":"ITEM-1","issue":"5","issued":{"date-parts":[["2018"]]},"page":"886-903","publisher":"Elsevier Inc.","title":"Neuroimaging Impaired Response Inhibition and Salience Attribution in Human Drug Addiction: A Systematic Review","type":"article-journal","volume":"98"},"uris":["http://www.mendeley.com/documents/?uuid=a9f0754f-79ce-4025-802b-195340f09362"]},{"id":"ITEM-2","itemData":{"DOI":"10.1016/j.neubiorev.2008.08.008","ISSN":"01497634","abstract":"The co-morbidity between attention deficit hyperactivity disorder (ADHD) and substance abuse and dependence disorders may have multiple causes and consequences. In this review, we will describe neurobehavioral, genetic and animal model studies that support the notion that a common, genetically determined failure of response inhibition function is an endophenotype for both disorders. Through an impairment in the ability to cognitively control pre-potent behaviors, subjects can exhibit a collection of ADHD-like traits (impulsivity and hyperactivity), as well as susceptibility for the initiation of drug taking and its ultimate progression to an inflexible, uncontrollable form. At the neural level, dysfunction within circuitry that includes the ventrolateral frontal and cingulate cortices, as well as in associated basal ganglia zones, contributes to a common pattern of behavioral impairment, explaining aspects of co-morbidity. Animal models of substance abuse/dependence and ADHD that exhibit deficits in response inhibition have substantiated the role of this endophenotype in both disorders and their co-morbidity and should provide a testing ground for interventions targeting it. New directions for research that will further explore this hypothesis and begin to reveal the underlying biological mechanisms will be proposed. © 2008 Elsevier Ltd. All rights reserved.","author":[{"dropping-particle":"","family":"Groman","given":"Stephanie M.","non-dropping-particle":"","parse-names":false,"suffix":""},{"dropping-particle":"","family":"James","given":"Alex S.","non-dropping-particle":"","parse-names":false,"suffix":""},{"dropping-particle":"","family":"Jentsch","given":"J. David","non-dropping-particle":"","parse-names":false,"suffix":""}],"container-title":"Neuroscience and Biobehavioral Reviews","id":"ITEM-2","issue":"5","issued":{"date-parts":[["2009"]]},"page":"690-698","title":"Poor response inhibition: At the nexus between substance abuse and attention deficit/hyperactivity disorder","type":"article-journal","volume":"33"},"uris":["http://www.mendeley.com/documents/?uuid=bfba6c43-820c-4d2e-af35-f7b61578967d"]}],"mendeley":{"formattedCitation":"(1,2)","plainTextFormattedCitation":"(1,2)","previouslyFormattedCitation":"(1,2)"},"properties":{"noteIndex":0},"schema":"https://github.com/citation-style-language/schema/raw/master/csl-citation.json"}</w:instrText>
      </w:r>
      <w:r w:rsidR="003D7C5E">
        <w:rPr>
          <w:rFonts w:ascii="Times New Roman" w:hAnsi="Times New Roman" w:cs="Times New Roman"/>
        </w:rPr>
        <w:fldChar w:fldCharType="separate"/>
      </w:r>
      <w:r w:rsidR="00112D56" w:rsidRPr="00112D56">
        <w:rPr>
          <w:rFonts w:ascii="Times New Roman" w:hAnsi="Times New Roman" w:cs="Times New Roman"/>
          <w:noProof/>
        </w:rPr>
        <w:t>(1,2)</w:t>
      </w:r>
      <w:r w:rsidR="003D7C5E">
        <w:rPr>
          <w:rFonts w:ascii="Times New Roman" w:hAnsi="Times New Roman" w:cs="Times New Roman"/>
        </w:rPr>
        <w:fldChar w:fldCharType="end"/>
      </w:r>
      <w:r w:rsidR="008C78A5">
        <w:rPr>
          <w:rFonts w:ascii="Times New Roman" w:hAnsi="Times New Roman" w:cs="Times New Roman"/>
        </w:rPr>
        <w:t>.</w:t>
      </w:r>
      <w:r w:rsidR="00B00866">
        <w:rPr>
          <w:rFonts w:ascii="Times New Roman" w:hAnsi="Times New Roman" w:cs="Times New Roman"/>
        </w:rPr>
        <w:t xml:space="preserve"> </w:t>
      </w:r>
      <w:r>
        <w:rPr>
          <w:rFonts w:ascii="Times New Roman" w:hAnsi="Times New Roman" w:cs="Times New Roman"/>
        </w:rPr>
        <w:t>R</w:t>
      </w:r>
      <w:r w:rsidR="00C92D38">
        <w:rPr>
          <w:rFonts w:ascii="Times New Roman" w:hAnsi="Times New Roman" w:cs="Times New Roman"/>
        </w:rPr>
        <w:t>esponse inhibition</w:t>
      </w:r>
      <w:r w:rsidR="001864A0">
        <w:rPr>
          <w:rFonts w:ascii="Times New Roman" w:hAnsi="Times New Roman" w:cs="Times New Roman"/>
        </w:rPr>
        <w:t xml:space="preserve"> </w:t>
      </w:r>
      <w:r>
        <w:rPr>
          <w:rFonts w:ascii="Times New Roman" w:hAnsi="Times New Roman" w:cs="Times New Roman"/>
        </w:rPr>
        <w:t xml:space="preserve">is typically assessed using the </w:t>
      </w:r>
      <w:r w:rsidR="001864A0">
        <w:rPr>
          <w:rFonts w:ascii="Times New Roman" w:hAnsi="Times New Roman" w:cs="Times New Roman"/>
        </w:rPr>
        <w:t>stop</w:t>
      </w:r>
      <w:r w:rsidR="00571284">
        <w:rPr>
          <w:rFonts w:ascii="Times New Roman" w:hAnsi="Times New Roman" w:cs="Times New Roman"/>
        </w:rPr>
        <w:t>-</w:t>
      </w:r>
      <w:r w:rsidR="001864A0">
        <w:rPr>
          <w:rFonts w:ascii="Times New Roman" w:hAnsi="Times New Roman" w:cs="Times New Roman"/>
        </w:rPr>
        <w:t xml:space="preserve">signal </w:t>
      </w:r>
      <w:r>
        <w:rPr>
          <w:rFonts w:ascii="Times New Roman" w:hAnsi="Times New Roman" w:cs="Times New Roman"/>
        </w:rPr>
        <w:t xml:space="preserve">reaction time </w:t>
      </w:r>
      <w:r w:rsidR="00335F00">
        <w:rPr>
          <w:rFonts w:ascii="Times New Roman" w:hAnsi="Times New Roman" w:cs="Times New Roman"/>
        </w:rPr>
        <w:t xml:space="preserve">(SSRT) </w:t>
      </w:r>
      <w:r w:rsidR="001E66C4">
        <w:rPr>
          <w:rFonts w:ascii="Times New Roman" w:hAnsi="Times New Roman" w:cs="Times New Roman"/>
        </w:rPr>
        <w:t xml:space="preserve">task </w:t>
      </w:r>
      <w:r w:rsidR="00A20C7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{"citationItems":[{"id":"ITEM-1","itemData":{"DOI":"10.1016/j.brainres.2014.09.012","ISSN":"18726240","abstract":"Disruptions to inhibitory control are believed to contribute to multiple aspects of drug abuse, from preexisting vulnerability in at-risk individuals, through escalation to dependence, to promotion of relapse in chronic users. Paradigms investigating the suppression of actions have been investigated in animal and human research on drug addiction. Rodent research has focused largely on impulsive behaviors, often gauged by premature responding, as a viable model highlighting the relevant role of dopamine and other neurotransmitters primarily in the striatum. Human research on action inhibition in stimulant dependence has highlighted impaired performance and largely prefrontal cortical abnormalities as part of a broader pattern of cognitive abnormalities. Animal and human research implicate inhibitory difficulties mediated by fronto-striatal circuitry both preceding and as a result of excessive stimulus use. In this regard, response-inhibition has proven a useful cognitive function to gauge the integrity of fronto-striatal systems and their role in contributing to impulsive and compulsive features of drug dependence. This article is part of a Special Issue entitled SI:Addiction circuits.","author":[{"dropping-particle":"","family":"Morein-Zamir","given":"Sharon","non-dropping-particle":"","parse-names":false,"suffix":""},{"dropping-particle":"","family":"Robbins","given":"Trevor W.","non-dropping-particle":"","parse-names":false,"suffix":""}],"container-title":"Brain Research","id":"ITEM-1","issued":{"date-parts":[["2015"]]},"page":"117-129","publisher":"Elsevier","title":"Fronto-striatal circuits in response-inhibition: Relevance to addiction","type":"article-journal","volume":"1628"},"uris":["http://www.mendeley.com/documents/?uuid=caa69b62-b907-4da5-9939-ff45b27819b5"]},{"id":"ITEM-2","itemData":{"DOI":"10.1093/brain/awr138","ISBN":"0006-8950","ISSN":"00068950","PMID":"21690575","abstract":"A growing body of preclinical evidence indicates that addiction to cocaine is associated with neuroadaptive changes in frontostriatal brain systems. Human studies in cocaine-dependent individuals have shown alterations in brain structure, but it is less clear how these changes may be related to the clinical phenotype of cocaine dependence characterized by impulsive behaviours and compulsive drug-taking. Here we compared self-report, behavioural and structural magnetic resonance imaging data on a relatively large sample of cocaine-dependent individuals (n = 60) with data on healthy volunteers (n = 60); and we investigated the relationships between grey matter volume variation, duration of cocaine use, and measures of impulsivity and compulsivity in the cocaine-dependent group. Cocaine dependence was associated with an extensive system of abnormally decreased grey matter volume in orbitofrontal, cingulate, insular, temporoparietal and cerebellar cortex, and with a more localized increase in grey matter volume in the basal ganglia. Greater duration of cocaine dependence was correlated with greater grey matter volume reduction in orbitofrontal, cingulate and insular cortex. Greater impairment of attentional control was associated with reduced volume in insular cortex and increased volume of caudate nucleus. Greater compulsivity of drug use was associated with reduced volume in orbitofrontal cortex. Cocaine-dependent individuals had abnormal structure of corticostriatal systems, and variability in the extent of anatomical changes in orbitofrontal, insular and striatal structures was related to individual differences in duration of dependence, inattention and compulsivity of cocaine consumption.","author":[{"dropping-particle":"","family":"Ersche","given":"Karen D.","non-dropping-particle":"","parse-names":false,"suffix":""},{"dropping-particle":"","family":"Barnes","given":"Anna","non-dropping-particle":"","parse-names":false,"suffix":""},{"dropping-particle":"","family":"Simon Jones","given":"P.","non-dropping-particle":"","parse-names":false,"suffix":""},{"dropping-particle":"","family":"Morein-Zamir","given":"Sharon","non-dropping-particle":"","parse-names":false,"suffix":""},{"dropping-particle":"","family":"Robbins","given":"Trevor W.","non-dropping-particle":"","parse-names":false,"suffix":""},{"dropping-particle":"","family":"Bullmore","given":"Edward T.","non-dropping-particle":"","parse-names":false,"suffix":""}],"container-title":"Brain","id":"ITEM-2","issue":"7","issued":{"date-parts":[["2011"]]},"page":"2013-2024","title":"Abnormal structure of frontostriatal brain systems is associated with aspects of impulsivity and compulsivity in cocaine dependence","type":"article-journal","volume":"134"},"uris":["http://www.mendeley.com/documents/?uuid=136eaf55-beb5-4689-91e6-54262580467f"]},{"id":"ITEM-3","itemData":{"DOI":"10.1126/science.1214463","ISBN":"1095-9203 (Electronic)\\n0036-8075 (Linking)","ISSN":"0036-8075","PMID":"22301321","abstract":"Addiction to drugs is a major contemporary public health issue, characterized by maladaptive behavior to obtain and consume an increasing amount of drugs at the expense of the individual's health and social and personal life. We discovered abnormalities in fronto-striatal brain systems implicated in self-control in both stimulant-dependent individuals and their biological siblings who have no history of chronic drug abuse; these findings support the idea of an underlying neurocognitive endophenotype for stimulant drug addiction.","author":[{"dropping-particle":"","family":"Ersche","given":"K. D.","non-dropping-particle":"","parse-names":false,"suffix":""},{"dropping-particle":"","family":"Jones","given":"P. S.","non-dropping-particle":"","parse-names":false,"suffix":""},{"dropping-particle":"","family":"Williams","given":"G. B.","non-dropping-particle":"","parse-names":false,"suffix":""},{"dropping-particle":"","family":"Turton","given":"A. J.","non-dropping-particle":"","parse-names":false,"suffix":""},{"dropping-particle":"","family":"Robbins","given":"T. W.","non-dropping-particle":"","parse-names":false,"suffix":""},{"dropping-particle":"","family":"Bullmore","given":"E. T.","non-dropping-particle":"","parse-names":false,"suffix":""}],"container-title":"Science","id":"ITEM-3","issue":"6068","issued":{"date-parts":[["2012"]]},"page":"601-604","title":"Abnormal Brain Structure Implicated in Stimulant Drug Addiction","type":"article-journal","volume":"335"},"uris":["http://www.mendeley.com/documents/?uuid=f1685e4d-e38e-4e05-b758-4009837d0a7c"]}],"mendeley":{"formattedCitation":"(3–5)","plainTextFormattedCitation":"(3–5)","previouslyFormattedCitation":"(3–5)"},"properties":{"noteIndex":0},"schema":"https://github.com/citation-style-language/schema/raw/master/csl-citation.json"}</w:instrText>
      </w:r>
      <w:r w:rsidR="00A20C7F">
        <w:rPr>
          <w:rFonts w:ascii="Times New Roman" w:hAnsi="Times New Roman" w:cs="Times New Roman"/>
        </w:rPr>
        <w:fldChar w:fldCharType="separate"/>
      </w:r>
      <w:r w:rsidR="00112D56" w:rsidRPr="00112D56">
        <w:rPr>
          <w:rFonts w:ascii="Times New Roman" w:hAnsi="Times New Roman" w:cs="Times New Roman"/>
          <w:noProof/>
        </w:rPr>
        <w:t>(3–5)</w:t>
      </w:r>
      <w:r w:rsidR="00A20C7F">
        <w:rPr>
          <w:rFonts w:ascii="Times New Roman" w:hAnsi="Times New Roman" w:cs="Times New Roman"/>
        </w:rPr>
        <w:fldChar w:fldCharType="end"/>
      </w:r>
      <w:r>
        <w:rPr>
          <w:rFonts w:ascii="Times New Roman" w:hAnsi="Times New Roman" w:cs="Times New Roman"/>
        </w:rPr>
        <w:t xml:space="preserve">, with prefrontal hypoactivity a feature of impaired inhibition in stimulant use disorder </w:t>
      </w:r>
      <w:r w:rsidR="007F70D5">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{"citationItems":[{"id":"ITEM-1","itemData":{"DOI":"10.1038/npp.2013.90","ISSN":"0893133X","abstract":"A neurocognitive endophenotype has been proposed for stimulant dependence, based on behavioral measures of inhibitory response control associated with white matter changes in the frontal cortex. This study investigated the functional neuroimaging correlates of inhibitory response control, as functional activity serves as a more dynamic measure than brain structure, allowing refinement of the suggested endophenotype. Stimulant-dependent individuals (SDIs), their unaffected siblings (SIBs), and healthy controls (CTs) performed the stop-signal task, including stop-signal reaction time (SSRT) as a measure of response inhibition, while undergoing functional magnetic resonance imaging. SDIs had impaired response inhibition accompanied by hypoactivation in the ventrolateral prefrontal cortex (PFC). In addition, they demonstrated hypoactivation in the anterior cingulate when failing to stop. In contrast, no hypoactivations were noted in their unaffected SIBs. Rather, they exhibited increased activation in the dorsomedial PFC relative to controls, together with inhibitory performance that was intermediate between that of the stimulant group and the healthy CT group. Such hyperactivations within the neurocircuitry underlying response inhibition and control are suggestive of compensatory mechanisms that could be protective in nature or could reflect coping with a pre-existing vulnerability, thus expressing potential aspects of resilience. The functional activation associated with response inhibition and error monitoring showed differential patterns of results between SDIs and their unaffected first-degree relatives, suggesting that the proposed endophenotype does not generalize to functional brain activity.","author":[{"dropping-particle":"","family":"Morein-Zamir","given":"Sharon","non-dropping-particle":"","parse-names":false,"suffix":""},{"dropping-particle":"","family":"Simon Jones","given":"P.","non-dropping-particle":"","parse-names":false,"suffix":""},{"dropping-particle":"","family":"Bullmore","given":"Edward T.","non-dropping-particle":"","parse-names":false,"suffix":""},{"dropping-particle":"","family":"Robbins","given":"Trevor W.","non-dropping-particle":"","parse-names":false,"suffix":""},{"dropping-particle":"","family":"Ersche","given":"Karen D.","non-dropping-particle":"","parse-names":false,"suffix":""}],"container-title":"Neuropsychopharmacology","id":"ITEM-1","issue":"10","issued":{"date-parts":[["2013"]]},"page":"1945-1953","publisher":"Nature Publishing Group","title":"Prefrontal hypoactivity associated with impaired inhibition in stimulant-dependent individuals but evidence for hyperactivation in their unaffected siblings","type":"article-journal","volume":"38"},"uris":["http://www.mendeley.com/documents/?uuid=e0ee51a8-ba2c-487c-b05b-858bc6dbe6dd"]},{"id":"ITEM-2","itemData":{"DOI":"10.1038/nrn3119","ISBN":"1471-003X","ISSN":"1471003X","PMID":"22011681","abstract":"The loss of control over drug intake that occurs in addiction was initially believed to result from disruption of subcortical reward circuits. However, imaging studies in addictive behaviours have identified a key involvement of the prefrontal cortex (PFC) both through its regulation of limbic reward regions and its involvement in higher-order executive function (for example, self-control, salience attribution and awareness). This Review focuses on functional neuroimaging studies conducted in the past decade that have expanded our understanding of the involvement of the PFC in drug addiction. Disruption of the PFC in addiction underlies not only compulsive drug taking but also accounts for the disadvantageous behaviours that are associated with addiction and the erosion of free will.","author":[{"dropping-particle":"","family":"Goldstein","given":"Rita Z.","non-dropping-particle":"","parse-names":false,"suffix":""},{"dropping-particle":"","family":"Volkow","given":"Nora D.","non-dropping-particle":"","parse-names":false,"suffix":""}],"container-title":"Nature Reviews Neuroscience","id":"ITEM-2","issue":"11","issued":{"date-parts":[["2011"]]},"page":"652-669","publisher":"Nature Publishing Group","title":"Dysfunction of the prefrontal cortex in addiction: Neuroimaging findings and clinical implications","type":"article-journal","volume":"12"},"uris":["http://www.mendeley.com/documents/?uuid=147bbe88-59c6-484c-82a5-f5d6a018928f"]}],"mendeley":{"formattedCitation":"(6,7)","plainTextFormattedCitation":"(6,7)","previouslyFormattedCitation":"(6,7)"},"properties":{"noteIndex":0},"schema":"https://github.com/citation-style-language/schema/raw/master/csl-citation.json"}</w:instrText>
      </w:r>
      <w:r w:rsidR="007F70D5">
        <w:rPr>
          <w:rFonts w:ascii="Times New Roman" w:hAnsi="Times New Roman" w:cs="Times New Roman"/>
        </w:rPr>
        <w:fldChar w:fldCharType="separate"/>
      </w:r>
      <w:r w:rsidR="00112D56" w:rsidRPr="00112D56">
        <w:rPr>
          <w:rFonts w:ascii="Times New Roman" w:hAnsi="Times New Roman" w:cs="Times New Roman"/>
          <w:noProof/>
        </w:rPr>
        <w:t>(6,7)</w:t>
      </w:r>
      <w:r w:rsidR="007F70D5">
        <w:rPr>
          <w:rFonts w:ascii="Times New Roman" w:hAnsi="Times New Roman" w:cs="Times New Roman"/>
        </w:rPr>
        <w:fldChar w:fldCharType="end"/>
      </w:r>
      <w:r w:rsidR="008C5877">
        <w:rPr>
          <w:rFonts w:ascii="Times New Roman" w:hAnsi="Times New Roman" w:cs="Times New Roman"/>
        </w:rPr>
        <w:t xml:space="preserve">. </w:t>
      </w:r>
      <w:r>
        <w:rPr>
          <w:rFonts w:ascii="Times New Roman" w:hAnsi="Times New Roman" w:cs="Times New Roman"/>
        </w:rPr>
        <w:t xml:space="preserve">The response inhibitory </w:t>
      </w:r>
      <w:proofErr w:type="spellStart"/>
      <w:r w:rsidR="00C45E7E">
        <w:rPr>
          <w:rFonts w:ascii="Times New Roman" w:hAnsi="Times New Roman" w:cs="Times New Roman"/>
        </w:rPr>
        <w:t>fronto</w:t>
      </w:r>
      <w:proofErr w:type="spellEnd"/>
      <w:r w:rsidR="00C45E7E">
        <w:rPr>
          <w:rFonts w:ascii="Times New Roman" w:hAnsi="Times New Roman" w:cs="Times New Roman"/>
        </w:rPr>
        <w:t xml:space="preserve">-striatal </w:t>
      </w:r>
      <w:r>
        <w:rPr>
          <w:rFonts w:ascii="Times New Roman" w:hAnsi="Times New Roman" w:cs="Times New Roman"/>
        </w:rPr>
        <w:t>network includes t</w:t>
      </w:r>
      <w:r w:rsidR="008C6C40">
        <w:rPr>
          <w:rFonts w:ascii="Times New Roman" w:hAnsi="Times New Roman" w:cs="Times New Roman"/>
        </w:rPr>
        <w:t xml:space="preserve">he </w:t>
      </w:r>
      <w:r w:rsidR="00B41503">
        <w:rPr>
          <w:rFonts w:ascii="Times New Roman" w:hAnsi="Times New Roman" w:cs="Times New Roman"/>
        </w:rPr>
        <w:t xml:space="preserve">right </w:t>
      </w:r>
      <w:r w:rsidR="00DC4645">
        <w:rPr>
          <w:rFonts w:ascii="Times New Roman" w:hAnsi="Times New Roman" w:cs="Times New Roman"/>
        </w:rPr>
        <w:t>inferior frontal gyrus</w:t>
      </w:r>
      <w:r w:rsidR="007B66B6">
        <w:rPr>
          <w:rFonts w:ascii="Times New Roman" w:hAnsi="Times New Roman" w:cs="Times New Roman"/>
        </w:rPr>
        <w:t xml:space="preserve"> </w:t>
      </w:r>
      <w:r w:rsidR="00AB08F1">
        <w:rPr>
          <w:rFonts w:ascii="Times New Roman" w:hAnsi="Times New Roman" w:cs="Times New Roman"/>
        </w:rPr>
        <w:t>(</w:t>
      </w:r>
      <w:proofErr w:type="spellStart"/>
      <w:r w:rsidR="00606F2F">
        <w:rPr>
          <w:rFonts w:ascii="Times New Roman" w:hAnsi="Times New Roman" w:cs="Times New Roman"/>
        </w:rPr>
        <w:t>r</w:t>
      </w:r>
      <w:r w:rsidR="00146982">
        <w:rPr>
          <w:rFonts w:ascii="Times New Roman" w:hAnsi="Times New Roman" w:cs="Times New Roman"/>
        </w:rPr>
        <w:t>IFG</w:t>
      </w:r>
      <w:proofErr w:type="spellEnd"/>
      <w:r w:rsidR="00AB08F1">
        <w:rPr>
          <w:rFonts w:ascii="Times New Roman" w:hAnsi="Times New Roman" w:cs="Times New Roman"/>
        </w:rPr>
        <w:t>)</w:t>
      </w:r>
      <w:r>
        <w:rPr>
          <w:rFonts w:ascii="Times New Roman" w:hAnsi="Times New Roman" w:cs="Times New Roman"/>
        </w:rPr>
        <w:t xml:space="preserve">, </w:t>
      </w:r>
      <w:r w:rsidR="008C5877">
        <w:rPr>
          <w:rFonts w:ascii="Times New Roman" w:hAnsi="Times New Roman" w:cs="Times New Roman"/>
        </w:rPr>
        <w:t xml:space="preserve">dorsomedial </w:t>
      </w:r>
      <w:r w:rsidR="00872D07">
        <w:rPr>
          <w:rFonts w:ascii="Times New Roman" w:hAnsi="Times New Roman" w:cs="Times New Roman"/>
        </w:rPr>
        <w:t>prefrontal cortex (</w:t>
      </w:r>
      <w:proofErr w:type="spellStart"/>
      <w:r w:rsidR="00AB08F1">
        <w:rPr>
          <w:rFonts w:ascii="Times New Roman" w:hAnsi="Times New Roman" w:cs="Times New Roman"/>
        </w:rPr>
        <w:t>dm</w:t>
      </w:r>
      <w:r w:rsidR="008C5877">
        <w:rPr>
          <w:rFonts w:ascii="Times New Roman" w:hAnsi="Times New Roman" w:cs="Times New Roman"/>
        </w:rPr>
        <w:t>PFC</w:t>
      </w:r>
      <w:proofErr w:type="spellEnd"/>
      <w:r w:rsidR="00872D07">
        <w:rPr>
          <w:rFonts w:ascii="Times New Roman" w:hAnsi="Times New Roman" w:cs="Times New Roman"/>
        </w:rPr>
        <w:t>)</w:t>
      </w:r>
      <w:r>
        <w:rPr>
          <w:rFonts w:ascii="Times New Roman" w:hAnsi="Times New Roman" w:cs="Times New Roman"/>
        </w:rPr>
        <w:t>,</w:t>
      </w:r>
      <w:r w:rsidR="008C5877">
        <w:rPr>
          <w:rFonts w:ascii="Times New Roman" w:hAnsi="Times New Roman" w:cs="Times New Roman"/>
        </w:rPr>
        <w:t xml:space="preserve"> putamen and </w:t>
      </w:r>
      <w:r>
        <w:rPr>
          <w:rFonts w:ascii="Times New Roman" w:hAnsi="Times New Roman" w:cs="Times New Roman"/>
        </w:rPr>
        <w:t xml:space="preserve">the </w:t>
      </w:r>
      <w:r w:rsidR="008C5877">
        <w:rPr>
          <w:rFonts w:ascii="Times New Roman" w:hAnsi="Times New Roman" w:cs="Times New Roman"/>
        </w:rPr>
        <w:t>subthalamic nucleus (STN)</w:t>
      </w:r>
      <w:r w:rsidR="00F8622A">
        <w:rPr>
          <w:rFonts w:ascii="Times New Roman" w:hAnsi="Times New Roman" w:cs="Times New Roman"/>
        </w:rPr>
        <w:t xml:space="preserve"> </w:t>
      </w:r>
      <w:r w:rsidR="00E676E7">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{"citationItems":[{"id":"ITEM-1","itemData":{"DOI":"10.1523/JNEUROSCI.4682-05.2006","ISSN":"02706474","PMID":"16510720","abstract":"Suppressing an already initiated manual response depends critically on the right inferior frontal cortex (IFC), yet it is unclear how this inhibitory function is implemented in the motor system. It has been suggested that the subthalamic nucleus (STN), which is a part of the basal ganglia, may play a role because it is well placed to suppress the \"direct\" fronto-striatal pathway that is activated by response initiation. In two experiments, we investigated this hypothesis with functional magnetic resonance imaging and a Stop-signal task. Subjects responded to Go signals and attempted to inhibit the initiated response to occasional Stop signals. In experiment 1, Going significantly activated frontal, striatal, pallidal, and motor cortical regions, consistent with the direct pathway, whereas Stopping significantly activated right IFC and STN. In addition, Stopping-related activation was significantly greater for fast inhibitors than slow ones in both IFC and STN, and activity in these regions was correlated across subjects. In experiment 2, high-resolution functional and structural imaging confirmed the location of Stopping activation within the vicinity of the STN. We propose that the role of the STN is to suppress thalamocortical output, thereby blocking Go response execution. These results provide convergent data for a role for the STN in Stop-signal response inhibition. They also suggest that the speed of Go and Stop processes could relate to the relative activation of different neural pathways. Future research is required to establish whether Stop-signal inhibition could be implemented via a direct functional neuroanatomic projection between IFC and STN (a \"hyperdirect\" pathway). Copyright © 2006 Society for Neuroscience.","author":[{"dropping-particle":"","family":"Aron","given":"Adam R.","non-dropping-particle":"","parse-names":false,"suffix":""},{"dropping-particle":"","family":"Poldrack","given":"Russell A.","non-dropping-particle":"","parse-names":false,"suffix":""}],"container-title":"Journal of Neuroscience","id":"ITEM-1","issue":"9","issued":{"date-parts":[["2006"]]},"page":"2424-2433","title":"Cortical and subcortical contributions to stop signal response inhibition: Role of the subthalamic nucleus","type":"article-journal","volume":"26"},"uris":["http://www.mendeley.com/documents/?uuid=aaf97c61-3ce6-4684-8e53-6c737ad23ce4"]},{"id":"ITEM-2","itemData":{"DOI":"10.1523/JNEUROSCI.3093-13.2015","ISBN":"1529-2401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Neuroscience","id":"ITEM-2","issue":"2","issued":{"date-parts":[["2015"]]},"page":"786-94","title":"The prefrontal cortex achieves inhibitory control by facilitating subcortical motor pathway connectivity.","type":"article-journal","volume":"35"},"uris":["http://www.mendeley.com/documents/?uuid=e1cd2b52-4b20-423b-8c98-36004beeeda5"]},{"id":"ITEM-3","itemData":{"DOI":"10.1016/j.neuron.2020.02.012","ISSN":"10974199","PMID":"32155442","abstract":"The ability to dynamically change motor outputs, such as stopping an initiated response, is an important aspect of human behavior. A hyperdirect pathway between the inferior frontal gyrus and subthalamic nucleus is hypothesized to mediate movement inhibition, but there is limited evidence for this in humans. We recorded high spatial and temporal resolution field potentials from both the inferior frontal gyrus and subthalamic nucleus in 21 subjects. Cortical potentials evoked by subthalamic stimulation revealed short latency events indicative of monosynaptic connectivity between the inferior frontal gyrus and ventral subthalamic nucleus. During a stop signal task, stopping-related potentials in the cortex preceded stopping-related activity in the subthalamic nucleus, and synchronization between these task-evoked potentials predicted the stop signal reaction time. Thus, we show that a prefrontal-subthalamic hyperdirect pathway is present in humans and mediates rapid stopping. These findings may inform therapies to treat disorders featuring perturbed movement inhibition.","author":[{"dropping-particle":"","family":"Chen","given":"Witney","non-dropping-particle":"","parse-names":false,"suffix":""},{"dropping-particle":"","family":"Hemptinne","given":"Coralie","non-dropping-particle":"de","parse-names":false,"suffix":""},{"dropping-particle":"","family":"Miller","given":"Andrew M.","non-dropping-particle":"","parse-names":false,"suffix":""},{"dropping-particle":"","family":"Leibbrand","given":"Michael","non-dropping-particle":"","parse-names":false,"suffix":""},{"dropping-particle":"","family":"Little","given":"Simon J.","non-dropping-particle":"","parse-names":false,"suffix":""},{"dropping-particle":"","family":"Lim","given":"Daniel A.","non-dropping-particle":"","parse-names":false,"suffix":""},{"dropping-particle":"","family":"Larson","given":"Paul S.","non-dropping-particle":"","parse-names":false,"suffix":""},{"dropping-particle":"","family":"Starr","given":"Philip A.","non-dropping-particle":"","parse-names":false,"suffix":""}],"container-title":"Neuron","id":"ITEM-3","issue":"4","issued":{"date-parts":[["2020"]]},"page":"579-588.e3","publisher":"Elsevier Inc.","title":"Prefrontal-Subthalamic Hyperdirect Pathway Modulates Movement Inhibition in Humans","type":"article-journal","volume":"106"},"uris":["http://www.mendeley.com/documents/?uuid=04fb8214-da70-4726-b72d-582aaa6622ae"]},{"id":"ITEM-4","itemData":{"DOI":"10.1038/nn1003","ISSN":"10976256","PMID":"12536210","author":[{"dropping-particle":"","family":"Aron","given":"Adam R.","non-dropping-particle":"","parse-names":false,"suffix":""},{"dropping-particle":"","family":"Fletcher","given":"Paul C.","non-dropping-particle":"","parse-names":false,"suffix":""},{"dropping-particle":"","family":"Bullmore","given":"Ed T.","non-dropping-particle":"","parse-names":false,"suffix":""},{"dropping-particle":"","family":"Sahakian","given":"Barbara J.","non-dropping-particle":"","parse-names":false,"suffix":""},{"dropping-particle":"","family":"Robbins","given":"Trevor W.","non-dropping-particle":"","parse-names":false,"suffix":""}],"container-title":"Nature Neuroscience","id":"ITEM-4","issue":"2","issued":{"date-parts":[["2003"]]},"page":"115-116","title":"Stop-signal inhibition disrupted by damage to right inferior frontal gyrus in humans","type":"article-journal","volume":"6"},"uris":["http://www.mendeley.com/documents/?uuid=1f3e900c-e877-4804-ae15-845fc104bb27"]}],"mendeley":{"formattedCitation":"(8–11)","plainTextFormattedCitation":"(8–11)","previouslyFormattedCitation":"(8–11)"},"properties":{"noteIndex":0},"schema":"https://github.com/citation-style-language/schema/raw/master/csl-citation.json"}</w:instrText>
      </w:r>
      <w:r w:rsidR="00E676E7">
        <w:rPr>
          <w:rFonts w:ascii="Times New Roman" w:hAnsi="Times New Roman" w:cs="Times New Roman"/>
        </w:rPr>
        <w:fldChar w:fldCharType="separate"/>
      </w:r>
      <w:r w:rsidR="00112D56" w:rsidRPr="00112D56">
        <w:rPr>
          <w:rFonts w:ascii="Times New Roman" w:hAnsi="Times New Roman" w:cs="Times New Roman"/>
          <w:noProof/>
        </w:rPr>
        <w:t>(8–11)</w:t>
      </w:r>
      <w:r w:rsidR="00E676E7">
        <w:rPr>
          <w:rFonts w:ascii="Times New Roman" w:hAnsi="Times New Roman" w:cs="Times New Roman"/>
        </w:rPr>
        <w:fldChar w:fldCharType="end"/>
      </w:r>
      <w:r w:rsidR="008C5877">
        <w:rPr>
          <w:rFonts w:ascii="Times New Roman" w:hAnsi="Times New Roman" w:cs="Times New Roman"/>
        </w:rPr>
        <w:t xml:space="preserve">. </w:t>
      </w:r>
      <w:r w:rsidR="004353BA">
        <w:rPr>
          <w:rFonts w:ascii="Times New Roman" w:hAnsi="Times New Roman" w:cs="Times New Roman"/>
        </w:rPr>
        <w:t>N</w:t>
      </w:r>
      <w:r w:rsidR="00ED41A7">
        <w:rPr>
          <w:rFonts w:ascii="Times New Roman" w:hAnsi="Times New Roman" w:cs="Times New Roman"/>
        </w:rPr>
        <w:t>eurochemical</w:t>
      </w:r>
      <w:r w:rsidR="004353BA">
        <w:rPr>
          <w:rFonts w:ascii="Times New Roman" w:hAnsi="Times New Roman" w:cs="Times New Roman"/>
        </w:rPr>
        <w:t>ly, r</w:t>
      </w:r>
      <w:r w:rsidR="00ED41A7">
        <w:rPr>
          <w:rFonts w:ascii="Times New Roman" w:hAnsi="Times New Roman" w:cs="Times New Roman"/>
        </w:rPr>
        <w:t>esponse inhibition</w:t>
      </w:r>
      <w:r w:rsidR="001E66C4">
        <w:rPr>
          <w:rFonts w:ascii="Times New Roman" w:hAnsi="Times New Roman" w:cs="Times New Roman"/>
        </w:rPr>
        <w:t xml:space="preserve"> </w:t>
      </w:r>
      <w:r w:rsidR="004353BA">
        <w:rPr>
          <w:rFonts w:ascii="Times New Roman" w:hAnsi="Times New Roman" w:cs="Times New Roman"/>
        </w:rPr>
        <w:t xml:space="preserve">encompasses </w:t>
      </w:r>
      <w:r w:rsidR="00ED41A7">
        <w:rPr>
          <w:rFonts w:ascii="Times New Roman" w:hAnsi="Times New Roman" w:cs="Times New Roman"/>
        </w:rPr>
        <w:t xml:space="preserve">dopaminergic and noradrenergic </w:t>
      </w:r>
      <w:r>
        <w:rPr>
          <w:rFonts w:ascii="Times New Roman" w:hAnsi="Times New Roman" w:cs="Times New Roman"/>
        </w:rPr>
        <w:t>mechanisms</w:t>
      </w:r>
      <w:r w:rsidR="004353BA">
        <w:rPr>
          <w:rFonts w:ascii="Times New Roman" w:hAnsi="Times New Roman" w:cs="Times New Roman"/>
        </w:rPr>
        <w:t xml:space="preserve"> </w:t>
      </w:r>
      <w:r w:rsidR="00F006B3">
        <w:rPr>
          <w:rFonts w:ascii="Times New Roman" w:hAnsi="Times New Roman" w:cs="Times New Roman"/>
        </w:rPr>
        <w:t xml:space="preserve">operating </w:t>
      </w:r>
      <w:r w:rsidR="004353BA">
        <w:rPr>
          <w:rFonts w:ascii="Times New Roman" w:hAnsi="Times New Roman" w:cs="Times New Roman"/>
        </w:rPr>
        <w:t xml:space="preserve">at distinct cortical and subcortical sites </w:t>
      </w:r>
      <w:r w:rsidR="00034A12">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{"citationItems":[{"id":"ITEM-1","itemData":{"DOI":"10.1523/jneurosci.1543-11.2011","ISBN":"1223339564","ISSN":"0270-6474","abstract":"Defining the neural and neurochemical substrates of response inhibition is of crucial importance for the study and treatment of pathologies characterized by impulsivity such as attention-deficit/hyperactivity disorder and addiction. The stop-signal task (SST) is one of the most popular paradigms used to study the speed and efficacy of inhibitory processes in humans and other animals. Here we investigated the effect of temporarily inactivating different prefrontal subregions in the rat by means of muscimol micro infusions on SST performance. We found that dorsomedial prefrontal cortical areas are important for inhibiting an already initiated response. We also investigated the possible neural substrates of the selective noradrenaline reuptake inhibitor atomoxetine via its local micro infusion into different subregions of the rat prefrontal cortex. Our results show that both orbitofrontal and dorsal prelimbic cortices mediate the beneficial effects of atomoxetine on SST performance. To assess the neurochemical specificity of these effects, we infused the α2-adrenergic agonist guanfacine and the D 1/D 2 antagonist α-flupenthixol in dorsal prelimbic cortex to interfere with noradrenergic and dopaminergic neurotransmission, respectively. Guanfacine, which modulates noradrenergic neurotransmission, selectively impaired stopping, whereas blocking dopaminergic receptors by α-flupenthixol infusion prolonged go reaction time only, confirming the important role of noradrenergic neurotransmission in response inhibition. These results show that, similar to humans, distinct networks play important roles during SST performance in the rat and that they are differentially modulated by noradrenergic and dopaminergic neurotransmission. This study advances our understanding of the neuroanatomical and neurochemical determinants of impulsivity, which are relevant for a range of psychiatric disorders. © 2011 the authors.","author":[{"dropping-particle":"","family":"Bari","given":"A.","non-dropping-particle":"","parse-names":false,"suffix":""},{"dropping-particle":"","family":"Mar","given":"A. C.","non-dropping-particle":"","parse-names":false,"suffix":""},{"dropping-particle":"","family":"Theobald","given":"D. E.","non-dropping-particle":"","parse-names":false,"suffix":""},{"dropping-particle":"","family":"Elands","given":"S. A.","non-dropping-particle":"","parse-names":false,"suffix":""},{"dropping-particle":"","family":"Oganya","given":"K. C. N. A.","non-dropping-particle":"","parse-names":false,"suffix":""},{"dropping-particle":"","family":"Eagle","given":"D. M.","non-dropping-particle":"","parse-names":false,"suffix":""},{"dropping-particle":"","family":"Robbins","given":"T. W.","non-dropping-particle":"","parse-names":false,"suffix":""}],"container-title":"Journal of Neuroscience","id":"ITEM-1","issue":"25","issued":{"date-parts":[["2011"]]},"page":"9254-9263","title":"Prefrontal and Monoaminergic Contributions to Stop-Signal Task Performance in Rats","type":"article-journal","volume":"31"},"uris":["http://www.mendeley.com/documents/?uuid=92bcd95d-9fe5-42c8-884f-9316b8a97794"]},{"id":"ITEM-2","itemData":{"DOI":"10.1146/annurev.neuro.051508.135535","ISBN":"1545-4126 (Electronic) 0147-006X (Linking)","ISSN":"0147-006X","PMID":"19555290","abstract":"We review the modulatory effects of the catecholamine neurotransmitters noradrenaline and dopamine on prefrontal cortical function. The effects of pharmacologic manipulations of these systems, sometimes in comparison with the indoleamine serotonin (5-HT), on performance on a variety of tasks that tap working memory, attentional-set formation and shifting, reversal learning, and response inhibition are compared in rodents, nonhuman primates, and humans using, in a behavioral context, several techniques ranging from microiontophoresis and single-cell electrophysiological recording to pharmacologic functional magnetic resonance imaging. Dissociable effects of drugs and neurotoxins affecting these monoamine systems suggest new ways of conceptualizing state-dependent fronto-executive functions, with implications for understanding the molecular genetic basis of mental illness and its treatment.","author":[{"dropping-particle":"","family":"Robbins","given":"T.W.","non-dropping-particle":"","parse-names":false,"suffix":""},{"dropping-particle":"","family":"Arnsten","given":"A.F.T.","non-dropping-particle":"","parse-names":false,"suffix":""}],"container-title":"Annual Review of Neuroscience","id":"ITEM-2","issue":"1","issued":{"date-parts":[["2009"]]},"page":"267-287","title":"The Neuropsychopharmacology of Fronto-Executive Function: Monoaminergic Modulation","type":"article-journal","volume":"32"},"uris":["http://www.mendeley.com/documents/?uuid=aea2777d-4be7-4524-9f2f-ad8bd839abf4"]}],"mendeley":{"formattedCitation":"(12,13)","plainTextFormattedCitation":"(12,13)","previouslyFormattedCitation":"(12,13)"},"properties":{"noteIndex":0},"schema":"https://github.com/citation-style-language/schema/raw/master/csl-citation.json"}</w:instrText>
      </w:r>
      <w:r w:rsidR="00034A12">
        <w:rPr>
          <w:rFonts w:ascii="Times New Roman" w:hAnsi="Times New Roman" w:cs="Times New Roman"/>
        </w:rPr>
        <w:fldChar w:fldCharType="separate"/>
      </w:r>
      <w:r w:rsidR="00112D56" w:rsidRPr="00112D56">
        <w:rPr>
          <w:rFonts w:ascii="Times New Roman" w:hAnsi="Times New Roman" w:cs="Times New Roman"/>
          <w:noProof/>
        </w:rPr>
        <w:t>(12,13)</w:t>
      </w:r>
      <w:r w:rsidR="00034A12">
        <w:rPr>
          <w:rFonts w:ascii="Times New Roman" w:hAnsi="Times New Roman" w:cs="Times New Roman"/>
        </w:rPr>
        <w:fldChar w:fldCharType="end"/>
      </w:r>
      <w:r w:rsidR="00ED41A7">
        <w:rPr>
          <w:rFonts w:ascii="Times New Roman" w:hAnsi="Times New Roman" w:cs="Times New Roman"/>
        </w:rPr>
        <w:t xml:space="preserve">. </w:t>
      </w:r>
      <w:r w:rsidR="006131E5">
        <w:rPr>
          <w:rFonts w:ascii="Times New Roman" w:hAnsi="Times New Roman" w:cs="Times New Roman"/>
        </w:rPr>
        <w:t>Norepinephrine</w:t>
      </w:r>
      <w:r w:rsidR="00C62EE3">
        <w:rPr>
          <w:rFonts w:ascii="Times New Roman" w:hAnsi="Times New Roman" w:cs="Times New Roman"/>
        </w:rPr>
        <w:t xml:space="preserve"> </w:t>
      </w:r>
      <w:r w:rsidR="006131E5">
        <w:rPr>
          <w:rFonts w:ascii="Times New Roman" w:hAnsi="Times New Roman" w:cs="Times New Roman"/>
        </w:rPr>
        <w:t>in particular</w:t>
      </w:r>
      <w:r w:rsidR="00C62EE3">
        <w:rPr>
          <w:rFonts w:ascii="Times New Roman" w:hAnsi="Times New Roman" w:cs="Times New Roman"/>
        </w:rPr>
        <w:t xml:space="preserve"> </w:t>
      </w:r>
      <w:r w:rsidR="006131E5">
        <w:rPr>
          <w:rFonts w:ascii="Times New Roman" w:hAnsi="Times New Roman" w:cs="Times New Roman"/>
        </w:rPr>
        <w:t>appears to have a preferential contribution to response inhibition in the prefrontal cortex (PFC)</w:t>
      </w:r>
      <w:r w:rsidR="008B16C1">
        <w:rPr>
          <w:rFonts w:ascii="Times New Roman" w:hAnsi="Times New Roman" w:cs="Times New Roman"/>
        </w:rPr>
        <w:t xml:space="preserve"> </w:t>
      </w:r>
      <w:r w:rsidR="00C62EE3">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{"citationItems":[{"id":"ITEM-1","itemData":{"DOI":"10.1523/jneurosci.1543-11.2011","ISBN":"1223339564","ISSN":"0270-6474","abstract":"Defining the neural and neurochemical substrates of response inhibition is of crucial importance for the study and treatment of pathologies characterized by impulsivity such as attention-deficit/hyperactivity disorder and addiction. The stop-signal task (SST) is one of the most popular paradigms used to study the speed and efficacy of inhibitory processes in humans and other animals. Here we investigated the effect of temporarily inactivating different prefrontal subregions in the rat by means of muscimol micro infusions on SST performance. We found that dorsomedial prefrontal cortical areas are important for inhibiting an already initiated response. We also investigated the possible neural substrates of the selective noradrenaline reuptake inhibitor atomoxetine via its local micro infusion into different subregions of the rat prefrontal cortex. Our results show that both orbitofrontal and dorsal prelimbic cortices mediate the beneficial effects of atomoxetine on SST performance. To assess the neurochemical specificity of these effects, we infused the α2-adrenergic agonist guanfacine and the D 1/D 2 antagonist α-flupenthixol in dorsal prelimbic cortex to interfere with noradrenergic and dopaminergic neurotransmission, respectively. Guanfacine, which modulates noradrenergic neurotransmission, selectively impaired stopping, whereas blocking dopaminergic receptors by α-flupenthixol infusion prolonged go reaction time only, confirming the important role of noradrenergic neurotransmission in response inhibition. These results show that, similar to humans, distinct networks play important roles during SST performance in the rat and that they are differentially modulated by noradrenergic and dopaminergic neurotransmission. This study advances our understanding of the neuroanatomical and neurochemical determinants of impulsivity, which are relevant for a range of psychiatric disorders. © 2011 the authors.","author":[{"dropping-particle":"","family":"Bari","given":"A.","non-dropping-particle":"","parse-names":false,"suffix":""},{"dropping-particle":"","family":"Mar","given":"A. C.","non-dropping-particle":"","parse-names":false,"suffix":""},{"dropping-particle":"","family":"Theobald","given":"D. E.","non-dropping-particle":"","parse-names":false,"suffix":""},{"dropping-particle":"","family":"Elands","given":"S. A.","non-dropping-particle":"","parse-names":false,"suffix":""},{"dropping-particle":"","family":"Oganya","given":"K. C. N. A.","non-dropping-particle":"","parse-names":false,"suffix":""},{"dropping-particle":"","family":"Eagle","given":"D. M.","non-dropping-particle":"","parse-names":false,"suffix":""},{"dropping-particle":"","family":"Robbins","given":"T. W.","non-dropping-particle":"","parse-names":false,"suffix":""}],"container-title":"Journal of Neuroscience","id":"ITEM-1","issue":"25","issued":{"date-parts":[["2011"]]},"page":"9254-9263","title":"Prefrontal and Monoaminergic Contributions to Stop-Signal Task Performance in Rats","type":"article-journal","volume":"31"},"uris":["http://www.mendeley.com/documents/?uuid=92bcd95d-9fe5-42c8-884f-9316b8a97794"]},{"id":"ITEM-2","itemData":{"abstract":"Cognitive functions dependent on the prefrontal cortex, such as the ability to suppress behavior (response inhibition) and to learn from complex feedback (probabilistic learning), play critical roles in activities of daily life. To what extent do different neurochemical systems modulate these two cognitive functions? Here, using stop-signal and probabilistic learning tasks, we show a double dissociation for the involvement of noradrenaline and serotonin in human cognition. In healthy volunteers, inhibition of central noradrenaline reuptake improved response inhibition but had no effect on probabilistic learning, whereas inhibition of central serotonin reuptake impaired probabilistic learning with no effect on response inhibition. scending","author":[{"dropping-particle":"","family":"Chamberlain","given":"Samuel R.","non-dropping-particle":"","parse-names":false,"suffix":""},{"dropping-particle":"","family":"Mueller","given":"Ulrich","non-dropping-particle":"","parse-names":false,"suffix":""},{"dropping-particle":"","family":"Blackwell","given":"Andrew D.","non-dropping-particle":"","parse-names":false,"suffix":""},{"dropping-particle":"","family":"Clark","given":"Luke","non-dropping-particle":"","parse-names":false,"suffix":""},{"dropping-particle":"","family":"Robbins","given":"Trevor W.","non-dropping-particle":"","parse-names":false,"suffix":""},{"dropping-particle":"","family":"Sahakian","given":"Barbara J.","non-dropping-particle":"","parse-names":false,"suffix":""}],"container-title":"Science","id":"ITEM-2","issue":"February","issued":{"date-parts":[["2006"]]},"page":"861-863","title":"Neurochemical Modulation of Response Inhibition and Probabilistic Learning in Humans","type":"article-journal","volume":"311"},"uris":["http://www.mendeley.com/documents/?uuid=2412bc65-ffbe-4012-9db3-296e7ab43a51"]}],"mendeley":{"formattedCitation":"(12,14)","plainTextFormattedCitation":"(12,14)","previouslyFormattedCitation":"(12,14)"},"properties":{"noteIndex":0},"schema":"https://github.com/citation-style-language/schema/raw/master/csl-citation.json"}</w:instrText>
      </w:r>
      <w:r w:rsidR="00C62EE3">
        <w:rPr>
          <w:rFonts w:ascii="Times New Roman" w:hAnsi="Times New Roman" w:cs="Times New Roman"/>
        </w:rPr>
        <w:fldChar w:fldCharType="separate"/>
      </w:r>
      <w:r w:rsidR="00112D56" w:rsidRPr="00112D56">
        <w:rPr>
          <w:rFonts w:ascii="Times New Roman" w:hAnsi="Times New Roman" w:cs="Times New Roman"/>
          <w:noProof/>
        </w:rPr>
        <w:t>(12,14)</w:t>
      </w:r>
      <w:r w:rsidR="00C62EE3">
        <w:rPr>
          <w:rFonts w:ascii="Times New Roman" w:hAnsi="Times New Roman" w:cs="Times New Roman"/>
        </w:rPr>
        <w:fldChar w:fldCharType="end"/>
      </w:r>
      <w:r w:rsidR="00C62EE3">
        <w:rPr>
          <w:rFonts w:ascii="Times New Roman" w:hAnsi="Times New Roman" w:cs="Times New Roman"/>
        </w:rPr>
        <w:t>.</w:t>
      </w:r>
    </w:p>
    <w:p w14:paraId="67E42466" w14:textId="37634098" w:rsidR="00FE5B0B" w:rsidRPr="00C70A3A" w:rsidRDefault="008F138B" w:rsidP="00BF7E9E">
      <w:pPr>
        <w:spacing w:line="360" w:lineRule="auto"/>
        <w:rPr>
          <w:rFonts w:ascii="Times New Roman" w:hAnsi="Times New Roman" w:cs="Times New Roman"/>
        </w:rPr>
      </w:pPr>
      <w:r>
        <w:rPr>
          <w:rFonts w:ascii="Times New Roman" w:hAnsi="Times New Roman" w:cs="Times New Roman"/>
        </w:rPr>
        <w:t xml:space="preserve">Given the prominence of response inhibition difficulties in the conceptualisation of addiction models </w:t>
      </w:r>
      <w:r w:rsidR="00422178">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{"citationItems":[{"id":"ITEM-1","itemData":{"DOI":"10.1038/nrn3119","ISBN":"1471-003X","ISSN":"1471003X","PMID":"22011681","abstract":"The loss of control over drug intake that occurs in addiction was initially believed to result from disruption of subcortical reward circuits. However, imaging studies in addictive behaviours have identified a key involvement of the prefrontal cortex (PFC) both through its regulation of limbic reward regions and its involvement in higher-order executive function (for example, self-control, salience attribution and awareness). This Review focuses on functional neuroimaging studies conducted in the past decade that have expanded our understanding of the involvement of the PFC in drug addiction. Disruption of the PFC in addiction underlies not only compulsive drug taking but also accounts for the disadvantageous behaviours that are associated with addiction and the erosion of free will.","author":[{"dropping-particle":"","family":"Goldstein","given":"Rita Z.","non-dropping-particle":"","parse-names":false,"suffix":""},{"dropping-particle":"","family":"Volkow","given":"Nora D.","non-dropping-particle":"","parse-names":false,"suffix":""}],"container-title":"Nature Reviews Neuroscience","id":"ITEM-1","issue":"11","issued":{"date-parts":[["2011"]]},"page":"652-669","publisher":"Nature Publishing Group","title":"Dysfunction of the prefrontal cortex in addiction: Neuroimaging findings and clinical implications","type":"article-journal","volume":"12"},"uris":["http://www.mendeley.com/documents/?uuid=147bbe88-59c6-484c-82a5-f5d6a018928f"]}],"mendeley":{"formattedCitation":"(7)","plainTextFormattedCitation":"(7)","previouslyFormattedCitation":"(7)"},"properties":{"noteIndex":0},"schema":"https://github.com/citation-style-language/schema/raw/master/csl-citation.json"}</w:instrText>
      </w:r>
      <w:r w:rsidR="00422178">
        <w:rPr>
          <w:rFonts w:ascii="Times New Roman" w:hAnsi="Times New Roman" w:cs="Times New Roman"/>
        </w:rPr>
        <w:fldChar w:fldCharType="separate"/>
      </w:r>
      <w:r w:rsidR="00112D56" w:rsidRPr="00112D56">
        <w:rPr>
          <w:rFonts w:ascii="Times New Roman" w:hAnsi="Times New Roman" w:cs="Times New Roman"/>
          <w:noProof/>
        </w:rPr>
        <w:t>(7)</w:t>
      </w:r>
      <w:r w:rsidR="00422178">
        <w:rPr>
          <w:rFonts w:ascii="Times New Roman" w:hAnsi="Times New Roman" w:cs="Times New Roman"/>
        </w:rPr>
        <w:fldChar w:fldCharType="end"/>
      </w:r>
      <w:r w:rsidR="0071656D">
        <w:rPr>
          <w:rFonts w:ascii="Times New Roman" w:hAnsi="Times New Roman" w:cs="Times New Roman"/>
        </w:rPr>
        <w:t>,</w:t>
      </w:r>
      <w:r>
        <w:rPr>
          <w:rFonts w:ascii="Times New Roman" w:hAnsi="Times New Roman" w:cs="Times New Roman"/>
        </w:rPr>
        <w:t xml:space="preserve"> </w:t>
      </w:r>
      <w:r w:rsidR="00A87329">
        <w:rPr>
          <w:rFonts w:ascii="Times New Roman" w:hAnsi="Times New Roman" w:cs="Times New Roman"/>
        </w:rPr>
        <w:t>p</w:t>
      </w:r>
      <w:r w:rsidR="00575877">
        <w:rPr>
          <w:rFonts w:ascii="Times New Roman" w:hAnsi="Times New Roman" w:cs="Times New Roman"/>
        </w:rPr>
        <w:t xml:space="preserve">harmacological interventions </w:t>
      </w:r>
      <w:r w:rsidR="006131E5">
        <w:rPr>
          <w:rFonts w:ascii="Times New Roman" w:hAnsi="Times New Roman" w:cs="Times New Roman"/>
        </w:rPr>
        <w:t xml:space="preserve">of norepinephrine neurotransmission </w:t>
      </w:r>
      <w:r w:rsidR="00575877">
        <w:rPr>
          <w:rFonts w:ascii="Times New Roman" w:hAnsi="Times New Roman" w:cs="Times New Roman"/>
        </w:rPr>
        <w:t>have been suggested as potentially improving executive inhibitory control in addiction</w:t>
      </w:r>
      <w:r w:rsidR="00FC2FEC">
        <w:rPr>
          <w:rFonts w:ascii="Times New Roman" w:hAnsi="Times New Roman" w:cs="Times New Roman"/>
        </w:rPr>
        <w:t>,</w:t>
      </w:r>
      <w:r w:rsidR="00575877">
        <w:rPr>
          <w:rFonts w:ascii="Times New Roman" w:hAnsi="Times New Roman" w:cs="Times New Roman"/>
        </w:rPr>
        <w:t xml:space="preserve"> though its effects in CUD remain to be established </w:t>
      </w:r>
      <w:r w:rsidR="002D7ED6">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{"citationItems":[{"id":"ITEM-1","itemData":{"DOI":"10.1111/j.1369-1600.2008.00138.x","ISSN":"13556215","abstract":"No pharmacotherapies are approved for stimulant use disorders, which are an important public health problem. Stimulants increase synaptic levels of the monoamines dopamine (DA), serotonin and norepinephrine (NE). Stimulant reward is attributable mostly to increased DA in the reward circuitry, although DA stimulation alone cannot explain the rewarding effects of stimulants. The noradrenergic system, which uses NE as the main chemical messenger, serves multiple brain functions including arousal, attention, mood, learning, memory and stress response. In pre-clinical models of addiction, NE is critically involved in mediating stimulant effects including sensitization, drug discrimination and reinstatement of drug seeking. In clinical studies, adrenergic blockers have shown promise as treatments for cocaine abuse and dependence, especially in patients experiencing severe withdrawal symptoms. Disulfiram, which blocks NE synthesis, increased the number of cocaine-negative urines in five randomized clinical trials. Lofexidine, an alpha(2)-adrenergic agonist, reduces the craving induced by stress and drug cues in drug users. In addition, the NE transporter (NET) inhibitor atomoxetine attenuates some of d-amphetamine's subjective and physiological effects in humans. These findings warrant further studies evaluating noradrenergic medications as treatments for stimulant addiction.","author":[{"dropping-particle":"","family":"Sofuoglu","given":"Mehmet","non-dropping-particle":"","parse-names":false,"suffix":""},{"dropping-particle":"","family":"Sewell","given":"R. Andrew","non-dropping-particle":"","parse-names":false,"suffix":""}],"container-title":"Addiction Biology","id":"ITEM-1","issue":"2","issued":{"date-parts":[["2009"]]},"page":"119-129","title":"Norepinephrine and stimulant addiction","type":"article-journal","volume":"14"},"uris":["http://www.mendeley.com/documents/?uuid=aefdf152-50e3-4c70-beb3-fba058810212"]},{"id":"ITEM-2","itemData":{"DOI":"10.1016/j.neuropharm.2012.06.021","ISSN":"18737064","abstract":"Drug addiction continues to be an important public health problem, with an estimated 22.6 million current illicit drug users in the United States alone. For many addictions, including cocaine, methamphetamine, and marijuana addiction, there are no approved pharmacological treatments. Behavioral treatments are effective but effects vary widely across individuals. Treatments that are effective across multiple addictions are greatly needed, and accumulating evidence suggests that one such approach may be pharmacological or behavioral interventions that enhance executive inhibitory control in addicts. Current evidence indicates that most forms of chronic drug use may be associated with significant cognitive impairments, especially in attention, working memory, and response inhibition functions. In some studies, these impairments predict poor treatment retention and outcome. A number of cognitive enhancing agents, including galantamine, modafinil, atomoxetine, methylphenidate, and guanfacine, have shown promising findings in human studies. Specific behavioral interventions, including cognitive remediation, also show promise. However, whether improvement of selective cognitive functions reduces drug use behavior remains to be determined. Cognitive enhancement to improve treatment outcomes is a novel strategy worthy of future research, as are related questions such as whether these approaches may be broadly beneficial to most addicts or best reserved for substance users with specific demonstrated cognitive impairments. This article is part of a Special Issue entitled 'Cognitive Enhancers'. © 2012 Elsevier Ltd. All rights reserved.","author":[{"dropping-particle":"","family":"Sofuoglu","given":"Mehmet","non-dropping-particle":"","parse-names":false,"suffix":""},{"dropping-particle":"","family":"Devito","given":"Elise E.","non-dropping-particle":"","parse-names":false,"suffix":""},{"dropping-particle":"","family":"Waters","given":"Andrew J.","non-dropping-particle":"","parse-names":false,"suffix":""},{"dropping-particle":"","family":"Carroll","given":"Kathleen M.","non-dropping-particle":"","parse-names":false,"suffix":""}],"container-title":"Neuropharmacology","id":"ITEM-2","issued":{"date-parts":[["2013"]]},"page":"452-463","publisher":"Elsevier Ltd","title":"Cognitive enhancement as a treatment for drug addictions","type":"article-journal","volume":"64"},"uris":["http://www.mendeley.com/documents/?uuid=e577b8bd-344e-404d-85af-d48528da12a1"]},{"id":"ITEM-3","itemData":{"DOI":"10.1016/bs.pbr.2015.07.017","ISBN":"9780444637161","ISSN":"18757855","abstract":"Substance use disorders (SUD) are complex and often chronic diseases with negative health outcomes and social consequences. Pharmacological treatment options for SUD can be separated in medications for (i) intoxication, (ii) withdrawal, and (iii) reduction of use together with relapse prevention. This chapter will focus on approved or clinically established pharmacological strategies suited to manage symptoms of withdrawal, and to reduce substance use or to promote abstinence. Hereby SUD involving alcohol, nicotine, stimulants, and opioids are primarily discussed as these substances are considered most harmful for both the individual and the society. Moreover, the pharmacotherapy of SUD related to the use of cannabis, benzodiazepines, and gamma-hydroxybutyrate is also briefly reviewed. Since most approved pharmacological treatment options show only moderate effect sizes especially in the long term, the development of new treatment strategies including new drugs, new combinations of available compounds, and biomarkers for response prediction is still warranted. © 2016 Elsevier B.V.","author":[{"dropping-particle":"","family":"Quednow","given":"Boris B.","non-dropping-particle":"","parse-names":false,"suffix":""},{"dropping-particle":"","family":"Herdener","given":"Marcus","non-dropping-particle":"","parse-names":false,"suffix":""}],"container-title":"Progress in Brain Research","edition":"1","id":"ITEM-3","issued":{"date-parts":[["2016"]]},"number-of-pages":"227-250","publisher":"Elsevier B.V.","title":"Human pharmacology for addiction medicine: From evidence to clinical recommendations.","type":"book","volume":"224"},"uris":["http://www.mendeley.com/documents/?uuid=8acd9f7a-4ee5-4b42-b2c4-16a16fa9eacc"]}],"mendeley":{"formattedCitation":"(15–17)","plainTextFormattedCitation":"(15–17)","previouslyFormattedCitation":"(15–17)"},"properties":{"noteIndex":0},"schema":"https://github.com/citation-style-language/schema/raw/master/csl-citation.json"}</w:instrText>
      </w:r>
      <w:r w:rsidR="002D7ED6">
        <w:rPr>
          <w:rFonts w:ascii="Times New Roman" w:hAnsi="Times New Roman" w:cs="Times New Roman"/>
        </w:rPr>
        <w:fldChar w:fldCharType="separate"/>
      </w:r>
      <w:r w:rsidR="00112D56" w:rsidRPr="00112D56">
        <w:rPr>
          <w:rFonts w:ascii="Times New Roman" w:hAnsi="Times New Roman" w:cs="Times New Roman"/>
          <w:noProof/>
        </w:rPr>
        <w:t>(15–17)</w:t>
      </w:r>
      <w:r w:rsidR="002D7ED6">
        <w:rPr>
          <w:rFonts w:ascii="Times New Roman" w:hAnsi="Times New Roman" w:cs="Times New Roman"/>
        </w:rPr>
        <w:fldChar w:fldCharType="end"/>
      </w:r>
      <w:r w:rsidR="00575877">
        <w:rPr>
          <w:rFonts w:ascii="Times New Roman" w:hAnsi="Times New Roman" w:cs="Times New Roman"/>
        </w:rPr>
        <w:t>. A</w:t>
      </w:r>
      <w:r w:rsidRPr="003A3309">
        <w:rPr>
          <w:rFonts w:ascii="Times New Roman" w:hAnsi="Times New Roman" w:cs="Times New Roman"/>
        </w:rPr>
        <w:t xml:space="preserve">tomoxetine </w:t>
      </w:r>
      <w:r w:rsidR="00B778BA" w:rsidRPr="003A3309">
        <w:rPr>
          <w:rFonts w:ascii="Times New Roman" w:hAnsi="Times New Roman" w:cs="Times New Roman"/>
        </w:rPr>
        <w:t xml:space="preserve">is </w:t>
      </w:r>
      <w:r w:rsidRPr="003A3309">
        <w:rPr>
          <w:rFonts w:ascii="Times New Roman" w:hAnsi="Times New Roman" w:cs="Times New Roman"/>
        </w:rPr>
        <w:t xml:space="preserve">a </w:t>
      </w:r>
      <w:r w:rsidR="00490143" w:rsidRPr="003A3309">
        <w:rPr>
          <w:rFonts w:ascii="Times New Roman" w:hAnsi="Times New Roman" w:cs="Times New Roman"/>
        </w:rPr>
        <w:t xml:space="preserve">well-tolerated </w:t>
      </w:r>
      <w:r w:rsidRPr="003A3309">
        <w:rPr>
          <w:rFonts w:ascii="Times New Roman" w:hAnsi="Times New Roman" w:cs="Times New Roman"/>
        </w:rPr>
        <w:t xml:space="preserve">selective presynaptic </w:t>
      </w:r>
      <w:r w:rsidR="000F1DE6">
        <w:rPr>
          <w:rFonts w:ascii="Times New Roman" w:hAnsi="Times New Roman" w:cs="Times New Roman"/>
        </w:rPr>
        <w:t>norepinephrine</w:t>
      </w:r>
      <w:r w:rsidR="000F1DE6" w:rsidRPr="003A3309">
        <w:rPr>
          <w:rFonts w:ascii="Times New Roman" w:hAnsi="Times New Roman" w:cs="Times New Roman"/>
        </w:rPr>
        <w:t xml:space="preserve"> </w:t>
      </w:r>
      <w:r w:rsidRPr="003A3309">
        <w:rPr>
          <w:rFonts w:ascii="Times New Roman" w:hAnsi="Times New Roman" w:cs="Times New Roman"/>
        </w:rPr>
        <w:t xml:space="preserve">transporter blocker </w:t>
      </w:r>
      <w:r w:rsidR="00391B88">
        <w:rPr>
          <w:rFonts w:ascii="Times New Roman" w:hAnsi="Times New Roman" w:cs="Times New Roman"/>
        </w:rPr>
        <w:fldChar w:fldCharType="begin" w:fldLock="1"/>
      </w:r>
      <w:r w:rsidR="00C30855">
        <w:rPr>
          <w:rFonts w:ascii="Times New Roman" w:hAnsi="Times New Roman" w:cs="Times New Roman"/>
        </w:rPr>
        <w:instrText>ADDIN CSL_CITATION {"citationItems":[{"id":"ITEM-1","itemData":{"author":[{"dropping-particle":"","family":"Swanson","given":"Chad J","non-dropping-particle":"","parse-names":false,"suffix":""},{"dropping-particle":"","family":"Perry","given":"Kenneth W","non-dropping-particle":"","parse-names":false,"suffix":""},{"dropping-particle":"","family":"Koch-Krueger","given":"Susanne","non-dropping-particle":"","parse-names":false,"suffix":""},{"dropping-particle":"","family":"Katner","given":"Jason","non-dropping-particle":"","parse-names":false,"suffix":""},{"dropping-particle":"","family":"Svensson","given":"Kjell A","non-dropping-particle":"","parse-names":false,"suffix":""},{"dropping-particle":"","family":"Bymaster","given":"Frank P","non-dropping-particle":"","parse-names":false,"suffix":""}],"container-title":"Neuropharmacology","id":"ITEM-1","issue":"6","issued":{"date-parts":[["2006"]]},"page":"755-60","title":"Effect of the attention deficit/hyperactivity disorder drug atomoxetine on extracellular concentrations of norepinephrine and dopamine in several brain regions of the rat","type":"article-journal","volume":"50"},"uris":["http://www.mendeley.com/documents/?uuid=f6d31fca-308f-401f-bec6-2f24b4272c2d"]},{"id":"ITEM-2","itemData":{"DOI":"10.1007/s00213-013-2986-z","ISSN":"00333158","PMID":"23397050","abstract":"Rationale: Treatment of attention-deficit/hyperactivity disorder (ADHD) has for many years relied on psychostimulants, particularly various formulations of amphetamines and methylphenidate. These are central nervous system stimulants and are scheduled because of their abuse potential. Atomoxetine (atomoxetine hydrochloride; Strattera®) was approved in 2002 for treatment of ADHD, and was the first nonstimulant medication approved for this disorder. It was classified as an unscheduled medication indicating a low potential for abuse. However, the abuse potential of atomoxetine has not been reviewed. Objectives: In this article, we review the evidence regarding abuse potential of atomoxetine, a selective inhibitor of the presynaptic norepinephrine transporter, which is unscheduled/unrestricted in all countries where it is approved. Methods: Results from receptor binding, in vitro electrophysiology, in vivo microdialysis, preclinical behavioral, and human laboratory studies have been reviewed. Results: Atomoxetine has no appreciable affinity for, or action at, central receptors through which drugs of abuse typically act, i.e., dopamine transporters, GABAA receptors, and opioid μ receptors. In behavioral experiments in rodents, atomoxetine does not increase locomotor activity, and in drug discrimination studies, its profile is similar to that of drugs without abuse potential. Atomoxetine does not serve as a reinforcer in monkey self-administration studies, and human laboratory studies suggest that atomoxetine does not induce subjective effects indicative of abuse. Conclusion: Neurochemical, preclinical, and early clinical studies predicted and supported a lack of abuse potential of atomoxetine, which is consistent with the clinical trial and postmarketing spontaneous event data in the past 10 years. © 2013 The Author(s).","author":[{"dropping-particle":"","family":"Upadhyaya","given":"Himanshu P.","non-dropping-particle":"","parse-names":false,"suffix":""},{"dropping-particle":"","family":"Desaiah","given":"Durisala","non-dropping-particle":"","parse-names":false,"suffix":""},{"dropping-particle":"","family":"Schuh","given":"Kory J.","non-dropping-particle":"","parse-names":false,"suffix":""},{"dropping-particle":"","family":"Bymaster","given":"Frank P.","non-dropping-particle":"","parse-names":false,"suffix":""},{"dropping-particle":"","family":"Kallman","given":"Mary J.","non-dropping-particle":"","parse-names":false,"suffix":""},{"dropping-particle":"","family":"Clarke","given":"David O.","non-dropping-particle":"","parse-names":false,"suffix":""},{"dropping-particle":"","family":"Durell","given":"Todd M.","non-dropping-particle":"","parse-names":false,"suffix":""},{"dropping-particle":"","family":"Trzepacz","given":"Paula T.","non-dropping-particle":"","parse-names":false,"suffix":""},{"dropping-particle":"","family":"Calligaro","given":"David O.","non-dropping-particle":"","parse-names":false,"suffix":""},{"dropping-particle":"","family":"Nisenbaum","given":"Eric S.","non-dropping-particle":"","parse-names":false,"suffix":""},{"dropping-particle":"","family":"Emmerson","given":"Paul J.","non-dropping-particle":"","parse-names":false,"suffix":""},{"dropping-particle":"","family":"Schuh","given":"Leslie M.","non-dropping-particle":"","parse-names":false,"suffix":""},{"dropping-particle":"","family":"Bickel","given":"Warren K.","non-dropping-particle":"","parse-names":false,"suffix":""},{"dropping-particle":"","family":"Allen","given":"Albert J.","non-dropping-particle":"","parse-names":false,"suffix":""}],"container-title":"Psychopharmacology","id":"ITEM-2","issue":"2","issued":{"date-parts":[["2013"]]},"page":"189-200","title":"A review of the abuse potential assessment of atomoxetine: A nonstimulant medication for attention-deficit/hyperactivity disorder","type":"article-journal","volume":"226"},"uris":["http://www.mendeley.com/documents/?uuid=6c050fdc-70c9-446e-8298-511aefbde36d"]},{"id":"ITEM-3","itemData":{"abstract":"The selective norepinephrine (NE) transporter inhibitor atomoxetine (former ly called tomoxetine or LY139603) has been shown to alleviate symptoms in A ttention Deficit/Hyperactivity Disorder (ADHD). We investigated the mechani sm of action of atomoxetine in ADHD by evaluating the interaction of atomox etine with monoamine transporters, the effects on extracellular levels of m onoamines, and the expression of the neuronal activity marker Fos in brain regions. Atomoxetine inhibited binding of radioligands to clonal cell lines transfected with human NE, serotonin (5-HT) and dopamine (DA) transporters with dissociation constants (K-i) values of 5, 77 and 1451 nM, respectivel y, demonstrating selectivity for NE transporters. In microdialysis studies, atomoxetine increased extracellular (EX) levels of NE in prefrontal cortex (PFC) 3-fold, but did not alter 5-HTEX levels. Atomoxetine also increased DA(EX) concentrations in PFC 3-fold, but did not alter DA(EX) in striatum o r nucleus accumbens. In contrast, the psychostimulant methylphenidate, whic h is used in ADHD therapy, increased NEEX and DA(EX) equally in PFC, but al so increased DA(EX) in the striatum and nucleus accumbens to the same level . The expression of the neuronal activity marker Fos was increased 3.7-fold in PFC by atomoxetine administration, but was not increased in the striatu m or nucleus accumbens, consistent with the regional distribution of increa sed DA(EX). We hypothesize that the atomoxetine-induced increase of catecho lamines in PFC, a region involved in attention and memory, mediates the the rapeutic effects of atomoxetine in ADHD. In contrast to methylphenidate, at omoxetine did not increase DA in striatum or nucleus accumbens, suggesting it would not have motoric or drug abuse liabilities. (C) 2002 American Coll ege of Neuropsychopharmacology. Published by Elsevier Science Inc.","author":[{"dropping-particle":"","family":"Bymaster","given":"F P","non-dropping-particle":"","parse-names":false,"suffix":""},{"dropping-particle":"","family":"Katner","given":"J S","non-dropping-particle":"","parse-names":false,"suffix":""},{"dropping-particle":"","family":"Nelson","given":"D L","non-dropping-particle":"","parse-names":false,"suffix":""},{"dropping-particle":"","family":"Hemrick-Luecke","given":"S K","non-dropping-particle":"","parse-names":false,"suffix":""},{"dropping-particle":"","family":"Threlkeld","given":"P G","non-dropping-particle":"","parse-names":false,"suffix":""},{"dropping-particle":"","family":"Heiligenstein","given":"J H","non-dropping-particle":"","parse-names":false,"suffix":""},{"dropping-particle":"","family":"Morin","given":"S M","non-dropping-particle":"","parse-names":false,"suffix":""},{"dropping-particle":"","family":"Gehlert","given":"D R","non-dropping-particle":"","parse-names":false,"suffix":""},{"dropping-particle":"","family":"Perry","given":"K W","non-dropping-particle":"","parse-names":false,"suffix":""}],"container-title":"Neuropsychopharmacology","id":"ITEM-3","issue":"02","issued":{"date-parts":[["2002"]]},"title":"Atomoxetine increases extracellular levels of norepinephrine and dopamine in prefrontal cortex of rat","type":"article-journal"},"uris":["http://www.mendeley.com/documents/?uuid=6658fe88-397c-4300-8607-5966c348d91a"]}],"mendeley":{"formattedCitation":"(18–20)","plainTextFormattedCitation":"(18–20)","previouslyFormattedCitation":"(18–20)"},"properties":{"noteIndex":0},"schema":"https://github.com/citation-style-language/schema/raw/master/csl-citation.json"}</w:instrText>
      </w:r>
      <w:r w:rsidR="00391B88">
        <w:rPr>
          <w:rFonts w:ascii="Times New Roman" w:hAnsi="Times New Roman" w:cs="Times New Roman"/>
        </w:rPr>
        <w:fldChar w:fldCharType="separate"/>
      </w:r>
      <w:r w:rsidR="00112D56" w:rsidRPr="00112D56">
        <w:rPr>
          <w:rFonts w:ascii="Times New Roman" w:hAnsi="Times New Roman" w:cs="Times New Roman"/>
          <w:noProof/>
        </w:rPr>
        <w:t>(18–20)</w:t>
      </w:r>
      <w:r w:rsidR="00391B88">
        <w:rPr>
          <w:rFonts w:ascii="Times New Roman" w:hAnsi="Times New Roman" w:cs="Times New Roman"/>
        </w:rPr>
        <w:fldChar w:fldCharType="end"/>
      </w:r>
      <w:r w:rsidR="00391B88">
        <w:rPr>
          <w:rFonts w:ascii="Times New Roman" w:hAnsi="Times New Roman" w:cs="Times New Roman"/>
        </w:rPr>
        <w:t xml:space="preserve"> </w:t>
      </w:r>
      <w:r w:rsidRPr="003A3309">
        <w:rPr>
          <w:rFonts w:ascii="Times New Roman" w:hAnsi="Times New Roman" w:cs="Times New Roman"/>
        </w:rPr>
        <w:t>prescribed for Attention Deficit Hyperactivity Disorder (ADHD)</w:t>
      </w:r>
      <w:r w:rsidR="00DC064B" w:rsidRPr="003A3309">
        <w:rPr>
          <w:rFonts w:ascii="Times New Roman" w:hAnsi="Times New Roman" w:cs="Times New Roman"/>
        </w:rPr>
        <w:t xml:space="preserve">, which is also </w:t>
      </w:r>
      <w:r w:rsidRPr="003A3309">
        <w:rPr>
          <w:rFonts w:ascii="Times New Roman" w:hAnsi="Times New Roman" w:cs="Times New Roman"/>
        </w:rPr>
        <w:t xml:space="preserve">characterised by impulsive </w:t>
      </w:r>
      <w:proofErr w:type="spellStart"/>
      <w:r w:rsidRPr="003A3309">
        <w:rPr>
          <w:rFonts w:ascii="Times New Roman" w:hAnsi="Times New Roman" w:cs="Times New Roman"/>
        </w:rPr>
        <w:t>behavior</w:t>
      </w:r>
      <w:proofErr w:type="spellEnd"/>
      <w:r w:rsidRPr="003A3309">
        <w:rPr>
          <w:rFonts w:ascii="Times New Roman" w:hAnsi="Times New Roman" w:cs="Times New Roman"/>
        </w:rPr>
        <w:t xml:space="preserve"> and poor response control</w:t>
      </w:r>
      <w:r w:rsidR="002A4B08">
        <w:rPr>
          <w:rFonts w:ascii="Times New Roman" w:hAnsi="Times New Roman" w:cs="Times New Roman"/>
        </w:rPr>
        <w:t xml:space="preserve"> </w:t>
      </w:r>
      <w:r w:rsidR="002A4B08">
        <w:rPr>
          <w:rFonts w:ascii="Times New Roman" w:hAnsi="Times New Roman" w:cs="Times New Roman"/>
        </w:rPr>
        <w:fldChar w:fldCharType="begin" w:fldLock="1"/>
      </w:r>
      <w:r w:rsidR="00C30855">
        <w:rPr>
          <w:rFonts w:ascii="Times New Roman" w:hAnsi="Times New Roman" w:cs="Times New Roman"/>
        </w:rPr>
        <w:instrText>ADDIN CSL_CITATION {"citationItems":[{"id":"ITEM-1","itemData":{"author":[{"dropping-particle":"V.","family":"Faraone","given":"Stephen","non-dropping-particle":"","parse-names":false,"suffix":""},{"dropping-particle":"","family":"Asherson","given":"Philip","non-dropping-particle":"","parse-names":false,"suffix":""},{"dropping-particle":"","family":"Banaschewski","given":"Tobias","non-dropping-particle":"","parse-names":false,"suffix":""},{"dropping-particle":"","family":"Biederman","given":"Joseph","non-dropping-particle":"","parse-names":false,"suffix":""},{"dropping-particle":"","family":"Buitelaar","given":"Jan K.","non-dropping-particle":"","parse-names":false,"suffix":""},{"dropping-particle":"","family":"Ramos-Quiroga","given":"Josep Antoni","non-dropping-particle":"","parse-names":false,"suffix":""},{"dropping-particle":"","family":"Rohde","given":"Luis Augusto","non-dropping-particle":"","parse-names":false,"suffix":""},{"dropping-particle":"","family":"Sonuga-Barke","given":"Edmund J. S.","non-dropping-particle":"","parse-names":false,"suffix":""},{"dropping-particle":"","family":"Tannock","given":"Rosemary","non-dropping-particle":"","parse-names":false,"suffix":""},{"dropping-particle":"","family":"Franke","given":"Barbara","non-dropping-particle":"","parse-names":false,"suffix":""}],"container-title":"Nature Reviews Disease Primers volume","id":"ITEM-1","issued":{"date-parts":[["2015"]]},"title":"Attention-deficit/hyperactivity disorder","type":"article-journal","volume":"1"},"uris":["http://www.mendeley.com/documents/?uuid=2fb52695-679c-4587-a425-2d58655b9369"]}],"mendeley":{"formattedCitation":"(21)","plainTextFormattedCitation":"(21)","previouslyFormattedCitation":"(21)"},"properties":{"noteIndex":0},"schema":"https://github.com/citation-style-language/schema/raw/master/csl-citation.json"}</w:instrText>
      </w:r>
      <w:r w:rsidR="002A4B08">
        <w:rPr>
          <w:rFonts w:ascii="Times New Roman" w:hAnsi="Times New Roman" w:cs="Times New Roman"/>
        </w:rPr>
        <w:fldChar w:fldCharType="separate"/>
      </w:r>
      <w:r w:rsidR="00112D56" w:rsidRPr="00112D56">
        <w:rPr>
          <w:rFonts w:ascii="Times New Roman" w:hAnsi="Times New Roman" w:cs="Times New Roman"/>
          <w:noProof/>
        </w:rPr>
        <w:t>(21)</w:t>
      </w:r>
      <w:r w:rsidR="002A4B08">
        <w:rPr>
          <w:rFonts w:ascii="Times New Roman" w:hAnsi="Times New Roman" w:cs="Times New Roman"/>
        </w:rPr>
        <w:fldChar w:fldCharType="end"/>
      </w:r>
      <w:r>
        <w:rPr>
          <w:rFonts w:ascii="Times New Roman" w:hAnsi="Times New Roman" w:cs="Times New Roman"/>
        </w:rPr>
        <w:t>.</w:t>
      </w:r>
      <w:r w:rsidR="00490143">
        <w:rPr>
          <w:rFonts w:ascii="Times New Roman" w:hAnsi="Times New Roman" w:cs="Times New Roman"/>
        </w:rPr>
        <w:t xml:space="preserve"> </w:t>
      </w:r>
      <w:r w:rsidR="00B778BA">
        <w:rPr>
          <w:rFonts w:ascii="Times New Roman" w:hAnsi="Times New Roman" w:cs="Times New Roman"/>
        </w:rPr>
        <w:t xml:space="preserve">Acute administration of atomoxetine has been found to improve response inhibition in healthy volunteers and </w:t>
      </w:r>
      <w:r w:rsidR="00DC064B">
        <w:rPr>
          <w:rFonts w:ascii="Times New Roman" w:hAnsi="Times New Roman" w:cs="Times New Roman"/>
        </w:rPr>
        <w:t xml:space="preserve">in </w:t>
      </w:r>
      <w:r w:rsidR="00B778BA">
        <w:rPr>
          <w:rFonts w:ascii="Times New Roman" w:hAnsi="Times New Roman" w:cs="Times New Roman"/>
        </w:rPr>
        <w:t xml:space="preserve">adult ADHD patients </w:t>
      </w:r>
      <w:r w:rsidR="00C57C7D">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{"citationItems":[{"id":"ITEM-1","itemData":{"DOI":"10.1016/j.biopsych.2007.03.003","ISSN":"00063223","abstract":"Background: Atomoxetine, a highly selective noradrenaline reuptake inhibitor (SNRI), shows efficacy in the treatment of attention-deficit/hyperactivity disorder (ADHD). Compared with psychostimulants, atomoxetine has a distinct mode of brain action and potentially lower addictive potential. Studies have yet to assess whether atomoxetine improves cognition following a single oral dose in ADHD. Methods: Twenty-two adults with DSM-IV ADHD were administered a single oral dose of atomoxetine (60 mg) in a placebo-controlled double-blind crossover design. Cognitive effects were assessed using stop-signal, sustained attention, spatial working memory, and set-shifting paradigms. Normative cognitive data from 20 healthy volunteers were collected for comparison. Results: The ADHD patients under placebo conditions showed response inhibition and working memory deficits compared with healthy volunteers. Atomoxetine treatment in the ADHD patients was associated with shorter stop-signal reaction times and lower numbers of commission errors on the sustained attention task. Conclusions: Atomoxetine improved inhibitory control, most likely via noradrenergically mediated augmentation of prefrontal cortex function. These results have implications for understanding the mechanisms by which atomoxetine exerts beneficial clinical effects and suggest novel treatment directions for other disorders of impulsivity. © 2007 Society of Biological Psychiatry.","author":[{"dropping-particle":"","family":"Chamberlain","given":"Samuel R.","non-dropping-particle":"","parse-names":false,"suffix":""},{"dropping-particle":"","family":"Campo","given":"Natalia","non-dropping-particle":"del","parse-names":false,"suffix":""},{"dropping-particle":"","family":"Dowson","given":"Jonathan","non-dropping-particle":"","parse-names":false,"suffix":""},{"dropping-particle":"","family":"Müller","given":"Ulrich","non-dropping-particle":"","parse-names":false,"suffix":""},{"dropping-particle":"","family":"Clark","given":"Luke","non-dropping-particle":"","parse-names":false,"suffix":""},{"dropping-particle":"","family":"Robbins","given":"Trevor W.","non-dropping-particle":"","parse-names":false,"suffix":""},{"dropping-particle":"","family":"Sahakian","given":"Barbara J.","non-dropping-particle":"","parse-names":false,"suffix":""}],"container-title":"Biological Psychiatry","id":"ITEM-1","issue":"9","issued":{"date-parts":[["2007"]]},"page":"977-984","title":"Atomoxetine Improved Response Inhibition in Adults with Attention Deficit/Hyperactivity Disorder","type":"article-journal","volume":"62"},"uris":["http://www.mendeley.com/documents/?uuid=7eae98fb-9ca3-4bc4-a8f1-d97ee97eb76f"]},{"id":"ITEM-2","itemData":{"abstract":"Cognitive functions dependent on the prefrontal cortex, such as the ability to suppress behavior (response inhibition) and to learn from complex feedback (probabilistic learning), play critical roles in activities of daily life. To what extent do different neurochemical systems modulate these two cognitive functions? Here, using stop-signal and probabilistic learning tasks, we show a double dissociation for the involvement of noradrenaline and serotonin in human cognition. In healthy volunteers, inhibition of central noradrenaline reuptake improved response inhibition but had no effect on probabilistic learning, whereas inhibition of central serotonin reuptake impaired probabilistic learning with no effect on response inhibition. scending","author":[{"dropping-particle":"","family":"Chamberlain","given":"Samuel R.","non-dropping-particle":"","parse-names":false,"suffix":""},{"dropping-particle":"","family":"Mueller","given":"Ulrich","non-dropping-particle":"","parse-names":false,"suffix":""},{"dropping-particle":"","family":"Blackwell","given":"Andrew D.","non-dropping-particle":"","parse-names":false,"suffix":""},{"dropping-particle":"","family":"Clark","given":"Luke","non-dropping-particle":"","parse-names":false,"suffix":""},{"dropping-particle":"","family":"Robbins","given":"Trevor W.","non-dropping-particle":"","parse-names":false,"suffix":""},{"dropping-particle":"","family":"Sahakian","given":"Barbara J.","non-dropping-particle":"","parse-names":false,"suffix":""}],"container-title":"Science","id":"ITEM-2","issue":"February","issued":{"date-parts":[["2006"]]},"page":"861-863","title":"Neurochemical Modulation of Response Inhibition and Probabilistic Learning in Humans","type":"article-journal","volume":"311"},"uris":["http://www.mendeley.com/documents/?uuid=2412bc65-ffbe-4012-9db3-296e7ab43a51"]}],"mendeley":{"formattedCitation":"(14,22)","plainTextFormattedCitation":"(14,22)","previouslyFormattedCitation":"(14,22)"},"properties":{"noteIndex":0},"schema":"https://github.com/citation-style-language/schema/raw/master/csl-citation.json"}</w:instrText>
      </w:r>
      <w:r w:rsidR="00C57C7D">
        <w:rPr>
          <w:rFonts w:ascii="Times New Roman" w:hAnsi="Times New Roman" w:cs="Times New Roman"/>
        </w:rPr>
        <w:fldChar w:fldCharType="separate"/>
      </w:r>
      <w:r w:rsidR="00112D56" w:rsidRPr="00112D56">
        <w:rPr>
          <w:rFonts w:ascii="Times New Roman" w:hAnsi="Times New Roman" w:cs="Times New Roman"/>
          <w:noProof/>
        </w:rPr>
        <w:t>(14,22)</w:t>
      </w:r>
      <w:r w:rsidR="00C57C7D">
        <w:rPr>
          <w:rFonts w:ascii="Times New Roman" w:hAnsi="Times New Roman" w:cs="Times New Roman"/>
        </w:rPr>
        <w:fldChar w:fldCharType="end"/>
      </w:r>
      <w:r w:rsidR="00B778BA">
        <w:rPr>
          <w:rFonts w:ascii="Times New Roman" w:hAnsi="Times New Roman" w:cs="Times New Roman"/>
        </w:rPr>
        <w:t xml:space="preserve"> and longer-term administration </w:t>
      </w:r>
      <w:r w:rsidR="00816369">
        <w:rPr>
          <w:rFonts w:ascii="Times New Roman" w:hAnsi="Times New Roman" w:cs="Times New Roman"/>
        </w:rPr>
        <w:t xml:space="preserve">in ADHD </w:t>
      </w:r>
      <w:r w:rsidR="00B778BA">
        <w:rPr>
          <w:rFonts w:ascii="Times New Roman" w:hAnsi="Times New Roman" w:cs="Times New Roman"/>
        </w:rPr>
        <w:t xml:space="preserve">has been associated with broader </w:t>
      </w:r>
      <w:r w:rsidR="00816369">
        <w:rPr>
          <w:rFonts w:ascii="Times New Roman" w:hAnsi="Times New Roman" w:cs="Times New Roman"/>
        </w:rPr>
        <w:t>attentional</w:t>
      </w:r>
      <w:r w:rsidR="00B778BA">
        <w:rPr>
          <w:rFonts w:ascii="Times New Roman" w:hAnsi="Times New Roman" w:cs="Times New Roman"/>
        </w:rPr>
        <w:t xml:space="preserve"> control improvements</w:t>
      </w:r>
      <w:r w:rsidR="001D1816">
        <w:rPr>
          <w:rFonts w:ascii="Times New Roman" w:hAnsi="Times New Roman" w:cs="Times New Roman"/>
        </w:rPr>
        <w:t xml:space="preserve"> </w:t>
      </w:r>
      <w:r w:rsidR="00780EC6">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{"citationItems":[{"id":"ITEM-1","itemData":{"DOI":"10.1089/cap.2005.15.664","ISSN":"10445463","PMID":"16190797","abstract":"Objective: The aim of this study was to assess the efficacy of atomoxetine, a new and highly selective inhibitor of the norepinephrine transporter, for executive functioning in adults with attention-deficit/hyperactivity disorder (ADHD). Method: Two identical studies using a double-blind, placebo-controlled, parallel design were conducted. Patients were adults (Study 1, n = 280; Study 2, n = 256) with Diagnostic and Statistical Manual of Mental Disorders, 4th edition (DSM-IV)-defined ADHD recruited by referral and advertising. They were randomized to 10 weeks of treatment with atomoxetine or placebo. Executive functions were measured by the Stroop task. Results: There was no evidence of cognitive deterioration associated with atomoxetine treatment. Atomoxetine treatment was associated with an improvement of the Stroop color-word score. Conclusions: Our results provide further support for Spencer et al.'s (1998) report that atomoxetine improves inhibitory capacity, as measured by the Stroop task. The absence of cognitive deterioration from atomoxetine, along with improved performance in a subgroup of patients in this large study, supports the safety of atomoxetine in this regard and its potential for improving a significant source of impairment for adults with ADHD.","author":[{"dropping-particle":"V.","family":"Faraone","given":"Stephen","non-dropping-particle":"","parse-names":false,"suffix":""},{"dropping-particle":"","family":"Biederman","given":"Joseph","non-dropping-particle":"","parse-names":false,"suffix":""},{"dropping-particle":"","family":"Spencer","given":"Thomas","non-dropping-particle":"","parse-names":false,"suffix":""},{"dropping-particle":"","family":"Michelson","given":"David","non-dropping-particle":"","parse-names":false,"suffix":""},{"dropping-particle":"","family":"Adler","given":"Lenard","non-dropping-particle":"","parse-names":false,"suffix":""},{"dropping-particle":"","family":"Reimherr","given":"Fred","non-dropping-particle":"","parse-names":false,"suffix":""},{"dropping-particle":"","family":"Seidman","given":"Larry","non-dropping-particle":"","parse-names":false,"suffix":""}],"container-title":"Journal of Child and Adolescent Psychopharmacology","id":"ITEM-1","issue":"4","issued":{"date-parts":[["2005"]]},"page":"664-670","title":"Atomoxetine and stroop task performance in adult attention-deficit/ hyperactivity disorder","type":"article-journal","volume":"15"},"uris":["http://www.mendeley.com/documents/?uuid=3262fb05-6a38-4c27-9c45-47f90f0682c3"]}],"mendeley":{"formattedCitation":"(23)","plainTextFormattedCitation":"(23)","previouslyFormattedCitation":"(23)"},"properties":{"noteIndex":0},"schema":"https://github.com/citation-style-language/schema/raw/master/csl-citation.json"}</w:instrText>
      </w:r>
      <w:r w:rsidR="00780EC6">
        <w:rPr>
          <w:rFonts w:ascii="Times New Roman" w:hAnsi="Times New Roman" w:cs="Times New Roman"/>
        </w:rPr>
        <w:fldChar w:fldCharType="separate"/>
      </w:r>
      <w:r w:rsidR="00112D56" w:rsidRPr="00112D56">
        <w:rPr>
          <w:rFonts w:ascii="Times New Roman" w:hAnsi="Times New Roman" w:cs="Times New Roman"/>
          <w:noProof/>
        </w:rPr>
        <w:t>(23)</w:t>
      </w:r>
      <w:r w:rsidR="00780EC6">
        <w:rPr>
          <w:rFonts w:ascii="Times New Roman" w:hAnsi="Times New Roman" w:cs="Times New Roman"/>
        </w:rPr>
        <w:fldChar w:fldCharType="end"/>
      </w:r>
      <w:r w:rsidR="00B778BA">
        <w:rPr>
          <w:rFonts w:ascii="Times New Roman" w:hAnsi="Times New Roman" w:cs="Times New Roman"/>
        </w:rPr>
        <w:t>.</w:t>
      </w:r>
      <w:r w:rsidR="00816369">
        <w:rPr>
          <w:rFonts w:ascii="Times New Roman" w:hAnsi="Times New Roman" w:cs="Times New Roman"/>
        </w:rPr>
        <w:t xml:space="preserve"> </w:t>
      </w:r>
      <w:r w:rsidR="00DC064B">
        <w:rPr>
          <w:rFonts w:ascii="Times New Roman" w:hAnsi="Times New Roman" w:cs="Times New Roman"/>
        </w:rPr>
        <w:t xml:space="preserve">Additionally, atomoxetine was found to </w:t>
      </w:r>
      <w:r w:rsidR="00DC064B" w:rsidRPr="00C70A3A">
        <w:rPr>
          <w:rFonts w:ascii="Times New Roman" w:hAnsi="Times New Roman" w:cs="Times New Roman"/>
        </w:rPr>
        <w:t xml:space="preserve">upregulate </w:t>
      </w:r>
      <w:proofErr w:type="spellStart"/>
      <w:r w:rsidR="00606F2F" w:rsidRPr="00C70A3A">
        <w:rPr>
          <w:rFonts w:ascii="Times New Roman" w:hAnsi="Times New Roman" w:cs="Times New Roman"/>
        </w:rPr>
        <w:t>r</w:t>
      </w:r>
      <w:r w:rsidR="005445C6" w:rsidRPr="00C70A3A">
        <w:rPr>
          <w:rFonts w:ascii="Times New Roman" w:hAnsi="Times New Roman" w:cs="Times New Roman"/>
        </w:rPr>
        <w:t>IFG</w:t>
      </w:r>
      <w:proofErr w:type="spellEnd"/>
      <w:r w:rsidR="00DC064B" w:rsidRPr="00C70A3A">
        <w:rPr>
          <w:rFonts w:ascii="Times New Roman" w:hAnsi="Times New Roman" w:cs="Times New Roman"/>
        </w:rPr>
        <w:t xml:space="preserve"> during stopping in healthy volunteers</w:t>
      </w:r>
      <w:r w:rsidR="00AE4208" w:rsidRPr="00C70A3A">
        <w:rPr>
          <w:rFonts w:ascii="Times New Roman" w:hAnsi="Times New Roman" w:cs="Times New Roman"/>
        </w:rPr>
        <w:t xml:space="preserve"> </w:t>
      </w:r>
      <w:r w:rsidR="00AE4208" w:rsidRPr="00045DD8">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{"citationItems":[{"id":"ITEM-1","itemData":{"DOI":"10.1016/j.biopsych.2008.10.014","ISSN":"00063223","abstract":"Background: Atomoxetine, a selective noradrenaline reuptake inhibitor (SNRI) licensed for the treatment of attention-deficit/hyperactivity disorder (ADHD), has been shown to improve response inhibition in animals, healthy volunteers, and adult patients. However, the mechanisms by which atomoxetine improves inhibitory control have yet to be determined. Methods: The effects of atomoxetine (40 mg) were measured with a stop-signal functional magnetic resonance imaging (fMRI) paradigm in 19 healthy volunteers, in a within-subject, double-blind, placebo-controlled design. Results: Atomoxetine improved inhibitory control and increased activation in the right inferior frontal gyrus when volunteers attempted to inhibit their responses (irrespective of success). Plasma levels of drug correlated significantly with right inferior frontal gyrus activation only during successful inhibition. Conclusions: These results show that atomoxetine exerts its beneficial effects on inhibitory control via modulation of right inferior frontal function, with implications for understanding and treating inhibitory dysfunction of ADHD and other disorders. © 2009 Society of Biological Psychiatry.","author":[{"dropping-particle":"","family":"Chamberlain","given":"Samuel R.","non-dropping-particle":"","parse-names":false,"suffix":""},{"dropping-particle":"","family":"Hampshire","given":"Adam","non-dropping-particle":"","parse-names":false,"suffix":""},{"dropping-particle":"","family":"Müller","given":"Ulrich","non-dropping-particle":"","parse-names":false,"suffix":""},{"dropping-particle":"","family":"Rubia","given":"Katya","non-dropping-particle":"","parse-names":false,"suffix":""},{"dropping-particle":"","family":"Campo","given":"Natalia","non-dropping-particle":"del","parse-names":false,"suffix":""},{"dropping-particle":"","family":"Craig","given":"Kevin","non-dropping-particle":"","parse-names":false,"suffix":""},{"dropping-particle":"","family":"Regenthal","given":"Ralf","non-dropping-particle":"","parse-names":false,"suffix":""},{"dropping-particle":"","family":"Suckling","given":"John","non-dropping-particle":"","parse-names":false,"suffix":""},{"dropping-particle":"","family":"Roiser","given":"Jonathan P.","non-dropping-particle":"","parse-names":false,"suffix":""},{"dropping-particle":"","family":"Grant","given":"Jon E.","non-dropping-particle":"","parse-names":false,"suffix":""},{"dropping-particle":"","family":"Bullmore","given":"Edward T.","non-dropping-particle":"","parse-names":false,"suffix":""},{"dropping-particle":"","family":"Robbins","given":"Trevor W.","non-dropping-particle":"","parse-names":false,"suffix":""},{"dropping-particle":"","family":"Sahakian","given":"Barbara J.","non-dropping-particle":"","parse-names":false,"suffix":""}],"container-title":"Biological Psychiatry","id":"ITEM-1","issue":"7","issued":{"date-parts":[["2009"]]},"page":"550-555","publisher":"Society of Biological Psychiatry","title":"Atomoxetine Modulates Right Inferior Frontal Activation During Inhibitory Control: A Pharmacological Functional Magnetic Resonance Imaging Study","type":"article-journal","volume":"65"},"uris":["http://www.mendeley.com/documents/?uuid=c14a21aa-8370-482f-a275-30951fac1f22"]}],"mendeley":{"formattedCitation":"(24)","plainTextFormattedCitation":"(24)","previouslyFormattedCitation":"(24)"},"properties":{"noteIndex":0},"schema":"https://github.com/citation-style-language/schema/raw/master/csl-citation.json"}</w:instrText>
      </w:r>
      <w:r w:rsidR="00AE4208" w:rsidRPr="00045DD8">
        <w:rPr>
          <w:rFonts w:ascii="Times New Roman" w:hAnsi="Times New Roman" w:cs="Times New Roman"/>
        </w:rPr>
        <w:fldChar w:fldCharType="separate"/>
      </w:r>
      <w:r w:rsidR="00112D56" w:rsidRPr="00112D56">
        <w:rPr>
          <w:rFonts w:ascii="Times New Roman" w:hAnsi="Times New Roman" w:cs="Times New Roman"/>
          <w:noProof/>
        </w:rPr>
        <w:t>(24)</w:t>
      </w:r>
      <w:r w:rsidR="00AE4208" w:rsidRPr="00045DD8">
        <w:rPr>
          <w:rFonts w:ascii="Times New Roman" w:hAnsi="Times New Roman" w:cs="Times New Roman"/>
        </w:rPr>
        <w:fldChar w:fldCharType="end"/>
      </w:r>
      <w:r w:rsidR="00DC064B" w:rsidRPr="00C70A3A">
        <w:rPr>
          <w:rFonts w:ascii="Times New Roman" w:hAnsi="Times New Roman" w:cs="Times New Roman"/>
        </w:rPr>
        <w:t xml:space="preserve">. </w:t>
      </w:r>
      <w:r w:rsidR="00C70A3A" w:rsidRPr="00C70A3A">
        <w:rPr>
          <w:rFonts w:ascii="Times New Roman" w:hAnsi="Times New Roman" w:cs="Times New Roman"/>
        </w:rPr>
        <w:t xml:space="preserve">Further, atomoxetine </w:t>
      </w:r>
      <w:r w:rsidR="00C70A3A" w:rsidRPr="00116DE9">
        <w:rPr>
          <w:rFonts w:ascii="Times New Roman" w:hAnsi="Times New Roman" w:cs="Times New Roman"/>
        </w:rPr>
        <w:t>ameliorated attentional bias to drug</w:t>
      </w:r>
      <w:r w:rsidR="00492D13">
        <w:rPr>
          <w:rFonts w:ascii="Times New Roman" w:hAnsi="Times New Roman" w:cs="Times New Roman"/>
        </w:rPr>
        <w:t>-</w:t>
      </w:r>
      <w:r w:rsidR="00C70A3A" w:rsidRPr="00116DE9">
        <w:rPr>
          <w:rFonts w:ascii="Times New Roman" w:hAnsi="Times New Roman" w:cs="Times New Roman"/>
        </w:rPr>
        <w:t xml:space="preserve">related cues in CUD participants </w:t>
      </w:r>
      <w:r w:rsidR="00C70A3A" w:rsidRPr="00116DE9">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{"citationItems":[{"id":"ITEM-1","itemData":{"DOI":"10.1007/s00213-017-4643-4","ISSN":"14322072","abstract":"RATIONALE Biased attention towards drug-related cues and reduced inhibitory control over the regulation of drug-intake characterize drug addiction. The noradrenaline system has been critically implicated in both attentional and response inhibitory processes and is directly affected by drugs such as cocaine. OBJECTIVES We examined the potentially beneficial effects of the noradrenaline reuptake inhibitor atomoxetine in improving cognitive control during two tasks that used cocaine- and non-cocaine-related stimuli. METHODS A double-blind, placebo-controlled, and cross-over psycho-pharmacological design was employed. A single oral dose of atomoxetine (40 mg) was administered to 28 cocaine-dependent individuals (CDIs) and 28 healthy controls. All participants performed a pictorial attentional bias task involving both cocaine- and non-cocaine-related pictures as well as a verbal go/no-go task composed of cocaine- and food-related words. RESULTS As expected, CDIs showed attentional bias to cocaine-related cues whilst controls did not. More importantly, however, atomoxetine, relative to placebo, significantly attenuated attentional bias in CDIs (F 26 = 6.73, P = 0.01). During the go/no-go task, there was a treatment × trial × group interaction, although this finding only showed a trend towards statistical significance (F 26 = 3.38, P = 0.07). CONCLUSIONS Our findings suggest that atomoxetine reduces attentional bias to drug-related cues in CDIs. This may result from atomoxetine's modulation of the balance between tonic/phasic activity in the locus coeruleus and the possibly parallel enhancement of noradrenergic neurotransmission within the prefrontal cortex. Studying how cognitive enhancers such as atomoxetine influence key neurocognitive indices in cocaine addiction may help to develop reliable biomarkers for patient stratification in future clinical trials.","author":[{"dropping-particle":"","family":"Passamonti","given":"Luca","non-dropping-particle":"","parse-names":false,"suffix":""},{"dropping-particle":"","family":"Luijten","given":"M.","non-dropping-particle":"","parse-names":false,"suffix":""},{"dropping-particle":"","family":"Ziauddeen","given":"H.","non-dropping-particle":"","parse-names":false,"suffix":""},{"dropping-particle":"","family":"Coyle-Gilchrist","given":"I. T.S.","non-dropping-particle":"","parse-names":false,"suffix":""},{"dropping-particle":"","family":"Rittman","given":"T.","non-dropping-particle":"","parse-names":false,"suffix":""},{"dropping-particle":"","family":"Brain","given":"S. A.E.","non-dropping-particle":"","parse-names":false,"suffix":""},{"dropping-particle":"","family":"Regenthal","given":"R.","non-dropping-particle":"","parse-names":false,"suffix":""},{"dropping-particle":"","family":"Franken","given":"I. H.A.","non-dropping-particle":"","parse-names":false,"suffix":""},{"dropping-particle":"","family":"Sahakian","given":"B. J.","non-dropping-particle":"","parse-names":false,"suffix":""},{"dropping-particle":"","family":"Bullmore","given":"E. T.","non-dropping-particle":"","parse-names":false,"suffix":""},{"dropping-particle":"","family":"Robbins","given":"T. W.","non-dropping-particle":"","parse-names":false,"suffix":""},{"dropping-particle":"","family":"Ersche","given":"K. D.","non-dropping-particle":"","parse-names":false,"suffix":""}],"container-title":"Psychopharmacology","id":"ITEM-1","issue":"15","issued":{"date-parts":[["2017"]]},"page":"2289-2297","publisher":"Psychopharmacology","title":"Atomoxetine effects on attentional bias to drug-related cues in cocaine dependent individuals","type":"article-journal","volume":"234"},"uris":["http://www.mendeley.com/documents/?uuid=9bd5b517-60c8-4a60-ab04-58011fab5b34"]}],"mendeley":{"formattedCitation":"(25)","plainTextFormattedCitation":"(25)","previouslyFormattedCitation":"(25)"},"properties":{"noteIndex":0},"schema":"https://github.com/citation-style-language/schema/raw/master/csl-citation.json"}</w:instrText>
      </w:r>
      <w:r w:rsidR="00C70A3A" w:rsidRPr="00116DE9">
        <w:rPr>
          <w:rFonts w:ascii="Times New Roman" w:hAnsi="Times New Roman" w:cs="Times New Roman"/>
        </w:rPr>
        <w:fldChar w:fldCharType="separate"/>
      </w:r>
      <w:r w:rsidR="00112D56" w:rsidRPr="00112D56">
        <w:rPr>
          <w:rFonts w:ascii="Times New Roman" w:hAnsi="Times New Roman" w:cs="Times New Roman"/>
          <w:noProof/>
        </w:rPr>
        <w:t>(25)</w:t>
      </w:r>
      <w:r w:rsidR="00C70A3A" w:rsidRPr="00116DE9">
        <w:rPr>
          <w:rFonts w:ascii="Times New Roman" w:hAnsi="Times New Roman" w:cs="Times New Roman"/>
        </w:rPr>
        <w:fldChar w:fldCharType="end"/>
      </w:r>
      <w:r w:rsidR="00C70A3A" w:rsidRPr="00116DE9">
        <w:rPr>
          <w:rFonts w:ascii="Times New Roman" w:hAnsi="Times New Roman" w:cs="Times New Roman"/>
        </w:rPr>
        <w:t>.</w:t>
      </w:r>
    </w:p>
    <w:p w14:paraId="330A5C40" w14:textId="1CDE7C01" w:rsidR="00D02D08" w:rsidRDefault="00816369" w:rsidP="00BF7E9E">
      <w:pPr>
        <w:spacing w:line="360" w:lineRule="auto"/>
        <w:rPr>
          <w:rFonts w:ascii="Times New Roman" w:hAnsi="Times New Roman" w:cs="Times New Roman"/>
        </w:rPr>
      </w:pPr>
      <w:r>
        <w:rPr>
          <w:rFonts w:ascii="Times New Roman" w:hAnsi="Times New Roman" w:cs="Times New Roman"/>
        </w:rPr>
        <w:t xml:space="preserve">However, not all studies </w:t>
      </w:r>
      <w:r w:rsidR="00D20876">
        <w:rPr>
          <w:rFonts w:ascii="Times New Roman" w:hAnsi="Times New Roman" w:cs="Times New Roman"/>
        </w:rPr>
        <w:t xml:space="preserve">on atomoxetine </w:t>
      </w:r>
      <w:r>
        <w:rPr>
          <w:rFonts w:ascii="Times New Roman" w:hAnsi="Times New Roman" w:cs="Times New Roman"/>
        </w:rPr>
        <w:t xml:space="preserve">have found performance improvements </w:t>
      </w:r>
      <w:r w:rsidR="00D20876">
        <w:rPr>
          <w:rFonts w:ascii="Times New Roman" w:hAnsi="Times New Roman" w:cs="Times New Roman"/>
        </w:rPr>
        <w:t>in stopping or concomitant brain correlates</w:t>
      </w:r>
      <w:r w:rsidR="00925F7E">
        <w:rPr>
          <w:rFonts w:ascii="Times New Roman" w:hAnsi="Times New Roman" w:cs="Times New Roman"/>
        </w:rPr>
        <w:t xml:space="preserve"> </w:t>
      </w:r>
      <w:r w:rsidR="00925F7E">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{"citationItems":[{"id":"ITEM-1","itemData":{"DOI":"10.1016/j.biopsych.2010.11.014","ISSN":"00063223","abstract":"Background: Response inhibition is a prototypical executive function of considerable clinical relevance to psychiatry. Nevertheless, our understanding of its pharmacological modulation remains incomplete. Methods: We used a randomized, double-blind, placebo-controlled, crossover design to examine the effect of an acute dose of methylphenidate (MPH) (30 mg), atomoxetine (ATM) (60 mg), citalopram (CIT) (30 mg), and placebo (PLAC) (dextrose) on the stop signal inhibition task in 24 healthy, right-handed men 1835 years of age. Participants performed the task under each of the four drug conditions across four consecutive sessions. Results: Methylphenidate led to a reduction in both response time variability and stop-signal reaction time (SSRT), indicating enhanced response inhibition compared with all other drug conditions. Crucially, the enhancement of response inhibition by MPH occurred without concomitant changes in overall response speed, arguing against a simple enhancement of processing speed. We found no significant differences between ATM and PLAC, CIT and PLAC, or ATM and CIT for either response time variability or SSRT. Conclusions: An acute dose of MPH but not ATM or CIT was able to improve SSRT and reduce response time variability in nonclinical participants. Improvements in response inhibition and response variability might underlie the reported clinical benefits of MPH in disorders such as attention-deficit/hyperactivity disorder. © 2011 Society of Biological Psychiatry.","author":[{"dropping-particle":"","family":"Nandam","given":"L. Sanjay","non-dropping-particle":"","parse-names":false,"suffix":""},{"dropping-particle":"","family":"Hester","given":"Robert","non-dropping-particle":"","parse-names":false,"suffix":""},{"dropping-particle":"","family":"Wagner","given":"Joe","non-dropping-particle":"","parse-names":false,"suffix":""},{"dropping-particle":"","family":"Cummins","given":"Tarrant D.R.","non-dropping-particle":"","parse-names":false,"suffix":""},{"dropping-particle":"","family":"Garner","given":"Kelly","non-dropping-particle":"","parse-names":false,"suffix":""},{"dropping-particle":"","family":"Dean","given":"Angela J.","non-dropping-particle":"","parse-names":false,"suffix":""},{"dropping-particle":"","family":"Kim","given":"Bung Nyun","non-dropping-particle":"","parse-names":false,"suffix":""},{"dropping-particle":"","family":"Nathan","given":"Pradeep J.","non-dropping-particle":"","parse-names":false,"suffix":""},{"dropping-particle":"","family":"Mattingley","given":"Jason B.","non-dropping-particle":"","parse-names":false,"suffix":""},{"dropping-particle":"","family":"Bellgrove","given":"Mark A.","non-dropping-particle":"","parse-names":false,"suffix":""}],"container-title":"Biological Psychiatry","id":"ITEM-1","issue":"9","issued":{"date-parts":[["2011"]]},"page":"902-904","publisher":"Elsevier Inc.","title":"Methylphenidate but not atomoxetine or citalopram modulates inhibitory control and response time variability","type":"article-journal","volume":"69"},"uris":["http://www.mendeley.com/documents/?uuid=ca2ec655-6150-4785-b5e6-535bbe389d38"]},{"id":"ITEM-2","itemData":{"DOI":"10.1016/j.euroneuro.2018.12.004","ISSN":"18737862","PMID":"30552041","abstract":"The nicotinic acetylcholine receptor (nAChR) agonist nicotine and the noradrenaline transporter inhibitor atomoxetine are widely studied substances due to their propensity to alleviate cognitive deficits in psychiatric and neurological patients and their beneficial effects on some aspects of cognitive functions in healthy individuals. However, despite growing evidence of acetylcholine-noradrenaline interactions, there are only very few direct comparisons of the two substances. Here, we investigated the effects of nicotine and atomoxetine on response inhibition in the stop-signal task and we characterised the neural correlates of these effects using blood oxygen level dependent (BOLD) functional magnetic resonance imaging (fMRI) at 3T. Nicotine (7 mg dermal patch) and atomoxetine (60 mg per os) were applied to N = 26 young, healthy adults in a double-blind, placebo-controlled, cross-over, within-subjects design. BOLD images were collected during a stop-signal task that controlled for infrequency of stop trials. There were no drug effects on behavioural performance or subjective state measures. However, there was a pronounced upregulation of activation in bilateral prefrontal and left parietal cortex following nicotine during successful compared to unsuccessful stop trials. The effect of nicotine on BOLD during failed stop trials was correlated across individuals with a measure of trait impulsivity. Atomoxetine, however, had no discernible effects on BOLD. We conclude that nicotine effects on brain function during inhibitory control are most pronounced in individuals with higher levels of impulsivity. This finding is compatible with previous evidence of nicotine effects on stop-signal task performance in highly impulsive individuals and implicates the nAChR in the neural basis of impulsivity.","author":[{"dropping-particle":"","family":"Kasparbauer","given":"Anna Maria","non-dropping-particle":"","parse-names":false,"suffix":""},{"dropping-particle":"","family":"Petrovsky","given":"Nadine","non-dropping-particle":"","parse-names":false,"suffix":""},{"dropping-particle":"","family":"Schmidt","given":"Pia Magdalena","non-dropping-particle":"","parse-names":false,"suffix":""},{"dropping-particle":"","family":"Trautner","given":"Peter","non-dropping-particle":"","parse-names":false,"suffix":""},{"dropping-particle":"","family":"Weber","given":"Bernd","non-dropping-particle":"","parse-names":false,"suffix":""},{"dropping-particle":"","family":"Sträter","given":"Birgitta","non-dropping-particle":"","parse-names":false,"suffix":""},{"dropping-particle":"","family":"Ettinger","given":"Ulrich","non-dropping-particle":"","parse-names":false,"suffix":""}],"container-title":"European Neuropsychopharmacology","id":"ITEM-2","issue":"2","issued":{"date-parts":[["2019"]]},"page":"235-246","publisher":"Elsevier B.V.","title":"Effects of nicotine and atomoxetine on brain function during response inhibition","type":"article-journal","volume":"29"},"uris":["http://www.mendeley.com/documents/?uuid=14a0e136-1ee2-455e-b7ad-9adb95e3dfed"]},{"id":"ITEM-3","itemData":{"DOI":"10.1093/cercor/bhs296","ISSN":"14602199","abstract":"The stimulant methylphenidate (MPX) and the nonstimulant atomoxetine (ATX) are the most commonly prescribed medications for attention deficit hyperactivity disorder (ADHD). However, no functional magnetic resonance imaging (fMRI) study has as yet investigated the effects of ATX on inhibitory or any other brain function in ADHD patients or compared its effects with those of MPX. A randomized, double-blind, placebo-controlled, crossover pharmacological design was used to compare the neurofunctional effects of single doses of MPX, ATX, and placebo during a stop task, combined with fMRI within 19 medication-naive ADHD boys, and their potential normalization effects relative to 29 age-matched healthy boys. Compared with controls, ADHD boys under placebo showed bilateral ventrolateral prefrontal, middle temporal, and cerebellar underactivation. Within patients, MPX relative to ATX and placebo significantly upregulated right ventrolateral prefrontal activation, which correlated with enhanced inhibitory capacity. Relative to controls, both drugs significantly normalized the left ventrolateral prefrontal underactivation observed under placebo, while MPX had a drug-specific effect of normalizing right ventrolateral prefrontal and cerebellar underactivation observed under both placebo and ATX. The findings show shared and drug-specific effects of MPX and ATX on performance and brain activation during inhibitory control in ADHD patients with superior upregulation and normalization effects of MPX.","author":[{"dropping-particle":"","family":"Cubillo","given":"Ana","non-dropping-particle":"","parse-names":false,"suffix":""},{"dropping-particle":"","family":"Smith","given":"Anna B.","non-dropping-particle":"","parse-names":false,"suffix":""},{"dropping-particle":"","family":"Barrett","given":"Nadia","non-dropping-particle":"","parse-names":false,"suffix":""},{"dropping-particle":"","family":"Giampietro","given":"Vincent","non-dropping-particle":"","parse-names":false,"suffix":""},{"dropping-particle":"","family":"Brammer","given":"Michael J.","non-dropping-particle":"","parse-names":false,"suffix":""},{"dropping-particle":"","family":"Simmons","given":"Andrew","non-dropping-particle":"","parse-names":false,"suffix":""},{"dropping-particle":"","family":"Rubia","given":"Katya","non-dropping-particle":"","parse-names":false,"suffix":""}],"container-title":"Cerebral Cortex","id":"ITEM-3","issue":"1","issued":{"date-parts":[["2014"]]},"page":"174-185","title":"Shared and Drug-Specific Effects of Atomoxetine and Methylphenidate on Inhibitory Brain Dysfunction in Medication-Naive ADHD Boys","type":"article-journal","volume":"24"},"uris":["http://www.mendeley.com/documents/?uuid=e5c210cf-f9ad-4ca3-a984-6d64b21a17da"]},{"id":"ITEM-4","itemData":{"DOI":"10.1016/j.pbb.2017.07.002","ISSN":"18735177","abstract":"No pharmacotherapies are approved for the treatment of cocaine use disorders (CUD). Behavioral treatments for CUD are efficacious for some individuals, but recovery rates from CUD remain low. Cognitive impairments in CUD have been linked with poorer clinical outcomes. Cognitive enhancing pharmacotherapies have been proposed as promising treatments for CUD. Atomoxetine, a norepinephrine transporter inhibitor, shows potential as a treatment for CUD based on its efficacy as a cognitive enhancer in other clinical populations and impact on addictive processes in preclinical and human laboratory studies. In this randomized, double-blind, crossover study, abstinent individuals with CUD (N = 39) received placebo, 40 and 80 mg atomoxetine, over three sessions. Measures of attention, response inhibition and working memory; subjective medication effects and mood; and cardiovascular effects were collected. Analyses assessed acute, dose-dependent effects of atomoxetine. In addition, preliminary analyses investigating the modulation of atomoxetine dose effects by sex were performed. Atomoxetine increased heart rate and blood pressure, was rated as having positive and negative subjective drug effects, and had only modest effects on mood and cognitive enhancement.","author":[{"dropping-particle":"","family":"DeVito","given":"Elise E.","non-dropping-particle":"","parse-names":false,"suffix":""},{"dropping-particle":"","family":"Herman","given":"Aryeh I.","non-dropping-particle":"","parse-names":false,"suffix":""},{"dropping-particle":"","family":"Konkus","given":"Noah S.","non-dropping-particle":"","parse-names":false,"suffix":""},{"dropping-particle":"","family":"Zhang","given":"Huiping","non-dropping-particle":"","parse-names":false,"suffix":""},{"dropping-particle":"","family":"Sofuoglu","given":"Mehmet","non-dropping-particle":"","parse-names":false,"suffix":""}],"container-title":"Pharmacology Biochemistry and Behavior","id":"ITEM-4","issue":"July","issued":{"date-parts":[["2017"]]},"page":"55-61","title":"Atomoxetine in abstinent cocaine users: Cognitive, subjective and cardiovascular effects","type":"article-journal","volume":"159"},"uris":["http://www.mendeley.com/documents/?uuid=7c702784-379b-4236-a7b1-6d26e6aec2a0"]}],"mendeley":{"formattedCitation":"(26–29)","plainTextFormattedCitation":"(26–29)","previouslyFormattedCitation":"(26–29)"},"properties":{"noteIndex":0},"schema":"https://github.com/citation-style-language/schema/raw/master/csl-citation.json"}</w:instrText>
      </w:r>
      <w:r w:rsidR="00925F7E">
        <w:rPr>
          <w:rFonts w:ascii="Times New Roman" w:hAnsi="Times New Roman" w:cs="Times New Roman"/>
        </w:rPr>
        <w:fldChar w:fldCharType="separate"/>
      </w:r>
      <w:r w:rsidR="00112D56" w:rsidRPr="007B6DCB">
        <w:rPr>
          <w:rFonts w:ascii="Times New Roman" w:hAnsi="Times New Roman" w:cs="Times New Roman"/>
          <w:noProof/>
        </w:rPr>
        <w:t>(26–29)</w:t>
      </w:r>
      <w:r w:rsidR="00925F7E">
        <w:rPr>
          <w:rFonts w:ascii="Times New Roman" w:hAnsi="Times New Roman" w:cs="Times New Roman"/>
        </w:rPr>
        <w:fldChar w:fldCharType="end"/>
      </w:r>
      <w:r w:rsidRPr="007B6DCB">
        <w:rPr>
          <w:rFonts w:ascii="Times New Roman" w:hAnsi="Times New Roman" w:cs="Times New Roman"/>
        </w:rPr>
        <w:t xml:space="preserve">. </w:t>
      </w:r>
      <w:r>
        <w:rPr>
          <w:rFonts w:ascii="Times New Roman" w:hAnsi="Times New Roman" w:cs="Times New Roman"/>
        </w:rPr>
        <w:t xml:space="preserve">A possible reason for this may </w:t>
      </w:r>
      <w:r w:rsidR="00D637D2">
        <w:rPr>
          <w:rFonts w:ascii="Times New Roman" w:hAnsi="Times New Roman" w:cs="Times New Roman"/>
        </w:rPr>
        <w:t xml:space="preserve">be </w:t>
      </w:r>
      <w:r>
        <w:rPr>
          <w:rFonts w:ascii="Times New Roman" w:hAnsi="Times New Roman" w:cs="Times New Roman"/>
        </w:rPr>
        <w:t>b</w:t>
      </w:r>
      <w:r w:rsidR="00DC064B">
        <w:rPr>
          <w:rFonts w:ascii="Times New Roman" w:hAnsi="Times New Roman" w:cs="Times New Roman"/>
        </w:rPr>
        <w:t>aseline-</w:t>
      </w:r>
      <w:r>
        <w:rPr>
          <w:rFonts w:ascii="Times New Roman" w:hAnsi="Times New Roman" w:cs="Times New Roman"/>
        </w:rPr>
        <w:t xml:space="preserve">dependent </w:t>
      </w:r>
      <w:r w:rsidR="00DC064B">
        <w:rPr>
          <w:rFonts w:ascii="Times New Roman" w:hAnsi="Times New Roman" w:cs="Times New Roman"/>
        </w:rPr>
        <w:t xml:space="preserve">individual differences, whereby </w:t>
      </w:r>
      <w:r w:rsidR="00F8622A">
        <w:rPr>
          <w:rFonts w:ascii="Times New Roman" w:hAnsi="Times New Roman" w:cs="Times New Roman"/>
        </w:rPr>
        <w:t xml:space="preserve">only </w:t>
      </w:r>
      <w:r w:rsidR="00DC064B">
        <w:rPr>
          <w:rFonts w:ascii="Times New Roman" w:hAnsi="Times New Roman" w:cs="Times New Roman"/>
        </w:rPr>
        <w:t>those with worse stopping performance benefit from atomoxetine administration.</w:t>
      </w:r>
      <w:r w:rsidR="00D20876">
        <w:rPr>
          <w:rFonts w:ascii="Times New Roman" w:hAnsi="Times New Roman" w:cs="Times New Roman"/>
        </w:rPr>
        <w:t xml:space="preserve"> Two studies on </w:t>
      </w:r>
      <w:r w:rsidR="00B36FF6">
        <w:rPr>
          <w:rFonts w:ascii="Times New Roman" w:hAnsi="Times New Roman" w:cs="Times New Roman"/>
        </w:rPr>
        <w:t>atomoxetine administration i</w:t>
      </w:r>
      <w:r w:rsidR="00D20876">
        <w:rPr>
          <w:rFonts w:ascii="Times New Roman" w:hAnsi="Times New Roman" w:cs="Times New Roman"/>
        </w:rPr>
        <w:t xml:space="preserve">n </w:t>
      </w:r>
      <w:r w:rsidR="00C45E7E">
        <w:rPr>
          <w:rFonts w:ascii="Times New Roman" w:hAnsi="Times New Roman" w:cs="Times New Roman"/>
        </w:rPr>
        <w:t xml:space="preserve">older adults with </w:t>
      </w:r>
      <w:r w:rsidR="00D20876">
        <w:rPr>
          <w:rFonts w:ascii="Times New Roman" w:hAnsi="Times New Roman" w:cs="Times New Roman"/>
        </w:rPr>
        <w:t>Parkinson’s Disease (PD) found</w:t>
      </w:r>
      <w:r w:rsidR="00B36FF6">
        <w:rPr>
          <w:rFonts w:ascii="Times New Roman" w:hAnsi="Times New Roman" w:cs="Times New Roman"/>
        </w:rPr>
        <w:t xml:space="preserve"> that</w:t>
      </w:r>
      <w:r w:rsidR="00D20876">
        <w:rPr>
          <w:rFonts w:ascii="Times New Roman" w:hAnsi="Times New Roman" w:cs="Times New Roman"/>
        </w:rPr>
        <w:t xml:space="preserve"> atomoxetine-related improvement </w:t>
      </w:r>
      <w:r w:rsidR="00D02D08">
        <w:rPr>
          <w:rFonts w:ascii="Times New Roman" w:hAnsi="Times New Roman" w:cs="Times New Roman"/>
        </w:rPr>
        <w:t>in stopping was associated with baseline performance</w:t>
      </w:r>
      <w:r w:rsidR="00F8622A">
        <w:rPr>
          <w:rFonts w:ascii="Times New Roman" w:hAnsi="Times New Roman" w:cs="Times New Roman"/>
        </w:rPr>
        <w:t xml:space="preserve"> </w:t>
      </w:r>
      <w:r w:rsidR="00BC54C9">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{"citationItems":[{"id":"ITEM-1","itemData":{"DOI":"10.1016/j.biopsych.2014.01.024","ISSN":"18732402","abstract":"BACKGROUND: Dopaminergic drugs remain the mainstay of Parkinson's disease therapy but often fail to improve cognitive problems such as impulsivity. This may be due to the loss of other neurotransmitters, including noradrenaline, which is linked to impulsivity and response inhibition. We therefore examined the effect of the selective noradrenaline reuptake inhibitor atomoxetine on response inhibition in a stop-signal paradigm. METHODS: This pharmacological functional magnetic resonance imaging study used a double-blinded randomized crossover design with low-frequency inhibition trials distributed among frequent Go trials. Twenty-one patients received 40 mg atomoxetine or placebo. Control subjects were tested on no-drug. The effects of disease and drug on behavioral performance, regional brain activity, and functional connectivity were analyzed using general linear models. Anatomical connectivity was examined using diffusion-weighted imaging. RESULTS: Patients with Parkinson's disease had longer stop-signal reaction times, less stop-related activation in the right inferior frontal gyrus (RIFG), and weaker functional connectivity between the RIFG and striatum compared with control subjects. Atomoxetine enhanced stop-related RIFG activation in proportion to disease severity. Although there was no overall behavioral benefit from atomoxetine, analyses of individual differences revealed that enhanced response inhibition by atomoxetine was associated with increased RIFG activation and functional frontostriatal connectivity. Improved performance was more likely in patients with higher structural frontostriatal connectivity. CONCLUSIONS: This study suggests that enhanced prefrontal cortical activation and frontostriatal connectivity by atomoxetine may improve response inhibition in Parkinson's disease. These results point the way to new stratified clinical trials of atomoxetine to treat impulsivity in selected patients with Parkinson's disease.","author":[{"dropping-particle":"","family":"Ye","given":"Zheng","non-dropping-particle":"","parse-names":false,"suffix":""},{"dropping-particle":"","family":"Altena","given":"Ellemarije","non-dropping-particle":"","parse-names":false,"suffix":""},{"dropping-particle":"","family":"Nombela","given":"Cristina","non-dropping-particle":"","parse-names":false,"suffix":""},{"dropping-particle":"","family":"Housden","given":"Charlotte R.","non-dropping-particle":"","parse-names":false,"suffix":""},{"dropping-particle":"","family":"Maxwell","given":"Helen","non-dropping-particle":"","parse-names":false,"suffix":""},{"dropping-particle":"","family":"Rittman","given":"Timothy","non-dropping-particle":"","parse-names":false,"suffix":""},{"dropping-particle":"","family":"Huddleston","given":"Chelan","non-dropping-particle":"","parse-names":false,"suffix":""},{"dropping-particle":"","family":"Rae","given":"Charlotte L.","non-dropping-particle":"","parse-names":false,"suffix":""},{"dropping-particle":"","family":"Regenthal","given":"Ralf","non-dropping-particle":"","parse-names":false,"suffix":""},{"dropping-particle":"","family":"Sahakian","given":"Barbara J.","non-dropping-particle":"","parse-names":false,"suffix":""},{"dropping-particle":"","family":"Barker","given":"Roger A.","non-dropping-particle":"","parse-names":false,"suffix":""},{"dropping-particle":"","family":"Robbins","given":"Trevor W.","non-dropping-particle":"","parse-names":false,"suffix":""},{"dropping-particle":"","family":"Rowe","given":"James B.","non-dropping-particle":"","parse-names":false,"suffix":""}],"container-title":"Biological Psychiatry","id":"ITEM-1","issue":"8","issued":{"date-parts":[["2015"]]},"page":"740-748","publisher":"Elsevier","title":"Improving response inhibition in Parkinson's disease with atomoxetine","type":"article-journal","volume":"77"},"uris":["http://www.mendeley.com/documents/?uuid=cbcdd1b4-4fbf-4038-b776-c7dd388c5d66"]},{"id":"ITEM-2","itemData":{"DOI":"10.1093/brain/aww138","ISSN":"14602156","abstract":"Parkinson's disease impairs the inhibition of responses, and whilst impulsivity is mild for some patients, severe impulse control disorders affect approximately 10% of cases. Based on preclinical models we proposed that noradrenergic denervation contributes to the impairment of response inhibition, via changes in the prefrontal cortex and its subcortical connections. Previous work in Parkinson's disease found that the selective noradrenaline reuptake inhibitor atomoxetine could improve response inhibition, gambling decisions and reflection impulsivity. Here we tested the hypotheses that atomoxetine can restore functional brain networks for response inhibition in Parkinson's disease, and that both structural and functional connectivity determine the behavioural effect. In a randomized, double-blind placebo-controlled crossover study, 19 patients with mild-to-moderate idiopathic Parkinson's disease underwent functional magnetic resonance imaging during a stop-signal task, while on their usual dopaminergic therapy. Patients received 40 mg atomoxetine or placebo, orally. This regimen anticipates that noradrenergic therapies for behavioural symptoms would be adjunctive to, not a replacement for, dopaminergic therapy. Twenty matched control participants provided normative data. Arterial spin labelling identified no significant changes in regional perfusion. We assessed functional interactions between key frontal and subcortical brain areas for response inhibition, by comparing 20 dynamic causal models of the response inhibition network, inverted to the functional magnetic resonance imaging data and compared using random effects model selection. We found that the normal interaction between pre-supplementary motor cortex and the inferior frontal gyrus was absent in Parkinson's disease patients on placebo (despite dopaminergic therapy), but this connection was restored by atomoxetine. The behavioural change in response inhibition (improvement indicated by reduced stop-signal reaction time) following atomoxetine correlated with structural connectivity as measured by the fractional anisotropy in the white matter underlying the inferior frontal gyrus. Using multiple regression models, we examined the factors that influenced the individual differences in the response to atomoxetine: the reduction in stop-signal reaction time correlated with structural connectivity and baseline performance, while disease severity and drug plasma level predicted the change in fronto-s…","author":[{"dropping-particle":"","family":"Rae","given":"Charlotte L.","non-dropping-particle":"","parse-names":false,"suffix":""},{"dropping-particle":"","family":"Nombela","given":"Cristina","non-dropping-particle":"","parse-names":false,"suffix":""},{"dropping-particle":"","family":"Rodríguez","given":"Patricia Vázquez","non-dropping-particle":"","parse-names":false,"suffix":""},{"dropping-particle":"","family":"Ye","given":"Zheng","non-dropping-particle":"","parse-names":false,"suffix":""},{"dropping-particle":"","family":"Hughes","given":"Laura E.","non-dropping-particle":"","parse-names":false,"suffix":""},{"dropping-particle":"","family":"Jones","given":"P. Simon","non-dropping-particle":"","parse-names":false,"suffix":""},{"dropping-particle":"","family":"Ham","given":"Timothy","non-dropping-particle":"","parse-names":false,"suffix":""},{"dropping-particle":"","family":"Rittman","given":"Timothy","non-dropping-particle":"","parse-names":false,"suffix":""},{"dropping-particle":"","family":"Coyle-Gilchrist","given":"Ian","non-dropping-particle":"","parse-names":false,"suffix":""},{"dropping-particle":"","family":"Regenthal","given":"Ralf","non-dropping-particle":"","parse-names":false,"suffix":""},{"dropping-particle":"","family":"Sahakian","given":"Barbara J.","non-dropping-particle":"","parse-names":false,"suffix":""},{"dropping-particle":"","family":"Barker","given":"Roger A.","non-dropping-particle":"","parse-names":false,"suffix":""},{"dropping-particle":"","family":"Robbins","given":"Trevor W.","non-dropping-particle":"","parse-names":false,"suffix":""},{"dropping-particle":"","family":"Rowe","given":"James B.","non-dropping-particle":"","parse-names":false,"suffix":""}],"container-title":"Brain","id":"ITEM-2","issue":"8","issued":{"date-parts":[["2016"]]},"page":"2235-2248","title":"Atomoxetine restores the response inhibition network in Parkinson's disease","type":"article-journal","volume":"139"},"uris":["http://www.mendeley.com/documents/?uuid=72f9ba60-f68e-41f2-b8ee-352557399bd1"]}],"mendeley":{"formattedCitation":"(30,31)","plainTextFormattedCitation":"(30,31)","previouslyFormattedCitation":"(30,31)"},"properties":{"noteIndex":0},"schema":"https://github.com/citation-style-language/schema/raw/master/csl-citation.json"}</w:instrText>
      </w:r>
      <w:r w:rsidR="00BC54C9">
        <w:rPr>
          <w:rFonts w:ascii="Times New Roman" w:hAnsi="Times New Roman" w:cs="Times New Roman"/>
        </w:rPr>
        <w:fldChar w:fldCharType="separate"/>
      </w:r>
      <w:r w:rsidR="00112D56" w:rsidRPr="00112D56">
        <w:rPr>
          <w:rFonts w:ascii="Times New Roman" w:hAnsi="Times New Roman" w:cs="Times New Roman"/>
          <w:noProof/>
        </w:rPr>
        <w:t>(30,31)</w:t>
      </w:r>
      <w:r w:rsidR="00BC54C9">
        <w:rPr>
          <w:rFonts w:ascii="Times New Roman" w:hAnsi="Times New Roman" w:cs="Times New Roman"/>
        </w:rPr>
        <w:fldChar w:fldCharType="end"/>
      </w:r>
      <w:r w:rsidR="00D02D08">
        <w:rPr>
          <w:rFonts w:ascii="Times New Roman" w:hAnsi="Times New Roman" w:cs="Times New Roman"/>
        </w:rPr>
        <w:t xml:space="preserve">. In one of these studies, improvement of </w:t>
      </w:r>
      <w:r w:rsidR="00D02D08" w:rsidRPr="00D02D08">
        <w:rPr>
          <w:rFonts w:ascii="Times New Roman" w:hAnsi="Times New Roman" w:cs="Times New Roman"/>
        </w:rPr>
        <w:t>response inhibition by atomoxetine wa</w:t>
      </w:r>
      <w:r w:rsidR="00D02D08">
        <w:rPr>
          <w:rFonts w:ascii="Times New Roman" w:hAnsi="Times New Roman" w:cs="Times New Roman"/>
        </w:rPr>
        <w:t xml:space="preserve">s also associated with increased </w:t>
      </w:r>
      <w:proofErr w:type="spellStart"/>
      <w:r w:rsidR="00606F2F">
        <w:rPr>
          <w:rFonts w:ascii="Times New Roman" w:hAnsi="Times New Roman" w:cs="Times New Roman"/>
        </w:rPr>
        <w:t>r</w:t>
      </w:r>
      <w:r w:rsidR="00524D54">
        <w:rPr>
          <w:rFonts w:ascii="Times New Roman" w:hAnsi="Times New Roman" w:cs="Times New Roman"/>
        </w:rPr>
        <w:t>IFG</w:t>
      </w:r>
      <w:proofErr w:type="spellEnd"/>
      <w:r w:rsidR="00524D54">
        <w:rPr>
          <w:rFonts w:ascii="Times New Roman" w:hAnsi="Times New Roman" w:cs="Times New Roman"/>
        </w:rPr>
        <w:t xml:space="preserve"> </w:t>
      </w:r>
      <w:r w:rsidR="00D02D08">
        <w:rPr>
          <w:rFonts w:ascii="Times New Roman" w:hAnsi="Times New Roman" w:cs="Times New Roman"/>
        </w:rPr>
        <w:t>activation</w:t>
      </w:r>
      <w:r w:rsidR="00F8622A">
        <w:rPr>
          <w:rFonts w:ascii="Times New Roman" w:hAnsi="Times New Roman" w:cs="Times New Roman"/>
        </w:rPr>
        <w:t xml:space="preserve"> </w:t>
      </w:r>
      <w:r w:rsidR="00203F2B">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{"citationItems":[{"id":"ITEM-1","itemData":{"DOI":"10.1016/j.biopsych.2014.01.024","ISSN":"18732402","abstract":"BACKGROUND: Dopaminergic drugs remain the mainstay of Parkinson's disease therapy but often fail to improve cognitive problems such as impulsivity. This may be due to the loss of other neurotransmitters, including noradrenaline, which is linked to impulsivity and response inhibition. We therefore examined the effect of the selective noradrenaline reuptake inhibitor atomoxetine on response inhibition in a stop-signal paradigm. METHODS: This pharmacological functional magnetic resonance imaging study used a double-blinded randomized crossover design with low-frequency inhibition trials distributed among frequent Go trials. Twenty-one patients received 40 mg atomoxetine or placebo. Control subjects were tested on no-drug. The effects of disease and drug on behavioral performance, regional brain activity, and functional connectivity were analyzed using general linear models. Anatomical connectivity was examined using diffusion-weighted imaging. RESULTS: Patients with Parkinson's disease had longer stop-signal reaction times, less stop-related activation in the right inferior frontal gyrus (RIFG), and weaker functional connectivity between the RIFG and striatum compared with control subjects. Atomoxetine enhanced stop-related RIFG activation in proportion to disease severity. Although there was no overall behavioral benefit from atomoxetine, analyses of individual differences revealed that enhanced response inhibition by atomoxetine was associated with increased RIFG activation and functional frontostriatal connectivity. Improved performance was more likely in patients with higher structural frontostriatal connectivity. CONCLUSIONS: This study suggests that enhanced prefrontal cortical activation and frontostriatal connectivity by atomoxetine may improve response inhibition in Parkinson's disease. These results point the way to new stratified clinical trials of atomoxetine to treat impulsivity in selected patients with Parkinson's disease.","author":[{"dropping-particle":"","family":"Ye","given":"Zheng","non-dropping-particle":"","parse-names":false,"suffix":""},{"dropping-particle":"","family":"Altena","given":"Ellemarije","non-dropping-particle":"","parse-names":false,"suffix":""},{"dropping-particle":"","family":"Nombela","given":"Cristina","non-dropping-particle":"","parse-names":false,"suffix":""},{"dropping-particle":"","family":"Housden","given":"Charlotte R.","non-dropping-particle":"","parse-names":false,"suffix":""},{"dropping-particle":"","family":"Maxwell","given":"Helen","non-dropping-particle":"","parse-names":false,"suffix":""},{"dropping-particle":"","family":"Rittman","given":"Timothy","non-dropping-particle":"","parse-names":false,"suffix":""},{"dropping-particle":"","family":"Huddleston","given":"Chelan","non-dropping-particle":"","parse-names":false,"suffix":""},{"dropping-particle":"","family":"Rae","given":"Charlotte L.","non-dropping-particle":"","parse-names":false,"suffix":""},{"dropping-particle":"","family":"Regenthal","given":"Ralf","non-dropping-particle":"","parse-names":false,"suffix":""},{"dropping-particle":"","family":"Sahakian","given":"Barbara J.","non-dropping-particle":"","parse-names":false,"suffix":""},{"dropping-particle":"","family":"Barker","given":"Roger A.","non-dropping-particle":"","parse-names":false,"suffix":""},{"dropping-particle":"","family":"Robbins","given":"Trevor W.","non-dropping-particle":"","parse-names":false,"suffix":""},{"dropping-particle":"","family":"Rowe","given":"James B.","non-dropping-particle":"","parse-names":false,"suffix":""}],"container-title":"Biological Psychiatry","id":"ITEM-1","issue":"8","issued":{"date-parts":[["2015"]]},"page":"740-748","publisher":"Elsevier","title":"Improving response inhibition in Parkinson's disease with atomoxetine","type":"article-journal","volume":"77"},"uris":["http://www.mendeley.com/documents/?uuid=cbcdd1b4-4fbf-4038-b776-c7dd388c5d66"]}],"mendeley":{"formattedCitation":"(30)","plainTextFormattedCitation":"(30)","previouslyFormattedCitation":"(30)"},"properties":{"noteIndex":0},"schema":"https://github.com/citation-style-language/schema/raw/master/csl-citation.json"}</w:instrText>
      </w:r>
      <w:r w:rsidR="00203F2B">
        <w:rPr>
          <w:rFonts w:ascii="Times New Roman" w:hAnsi="Times New Roman" w:cs="Times New Roman"/>
        </w:rPr>
        <w:fldChar w:fldCharType="separate"/>
      </w:r>
      <w:r w:rsidR="00112D56" w:rsidRPr="00112D56">
        <w:rPr>
          <w:rFonts w:ascii="Times New Roman" w:hAnsi="Times New Roman" w:cs="Times New Roman"/>
          <w:noProof/>
        </w:rPr>
        <w:t>(30)</w:t>
      </w:r>
      <w:r w:rsidR="00203F2B">
        <w:rPr>
          <w:rFonts w:ascii="Times New Roman" w:hAnsi="Times New Roman" w:cs="Times New Roman"/>
        </w:rPr>
        <w:fldChar w:fldCharType="end"/>
      </w:r>
      <w:r w:rsidR="00D02D08">
        <w:rPr>
          <w:rFonts w:ascii="Times New Roman" w:hAnsi="Times New Roman" w:cs="Times New Roman"/>
        </w:rPr>
        <w:t xml:space="preserve">. Moreover, these studies pointed to atomoxetine enhancing and even restoring abnormal connectivity </w:t>
      </w:r>
      <w:r w:rsidR="007B26ED">
        <w:rPr>
          <w:rFonts w:ascii="Times New Roman" w:hAnsi="Times New Roman" w:cs="Times New Roman"/>
        </w:rPr>
        <w:t xml:space="preserve">within the stopping </w:t>
      </w:r>
      <w:proofErr w:type="spellStart"/>
      <w:r w:rsidR="007B26ED">
        <w:rPr>
          <w:rFonts w:ascii="Times New Roman" w:hAnsi="Times New Roman" w:cs="Times New Roman"/>
        </w:rPr>
        <w:t>fronto</w:t>
      </w:r>
      <w:proofErr w:type="spellEnd"/>
      <w:r w:rsidR="007B26ED">
        <w:rPr>
          <w:rFonts w:ascii="Times New Roman" w:hAnsi="Times New Roman" w:cs="Times New Roman"/>
        </w:rPr>
        <w:t>-striatal network</w:t>
      </w:r>
      <w:r w:rsidR="00D3281F">
        <w:rPr>
          <w:rFonts w:ascii="Times New Roman" w:hAnsi="Times New Roman" w:cs="Times New Roman"/>
        </w:rPr>
        <w:t xml:space="preserve"> </w:t>
      </w:r>
      <w:r w:rsidR="00D3281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{"citationItems":[{"id":"ITEM-1","itemData":{"DOI":"10.1016/j.biopsych.2014.01.024","ISSN":"18732402","abstract":"BACKGROUND: Dopaminergic drugs remain the mainstay of Parkinson's disease therapy but often fail to improve cognitive problems such as impulsivity. This may be due to the loss of other neurotransmitters, including noradrenaline, which is linked to impulsivity and response inhibition. We therefore examined the effect of the selective noradrenaline reuptake inhibitor atomoxetine on response inhibition in a stop-signal paradigm. METHODS: This pharmacological functional magnetic resonance imaging study used a double-blinded randomized crossover design with low-frequency inhibition trials distributed among frequent Go trials. Twenty-one patients received 40 mg atomoxetine or placebo. Control subjects were tested on no-drug. The effects of disease and drug on behavioral performance, regional brain activity, and functional connectivity were analyzed using general linear models. Anatomical connectivity was examined using diffusion-weighted imaging. RESULTS: Patients with Parkinson's disease had longer stop-signal reaction times, less stop-related activation in the right inferior frontal gyrus (RIFG), and weaker functional connectivity between the RIFG and striatum compared with control subjects. Atomoxetine enhanced stop-related RIFG activation in proportion to disease severity. Although there was no overall behavioral benefit from atomoxetine, analyses of individual differences revealed that enhanced response inhibition by atomoxetine was associated with increased RIFG activation and functional frontostriatal connectivity. Improved performance was more likely in patients with higher structural frontostriatal connectivity. CONCLUSIONS: This study suggests that enhanced prefrontal cortical activation and frontostriatal connectivity by atomoxetine may improve response inhibition in Parkinson's disease. These results point the way to new stratified clinical trials of atomoxetine to treat impulsivity in selected patients with Parkinson's disease.","author":[{"dropping-particle":"","family":"Ye","given":"Zheng","non-dropping-particle":"","parse-names":false,"suffix":""},{"dropping-particle":"","family":"Altena","given":"Ellemarije","non-dropping-particle":"","parse-names":false,"suffix":""},{"dropping-particle":"","family":"Nombela","given":"Cristina","non-dropping-particle":"","parse-names":false,"suffix":""},{"dropping-particle":"","family":"Housden","given":"Charlotte R.","non-dropping-particle":"","parse-names":false,"suffix":""},{"dropping-particle":"","family":"Maxwell","given":"Helen","non-dropping-particle":"","parse-names":false,"suffix":""},{"dropping-particle":"","family":"Rittman","given":"Timothy","non-dropping-particle":"","parse-names":false,"suffix":""},{"dropping-particle":"","family":"Huddleston","given":"Chelan","non-dropping-particle":"","parse-names":false,"suffix":""},{"dropping-particle":"","family":"Rae","given":"Charlotte L.","non-dropping-particle":"","parse-names":false,"suffix":""},{"dropping-particle":"","family":"Regenthal","given":"Ralf","non-dropping-particle":"","parse-names":false,"suffix":""},{"dropping-particle":"","family":"Sahakian","given":"Barbara J.","non-dropping-particle":"","parse-names":false,"suffix":""},{"dropping-particle":"","family":"Barker","given":"Roger A.","non-dropping-particle":"","parse-names":false,"suffix":""},{"dropping-particle":"","family":"Robbins","given":"Trevor W.","non-dropping-particle":"","parse-names":false,"suffix":""},{"dropping-particle":"","family":"Rowe","given":"James B.","non-dropping-particle":"","parse-names":false,"suffix":""}],"container-title":"Biological Psychiatry","id":"ITEM-1","issue":"8","issued":{"date-parts":[["2015"]]},"page":"740-748","publisher":"Elsevier","title":"Improving response inhibition in Parkinson's disease with atomoxetine","type":"article-journal","volume":"77"},"uris":["http://www.mendeley.com/documents/?uuid=cbcdd1b4-4fbf-4038-b776-c7dd388c5d66"]},{"id":"ITEM-2","itemData":{"DOI":"10.1093/brain/aww138","ISSN":"14602156","abstract":"Parkinson's disease impairs the inhibition of responses, and whilst impulsivity is mild for some patients, severe impulse control disorders affect approximately 10% of cases. Based on preclinical models we proposed that noradrenergic denervation contributes to the impairment of response inhibition, via changes in the prefrontal cortex and its subcortical connections. Previous work in Parkinson's disease found that the selective noradrenaline reuptake inhibitor atomoxetine could improve response inhibition, gambling decisions and reflection impulsivity. Here we tested the hypotheses that atomoxetine can restore functional brain networks for response inhibition in Parkinson's disease, and that both structural and functional connectivity determine the behavioural effect. In a randomized, double-blind placebo-controlled crossover study, 19 patients with mild-to-moderate idiopathic Parkinson's disease underwent functional magnetic resonance imaging during a stop-signal task, while on their usual dopaminergic therapy. Patients received 40 mg atomoxetine or placebo, orally. This regimen anticipates that noradrenergic therapies for behavioural symptoms would be adjunctive to, not a replacement for, dopaminergic therapy. Twenty matched control participants provided normative data. Arterial spin labelling identified no significant changes in regional perfusion. We assessed functional interactions between key frontal and subcortical brain areas for response inhibition, by comparing 20 dynamic causal models of the response inhibition network, inverted to the functional magnetic resonance imaging data and compared using random effects model selection. We found that the normal interaction between pre-supplementary motor cortex and the inferior frontal gyrus was absent in Parkinson's disease patients on placebo (despite dopaminergic therapy), but this connection was restored by atomoxetine. The behavioural change in response inhibition (improvement indicated by reduced stop-signal reaction time) following atomoxetine correlated with structural connectivity as measured by the fractional anisotropy in the white matter underlying the inferior frontal gyrus. Using multiple regression models, we examined the factors that influenced the individual differences in the response to atomoxetine: the reduction in stop-signal reaction time correlated with structural connectivity and baseline performance, while disease severity and drug plasma level predicted the change in fronto-s…","author":[{"dropping-particle":"","family":"Rae","given":"Charlotte L.","non-dropping-particle":"","parse-names":false,"suffix":""},{"dropping-particle":"","family":"Nombela","given":"Cristina","non-dropping-particle":"","parse-names":false,"suffix":""},{"dropping-particle":"","family":"Rodríguez","given":"Patricia Vázquez","non-dropping-particle":"","parse-names":false,"suffix":""},{"dropping-particle":"","family":"Ye","given":"Zheng","non-dropping-particle":"","parse-names":false,"suffix":""},{"dropping-particle":"","family":"Hughes","given":"Laura E.","non-dropping-particle":"","parse-names":false,"suffix":""},{"dropping-particle":"","family":"Jones","given":"P. Simon","non-dropping-particle":"","parse-names":false,"suffix":""},{"dropping-particle":"","family":"Ham","given":"Timothy","non-dropping-particle":"","parse-names":false,"suffix":""},{"dropping-particle":"","family":"Rittman","given":"Timothy","non-dropping-particle":"","parse-names":false,"suffix":""},{"dropping-particle":"","family":"Coyle-Gilchrist","given":"Ian","non-dropping-particle":"","parse-names":false,"suffix":""},{"dropping-particle":"","family":"Regenthal","given":"Ralf","non-dropping-particle":"","parse-names":false,"suffix":""},{"dropping-particle":"","family":"Sahakian","given":"Barbara J.","non-dropping-particle":"","parse-names":false,"suffix":""},{"dropping-particle":"","family":"Barker","given":"Roger A.","non-dropping-particle":"","parse-names":false,"suffix":""},{"dropping-particle":"","family":"Robbins","given":"Trevor W.","non-dropping-particle":"","parse-names":false,"suffix":""},{"dropping-particle":"","family":"Rowe","given":"James B.","non-dropping-particle":"","parse-names":false,"suffix":""}],"container-title":"Brain","id":"ITEM-2","issue":"8","issued":{"date-parts":[["2016"]]},"page":"2235-2248","title":"Atomoxetine restores the response inhibition network in Parkinson's disease","type":"article-journal","volume":"139"},"uris":["http://www.mendeley.com/documents/?uuid=72f9ba60-f68e-41f2-b8ee-352557399bd1"]}],"mendeley":{"formattedCitation":"(30,31)","plainTextFormattedCitation":"(30,31)","previouslyFormattedCitation":"(30,31)"},"properties":{"noteIndex":0},"schema":"https://github.com/citation-style-language/schema/raw/master/csl-citation.json"}</w:instrText>
      </w:r>
      <w:r w:rsidR="00D3281F">
        <w:rPr>
          <w:rFonts w:ascii="Times New Roman" w:hAnsi="Times New Roman" w:cs="Times New Roman"/>
        </w:rPr>
        <w:fldChar w:fldCharType="separate"/>
      </w:r>
      <w:r w:rsidR="00112D56" w:rsidRPr="00112D56">
        <w:rPr>
          <w:rFonts w:ascii="Times New Roman" w:hAnsi="Times New Roman" w:cs="Times New Roman"/>
          <w:noProof/>
        </w:rPr>
        <w:t>(30,31)</w:t>
      </w:r>
      <w:r w:rsidR="00D3281F">
        <w:rPr>
          <w:rFonts w:ascii="Times New Roman" w:hAnsi="Times New Roman" w:cs="Times New Roman"/>
        </w:rPr>
        <w:fldChar w:fldCharType="end"/>
      </w:r>
      <w:r w:rsidR="007B26ED">
        <w:rPr>
          <w:rFonts w:ascii="Times New Roman" w:hAnsi="Times New Roman" w:cs="Times New Roman"/>
        </w:rPr>
        <w:t>.</w:t>
      </w:r>
    </w:p>
    <w:p w14:paraId="06DB71A5" w14:textId="3329FCE1" w:rsidR="00D859AD" w:rsidRDefault="007B26ED" w:rsidP="00BF7E9E">
      <w:pPr>
        <w:spacing w:line="360" w:lineRule="auto"/>
        <w:rPr>
          <w:rFonts w:ascii="Times New Roman" w:hAnsi="Times New Roman" w:cs="Times New Roman"/>
        </w:rPr>
      </w:pPr>
      <w:r>
        <w:rPr>
          <w:rFonts w:ascii="Times New Roman" w:hAnsi="Times New Roman" w:cs="Times New Roman"/>
        </w:rPr>
        <w:t>In the current study</w:t>
      </w:r>
      <w:r w:rsidR="00470E2C">
        <w:rPr>
          <w:rFonts w:ascii="Times New Roman" w:hAnsi="Times New Roman" w:cs="Times New Roman"/>
        </w:rPr>
        <w:t>,</w:t>
      </w:r>
      <w:r>
        <w:rPr>
          <w:rFonts w:ascii="Times New Roman" w:hAnsi="Times New Roman" w:cs="Times New Roman"/>
        </w:rPr>
        <w:t xml:space="preserve"> w</w:t>
      </w:r>
      <w:r w:rsidR="00DC6175">
        <w:rPr>
          <w:rFonts w:ascii="Times New Roman" w:hAnsi="Times New Roman" w:cs="Times New Roman"/>
        </w:rPr>
        <w:t xml:space="preserve">e investigated the effects of atomoxetine on inhibitory performance and associated brain function in CUD and </w:t>
      </w:r>
      <w:r>
        <w:rPr>
          <w:rFonts w:ascii="Times New Roman" w:hAnsi="Times New Roman" w:cs="Times New Roman"/>
        </w:rPr>
        <w:t xml:space="preserve">healthy control participants. We used pharmacological </w:t>
      </w:r>
      <w:r w:rsidR="008B2ADF" w:rsidRPr="004E1CFF">
        <w:rPr>
          <w:rFonts w:ascii="Times New Roman" w:hAnsi="Times New Roman" w:cs="Times New Roman"/>
        </w:rPr>
        <w:t>functional magnetic resonance imaging (fMRI) of the stop</w:t>
      </w:r>
      <w:r w:rsidR="00571284">
        <w:rPr>
          <w:rFonts w:ascii="Times New Roman" w:hAnsi="Times New Roman" w:cs="Times New Roman"/>
        </w:rPr>
        <w:t>-</w:t>
      </w:r>
      <w:r w:rsidR="008B2ADF" w:rsidRPr="004E1CFF">
        <w:rPr>
          <w:rFonts w:ascii="Times New Roman" w:hAnsi="Times New Roman" w:cs="Times New Roman"/>
        </w:rPr>
        <w:t>signal task</w:t>
      </w:r>
      <w:r>
        <w:rPr>
          <w:rFonts w:ascii="Times New Roman" w:hAnsi="Times New Roman" w:cs="Times New Roman"/>
        </w:rPr>
        <w:t xml:space="preserve"> </w:t>
      </w:r>
      <w:r w:rsidR="00B21402">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{"citationItems":[{"id":"ITEM-1","itemData":{"DOI":"10.7554/eLife.46323","ISSN":"2050084X","abstract":"Response inhibition is essential for navigating everyday life. Its derailment is considered integral to numerous neurological and psychiatric disorders, and more generally, to a wide range of behavioral and health problems. Response-inhibition efficiency furthermore correlates with treatment outcome in some of these conditions. The stop-signal task is an essential tool to determine how quickly response inhibition is implemented. Despite its apparent simplicity, there are many features (ranging from task design to data analysis) that vary across studies in ways that can easily compromise the validity of the obtained results. Our goal is to facilitate a more accurate use of the stop-signal task. To this end, we provide 12 easy-to-implement consensus recommendations and point out the problems that can arise when they are not followed. Furthermore, we provide user-friendly open-source resources intended to inform statistical-power considerations, facilitate the correct implementation of the task, and assist in proper data analysis.","author":[{"dropping-particle":"","family":"Verbruggen","given":"Frederick","non-dropping-particle":"","parse-names":false,"suffix":""},{"dropping-particle":"","family":"Aron","given":"Adam R.","non-dropping-particle":"","parse-names":false,"suffix":""},{"dropping-particle":"","family":"Band","given":"Guido Ph","non-dropping-particle":"","parse-names":false,"suffix":""},{"dropping-particle":"","family":"Beste","given":"Christian","non-dropping-particle":"","parse-names":false,"suffix":""},{"dropping-particle":"","family":"Bissett","given":"Patrick G.","non-dropping-particle":"","parse-names":false,"suffix":""},{"dropping-particle":"","family":"Brockett","given":"Adam T.","non-dropping-particle":"","parse-names":false,"suffix":""},{"dropping-particle":"","family":"Brown","given":"Joshua W.","non-dropping-particle":"","parse-names":false,"suffix":""},{"dropping-particle":"","family":"Chamberlain","given":"Samuel R.","non-dropping-particle":"","parse-names":false,"suffix":""},{"dropping-particle":"","family":"Chambers","given":"Christopher D.","non-dropping-particle":"","parse-names":false,"suffix":""},{"dropping-particle":"","family":"Colonius","given":"Hans","non-dropping-particle":"","parse-names":false,"suffix":""},{"dropping-particle":"","family":"Colzato","given":"Lorenza S.","non-dropping-particle":"","parse-names":false,"suffix":""},{"dropping-particle":"","family":"Corneil","given":"Brian D.","non-dropping-particle":"","parse-names":false,"suffix":""},{"dropping-particle":"","family":"Coxon","given":"James P.","non-dropping-particle":"","parse-names":false,"suffix":""},{"dropping-particle":"","family":"Dupuis","given":"Annie","non-dropping-particle":"","parse-names":false,"suffix":""},{"dropping-particle":"","family":"Eagle","given":"Dawn M.","non-dropping-particle":"","parse-names":false,"suffix":""},{"dropping-particle":"","family":"Garavan","given":"Hugh","non-dropping-particle":"","parse-names":false,"suffix":""},{"dropping-particle":"","family":"Greenhouse","given":"Ian","non-dropping-particle":"","parse-names":false,"suffix":""},{"dropping-particle":"","family":"Heathcote","given":"Andrew","non-dropping-particle":"","parse-names":false,"suffix":""},{"dropping-particle":"","family":"Huster","given":"René J.","non-dropping-particle":"","parse-names":false,"suffix":""},{"dropping-particle":"","family":"Jahfari","given":"Sara","non-dropping-particle":"","parse-names":false,"suffix":""},{"dropping-particle":"","family":"Kenemans","given":"J. Leon","non-dropping-particle":"","parse-names":false,"suffix":""},{"dropping-particle":"","family":"Leunissen","given":"Inge","non-dropping-particle":"","parse-names":false,"suffix":""},{"dropping-particle":"","family":"Li","given":"Chiang Shan R.","non-dropping-particle":"","parse-names":false,"suffix":""},{"dropping-particle":"","family":"Logan","given":"Gordon D.","non-dropping-particle":"","parse-names":false,"suffix":""},{"dropping-particle":"","family":"Matzke","given":"Dora","non-dropping-particle":"","parse-names":false,"suffix":""},{"dropping-particle":"","family":"Morein-Zamir","given":"Sharon","non-dropping-particle":"","parse-names":false,"suffix":""},{"dropping-particle":"","family":"Murthy","given":"Aditya","non-dropping-particle":"","parse-names":false,"suffix":""},{"dropping-particle":"","family":"Paré","given":"Martin","non-dropping-particle":"","parse-names":false,"suffix":""},{"dropping-particle":"","family":"Poldrack","given":"Russell A.","non-dropping-particle":"","parse-names":false,"suffix":""},{"dropping-particle":"","family":"Ridderinkhof","given":"K. Richard","non-dropping-particle":"","parse-names":false,"suffix":""},{"dropping-particle":"","family":"Robbins","given":"Trevor W.","non-dropping-particle":"","parse-names":false,"suffix":""},{"dropping-particle":"","family":"Roesch","given":"Matthew","non-dropping-particle":"","parse-names":false,"suffix":""},{"dropping-particle":"","family":"Rubia","given":"Katya","non-dropping-particle":"","parse-names":false,"suffix":""},{"dropping-particle":"","family":"Schachar","given":"Russell J.","non-dropping-particle":"","parse-names":false,"suffix":""},{"dropping-particle":"","family":"Schall","given":"Jeffrey D.","non-dropping-particle":"","parse-names":false,"suffix":""},{"dropping-particle":"","family":"Stock","given":"Ann Kathrin","non-dropping-particle":"","parse-names":false,"suffix":""},{"dropping-particle":"","family":"Swann","given":"Nicole C.","non-dropping-particle":"","parse-names":false,"suffix":""},{"dropping-particle":"","family":"Thakkar","given":"Katharine N.","non-dropping-particle":"","parse-names":false,"suffix":""},{"dropping-particle":"","family":"Molen","given":"Maurits W.","non-dropping-particle":"van der","parse-names":false,"suffix":""},{"dropping-particle":"","family":"Vermeylen","given":"Luc","non-dropping-particle":"","parse-names":false,"suffix":""},{"dropping-particle":"","family":"Vink","given":"Matthijs","non-dropping-particle":"","parse-names":false,"suffix":""},{"dropping-particle":"","family":"Wessel","given":"Jan R.","non-dropping-particle":"","parse-names":false,"suffix":""},{"dropping-particle":"","family":"Whelan","given":"Robert","non-dropping-particle":"","parse-names":false,"suffix":""},{"dropping-particle":"","family":"Zandbelt","given":"Bram B.","non-dropping-particle":"","parse-names":false,"suffix":""},{"dropping-particle":"","family":"Boehler","given":"C. Nico","non-dropping-particle":"","parse-names":false,"suffix":""}],"container-title":"eLife","id":"ITEM-1","issued":{"date-parts":[["2019"]]},"page":"1-26","title":"A consensus guide to capturing the ability to inhibit actions and impulsive behaviors in the stop-signal task","type":"article-journal","volume":"8"},"uris":["http://www.mendeley.com/documents/?uuid=d0a1eb94-5e92-4618-8f14-5e65a4685402"]},{"id":"ITEM-2","itemData":{"DOI":"10.1038/npp.2013.90","ISSN":"0893133X","abstract":"A neurocognitive endophenotype has been proposed for stimulant dependence, based on behavioral measures of inhibitory response control associated with white matter changes in the frontal cortex. This study investigated the functional neuroimaging correlates of inhibitory response control, as functional activity serves as a more dynamic measure than brain structure, allowing refinement of the suggested endophenotype. Stimulant-dependent individuals (SDIs), their unaffected siblings (SIBs), and healthy controls (CTs) performed the stop-signal task, including stop-signal reaction time (SSRT) as a measure of response inhibition, while undergoing functional magnetic resonance imaging. SDIs had impaired response inhibition accompanied by hypoactivation in the ventrolateral prefrontal cortex (PFC). In addition, they demonstrated hypoactivation in the anterior cingulate when failing to stop. In contrast, no hypoactivations were noted in their unaffected SIBs. Rather, they exhibited increased activation in the dorsomedial PFC relative to controls, together with inhibitory performance that was intermediate between that of the stimulant group and the healthy CT group. Such hyperactivations within the neurocircuitry underlying response inhibition and control are suggestive of compensatory mechanisms that could be protective in nature or could reflect coping with a pre-existing vulnerability, thus expressing potential aspects of resilience. The functional activation associated with response inhibition and error monitoring showed differential patterns of results between SDIs and their unaffected first-degree relatives, suggesting that the proposed endophenotype does not generalize to functional brain activity.","author":[{"dropping-particle":"","family":"Morein-Zamir","given":"Sharon","non-dropping-particle":"","parse-names":false,"suffix":""},{"dropping-particle":"","family":"Simon Jones","given":"P.","non-dropping-particle":"","parse-names":false,"suffix":""},{"dropping-particle":"","family":"Bullmore","given":"Edward T.","non-dropping-particle":"","parse-names":false,"suffix":""},{"dropping-particle":"","family":"Robbins","given":"Trevor W.","non-dropping-particle":"","parse-names":false,"suffix":""},{"dropping-particle":"","family":"Ersche","given":"Karen D.","non-dropping-particle":"","parse-names":false,"suffix":""}],"container-title":"Neuropsychopharmacology","id":"ITEM-2","issue":"10","issued":{"date-parts":[["2013"]]},"page":"1945-1953","publisher":"Nature Publishing Group","title":"Prefrontal hypoactivity associated with impaired inhibition in stimulant-dependent individuals but evidence for hyperactivation in their unaffected siblings","type":"article-journal","volume":"38"},"uris":["http://www.mendeley.com/documents/?uuid=e0ee51a8-ba2c-487c-b05b-858bc6dbe6dd"]}],"mendeley":{"formattedCitation":"(6,32)","plainTextFormattedCitation":"(6,32)","previouslyFormattedCitation":"(6,32)"},"properties":{"noteIndex":0},"schema":"https://github.com/citation-style-language/schema/raw/master/csl-citation.json"}</w:instrText>
      </w:r>
      <w:r w:rsidR="00B21402">
        <w:rPr>
          <w:rFonts w:ascii="Times New Roman" w:hAnsi="Times New Roman" w:cs="Times New Roman"/>
        </w:rPr>
        <w:fldChar w:fldCharType="separate"/>
      </w:r>
      <w:r w:rsidR="00112D56" w:rsidRPr="00112D56">
        <w:rPr>
          <w:rFonts w:ascii="Times New Roman" w:hAnsi="Times New Roman" w:cs="Times New Roman"/>
          <w:noProof/>
        </w:rPr>
        <w:t>(6,32)</w:t>
      </w:r>
      <w:r w:rsidR="00B21402">
        <w:rPr>
          <w:rFonts w:ascii="Times New Roman" w:hAnsi="Times New Roman" w:cs="Times New Roman"/>
        </w:rPr>
        <w:fldChar w:fldCharType="end"/>
      </w:r>
      <w:r w:rsidR="00193D16">
        <w:rPr>
          <w:rFonts w:ascii="Times New Roman" w:hAnsi="Times New Roman" w:cs="Times New Roman"/>
        </w:rPr>
        <w:t xml:space="preserve">, expecting CUD participants to show performance impairments that could be remediated by atomoxetine. We hypothesized that changes in </w:t>
      </w:r>
      <w:proofErr w:type="spellStart"/>
      <w:r w:rsidR="00193D16">
        <w:rPr>
          <w:rFonts w:ascii="Times New Roman" w:hAnsi="Times New Roman" w:cs="Times New Roman"/>
        </w:rPr>
        <w:t>fronto</w:t>
      </w:r>
      <w:proofErr w:type="spellEnd"/>
      <w:r w:rsidR="00193D16">
        <w:rPr>
          <w:rFonts w:ascii="Times New Roman" w:hAnsi="Times New Roman" w:cs="Times New Roman"/>
        </w:rPr>
        <w:t xml:space="preserve">-striatal regions subserving stopping would </w:t>
      </w:r>
      <w:r w:rsidR="00492D13">
        <w:rPr>
          <w:rFonts w:ascii="Times New Roman" w:hAnsi="Times New Roman" w:cs="Times New Roman"/>
        </w:rPr>
        <w:t>underlie</w:t>
      </w:r>
      <w:r w:rsidR="00193D16">
        <w:rPr>
          <w:rFonts w:ascii="Times New Roman" w:hAnsi="Times New Roman" w:cs="Times New Roman"/>
        </w:rPr>
        <w:t xml:space="preserve"> </w:t>
      </w:r>
      <w:r w:rsidR="00574D1F">
        <w:rPr>
          <w:rFonts w:ascii="Times New Roman" w:hAnsi="Times New Roman" w:cs="Times New Roman"/>
        </w:rPr>
        <w:t xml:space="preserve">any </w:t>
      </w:r>
      <w:r w:rsidR="00B36FF6" w:rsidRPr="004E1CFF">
        <w:rPr>
          <w:rFonts w:ascii="Times New Roman" w:hAnsi="Times New Roman" w:cs="Times New Roman"/>
        </w:rPr>
        <w:t>beneficial effects of atomoxetine</w:t>
      </w:r>
      <w:r w:rsidR="00B36FF6">
        <w:rPr>
          <w:rFonts w:ascii="Times New Roman" w:hAnsi="Times New Roman" w:cs="Times New Roman"/>
        </w:rPr>
        <w:t xml:space="preserve">. </w:t>
      </w:r>
      <w:r w:rsidR="00345CB5" w:rsidRPr="004E1CFF">
        <w:rPr>
          <w:rFonts w:ascii="Times New Roman" w:hAnsi="Times New Roman" w:cs="Times New Roman"/>
        </w:rPr>
        <w:t>We further</w:t>
      </w:r>
      <w:r w:rsidR="00B31297" w:rsidRPr="004E1CFF">
        <w:rPr>
          <w:rFonts w:ascii="Times New Roman" w:hAnsi="Times New Roman" w:cs="Times New Roman"/>
        </w:rPr>
        <w:t xml:space="preserve"> aim</w:t>
      </w:r>
      <w:r>
        <w:rPr>
          <w:rFonts w:ascii="Times New Roman" w:hAnsi="Times New Roman" w:cs="Times New Roman"/>
        </w:rPr>
        <w:t>ed</w:t>
      </w:r>
      <w:r w:rsidR="00B31297" w:rsidRPr="004E1CFF">
        <w:rPr>
          <w:rFonts w:ascii="Times New Roman" w:hAnsi="Times New Roman" w:cs="Times New Roman"/>
        </w:rPr>
        <w:t xml:space="preserve"> to</w:t>
      </w:r>
      <w:r w:rsidR="00345CB5" w:rsidRPr="004E1CFF">
        <w:rPr>
          <w:rFonts w:ascii="Times New Roman" w:hAnsi="Times New Roman" w:cs="Times New Roman"/>
        </w:rPr>
        <w:t xml:space="preserve"> identify</w:t>
      </w:r>
      <w:r w:rsidR="00D859AD">
        <w:rPr>
          <w:rFonts w:ascii="Times New Roman" w:hAnsi="Times New Roman" w:cs="Times New Roman"/>
        </w:rPr>
        <w:t xml:space="preserve"> effects of atomoxetine on </w:t>
      </w:r>
      <w:r w:rsidR="00857CB8">
        <w:rPr>
          <w:rFonts w:ascii="Times New Roman" w:hAnsi="Times New Roman" w:cs="Times New Roman"/>
        </w:rPr>
        <w:t xml:space="preserve">effective </w:t>
      </w:r>
      <w:r w:rsidR="00345CB5" w:rsidRPr="004E1CFF">
        <w:rPr>
          <w:rFonts w:ascii="Times New Roman" w:hAnsi="Times New Roman" w:cs="Times New Roman"/>
        </w:rPr>
        <w:t>connectivity</w:t>
      </w:r>
      <w:r w:rsidR="00574D1F">
        <w:rPr>
          <w:rFonts w:ascii="Times New Roman" w:hAnsi="Times New Roman" w:cs="Times New Roman"/>
        </w:rPr>
        <w:t xml:space="preserve"> </w:t>
      </w:r>
      <w:r w:rsidR="00574D1F">
        <w:rPr>
          <w:rFonts w:ascii="Times New Roman" w:hAnsi="Times New Roman" w:cs="Times New Roman"/>
        </w:rPr>
        <w:lastRenderedPageBreak/>
        <w:t>of the stopping network</w:t>
      </w:r>
      <w:r w:rsidR="003D4CDF">
        <w:rPr>
          <w:rFonts w:ascii="Times New Roman" w:hAnsi="Times New Roman" w:cs="Times New Roman"/>
        </w:rPr>
        <w:t>.</w:t>
      </w:r>
      <w:r w:rsidR="006E0A41">
        <w:rPr>
          <w:rFonts w:ascii="Times New Roman" w:hAnsi="Times New Roman" w:cs="Times New Roman"/>
        </w:rPr>
        <w:t xml:space="preserve"> </w:t>
      </w:r>
      <w:r w:rsidR="00D859AD">
        <w:rPr>
          <w:rFonts w:ascii="Times New Roman" w:hAnsi="Times New Roman" w:cs="Times New Roman"/>
        </w:rPr>
        <w:t xml:space="preserve">To this end, </w:t>
      </w:r>
      <w:r w:rsidR="00574D1F">
        <w:rPr>
          <w:rFonts w:ascii="Times New Roman" w:hAnsi="Times New Roman" w:cs="Times New Roman"/>
        </w:rPr>
        <w:t xml:space="preserve">we built on previous dynamic causal modelling </w:t>
      </w:r>
      <w:r w:rsidR="000B06C3">
        <w:rPr>
          <w:rFonts w:ascii="Times New Roman" w:hAnsi="Times New Roman" w:cs="Times New Roman"/>
        </w:rPr>
        <w:t xml:space="preserve">(DCM) </w:t>
      </w:r>
      <w:r w:rsidR="00574D1F">
        <w:rPr>
          <w:rFonts w:ascii="Times New Roman" w:hAnsi="Times New Roman" w:cs="Times New Roman"/>
        </w:rPr>
        <w:t>of the stop</w:t>
      </w:r>
      <w:r w:rsidR="00571284">
        <w:rPr>
          <w:rFonts w:ascii="Times New Roman" w:hAnsi="Times New Roman" w:cs="Times New Roman"/>
        </w:rPr>
        <w:t>-</w:t>
      </w:r>
      <w:r w:rsidR="00574D1F">
        <w:rPr>
          <w:rFonts w:ascii="Times New Roman" w:hAnsi="Times New Roman" w:cs="Times New Roman"/>
        </w:rPr>
        <w:t xml:space="preserve">signal task </w:t>
      </w:r>
      <w:r w:rsidR="00CA71E0">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Neuroscience","id":"ITEM-1","issue":"2","issued":{"date-parts":[["2015"]]},"page":"786-94","title":"The prefrontal cortex achieves inhibitory control by facilitating subcortical motor pathway connectivity.","type":"article-journal","volume":"35"},"uris":["http://www.mendeley.com/documents/?uuid=e1cd2b52-4b20-423b-8c98-36004beeeda5"]}],"mendeley":{"formattedCitation":"(9)","plainTextFormattedCitation":"(9)","previouslyFormattedCitation":"(9)"},"properties":{"noteIndex":0},"schema":"https://github.com/citation-style-language/schema/raw/master/csl-citation.json"}</w:instrText>
      </w:r>
      <w:r w:rsidR="00CA71E0">
        <w:rPr>
          <w:rFonts w:ascii="Times New Roman" w:hAnsi="Times New Roman" w:cs="Times New Roman"/>
        </w:rPr>
        <w:fldChar w:fldCharType="separate"/>
      </w:r>
      <w:r w:rsidR="00112D56" w:rsidRPr="00112D56">
        <w:rPr>
          <w:rFonts w:ascii="Times New Roman" w:hAnsi="Times New Roman" w:cs="Times New Roman"/>
          <w:noProof/>
        </w:rPr>
        <w:t>(9)</w:t>
      </w:r>
      <w:r w:rsidR="00CA71E0">
        <w:rPr>
          <w:rFonts w:ascii="Times New Roman" w:hAnsi="Times New Roman" w:cs="Times New Roman"/>
        </w:rPr>
        <w:fldChar w:fldCharType="end"/>
      </w:r>
      <w:r w:rsidR="003A3382">
        <w:rPr>
          <w:rFonts w:ascii="Times New Roman" w:hAnsi="Times New Roman" w:cs="Times New Roman"/>
        </w:rPr>
        <w:t>,</w:t>
      </w:r>
      <w:r w:rsidR="00574D1F">
        <w:rPr>
          <w:rFonts w:ascii="Times New Roman" w:hAnsi="Times New Roman" w:cs="Times New Roman"/>
        </w:rPr>
        <w:t xml:space="preserve"> employing this approach on healthy controls and </w:t>
      </w:r>
      <w:r w:rsidR="000B06C3">
        <w:rPr>
          <w:rFonts w:ascii="Times New Roman" w:hAnsi="Times New Roman" w:cs="Times New Roman"/>
        </w:rPr>
        <w:t xml:space="preserve">on </w:t>
      </w:r>
      <w:r w:rsidR="00574D1F">
        <w:rPr>
          <w:rFonts w:ascii="Times New Roman" w:hAnsi="Times New Roman" w:cs="Times New Roman"/>
        </w:rPr>
        <w:t>CUD participants</w:t>
      </w:r>
      <w:r w:rsidR="00C45E7E">
        <w:rPr>
          <w:rFonts w:ascii="Times New Roman" w:hAnsi="Times New Roman" w:cs="Times New Roman"/>
        </w:rPr>
        <w:t>. We extended the network being investigated to encompass the putamen to better assess the interactions between the prefrontal cortex and basal ganglia.</w:t>
      </w:r>
    </w:p>
    <w:p w14:paraId="05CA27B8" w14:textId="77777777" w:rsidR="00D859AD" w:rsidRDefault="00D859AD" w:rsidP="00BF7E9E">
      <w:pPr>
        <w:spacing w:line="360" w:lineRule="auto"/>
        <w:rPr>
          <w:rFonts w:ascii="Times New Roman" w:hAnsi="Times New Roman" w:cs="Times New Roman"/>
        </w:rPr>
      </w:pPr>
    </w:p>
    <w:p w14:paraId="38FE3305" w14:textId="0F6BB4E0" w:rsidR="006E4455" w:rsidRPr="004E1CFF" w:rsidRDefault="00DC5EB7" w:rsidP="000B7DB7">
      <w:pPr>
        <w:pStyle w:val="Heading1"/>
      </w:pPr>
      <w:r w:rsidRPr="004E1CFF">
        <w:t>METHODS AND MATERIALS</w:t>
      </w:r>
    </w:p>
    <w:p w14:paraId="6AD37E17" w14:textId="5F637A3E" w:rsidR="00784F1F" w:rsidRPr="000B7DB7" w:rsidRDefault="00784F1F" w:rsidP="000B7DB7">
      <w:pPr>
        <w:pStyle w:val="Heading2"/>
      </w:pPr>
      <w:r w:rsidRPr="000B7DB7">
        <w:t>Participants</w:t>
      </w:r>
    </w:p>
    <w:p w14:paraId="20480819" w14:textId="1EA450C1" w:rsidR="00E63DC7" w:rsidRDefault="00045DD8" w:rsidP="00BF7E9E">
      <w:pPr>
        <w:spacing w:line="360" w:lineRule="auto"/>
        <w:rPr>
          <w:rFonts w:ascii="Times New Roman" w:hAnsi="Times New Roman" w:cs="Times New Roman"/>
          <w:color w:val="000000" w:themeColor="text1"/>
        </w:rPr>
      </w:pPr>
      <w:r>
        <w:rPr>
          <w:rFonts w:ascii="Times New Roman" w:hAnsi="Times New Roman" w:cs="Times New Roman"/>
          <w:iCs/>
        </w:rPr>
        <w:t>A starting sample of t</w:t>
      </w:r>
      <w:r w:rsidR="00F267D4" w:rsidRPr="004E1CFF">
        <w:rPr>
          <w:rFonts w:ascii="Times New Roman" w:hAnsi="Times New Roman" w:cs="Times New Roman"/>
        </w:rPr>
        <w:t xml:space="preserve">wenty-eight healthy </w:t>
      </w:r>
      <w:r w:rsidR="00837276">
        <w:rPr>
          <w:rFonts w:ascii="Times New Roman" w:hAnsi="Times New Roman" w:cs="Times New Roman"/>
        </w:rPr>
        <w:t xml:space="preserve">participants </w:t>
      </w:r>
      <w:r w:rsidR="00F267D4" w:rsidRPr="004E1CFF">
        <w:rPr>
          <w:rFonts w:ascii="Times New Roman" w:hAnsi="Times New Roman" w:cs="Times New Roman"/>
        </w:rPr>
        <w:t>and twenty-</w:t>
      </w:r>
      <w:r w:rsidR="00741FBA">
        <w:rPr>
          <w:rFonts w:ascii="Times New Roman" w:hAnsi="Times New Roman" w:cs="Times New Roman"/>
        </w:rPr>
        <w:t>eight</w:t>
      </w:r>
      <w:r w:rsidR="00F267D4" w:rsidRPr="004E1CFF">
        <w:rPr>
          <w:rFonts w:ascii="Times New Roman" w:hAnsi="Times New Roman" w:cs="Times New Roman"/>
        </w:rPr>
        <w:t xml:space="preserve"> </w:t>
      </w:r>
      <w:r w:rsidR="00CE65B4" w:rsidRPr="004E1CFF">
        <w:rPr>
          <w:rFonts w:ascii="Times New Roman" w:hAnsi="Times New Roman" w:cs="Times New Roman"/>
        </w:rPr>
        <w:t xml:space="preserve">individuals </w:t>
      </w:r>
      <w:r w:rsidR="00837276">
        <w:rPr>
          <w:rFonts w:ascii="Times New Roman" w:hAnsi="Times New Roman" w:cs="Times New Roman"/>
        </w:rPr>
        <w:t xml:space="preserve">who satisfied </w:t>
      </w:r>
      <w:r w:rsidR="00C00564">
        <w:rPr>
          <w:rFonts w:ascii="Times New Roman" w:hAnsi="Times New Roman" w:cs="Times New Roman"/>
        </w:rPr>
        <w:t>DSM-IV TR</w:t>
      </w:r>
      <w:r w:rsidR="00AB2550">
        <w:rPr>
          <w:rFonts w:ascii="Times New Roman" w:hAnsi="Times New Roman" w:cs="Times New Roman"/>
        </w:rPr>
        <w:t xml:space="preserve"> </w:t>
      </w:r>
      <w:r w:rsidR="00AB2550">
        <w:rPr>
          <w:rFonts w:ascii="Times New Roman" w:hAnsi="Times New Roman" w:cs="Times New Roman"/>
        </w:rPr>
        <w:fldChar w:fldCharType="begin" w:fldLock="1"/>
      </w:r>
      <w:r w:rsidR="00C30855">
        <w:rPr>
          <w:rFonts w:ascii="Times New Roman" w:hAnsi="Times New Roman" w:cs="Times New Roman"/>
        </w:rPr>
        <w:instrText>ADDIN CSL_CITATION {"citationItems":[{"id":"ITEM-1","itemData":{"author":[{"dropping-particle":"","family":"APA","given":"","non-dropping-particle":"","parse-names":false,"suffix":""}],"id":"ITEM-1","issued":{"date-parts":[["2000"]]},"title":"American Psychiatric Association: Diagnostic and Statistical Manual of Mental Disorders","type":"book"},"uris":["http://www.mendeley.com/documents/?uuid=444561ef-42bd-46d3-ad9c-cb190eebc1dc"]}],"mendeley":{"formattedCitation":"(33)","plainTextFormattedCitation":"(33)","previouslyFormattedCitation":"(33)"},"properties":{"noteIndex":0},"schema":"https://github.com/citation-style-language/schema/raw/master/csl-citation.json"}</w:instrText>
      </w:r>
      <w:r w:rsidR="00AB2550">
        <w:rPr>
          <w:rFonts w:ascii="Times New Roman" w:hAnsi="Times New Roman" w:cs="Times New Roman"/>
        </w:rPr>
        <w:fldChar w:fldCharType="separate"/>
      </w:r>
      <w:r w:rsidR="00112D56" w:rsidRPr="00112D56">
        <w:rPr>
          <w:rFonts w:ascii="Times New Roman" w:hAnsi="Times New Roman" w:cs="Times New Roman"/>
          <w:noProof/>
        </w:rPr>
        <w:t>(33)</w:t>
      </w:r>
      <w:r w:rsidR="00AB2550">
        <w:rPr>
          <w:rFonts w:ascii="Times New Roman" w:hAnsi="Times New Roman" w:cs="Times New Roman"/>
        </w:rPr>
        <w:fldChar w:fldCharType="end"/>
      </w:r>
      <w:r w:rsidR="00C00564">
        <w:rPr>
          <w:rFonts w:ascii="Times New Roman" w:hAnsi="Times New Roman" w:cs="Times New Roman"/>
        </w:rPr>
        <w:t xml:space="preserve"> </w:t>
      </w:r>
      <w:r w:rsidR="00837276">
        <w:rPr>
          <w:rFonts w:ascii="Times New Roman" w:hAnsi="Times New Roman" w:cs="Times New Roman"/>
        </w:rPr>
        <w:t xml:space="preserve">criteria for cocaine </w:t>
      </w:r>
      <w:r w:rsidR="00EC489E" w:rsidRPr="00EC489E">
        <w:rPr>
          <w:rFonts w:ascii="Times New Roman" w:hAnsi="Times New Roman" w:cs="Times New Roman"/>
        </w:rPr>
        <w:t>dependence, here referred to as cocaine use disorder (CUD)</w:t>
      </w:r>
      <w:r w:rsidR="001A1C57">
        <w:rPr>
          <w:rFonts w:ascii="Times New Roman" w:hAnsi="Times New Roman" w:cs="Times New Roman"/>
        </w:rPr>
        <w:t xml:space="preserve"> </w:t>
      </w:r>
      <w:r w:rsidR="0006580A">
        <w:rPr>
          <w:rFonts w:ascii="Times New Roman" w:hAnsi="Times New Roman" w:cs="Times New Roman"/>
        </w:rPr>
        <w:t>were recruited</w:t>
      </w:r>
      <w:r w:rsidR="00D01683" w:rsidRPr="004E1CFF">
        <w:rPr>
          <w:rFonts w:ascii="Times New Roman" w:hAnsi="Times New Roman" w:cs="Times New Roman"/>
        </w:rPr>
        <w:t xml:space="preserve"> from </w:t>
      </w:r>
      <w:r w:rsidR="00170571">
        <w:rPr>
          <w:rFonts w:ascii="Times New Roman" w:hAnsi="Times New Roman" w:cs="Times New Roman"/>
        </w:rPr>
        <w:t>d</w:t>
      </w:r>
      <w:r w:rsidR="00D01683" w:rsidRPr="004E1CFF">
        <w:rPr>
          <w:rFonts w:ascii="Times New Roman" w:hAnsi="Times New Roman" w:cs="Times New Roman"/>
        </w:rPr>
        <w:t xml:space="preserve">rug </w:t>
      </w:r>
      <w:r w:rsidR="00170571">
        <w:rPr>
          <w:rFonts w:ascii="Times New Roman" w:hAnsi="Times New Roman" w:cs="Times New Roman"/>
        </w:rPr>
        <w:t xml:space="preserve">treatment </w:t>
      </w:r>
      <w:r w:rsidR="00D01683" w:rsidRPr="004E1CFF">
        <w:rPr>
          <w:rFonts w:ascii="Times New Roman" w:hAnsi="Times New Roman" w:cs="Times New Roman"/>
        </w:rPr>
        <w:t>services</w:t>
      </w:r>
      <w:r w:rsidR="00C00564">
        <w:rPr>
          <w:rStyle w:val="CommentReference"/>
        </w:rPr>
        <w:t xml:space="preserve"> </w:t>
      </w:r>
      <w:r w:rsidR="00C00564" w:rsidRPr="0043498D">
        <w:rPr>
          <w:rFonts w:ascii="Times New Roman" w:hAnsi="Times New Roman" w:cs="Times New Roman"/>
        </w:rPr>
        <w:t xml:space="preserve">by advertisement and </w:t>
      </w:r>
      <w:r w:rsidR="00D01683" w:rsidRPr="004E1CFF">
        <w:rPr>
          <w:rFonts w:ascii="Times New Roman" w:hAnsi="Times New Roman" w:cs="Times New Roman"/>
        </w:rPr>
        <w:t>word of mouth</w:t>
      </w:r>
      <w:r w:rsidR="00D27256" w:rsidRPr="004E1CFF">
        <w:rPr>
          <w:rFonts w:ascii="Times New Roman" w:hAnsi="Times New Roman" w:cs="Times New Roman"/>
        </w:rPr>
        <w:t xml:space="preserve">. </w:t>
      </w:r>
      <w:r w:rsidR="00F77667">
        <w:rPr>
          <w:rFonts w:ascii="Times New Roman" w:hAnsi="Times New Roman" w:cs="Times New Roman"/>
          <w:color w:val="000000" w:themeColor="text1"/>
        </w:rPr>
        <w:t xml:space="preserve">Two CUD </w:t>
      </w:r>
      <w:r w:rsidR="00301112">
        <w:rPr>
          <w:rFonts w:ascii="Times New Roman" w:hAnsi="Times New Roman" w:cs="Times New Roman"/>
          <w:color w:val="000000" w:themeColor="text1"/>
        </w:rPr>
        <w:t xml:space="preserve">patients </w:t>
      </w:r>
      <w:r w:rsidR="00F77667">
        <w:rPr>
          <w:rFonts w:ascii="Times New Roman" w:hAnsi="Times New Roman" w:cs="Times New Roman"/>
          <w:color w:val="000000" w:themeColor="text1"/>
        </w:rPr>
        <w:t>did not complete the task in the scanner</w:t>
      </w:r>
      <w:r w:rsidR="00CC2F82">
        <w:rPr>
          <w:rFonts w:ascii="Times New Roman" w:hAnsi="Times New Roman" w:cs="Times New Roman"/>
          <w:color w:val="000000" w:themeColor="text1"/>
        </w:rPr>
        <w:t xml:space="preserve"> and thus were excluded</w:t>
      </w:r>
      <w:r w:rsidR="00F77667">
        <w:rPr>
          <w:rFonts w:ascii="Times New Roman" w:hAnsi="Times New Roman" w:cs="Times New Roman"/>
          <w:color w:val="000000" w:themeColor="text1"/>
        </w:rPr>
        <w:t xml:space="preserve">. </w:t>
      </w:r>
      <w:r w:rsidR="00D27256" w:rsidRPr="004E1CFF">
        <w:rPr>
          <w:rFonts w:ascii="Times New Roman" w:hAnsi="Times New Roman" w:cs="Times New Roman"/>
        </w:rPr>
        <w:t>H</w:t>
      </w:r>
      <w:r w:rsidR="00D01683" w:rsidRPr="004E1CFF">
        <w:rPr>
          <w:rFonts w:ascii="Times New Roman" w:hAnsi="Times New Roman" w:cs="Times New Roman"/>
        </w:rPr>
        <w:t xml:space="preserve">ealthy control participants were recruited from the Cambridge </w:t>
      </w:r>
      <w:proofErr w:type="spellStart"/>
      <w:r w:rsidR="00D01683" w:rsidRPr="004E1CFF">
        <w:rPr>
          <w:rFonts w:ascii="Times New Roman" w:hAnsi="Times New Roman" w:cs="Times New Roman"/>
        </w:rPr>
        <w:t>BioResource</w:t>
      </w:r>
      <w:proofErr w:type="spellEnd"/>
      <w:r w:rsidR="00D01683" w:rsidRPr="004E1CFF">
        <w:rPr>
          <w:rFonts w:ascii="Times New Roman" w:hAnsi="Times New Roman" w:cs="Times New Roman"/>
        </w:rPr>
        <w:t xml:space="preserve"> volunteer panel (</w:t>
      </w:r>
      <w:hyperlink r:id="rId8" w:history="1">
        <w:r w:rsidR="00D01683" w:rsidRPr="004E1CFF">
          <w:rPr>
            <w:rStyle w:val="Hyperlink"/>
            <w:rFonts w:ascii="Times New Roman" w:hAnsi="Times New Roman" w:cs="Times New Roman"/>
          </w:rPr>
          <w:t>www.cambridgebioresource.org.uk</w:t>
        </w:r>
      </w:hyperlink>
      <w:r w:rsidR="00D01683" w:rsidRPr="004E1CFF">
        <w:rPr>
          <w:rFonts w:ascii="Times New Roman" w:hAnsi="Times New Roman" w:cs="Times New Roman"/>
        </w:rPr>
        <w:t>)</w:t>
      </w:r>
      <w:r w:rsidR="00871F7B">
        <w:rPr>
          <w:rFonts w:ascii="Times New Roman" w:hAnsi="Times New Roman" w:cs="Times New Roman"/>
        </w:rPr>
        <w:t xml:space="preserve"> and had </w:t>
      </w:r>
      <w:r w:rsidR="00EB674C">
        <w:rPr>
          <w:rFonts w:ascii="Times New Roman" w:hAnsi="Times New Roman" w:cs="Times New Roman"/>
        </w:rPr>
        <w:t xml:space="preserve">no </w:t>
      </w:r>
      <w:r w:rsidR="00871F7B">
        <w:rPr>
          <w:rFonts w:ascii="Times New Roman" w:hAnsi="Times New Roman" w:cs="Times New Roman"/>
        </w:rPr>
        <w:t>current o</w:t>
      </w:r>
      <w:r w:rsidR="00EB674C">
        <w:rPr>
          <w:rFonts w:ascii="Times New Roman" w:hAnsi="Times New Roman" w:cs="Times New Roman"/>
        </w:rPr>
        <w:t>r</w:t>
      </w:r>
      <w:r w:rsidR="00871F7B">
        <w:rPr>
          <w:rFonts w:ascii="Times New Roman" w:hAnsi="Times New Roman" w:cs="Times New Roman"/>
        </w:rPr>
        <w:t xml:space="preserve"> past psychiatric disorders</w:t>
      </w:r>
      <w:r w:rsidR="00D01683" w:rsidRPr="004E1CFF">
        <w:rPr>
          <w:rFonts w:ascii="Times New Roman" w:hAnsi="Times New Roman" w:cs="Times New Roman"/>
        </w:rPr>
        <w:t>.</w:t>
      </w:r>
      <w:r w:rsidR="00784F1F">
        <w:rPr>
          <w:rFonts w:ascii="Times New Roman" w:hAnsi="Times New Roman" w:cs="Times New Roman"/>
          <w:color w:val="000000" w:themeColor="text1"/>
        </w:rPr>
        <w:t xml:space="preserve"> </w:t>
      </w:r>
      <w:r w:rsidR="004D6CE9" w:rsidRPr="004E1CFF">
        <w:rPr>
          <w:rFonts w:ascii="Times New Roman" w:hAnsi="Times New Roman" w:cs="Times New Roman"/>
          <w:color w:val="000000" w:themeColor="text1"/>
        </w:rPr>
        <w:t>All p</w:t>
      </w:r>
      <w:r w:rsidR="00694B25" w:rsidRPr="004E1CFF">
        <w:rPr>
          <w:rFonts w:ascii="Times New Roman" w:hAnsi="Times New Roman" w:cs="Times New Roman"/>
          <w:color w:val="000000" w:themeColor="text1"/>
        </w:rPr>
        <w:t xml:space="preserve">articipants were screened using the Mini-International Neuropsychiatric </w:t>
      </w:r>
      <w:r w:rsidR="00F7723D" w:rsidRPr="004E1CFF">
        <w:rPr>
          <w:rFonts w:ascii="Times New Roman" w:hAnsi="Times New Roman" w:cs="Times New Roman"/>
          <w:color w:val="000000" w:themeColor="text1"/>
        </w:rPr>
        <w:t>Interview</w:t>
      </w:r>
      <w:r w:rsidR="006C0CE7">
        <w:rPr>
          <w:rFonts w:ascii="Times New Roman" w:hAnsi="Times New Roman" w:cs="Times New Roman"/>
          <w:color w:val="000000" w:themeColor="text1"/>
        </w:rPr>
        <w:t xml:space="preserve"> </w:t>
      </w:r>
      <w:r w:rsidR="001441CA" w:rsidRPr="004E1CFF">
        <w:rPr>
          <w:rFonts w:ascii="Times New Roman" w:hAnsi="Times New Roman" w:cs="Times New Roman"/>
          <w:color w:val="000000" w:themeColor="text1"/>
        </w:rPr>
        <w:t xml:space="preserve"> </w:t>
      </w:r>
      <w:r w:rsidR="000C6D5A" w:rsidRPr="004E1CFF">
        <w:rPr>
          <w:rFonts w:ascii="Times New Roman" w:hAnsi="Times New Roman" w:cs="Times New Roman"/>
          <w:color w:val="000000" w:themeColor="text1"/>
        </w:rPr>
        <w:fldChar w:fldCharType="begin" w:fldLock="1"/>
      </w:r>
      <w:r w:rsidR="00C30855">
        <w:rPr>
          <w:rFonts w:ascii="Times New Roman" w:hAnsi="Times New Roman" w:cs="Times New Roman"/>
          <w:color w:val="000000" w:themeColor="text1"/>
        </w:rPr>
        <w:instrText>ADDIN CSL_CITATION {"citationItems":[{"id":"ITEM-1","itemData":{"ISSN":"00121622","author":[{"dropping-particle":"","family":"Sheehan","given":"DV","non-dropping-particle":"","parse-names":false,"suffix":""},{"dropping-particle":"","family":"Lecrubier","given":"Y","non-dropping-particle":"","parse-names":false,"suffix":""},{"dropping-particle":"","family":"Sheehan","given":"KH","non-dropping-particle":"","parse-names":false,"suffix":""},{"dropping-particle":"","family":"Amorim","given":"P","non-dropping-particle":"","parse-names":false,"suffix":""},{"dropping-particle":"","family":"Janavs","given":"J","non-dropping-particle":"","parse-names":false,"suffix":""},{"dropping-particle":"","family":"Weiller","given":"E","non-dropping-particle":"","parse-names":false,"suffix":""},{"dropping-particle":"","family":"Hergueta","given":"T","non-dropping-particle":"","parse-names":false,"suffix":""},{"dropping-particle":"","family":"Baker","given":"Roxy","non-dropping-particle":"","parse-names":false,"suffix":""},{"dropping-particle":"","family":"Dunbar","given":"GC","non-dropping-particle":"","parse-names":false,"suffix":""}],"container-title":"22 J Clin Psychiatry","id":"ITEM-1","issue":"20","issued":{"date-parts":[["1998"]]},"page":"22-33","title":"The Mini-International Neuropsychiatric Interview (M.I.N.I.): The Development and Validation of a Structured Diagnostic Psychiatric Interview for DSM-IV and ICD-10","type":"article-journal","volume":"59"},"uris":["http://www.mendeley.com/documents/?uuid=28e2988f-d4d9-42e0-9e46-aadbf61e4528"]}],"mendeley":{"formattedCitation":"(34)","plainTextFormattedCitation":"(34)","previouslyFormattedCitation":"(34)"},"properties":{"noteIndex":0},"schema":"https://github.com/citation-style-language/schema/raw/master/csl-citation.json"}</w:instrText>
      </w:r>
      <w:r w:rsidR="000C6D5A" w:rsidRPr="004E1CFF">
        <w:rPr>
          <w:rFonts w:ascii="Times New Roman" w:hAnsi="Times New Roman" w:cs="Times New Roman"/>
          <w:color w:val="000000" w:themeColor="text1"/>
        </w:rPr>
        <w:fldChar w:fldCharType="separate"/>
      </w:r>
      <w:r w:rsidR="00112D56" w:rsidRPr="00112D56">
        <w:rPr>
          <w:rFonts w:ascii="Times New Roman" w:hAnsi="Times New Roman" w:cs="Times New Roman"/>
          <w:noProof/>
          <w:color w:val="000000" w:themeColor="text1"/>
        </w:rPr>
        <w:t>(34)</w:t>
      </w:r>
      <w:r w:rsidR="000C6D5A" w:rsidRPr="004E1CFF">
        <w:rPr>
          <w:rFonts w:ascii="Times New Roman" w:hAnsi="Times New Roman" w:cs="Times New Roman"/>
          <w:color w:val="000000" w:themeColor="text1"/>
        </w:rPr>
        <w:fldChar w:fldCharType="end"/>
      </w:r>
      <w:r w:rsidR="00A32FD0">
        <w:rPr>
          <w:rFonts w:ascii="Times New Roman" w:hAnsi="Times New Roman" w:cs="Times New Roman"/>
          <w:color w:val="000000" w:themeColor="text1"/>
        </w:rPr>
        <w:t xml:space="preserve"> </w:t>
      </w:r>
      <w:r w:rsidR="00E25B4A" w:rsidRPr="00E25B4A">
        <w:rPr>
          <w:rFonts w:ascii="Times New Roman" w:hAnsi="Times New Roman" w:cs="Times New Roman"/>
          <w:color w:val="000000" w:themeColor="text1"/>
        </w:rPr>
        <w:t>and completed the Beck Depression Inventory Version II to record levels of dysphoric mood</w:t>
      </w:r>
      <w:r w:rsidR="00694B25" w:rsidRPr="004E1CFF">
        <w:rPr>
          <w:rFonts w:ascii="Times New Roman" w:hAnsi="Times New Roman" w:cs="Times New Roman"/>
          <w:color w:val="000000" w:themeColor="text1"/>
        </w:rPr>
        <w:t>.</w:t>
      </w:r>
      <w:r w:rsidR="007D515A">
        <w:rPr>
          <w:rFonts w:ascii="Times New Roman" w:hAnsi="Times New Roman" w:cs="Times New Roman"/>
          <w:color w:val="000000" w:themeColor="text1"/>
        </w:rPr>
        <w:t xml:space="preserve"> </w:t>
      </w:r>
      <w:r w:rsidR="00AE64B5" w:rsidRPr="00AE64B5">
        <w:rPr>
          <w:rFonts w:ascii="Times New Roman" w:hAnsi="Times New Roman" w:cs="Times New Roman"/>
          <w:color w:val="000000" w:themeColor="text1"/>
        </w:rPr>
        <w:t>We did not assess ADHD but none of our participants had a prior diagnosis of ADHD and had been prescribed stimulants for the treatment of ADHD.</w:t>
      </w:r>
      <w:r w:rsidR="00694B25" w:rsidRPr="004E1CFF">
        <w:rPr>
          <w:rFonts w:ascii="Times New Roman" w:hAnsi="Times New Roman" w:cs="Times New Roman"/>
          <w:color w:val="000000" w:themeColor="text1"/>
        </w:rPr>
        <w:t xml:space="preserve"> </w:t>
      </w:r>
      <w:r w:rsidR="00C00564">
        <w:rPr>
          <w:rFonts w:ascii="Times New Roman" w:hAnsi="Times New Roman" w:cs="Times New Roman"/>
          <w:color w:val="000000" w:themeColor="text1"/>
        </w:rPr>
        <w:t>Cocaine dependence was verified using the Structured Interview to the DSM-IV (</w:t>
      </w:r>
      <w:r w:rsidR="001D65BE">
        <w:rPr>
          <w:rFonts w:ascii="Times New Roman" w:hAnsi="Times New Roman" w:cs="Times New Roman"/>
          <w:color w:val="000000" w:themeColor="text1"/>
        </w:rPr>
        <w:t xml:space="preserve">Structured Clinical Interview, </w:t>
      </w:r>
      <w:r w:rsidR="00C00564">
        <w:rPr>
          <w:rFonts w:ascii="Times New Roman" w:hAnsi="Times New Roman" w:cs="Times New Roman"/>
          <w:color w:val="000000" w:themeColor="text1"/>
        </w:rPr>
        <w:t>SCID</w:t>
      </w:r>
      <w:r w:rsidR="001A6218">
        <w:rPr>
          <w:rFonts w:ascii="Times New Roman" w:hAnsi="Times New Roman" w:cs="Times New Roman"/>
          <w:color w:val="000000" w:themeColor="text1"/>
        </w:rPr>
        <w:t xml:space="preserve"> </w:t>
      </w:r>
      <w:r w:rsidR="001A6218">
        <w:rPr>
          <w:rFonts w:ascii="Times New Roman" w:hAnsi="Times New Roman" w:cs="Times New Roman"/>
          <w:color w:val="000000" w:themeColor="text1"/>
        </w:rPr>
        <w:fldChar w:fldCharType="begin" w:fldLock="1"/>
      </w:r>
      <w:r w:rsidR="00C30855">
        <w:rPr>
          <w:rFonts w:ascii="Times New Roman" w:hAnsi="Times New Roman" w:cs="Times New Roman"/>
          <w:color w:val="000000" w:themeColor="text1"/>
        </w:rPr>
        <w:instrText>ADDIN CSL_CITATION {"citationItems":[{"id":"ITEM-1","itemData":{"DOI":"10.1159/000065121","ISSN":"02544962","abstract":"DSM-IV is the standard language for psychiatric diagnosis in the United States. An unanticipated consequence of DSM-III is international interest in this American document; for example, DSM-III was translated into 13 languages. This was due to its adopting a descriptive classification that eschewed etiologic theory and contained operational definitions, following Stengel's recommendations in his WHO report in 1959. These principles were eventually implemented in ICD-10, with the result of being two somewhat different classification systems. Although WHO-APA collaborations have minimized differences, a significant number remains, with only a few reflecting true ideological differences. The challenge for the future will be to integrate the two systems to produce, as much as possible, a unified system for international diagnostic communication. Copyright © 2002 S. Karger AG, Basel.","author":[{"dropping-particle":"","family":"First","given":"Michael B.","non-dropping-particle":"","parse-names":false,"suffix":""}],"container-title":"Psychopathology","id":"ITEM-1","issue":"2-3","issued":{"date-parts":[["2002"]]},"page":"67-71","title":"The DSM series and experience with DSM-IV","type":"article-journal","volume":"35"},"uris":["http://www.mendeley.com/documents/?uuid=06f780fe-6d0d-4ab7-bcfc-2744e866fb66"]}],"mendeley":{"formattedCitation":"(35)","plainTextFormattedCitation":"(35)","previouslyFormattedCitation":"(35)"},"properties":{"noteIndex":0},"schema":"https://github.com/citation-style-language/schema/raw/master/csl-citation.json"}</w:instrText>
      </w:r>
      <w:r w:rsidR="001A6218">
        <w:rPr>
          <w:rFonts w:ascii="Times New Roman" w:hAnsi="Times New Roman" w:cs="Times New Roman"/>
          <w:color w:val="000000" w:themeColor="text1"/>
        </w:rPr>
        <w:fldChar w:fldCharType="separate"/>
      </w:r>
      <w:r w:rsidR="00112D56" w:rsidRPr="00112D56">
        <w:rPr>
          <w:rFonts w:ascii="Times New Roman" w:hAnsi="Times New Roman" w:cs="Times New Roman"/>
          <w:noProof/>
          <w:color w:val="000000" w:themeColor="text1"/>
        </w:rPr>
        <w:t>(35)</w:t>
      </w:r>
      <w:r w:rsidR="001A6218">
        <w:rPr>
          <w:rFonts w:ascii="Times New Roman" w:hAnsi="Times New Roman" w:cs="Times New Roman"/>
          <w:color w:val="000000" w:themeColor="text1"/>
        </w:rPr>
        <w:fldChar w:fldCharType="end"/>
      </w:r>
      <w:r w:rsidR="00C00564">
        <w:rPr>
          <w:rFonts w:ascii="Times New Roman" w:hAnsi="Times New Roman" w:cs="Times New Roman"/>
          <w:color w:val="000000" w:themeColor="text1"/>
        </w:rPr>
        <w:t xml:space="preserve">. </w:t>
      </w:r>
      <w:r w:rsidR="00E565F2">
        <w:rPr>
          <w:rFonts w:ascii="Times New Roman" w:hAnsi="Times New Roman" w:cs="Times New Roman"/>
          <w:color w:val="000000" w:themeColor="text1"/>
        </w:rPr>
        <w:t>Fifteen</w:t>
      </w:r>
      <w:r w:rsidR="0043023C">
        <w:rPr>
          <w:rFonts w:ascii="Times New Roman" w:hAnsi="Times New Roman" w:cs="Times New Roman"/>
          <w:color w:val="000000" w:themeColor="text1"/>
        </w:rPr>
        <w:t xml:space="preserve"> </w:t>
      </w:r>
      <w:r w:rsidR="003835B5">
        <w:rPr>
          <w:rFonts w:ascii="Times New Roman" w:hAnsi="Times New Roman" w:cs="Times New Roman"/>
          <w:color w:val="000000" w:themeColor="text1"/>
        </w:rPr>
        <w:t xml:space="preserve">CUD </w:t>
      </w:r>
      <w:r w:rsidR="0043023C">
        <w:rPr>
          <w:rFonts w:ascii="Times New Roman" w:hAnsi="Times New Roman" w:cs="Times New Roman"/>
          <w:color w:val="000000" w:themeColor="text1"/>
        </w:rPr>
        <w:t>pat</w:t>
      </w:r>
      <w:r w:rsidR="00301112">
        <w:rPr>
          <w:rFonts w:ascii="Times New Roman" w:hAnsi="Times New Roman" w:cs="Times New Roman"/>
          <w:color w:val="000000" w:themeColor="text1"/>
        </w:rPr>
        <w:t>ients</w:t>
      </w:r>
      <w:r w:rsidR="0043023C">
        <w:rPr>
          <w:rFonts w:ascii="Times New Roman" w:hAnsi="Times New Roman" w:cs="Times New Roman"/>
          <w:color w:val="000000" w:themeColor="text1"/>
        </w:rPr>
        <w:t xml:space="preserve"> </w:t>
      </w:r>
      <w:r w:rsidR="003835B5">
        <w:rPr>
          <w:rFonts w:ascii="Times New Roman" w:hAnsi="Times New Roman" w:cs="Times New Roman"/>
          <w:color w:val="000000" w:themeColor="text1"/>
        </w:rPr>
        <w:t xml:space="preserve">also </w:t>
      </w:r>
      <w:r w:rsidR="0043023C">
        <w:rPr>
          <w:rFonts w:ascii="Times New Roman" w:hAnsi="Times New Roman" w:cs="Times New Roman"/>
          <w:color w:val="000000" w:themeColor="text1"/>
        </w:rPr>
        <w:t xml:space="preserve">met </w:t>
      </w:r>
      <w:r w:rsidR="00961D85">
        <w:rPr>
          <w:rFonts w:ascii="Times New Roman" w:hAnsi="Times New Roman" w:cs="Times New Roman"/>
          <w:color w:val="000000" w:themeColor="text1"/>
        </w:rPr>
        <w:t xml:space="preserve">the DSM-IV </w:t>
      </w:r>
      <w:r w:rsidR="0043023C">
        <w:rPr>
          <w:rFonts w:ascii="Times New Roman" w:hAnsi="Times New Roman" w:cs="Times New Roman"/>
          <w:color w:val="000000" w:themeColor="text1"/>
        </w:rPr>
        <w:t>criteria</w:t>
      </w:r>
      <w:r w:rsidR="006063B5">
        <w:rPr>
          <w:rFonts w:ascii="Times New Roman" w:hAnsi="Times New Roman" w:cs="Times New Roman"/>
          <w:color w:val="000000" w:themeColor="text1"/>
        </w:rPr>
        <w:t xml:space="preserve"> </w:t>
      </w:r>
      <w:r w:rsidR="00D21749">
        <w:rPr>
          <w:rFonts w:ascii="Times New Roman" w:hAnsi="Times New Roman" w:cs="Times New Roman"/>
          <w:color w:val="000000" w:themeColor="text1"/>
        </w:rPr>
        <w:t>for opioid dependence</w:t>
      </w:r>
      <w:r w:rsidR="0022387D">
        <w:rPr>
          <w:rFonts w:ascii="Times New Roman" w:hAnsi="Times New Roman" w:cs="Times New Roman"/>
          <w:color w:val="000000" w:themeColor="text1"/>
        </w:rPr>
        <w:t xml:space="preserve">; 10 </w:t>
      </w:r>
      <w:r w:rsidR="00355727">
        <w:rPr>
          <w:rFonts w:ascii="Times New Roman" w:hAnsi="Times New Roman" w:cs="Times New Roman"/>
          <w:color w:val="000000" w:themeColor="text1"/>
        </w:rPr>
        <w:t xml:space="preserve">of </w:t>
      </w:r>
      <w:r w:rsidR="00E74646">
        <w:rPr>
          <w:rFonts w:ascii="Times New Roman" w:hAnsi="Times New Roman" w:cs="Times New Roman"/>
          <w:color w:val="000000" w:themeColor="text1"/>
        </w:rPr>
        <w:t>whom</w:t>
      </w:r>
      <w:r w:rsidR="0022387D">
        <w:rPr>
          <w:rFonts w:ascii="Times New Roman" w:hAnsi="Times New Roman" w:cs="Times New Roman"/>
          <w:color w:val="000000" w:themeColor="text1"/>
        </w:rPr>
        <w:t xml:space="preserve"> </w:t>
      </w:r>
      <w:r w:rsidR="004673CA">
        <w:rPr>
          <w:rFonts w:ascii="Times New Roman" w:hAnsi="Times New Roman" w:cs="Times New Roman"/>
          <w:color w:val="000000" w:themeColor="text1"/>
        </w:rPr>
        <w:t xml:space="preserve">were </w:t>
      </w:r>
      <w:r w:rsidR="00B5464A">
        <w:rPr>
          <w:rFonts w:ascii="Times New Roman" w:hAnsi="Times New Roman" w:cs="Times New Roman"/>
          <w:color w:val="000000" w:themeColor="text1"/>
        </w:rPr>
        <w:t xml:space="preserve">taking </w:t>
      </w:r>
      <w:r w:rsidR="00985C3B">
        <w:rPr>
          <w:rFonts w:ascii="Times New Roman" w:hAnsi="Times New Roman" w:cs="Times New Roman"/>
          <w:color w:val="000000" w:themeColor="text1"/>
        </w:rPr>
        <w:t xml:space="preserve">methadone </w:t>
      </w:r>
      <w:r w:rsidR="00C06728">
        <w:rPr>
          <w:rFonts w:ascii="Times New Roman" w:hAnsi="Times New Roman" w:cs="Times New Roman"/>
          <w:color w:val="000000" w:themeColor="text1"/>
        </w:rPr>
        <w:t>or buprenorphine as part of the</w:t>
      </w:r>
      <w:r w:rsidR="002029B6">
        <w:rPr>
          <w:rFonts w:ascii="Times New Roman" w:hAnsi="Times New Roman" w:cs="Times New Roman"/>
          <w:color w:val="000000" w:themeColor="text1"/>
        </w:rPr>
        <w:t>ir</w:t>
      </w:r>
      <w:r w:rsidR="00C06728">
        <w:rPr>
          <w:rFonts w:ascii="Times New Roman" w:hAnsi="Times New Roman" w:cs="Times New Roman"/>
          <w:color w:val="000000" w:themeColor="text1"/>
        </w:rPr>
        <w:t xml:space="preserve"> maintenance therapy</w:t>
      </w:r>
      <w:r w:rsidR="004673CA">
        <w:rPr>
          <w:rFonts w:ascii="Times New Roman" w:hAnsi="Times New Roman" w:cs="Times New Roman"/>
          <w:color w:val="000000" w:themeColor="text1"/>
        </w:rPr>
        <w:t>.</w:t>
      </w:r>
      <w:r w:rsidR="0043023C">
        <w:rPr>
          <w:rFonts w:ascii="Times New Roman" w:hAnsi="Times New Roman" w:cs="Times New Roman"/>
          <w:color w:val="000000" w:themeColor="text1"/>
        </w:rPr>
        <w:t xml:space="preserve"> </w:t>
      </w:r>
      <w:r w:rsidR="003936B5">
        <w:rPr>
          <w:rFonts w:ascii="Times New Roman" w:hAnsi="Times New Roman" w:cs="Times New Roman"/>
          <w:color w:val="000000" w:themeColor="text1"/>
        </w:rPr>
        <w:t xml:space="preserve">Ten </w:t>
      </w:r>
      <w:r w:rsidR="007E5867">
        <w:rPr>
          <w:rFonts w:ascii="Times New Roman" w:hAnsi="Times New Roman" w:cs="Times New Roman"/>
          <w:color w:val="000000" w:themeColor="text1"/>
        </w:rPr>
        <w:t xml:space="preserve">CUD </w:t>
      </w:r>
      <w:r w:rsidR="00301112">
        <w:rPr>
          <w:rFonts w:ascii="Times New Roman" w:hAnsi="Times New Roman" w:cs="Times New Roman"/>
          <w:color w:val="000000" w:themeColor="text1"/>
        </w:rPr>
        <w:t xml:space="preserve">patients </w:t>
      </w:r>
      <w:r w:rsidR="007E5F6B">
        <w:rPr>
          <w:rFonts w:ascii="Times New Roman" w:hAnsi="Times New Roman" w:cs="Times New Roman"/>
          <w:color w:val="000000" w:themeColor="text1"/>
        </w:rPr>
        <w:t xml:space="preserve">also met criteria for </w:t>
      </w:r>
      <w:r w:rsidR="007E5F6B" w:rsidRPr="004673CA">
        <w:rPr>
          <w:rFonts w:ascii="Times New Roman" w:hAnsi="Times New Roman" w:cs="Times New Roman"/>
          <w:color w:val="000000" w:themeColor="text1"/>
        </w:rPr>
        <w:t xml:space="preserve">tetrahydrocannabinol </w:t>
      </w:r>
      <w:r w:rsidR="007E5F6B">
        <w:rPr>
          <w:rFonts w:ascii="Times New Roman" w:hAnsi="Times New Roman" w:cs="Times New Roman"/>
          <w:color w:val="000000" w:themeColor="text1"/>
        </w:rPr>
        <w:t>dependenc</w:t>
      </w:r>
      <w:r w:rsidR="0033413F">
        <w:rPr>
          <w:rFonts w:ascii="Times New Roman" w:hAnsi="Times New Roman" w:cs="Times New Roman"/>
          <w:color w:val="000000" w:themeColor="text1"/>
        </w:rPr>
        <w:t>e</w:t>
      </w:r>
      <w:r w:rsidR="007E5F6B">
        <w:rPr>
          <w:rFonts w:ascii="Times New Roman" w:hAnsi="Times New Roman" w:cs="Times New Roman"/>
          <w:color w:val="000000" w:themeColor="text1"/>
        </w:rPr>
        <w:t xml:space="preserve">. </w:t>
      </w:r>
      <w:r w:rsidR="00694B25" w:rsidRPr="004E1CFF">
        <w:rPr>
          <w:rFonts w:ascii="Times New Roman" w:hAnsi="Times New Roman" w:cs="Times New Roman"/>
          <w:color w:val="000000" w:themeColor="text1"/>
        </w:rPr>
        <w:t xml:space="preserve">Participants were excluded if they 1) had a history of neurological disorder, head or brain injury, </w:t>
      </w:r>
      <w:r w:rsidR="00784F1F">
        <w:rPr>
          <w:rFonts w:ascii="Times New Roman" w:hAnsi="Times New Roman" w:cs="Times New Roman"/>
          <w:color w:val="000000" w:themeColor="text1"/>
        </w:rPr>
        <w:t xml:space="preserve">history of psychotic disorder, </w:t>
      </w:r>
      <w:r w:rsidR="00694B25" w:rsidRPr="004E1CFF">
        <w:rPr>
          <w:rFonts w:ascii="Times New Roman" w:hAnsi="Times New Roman" w:cs="Times New Roman"/>
          <w:color w:val="000000" w:themeColor="text1"/>
        </w:rPr>
        <w:t>or metabolic disorder, 2) were taking any medication that would interact with atomoxetine</w:t>
      </w:r>
      <w:r w:rsidR="002B5FBA">
        <w:rPr>
          <w:rFonts w:ascii="Times New Roman" w:hAnsi="Times New Roman" w:cs="Times New Roman"/>
          <w:color w:val="000000" w:themeColor="text1"/>
        </w:rPr>
        <w:t xml:space="preserve"> such as </w:t>
      </w:r>
      <w:r w:rsidR="00A1174B">
        <w:rPr>
          <w:rFonts w:ascii="Times New Roman" w:hAnsi="Times New Roman" w:cs="Times New Roman"/>
          <w:color w:val="000000" w:themeColor="text1"/>
        </w:rPr>
        <w:t xml:space="preserve">aripiprazole or </w:t>
      </w:r>
      <w:r w:rsidR="00605491">
        <w:rPr>
          <w:rFonts w:ascii="Times New Roman" w:hAnsi="Times New Roman" w:cs="Times New Roman"/>
          <w:color w:val="000000" w:themeColor="text1"/>
        </w:rPr>
        <w:t>bupropion</w:t>
      </w:r>
      <w:r w:rsidR="00694B25" w:rsidRPr="004E1CFF">
        <w:rPr>
          <w:rFonts w:ascii="Times New Roman" w:hAnsi="Times New Roman" w:cs="Times New Roman"/>
          <w:color w:val="000000" w:themeColor="text1"/>
        </w:rPr>
        <w:t xml:space="preserve">, 3) were pregnant, </w:t>
      </w:r>
      <w:r w:rsidR="0007349E">
        <w:rPr>
          <w:rFonts w:ascii="Times New Roman" w:hAnsi="Times New Roman" w:cs="Times New Roman"/>
          <w:color w:val="000000" w:themeColor="text1"/>
        </w:rPr>
        <w:t xml:space="preserve">4) had MR incompatibilities </w:t>
      </w:r>
      <w:r w:rsidR="00694B25" w:rsidRPr="004E1CFF">
        <w:rPr>
          <w:rFonts w:ascii="Times New Roman" w:hAnsi="Times New Roman" w:cs="Times New Roman"/>
          <w:color w:val="000000" w:themeColor="text1"/>
        </w:rPr>
        <w:t xml:space="preserve">or </w:t>
      </w:r>
      <w:r w:rsidR="0007349E">
        <w:rPr>
          <w:rFonts w:ascii="Times New Roman" w:hAnsi="Times New Roman" w:cs="Times New Roman"/>
          <w:color w:val="000000" w:themeColor="text1"/>
        </w:rPr>
        <w:t>5</w:t>
      </w:r>
      <w:r w:rsidR="00694B25" w:rsidRPr="004E1CFF">
        <w:rPr>
          <w:rFonts w:ascii="Times New Roman" w:hAnsi="Times New Roman" w:cs="Times New Roman"/>
          <w:color w:val="000000" w:themeColor="text1"/>
        </w:rPr>
        <w:t xml:space="preserve">) had been involved in </w:t>
      </w:r>
      <w:r w:rsidR="008946D3" w:rsidRPr="004E1CFF">
        <w:rPr>
          <w:rFonts w:ascii="Times New Roman" w:hAnsi="Times New Roman" w:cs="Times New Roman"/>
          <w:color w:val="000000" w:themeColor="text1"/>
        </w:rPr>
        <w:t>a</w:t>
      </w:r>
      <w:r w:rsidR="00694B25" w:rsidRPr="004E1CFF">
        <w:rPr>
          <w:rFonts w:ascii="Times New Roman" w:hAnsi="Times New Roman" w:cs="Times New Roman"/>
          <w:color w:val="000000" w:themeColor="text1"/>
        </w:rPr>
        <w:t xml:space="preserve"> clinical trial within the past six months. </w:t>
      </w:r>
      <w:r w:rsidR="00784F1F" w:rsidRPr="004E1CFF">
        <w:rPr>
          <w:rFonts w:ascii="Times New Roman" w:hAnsi="Times New Roman" w:cs="Times New Roman"/>
          <w:color w:val="000000" w:themeColor="text1"/>
        </w:rPr>
        <w:t xml:space="preserve">Urine screens verified </w:t>
      </w:r>
      <w:r w:rsidR="00784F1F">
        <w:rPr>
          <w:rFonts w:ascii="Times New Roman" w:hAnsi="Times New Roman" w:cs="Times New Roman"/>
          <w:color w:val="000000" w:themeColor="text1"/>
        </w:rPr>
        <w:t>recent</w:t>
      </w:r>
      <w:r w:rsidR="00784F1F" w:rsidRPr="004E1CFF">
        <w:rPr>
          <w:rFonts w:ascii="Times New Roman" w:hAnsi="Times New Roman" w:cs="Times New Roman"/>
          <w:color w:val="000000" w:themeColor="text1"/>
        </w:rPr>
        <w:t xml:space="preserve"> cocaine use in all </w:t>
      </w:r>
      <w:r w:rsidR="00784F1F">
        <w:rPr>
          <w:rFonts w:ascii="Times New Roman" w:hAnsi="Times New Roman" w:cs="Times New Roman"/>
          <w:color w:val="000000" w:themeColor="text1"/>
        </w:rPr>
        <w:t>CUD patients</w:t>
      </w:r>
      <w:r w:rsidR="00784F1F" w:rsidRPr="004E1CFF">
        <w:rPr>
          <w:rFonts w:ascii="Times New Roman" w:hAnsi="Times New Roman" w:cs="Times New Roman"/>
          <w:color w:val="000000" w:themeColor="text1"/>
        </w:rPr>
        <w:t xml:space="preserve"> and were </w:t>
      </w:r>
      <w:r w:rsidR="00B94788">
        <w:rPr>
          <w:rFonts w:ascii="Times New Roman" w:hAnsi="Times New Roman" w:cs="Times New Roman"/>
          <w:color w:val="000000" w:themeColor="text1"/>
        </w:rPr>
        <w:t xml:space="preserve">drug </w:t>
      </w:r>
      <w:r w:rsidR="00784F1F" w:rsidRPr="004E1CFF">
        <w:rPr>
          <w:rFonts w:ascii="Times New Roman" w:hAnsi="Times New Roman" w:cs="Times New Roman"/>
          <w:color w:val="000000" w:themeColor="text1"/>
        </w:rPr>
        <w:t>negative for all control participants.</w:t>
      </w:r>
      <w:r w:rsidR="0052760E">
        <w:rPr>
          <w:rFonts w:ascii="Times New Roman" w:hAnsi="Times New Roman" w:cs="Times New Roman"/>
          <w:color w:val="000000" w:themeColor="text1"/>
        </w:rPr>
        <w:t xml:space="preserve"> </w:t>
      </w:r>
      <w:r w:rsidR="005E03B8">
        <w:rPr>
          <w:rFonts w:ascii="Times New Roman" w:hAnsi="Times New Roman" w:cs="Times New Roman"/>
          <w:color w:val="000000" w:themeColor="text1"/>
        </w:rPr>
        <w:t>A</w:t>
      </w:r>
      <w:r w:rsidR="00E63DC7">
        <w:rPr>
          <w:rFonts w:ascii="Times New Roman" w:hAnsi="Times New Roman" w:cs="Times New Roman"/>
          <w:color w:val="000000" w:themeColor="text1"/>
        </w:rPr>
        <w:t xml:space="preserve">dditional five </w:t>
      </w:r>
      <w:r w:rsidR="00F65F98">
        <w:rPr>
          <w:rFonts w:ascii="Times New Roman" w:hAnsi="Times New Roman" w:cs="Times New Roman"/>
          <w:color w:val="000000" w:themeColor="text1"/>
        </w:rPr>
        <w:t xml:space="preserve">CUD </w:t>
      </w:r>
      <w:r w:rsidR="00301112">
        <w:rPr>
          <w:rFonts w:ascii="Times New Roman" w:hAnsi="Times New Roman" w:cs="Times New Roman"/>
          <w:color w:val="000000" w:themeColor="text1"/>
        </w:rPr>
        <w:t xml:space="preserve">patients </w:t>
      </w:r>
      <w:r w:rsidR="00E63DC7">
        <w:rPr>
          <w:rFonts w:ascii="Times New Roman" w:hAnsi="Times New Roman" w:cs="Times New Roman"/>
          <w:color w:val="000000" w:themeColor="text1"/>
        </w:rPr>
        <w:t xml:space="preserve">were excluded from each session due to </w:t>
      </w:r>
      <w:r w:rsidR="002438C2">
        <w:rPr>
          <w:rFonts w:ascii="Times New Roman" w:hAnsi="Times New Roman" w:cs="Times New Roman"/>
          <w:color w:val="000000" w:themeColor="text1"/>
        </w:rPr>
        <w:t xml:space="preserve">limited task </w:t>
      </w:r>
      <w:r w:rsidR="00457AA7">
        <w:rPr>
          <w:rFonts w:ascii="Times New Roman" w:hAnsi="Times New Roman" w:cs="Times New Roman"/>
          <w:color w:val="000000" w:themeColor="text1"/>
        </w:rPr>
        <w:t xml:space="preserve">compliance and </w:t>
      </w:r>
      <w:r w:rsidR="00E63DC7">
        <w:rPr>
          <w:rFonts w:ascii="Times New Roman" w:hAnsi="Times New Roman" w:cs="Times New Roman"/>
          <w:color w:val="000000" w:themeColor="text1"/>
        </w:rPr>
        <w:t>race model</w:t>
      </w:r>
      <w:r w:rsidR="00457AA7">
        <w:rPr>
          <w:rFonts w:ascii="Times New Roman" w:hAnsi="Times New Roman" w:cs="Times New Roman"/>
          <w:color w:val="000000" w:themeColor="text1"/>
        </w:rPr>
        <w:t xml:space="preserve"> violations</w:t>
      </w:r>
      <w:r w:rsidR="00966984">
        <w:rPr>
          <w:rFonts w:ascii="Times New Roman" w:hAnsi="Times New Roman" w:cs="Times New Roman"/>
          <w:color w:val="000000" w:themeColor="text1"/>
        </w:rPr>
        <w:t xml:space="preserve"> </w:t>
      </w:r>
      <w:r w:rsidR="00966984">
        <w:rPr>
          <w:rFonts w:ascii="Times New Roman" w:hAnsi="Times New Roman" w:cs="Times New Roman"/>
          <w:color w:val="000000" w:themeColor="text1"/>
        </w:rPr>
        <w:fldChar w:fldCharType="begin" w:fldLock="1"/>
      </w:r>
      <w:r w:rsidR="00C30855">
        <w:rPr>
          <w:rFonts w:ascii="Times New Roman" w:hAnsi="Times New Roman" w:cs="Times New Roman"/>
          <w:color w:val="000000" w:themeColor="text1"/>
        </w:rPr>
        <w:instrText>ADDIN CSL_CITATION {"citationItems":[{"id":"ITEM-1","itemData":{"DOI":"10.1038/npp.2013.90","ISSN":"0893133X","abstract":"A neurocognitive endophenotype has been proposed for stimulant dependence, based on behavioral measures of inhibitory response control associated with white matter changes in the frontal cortex. This study investigated the functional neuroimaging correlates of inhibitory response control, as functional activity serves as a more dynamic measure than brain structure, allowing refinement of the suggested endophenotype. Stimulant-dependent individuals (SDIs), their unaffected siblings (SIBs), and healthy controls (CTs) performed the stop-signal task, including stop-signal reaction time (SSRT) as a measure of response inhibition, while undergoing functional magnetic resonance imaging. SDIs had impaired response inhibition accompanied by hypoactivation in the ventrolateral prefrontal cortex (PFC). In addition, they demonstrated hypoactivation in the anterior cingulate when failing to stop. In contrast, no hypoactivations were noted in their unaffected SIBs. Rather, they exhibited increased activation in the dorsomedial PFC relative to controls, together with inhibitory performance that was intermediate between that of the stimulant group and the healthy CT group. Such hyperactivations within the neurocircuitry underlying response inhibition and control are suggestive of compensatory mechanisms that could be protective in nature or could reflect coping with a pre-existing vulnerability, thus expressing potential aspects of resilience. The functional activation associated with response inhibition and error monitoring showed differential patterns of results between SDIs and their unaffected first-degree relatives, suggesting that the proposed endophenotype does not generalize to functional brain activity.","author":[{"dropping-particle":"","family":"Morein-Zamir","given":"Sharon","non-dropping-particle":"","parse-names":false,"suffix":""},{"dropping-particle":"","family":"Simon Jones","given":"P.","non-dropping-particle":"","parse-names":false,"suffix":""},{"dropping-particle":"","family":"Bullmore","given":"Edward T.","non-dropping-particle":"","parse-names":false,"suffix":""},{"dropping-particle":"","family":"Robbins","given":"Trevor W.","non-dropping-particle":"","parse-names":false,"suffix":""},{"dropping-particle":"","family":"Ersche","given":"Karen D.","non-dropping-particle":"","parse-names":false,"suffix":""}],"container-title":"Neuropsychopharmacology","id":"ITEM-1","issue":"10","issued":{"date-parts":[["2013"]]},"page":"1945-1953","publisher":"Nature Publishing Group","title":"Prefrontal hypoactivity associated with impaired inhibition in stimulant-dependent individuals but evidence for hyperactivation in their unaffected siblings","type":"article-journal","volume":"38"},"uris":["http://www.mendeley.com/documents/?uuid=e0ee51a8-ba2c-487c-b05b-858bc6dbe6dd"]}],"mendeley":{"formattedCitation":"(6)","plainTextFormattedCitation":"(6)","previouslyFormattedCitation":"(6)"},"properties":{"noteIndex":0},"schema":"https://github.com/citation-style-language/schema/raw/master/csl-citation.json"}</w:instrText>
      </w:r>
      <w:r w:rsidR="00966984">
        <w:rPr>
          <w:rFonts w:ascii="Times New Roman" w:hAnsi="Times New Roman" w:cs="Times New Roman"/>
          <w:color w:val="000000" w:themeColor="text1"/>
        </w:rPr>
        <w:fldChar w:fldCharType="separate"/>
      </w:r>
      <w:r w:rsidR="00112D56" w:rsidRPr="00112D56">
        <w:rPr>
          <w:rFonts w:ascii="Times New Roman" w:hAnsi="Times New Roman" w:cs="Times New Roman"/>
          <w:noProof/>
          <w:color w:val="000000" w:themeColor="text1"/>
        </w:rPr>
        <w:t>(6)</w:t>
      </w:r>
      <w:r w:rsidR="00966984">
        <w:rPr>
          <w:rFonts w:ascii="Times New Roman" w:hAnsi="Times New Roman" w:cs="Times New Roman"/>
          <w:color w:val="000000" w:themeColor="text1"/>
        </w:rPr>
        <w:fldChar w:fldCharType="end"/>
      </w:r>
      <w:r w:rsidR="00E63DC7">
        <w:rPr>
          <w:rFonts w:ascii="Times New Roman" w:hAnsi="Times New Roman" w:cs="Times New Roman"/>
          <w:color w:val="000000" w:themeColor="text1"/>
        </w:rPr>
        <w:t xml:space="preserve">, </w:t>
      </w:r>
      <w:r w:rsidR="007A2A3C">
        <w:rPr>
          <w:rFonts w:ascii="Times New Roman" w:hAnsi="Times New Roman" w:cs="Times New Roman"/>
          <w:color w:val="000000" w:themeColor="text1"/>
        </w:rPr>
        <w:t xml:space="preserve">resulting in </w:t>
      </w:r>
      <w:r w:rsidR="00E63DC7">
        <w:rPr>
          <w:rFonts w:ascii="Times New Roman" w:hAnsi="Times New Roman" w:cs="Times New Roman"/>
          <w:color w:val="000000" w:themeColor="text1"/>
        </w:rPr>
        <w:t xml:space="preserve">eight </w:t>
      </w:r>
      <w:r w:rsidR="007A2A3C">
        <w:rPr>
          <w:rFonts w:ascii="Times New Roman" w:hAnsi="Times New Roman" w:cs="Times New Roman"/>
          <w:color w:val="000000" w:themeColor="text1"/>
        </w:rPr>
        <w:t xml:space="preserve">CUD </w:t>
      </w:r>
      <w:r w:rsidR="001A1C57">
        <w:rPr>
          <w:rFonts w:ascii="Times New Roman" w:hAnsi="Times New Roman" w:cs="Times New Roman"/>
          <w:color w:val="000000" w:themeColor="text1"/>
        </w:rPr>
        <w:t>patients</w:t>
      </w:r>
      <w:r w:rsidR="00301112">
        <w:rPr>
          <w:rFonts w:ascii="Times New Roman" w:hAnsi="Times New Roman" w:cs="Times New Roman"/>
          <w:color w:val="000000" w:themeColor="text1"/>
        </w:rPr>
        <w:t xml:space="preserve"> </w:t>
      </w:r>
      <w:r w:rsidR="00E63DC7">
        <w:rPr>
          <w:rFonts w:ascii="Times New Roman" w:hAnsi="Times New Roman" w:cs="Times New Roman"/>
          <w:color w:val="000000" w:themeColor="text1"/>
        </w:rPr>
        <w:t xml:space="preserve">precluded from analyses incorporating both sessions (see </w:t>
      </w:r>
      <w:r w:rsidR="00BA5EB3">
        <w:rPr>
          <w:rFonts w:ascii="Times New Roman" w:hAnsi="Times New Roman" w:cs="Times New Roman"/>
          <w:color w:val="000000" w:themeColor="text1"/>
        </w:rPr>
        <w:t>Supplementary Ta</w:t>
      </w:r>
      <w:r w:rsidR="0052616C">
        <w:rPr>
          <w:rFonts w:ascii="Times New Roman" w:hAnsi="Times New Roman" w:cs="Times New Roman"/>
          <w:color w:val="000000" w:themeColor="text1"/>
        </w:rPr>
        <w:t>ble 1</w:t>
      </w:r>
      <w:r w:rsidR="00E63DC7">
        <w:rPr>
          <w:rFonts w:ascii="Times New Roman" w:hAnsi="Times New Roman" w:cs="Times New Roman"/>
          <w:color w:val="000000" w:themeColor="text1"/>
        </w:rPr>
        <w:t xml:space="preserve">). </w:t>
      </w:r>
    </w:p>
    <w:p w14:paraId="49D1B942" w14:textId="3218DC54" w:rsidR="00784F1F" w:rsidRDefault="00DC5EB7" w:rsidP="000B7DB7">
      <w:pPr>
        <w:pStyle w:val="Heading2"/>
        <w:rPr>
          <w:i/>
        </w:rPr>
      </w:pPr>
      <w:r w:rsidRPr="004E1CFF">
        <w:rPr>
          <w:i/>
        </w:rPr>
        <w:t xml:space="preserve">Experimental </w:t>
      </w:r>
      <w:r w:rsidR="00784F1F">
        <w:rPr>
          <w:i/>
        </w:rPr>
        <w:t>Procedure</w:t>
      </w:r>
      <w:r w:rsidR="003B41FA">
        <w:rPr>
          <w:i/>
        </w:rPr>
        <w:t xml:space="preserve"> and Design</w:t>
      </w:r>
    </w:p>
    <w:p w14:paraId="397DD65C" w14:textId="65E15EA4" w:rsidR="003B41FA" w:rsidRPr="004E1CFF" w:rsidRDefault="00F45B78" w:rsidP="00BF7E9E">
      <w:pPr>
        <w:spacing w:line="360" w:lineRule="auto"/>
        <w:rPr>
          <w:rFonts w:ascii="Times New Roman" w:hAnsi="Times New Roman" w:cs="Times New Roman"/>
        </w:rPr>
      </w:pPr>
      <w:r w:rsidRPr="004E1CFF">
        <w:rPr>
          <w:rFonts w:ascii="Times New Roman" w:hAnsi="Times New Roman" w:cs="Times New Roman"/>
        </w:rPr>
        <w:t>The</w:t>
      </w:r>
      <w:r w:rsidRPr="004E1CFF">
        <w:rPr>
          <w:rFonts w:ascii="Times New Roman" w:hAnsi="Times New Roman" w:cs="Times New Roman"/>
          <w:i/>
        </w:rPr>
        <w:t xml:space="preserve"> </w:t>
      </w:r>
      <w:r w:rsidR="004122B1" w:rsidRPr="004E1CFF">
        <w:rPr>
          <w:rFonts w:ascii="Times New Roman" w:hAnsi="Times New Roman" w:cs="Times New Roman"/>
        </w:rPr>
        <w:t xml:space="preserve">study followed a </w:t>
      </w:r>
      <w:r w:rsidR="00DA4654" w:rsidRPr="004E1CFF">
        <w:rPr>
          <w:rFonts w:ascii="Times New Roman" w:hAnsi="Times New Roman" w:cs="Times New Roman"/>
        </w:rPr>
        <w:t xml:space="preserve">randomised, </w:t>
      </w:r>
      <w:r w:rsidR="004122B1" w:rsidRPr="004E1CFF">
        <w:rPr>
          <w:rFonts w:ascii="Times New Roman" w:hAnsi="Times New Roman" w:cs="Times New Roman"/>
        </w:rPr>
        <w:t>double</w:t>
      </w:r>
      <w:r w:rsidR="00DA4654" w:rsidRPr="004E1CFF">
        <w:rPr>
          <w:rFonts w:ascii="Times New Roman" w:hAnsi="Times New Roman" w:cs="Times New Roman"/>
        </w:rPr>
        <w:t>-</w:t>
      </w:r>
      <w:r w:rsidR="004122B1" w:rsidRPr="004E1CFF">
        <w:rPr>
          <w:rFonts w:ascii="Times New Roman" w:hAnsi="Times New Roman" w:cs="Times New Roman"/>
        </w:rPr>
        <w:t>blind</w:t>
      </w:r>
      <w:r w:rsidR="001A0981" w:rsidRPr="004E1CFF">
        <w:rPr>
          <w:rFonts w:ascii="Times New Roman" w:hAnsi="Times New Roman" w:cs="Times New Roman"/>
        </w:rPr>
        <w:t xml:space="preserve">, </w:t>
      </w:r>
      <w:r w:rsidR="00DA4654" w:rsidRPr="004E1CFF">
        <w:rPr>
          <w:rFonts w:ascii="Times New Roman" w:hAnsi="Times New Roman" w:cs="Times New Roman"/>
        </w:rPr>
        <w:t xml:space="preserve">placebo-controlled, crossover, </w:t>
      </w:r>
      <w:r w:rsidR="001A0981" w:rsidRPr="004E1CFF">
        <w:rPr>
          <w:rFonts w:ascii="Times New Roman" w:hAnsi="Times New Roman" w:cs="Times New Roman"/>
        </w:rPr>
        <w:t>balanced design</w:t>
      </w:r>
      <w:r w:rsidR="005E235B" w:rsidRPr="004E1CFF">
        <w:rPr>
          <w:rFonts w:ascii="Times New Roman" w:hAnsi="Times New Roman" w:cs="Times New Roman"/>
        </w:rPr>
        <w:t xml:space="preserve">. </w:t>
      </w:r>
      <w:r w:rsidR="00441D5E" w:rsidRPr="004E1CFF">
        <w:rPr>
          <w:rFonts w:ascii="Times New Roman" w:hAnsi="Times New Roman" w:cs="Times New Roman"/>
        </w:rPr>
        <w:t xml:space="preserve">All participants </w:t>
      </w:r>
      <w:r w:rsidR="00441D5E">
        <w:rPr>
          <w:rFonts w:ascii="Times New Roman" w:hAnsi="Times New Roman" w:cs="Times New Roman"/>
        </w:rPr>
        <w:t>provided</w:t>
      </w:r>
      <w:r w:rsidR="00441D5E" w:rsidRPr="004E1CFF">
        <w:rPr>
          <w:rFonts w:ascii="Times New Roman" w:hAnsi="Times New Roman" w:cs="Times New Roman"/>
        </w:rPr>
        <w:t xml:space="preserve"> written informed consent, which received ethical approval from National Ethics Committee (12</w:t>
      </w:r>
      <w:r w:rsidR="00441D5E">
        <w:rPr>
          <w:rFonts w:ascii="Times New Roman" w:hAnsi="Times New Roman" w:cs="Times New Roman"/>
        </w:rPr>
        <w:t>/EE/0519</w:t>
      </w:r>
      <w:r w:rsidR="00301112">
        <w:rPr>
          <w:rFonts w:ascii="Times New Roman" w:hAnsi="Times New Roman" w:cs="Times New Roman"/>
        </w:rPr>
        <w:t xml:space="preserve">; PI: KD </w:t>
      </w:r>
      <w:proofErr w:type="spellStart"/>
      <w:r w:rsidR="00301112">
        <w:rPr>
          <w:rFonts w:ascii="Times New Roman" w:hAnsi="Times New Roman" w:cs="Times New Roman"/>
        </w:rPr>
        <w:t>Ersche</w:t>
      </w:r>
      <w:proofErr w:type="spellEnd"/>
      <w:r w:rsidR="00441D5E">
        <w:rPr>
          <w:rFonts w:ascii="Times New Roman" w:hAnsi="Times New Roman" w:cs="Times New Roman"/>
        </w:rPr>
        <w:t xml:space="preserve">). </w:t>
      </w:r>
      <w:r w:rsidR="005E235B" w:rsidRPr="004E1CFF">
        <w:rPr>
          <w:rFonts w:ascii="Times New Roman" w:hAnsi="Times New Roman" w:cs="Times New Roman"/>
        </w:rPr>
        <w:t>P</w:t>
      </w:r>
      <w:r w:rsidR="00F43106" w:rsidRPr="004E1CFF">
        <w:rPr>
          <w:rFonts w:ascii="Times New Roman" w:hAnsi="Times New Roman" w:cs="Times New Roman"/>
        </w:rPr>
        <w:t xml:space="preserve">articipants </w:t>
      </w:r>
      <w:r w:rsidR="00DA4654" w:rsidRPr="004E1CFF">
        <w:rPr>
          <w:rFonts w:ascii="Times New Roman" w:hAnsi="Times New Roman" w:cs="Times New Roman"/>
        </w:rPr>
        <w:t xml:space="preserve">received orally </w:t>
      </w:r>
      <w:r w:rsidR="004E0FE7" w:rsidRPr="004E1CFF">
        <w:rPr>
          <w:rFonts w:ascii="Times New Roman" w:hAnsi="Times New Roman" w:cs="Times New Roman"/>
        </w:rPr>
        <w:t xml:space="preserve">either </w:t>
      </w:r>
      <w:r w:rsidR="00895C31" w:rsidRPr="004E1CFF">
        <w:rPr>
          <w:rFonts w:ascii="Times New Roman" w:hAnsi="Times New Roman" w:cs="Times New Roman"/>
        </w:rPr>
        <w:t xml:space="preserve">40mg </w:t>
      </w:r>
      <w:r w:rsidR="008A2084" w:rsidRPr="004E1CFF">
        <w:rPr>
          <w:rFonts w:ascii="Times New Roman" w:hAnsi="Times New Roman" w:cs="Times New Roman"/>
        </w:rPr>
        <w:t xml:space="preserve">atomoxetine </w:t>
      </w:r>
      <w:r w:rsidR="00075ED9" w:rsidRPr="004E1CFF">
        <w:rPr>
          <w:rFonts w:ascii="Times New Roman" w:hAnsi="Times New Roman" w:cs="Times New Roman"/>
        </w:rPr>
        <w:t>or a placebo of identical appearance</w:t>
      </w:r>
      <w:r w:rsidR="005B5F51">
        <w:rPr>
          <w:rFonts w:ascii="Times New Roman" w:hAnsi="Times New Roman" w:cs="Times New Roman"/>
        </w:rPr>
        <w:t xml:space="preserve">, consistent with previous studies </w:t>
      </w:r>
      <w:r w:rsidR="005B5F51">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{"citationItems":[{"id":"ITEM-1","itemData":{"DOI":"10.1016/j.biopsych.2008.10.014","ISSN":"00063223","abstract":"Background: Atomoxetine, a selective noradrenaline reuptake inhibitor (SNRI) licensed for the treatment of attention-deficit/hyperactivity disorder (ADHD), has been shown to improve response inhibition in animals, healthy volunteers, and adult patients. However, the mechanisms by which atomoxetine improves inhibitory control have yet to be determined. Methods: The effects of atomoxetine (40 mg) were measured with a stop-signal functional magnetic resonance imaging (fMRI) paradigm in 19 healthy volunteers, in a within-subject, double-blind, placebo-controlled design. Results: Atomoxetine improved inhibitory control and increased activation in the right inferior frontal gyrus when volunteers attempted to inhibit their responses (irrespective of success). Plasma levels of drug correlated significantly with right inferior frontal gyrus activation only during successful inhibition. Conclusions: These results show that atomoxetine exerts its beneficial effects on inhibitory control via modulation of right inferior frontal function, with implications for understanding and treating inhibitory dysfunction of ADHD and other disorders. © 2009 Society of Biological Psychiatry.","author":[{"dropping-particle":"","family":"Chamberlain","given":"Samuel R.","non-dropping-particle":"","parse-names":false,"suffix":""},{"dropping-particle":"","family":"Hampshire","given":"Adam","non-dropping-particle":"","parse-names":false,"suffix":""},{"dropping-particle":"","family":"Müller","given":"Ulrich","non-dropping-particle":"","parse-names":false,"suffix":""},{"dropping-particle":"","family":"Rubia","given":"Katya","non-dropping-particle":"","parse-names":false,"suffix":""},{"dropping-particle":"","family":"Campo","given":"Natalia","non-dropping-particle":"del","parse-names":false,"suffix":""},{"dropping-particle":"","family":"Craig","given":"Kevin","non-dropping-particle":"","parse-names":false,"suffix":""},{"dropping-particle":"","family":"Regenthal","given":"Ralf","non-dropping-particle":"","parse-names":false,"suffix":""},{"dropping-particle":"","family":"Suckling","given":"John","non-dropping-particle":"","parse-names":false,"suffix":""},{"dropping-particle":"","family":"Roiser","given":"Jonathan P.","non-dropping-particle":"","parse-names":false,"suffix":""},{"dropping-particle":"","family":"Grant","given":"Jon E.","non-dropping-particle":"","parse-names":false,"suffix":""},{"dropping-particle":"","family":"Bullmore","given":"Edward T.","non-dropping-particle":"","parse-names":false,"suffix":""},{"dropping-particle":"","family":"Robbins","given":"Trevor W.","non-dropping-particle":"","parse-names":false,"suffix":""},{"dropping-particle":"","family":"Sahakian","given":"Barbara J.","non-dropping-particle":"","parse-names":false,"suffix":""}],"container-title":"Biological Psychiatry","id":"ITEM-1","issue":"7","issued":{"date-parts":[["2009"]]},"page":"550-555","publisher":"Society of Biological Psychiatry","title":"Atomoxetine Modulates Right Inferior Frontal Activation During Inhibitory Control: A Pharmacological Functional Magnetic Resonance Imaging Study","type":"article-journal","volume":"65"},"uris":["http://www.mendeley.com/documents/?uuid=c14a21aa-8370-482f-a275-30951fac1f22"]},{"id":"ITEM-2","itemData":{"DOI":"10.1016/j.biopsych.2014.01.024","ISSN":"18732402","abstract":"BACKGROUND: Dopaminergic drugs remain the mainstay of Parkinson's disease therapy but often fail to improve cognitive problems such as impulsivity. This may be due to the loss of other neurotransmitters, including noradrenaline, which is linked to impulsivity and response inhibition. We therefore examined the effect of the selective noradrenaline reuptake inhibitor atomoxetine on response inhibition in a stop-signal paradigm. METHODS: This pharmacological functional magnetic resonance imaging study used a double-blinded randomized crossover design with low-frequency inhibition trials distributed among frequent Go trials. Twenty-one patients received 40 mg atomoxetine or placebo. Control subjects were tested on no-drug. The effects of disease and drug on behavioral performance, regional brain activity, and functional connectivity were analyzed using general linear models. Anatomical connectivity was examined using diffusion-weighted imaging. RESULTS: Patients with Parkinson's disease had longer stop-signal reaction times, less stop-related activation in the right inferior frontal gyrus (RIFG), and weaker functional connectivity between the RIFG and striatum compared with control subjects. Atomoxetine enhanced stop-related RIFG activation in proportion to disease severity. Although there was no overall behavioral benefit from atomoxetine, analyses of individual differences revealed that enhanced response inhibition by atomoxetine was associated with increased RIFG activation and functional frontostriatal connectivity. Improved performance was more likely in patients with higher structural frontostriatal connectivity. CONCLUSIONS: This study suggests that enhanced prefrontal cortical activation and frontostriatal connectivity by atomoxetine may improve response inhibition in Parkinson's disease. These results point the way to new stratified clinical trials of atomoxetine to treat impulsivity in selected patients with Parkinson's disease.","author":[{"dropping-particle":"","family":"Ye","given":"Zheng","non-dropping-particle":"","parse-names":false,"suffix":""},{"dropping-particle":"","family":"Altena","given":"Ellemarije","non-dropping-particle":"","parse-names":false,"suffix":""},{"dropping-particle":"","family":"Nombela","given":"Cristina","non-dropping-particle":"","parse-names":false,"suffix":""},{"dropping-particle":"","family":"Housden","given":"Charlotte R.","non-dropping-particle":"","parse-names":false,"suffix":""},{"dropping-particle":"","family":"Maxwell","given":"Helen","non-dropping-particle":"","parse-names":false,"suffix":""},{"dropping-particle":"","family":"Rittman","given":"Timothy","non-dropping-particle":"","parse-names":false,"suffix":""},{"dropping-particle":"","family":"Huddleston","given":"Chelan","non-dropping-particle":"","parse-names":false,"suffix":""},{"dropping-particle":"","family":"Rae","given":"Charlotte L.","non-dropping-particle":"","parse-names":false,"suffix":""},{"dropping-particle":"","family":"Regenthal","given":"Ralf","non-dropping-particle":"","parse-names":false,"suffix":""},{"dropping-particle":"","family":"Sahakian","given":"Barbara J.","non-dropping-particle":"","parse-names":false,"suffix":""},{"dropping-particle":"","family":"Barker","given":"Roger A.","non-dropping-particle":"","parse-names":false,"suffix":""},{"dropping-particle":"","family":"Robbins","given":"Trevor W.","non-dropping-particle":"","parse-names":false,"suffix":""},{"dropping-particle":"","family":"Rowe","given":"James B.","non-dropping-particle":"","parse-names":false,"suffix":""}],"container-title":"Biological Psychiatry","id":"ITEM-2","issue":"8","issued":{"date-parts":[["2015"]]},"page":"740-748","publisher":"Elsevier","title":"Improving response inhibition in Parkinson's disease with atomoxetine","type":"article-journal","volume":"77"},"uris":["http://www.mendeley.com/documents/?uuid=cbcdd1b4-4fbf-4038-b776-c7dd388c5d66"]}],"mendeley":{"formattedCitation":"(24,30)","plainTextFormattedCitation":"(24,30)","previouslyFormattedCitation":"(24,30)"},"properties":{"noteIndex":0},"schema":"https://github.com/citation-style-language/schema/raw/master/csl-citation.json"}</w:instrText>
      </w:r>
      <w:r w:rsidR="005B5F51">
        <w:rPr>
          <w:rFonts w:ascii="Times New Roman" w:hAnsi="Times New Roman" w:cs="Times New Roman"/>
        </w:rPr>
        <w:fldChar w:fldCharType="separate"/>
      </w:r>
      <w:r w:rsidR="00112D56" w:rsidRPr="00112D56">
        <w:rPr>
          <w:rFonts w:ascii="Times New Roman" w:hAnsi="Times New Roman" w:cs="Times New Roman"/>
          <w:noProof/>
        </w:rPr>
        <w:t>(24,30)</w:t>
      </w:r>
      <w:r w:rsidR="005B5F51">
        <w:rPr>
          <w:rFonts w:ascii="Times New Roman" w:hAnsi="Times New Roman" w:cs="Times New Roman"/>
        </w:rPr>
        <w:fldChar w:fldCharType="end"/>
      </w:r>
      <w:r w:rsidR="00075ED9" w:rsidRPr="004E1CFF">
        <w:rPr>
          <w:rFonts w:ascii="Times New Roman" w:hAnsi="Times New Roman" w:cs="Times New Roman"/>
        </w:rPr>
        <w:t xml:space="preserve">. </w:t>
      </w:r>
      <w:r w:rsidR="00676939" w:rsidRPr="004E1CFF">
        <w:rPr>
          <w:rFonts w:ascii="Times New Roman" w:hAnsi="Times New Roman" w:cs="Times New Roman"/>
        </w:rPr>
        <w:t>At least</w:t>
      </w:r>
      <w:r w:rsidR="00DA4654" w:rsidRPr="004E1CFF">
        <w:rPr>
          <w:rFonts w:ascii="Times New Roman" w:hAnsi="Times New Roman" w:cs="Times New Roman"/>
        </w:rPr>
        <w:t xml:space="preserve"> seven </w:t>
      </w:r>
      <w:r w:rsidR="00676939" w:rsidRPr="004E1CFF">
        <w:rPr>
          <w:rFonts w:ascii="Times New Roman" w:hAnsi="Times New Roman" w:cs="Times New Roman"/>
        </w:rPr>
        <w:t xml:space="preserve">days separated the </w:t>
      </w:r>
      <w:r w:rsidR="00003F9E" w:rsidRPr="004E1CFF">
        <w:rPr>
          <w:rFonts w:ascii="Times New Roman" w:hAnsi="Times New Roman" w:cs="Times New Roman"/>
        </w:rPr>
        <w:t>sessions</w:t>
      </w:r>
      <w:r w:rsidR="00676939" w:rsidRPr="004E1CFF">
        <w:rPr>
          <w:rFonts w:ascii="Times New Roman" w:hAnsi="Times New Roman" w:cs="Times New Roman"/>
        </w:rPr>
        <w:t xml:space="preserve"> for each</w:t>
      </w:r>
      <w:r w:rsidR="00040DB0" w:rsidRPr="004E1CFF">
        <w:rPr>
          <w:rFonts w:ascii="Times New Roman" w:hAnsi="Times New Roman" w:cs="Times New Roman"/>
        </w:rPr>
        <w:t xml:space="preserve"> participant</w:t>
      </w:r>
      <w:r w:rsidR="00740509">
        <w:rPr>
          <w:rFonts w:ascii="Times New Roman" w:hAnsi="Times New Roman" w:cs="Times New Roman"/>
        </w:rPr>
        <w:t>,</w:t>
      </w:r>
      <w:r w:rsidR="001E11B0">
        <w:rPr>
          <w:rFonts w:ascii="Times New Roman" w:hAnsi="Times New Roman" w:cs="Times New Roman"/>
        </w:rPr>
        <w:t xml:space="preserve"> which included a neuropsychological battery and brain imaging </w:t>
      </w:r>
      <w:r w:rsidR="00E04F60">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{"citationItems":[{"id":"ITEM-1","itemData":{"DOI":"10.1007/s00213-017-4643-4","ISSN":"14322072","abstract":"RATIONALE Biased attention towards drug-related cues and reduced inhibitory control over the regulation of drug-intake characterize drug addiction. The noradrenaline system has been critically implicated in both attentional and response inhibitory processes and is directly affected by drugs such as cocaine. OBJECTIVES We examined the potentially beneficial effects of the noradrenaline reuptake inhibitor atomoxetine in improving cognitive control during two tasks that used cocaine- and non-cocaine-related stimuli. METHODS A double-blind, placebo-controlled, and cross-over psycho-pharmacological design was employed. A single oral dose of atomoxetine (40 mg) was administered to 28 cocaine-dependent individuals (CDIs) and 28 healthy controls. All participants performed a pictorial attentional bias task involving both cocaine- and non-cocaine-related pictures as well as a verbal go/no-go task composed of cocaine- and food-related words. RESULTS As expected, CDIs showed attentional bias to cocaine-related cues whilst controls did not. More importantly, however, atomoxetine, relative to placebo, significantly attenuated attentional bias in CDIs (F 26 = 6.73, P = 0.01). During the go/no-go task, there was a treatment × trial × group interaction, although this finding only showed a trend towards statistical significance (F 26 = 3.38, P = 0.07). CONCLUSIONS Our findings suggest that atomoxetine reduces attentional bias to drug-related cues in CDIs. This may result from atomoxetine's modulation of the balance between tonic/phasic activity in the locus coeruleus and the possibly parallel enhancement of noradrenergic neurotransmission within the prefrontal cortex. Studying how cognitive enhancers such as atomoxetine influence key neurocognitive indices in cocaine addiction may help to develop reliable biomarkers for patient stratification in future clinical trials.","author":[{"dropping-particle":"","family":"Passamonti","given":"Luca","non-dropping-particle":"","parse-names":false,"suffix":""},{"dropping-particle":"","family":"Luijten","given":"M.","non-dropping-particle":"","parse-names":false,"suffix":""},{"dropping-particle":"","family":"Ziauddeen","given":"H.","non-dropping-particle":"","parse-names":false,"suffix":""},{"dropping-particle":"","family":"Coyle-Gilchrist","given":"I. T.S.","non-dropping-particle":"","parse-names":false,"suffix":""},{"dropping-particle":"","family":"Rittman","given":"T.","non-dropping-particle":"","parse-names":false,"suffix":""},{"dropping-particle":"","family":"Brain","given":"S. A.E.","non-dropping-particle":"","parse-names":false,"suffix":""},{"dropping-particle":"","family":"Regenthal","given":"R.","non-dropping-particle":"","parse-names":false,"suffix":""},{"dropping-particle":"","family":"Franken","given":"I. H.A.","non-dropping-particle":"","parse-names":false,"suffix":""},{"dropping-particle":"","family":"Sahakian","given":"B. J.","non-dropping-particle":"","parse-names":false,"suffix":""},{"dropping-particle":"","family":"Bullmore","given":"E. T.","non-dropping-particle":"","parse-names":false,"suffix":""},{"dropping-particle":"","family":"Robbins","given":"T. W.","non-dropping-particle":"","parse-names":false,"suffix":""},{"dropping-particle":"","family":"Ersche","given":"K. D.","non-dropping-particle":"","parse-names":false,"suffix":""}],"container-title":"Psychopharmacology","id":"ITEM-1","issue":"15","issued":{"date-parts":[["2017"]]},"page":"2289-2297","publisher":"Psychopharmacology","title":"Atomoxetine effects on attentional bias to drug-related cues in cocaine dependent individuals","type":"article-journal","volume":"234"},"uris":["http://www.mendeley.com/documents/?uuid=2fa25a28-a899-4eeb-825f-972a7d8c612d"]}],"mendeley":{"formattedCitation":"(25)","plainTextFormattedCitation":"(25)","previouslyFormattedCitation":"(25)"},"properties":{"noteIndex":0},"schema":"https://github.com/citation-style-language/schema/raw/master/csl-citation.json"}</w:instrText>
      </w:r>
      <w:r w:rsidR="00E04F60">
        <w:rPr>
          <w:rFonts w:ascii="Times New Roman" w:hAnsi="Times New Roman" w:cs="Times New Roman"/>
        </w:rPr>
        <w:fldChar w:fldCharType="separate"/>
      </w:r>
      <w:r w:rsidR="00112D56" w:rsidRPr="00112D56">
        <w:rPr>
          <w:rFonts w:ascii="Times New Roman" w:hAnsi="Times New Roman" w:cs="Times New Roman"/>
          <w:noProof/>
        </w:rPr>
        <w:t>(25)</w:t>
      </w:r>
      <w:r w:rsidR="00E04F60">
        <w:rPr>
          <w:rFonts w:ascii="Times New Roman" w:hAnsi="Times New Roman" w:cs="Times New Roman"/>
        </w:rPr>
        <w:fldChar w:fldCharType="end"/>
      </w:r>
      <w:r w:rsidR="001E11B0">
        <w:rPr>
          <w:rFonts w:ascii="Times New Roman" w:hAnsi="Times New Roman" w:cs="Times New Roman"/>
        </w:rPr>
        <w:t xml:space="preserve">. </w:t>
      </w:r>
      <w:r w:rsidR="00784F1F">
        <w:rPr>
          <w:rFonts w:ascii="Times New Roman" w:hAnsi="Times New Roman" w:cs="Times New Roman"/>
        </w:rPr>
        <w:t>B</w:t>
      </w:r>
      <w:r w:rsidR="00784F1F" w:rsidRPr="004E1CFF">
        <w:rPr>
          <w:rFonts w:ascii="Times New Roman" w:hAnsi="Times New Roman" w:cs="Times New Roman"/>
        </w:rPr>
        <w:t xml:space="preserve">lood samples for plasma were collected </w:t>
      </w:r>
      <w:r w:rsidR="006C0CE7">
        <w:rPr>
          <w:rFonts w:ascii="Times New Roman" w:hAnsi="Times New Roman" w:cs="Times New Roman"/>
        </w:rPr>
        <w:t>150 minutes</w:t>
      </w:r>
      <w:r w:rsidR="00784F1F" w:rsidRPr="004E1CFF">
        <w:rPr>
          <w:rFonts w:ascii="Times New Roman" w:hAnsi="Times New Roman" w:cs="Times New Roman"/>
        </w:rPr>
        <w:t xml:space="preserve"> after administration (mean 366 </w:t>
      </w:r>
      <w:r w:rsidR="00784F1F" w:rsidRPr="004E1CFF">
        <w:rPr>
          <w:rFonts w:ascii="Times New Roman" w:hAnsi="Times New Roman" w:cs="Times New Roman"/>
        </w:rPr>
        <w:lastRenderedPageBreak/>
        <w:t>ng/mL, standard deviation 200 ng/mL)</w:t>
      </w:r>
      <w:r w:rsidR="00784F1F">
        <w:rPr>
          <w:rFonts w:ascii="Times New Roman" w:hAnsi="Times New Roman" w:cs="Times New Roman"/>
        </w:rPr>
        <w:t xml:space="preserve"> following established </w:t>
      </w:r>
      <w:r w:rsidR="00E47B3D">
        <w:rPr>
          <w:rFonts w:ascii="Times New Roman" w:hAnsi="Times New Roman" w:cs="Times New Roman"/>
        </w:rPr>
        <w:t xml:space="preserve">pharmacokinetics immediately </w:t>
      </w:r>
      <w:r w:rsidR="00193D16">
        <w:rPr>
          <w:rFonts w:ascii="Times New Roman" w:hAnsi="Times New Roman" w:cs="Times New Roman"/>
        </w:rPr>
        <w:t xml:space="preserve">after </w:t>
      </w:r>
      <w:r w:rsidR="00E47B3D">
        <w:rPr>
          <w:rFonts w:ascii="Times New Roman" w:hAnsi="Times New Roman" w:cs="Times New Roman"/>
        </w:rPr>
        <w:t>scanning</w:t>
      </w:r>
      <w:r w:rsidR="00A4552E" w:rsidRPr="004E1CFF">
        <w:rPr>
          <w:rFonts w:ascii="Times New Roman" w:hAnsi="Times New Roman" w:cs="Times New Roman"/>
        </w:rPr>
        <w:t xml:space="preserve"> </w:t>
      </w:r>
      <w:r w:rsidR="0051562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{"citationItems":[{"id":"ITEM-1","itemData":{"DOI":"10.2165/00003088-200544060-00002","ISSN":"03125963","abstract":"Atomoxetine (Strattera®), a potent and selective inhibitor of the presynaptic norepinephrine transporter, is used clinically for the treatment of attention-deficit hyperactivity disorder (ADHD) in children, adolescents and adults. Atomoxetine has high aqueous solubility and biological membrane permeability that facilitates its rapid and complete absorption after oral administration. Absolute oral bioavailability ranges from 63 to 94%, which is governed by the extent of its first-pass metabolism. Three oxidative metabolic pathways are involved in the systemic clearance of atomoxetine: aromatic ring-hydroxylation, benzylic hydroxylation and N-demethylation. Aromatic ring-hydroxylation results in the formation of the primary oxidative metabolite of atomoxetine, 4-hydroxyatomoxetine, which is subsequently glucuronidated and excreted in urine. The formation of 4-hydroxyatomoxetine is primarily mediated by the polymorphically expressed enzyme cytochrome P450 (CYP) 2D6. This results in two distinct populations of individuals: those exhibiting active metabolic capabilities (CYP2D6 extensive metabolisers) and those exhibiting poor metabolic capabilities (CYP2D6 poor metabolisers) for atomoxetine. The oral bioavailability and clearance of atomoxetine are influenced by the activity of CYP2D6; nonetheless, plasma pharmacokinetic parameters are predictable in extensive and poor metaboliser patients. After single oral dose, atomoxetine reaches maximum plasma concentration within about 1-2 hours of administration. In extensive metabolisers, atomoxetine has a plasma half-life of 5.2 hours, while in poor metabolisers, atomoxetine has a plasma half-life of 21.6 hours. The systemic plasma clearance of atomoxetine is 0.35 and 0.03 L/h/kg in extensive and poor metabolisers, respectively. Correspondingly, the average steady-state plasma concentrations are approximately 10-fold higher in poor metabolisers compared with extensive metabolisers. Upon multiple dosing there is plasma accumulation of atomoxetine in poor metabolisers, but very little accumulation in extensive metabolisers. The volume of distribution is 0.85 L/kg, indicating that atomoxetine is distributed in total body water in both extensive and poor metabolisers. Atomoxetine is highly bound to plasma albumin (approximately 99% bound in plasma). Although steady-state concentrations of atomoxetine in poor metabolisers are higher than those in extensive metabolisers following administration of the same mg/kg/day dosa…","author":[{"dropping-particle":"","family":"Sauer","given":"John Michael","non-dropping-particle":"","parse-names":false,"suffix":""},{"dropping-particle":"","family":"Ring","given":"Barbara J.","non-dropping-particle":"","parse-names":false,"suffix":""},{"dropping-particle":"","family":"Witcher","given":"Jennifer W.","non-dropping-particle":"","parse-names":false,"suffix":""}],"container-title":"Clinical Pharmacokinetics","id":"ITEM-1","issue":"6","issued":{"date-parts":[["2005"]]},"page":"571-590","title":"Clinical pharmacokinetics of atomoxetine","type":"article-journal","volume":"44"},"uris":["http://www.mendeley.com/documents/?uuid=1a4fc16f-5236-4347-bc6d-39cb92782e6d"]},{"id":"ITEM-2","itemData":{"author":[{"dropping-particle":"","family":"Teichert","given":"Jens","non-dropping-particle":"","parse-names":false,"suffix":""},{"dropping-particle":"","family":"Rowe","given":"James B","non-dropping-particle":"","parse-names":false,"suffix":""},{"dropping-particle":"","family":"Ersche","given":"Karen D","non-dropping-particle":"","parse-names":false,"suffix":""},{"dropping-particle":"","family":"Skandali","given":"Nikolina","non-dropping-particle":"","parse-names":false,"suffix":""},{"dropping-particle":"","family":"Sacher","given":"Julia","non-dropping-particle":"","parse-names":false,"suffix":""},{"dropping-particle":"","family":"Aigner","given":"Achim","non-dropping-particle":"","parse-names":false,"suffix":""},{"dropping-particle":"","family":"Regenthal","given":"Ralf","non-dropping-particle":"","parse-names":false,"suffix":""}],"container-title":"International journal of clinical pharmacology and therapeutics","id":"ITEM-2","issue":"8","issued":{"date-parts":[["2020"]]},"page":"426-438","title":"Determination of atomoxetine or escitalopram in human plasma by HPLC: Applications in neuroscience research studies","type":"article-journal","volume":"58"},"uris":["http://www.mendeley.com/documents/?uuid=ee978fc6-5961-478c-9311-3beaa763003e"]}],"mendeley":{"formattedCitation":"(36,37)","plainTextFormattedCitation":"(36,37)","previouslyFormattedCitation":"(36,37)"},"properties":{"noteIndex":0},"schema":"https://github.com/citation-style-language/schema/raw/master/csl-citation.json"}</w:instrText>
      </w:r>
      <w:r w:rsidR="0051562F">
        <w:rPr>
          <w:rFonts w:ascii="Times New Roman" w:hAnsi="Times New Roman" w:cs="Times New Roman"/>
        </w:rPr>
        <w:fldChar w:fldCharType="separate"/>
      </w:r>
      <w:r w:rsidR="00112D56" w:rsidRPr="00112D56">
        <w:rPr>
          <w:rFonts w:ascii="Times New Roman" w:hAnsi="Times New Roman" w:cs="Times New Roman"/>
          <w:noProof/>
        </w:rPr>
        <w:t>(36,37)</w:t>
      </w:r>
      <w:r w:rsidR="0051562F">
        <w:rPr>
          <w:rFonts w:ascii="Times New Roman" w:hAnsi="Times New Roman" w:cs="Times New Roman"/>
        </w:rPr>
        <w:fldChar w:fldCharType="end"/>
      </w:r>
      <w:r w:rsidR="00942A67" w:rsidRPr="004E1CFF">
        <w:rPr>
          <w:rFonts w:ascii="Times New Roman" w:hAnsi="Times New Roman" w:cs="Times New Roman"/>
        </w:rPr>
        <w:t>.</w:t>
      </w:r>
      <w:r w:rsidR="001575CD" w:rsidRPr="004E1CFF">
        <w:rPr>
          <w:rFonts w:ascii="Times New Roman" w:hAnsi="Times New Roman" w:cs="Times New Roman"/>
        </w:rPr>
        <w:t xml:space="preserve"> </w:t>
      </w:r>
      <w:r w:rsidR="004E3D53">
        <w:rPr>
          <w:rFonts w:ascii="Times New Roman" w:hAnsi="Times New Roman" w:cs="Times New Roman"/>
        </w:rPr>
        <w:t>Participants underwent structural</w:t>
      </w:r>
      <w:r w:rsidR="00B55BF1">
        <w:rPr>
          <w:rFonts w:ascii="Times New Roman" w:hAnsi="Times New Roman" w:cs="Times New Roman"/>
        </w:rPr>
        <w:t xml:space="preserve"> </w:t>
      </w:r>
      <w:r w:rsidR="004E3D53">
        <w:rPr>
          <w:rFonts w:ascii="Times New Roman" w:hAnsi="Times New Roman" w:cs="Times New Roman"/>
        </w:rPr>
        <w:t>and f</w:t>
      </w:r>
      <w:r w:rsidR="00154740">
        <w:rPr>
          <w:rFonts w:ascii="Times New Roman" w:hAnsi="Times New Roman" w:cs="Times New Roman"/>
        </w:rPr>
        <w:t xml:space="preserve">unctional </w:t>
      </w:r>
      <w:r w:rsidR="004E3D53">
        <w:rPr>
          <w:rFonts w:ascii="Times New Roman" w:hAnsi="Times New Roman" w:cs="Times New Roman"/>
        </w:rPr>
        <w:t>MRI scanning where they performed the stop</w:t>
      </w:r>
      <w:r w:rsidR="00571284">
        <w:rPr>
          <w:rFonts w:ascii="Times New Roman" w:hAnsi="Times New Roman" w:cs="Times New Roman"/>
        </w:rPr>
        <w:t>-</w:t>
      </w:r>
      <w:r w:rsidR="004E3D53">
        <w:rPr>
          <w:rFonts w:ascii="Times New Roman" w:hAnsi="Times New Roman" w:cs="Times New Roman"/>
        </w:rPr>
        <w:t>signal task.</w:t>
      </w:r>
      <w:r w:rsidR="003B41FA">
        <w:rPr>
          <w:rFonts w:ascii="Times New Roman" w:hAnsi="Times New Roman" w:cs="Times New Roman"/>
        </w:rPr>
        <w:t xml:space="preserve"> G</w:t>
      </w:r>
      <w:r w:rsidR="003B41FA" w:rsidRPr="004E1CFF">
        <w:rPr>
          <w:rFonts w:ascii="Times New Roman" w:hAnsi="Times New Roman" w:cs="Times New Roman"/>
        </w:rPr>
        <w:t xml:space="preserve">eneralised linear models </w:t>
      </w:r>
      <w:r w:rsidR="00553571">
        <w:rPr>
          <w:rFonts w:ascii="Times New Roman" w:hAnsi="Times New Roman" w:cs="Times New Roman"/>
        </w:rPr>
        <w:t>(GLM)</w:t>
      </w:r>
      <w:r w:rsidR="00566D46">
        <w:rPr>
          <w:rFonts w:ascii="Times New Roman" w:hAnsi="Times New Roman" w:cs="Times New Roman"/>
        </w:rPr>
        <w:t xml:space="preserve"> </w:t>
      </w:r>
      <w:r w:rsidR="003B41FA" w:rsidRPr="004E1CFF">
        <w:rPr>
          <w:rFonts w:ascii="Times New Roman" w:hAnsi="Times New Roman" w:cs="Times New Roman"/>
        </w:rPr>
        <w:t xml:space="preserve">on SSRT </w:t>
      </w:r>
      <w:r w:rsidR="003B41FA">
        <w:rPr>
          <w:rFonts w:ascii="Times New Roman" w:hAnsi="Times New Roman" w:cs="Times New Roman"/>
        </w:rPr>
        <w:t xml:space="preserve">and </w:t>
      </w:r>
      <w:r w:rsidR="003B41FA" w:rsidRPr="004E1CFF">
        <w:rPr>
          <w:rFonts w:ascii="Times New Roman" w:hAnsi="Times New Roman" w:cs="Times New Roman"/>
        </w:rPr>
        <w:t xml:space="preserve">Go RT </w:t>
      </w:r>
      <w:r w:rsidR="003B41FA">
        <w:rPr>
          <w:rFonts w:ascii="Times New Roman" w:hAnsi="Times New Roman" w:cs="Times New Roman"/>
        </w:rPr>
        <w:t xml:space="preserve">were conducted </w:t>
      </w:r>
      <w:r w:rsidR="003B41FA" w:rsidRPr="004E1CFF">
        <w:rPr>
          <w:rFonts w:ascii="Times New Roman" w:hAnsi="Times New Roman" w:cs="Times New Roman"/>
        </w:rPr>
        <w:t>with subject-level random effects (equivalent to mixed-effect A</w:t>
      </w:r>
      <w:r w:rsidR="003B41FA">
        <w:rPr>
          <w:rFonts w:ascii="Times New Roman" w:hAnsi="Times New Roman" w:cs="Times New Roman"/>
        </w:rPr>
        <w:t>nalyses of Variance) to explore t</w:t>
      </w:r>
      <w:r w:rsidR="003B41FA" w:rsidRPr="004E1CFF">
        <w:rPr>
          <w:rFonts w:ascii="Times New Roman" w:hAnsi="Times New Roman" w:cs="Times New Roman"/>
        </w:rPr>
        <w:t>he main effect</w:t>
      </w:r>
      <w:r w:rsidR="003B41FA">
        <w:rPr>
          <w:rFonts w:ascii="Times New Roman" w:hAnsi="Times New Roman" w:cs="Times New Roman"/>
        </w:rPr>
        <w:t>s</w:t>
      </w:r>
      <w:r w:rsidR="003B41FA" w:rsidRPr="004E1CFF">
        <w:rPr>
          <w:rFonts w:ascii="Times New Roman" w:hAnsi="Times New Roman" w:cs="Times New Roman"/>
        </w:rPr>
        <w:t xml:space="preserve"> of group (cocaine vs control), drug (atomoxetine vs placebo) and the group-by-drug interaction (</w:t>
      </w:r>
      <w:proofErr w:type="spellStart"/>
      <w:r w:rsidR="003B41FA" w:rsidRPr="004E1CFF">
        <w:rPr>
          <w:rFonts w:ascii="Times New Roman" w:hAnsi="Times New Roman" w:cs="Times New Roman"/>
          <w:i/>
        </w:rPr>
        <w:t>nlme</w:t>
      </w:r>
      <w:proofErr w:type="spellEnd"/>
      <w:r w:rsidR="003B41FA" w:rsidRPr="004E1CFF">
        <w:rPr>
          <w:rFonts w:ascii="Times New Roman" w:hAnsi="Times New Roman" w:cs="Times New Roman"/>
        </w:rPr>
        <w:t xml:space="preserve"> and </w:t>
      </w:r>
      <w:r w:rsidR="003B41FA" w:rsidRPr="004E1CFF">
        <w:rPr>
          <w:rFonts w:ascii="Times New Roman" w:hAnsi="Times New Roman" w:cs="Times New Roman"/>
          <w:i/>
        </w:rPr>
        <w:t>car</w:t>
      </w:r>
      <w:r w:rsidR="003B41FA" w:rsidRPr="004E1CFF">
        <w:rPr>
          <w:rFonts w:ascii="Times New Roman" w:hAnsi="Times New Roman" w:cs="Times New Roman"/>
        </w:rPr>
        <w:t xml:space="preserve"> packages in RStudio v3.4.1). Age and </w:t>
      </w:r>
      <w:r w:rsidR="003B41FA">
        <w:rPr>
          <w:rFonts w:ascii="Times New Roman" w:hAnsi="Times New Roman" w:cs="Times New Roman"/>
        </w:rPr>
        <w:t xml:space="preserve">atomoxetine </w:t>
      </w:r>
      <w:r w:rsidR="003B41FA" w:rsidRPr="004E1CFF">
        <w:rPr>
          <w:rFonts w:ascii="Times New Roman" w:hAnsi="Times New Roman" w:cs="Times New Roman"/>
        </w:rPr>
        <w:t xml:space="preserve">plasma levels </w:t>
      </w:r>
      <w:r w:rsidR="003B41FA">
        <w:rPr>
          <w:rFonts w:ascii="Times New Roman" w:hAnsi="Times New Roman" w:cs="Times New Roman"/>
        </w:rPr>
        <w:t>w</w:t>
      </w:r>
      <w:r w:rsidR="003B41FA" w:rsidRPr="004E1CFF">
        <w:rPr>
          <w:rFonts w:ascii="Times New Roman" w:hAnsi="Times New Roman" w:cs="Times New Roman"/>
        </w:rPr>
        <w:t xml:space="preserve">ere included as covariates. </w:t>
      </w:r>
      <w:r w:rsidR="003B41FA">
        <w:rPr>
          <w:rFonts w:ascii="Times New Roman" w:hAnsi="Times New Roman" w:cs="Times New Roman"/>
        </w:rPr>
        <w:t>R</w:t>
      </w:r>
      <w:r w:rsidR="003B41FA" w:rsidRPr="004E1CFF">
        <w:rPr>
          <w:rFonts w:ascii="Times New Roman" w:hAnsi="Times New Roman" w:cs="Times New Roman"/>
        </w:rPr>
        <w:t xml:space="preserve">egression weights with their respective t and p values are reported. </w:t>
      </w:r>
      <w:r w:rsidR="00351D57" w:rsidRPr="00CB7209">
        <w:rPr>
          <w:rFonts w:ascii="Times New Roman" w:hAnsi="Times New Roman" w:cs="Times New Roman"/>
        </w:rPr>
        <w:t xml:space="preserve">Following the GLM analyses </w:t>
      </w:r>
      <w:r w:rsidR="00684845">
        <w:rPr>
          <w:rFonts w:ascii="Times New Roman" w:hAnsi="Times New Roman" w:cs="Times New Roman"/>
        </w:rPr>
        <w:t>described</w:t>
      </w:r>
      <w:r w:rsidR="00CB7209" w:rsidRPr="00684845">
        <w:rPr>
          <w:rFonts w:ascii="Times New Roman" w:hAnsi="Times New Roman" w:cs="Times New Roman"/>
        </w:rPr>
        <w:t xml:space="preserve"> below</w:t>
      </w:r>
      <w:r w:rsidR="00684845">
        <w:rPr>
          <w:rFonts w:ascii="Times New Roman" w:hAnsi="Times New Roman" w:cs="Times New Roman"/>
        </w:rPr>
        <w:t>,</w:t>
      </w:r>
      <w:r w:rsidR="00CB7209" w:rsidRPr="00684845">
        <w:rPr>
          <w:rFonts w:ascii="Times New Roman" w:hAnsi="Times New Roman" w:cs="Times New Roman"/>
        </w:rPr>
        <w:t xml:space="preserve"> </w:t>
      </w:r>
      <w:r w:rsidR="003B41FA" w:rsidRPr="00CB7209">
        <w:rPr>
          <w:rFonts w:ascii="Times New Roman" w:hAnsi="Times New Roman" w:cs="Times New Roman"/>
        </w:rPr>
        <w:t>predictors of performance changes due to atomoxetine</w:t>
      </w:r>
      <w:r w:rsidR="00351D57" w:rsidRPr="00CB7209">
        <w:rPr>
          <w:rFonts w:ascii="Times New Roman" w:hAnsi="Times New Roman" w:cs="Times New Roman"/>
        </w:rPr>
        <w:t xml:space="preserve"> were explored.</w:t>
      </w:r>
      <w:r w:rsidR="003B41FA" w:rsidRPr="00CB7209">
        <w:rPr>
          <w:rFonts w:ascii="Times New Roman" w:hAnsi="Times New Roman" w:cs="Times New Roman"/>
        </w:rPr>
        <w:t xml:space="preserve"> ANCOVA models (</w:t>
      </w:r>
      <w:proofErr w:type="spellStart"/>
      <w:r w:rsidR="003B41FA" w:rsidRPr="00CB7209">
        <w:rPr>
          <w:rFonts w:ascii="Times New Roman" w:hAnsi="Times New Roman" w:cs="Times New Roman"/>
          <w:i/>
        </w:rPr>
        <w:t>aov</w:t>
      </w:r>
      <w:proofErr w:type="spellEnd"/>
      <w:r w:rsidR="003B41FA" w:rsidRPr="00CB7209">
        <w:rPr>
          <w:rFonts w:ascii="Times New Roman" w:hAnsi="Times New Roman" w:cs="Times New Roman"/>
        </w:rPr>
        <w:t xml:space="preserve"> package in RStudio, v3.4.1) were fitted to explain the variability in </w:t>
      </w:r>
      <w:r w:rsidR="00351D57" w:rsidRPr="00CB7209">
        <w:rPr>
          <w:rFonts w:ascii="Times New Roman" w:hAnsi="Times New Roman" w:cs="Times New Roman"/>
        </w:rPr>
        <w:t>atomoxetine-dependent changes in S</w:t>
      </w:r>
      <w:r w:rsidR="003B41FA" w:rsidRPr="00CB7209">
        <w:rPr>
          <w:rFonts w:ascii="Times New Roman" w:hAnsi="Times New Roman" w:cs="Times New Roman"/>
        </w:rPr>
        <w:t xml:space="preserve">SRT and in Go RT. </w:t>
      </w:r>
    </w:p>
    <w:p w14:paraId="118D66E8" w14:textId="1E031F4D" w:rsidR="00856E3F" w:rsidRDefault="00441D5E" w:rsidP="00BF7E9E">
      <w:pPr>
        <w:spacing w:line="360" w:lineRule="auto"/>
        <w:rPr>
          <w:rFonts w:ascii="Times New Roman" w:hAnsi="Times New Roman" w:cs="Times New Roman"/>
        </w:rPr>
      </w:pPr>
      <w:r>
        <w:rPr>
          <w:rFonts w:ascii="Times New Roman" w:hAnsi="Times New Roman" w:cs="Times New Roman"/>
          <w:i/>
        </w:rPr>
        <w:t xml:space="preserve">MRI </w:t>
      </w:r>
      <w:r w:rsidRPr="004E1CFF">
        <w:rPr>
          <w:rFonts w:ascii="Times New Roman" w:hAnsi="Times New Roman" w:cs="Times New Roman"/>
          <w:i/>
        </w:rPr>
        <w:t xml:space="preserve">Acquisition. </w:t>
      </w:r>
      <w:r w:rsidRPr="004E1CFF">
        <w:rPr>
          <w:rFonts w:ascii="Times New Roman" w:hAnsi="Times New Roman" w:cs="Times New Roman"/>
        </w:rPr>
        <w:t xml:space="preserve">MRI data were acquired using a Siemens Trio 3T scanner (Erlangen, Germany). Functional images used a whole-brain echo planar image sequence (repetition time, 2000 </w:t>
      </w:r>
      <w:proofErr w:type="spellStart"/>
      <w:r w:rsidRPr="004E1CFF">
        <w:rPr>
          <w:rFonts w:ascii="Times New Roman" w:hAnsi="Times New Roman" w:cs="Times New Roman"/>
        </w:rPr>
        <w:t>ms</w:t>
      </w:r>
      <w:proofErr w:type="spellEnd"/>
      <w:r w:rsidRPr="004E1CFF">
        <w:rPr>
          <w:rFonts w:ascii="Times New Roman" w:hAnsi="Times New Roman" w:cs="Times New Roman"/>
        </w:rPr>
        <w:t xml:space="preserve">; echo time, 30 </w:t>
      </w:r>
      <w:proofErr w:type="spellStart"/>
      <w:r w:rsidRPr="004E1CFF">
        <w:rPr>
          <w:rFonts w:ascii="Times New Roman" w:hAnsi="Times New Roman" w:cs="Times New Roman"/>
        </w:rPr>
        <w:t>ms</w:t>
      </w:r>
      <w:proofErr w:type="spellEnd"/>
      <w:r w:rsidRPr="004E1CFF">
        <w:rPr>
          <w:rFonts w:ascii="Times New Roman" w:hAnsi="Times New Roman" w:cs="Times New Roman"/>
        </w:rPr>
        <w:t xml:space="preserve">; flip angle, 78°; 32 slices with 3mm slice thickness and a 0.75mm gap; matrix=64x64; field of view, 192x192mm; 3 x 3mm in-plane resolution; number of volumes ranging between 278 and 305). High resolution T1-weighted gradient echo images were acquired for registration purposes (176 sequential slices of 1mm thickness; repetition time, 2300 </w:t>
      </w:r>
      <w:proofErr w:type="spellStart"/>
      <w:r w:rsidRPr="004E1CFF">
        <w:rPr>
          <w:rFonts w:ascii="Times New Roman" w:hAnsi="Times New Roman" w:cs="Times New Roman"/>
        </w:rPr>
        <w:t>ms</w:t>
      </w:r>
      <w:proofErr w:type="spellEnd"/>
      <w:r w:rsidRPr="004E1CFF">
        <w:rPr>
          <w:rFonts w:ascii="Times New Roman" w:hAnsi="Times New Roman" w:cs="Times New Roman"/>
        </w:rPr>
        <w:t xml:space="preserve">; echo time, 2.98 </w:t>
      </w:r>
      <w:proofErr w:type="spellStart"/>
      <w:r w:rsidRPr="004E1CFF">
        <w:rPr>
          <w:rFonts w:ascii="Times New Roman" w:hAnsi="Times New Roman" w:cs="Times New Roman"/>
        </w:rPr>
        <w:t>ms</w:t>
      </w:r>
      <w:proofErr w:type="spellEnd"/>
      <w:r w:rsidRPr="004E1CFF">
        <w:rPr>
          <w:rFonts w:ascii="Times New Roman" w:hAnsi="Times New Roman" w:cs="Times New Roman"/>
        </w:rPr>
        <w:t>; flip angle, 9°,</w:t>
      </w:r>
      <w:r w:rsidR="00F006B3">
        <w:rPr>
          <w:rFonts w:ascii="Times New Roman" w:hAnsi="Times New Roman" w:cs="Times New Roman"/>
        </w:rPr>
        <w:t xml:space="preserve"> </w:t>
      </w:r>
      <w:r w:rsidRPr="004E1CFF">
        <w:rPr>
          <w:rFonts w:ascii="Times New Roman" w:hAnsi="Times New Roman" w:cs="Times New Roman"/>
        </w:rPr>
        <w:t xml:space="preserve">FOV, 240x256mm). </w:t>
      </w:r>
    </w:p>
    <w:p w14:paraId="7F42D19B" w14:textId="6F623A2A" w:rsidR="00C410A6" w:rsidRPr="002D3DF9" w:rsidRDefault="00507A22" w:rsidP="00BF7E9E">
      <w:pPr>
        <w:spacing w:line="360" w:lineRule="auto"/>
        <w:rPr>
          <w:rFonts w:ascii="Times New Roman" w:hAnsi="Times New Roman" w:cs="Times New Roman"/>
          <w:color w:val="808080" w:themeColor="background1" w:themeShade="80"/>
        </w:rPr>
      </w:pPr>
      <w:r w:rsidRPr="004E1CFF">
        <w:rPr>
          <w:rFonts w:ascii="Times New Roman" w:hAnsi="Times New Roman" w:cs="Times New Roman"/>
          <w:i/>
        </w:rPr>
        <w:t>Stop</w:t>
      </w:r>
      <w:r w:rsidR="00571284">
        <w:rPr>
          <w:rFonts w:ascii="Times New Roman" w:hAnsi="Times New Roman" w:cs="Times New Roman"/>
          <w:i/>
        </w:rPr>
        <w:t>-</w:t>
      </w:r>
      <w:r w:rsidRPr="004E1CFF">
        <w:rPr>
          <w:rFonts w:ascii="Times New Roman" w:hAnsi="Times New Roman" w:cs="Times New Roman"/>
          <w:i/>
        </w:rPr>
        <w:t>Signal Task</w:t>
      </w:r>
      <w:r w:rsidR="00A61FB7" w:rsidRPr="004E1CFF">
        <w:rPr>
          <w:rFonts w:ascii="Times New Roman" w:hAnsi="Times New Roman" w:cs="Times New Roman"/>
          <w:i/>
        </w:rPr>
        <w:t xml:space="preserve">. </w:t>
      </w:r>
      <w:r w:rsidR="00DE6373">
        <w:rPr>
          <w:rFonts w:ascii="Times New Roman" w:hAnsi="Times New Roman" w:cs="Times New Roman"/>
        </w:rPr>
        <w:t>On go trials</w:t>
      </w:r>
      <w:r w:rsidR="00FC2601" w:rsidRPr="004E1CFF">
        <w:rPr>
          <w:rFonts w:ascii="Times New Roman" w:hAnsi="Times New Roman" w:cs="Times New Roman"/>
        </w:rPr>
        <w:t xml:space="preserve"> </w:t>
      </w:r>
      <w:r w:rsidR="008C2A98" w:rsidRPr="004E1CFF">
        <w:rPr>
          <w:rFonts w:ascii="Times New Roman" w:hAnsi="Times New Roman" w:cs="Times New Roman"/>
        </w:rPr>
        <w:t xml:space="preserve">participants </w:t>
      </w:r>
      <w:r w:rsidR="0090707E" w:rsidRPr="004E1CFF">
        <w:rPr>
          <w:rFonts w:ascii="Times New Roman" w:hAnsi="Times New Roman" w:cs="Times New Roman"/>
        </w:rPr>
        <w:t>were required to respond with left or right key press</w:t>
      </w:r>
      <w:r w:rsidR="00DE6373">
        <w:rPr>
          <w:rFonts w:ascii="Times New Roman" w:hAnsi="Times New Roman" w:cs="Times New Roman"/>
        </w:rPr>
        <w:t>es</w:t>
      </w:r>
      <w:r w:rsidR="0090707E" w:rsidRPr="004E1CFF">
        <w:rPr>
          <w:rFonts w:ascii="Times New Roman" w:hAnsi="Times New Roman" w:cs="Times New Roman"/>
        </w:rPr>
        <w:t xml:space="preserve"> </w:t>
      </w:r>
      <w:r w:rsidR="009A1760" w:rsidRPr="004E1CFF">
        <w:rPr>
          <w:rFonts w:ascii="Times New Roman" w:hAnsi="Times New Roman" w:cs="Times New Roman"/>
        </w:rPr>
        <w:t>to corresponding</w:t>
      </w:r>
      <w:r w:rsidR="00105C6A" w:rsidRPr="004E1CFF">
        <w:rPr>
          <w:rFonts w:ascii="Times New Roman" w:hAnsi="Times New Roman" w:cs="Times New Roman"/>
        </w:rPr>
        <w:t xml:space="preserve"> left </w:t>
      </w:r>
      <w:r w:rsidR="00DE6373">
        <w:rPr>
          <w:rFonts w:ascii="Times New Roman" w:hAnsi="Times New Roman" w:cs="Times New Roman"/>
        </w:rPr>
        <w:t>or</w:t>
      </w:r>
      <w:r w:rsidR="00105C6A" w:rsidRPr="004E1CFF">
        <w:rPr>
          <w:rFonts w:ascii="Times New Roman" w:hAnsi="Times New Roman" w:cs="Times New Roman"/>
        </w:rPr>
        <w:t xml:space="preserve"> right arrow</w:t>
      </w:r>
      <w:r w:rsidR="009A1760" w:rsidRPr="004E1CFF">
        <w:rPr>
          <w:rFonts w:ascii="Times New Roman" w:hAnsi="Times New Roman" w:cs="Times New Roman"/>
        </w:rPr>
        <w:t xml:space="preserve"> stimuli </w:t>
      </w:r>
      <w:r w:rsidR="002D2270" w:rsidRPr="004E1CFF">
        <w:rPr>
          <w:rFonts w:ascii="Times New Roman" w:hAnsi="Times New Roman" w:cs="Times New Roman"/>
        </w:rPr>
        <w:t xml:space="preserve">(100ms) </w:t>
      </w:r>
      <w:r w:rsidR="005A316E">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{"citationItems":[{"id":"ITEM-1","itemData":{"DOI":"10.1038/npp.2013.90","ISSN":"0893133X","abstract":"A neurocognitive endophenotype has been proposed for stimulant dependence, based on behavioral measures of inhibitory response control associated with white matter changes in the frontal cortex. This study investigated the functional neuroimaging correlates of inhibitory response control, as functional activity serves as a more dynamic measure than brain structure, allowing refinement of the suggested endophenotype. Stimulant-dependent individuals (SDIs), their unaffected siblings (SIBs), and healthy controls (CTs) performed the stop-signal task, including stop-signal reaction time (SSRT) as a measure of response inhibition, while undergoing functional magnetic resonance imaging. SDIs had impaired response inhibition accompanied by hypoactivation in the ventrolateral prefrontal cortex (PFC). In addition, they demonstrated hypoactivation in the anterior cingulate when failing to stop. In contrast, no hypoactivations were noted in their unaffected SIBs. Rather, they exhibited increased activation in the dorsomedial PFC relative to controls, together with inhibitory performance that was intermediate between that of the stimulant group and the healthy CT group. Such hyperactivations within the neurocircuitry underlying response inhibition and control are suggestive of compensatory mechanisms that could be protective in nature or could reflect coping with a pre-existing vulnerability, thus expressing potential aspects of resilience. The functional activation associated with response inhibition and error monitoring showed differential patterns of results between SDIs and their unaffected first-degree relatives, suggesting that the proposed endophenotype does not generalize to functional brain activity.","author":[{"dropping-particle":"","family":"Morein-Zamir","given":"Sharon","non-dropping-particle":"","parse-names":false,"suffix":""},{"dropping-particle":"","family":"Simon Jones","given":"P.","non-dropping-particle":"","parse-names":false,"suffix":""},{"dropping-particle":"","family":"Bullmore","given":"Edward T.","non-dropping-particle":"","parse-names":false,"suffix":""},{"dropping-particle":"","family":"Robbins","given":"Trevor W.","non-dropping-particle":"","parse-names":false,"suffix":""},{"dropping-particle":"","family":"Ersche","given":"Karen D.","non-dropping-particle":"","parse-names":false,"suffix":""}],"container-title":"Neuropsychopharmacology","id":"ITEM-1","issue":"10","issued":{"date-parts":[["2013"]]},"page":"1945-1953","publisher":"Nature Publishing Group","title":"Prefrontal hypoactivity associated with impaired inhibition in stimulant-dependent individuals but evidence for hyperactivation in their unaffected siblings","type":"article-journal","volume":"38"},"uris":["http://www.mendeley.com/documents/?uuid=e0ee51a8-ba2c-487c-b05b-858bc6dbe6dd"]}],"mendeley":{"formattedCitation":"(6)","plainTextFormattedCitation":"(6)","previouslyFormattedCitation":"(6)"},"properties":{"noteIndex":0},"schema":"https://github.com/citation-style-language/schema/raw/master/csl-citation.json"}</w:instrText>
      </w:r>
      <w:r w:rsidR="005A316E">
        <w:rPr>
          <w:rFonts w:ascii="Times New Roman" w:hAnsi="Times New Roman" w:cs="Times New Roman"/>
        </w:rPr>
        <w:fldChar w:fldCharType="separate"/>
      </w:r>
      <w:r w:rsidR="00112D56" w:rsidRPr="00112D56">
        <w:rPr>
          <w:rFonts w:ascii="Times New Roman" w:hAnsi="Times New Roman" w:cs="Times New Roman"/>
          <w:noProof/>
        </w:rPr>
        <w:t>(6)</w:t>
      </w:r>
      <w:r w:rsidR="005A316E">
        <w:rPr>
          <w:rFonts w:ascii="Times New Roman" w:hAnsi="Times New Roman" w:cs="Times New Roman"/>
        </w:rPr>
        <w:fldChar w:fldCharType="end"/>
      </w:r>
      <w:r w:rsidR="00066170" w:rsidRPr="004E1CFF">
        <w:rPr>
          <w:rFonts w:ascii="Times New Roman" w:hAnsi="Times New Roman" w:cs="Times New Roman"/>
        </w:rPr>
        <w:t xml:space="preserve">. </w:t>
      </w:r>
      <w:r w:rsidR="00AF7BDC" w:rsidRPr="004E1CFF">
        <w:rPr>
          <w:rFonts w:ascii="Times New Roman" w:hAnsi="Times New Roman" w:cs="Times New Roman"/>
        </w:rPr>
        <w:t xml:space="preserve">On </w:t>
      </w:r>
      <w:r w:rsidR="00D10E81" w:rsidRPr="004E1CFF">
        <w:rPr>
          <w:rFonts w:ascii="Times New Roman" w:hAnsi="Times New Roman" w:cs="Times New Roman"/>
        </w:rPr>
        <w:t>stop trials</w:t>
      </w:r>
      <w:r w:rsidR="00482099" w:rsidRPr="004E1CFF">
        <w:rPr>
          <w:rFonts w:ascii="Times New Roman" w:hAnsi="Times New Roman" w:cs="Times New Roman"/>
        </w:rPr>
        <w:t xml:space="preserve">, a </w:t>
      </w:r>
      <w:r w:rsidR="00AE72C3" w:rsidRPr="004E1CFF">
        <w:rPr>
          <w:rFonts w:ascii="Times New Roman" w:hAnsi="Times New Roman" w:cs="Times New Roman"/>
        </w:rPr>
        <w:t xml:space="preserve">stop </w:t>
      </w:r>
      <w:proofErr w:type="gramStart"/>
      <w:r w:rsidR="00AE72C3" w:rsidRPr="004E1CFF">
        <w:rPr>
          <w:rFonts w:ascii="Times New Roman" w:hAnsi="Times New Roman" w:cs="Times New Roman"/>
        </w:rPr>
        <w:t>signal</w:t>
      </w:r>
      <w:proofErr w:type="gramEnd"/>
      <w:r w:rsidR="00AE72C3" w:rsidRPr="004E1CFF">
        <w:rPr>
          <w:rFonts w:ascii="Times New Roman" w:hAnsi="Times New Roman" w:cs="Times New Roman"/>
        </w:rPr>
        <w:t xml:space="preserve"> </w:t>
      </w:r>
      <w:r w:rsidR="00DE6373">
        <w:rPr>
          <w:rFonts w:ascii="Times New Roman" w:hAnsi="Times New Roman" w:cs="Times New Roman"/>
        </w:rPr>
        <w:t xml:space="preserve">subsequently appeared </w:t>
      </w:r>
      <w:r w:rsidR="00AE72C3" w:rsidRPr="004E1CFF">
        <w:rPr>
          <w:rFonts w:ascii="Times New Roman" w:hAnsi="Times New Roman" w:cs="Times New Roman"/>
        </w:rPr>
        <w:t>(an orange upward arrow</w:t>
      </w:r>
      <w:r w:rsidR="00A070E9" w:rsidRPr="004E1CFF">
        <w:rPr>
          <w:rFonts w:ascii="Times New Roman" w:hAnsi="Times New Roman" w:cs="Times New Roman"/>
        </w:rPr>
        <w:t xml:space="preserve">, 300 </w:t>
      </w:r>
      <w:proofErr w:type="spellStart"/>
      <w:r w:rsidR="00A070E9" w:rsidRPr="004E1CFF">
        <w:rPr>
          <w:rFonts w:ascii="Times New Roman" w:hAnsi="Times New Roman" w:cs="Times New Roman"/>
        </w:rPr>
        <w:t>ms</w:t>
      </w:r>
      <w:proofErr w:type="spellEnd"/>
      <w:r w:rsidR="00A070E9" w:rsidRPr="004E1CFF">
        <w:rPr>
          <w:rFonts w:ascii="Times New Roman" w:hAnsi="Times New Roman" w:cs="Times New Roman"/>
        </w:rPr>
        <w:t xml:space="preserve">) </w:t>
      </w:r>
      <w:r w:rsidR="00DE6373">
        <w:rPr>
          <w:rFonts w:ascii="Times New Roman" w:hAnsi="Times New Roman" w:cs="Times New Roman"/>
        </w:rPr>
        <w:t>and participants had</w:t>
      </w:r>
      <w:r w:rsidR="00631C30" w:rsidRPr="004E1CFF">
        <w:rPr>
          <w:rFonts w:ascii="Times New Roman" w:hAnsi="Times New Roman" w:cs="Times New Roman"/>
        </w:rPr>
        <w:t xml:space="preserve"> to </w:t>
      </w:r>
      <w:r w:rsidR="001A40F0" w:rsidRPr="004E1CFF">
        <w:rPr>
          <w:rFonts w:ascii="Times New Roman" w:hAnsi="Times New Roman" w:cs="Times New Roman"/>
        </w:rPr>
        <w:t xml:space="preserve">cancel their </w:t>
      </w:r>
      <w:r w:rsidR="007E775E">
        <w:rPr>
          <w:rFonts w:ascii="Times New Roman" w:hAnsi="Times New Roman" w:cs="Times New Roman"/>
        </w:rPr>
        <w:t xml:space="preserve">planned </w:t>
      </w:r>
      <w:r w:rsidR="001A40F0" w:rsidRPr="004E1CFF">
        <w:rPr>
          <w:rFonts w:ascii="Times New Roman" w:hAnsi="Times New Roman" w:cs="Times New Roman"/>
        </w:rPr>
        <w:t xml:space="preserve">response. </w:t>
      </w:r>
      <w:r w:rsidR="00596819" w:rsidRPr="004E1CFF">
        <w:rPr>
          <w:rFonts w:ascii="Times New Roman" w:hAnsi="Times New Roman" w:cs="Times New Roman"/>
        </w:rPr>
        <w:t xml:space="preserve">Left and right </w:t>
      </w:r>
      <w:r w:rsidR="00DE6373">
        <w:rPr>
          <w:rFonts w:ascii="Times New Roman" w:hAnsi="Times New Roman" w:cs="Times New Roman"/>
        </w:rPr>
        <w:t>arrows</w:t>
      </w:r>
      <w:r w:rsidR="00DE6373" w:rsidRPr="004E1CFF">
        <w:rPr>
          <w:rFonts w:ascii="Times New Roman" w:hAnsi="Times New Roman" w:cs="Times New Roman"/>
        </w:rPr>
        <w:t xml:space="preserve"> </w:t>
      </w:r>
      <w:r w:rsidR="00596819" w:rsidRPr="004E1CFF">
        <w:rPr>
          <w:rFonts w:ascii="Times New Roman" w:hAnsi="Times New Roman" w:cs="Times New Roman"/>
        </w:rPr>
        <w:t xml:space="preserve">were </w:t>
      </w:r>
      <w:r w:rsidR="00BD45F1" w:rsidRPr="004E1CFF">
        <w:rPr>
          <w:rFonts w:ascii="Times New Roman" w:hAnsi="Times New Roman" w:cs="Times New Roman"/>
        </w:rPr>
        <w:t>c</w:t>
      </w:r>
      <w:r w:rsidR="00674283" w:rsidRPr="004E1CFF">
        <w:rPr>
          <w:rFonts w:ascii="Times New Roman" w:hAnsi="Times New Roman" w:cs="Times New Roman"/>
        </w:rPr>
        <w:t xml:space="preserve">ounterbalanced </w:t>
      </w:r>
      <w:r w:rsidR="00BD45F1" w:rsidRPr="004E1CFF">
        <w:rPr>
          <w:rFonts w:ascii="Times New Roman" w:hAnsi="Times New Roman" w:cs="Times New Roman"/>
        </w:rPr>
        <w:t xml:space="preserve">and intermixed, </w:t>
      </w:r>
      <w:r w:rsidR="001800FA" w:rsidRPr="004E1CFF">
        <w:rPr>
          <w:rFonts w:ascii="Times New Roman" w:hAnsi="Times New Roman" w:cs="Times New Roman"/>
        </w:rPr>
        <w:t xml:space="preserve">and the delay between go and stop stimuli was </w:t>
      </w:r>
      <w:r w:rsidR="00B839CE" w:rsidRPr="004E1CFF">
        <w:rPr>
          <w:rFonts w:ascii="Times New Roman" w:hAnsi="Times New Roman" w:cs="Times New Roman"/>
        </w:rPr>
        <w:t>adjusted</w:t>
      </w:r>
      <w:r w:rsidR="005347C8" w:rsidRPr="004E1CFF">
        <w:rPr>
          <w:rFonts w:ascii="Times New Roman" w:hAnsi="Times New Roman" w:cs="Times New Roman"/>
        </w:rPr>
        <w:t xml:space="preserve"> in 50 </w:t>
      </w:r>
      <w:proofErr w:type="spellStart"/>
      <w:r w:rsidR="005347C8" w:rsidRPr="004E1CFF">
        <w:rPr>
          <w:rFonts w:ascii="Times New Roman" w:hAnsi="Times New Roman" w:cs="Times New Roman"/>
        </w:rPr>
        <w:t>ms</w:t>
      </w:r>
      <w:proofErr w:type="spellEnd"/>
      <w:r w:rsidR="005347C8" w:rsidRPr="004E1CFF">
        <w:rPr>
          <w:rFonts w:ascii="Times New Roman" w:hAnsi="Times New Roman" w:cs="Times New Roman"/>
        </w:rPr>
        <w:t xml:space="preserve"> steps</w:t>
      </w:r>
      <w:r w:rsidR="00B839CE" w:rsidRPr="004E1CFF">
        <w:rPr>
          <w:rFonts w:ascii="Times New Roman" w:hAnsi="Times New Roman" w:cs="Times New Roman"/>
        </w:rPr>
        <w:t xml:space="preserve"> from </w:t>
      </w:r>
      <w:r w:rsidR="007E775E">
        <w:rPr>
          <w:rFonts w:ascii="Times New Roman" w:hAnsi="Times New Roman" w:cs="Times New Roman"/>
        </w:rPr>
        <w:t>an initial value</w:t>
      </w:r>
      <w:r w:rsidR="00B839CE" w:rsidRPr="004E1CFF">
        <w:rPr>
          <w:rFonts w:ascii="Times New Roman" w:hAnsi="Times New Roman" w:cs="Times New Roman"/>
        </w:rPr>
        <w:t xml:space="preserve"> of 250</w:t>
      </w:r>
      <w:r w:rsidR="00A8559E" w:rsidRPr="004E1CFF">
        <w:rPr>
          <w:rFonts w:ascii="Times New Roman" w:hAnsi="Times New Roman" w:cs="Times New Roman"/>
        </w:rPr>
        <w:t xml:space="preserve"> </w:t>
      </w:r>
      <w:proofErr w:type="spellStart"/>
      <w:r w:rsidR="00A8559E" w:rsidRPr="004E1CFF">
        <w:rPr>
          <w:rFonts w:ascii="Times New Roman" w:hAnsi="Times New Roman" w:cs="Times New Roman"/>
        </w:rPr>
        <w:t>m</w:t>
      </w:r>
      <w:r w:rsidR="00B839CE" w:rsidRPr="004E1CFF">
        <w:rPr>
          <w:rFonts w:ascii="Times New Roman" w:hAnsi="Times New Roman" w:cs="Times New Roman"/>
        </w:rPr>
        <w:t>s</w:t>
      </w:r>
      <w:proofErr w:type="spellEnd"/>
      <w:r w:rsidR="00B839CE" w:rsidRPr="004E1CFF">
        <w:rPr>
          <w:rFonts w:ascii="Times New Roman" w:hAnsi="Times New Roman" w:cs="Times New Roman"/>
        </w:rPr>
        <w:t xml:space="preserve"> </w:t>
      </w:r>
      <w:r w:rsidR="00A8559E" w:rsidRPr="004E1CFF">
        <w:rPr>
          <w:rFonts w:ascii="Times New Roman" w:hAnsi="Times New Roman" w:cs="Times New Roman"/>
        </w:rPr>
        <w:t xml:space="preserve">to </w:t>
      </w:r>
      <w:r w:rsidR="005E64C0" w:rsidRPr="004E1CFF">
        <w:rPr>
          <w:rFonts w:ascii="Times New Roman" w:hAnsi="Times New Roman" w:cs="Times New Roman"/>
        </w:rPr>
        <w:t xml:space="preserve">achieve </w:t>
      </w:r>
      <w:r w:rsidR="001E6A49" w:rsidRPr="004E1CFF">
        <w:rPr>
          <w:rFonts w:ascii="Times New Roman" w:hAnsi="Times New Roman" w:cs="Times New Roman"/>
        </w:rPr>
        <w:t xml:space="preserve">50% </w:t>
      </w:r>
      <w:r w:rsidR="00E21F87" w:rsidRPr="004E1CFF">
        <w:rPr>
          <w:rFonts w:ascii="Times New Roman" w:hAnsi="Times New Roman" w:cs="Times New Roman"/>
        </w:rPr>
        <w:t>successful stopping</w:t>
      </w:r>
      <w:r w:rsidR="00C11292">
        <w:rPr>
          <w:rFonts w:ascii="Times New Roman" w:hAnsi="Times New Roman" w:cs="Times New Roman"/>
        </w:rPr>
        <w:t xml:space="preserve"> </w:t>
      </w:r>
      <w:r w:rsidR="00E12D15">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{"citationItems":[{"id":"ITEM-1","itemData":{"DOI":"10.1111/j.1467-9280.1997.tb00545.x","ISSN":"09567976","abstract":"We report an experiment testing the hypothesis that impulsive behavior reflects a deficit in the ability to inhibit prepotent responses. Specifically, we examined whether impulsive people respond more slowly to signals to inhibit (stop signals) than non-impulsive people. In this experiment, 136 undergraduate students completed an impulsivity questionnaire and then participated in a stop-signal experiment, in which they performed a choice reaction time (go) task and were asked to inhibit their responses to the go task when they heard a stop signal. The delay between the go signal and the stop signal was determined by a tracking procedure designed to allow subjects to inhibit on 50% of the stop-signal trials. Reaction time to the go signal did not vary with impulsivity, but estimated stop-signal reaction time was longer in more impulsive subjects, consistent with the hypothesis and consistent with results from populations with pathological problems with impulse control.","author":[{"dropping-particle":"","family":"Logan","given":"Gordon D.","non-dropping-particle":"","parse-names":false,"suffix":""},{"dropping-particle":"","family":"Schachar","given":"Russell J.","non-dropping-particle":"","parse-names":false,"suffix":""},{"dropping-particle":"","family":"Tannock","given":"Rosemary","non-dropping-particle":"","parse-names":false,"suffix":""}],"container-title":"Psychological Science","id":"ITEM-1","issue":"1","issued":{"date-parts":[["1997"]]},"page":"60-64","title":"Impulsivity and inhibitory control","type":"article-journal","volume":"8"},"uris":["http://www.mendeley.com/documents/?uuid=2d9fc7c0-899d-4a6b-bd8c-c8bbdd6d4c57"]}],"mendeley":{"formattedCitation":"(38)","plainTextFormattedCitation":"(38)","previouslyFormattedCitation":"(38)"},"properties":{"noteIndex":0},"schema":"https://github.com/citation-style-language/schema/raw/master/csl-citation.json"}</w:instrText>
      </w:r>
      <w:r w:rsidR="00E12D15">
        <w:rPr>
          <w:rFonts w:ascii="Times New Roman" w:hAnsi="Times New Roman" w:cs="Times New Roman"/>
        </w:rPr>
        <w:fldChar w:fldCharType="separate"/>
      </w:r>
      <w:r w:rsidR="00112D56" w:rsidRPr="00112D56">
        <w:rPr>
          <w:rFonts w:ascii="Times New Roman" w:hAnsi="Times New Roman" w:cs="Times New Roman"/>
          <w:noProof/>
        </w:rPr>
        <w:t>(38)</w:t>
      </w:r>
      <w:r w:rsidR="00E12D15">
        <w:rPr>
          <w:rFonts w:ascii="Times New Roman" w:hAnsi="Times New Roman" w:cs="Times New Roman"/>
        </w:rPr>
        <w:fldChar w:fldCharType="end"/>
      </w:r>
      <w:r w:rsidR="00E21F87" w:rsidRPr="004E1CFF">
        <w:rPr>
          <w:rFonts w:ascii="Times New Roman" w:hAnsi="Times New Roman" w:cs="Times New Roman"/>
        </w:rPr>
        <w:t xml:space="preserve">. </w:t>
      </w:r>
      <w:r w:rsidR="000374C4" w:rsidRPr="004E1CFF">
        <w:rPr>
          <w:rFonts w:ascii="Times New Roman" w:hAnsi="Times New Roman" w:cs="Times New Roman"/>
        </w:rPr>
        <w:t xml:space="preserve">The task </w:t>
      </w:r>
      <w:r w:rsidR="007E775E">
        <w:rPr>
          <w:rFonts w:ascii="Times New Roman" w:hAnsi="Times New Roman" w:cs="Times New Roman"/>
        </w:rPr>
        <w:t>included</w:t>
      </w:r>
      <w:r w:rsidR="000374C4" w:rsidRPr="004E1CFF">
        <w:rPr>
          <w:rFonts w:ascii="Times New Roman" w:hAnsi="Times New Roman" w:cs="Times New Roman"/>
        </w:rPr>
        <w:t xml:space="preserve"> </w:t>
      </w:r>
      <w:r w:rsidRPr="004E1CFF">
        <w:rPr>
          <w:rFonts w:ascii="Times New Roman" w:hAnsi="Times New Roman" w:cs="Times New Roman"/>
        </w:rPr>
        <w:t>48 stop trials and 240 go trials</w:t>
      </w:r>
      <w:r w:rsidR="00671C6F">
        <w:rPr>
          <w:rFonts w:ascii="Times New Roman" w:hAnsi="Times New Roman" w:cs="Times New Roman"/>
        </w:rPr>
        <w:t xml:space="preserve"> in one block</w:t>
      </w:r>
      <w:r w:rsidR="007E775E">
        <w:rPr>
          <w:rFonts w:ascii="Times New Roman" w:hAnsi="Times New Roman" w:cs="Times New Roman"/>
        </w:rPr>
        <w:t>, with stop trials repeating</w:t>
      </w:r>
      <w:r w:rsidR="00A76A66">
        <w:rPr>
          <w:rFonts w:ascii="Times New Roman" w:hAnsi="Times New Roman" w:cs="Times New Roman"/>
        </w:rPr>
        <w:t xml:space="preserve"> </w:t>
      </w:r>
      <w:proofErr w:type="gramStart"/>
      <w:r w:rsidR="00A76A66">
        <w:rPr>
          <w:rFonts w:ascii="Times New Roman" w:hAnsi="Times New Roman" w:cs="Times New Roman"/>
        </w:rPr>
        <w:t>at a later time</w:t>
      </w:r>
      <w:proofErr w:type="gramEnd"/>
      <w:r w:rsidR="00844BAE">
        <w:rPr>
          <w:rFonts w:ascii="Times New Roman" w:hAnsi="Times New Roman" w:cs="Times New Roman"/>
        </w:rPr>
        <w:t xml:space="preserve"> </w:t>
      </w:r>
      <w:r w:rsidR="007E775E">
        <w:rPr>
          <w:rFonts w:ascii="Times New Roman" w:hAnsi="Times New Roman" w:cs="Times New Roman"/>
        </w:rPr>
        <w:t>if p</w:t>
      </w:r>
      <w:r w:rsidR="00275CC8" w:rsidRPr="004E1CFF">
        <w:rPr>
          <w:rFonts w:ascii="Times New Roman" w:hAnsi="Times New Roman" w:cs="Times New Roman"/>
        </w:rPr>
        <w:t>articipants responded before stop signal onset</w:t>
      </w:r>
      <w:r w:rsidR="00914AD9" w:rsidRPr="004E1CFF">
        <w:rPr>
          <w:rFonts w:ascii="Times New Roman" w:hAnsi="Times New Roman" w:cs="Times New Roman"/>
        </w:rPr>
        <w:t xml:space="preserve">. </w:t>
      </w:r>
      <w:r w:rsidRPr="004E1CFF">
        <w:rPr>
          <w:rFonts w:ascii="Times New Roman" w:hAnsi="Times New Roman" w:cs="Times New Roman"/>
        </w:rPr>
        <w:t xml:space="preserve">Inter-trial-intervals </w:t>
      </w:r>
      <w:r w:rsidR="005157FE" w:rsidRPr="004E1CFF">
        <w:rPr>
          <w:rFonts w:ascii="Times New Roman" w:hAnsi="Times New Roman" w:cs="Times New Roman"/>
        </w:rPr>
        <w:t xml:space="preserve">varied </w:t>
      </w:r>
      <w:r w:rsidRPr="004E1CFF">
        <w:rPr>
          <w:rFonts w:ascii="Times New Roman" w:hAnsi="Times New Roman" w:cs="Times New Roman"/>
        </w:rPr>
        <w:t xml:space="preserve">randomly between 900 and 1100 </w:t>
      </w:r>
      <w:proofErr w:type="spellStart"/>
      <w:r w:rsidRPr="004E1CFF">
        <w:rPr>
          <w:rFonts w:ascii="Times New Roman" w:hAnsi="Times New Roman" w:cs="Times New Roman"/>
        </w:rPr>
        <w:t>ms</w:t>
      </w:r>
      <w:proofErr w:type="spellEnd"/>
      <w:r w:rsidR="00693694">
        <w:rPr>
          <w:rFonts w:ascii="Times New Roman" w:hAnsi="Times New Roman" w:cs="Times New Roman"/>
        </w:rPr>
        <w:t xml:space="preserve"> </w:t>
      </w:r>
      <w:r w:rsidR="00E12D15">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{"citationItems":[{"id":"ITEM-1","itemData":{"DOI":"10.1038/nn.3092","ISSN":"1097-6256","abstract":"Impulsivity is a multi-dimensional construct, and it is plausible that distinct brain networks contribute to its different aspects. Here the authors identify distinct cortical and subcortical networks underlying cognitive, clinical and genetic dimensions of impulsivity in a large sample of adolescents.","author":[{"dropping-particle":"","family":"Whelan","given":"Robert","non-dropping-particle":"","parse-names":false,"suffix":""},{"dropping-particle":"","family":"Conrod","given":"Patricia J","non-dropping-particle":"","parse-names":false,"suffix":""},{"dropping-particle":"","family":"Poline","given":"Jean-Baptiste","non-dropping-particle":"","parse-names":false,"suffix":""},{"dropping-particle":"","family":"Lourdusamy","given":"Anbarasu","non-dropping-particle":"","parse-names":false,"suffix":""},{"dropping-particle":"","family":"Banaschewski","given":"Tobias","non-dropping-particle":"","parse-names":false,"suffix":""},{"dropping-particle":"","family":"Barker","given":"Gareth J","non-dropping-particle":"","parse-names":false,"suffix":""},{"dropping-particle":"","family":"Bellgrove","given":"Mark A","non-dropping-particle":"","parse-names":false,"suffix":""},{"dropping-particle":"","family":"Büchel","given":"Christian","non-dropping-particle":"","parse-names":false,"suffix":""},{"dropping-particle":"","family":"Byrne","given":"Mark","non-dropping-particle":"","parse-names":false,"suffix":""},{"dropping-particle":"","family":"Cummins","given":"Tarrant D R","non-dropping-particle":"","parse-names":false,"suffix":""},{"dropping-particle":"","family":"Fauth-Bühler","given":"Mira","non-dropping-particle":"","parse-names":false,"suffix":""},{"dropping-particle":"","family":"Flor","given":"Herta","non-dropping-particle":"","parse-names":false,"suffix":""},{"dropping-particle":"","family":"Gallinat","given":"Jürgen","non-dropping-particle":"","parse-names":false,"suffix":""},{"dropping-particle":"","family":"Heinz","given":"Andreas","non-dropping-particle":"","parse-names":false,"suffix":""},{"dropping-particle":"","family":"Ittermann","given":"Bernd","non-dropping-particle":"","parse-names":false,"suffix":""},{"dropping-particle":"","family":"Mann","given":"Karl","non-dropping-particle":"","parse-names":false,"suffix":""},{"dropping-particle":"","family":"Martinot","given":"Jean-Luc","non-dropping-particle":"","parse-names":false,"suffix":""},{"dropping-particle":"","family":"Lalor","given":"Edmund C","non-dropping-particle":"","parse-names":false,"suffix":""},{"dropping-particle":"","family":"Lathrop","given":"Mark","non-dropping-particle":"","parse-names":false,"suffix":""},{"dropping-particle":"","family":"Loth","given":"Eva","non-dropping-particle":"","parse-names":false,"suffix":""},{"dropping-particle":"","family":"Nees","given":"Frauke","non-dropping-particle":"","parse-names":false,"suffix":""},{"dropping-particle":"","family":"Paus","given":"Tomas","non-dropping-particle":"","parse-names":false,"suffix":""},{"dropping-particle":"","family":"Rietschel","given":"Marcella","non-dropping-particle":"","parse-names":false,"suffix":""},{"dropping-particle":"","family":"Smolka","given":"Michael N","non-dropping-particle":"","parse-names":false,"suffix":""},{"dropping-particle":"","family":"Spanagel","given":"Rainer","non-dropping-particle":"","parse-names":false,"suffix":""},{"dropping-particle":"","family":"Stephens","given":"David N","non-dropping-particle":"","parse-names":false,"suffix":""},{"dropping-particle":"","family":"Struve","given":"Maren","non-dropping-particle":"","parse-names":false,"suffix":""},{"dropping-particle":"","family":"Thyreau","given":"Benjamin","non-dropping-particle":"","parse-names":false,"suffix":""},{"dropping-particle":"","family":"Vollstaedt-Klein","given":"Sabine","non-dropping-particle":"","parse-names":false,"suffix":""},{"dropping-particle":"","family":"Robbins","given":"Trevor W","non-dropping-particle":"","parse-names":false,"suffix":""},{"dropping-particle":"","family":"Schumann","given":"Gunter","non-dropping-particle":"","parse-names":false,"suffix":""},{"dropping-particle":"","family":"Garavan","given":"Hugh","non-dropping-particle":"","parse-names":false,"suffix":""},{"dropping-particle":"","family":"Consortium","given":"the IMAGEN","non-dropping-particle":"","parse-names":false,"suffix":""}],"container-title":"Nature Neuroscience","id":"ITEM-1","issue":"6","issued":{"date-parts":[["2012","6","29"]]},"page":"920-925","publisher":"Nature Publishing Group","title":"Adolescent impulsivity phenotypes characterized by distinct brain networks","type":"article-journal","volume":"15"},"uris":["http://www.mendeley.com/documents/?uuid=5de98d2f-3a7e-467b-ae28-0fa02fdf926b"]}],"mendeley":{"formattedCitation":"(39)","plainTextFormattedCitation":"(39)","previouslyFormattedCitation":"(39)"},"properties":{"noteIndex":0},"schema":"https://github.com/citation-style-language/schema/raw/master/csl-citation.json"}</w:instrText>
      </w:r>
      <w:r w:rsidR="00E12D15">
        <w:rPr>
          <w:rFonts w:ascii="Times New Roman" w:hAnsi="Times New Roman" w:cs="Times New Roman"/>
        </w:rPr>
        <w:fldChar w:fldCharType="separate"/>
      </w:r>
      <w:r w:rsidR="00112D56" w:rsidRPr="00112D56">
        <w:rPr>
          <w:rFonts w:ascii="Times New Roman" w:hAnsi="Times New Roman" w:cs="Times New Roman"/>
          <w:noProof/>
        </w:rPr>
        <w:t>(39)</w:t>
      </w:r>
      <w:r w:rsidR="00E12D15">
        <w:rPr>
          <w:rFonts w:ascii="Times New Roman" w:hAnsi="Times New Roman" w:cs="Times New Roman"/>
        </w:rPr>
        <w:fldChar w:fldCharType="end"/>
      </w:r>
      <w:r w:rsidRPr="004E1CFF">
        <w:rPr>
          <w:rFonts w:ascii="Times New Roman" w:hAnsi="Times New Roman" w:cs="Times New Roman"/>
        </w:rPr>
        <w:t>.</w:t>
      </w:r>
      <w:r w:rsidR="00B76F4F" w:rsidRPr="004E1CFF">
        <w:rPr>
          <w:rFonts w:ascii="Times New Roman" w:hAnsi="Times New Roman" w:cs="Times New Roman"/>
        </w:rPr>
        <w:t xml:space="preserve"> </w:t>
      </w:r>
      <w:r w:rsidR="007E775E" w:rsidRPr="004E1CFF">
        <w:rPr>
          <w:rFonts w:ascii="Times New Roman" w:hAnsi="Times New Roman" w:cs="Times New Roman"/>
        </w:rPr>
        <w:t xml:space="preserve">Participants were instructed to respond as quickly as possible and not to </w:t>
      </w:r>
      <w:r w:rsidR="007E775E">
        <w:rPr>
          <w:rFonts w:ascii="Times New Roman" w:hAnsi="Times New Roman" w:cs="Times New Roman"/>
        </w:rPr>
        <w:t>delay responding</w:t>
      </w:r>
      <w:r w:rsidR="007E775E" w:rsidRPr="004E1CFF">
        <w:rPr>
          <w:rFonts w:ascii="Times New Roman" w:hAnsi="Times New Roman" w:cs="Times New Roman"/>
        </w:rPr>
        <w:t xml:space="preserve">. </w:t>
      </w:r>
      <w:r w:rsidR="00D2306B">
        <w:rPr>
          <w:rFonts w:ascii="Times New Roman" w:hAnsi="Times New Roman" w:cs="Times New Roman"/>
        </w:rPr>
        <w:t>Key task outcome</w:t>
      </w:r>
      <w:r w:rsidR="00F333CB" w:rsidRPr="004E1CFF">
        <w:rPr>
          <w:rFonts w:ascii="Times New Roman" w:hAnsi="Times New Roman" w:cs="Times New Roman"/>
        </w:rPr>
        <w:t xml:space="preserve"> measures included mean reaction time</w:t>
      </w:r>
      <w:r w:rsidR="00D2306B">
        <w:rPr>
          <w:rFonts w:ascii="Times New Roman" w:hAnsi="Times New Roman" w:cs="Times New Roman"/>
        </w:rPr>
        <w:t xml:space="preserve"> (RT)</w:t>
      </w:r>
      <w:r w:rsidR="00F333CB" w:rsidRPr="004E1CFF">
        <w:rPr>
          <w:rFonts w:ascii="Times New Roman" w:hAnsi="Times New Roman" w:cs="Times New Roman"/>
        </w:rPr>
        <w:t xml:space="preserve"> on Go Trials</w:t>
      </w:r>
      <w:r w:rsidR="00A66D3A" w:rsidRPr="004E1CFF">
        <w:rPr>
          <w:rFonts w:ascii="Times New Roman" w:hAnsi="Times New Roman" w:cs="Times New Roman"/>
        </w:rPr>
        <w:t xml:space="preserve"> and the </w:t>
      </w:r>
      <w:r w:rsidR="00984C2D" w:rsidRPr="004E1CFF">
        <w:rPr>
          <w:rFonts w:ascii="Times New Roman" w:hAnsi="Times New Roman" w:cs="Times New Roman"/>
        </w:rPr>
        <w:t xml:space="preserve">SSRT </w:t>
      </w:r>
      <w:r w:rsidR="007D3181" w:rsidRPr="004E1CFF">
        <w:rPr>
          <w:rFonts w:ascii="Times New Roman" w:hAnsi="Times New Roman" w:cs="Times New Roman"/>
        </w:rPr>
        <w:t xml:space="preserve">calculated using the integration method </w:t>
      </w:r>
      <w:r w:rsidR="00C410A6" w:rsidRPr="004E1CFF">
        <w:rPr>
          <w:rFonts w:ascii="Times New Roman" w:hAnsi="Times New Roman" w:cs="Times New Roman"/>
        </w:rPr>
        <w:t>with replacement of go omissions</w:t>
      </w:r>
      <w:r w:rsidR="00696832" w:rsidRPr="004E1CFF">
        <w:rPr>
          <w:rFonts w:ascii="Times New Roman" w:hAnsi="Times New Roman" w:cs="Times New Roman"/>
        </w:rPr>
        <w:t xml:space="preserve"> </w:t>
      </w:r>
      <w:r w:rsidR="00696832" w:rsidRPr="004E1CF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{"citationItems":[{"id":"ITEM-1","itemData":{"DOI":"10.7554/eLife.46323","ISSN":"2050084X","abstract":"Response inhibition is essential for navigating everyday life. Its derailment is considered integral to numerous neurological and psychiatric disorders, and more generally, to a wide range of behavioral and health problems. Response-inhibition efficiency furthermore correlates with treatment outcome in some of these conditions. The stop-signal task is an essential tool to determine how quickly response inhibition is implemented. Despite its apparent simplicity, there are many features (ranging from task design to data analysis) that vary across studies in ways that can easily compromise the validity of the obtained results. Our goal is to facilitate a more accurate use of the stop-signal task. To this end, we provide 12 easy-to-implement consensus recommendations and point out the problems that can arise when they are not followed. Furthermore, we provide user-friendly open-source resources intended to inform statistical-power considerations, facilitate the correct implementation of the task, and assist in proper data analysis.","author":[{"dropping-particle":"","family":"Verbruggen","given":"Frederick","non-dropping-particle":"","parse-names":false,"suffix":""},{"dropping-particle":"","family":"Aron","given":"Adam R.","non-dropping-particle":"","parse-names":false,"suffix":""},{"dropping-particle":"","family":"Band","given":"Guido Ph","non-dropping-particle":"","parse-names":false,"suffix":""},{"dropping-particle":"","family":"Beste","given":"Christian","non-dropping-particle":"","parse-names":false,"suffix":""},{"dropping-particle":"","family":"Bissett","given":"Patrick G.","non-dropping-particle":"","parse-names":false,"suffix":""},{"dropping-particle":"","family":"Brockett","given":"Adam T.","non-dropping-particle":"","parse-names":false,"suffix":""},{"dropping-particle":"","family":"Brown","given":"Joshua W.","non-dropping-particle":"","parse-names":false,"suffix":""},{"dropping-particle":"","family":"Chamberlain","given":"Samuel R.","non-dropping-particle":"","parse-names":false,"suffix":""},{"dropping-particle":"","family":"Chambers","given":"Christopher D.","non-dropping-particle":"","parse-names":false,"suffix":""},{"dropping-particle":"","family":"Colonius","given":"Hans","non-dropping-particle":"","parse-names":false,"suffix":""},{"dropping-particle":"","family":"Colzato","given":"Lorenza S.","non-dropping-particle":"","parse-names":false,"suffix":""},{"dropping-particle":"","family":"Corneil","given":"Brian D.","non-dropping-particle":"","parse-names":false,"suffix":""},{"dropping-particle":"","family":"Coxon","given":"James P.","non-dropping-particle":"","parse-names":false,"suffix":""},{"dropping-particle":"","family":"Dupuis","given":"Annie","non-dropping-particle":"","parse-names":false,"suffix":""},{"dropping-particle":"","family":"Eagle","given":"Dawn M.","non-dropping-particle":"","parse-names":false,"suffix":""},{"dropping-particle":"","family":"Garavan","given":"Hugh","non-dropping-particle":"","parse-names":false,"suffix":""},{"dropping-particle":"","family":"Greenhouse","given":"Ian","non-dropping-particle":"","parse-names":false,"suffix":""},{"dropping-particle":"","family":"Heathcote","given":"Andrew","non-dropping-particle":"","parse-names":false,"suffix":""},{"dropping-particle":"","family":"Huster","given":"René J.","non-dropping-particle":"","parse-names":false,"suffix":""},{"dropping-particle":"","family":"Jahfari","given":"Sara","non-dropping-particle":"","parse-names":false,"suffix":""},{"dropping-particle":"","family":"Kenemans","given":"J. Leon","non-dropping-particle":"","parse-names":false,"suffix":""},{"dropping-particle":"","family":"Leunissen","given":"Inge","non-dropping-particle":"","parse-names":false,"suffix":""},{"dropping-particle":"","family":"Li","given":"Chiang Shan R.","non-dropping-particle":"","parse-names":false,"suffix":""},{"dropping-particle":"","family":"Logan","given":"Gordon D.","non-dropping-particle":"","parse-names":false,"suffix":""},{"dropping-particle":"","family":"Matzke","given":"Dora","non-dropping-particle":"","parse-names":false,"suffix":""},{"dropping-particle":"","family":"Morein-Zamir","given":"Sharon","non-dropping-particle":"","parse-names":false,"suffix":""},{"dropping-particle":"","family":"Murthy","given":"Aditya","non-dropping-particle":"","parse-names":false,"suffix":""},{"dropping-particle":"","family":"Paré","given":"Martin","non-dropping-particle":"","parse-names":false,"suffix":""},{"dropping-particle":"","family":"Poldrack","given":"Russell A.","non-dropping-particle":"","parse-names":false,"suffix":""},{"dropping-particle":"","family":"Ridderinkhof","given":"K. Richard","non-dropping-particle":"","parse-names":false,"suffix":""},{"dropping-particle":"","family":"Robbins","given":"Trevor W.","non-dropping-particle":"","parse-names":false,"suffix":""},{"dropping-particle":"","family":"Roesch","given":"Matthew","non-dropping-particle":"","parse-names":false,"suffix":""},{"dropping-particle":"","family":"Rubia","given":"Katya","non-dropping-particle":"","parse-names":false,"suffix":""},{"dropping-particle":"","family":"Schachar","given":"Russell J.","non-dropping-particle":"","parse-names":false,"suffix":""},{"dropping-particle":"","family":"Schall","given":"Jeffrey D.","non-dropping-particle":"","parse-names":false,"suffix":""},{"dropping-particle":"","family":"Stock","given":"Ann Kathrin","non-dropping-particle":"","parse-names":false,"suffix":""},{"dropping-particle":"","family":"Swann","given":"Nicole C.","non-dropping-particle":"","parse-names":false,"suffix":""},{"dropping-particle":"","family":"Thakkar","given":"Katharine N.","non-dropping-particle":"","parse-names":false,"suffix":""},{"dropping-particle":"","family":"Molen","given":"Maurits W.","non-dropping-particle":"van der","parse-names":false,"suffix":""},{"dropping-particle":"","family":"Vermeylen","given":"Luc","non-dropping-particle":"","parse-names":false,"suffix":""},{"dropping-particle":"","family":"Vink","given":"Matthijs","non-dropping-particle":"","parse-names":false,"suffix":""},{"dropping-particle":"","family":"Wessel","given":"Jan R.","non-dropping-particle":"","parse-names":false,"suffix":""},{"dropping-particle":"","family":"Whelan","given":"Robert","non-dropping-particle":"","parse-names":false,"suffix":""},{"dropping-particle":"","family":"Zandbelt","given":"Bram B.","non-dropping-particle":"","parse-names":false,"suffix":""},{"dropping-particle":"","family":"Boehler","given":"C. Nico","non-dropping-particle":"","parse-names":false,"suffix":""}],"container-title":"eLife","id":"ITEM-1","issued":{"date-parts":[["2019"]]},"page":"1-26","title":"A consensus guide to capturing the ability to inhibit actions and impulsive behaviors in the stop-signal task","type":"article-journal","volume":"8"},"uris":["http://www.mendeley.com/documents/?uuid=d0a1eb94-5e92-4618-8f14-5e65a4685402"]}],"mendeley":{"formattedCitation":"(32)","plainTextFormattedCitation":"(32)","previouslyFormattedCitation":"(32)"},"properties":{"noteIndex":0},"schema":"https://github.com/citation-style-language/schema/raw/master/csl-citation.json"}</w:instrText>
      </w:r>
      <w:r w:rsidR="00696832" w:rsidRPr="004E1CFF">
        <w:rPr>
          <w:rFonts w:ascii="Times New Roman" w:hAnsi="Times New Roman" w:cs="Times New Roman"/>
        </w:rPr>
        <w:fldChar w:fldCharType="separate"/>
      </w:r>
      <w:r w:rsidR="00112D56" w:rsidRPr="00112D56">
        <w:rPr>
          <w:rFonts w:ascii="Times New Roman" w:hAnsi="Times New Roman" w:cs="Times New Roman"/>
          <w:noProof/>
        </w:rPr>
        <w:t>(32)</w:t>
      </w:r>
      <w:r w:rsidR="00696832" w:rsidRPr="004E1CFF">
        <w:rPr>
          <w:rFonts w:ascii="Times New Roman" w:hAnsi="Times New Roman" w:cs="Times New Roman"/>
        </w:rPr>
        <w:fldChar w:fldCharType="end"/>
      </w:r>
      <w:r w:rsidR="007D3181" w:rsidRPr="004E1CFF">
        <w:rPr>
          <w:rFonts w:ascii="Times New Roman" w:hAnsi="Times New Roman" w:cs="Times New Roman"/>
        </w:rPr>
        <w:t xml:space="preserve">. </w:t>
      </w:r>
      <w:r w:rsidR="00622391">
        <w:rPr>
          <w:rFonts w:ascii="Times New Roman" w:hAnsi="Times New Roman" w:cs="Times New Roman"/>
        </w:rPr>
        <w:t>P</w:t>
      </w:r>
      <w:r w:rsidR="00622391" w:rsidRPr="004E1CFF">
        <w:rPr>
          <w:rFonts w:ascii="Times New Roman" w:hAnsi="Times New Roman" w:cs="Times New Roman"/>
        </w:rPr>
        <w:t>articipants who did not meet the assumptions of the race were excluded</w:t>
      </w:r>
      <w:r w:rsidR="00DD0F23">
        <w:rPr>
          <w:rFonts w:ascii="Times New Roman" w:hAnsi="Times New Roman" w:cs="Times New Roman"/>
        </w:rPr>
        <w:t xml:space="preserve"> </w:t>
      </w:r>
      <w:r w:rsidR="00E12D15">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{"citationItems":[{"id":"ITEM-1","itemData":{"DOI":"10.1038/npp.2013.90","ISSN":"0893133X","abstract":"A neurocognitive endophenotype has been proposed for stimulant dependence, based on behavioral measures of inhibitory response control associated with white matter changes in the frontal cortex. This study investigated the functional neuroimaging correlates of inhibitory response control, as functional activity serves as a more dynamic measure than brain structure, allowing refinement of the suggested endophenotype. Stimulant-dependent individuals (SDIs), their unaffected siblings (SIBs), and healthy controls (CTs) performed the stop-signal task, including stop-signal reaction time (SSRT) as a measure of response inhibition, while undergoing functional magnetic resonance imaging. SDIs had impaired response inhibition accompanied by hypoactivation in the ventrolateral prefrontal cortex (PFC). In addition, they demonstrated hypoactivation in the anterior cingulate when failing to stop. In contrast, no hypoactivations were noted in their unaffected SIBs. Rather, they exhibited increased activation in the dorsomedial PFC relative to controls, together with inhibitory performance that was intermediate between that of the stimulant group and the healthy CT group. Such hyperactivations within the neurocircuitry underlying response inhibition and control are suggestive of compensatory mechanisms that could be protective in nature or could reflect coping with a pre-existing vulnerability, thus expressing potential aspects of resilience. The functional activation associated with response inhibition and error monitoring showed differential patterns of results between SDIs and their unaffected first-degree relatives, suggesting that the proposed endophenotype does not generalize to functional brain activity.","author":[{"dropping-particle":"","family":"Morein-Zamir","given":"Sharon","non-dropping-particle":"","parse-names":false,"suffix":""},{"dropping-particle":"","family":"Simon Jones","given":"P.","non-dropping-particle":"","parse-names":false,"suffix":""},{"dropping-particle":"","family":"Bullmore","given":"Edward T.","non-dropping-particle":"","parse-names":false,"suffix":""},{"dropping-particle":"","family":"Robbins","given":"Trevor W.","non-dropping-particle":"","parse-names":false,"suffix":""},{"dropping-particle":"","family":"Ersche","given":"Karen D.","non-dropping-particle":"","parse-names":false,"suffix":""}],"container-title":"Neuropsychopharmacology","id":"ITEM-1","issue":"10","issued":{"date-parts":[["2013"]]},"page":"1945-1953","publisher":"Nature Publishing Group","title":"Prefrontal hypoactivity associated with impaired inhibition in stimulant-dependent individuals but evidence for hyperactivation in their unaffected siblings","type":"article-journal","volume":"38"},"uris":["http://www.mendeley.com/documents/?uuid=e0ee51a8-ba2c-487c-b05b-858bc6dbe6dd"]}],"mendeley":{"formattedCitation":"(6)","plainTextFormattedCitation":"(6)","previouslyFormattedCitation":"(6)"},"properties":{"noteIndex":0},"schema":"https://github.com/citation-style-language/schema/raw/master/csl-citation.json"}</w:instrText>
      </w:r>
      <w:r w:rsidR="00E12D15">
        <w:rPr>
          <w:rFonts w:ascii="Times New Roman" w:hAnsi="Times New Roman" w:cs="Times New Roman"/>
        </w:rPr>
        <w:fldChar w:fldCharType="separate"/>
      </w:r>
      <w:r w:rsidR="00112D56" w:rsidRPr="00112D56">
        <w:rPr>
          <w:rFonts w:ascii="Times New Roman" w:hAnsi="Times New Roman" w:cs="Times New Roman"/>
          <w:noProof/>
        </w:rPr>
        <w:t>(6)</w:t>
      </w:r>
      <w:r w:rsidR="00E12D15">
        <w:rPr>
          <w:rFonts w:ascii="Times New Roman" w:hAnsi="Times New Roman" w:cs="Times New Roman"/>
        </w:rPr>
        <w:fldChar w:fldCharType="end"/>
      </w:r>
      <w:r w:rsidR="00622391" w:rsidRPr="004E1CFF">
        <w:rPr>
          <w:rFonts w:ascii="Times New Roman" w:hAnsi="Times New Roman" w:cs="Times New Roman"/>
        </w:rPr>
        <w:t xml:space="preserve">. </w:t>
      </w:r>
      <w:r w:rsidR="009225E5">
        <w:rPr>
          <w:rFonts w:ascii="Times New Roman" w:hAnsi="Times New Roman" w:cs="Times New Roman"/>
        </w:rPr>
        <w:t xml:space="preserve">ΔSSRT was </w:t>
      </w:r>
      <w:r w:rsidR="00796974">
        <w:rPr>
          <w:rFonts w:ascii="Times New Roman" w:hAnsi="Times New Roman" w:cs="Times New Roman"/>
        </w:rPr>
        <w:t>calculated</w:t>
      </w:r>
      <w:r w:rsidR="009225E5">
        <w:rPr>
          <w:rFonts w:ascii="Times New Roman" w:hAnsi="Times New Roman" w:cs="Times New Roman"/>
        </w:rPr>
        <w:t xml:space="preserve"> as the difference between </w:t>
      </w:r>
      <w:r w:rsidR="00570FFB">
        <w:rPr>
          <w:rFonts w:ascii="Times New Roman" w:hAnsi="Times New Roman" w:cs="Times New Roman"/>
        </w:rPr>
        <w:t>SSRT on atomoxetine and SSRT on placebo.</w:t>
      </w:r>
    </w:p>
    <w:p w14:paraId="26B5E52A" w14:textId="0AD7DEC2" w:rsidR="002402D1" w:rsidRDefault="003E6BF6" w:rsidP="00BF7E9E">
      <w:pPr>
        <w:spacing w:line="360" w:lineRule="auto"/>
        <w:rPr>
          <w:rFonts w:ascii="Times New Roman" w:hAnsi="Times New Roman" w:cs="Times New Roman"/>
          <w:lang w:val="da-DK"/>
        </w:rPr>
      </w:pPr>
      <w:r>
        <w:rPr>
          <w:rFonts w:ascii="Times New Roman" w:hAnsi="Times New Roman" w:cs="Times New Roman"/>
        </w:rPr>
        <w:t xml:space="preserve">Finally, </w:t>
      </w:r>
      <w:r w:rsidR="00C33C4D">
        <w:rPr>
          <w:rFonts w:ascii="Times New Roman" w:hAnsi="Times New Roman" w:cs="Times New Roman"/>
        </w:rPr>
        <w:t>as part of clinical assessment</w:t>
      </w:r>
      <w:r w:rsidR="00445000">
        <w:rPr>
          <w:rFonts w:ascii="Times New Roman" w:hAnsi="Times New Roman" w:cs="Times New Roman"/>
        </w:rPr>
        <w:t>s</w:t>
      </w:r>
      <w:r w:rsidR="00711A7C" w:rsidRPr="004E1CFF">
        <w:rPr>
          <w:rFonts w:ascii="Times New Roman" w:hAnsi="Times New Roman" w:cs="Times New Roman"/>
        </w:rPr>
        <w:t>, p</w:t>
      </w:r>
      <w:r w:rsidR="00093D21" w:rsidRPr="004E1CFF">
        <w:rPr>
          <w:rFonts w:ascii="Times New Roman" w:hAnsi="Times New Roman" w:cs="Times New Roman"/>
        </w:rPr>
        <w:t>articipants completed the Beck Depression Inventory</w:t>
      </w:r>
      <w:r w:rsidR="00C60E04" w:rsidRPr="004E1CFF">
        <w:rPr>
          <w:rFonts w:ascii="Times New Roman" w:hAnsi="Times New Roman" w:cs="Times New Roman"/>
        </w:rPr>
        <w:t xml:space="preserve"> </w:t>
      </w:r>
      <w:r w:rsidR="00DA4654" w:rsidRPr="004E1CFF">
        <w:rPr>
          <w:rFonts w:ascii="Times New Roman" w:hAnsi="Times New Roman" w:cs="Times New Roman"/>
        </w:rPr>
        <w:t>(BDI-II)</w:t>
      </w:r>
      <w:r w:rsidR="00093D21" w:rsidRPr="004E1CFF">
        <w:rPr>
          <w:rFonts w:ascii="Times New Roman" w:hAnsi="Times New Roman" w:cs="Times New Roman"/>
        </w:rPr>
        <w:t xml:space="preserve">, </w:t>
      </w:r>
      <w:r w:rsidR="00DA4654" w:rsidRPr="004E1CFF">
        <w:rPr>
          <w:rFonts w:ascii="Times New Roman" w:hAnsi="Times New Roman" w:cs="Times New Roman"/>
        </w:rPr>
        <w:t xml:space="preserve">the </w:t>
      </w:r>
      <w:r w:rsidR="00351326" w:rsidRPr="004E1CFF">
        <w:rPr>
          <w:rFonts w:ascii="Times New Roman" w:hAnsi="Times New Roman" w:cs="Times New Roman"/>
        </w:rPr>
        <w:t>National Adult Reading Test (</w:t>
      </w:r>
      <w:r w:rsidR="00DA4654" w:rsidRPr="004E1CFF">
        <w:rPr>
          <w:rFonts w:ascii="Times New Roman" w:hAnsi="Times New Roman" w:cs="Times New Roman"/>
        </w:rPr>
        <w:t>NART</w:t>
      </w:r>
      <w:r w:rsidR="00D2306B">
        <w:rPr>
          <w:rFonts w:ascii="Times New Roman" w:hAnsi="Times New Roman" w:cs="Times New Roman"/>
        </w:rPr>
        <w:t>)</w:t>
      </w:r>
      <w:r w:rsidR="004D1CCE">
        <w:rPr>
          <w:rFonts w:ascii="Times New Roman" w:hAnsi="Times New Roman" w:cs="Times New Roman"/>
        </w:rPr>
        <w:t xml:space="preserve">, an </w:t>
      </w:r>
      <w:r w:rsidR="009B18BC">
        <w:rPr>
          <w:rFonts w:ascii="Times New Roman" w:hAnsi="Times New Roman" w:cs="Times New Roman"/>
        </w:rPr>
        <w:t xml:space="preserve">estimate of verbal </w:t>
      </w:r>
      <w:r w:rsidR="00351326" w:rsidRPr="004E1CFF">
        <w:rPr>
          <w:rFonts w:ascii="Times New Roman" w:hAnsi="Times New Roman" w:cs="Times New Roman"/>
        </w:rPr>
        <w:t>intelligence</w:t>
      </w:r>
      <w:r w:rsidR="00D2306B">
        <w:rPr>
          <w:rFonts w:ascii="Times New Roman" w:hAnsi="Times New Roman" w:cs="Times New Roman"/>
        </w:rPr>
        <w:t xml:space="preserve">, </w:t>
      </w:r>
      <w:r w:rsidR="00D2306B" w:rsidRPr="004E1CFF">
        <w:rPr>
          <w:rFonts w:ascii="Times New Roman" w:hAnsi="Times New Roman" w:cs="Times New Roman"/>
        </w:rPr>
        <w:t xml:space="preserve">the Obsessive Compulsive Drug Use Scale (OCDUS), Alcohol Use Disorders Identification Test (AUDIT), </w:t>
      </w:r>
      <w:r w:rsidR="00097D30">
        <w:rPr>
          <w:rFonts w:ascii="Times New Roman" w:hAnsi="Times New Roman" w:cs="Times New Roman"/>
        </w:rPr>
        <w:t>and</w:t>
      </w:r>
      <w:r w:rsidR="00D2306B" w:rsidRPr="004E1CFF">
        <w:rPr>
          <w:rFonts w:ascii="Times New Roman" w:hAnsi="Times New Roman" w:cs="Times New Roman"/>
        </w:rPr>
        <w:t xml:space="preserve"> </w:t>
      </w:r>
      <w:r w:rsidR="00D2306B">
        <w:rPr>
          <w:rFonts w:ascii="Times New Roman" w:hAnsi="Times New Roman" w:cs="Times New Roman"/>
        </w:rPr>
        <w:t xml:space="preserve">the </w:t>
      </w:r>
      <w:r w:rsidR="00D2306B" w:rsidRPr="004E1CFF">
        <w:rPr>
          <w:rFonts w:ascii="Times New Roman" w:hAnsi="Times New Roman" w:cs="Times New Roman"/>
        </w:rPr>
        <w:t>Barratt Impulsivity Scale (BIS-11)</w:t>
      </w:r>
      <w:r w:rsidR="00FC41C1" w:rsidRPr="004E1CFF">
        <w:rPr>
          <w:rFonts w:ascii="Times New Roman" w:hAnsi="Times New Roman" w:cs="Times New Roman"/>
        </w:rPr>
        <w:t xml:space="preserve"> </w:t>
      </w:r>
      <w:r w:rsidR="00FC41C1" w:rsidRPr="004E1CF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{"citationItems":[{"id":"ITEM-1","itemData":{"DOI":"10.1002/1097-4679(199511)51:6&lt;768::AID-JCLP2270510607&gt;3.0.CO;2-1","ISSN":"10974679","abstract":"The purpose of the present study was to revise the Barratt Impulsiveness Scale Version 10 (BIS-10), identify the factor structure of the items among normals, and compare their scores on the revised form (BIS-11) with psychiatric inpatients and prison inmates. The scale was administered to 412 college undergraduates, 248 psychiatric inpatients, and 73 male prison inmates. Exploratory principal components analysis of the items identified six primary factors and three second-order factors. The three second-order factors were labeled Attentional Impulsiveness, Motor Impulsiveness, and Nonplanning Impulsiveness. Two of the three second-order factors identified in the BIS-11 were consistent with those proposed by Barratt (1985), but no cognitive impulsiveness component was identified per se. The results of the present study suggest that the total score of the BIS-11 is an internally consistent measure of impulsiveness and has potential clinical utility for measuring impulsiveness among selected patient and inmate populations.","author":[{"dropping-particle":"","family":"Patton","given":"Jim H.","non-dropping-particle":"","parse-names":false,"suffix":""},{"dropping-particle":"","family":"Stanford","given":"Matthew S.","non-dropping-particle":"","parse-names":false,"suffix":""},{"dropping-particle":"","family":"Barratt","given":"Ernest S.","non-dropping-particle":"","parse-names":false,"suffix":""}],"container-title":"Journal of Clinical Psychology","id":"ITEM-1","issue":"6","issued":{"date-parts":[["1995"]]},"page":"768-774","title":"Factor structure of the barratt impulsiveness scale","type":"article-journal","volume":"51"},"uris":["http://www.mendeley.com/documents/?uuid=569e93b1-6c28-4f77-b691-62406b71b1b7"]},{"id":"ITEM-2","itemData":{"author":[{"dropping-particle":"","family":"Saunders","given":"John B","non-dropping-particle":"","parse-names":false,"suffix":""},{"dropping-particle":"","family":"Aasland","given":"Olaf G","non-dropping-particle":"","parse-names":false,"suffix":""},{"dropping-particle":"","family":"Babor","given":"Thomas F","non-dropping-particle":"","parse-names":false,"suffix":""},{"dropping-particle":"","family":"La Fuente","given":"Juan R.","non-dropping-particle":"De","parse-names":false,"suffix":""},{"dropping-particle":"","family":"Grant","given":"Marcus","non-dropping-particle":"","parse-names":false,"suffix":""}],"container-title":"Addiction","id":"ITEM-2","issued":{"date-parts":[["1993"]]},"page":"791-804","title":"Development of the Alcohol Use Disorders Identification Test (AUDIT)","type":"article-journal","volume":"88"},"uris":["http://www.mendeley.com/documents/?uuid=31068ae0-2f38-43b1-8d20-4947d3d90bb3"]},{"id":"ITEM-3","itemData":{"DOI":"10.1037/1040-3590.10.2.83","ISSN":"10403590","abstract":"This article provides psychometric information on the second edition of the Beck Depression Inventory (BDI-II; A. T. Beck, R. A. Steer, and G. K. Brown, 1996), with respect to internal consistency, factorial validity, and gender differences. Both measures demonstrated high internal reliability in the full student sample. Significant differences between the mean BDI and BDI-II scores necessitated the development of new cutoffs for analogue research on the BDI-II. Results from exploratory and confirmatory factor analyses indicated that a 2-factor solution optimally summarized the data for both versions of the inventory and accounted for a cumulative 41% and 46% of the common variance in BDI and BDI-II responses, respectively. These factor solutions were reliably cross-validated, although the importance of each factor varied by gender. The authors conclude that the BDI-II is a stronger instrument than the BDI in terms of its factor structure.","author":[{"dropping-particle":"","family":"Dozois","given":"David J.A.","non-dropping-particle":"","parse-names":false,"suffix":""},{"dropping-particle":"","family":"Dobson","given":"Keith S.","non-dropping-particle":"","parse-names":false,"suffix":""},{"dropping-particle":"","family":"Ahnberg","given":"Jamie L.","non-dropping-particle":"","parse-names":false,"suffix":""}],"container-title":"Psychological Assessment","id":"ITEM-3","issue":"2","issued":{"date-parts":[["1998"]]},"page":"83-89","title":"A psychometric evaluation of the Beck Depression Inventory-II","type":"article-journal","volume":"10"},"uris":["http://www.mendeley.com/documents/?uuid=8d83dc11-86c7-4df4-9539-7e8223356916"]},{"id":"ITEM-4","itemData":{"author":[{"dropping-particle":"","family":"Franken","given":"Ingmar H.A.","non-dropping-particle":"","parse-names":false,"suffix":""},{"dropping-particle":"","family":"Hendriks","given":"Vincent M","non-dropping-particle":"","parse-names":false,"suffix":""},{"dropping-particle":"","family":"Brink","given":"Wim","non-dropping-particle":"van den","parse-names":false,"suffix":""}],"container-title":"Addictive Behaviors","id":"ITEM-4","issue":"5","issued":{"date-parts":[["2002"]]},"page":"675-685","title":"Initial validation of two opiate craving questionnaires: The Obsessive Compulsive Drug Use Scale and the Desires for Drug Questionnaire","type":"article-journal","volume":"27"},"uris":["http://www.mendeley.com/documents/?uuid=eee0ab6e-ad39-4827-b443-f8257a2a02e9"]},{"id":"ITEM-5","itemData":{"DOI":"Thesis_references-Converted #319","ISBN":"0700504753","PMID":"366","abstract":"Scoring and scale information for the National Adult Reading Test (NART).","author":[{"dropping-particle":"","family":"Nelson","given":"Hazel E.","non-dropping-particle":"","parse-names":false,"suffix":""}],"container-title":"Windsor, UK: NFER-Nelson","id":"ITEM-5","issue":"3","issued":{"date-parts":[["1982"]]},"page":"0-25","title":"The National Adult Reading Test (NART): Test Manual.","type":"article-journal","volume":"124"},"uris":["http://www.mendeley.com/documents/?uuid=b851b12f-d541-49b9-87fa-5ad80965bb97"]},{"id":"ITEM-6","itemData":{"author":[{"dropping-particle":"","family":"Beck","given":"A.T","non-dropping-particle":"","parse-names":false,"suffix":""},{"dropping-particle":"","family":"Steer","given":"R.A","non-dropping-particle":"","parse-names":false,"suffix":""},{"dropping-particle":"","family":"Brown","given":"G.K.","non-dropping-particle":"","parse-names":false,"suffix":""}],"id":"ITEM-6","issued":{"date-parts":[["1996"]]},"number-of-pages":"San Antonio, TX: Psychological Corporation.","title":"Manual for the Beck Depression Inventory-II.","type":"book"},"uris":["http://www.mendeley.com/documents/?uuid=1d75844a-a2aa-442e-bc66-74e36afb679b"]}],"mendeley":{"formattedCitation":"(40–45)","plainTextFormattedCitation":"(40–45)","previouslyFormattedCitation":"(40–45)"},"properties":{"noteIndex":0},"schema":"https://github.com/citation-style-language/schema/raw/master/csl-citation.json"}</w:instrText>
      </w:r>
      <w:r w:rsidR="00FC41C1" w:rsidRPr="004E1CFF">
        <w:rPr>
          <w:rFonts w:ascii="Times New Roman" w:hAnsi="Times New Roman" w:cs="Times New Roman"/>
        </w:rPr>
        <w:fldChar w:fldCharType="separate"/>
      </w:r>
      <w:r w:rsidR="00112D56" w:rsidRPr="00112D56">
        <w:rPr>
          <w:rFonts w:ascii="Times New Roman" w:hAnsi="Times New Roman" w:cs="Times New Roman"/>
          <w:noProof/>
          <w:lang w:val="da-DK"/>
        </w:rPr>
        <w:t>(40–45)</w:t>
      </w:r>
      <w:r w:rsidR="00FC41C1" w:rsidRPr="004E1CFF">
        <w:rPr>
          <w:rFonts w:ascii="Times New Roman" w:hAnsi="Times New Roman" w:cs="Times New Roman"/>
        </w:rPr>
        <w:fldChar w:fldCharType="end"/>
      </w:r>
      <w:r w:rsidR="00DE2529" w:rsidRPr="008D0522">
        <w:rPr>
          <w:rFonts w:ascii="Times New Roman" w:hAnsi="Times New Roman" w:cs="Times New Roman"/>
          <w:lang w:val="da-DK"/>
        </w:rPr>
        <w:t xml:space="preserve">. </w:t>
      </w:r>
    </w:p>
    <w:p w14:paraId="16896DC1" w14:textId="31443E36" w:rsidR="000B7DB7" w:rsidRDefault="000B7DB7" w:rsidP="00BF7E9E">
      <w:pPr>
        <w:spacing w:line="360" w:lineRule="auto"/>
        <w:rPr>
          <w:rFonts w:ascii="Times New Roman" w:hAnsi="Times New Roman" w:cs="Times New Roman"/>
          <w:lang w:val="da-DK"/>
        </w:rPr>
      </w:pPr>
    </w:p>
    <w:p w14:paraId="221360D4" w14:textId="77777777" w:rsidR="000B7DB7" w:rsidRPr="008D0522" w:rsidRDefault="000B7DB7" w:rsidP="00BF7E9E">
      <w:pPr>
        <w:spacing w:line="360" w:lineRule="auto"/>
        <w:rPr>
          <w:rFonts w:ascii="Times New Roman" w:hAnsi="Times New Roman" w:cs="Times New Roman"/>
          <w:lang w:val="da-DK"/>
        </w:rPr>
      </w:pPr>
    </w:p>
    <w:p w14:paraId="6935F611" w14:textId="33CB5B20" w:rsidR="00441D5E" w:rsidRPr="00AF5CD5" w:rsidRDefault="0077279D" w:rsidP="000B7DB7">
      <w:pPr>
        <w:pStyle w:val="Heading2"/>
        <w:rPr>
          <w:i/>
        </w:rPr>
      </w:pPr>
      <w:r w:rsidRPr="00AF5CD5">
        <w:rPr>
          <w:i/>
        </w:rPr>
        <w:lastRenderedPageBreak/>
        <w:t xml:space="preserve">MRI Data </w:t>
      </w:r>
      <w:r w:rsidR="00441D5E" w:rsidRPr="00AF5CD5">
        <w:rPr>
          <w:i/>
        </w:rPr>
        <w:t>Processing and Analyses</w:t>
      </w:r>
    </w:p>
    <w:p w14:paraId="5CF368E8" w14:textId="418D496F" w:rsidR="00F933F5" w:rsidRPr="004E1CFF" w:rsidRDefault="002F2F18" w:rsidP="00BF7E9E">
      <w:pPr>
        <w:spacing w:line="360" w:lineRule="auto"/>
        <w:rPr>
          <w:rFonts w:ascii="Times New Roman" w:hAnsi="Times New Roman" w:cs="Times New Roman"/>
        </w:rPr>
      </w:pPr>
      <w:r w:rsidRPr="004E1CFF">
        <w:rPr>
          <w:rFonts w:ascii="Times New Roman" w:hAnsi="Times New Roman" w:cs="Times New Roman"/>
          <w:i/>
        </w:rPr>
        <w:t>Pre</w:t>
      </w:r>
      <w:r w:rsidR="00DA4654" w:rsidRPr="004E1CFF">
        <w:rPr>
          <w:rFonts w:ascii="Times New Roman" w:hAnsi="Times New Roman" w:cs="Times New Roman"/>
          <w:i/>
        </w:rPr>
        <w:t>-</w:t>
      </w:r>
      <w:r w:rsidRPr="004E1CFF">
        <w:rPr>
          <w:rFonts w:ascii="Times New Roman" w:hAnsi="Times New Roman" w:cs="Times New Roman"/>
          <w:i/>
        </w:rPr>
        <w:t>processing</w:t>
      </w:r>
      <w:r w:rsidR="00F933F5" w:rsidRPr="004E1CFF">
        <w:rPr>
          <w:rFonts w:ascii="Times New Roman" w:hAnsi="Times New Roman" w:cs="Times New Roman"/>
          <w:i/>
        </w:rPr>
        <w:t>.</w:t>
      </w:r>
      <w:r w:rsidR="00287500" w:rsidRPr="004E1CFF">
        <w:rPr>
          <w:rFonts w:ascii="Times New Roman" w:hAnsi="Times New Roman" w:cs="Times New Roman"/>
          <w:i/>
        </w:rPr>
        <w:t xml:space="preserve"> </w:t>
      </w:r>
      <w:r w:rsidR="009A21F5" w:rsidRPr="004E1CFF">
        <w:rPr>
          <w:rFonts w:ascii="Times New Roman" w:hAnsi="Times New Roman" w:cs="Times New Roman"/>
        </w:rPr>
        <w:t xml:space="preserve">FMRI data processing was carried out using FEAT (FMRI Expert Analysis Tool) Version 6.00, part of FSL (FMRIB's Software Library, </w:t>
      </w:r>
      <w:hyperlink r:id="rId9" w:history="1">
        <w:r w:rsidR="00385982" w:rsidRPr="004E1CFF">
          <w:rPr>
            <w:rStyle w:val="Hyperlink"/>
            <w:rFonts w:ascii="Times New Roman" w:hAnsi="Times New Roman" w:cs="Times New Roman"/>
          </w:rPr>
          <w:t>www.fmrib.ox.ac.uk/fsl</w:t>
        </w:r>
      </w:hyperlink>
      <w:r w:rsidR="009A21F5" w:rsidRPr="004E1CFF">
        <w:rPr>
          <w:rFonts w:ascii="Times New Roman" w:hAnsi="Times New Roman" w:cs="Times New Roman"/>
        </w:rPr>
        <w:t xml:space="preserve">). </w:t>
      </w:r>
      <w:r w:rsidR="00AC0A93">
        <w:rPr>
          <w:rFonts w:ascii="Times New Roman" w:hAnsi="Times New Roman" w:cs="Times New Roman"/>
        </w:rPr>
        <w:t xml:space="preserve">The first five volumes were discarded to achieve steady-state equilibrium. </w:t>
      </w:r>
      <w:r w:rsidR="008A385E" w:rsidRPr="004E1CFF">
        <w:rPr>
          <w:rFonts w:ascii="Times New Roman" w:hAnsi="Times New Roman" w:cs="Times New Roman"/>
        </w:rPr>
        <w:t>Registration to structural and standard space images was carried out using FLIRT</w:t>
      </w:r>
      <w:r w:rsidR="00435017">
        <w:rPr>
          <w:rFonts w:ascii="Times New Roman" w:hAnsi="Times New Roman" w:cs="Times New Roman"/>
        </w:rPr>
        <w:t xml:space="preserve"> </w:t>
      </w:r>
      <w:r w:rsidR="00435017">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neuroimage.2011.09.015","ISSN":"10538119","author":[{"dropping-particle":"","family":"Jenkinson","given":"Mark","non-dropping-particle":"","parse-names":false,"suffix":""},{"dropping-particle":"","family":"Beckmann","given":"Christian F.","non-dropping-particle":"","parse-names":false,"suffix":""},{"dropping-particle":"","family":"Behrens","given":"Timothy E.J.","non-dropping-particle":"","parse-names":false,"suffix":""},{"dropping-particle":"","family":"Woolrich","given":"Mark W.","non-dropping-particle":"","parse-names":false,"suffix":""},{"dropping-particle":"","family":"Smith","given":"Stephen M.","non-dropping-particle":"","parse-names":false,"suffix":""}],"container-title":"NeuroImage","id":"ITEM-1","issue":"2","issued":{"date-parts":[["2012"]]},"page":"782-790","title":"Fsl","type":"article-journal","volume":"62"},"uris":["http://www.mendeley.com/documents/?uuid=6003056c-7bed-4bb1-b84b-1bd0ce9442b6"]},{"id":"ITEM-2","itemData":{"DOI":"10.1006/nimg.2002.1132","ISSN":"1053-8119","PMID":"12377157","abstract":"Linear registration and motion correction are important components of structural and functional brain image analysis. Most modern methods optimize some intensity-based cost function to determine the best registration. To date, little attention has been focused on the optimization method itself, even though the success of most registration methods hinges on the quality of this optimization. This paper examines the optimization process in detail and demonstrates that the commonly used multiresolution local optimization methods can, and do, get trapped in local minima. To address this problem, two approaches are taken: (1) to apodize the cost function and (2) to employ a novel hybrid global-local optimization method. This new optimization method is specifically designed for registering whole brain images. It substantially reduces the likelihood of producing misregistrations due to being trapped by local minima. The increased robustness of the method, compared to other commonly used methods, is demonstrated by a consistency test. In addition, the accuracy of the registration is demonstrated by a series of experiments with motion correction. These motion correction experiments also investigate how the results are affected by different cost functions and interpolation methods. © 2002 Elsevier Science (USA).","author":[{"dropping-particle":"","family":"Jenkinson","given":"Mark","non-dropping-particle":"","parse-names":false,"suffix":""},{"dropping-particle":"","family":"Bannister","given":"Peter","non-dropping-particle":"","parse-names":false,"suffix":""},{"dropping-particle":"","family":"Brady","given":"Michael","non-dropping-particle":"","parse-names":false,"suffix":""},{"dropping-particle":"","family":"Smith","given":"Stephen","non-dropping-particle":"","parse-names":false,"suffix":""}],"container-title":"NeuroImage","id":"ITEM-2","issue":"2","issued":{"date-parts":[["2002"]]},"page":"825-41","title":"Improved optimization for the robust and accurate linear registration and motion correction of brain images.","type":"article-journal","volume":"17"},"uris":["http://www.mendeley.com/documents/?uuid=7bb75634-7839-4406-82a8-e007c52eaaea"]},{"id":"ITEM-3","itemData":{"DOI":"10.1016/j.neuroimage.2004.07.051","ISSN":"10538119","abstract":"The techniques available for the interrogation and analysis of neuroimaging data have a large influence in determining the flexibility, sensitivity, and scope of neuroimaging experiments. The development of such methodologies has allowed investigators to address scientific questions that could not previously be answered and, as such, has become an important research area in its own right. In this paper, we present a review of the research carried out by the Analysis Group at the Oxford Centre for Functional MRI of the Brain (FMRIB). This research has focussed on the development of new methodologies for the analysis of both structural and functional magnetic resonance imaging data. The majority of the research laid out in this paper has been implemented as freely available software tools within FMRIB's Software Library (FSL). © 2004 Elsevier Inc. All rights reserved.","author":[{"dropping-particle":"","family":"Smith","given":"Stephen M.","non-dropping-particle":"","parse-names":false,"suffix":""},{"dropping-particle":"","family":"Jenkinson","given":"Mark","non-dropping-particle":"","parse-names":false,"suffix":""},{"dropping-particle":"","family":"Woolrich","given":"Mark W.","non-dropping-particle":"","parse-names":false,"suffix":""},{"dropping-particle":"","family":"Beckmann","given":"Christian F.","non-dropping-particle":"","parse-names":false,"suffix":""},{"dropping-particle":"","family":"Behrens","given":"Timothy E.J.","non-dropping-particle":"","parse-names":false,"suffix":""},{"dropping-particle":"","family":"Johansen-Berg","given":"Heidi","non-dropping-particle":"","parse-names":false,"suffix":""},{"dropping-particle":"","family":"Bannister","given":"Peter R.","non-dropping-particle":"","parse-names":false,"suffix":""},{"dropping-particle":"","family":"Luca","given":"Marilena","non-dropping-particle":"De","parse-names":false,"suffix":""},{"dropping-particle":"","family":"Drobnjak","given":"Ivana","non-dropping-particle":"","parse-names":false,"suffix":""},{"dropping-particle":"","family":"Flitney","given":"David E.","non-dropping-particle":"","parse-names":false,"suffix":""},{"dropping-particle":"","family":"Niazy","given":"Rami K.","non-dropping-particle":"","parse-names":false,"suffix":""},{"dropping-particle":"","family":"Saunders","given":"James","non-dropping-particle":"","parse-names":false,"suffix":""},{"dropping-particle":"","family":"Vickers","given":"John","non-dropping-particle":"","parse-names":false,"suffix":""},{"dropping-particle":"","family":"Zhang","given":"Yongyue","non-dropping-particle":"","parse-names":false,"suffix":""},{"dropping-particle":"","family":"Stefano","given":"Nicola","non-dropping-particle":"De","parse-names":false,"suffix":""},{"dropping-particle":"","family":"Brady","given":"J. Michael","non-dropping-particle":"","parse-names":false,"suffix":""},{"dropping-particle":"","family":"Matthews","given":"Paul M.","non-dropping-particle":"","parse-names":false,"suffix":""}],"container-title":"NeuroImage","id":"ITEM-3","issue":"SUPPL. 1","issued":{"date-parts":[["2004"]]},"page":"208-219","title":"Advances in functional and structural MR image analysis and implementation as FSL","type":"article-journal","volume":"23"},"uris":["http://www.mendeley.com/documents/?uuid=c5f44143-411f-411c-a66f-665b38244eff"]}],"mendeley":{"formattedCitation":"(46–48)","plainTextFormattedCitation":"(46–48)","previouslyFormattedCitation":"(46–48)"},"properties":{"noteIndex":0},"schema":"https://github.com/citation-style-language/schema/raw/master/csl-citation.json"}</w:instrText>
      </w:r>
      <w:r w:rsidR="00435017">
        <w:rPr>
          <w:rFonts w:ascii="Times New Roman" w:hAnsi="Times New Roman" w:cs="Times New Roman"/>
        </w:rPr>
        <w:fldChar w:fldCharType="separate"/>
      </w:r>
      <w:r w:rsidR="00112D56" w:rsidRPr="00112D56">
        <w:rPr>
          <w:rFonts w:ascii="Times New Roman" w:hAnsi="Times New Roman" w:cs="Times New Roman"/>
          <w:noProof/>
        </w:rPr>
        <w:t>(46–48)</w:t>
      </w:r>
      <w:r w:rsidR="00435017">
        <w:rPr>
          <w:rFonts w:ascii="Times New Roman" w:hAnsi="Times New Roman" w:cs="Times New Roman"/>
        </w:rPr>
        <w:fldChar w:fldCharType="end"/>
      </w:r>
      <w:r w:rsidR="008A385E" w:rsidRPr="004E1CFF">
        <w:rPr>
          <w:rFonts w:ascii="Times New Roman" w:hAnsi="Times New Roman" w:cs="Times New Roman"/>
        </w:rPr>
        <w:t xml:space="preserve"> </w:t>
      </w:r>
      <w:r w:rsidR="00C01827" w:rsidRPr="004E1CFF">
        <w:rPr>
          <w:rFonts w:ascii="Times New Roman" w:hAnsi="Times New Roman" w:cs="Times New Roman"/>
        </w:rPr>
        <w:t>and FNIRT</w:t>
      </w:r>
      <w:r w:rsidR="00106A89">
        <w:rPr>
          <w:rFonts w:ascii="Times New Roman" w:hAnsi="Times New Roman" w:cs="Times New Roman"/>
        </w:rPr>
        <w:t xml:space="preserve"> </w:t>
      </w:r>
      <w:r w:rsidR="00106A89">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{"citationItems":[{"id":"ITEM-1","itemData":{"DOI":"10.1109/EMOBILITY.2010.5668100","ISBN":"TR07JA2","abstract":"This is a short technical report reviewing non-linear minimisation in the context of the nonlinear toolbox that has been develped for use in future development of FSL. We have focused more on an intuitive {\\textquotedblleft}narrative{\\textquotedblright} starting with Newtons method and then ...","author":[{"dropping-particle":"","family":"Andersson","given":"Jesper L R","non-dropping-particle":"","parse-names":false,"suffix":""},{"dropping-particle":"","family":"Jenkinson","given":"Mark","non-dropping-particle":"","parse-names":false,"suffix":""},{"dropping-particle":"","family":"Smith","given":"Steve M","non-dropping-particle":"","parse-names":false,"suffix":""}],"id":"ITEM-1","issued":{"date-parts":[["2007"]]},"title":"Non-linear optimisation. FMRIB technical report TR07JA1","type":"article-journal"},"uris":["http://www.mendeley.com/documents/?uuid=eac16af7-ad96-425a-b641-fb1c69a5e516"]},{"id":"ITEM-2","itemData":{"abstract":"This document describes the principles behind and the implementation of fnirt, the FMRIB tool for small-displacement non-linear registration. The displacement fields are modelled as linear combinations of basis-functions, which may be the discrete Cosine transform (DCT) or cubic B-splines placed on a regular grid. Regularisation of the field is based on membrane energy. At present the registration is based on a weighted sum of scaled sum-of-squared differences and me- brane energy. Great effort has been placed on the optimisation, and on providing computational tools to enable robust and rapid convergence even for relatively high resolution of the warps. The results that are presented are based on a multi-scale Levenberg-Marquardt minimisation. The registration is initialised and run to convergence with sub-sampled images, a field of low resolution and a high regularisation weight. The images and the fields from the first step are then up-sampled, the regularisation modified and it is again run to convergence. This is repeated until the required warp-resolution and level of regularisation is achieved. The method has been tested with promising results on T1-weighted structural images and on FA-images from DTI acqusitions.","author":[{"dropping-particle":"","family":"Andersson","given":"J L R","non-dropping-particle":"","parse-names":false,"suffix":""},{"dropping-particle":"","family":"Jenkinson","given":"M","non-dropping-particle":"","parse-names":false,"suffix":""},{"dropping-particle":"","family":"Smith","given":"S","non-dropping-particle":"","parse-names":false,"suffix":""}],"id":"ITEM-2","issued":{"date-parts":[["2007"]]},"title":"Non-linear registration, aka spatial normalization (FMRIB technical report TR07JA2)","type":"article-journal"},"uris":["http://www.mendeley.com/documents/?uuid=3c9112a5-b0ee-477b-9143-5be2a63161dd"]}],"mendeley":{"formattedCitation":"(49,50)","plainTextFormattedCitation":"(49,50)","previouslyFormattedCitation":"(49,50)"},"properties":{"noteIndex":0},"schema":"https://github.com/citation-style-language/schema/raw/master/csl-citation.json"}</w:instrText>
      </w:r>
      <w:r w:rsidR="00106A89">
        <w:rPr>
          <w:rFonts w:ascii="Times New Roman" w:hAnsi="Times New Roman" w:cs="Times New Roman"/>
        </w:rPr>
        <w:fldChar w:fldCharType="separate"/>
      </w:r>
      <w:r w:rsidR="00112D56" w:rsidRPr="00112D56">
        <w:rPr>
          <w:rFonts w:ascii="Times New Roman" w:hAnsi="Times New Roman" w:cs="Times New Roman"/>
          <w:noProof/>
        </w:rPr>
        <w:t>(49,50)</w:t>
      </w:r>
      <w:r w:rsidR="00106A89">
        <w:rPr>
          <w:rFonts w:ascii="Times New Roman" w:hAnsi="Times New Roman" w:cs="Times New Roman"/>
        </w:rPr>
        <w:fldChar w:fldCharType="end"/>
      </w:r>
      <w:r w:rsidR="008A385E" w:rsidRPr="004E1CFF">
        <w:rPr>
          <w:rFonts w:ascii="Times New Roman" w:hAnsi="Times New Roman" w:cs="Times New Roman"/>
        </w:rPr>
        <w:t>.</w:t>
      </w:r>
      <w:r w:rsidR="006B1913" w:rsidRPr="004E1CFF">
        <w:rPr>
          <w:rFonts w:ascii="Times New Roman" w:hAnsi="Times New Roman" w:cs="Times New Roman"/>
        </w:rPr>
        <w:t xml:space="preserve"> </w:t>
      </w:r>
      <w:r w:rsidR="00E1670C" w:rsidRPr="004E1CFF">
        <w:rPr>
          <w:rFonts w:ascii="Times New Roman" w:hAnsi="Times New Roman" w:cs="Times New Roman"/>
        </w:rPr>
        <w:t>Pre-processing</w:t>
      </w:r>
      <w:r w:rsidR="00264010" w:rsidRPr="004E1CFF">
        <w:rPr>
          <w:rFonts w:ascii="Times New Roman" w:hAnsi="Times New Roman" w:cs="Times New Roman"/>
        </w:rPr>
        <w:t xml:space="preserve"> included </w:t>
      </w:r>
      <w:r w:rsidR="00E1670C" w:rsidRPr="004E1CFF">
        <w:rPr>
          <w:rFonts w:ascii="Times New Roman" w:hAnsi="Times New Roman" w:cs="Times New Roman"/>
        </w:rPr>
        <w:t>m</w:t>
      </w:r>
      <w:r w:rsidR="006B1913" w:rsidRPr="004E1CFF">
        <w:rPr>
          <w:rFonts w:ascii="Times New Roman" w:hAnsi="Times New Roman" w:cs="Times New Roman"/>
        </w:rPr>
        <w:t xml:space="preserve">otion correction using MCFLIRT </w:t>
      </w:r>
      <w:r w:rsidR="006273C3" w:rsidRPr="004E1CFF">
        <w:rPr>
          <w:rFonts w:ascii="Times New Roman" w:hAnsi="Times New Roman" w:cs="Times New Roman"/>
        </w:rPr>
        <w:t>(</w:t>
      </w:r>
      <w:r w:rsidR="006B1913" w:rsidRPr="004E1CFF">
        <w:rPr>
          <w:rFonts w:ascii="Times New Roman" w:hAnsi="Times New Roman" w:cs="Times New Roman"/>
        </w:rPr>
        <w:t>Jenkinson 2002</w:t>
      </w:r>
      <w:r w:rsidR="006273C3" w:rsidRPr="004E1CFF">
        <w:rPr>
          <w:rFonts w:ascii="Times New Roman" w:hAnsi="Times New Roman" w:cs="Times New Roman"/>
        </w:rPr>
        <w:t>)</w:t>
      </w:r>
      <w:r w:rsidR="006B1913" w:rsidRPr="004E1CFF">
        <w:rPr>
          <w:rFonts w:ascii="Times New Roman" w:hAnsi="Times New Roman" w:cs="Times New Roman"/>
        </w:rPr>
        <w:t>; non-brain removal using BET</w:t>
      </w:r>
      <w:r w:rsidR="00E03C1D">
        <w:rPr>
          <w:rFonts w:ascii="Times New Roman" w:hAnsi="Times New Roman" w:cs="Times New Roman"/>
        </w:rPr>
        <w:t xml:space="preserve"> </w:t>
      </w:r>
      <w:r w:rsidR="00E03C1D">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{"citationItems":[{"id":"ITEM-1","itemData":{"DOI":"10.1002/hbm.10062","ISSN":"1065-9471","PMID":"12391568","abstract":"An automated method for segmenting magnetic resonance head images into brain and non-brain has been developed. It is very robust and accurate and has been tested on thousands of data sets from a wide variety of scanners and taken with a wide variety of MR sequences. The method, Brain Extraction Tool (BET), uses a deformable model that evolves to fit the brain's surface by the application of a set of locally adaptive model forces. The method is very fast and requires no preregistration or other pre-processing before being applied. We describe the new method and give examples of results and the results of extensive quantitative testing against \"gold-standard\" hand segmentations, and two other popular automated methods.","author":[{"dropping-particle":"","family":"Smith","given":"Stephen M","non-dropping-particle":"","parse-names":false,"suffix":""}],"container-title":"Human brain mapping","id":"ITEM-1","issue":"3","issued":{"date-parts":[["2002"]]},"page":"143-55","title":"Fast robust automated brain extraction.","type":"article-journal","volume":"17"},"uris":["http://www.mendeley.com/documents/?uuid=16e5e825-1a40-425c-8b69-4258330988db"]}],"mendeley":{"formattedCitation":"(51)","plainTextFormattedCitation":"(51)","previouslyFormattedCitation":"(51)"},"properties":{"noteIndex":0},"schema":"https://github.com/citation-style-language/schema/raw/master/csl-citation.json"}</w:instrText>
      </w:r>
      <w:r w:rsidR="00E03C1D">
        <w:rPr>
          <w:rFonts w:ascii="Times New Roman" w:hAnsi="Times New Roman" w:cs="Times New Roman"/>
        </w:rPr>
        <w:fldChar w:fldCharType="separate"/>
      </w:r>
      <w:r w:rsidR="00112D56" w:rsidRPr="00112D56">
        <w:rPr>
          <w:rFonts w:ascii="Times New Roman" w:hAnsi="Times New Roman" w:cs="Times New Roman"/>
          <w:noProof/>
        </w:rPr>
        <w:t>(51)</w:t>
      </w:r>
      <w:r w:rsidR="00E03C1D">
        <w:rPr>
          <w:rFonts w:ascii="Times New Roman" w:hAnsi="Times New Roman" w:cs="Times New Roman"/>
        </w:rPr>
        <w:fldChar w:fldCharType="end"/>
      </w:r>
      <w:r w:rsidR="006B1913" w:rsidRPr="004E1CFF">
        <w:rPr>
          <w:rFonts w:ascii="Times New Roman" w:hAnsi="Times New Roman" w:cs="Times New Roman"/>
        </w:rPr>
        <w:t>; spatial smoothing using a Gaussian kernel of FWHM 5mm</w:t>
      </w:r>
      <w:r w:rsidR="008B2C67" w:rsidRPr="004E1CFF">
        <w:rPr>
          <w:rFonts w:ascii="Times New Roman" w:hAnsi="Times New Roman" w:cs="Times New Roman"/>
        </w:rPr>
        <w:t xml:space="preserve"> and </w:t>
      </w:r>
      <w:r w:rsidR="006B1913" w:rsidRPr="004E1CFF">
        <w:rPr>
          <w:rFonts w:ascii="Times New Roman" w:hAnsi="Times New Roman" w:cs="Times New Roman"/>
        </w:rPr>
        <w:t>grand-mean intensity normalisation</w:t>
      </w:r>
      <w:r w:rsidR="0073127D" w:rsidRPr="004E1CFF">
        <w:rPr>
          <w:rFonts w:ascii="Times New Roman" w:hAnsi="Times New Roman" w:cs="Times New Roman"/>
        </w:rPr>
        <w:t xml:space="preserve">; </w:t>
      </w:r>
      <w:r w:rsidR="006B1913" w:rsidRPr="004E1CFF">
        <w:rPr>
          <w:rFonts w:ascii="Times New Roman" w:hAnsi="Times New Roman" w:cs="Times New Roman"/>
        </w:rPr>
        <w:t>high</w:t>
      </w:r>
      <w:r w:rsidR="00E71F41">
        <w:rPr>
          <w:rFonts w:ascii="Times New Roman" w:hAnsi="Times New Roman" w:cs="Times New Roman"/>
        </w:rPr>
        <w:t>-</w:t>
      </w:r>
      <w:r w:rsidR="006B1913" w:rsidRPr="004E1CFF">
        <w:rPr>
          <w:rFonts w:ascii="Times New Roman" w:hAnsi="Times New Roman" w:cs="Times New Roman"/>
        </w:rPr>
        <w:t xml:space="preserve">pass temporal filtering </w:t>
      </w:r>
      <w:r w:rsidR="00923B34" w:rsidRPr="004E1CFF">
        <w:rPr>
          <w:rFonts w:ascii="Times New Roman" w:hAnsi="Times New Roman" w:cs="Times New Roman"/>
        </w:rPr>
        <w:t>(</w:t>
      </w:r>
      <w:r w:rsidR="001F0411" w:rsidRPr="004E1CFF">
        <w:rPr>
          <w:rFonts w:ascii="Times New Roman" w:hAnsi="Times New Roman" w:cs="Times New Roman"/>
        </w:rPr>
        <w:t>100</w:t>
      </w:r>
      <w:r w:rsidR="006B1913" w:rsidRPr="004E1CFF">
        <w:rPr>
          <w:rFonts w:ascii="Times New Roman" w:hAnsi="Times New Roman" w:cs="Times New Roman"/>
        </w:rPr>
        <w:t>s).</w:t>
      </w:r>
      <w:r w:rsidR="00484D40" w:rsidRPr="004E1CFF">
        <w:rPr>
          <w:rFonts w:ascii="Times New Roman" w:hAnsi="Times New Roman" w:cs="Times New Roman"/>
        </w:rPr>
        <w:t xml:space="preserve"> First level </w:t>
      </w:r>
      <w:r w:rsidR="00EF3ED6" w:rsidRPr="004E1CFF">
        <w:rPr>
          <w:rFonts w:ascii="Times New Roman" w:hAnsi="Times New Roman" w:cs="Times New Roman"/>
        </w:rPr>
        <w:t xml:space="preserve">analysis </w:t>
      </w:r>
      <w:r w:rsidR="007C7BC6" w:rsidRPr="004E1CF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{"citationItems":[{"id":"ITEM-1","itemData":{"DOI":"10.1006/nimg.2001.0931","ISSN":"10538119","abstract":"In functional magnetic resonance imaging statistical analysis there are problems with accounting for temporal autocorrelations when assessing change within voxels. Techniques to date have utilized temporal filtering strategies to either shape these autocorrelations or remove them. Shaping, or \"coloring,\" attempts to negate the effects of not accurately knowing the intrinsic autocorrelations by imposing known autocorrelation via temporal filtering. Removing the autocorrelation, or \"prewhitening,\" gives the best linear unbiased estimator, assuming that the autocorrelation is accurately known. For single-event designs, the efficiency of the estimator is considerably higher for prewhitening compared with coloring. However, it has been suggested that sufficiently accurate estimates of the autocorrelation are currently not available to give prewhitening acceptable bias. To overcome this, we consider different ways to estimate the autocorrelation for use in prewhitening. After highpass filtering is performed, a Tukey taper (set to smooth the spectral density more than would normally be used in spectral density estimation) performs best. Importantly, estimation is further improved by using nonlinear spatial filtering to smooth the estimated autocorrelation, but only within tissue type. Using this approach when prewhitening reduced bias to close to zero at probability levels as low as 1 × 10-5. © 2001 Academic Press.","author":[{"dropping-particle":"","family":"Woolrich","given":"Mark W.","non-dropping-particle":"","parse-names":false,"suffix":""},{"dropping-particle":"","family":"Ripley","given":"Brian D.","non-dropping-particle":"","parse-names":false,"suffix":""},{"dropping-particle":"","family":"Brady","given":"Michael","non-dropping-particle":"","parse-names":false,"suffix":""},{"dropping-particle":"","family":"Smith","given":"Stephen M.","non-dropping-particle":"","parse-names":false,"suffix":""}],"container-title":"NeuroImage","id":"ITEM-1","issue":"6","issued":{"date-parts":[["2001"]]},"page":"1370-1386","title":"Temporal autocorrelation in univariate linear modeling of FMRI data","type":"article-journal","volume":"14"},"uris":["http://www.mendeley.com/documents/?uuid=be0f6da6-1053-4e13-8330-ab354566f47a"]}],"mendeley":{"formattedCitation":"(52)","plainTextFormattedCitation":"(52)","previouslyFormattedCitation":"(52)"},"properties":{"noteIndex":0},"schema":"https://github.com/citation-style-language/schema/raw/master/csl-citation.json"}</w:instrText>
      </w:r>
      <w:r w:rsidR="007C7BC6" w:rsidRPr="004E1CFF">
        <w:rPr>
          <w:rFonts w:ascii="Times New Roman" w:hAnsi="Times New Roman" w:cs="Times New Roman"/>
        </w:rPr>
        <w:fldChar w:fldCharType="separate"/>
      </w:r>
      <w:r w:rsidR="00112D56" w:rsidRPr="00112D56">
        <w:rPr>
          <w:rFonts w:ascii="Times New Roman" w:hAnsi="Times New Roman" w:cs="Times New Roman"/>
          <w:noProof/>
        </w:rPr>
        <w:t>(52)</w:t>
      </w:r>
      <w:r w:rsidR="007C7BC6" w:rsidRPr="004E1CFF">
        <w:rPr>
          <w:rFonts w:ascii="Times New Roman" w:hAnsi="Times New Roman" w:cs="Times New Roman"/>
        </w:rPr>
        <w:fldChar w:fldCharType="end"/>
      </w:r>
      <w:r w:rsidR="007C7BC6" w:rsidRPr="004E1CFF">
        <w:rPr>
          <w:rFonts w:ascii="Times New Roman" w:hAnsi="Times New Roman" w:cs="Times New Roman"/>
        </w:rPr>
        <w:t xml:space="preserve"> </w:t>
      </w:r>
      <w:r w:rsidR="00EF3ED6" w:rsidRPr="004E1CFF">
        <w:rPr>
          <w:rFonts w:ascii="Times New Roman" w:hAnsi="Times New Roman" w:cs="Times New Roman"/>
        </w:rPr>
        <w:t xml:space="preserve">included </w:t>
      </w:r>
      <w:r w:rsidR="007D1968" w:rsidRPr="004E1CFF">
        <w:rPr>
          <w:rFonts w:ascii="Times New Roman" w:hAnsi="Times New Roman" w:cs="Times New Roman"/>
        </w:rPr>
        <w:t xml:space="preserve">four regressors of interest: </w:t>
      </w:r>
      <w:r w:rsidR="0002653E" w:rsidRPr="004E1CFF">
        <w:rPr>
          <w:rFonts w:ascii="Times New Roman" w:hAnsi="Times New Roman" w:cs="Times New Roman"/>
        </w:rPr>
        <w:t xml:space="preserve">successful stops, failed stops, successful go and </w:t>
      </w:r>
      <w:r w:rsidR="004745E1">
        <w:rPr>
          <w:rFonts w:ascii="Times New Roman" w:hAnsi="Times New Roman" w:cs="Times New Roman"/>
        </w:rPr>
        <w:t>error</w:t>
      </w:r>
      <w:r w:rsidR="004745E1" w:rsidRPr="004E1CFF">
        <w:rPr>
          <w:rFonts w:ascii="Times New Roman" w:hAnsi="Times New Roman" w:cs="Times New Roman"/>
        </w:rPr>
        <w:t xml:space="preserve"> </w:t>
      </w:r>
      <w:r w:rsidR="0002653E" w:rsidRPr="004E1CFF">
        <w:rPr>
          <w:rFonts w:ascii="Times New Roman" w:hAnsi="Times New Roman" w:cs="Times New Roman"/>
        </w:rPr>
        <w:t>go responses</w:t>
      </w:r>
      <w:r w:rsidR="0058594C">
        <w:rPr>
          <w:rFonts w:ascii="Times New Roman" w:hAnsi="Times New Roman" w:cs="Times New Roman"/>
        </w:rPr>
        <w:t xml:space="preserve"> (all other Go-trials)</w:t>
      </w:r>
      <w:r w:rsidR="00A649DA" w:rsidRPr="004E1CFF">
        <w:rPr>
          <w:rFonts w:ascii="Times New Roman" w:hAnsi="Times New Roman" w:cs="Times New Roman"/>
        </w:rPr>
        <w:t xml:space="preserve"> convolved with double-gamma </w:t>
      </w:r>
      <w:r w:rsidR="00245594" w:rsidRPr="004E1CFF">
        <w:rPr>
          <w:rFonts w:ascii="Times New Roman" w:hAnsi="Times New Roman" w:cs="Times New Roman"/>
        </w:rPr>
        <w:t>haemodynamic response function</w:t>
      </w:r>
      <w:r w:rsidR="0002653E" w:rsidRPr="004E1CFF">
        <w:rPr>
          <w:rFonts w:ascii="Times New Roman" w:hAnsi="Times New Roman" w:cs="Times New Roman"/>
        </w:rPr>
        <w:t xml:space="preserve">. </w:t>
      </w:r>
      <w:r w:rsidR="00A41C09" w:rsidRPr="004E1CFF">
        <w:rPr>
          <w:rFonts w:ascii="Times New Roman" w:hAnsi="Times New Roman" w:cs="Times New Roman"/>
        </w:rPr>
        <w:t xml:space="preserve">Temporal derivatives were also included for each of the </w:t>
      </w:r>
      <w:r w:rsidR="00EC04AE" w:rsidRPr="004E1CFF">
        <w:rPr>
          <w:rFonts w:ascii="Times New Roman" w:hAnsi="Times New Roman" w:cs="Times New Roman"/>
        </w:rPr>
        <w:t>regressors</w:t>
      </w:r>
      <w:r w:rsidR="00F6676D" w:rsidRPr="004E1CFF">
        <w:rPr>
          <w:rFonts w:ascii="Times New Roman" w:hAnsi="Times New Roman" w:cs="Times New Roman"/>
        </w:rPr>
        <w:t xml:space="preserve">. </w:t>
      </w:r>
      <w:r w:rsidR="006B5DC7" w:rsidRPr="004E1CFF">
        <w:rPr>
          <w:rFonts w:ascii="Times New Roman" w:hAnsi="Times New Roman" w:cs="Times New Roman"/>
        </w:rPr>
        <w:t xml:space="preserve">Successful stops were contrasted with </w:t>
      </w:r>
      <w:r w:rsidR="00D372E8" w:rsidRPr="004E1CFF">
        <w:rPr>
          <w:rFonts w:ascii="Times New Roman" w:hAnsi="Times New Roman" w:cs="Times New Roman"/>
        </w:rPr>
        <w:t>successful go responses (</w:t>
      </w:r>
      <w:r w:rsidR="00BA6961" w:rsidRPr="004E1CFF">
        <w:rPr>
          <w:rFonts w:ascii="Times New Roman" w:hAnsi="Times New Roman" w:cs="Times New Roman"/>
        </w:rPr>
        <w:t xml:space="preserve">stopping </w:t>
      </w:r>
      <w:r w:rsidR="00D372E8" w:rsidRPr="004E1CFF">
        <w:rPr>
          <w:rFonts w:ascii="Times New Roman" w:hAnsi="Times New Roman" w:cs="Times New Roman"/>
        </w:rPr>
        <w:t>contrast)</w:t>
      </w:r>
      <w:r w:rsidR="003F1A92" w:rsidRPr="004E1CFF">
        <w:rPr>
          <w:rFonts w:ascii="Times New Roman" w:hAnsi="Times New Roman" w:cs="Times New Roman"/>
        </w:rPr>
        <w:t xml:space="preserve">. </w:t>
      </w:r>
      <w:r w:rsidR="00050614" w:rsidRPr="004E1CFF">
        <w:rPr>
          <w:rFonts w:ascii="Times New Roman" w:hAnsi="Times New Roman" w:cs="Times New Roman"/>
        </w:rPr>
        <w:t xml:space="preserve">Twenty-four movement parameters </w:t>
      </w:r>
      <w:r w:rsidR="00C42CD6" w:rsidRPr="004E1CFF">
        <w:rPr>
          <w:rFonts w:ascii="Times New Roman" w:hAnsi="Times New Roman" w:cs="Times New Roman"/>
        </w:rPr>
        <w:t xml:space="preserve">were included as covariates of no interest </w:t>
      </w:r>
      <w:r w:rsidR="009F1122" w:rsidRPr="004E1CFF">
        <w:rPr>
          <w:rFonts w:ascii="Times New Roman" w:hAnsi="Times New Roman" w:cs="Times New Roman"/>
        </w:rPr>
        <w:t xml:space="preserve">along with a </w:t>
      </w:r>
      <w:r w:rsidR="00C42CD6" w:rsidRPr="004E1CFF">
        <w:rPr>
          <w:rFonts w:ascii="Times New Roman" w:hAnsi="Times New Roman" w:cs="Times New Roman"/>
        </w:rPr>
        <w:t>pre-whitening step.</w:t>
      </w:r>
      <w:r w:rsidR="006E7460" w:rsidRPr="004E1CFF">
        <w:rPr>
          <w:rFonts w:ascii="Times New Roman" w:hAnsi="Times New Roman" w:cs="Times New Roman"/>
        </w:rPr>
        <w:t xml:space="preserve"> </w:t>
      </w:r>
    </w:p>
    <w:p w14:paraId="46CF1039" w14:textId="129728DC" w:rsidR="00535BE1" w:rsidRDefault="00056888" w:rsidP="00BF7E9E">
      <w:pPr>
        <w:spacing w:line="360" w:lineRule="auto"/>
        <w:rPr>
          <w:rFonts w:ascii="Times New Roman" w:hAnsi="Times New Roman" w:cs="Times New Roman"/>
        </w:rPr>
      </w:pPr>
      <w:r w:rsidRPr="004E1CFF">
        <w:rPr>
          <w:rFonts w:ascii="Times New Roman" w:hAnsi="Times New Roman" w:cs="Times New Roman"/>
          <w:i/>
        </w:rPr>
        <w:t xml:space="preserve">GLM </w:t>
      </w:r>
      <w:r w:rsidR="00113A74" w:rsidRPr="004E1CFF">
        <w:rPr>
          <w:rFonts w:ascii="Times New Roman" w:hAnsi="Times New Roman" w:cs="Times New Roman"/>
          <w:i/>
        </w:rPr>
        <w:t>Analys</w:t>
      </w:r>
      <w:r w:rsidR="00540B4A">
        <w:rPr>
          <w:rFonts w:ascii="Times New Roman" w:hAnsi="Times New Roman" w:cs="Times New Roman"/>
          <w:i/>
        </w:rPr>
        <w:t>e</w:t>
      </w:r>
      <w:r w:rsidR="00113A74" w:rsidRPr="004E1CFF">
        <w:rPr>
          <w:rFonts w:ascii="Times New Roman" w:hAnsi="Times New Roman" w:cs="Times New Roman"/>
          <w:i/>
        </w:rPr>
        <w:t>s.</w:t>
      </w:r>
      <w:r w:rsidR="00B03815" w:rsidRPr="004E1CFF">
        <w:rPr>
          <w:rFonts w:ascii="Times New Roman" w:hAnsi="Times New Roman" w:cs="Times New Roman"/>
          <w:i/>
        </w:rPr>
        <w:t xml:space="preserve"> </w:t>
      </w:r>
      <w:r w:rsidR="000223AF" w:rsidRPr="002D3DF9">
        <w:rPr>
          <w:rFonts w:ascii="Times New Roman" w:hAnsi="Times New Roman" w:cs="Times New Roman"/>
          <w:iCs/>
        </w:rPr>
        <w:t>T</w:t>
      </w:r>
      <w:r w:rsidR="000223AF" w:rsidRPr="00AF37C9">
        <w:rPr>
          <w:rFonts w:ascii="Times New Roman" w:hAnsi="Times New Roman" w:cs="Times New Roman"/>
          <w:iCs/>
        </w:rPr>
        <w:t>wo</w:t>
      </w:r>
      <w:r w:rsidR="000223AF" w:rsidRPr="004E1CFF">
        <w:rPr>
          <w:rFonts w:ascii="Times New Roman" w:hAnsi="Times New Roman" w:cs="Times New Roman"/>
        </w:rPr>
        <w:t xml:space="preserve"> </w:t>
      </w:r>
      <w:r w:rsidR="000223AF">
        <w:rPr>
          <w:rFonts w:ascii="Times New Roman" w:hAnsi="Times New Roman" w:cs="Times New Roman"/>
        </w:rPr>
        <w:t>GLM</w:t>
      </w:r>
      <w:r w:rsidR="00BF0923">
        <w:rPr>
          <w:rFonts w:ascii="Times New Roman" w:hAnsi="Times New Roman" w:cs="Times New Roman"/>
        </w:rPr>
        <w:t>s</w:t>
      </w:r>
      <w:r w:rsidR="000223AF">
        <w:rPr>
          <w:rFonts w:ascii="Times New Roman" w:hAnsi="Times New Roman" w:cs="Times New Roman"/>
        </w:rPr>
        <w:t>,</w:t>
      </w:r>
      <w:r w:rsidR="000223AF" w:rsidRPr="004E1CFF">
        <w:rPr>
          <w:rFonts w:ascii="Times New Roman" w:hAnsi="Times New Roman" w:cs="Times New Roman"/>
        </w:rPr>
        <w:t xml:space="preserve"> </w:t>
      </w:r>
      <w:r w:rsidR="000223AF">
        <w:rPr>
          <w:rFonts w:ascii="Times New Roman" w:hAnsi="Times New Roman" w:cs="Times New Roman"/>
        </w:rPr>
        <w:t xml:space="preserve">one </w:t>
      </w:r>
      <w:r w:rsidR="000223AF" w:rsidRPr="004E1CFF">
        <w:rPr>
          <w:rFonts w:ascii="Times New Roman" w:hAnsi="Times New Roman" w:cs="Times New Roman"/>
        </w:rPr>
        <w:t xml:space="preserve">for </w:t>
      </w:r>
      <w:r w:rsidR="00E47B3D">
        <w:rPr>
          <w:rFonts w:ascii="Times New Roman" w:hAnsi="Times New Roman" w:cs="Times New Roman"/>
        </w:rPr>
        <w:t xml:space="preserve">the </w:t>
      </w:r>
      <w:r w:rsidR="00F90FFF">
        <w:rPr>
          <w:rFonts w:ascii="Times New Roman" w:hAnsi="Times New Roman" w:cs="Times New Roman"/>
        </w:rPr>
        <w:t xml:space="preserve">placebo and one for </w:t>
      </w:r>
      <w:r w:rsidR="00E47B3D">
        <w:rPr>
          <w:rFonts w:ascii="Times New Roman" w:hAnsi="Times New Roman" w:cs="Times New Roman"/>
        </w:rPr>
        <w:t xml:space="preserve">the </w:t>
      </w:r>
      <w:r w:rsidR="00F90FFF">
        <w:rPr>
          <w:rFonts w:ascii="Times New Roman" w:hAnsi="Times New Roman" w:cs="Times New Roman"/>
        </w:rPr>
        <w:t>atomoxetine</w:t>
      </w:r>
      <w:r w:rsidR="000223AF" w:rsidRPr="004E1CFF">
        <w:rPr>
          <w:rFonts w:ascii="Times New Roman" w:hAnsi="Times New Roman" w:cs="Times New Roman"/>
        </w:rPr>
        <w:t xml:space="preserve"> drug condition</w:t>
      </w:r>
      <w:r w:rsidR="00BF0923">
        <w:rPr>
          <w:rFonts w:ascii="Times New Roman" w:hAnsi="Times New Roman" w:cs="Times New Roman"/>
        </w:rPr>
        <w:t>,</w:t>
      </w:r>
      <w:r w:rsidR="000223AF">
        <w:rPr>
          <w:rFonts w:ascii="Times New Roman" w:hAnsi="Times New Roman" w:cs="Times New Roman"/>
        </w:rPr>
        <w:t xml:space="preserve"> </w:t>
      </w:r>
      <w:r w:rsidR="00EE371B">
        <w:rPr>
          <w:rFonts w:ascii="Times New Roman" w:hAnsi="Times New Roman" w:cs="Times New Roman"/>
        </w:rPr>
        <w:t xml:space="preserve">used </w:t>
      </w:r>
      <w:r w:rsidR="00BF0923">
        <w:rPr>
          <w:rFonts w:ascii="Times New Roman" w:hAnsi="Times New Roman" w:cs="Times New Roman"/>
        </w:rPr>
        <w:t>one</w:t>
      </w:r>
      <w:r w:rsidR="000223AF" w:rsidRPr="004E1CFF">
        <w:rPr>
          <w:rFonts w:ascii="Times New Roman" w:hAnsi="Times New Roman" w:cs="Times New Roman"/>
        </w:rPr>
        <w:t xml:space="preserve"> sample </w:t>
      </w:r>
      <w:r w:rsidR="000223AF">
        <w:rPr>
          <w:rFonts w:ascii="Times New Roman" w:hAnsi="Times New Roman" w:cs="Times New Roman"/>
        </w:rPr>
        <w:t xml:space="preserve">whole brain </w:t>
      </w:r>
      <w:r w:rsidR="00176546" w:rsidRPr="004E1CFF">
        <w:rPr>
          <w:rFonts w:ascii="Times New Roman" w:hAnsi="Times New Roman" w:cs="Times New Roman"/>
        </w:rPr>
        <w:t>t</w:t>
      </w:r>
      <w:r w:rsidR="00176546">
        <w:rPr>
          <w:rFonts w:ascii="Times New Roman" w:hAnsi="Times New Roman" w:cs="Times New Roman"/>
        </w:rPr>
        <w:t>-</w:t>
      </w:r>
      <w:r w:rsidR="00F12EE1" w:rsidRPr="004E1CFF">
        <w:rPr>
          <w:rFonts w:ascii="Times New Roman" w:hAnsi="Times New Roman" w:cs="Times New Roman"/>
        </w:rPr>
        <w:t xml:space="preserve">tests </w:t>
      </w:r>
      <w:r w:rsidR="00BF0923">
        <w:rPr>
          <w:rFonts w:ascii="Times New Roman" w:hAnsi="Times New Roman" w:cs="Times New Roman"/>
        </w:rPr>
        <w:t>to identify</w:t>
      </w:r>
      <w:r w:rsidR="00F12EE1" w:rsidRPr="004E1CFF">
        <w:rPr>
          <w:rFonts w:ascii="Times New Roman" w:hAnsi="Times New Roman" w:cs="Times New Roman"/>
        </w:rPr>
        <w:t xml:space="preserve"> significant </w:t>
      </w:r>
      <w:r w:rsidR="00F11E3B">
        <w:rPr>
          <w:rFonts w:ascii="Times New Roman" w:hAnsi="Times New Roman" w:cs="Times New Roman"/>
        </w:rPr>
        <w:t xml:space="preserve">stop-related </w:t>
      </w:r>
      <w:r w:rsidR="00F12EE1" w:rsidRPr="004E1CFF">
        <w:rPr>
          <w:rFonts w:ascii="Times New Roman" w:hAnsi="Times New Roman" w:cs="Times New Roman"/>
        </w:rPr>
        <w:t>group mean activations</w:t>
      </w:r>
      <w:r w:rsidR="00F23E63" w:rsidRPr="004E1CFF">
        <w:rPr>
          <w:rFonts w:ascii="Times New Roman" w:hAnsi="Times New Roman" w:cs="Times New Roman"/>
        </w:rPr>
        <w:t xml:space="preserve"> in the control </w:t>
      </w:r>
      <w:r w:rsidR="009103F8" w:rsidRPr="004E1CFF">
        <w:rPr>
          <w:rFonts w:ascii="Times New Roman" w:hAnsi="Times New Roman" w:cs="Times New Roman"/>
        </w:rPr>
        <w:t xml:space="preserve">and cocaine </w:t>
      </w:r>
      <w:r w:rsidR="00F23E63" w:rsidRPr="004E1CFF">
        <w:rPr>
          <w:rFonts w:ascii="Times New Roman" w:hAnsi="Times New Roman" w:cs="Times New Roman"/>
        </w:rPr>
        <w:t>group</w:t>
      </w:r>
      <w:r w:rsidR="009103F8" w:rsidRPr="004E1CFF">
        <w:rPr>
          <w:rFonts w:ascii="Times New Roman" w:hAnsi="Times New Roman" w:cs="Times New Roman"/>
        </w:rPr>
        <w:t>s</w:t>
      </w:r>
      <w:r w:rsidR="002B20A4" w:rsidRPr="004E1CFF">
        <w:rPr>
          <w:rFonts w:ascii="Times New Roman" w:hAnsi="Times New Roman" w:cs="Times New Roman"/>
        </w:rPr>
        <w:t xml:space="preserve"> using FEAT FLAME1 analysis </w:t>
      </w:r>
      <w:r w:rsidR="00D429BD" w:rsidRPr="004E1CF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{"citationItems":[{"id":"ITEM-1","itemData":{"DOI":"10.1016/j.neuroimage.2003.12.023","ISSN":"10538119","abstract":"Functional magnetic resonance imaging studies often involve the acquisition of data from multiple sessions and/or multiple subjects. A hierarchical approach can be taken to modelling such data with a general linear model (GLM) at each level of the hierarchy introducing different random effects variance components. Inferring on these models is nontrivial with frequentist solutions being unavailable. A solution is to use a Bayesian framework. One important ingredient in this is the choice of prior on the variance components and top-level regression parameters. Due to the typically small numbers of sessions or subjects in neuroimaging, the choice of prior is critical. To alleviate this problem, we introduce to neuroimage modelling the approach of reference priors, which drives the choice of prior such that it is noninformative in an information-theoretic sense. We propose two inference techniques at the top level for multilevel hierarchies (a fast approach and a slower more accurate approach). We also demonstrate that we can infer on the top level of multilevel hierarchies by inferring on the levels of the hierarchy separately and passing summary statistics of a noncentral multivariate t distribution between them. © 2004 Elsevier Inc. All rights reserved.","author":[{"dropping-particle":"","family":"Woolrich","given":"Mark W.","non-dropping-particle":"","parse-names":false,"suffix":""},{"dropping-particle":"","family":"Behrens","given":"Timothy E.J.","non-dropping-particle":"","parse-names":false,"suffix":""},{"dropping-particle":"","family":"Beckmann","given":"Christian F.","non-dropping-particle":"","parse-names":false,"suffix":""},{"dropping-particle":"","family":"Jenkinson","given":"Mark","non-dropping-particle":"","parse-names":false,"suffix":""},{"dropping-particle":"","family":"Smith","given":"Stephen M.","non-dropping-particle":"","parse-names":false,"suffix":""}],"container-title":"NeuroImage","id":"ITEM-1","issue":"4","issued":{"date-parts":[["2004"]]},"page":"1732-1747","title":"Multilevel linear modelling for FMRI group analysis using Bayesian inference","type":"article-journal","volume":"21"},"uris":["http://www.mendeley.com/documents/?uuid=7b1f4c85-5690-44c5-a18d-a3fee65bbe01"]}],"mendeley":{"formattedCitation":"(53)","plainTextFormattedCitation":"(53)","previouslyFormattedCitation":"(53)"},"properties":{"noteIndex":0},"schema":"https://github.com/citation-style-language/schema/raw/master/csl-citation.json"}</w:instrText>
      </w:r>
      <w:r w:rsidR="00D429BD" w:rsidRPr="004E1CFF">
        <w:rPr>
          <w:rFonts w:ascii="Times New Roman" w:hAnsi="Times New Roman" w:cs="Times New Roman"/>
        </w:rPr>
        <w:fldChar w:fldCharType="separate"/>
      </w:r>
      <w:r w:rsidR="00112D56" w:rsidRPr="00112D56">
        <w:rPr>
          <w:rFonts w:ascii="Times New Roman" w:hAnsi="Times New Roman" w:cs="Times New Roman"/>
          <w:noProof/>
        </w:rPr>
        <w:t>(53)</w:t>
      </w:r>
      <w:r w:rsidR="00D429BD" w:rsidRPr="004E1CFF">
        <w:rPr>
          <w:rFonts w:ascii="Times New Roman" w:hAnsi="Times New Roman" w:cs="Times New Roman"/>
        </w:rPr>
        <w:fldChar w:fldCharType="end"/>
      </w:r>
      <w:r w:rsidR="00F12EE1" w:rsidRPr="004E1CFF">
        <w:rPr>
          <w:rFonts w:ascii="Times New Roman" w:hAnsi="Times New Roman" w:cs="Times New Roman"/>
        </w:rPr>
        <w:t>.</w:t>
      </w:r>
      <w:r w:rsidR="00A65A92" w:rsidRPr="004E1CFF">
        <w:rPr>
          <w:rFonts w:ascii="Times New Roman" w:hAnsi="Times New Roman" w:cs="Times New Roman"/>
        </w:rPr>
        <w:t xml:space="preserve"> </w:t>
      </w:r>
      <w:r w:rsidR="00BF0923">
        <w:rPr>
          <w:rFonts w:ascii="Times New Roman" w:hAnsi="Times New Roman" w:cs="Times New Roman"/>
        </w:rPr>
        <w:t>C</w:t>
      </w:r>
      <w:r w:rsidR="001945E4" w:rsidRPr="004E1CFF">
        <w:rPr>
          <w:rFonts w:ascii="Times New Roman" w:hAnsi="Times New Roman" w:cs="Times New Roman"/>
        </w:rPr>
        <w:t xml:space="preserve">onjunction analysis </w:t>
      </w:r>
      <w:r w:rsidR="00BF0923">
        <w:rPr>
          <w:rFonts w:ascii="Times New Roman" w:hAnsi="Times New Roman" w:cs="Times New Roman"/>
        </w:rPr>
        <w:t xml:space="preserve">tested for overlap between the groups </w:t>
      </w:r>
      <w:r w:rsidR="001945E4" w:rsidRPr="004E1CFF">
        <w:rPr>
          <w:rFonts w:ascii="Times New Roman" w:hAnsi="Times New Roman" w:cs="Times New Roman"/>
        </w:rPr>
        <w:t>(easythresh_conj.sh</w:t>
      </w:r>
      <w:r w:rsidR="005448ED">
        <w:rPr>
          <w:rFonts w:ascii="Times New Roman" w:hAnsi="Times New Roman" w:cs="Times New Roman"/>
        </w:rPr>
        <w:t xml:space="preserve">, </w:t>
      </w:r>
      <w:hyperlink r:id="rId10" w:history="1">
        <w:r w:rsidR="00D8099F" w:rsidRPr="00D8099F">
          <w:rPr>
            <w:rStyle w:val="Hyperlink"/>
            <w:rFonts w:ascii="Times New Roman" w:hAnsi="Times New Roman" w:cs="Times New Roman"/>
          </w:rPr>
          <w:t>https://warwick.ac.uk/fac/sci/statistics/staff/academic-research/nichols/scripts/fsl</w:t>
        </w:r>
        <w:r w:rsidR="00D8099F" w:rsidRPr="00D8099F" w:rsidDel="00F85594">
          <w:rPr>
            <w:rStyle w:val="Hyperlink"/>
            <w:rFonts w:ascii="Times New Roman" w:hAnsi="Times New Roman" w:cs="Times New Roman"/>
          </w:rPr>
          <w:t xml:space="preserve"> </w:t>
        </w:r>
      </w:hyperlink>
      <w:r w:rsidR="001945E4" w:rsidRPr="004E1CFF">
        <w:rPr>
          <w:rFonts w:ascii="Times New Roman" w:hAnsi="Times New Roman" w:cs="Times New Roman"/>
        </w:rPr>
        <w:t>)</w:t>
      </w:r>
      <w:r w:rsidR="00BC2516" w:rsidRPr="004E1CFF">
        <w:rPr>
          <w:rFonts w:ascii="Times New Roman" w:hAnsi="Times New Roman" w:cs="Times New Roman"/>
        </w:rPr>
        <w:t>.</w:t>
      </w:r>
      <w:r w:rsidR="00F12EE1" w:rsidRPr="004E1CFF">
        <w:rPr>
          <w:rFonts w:ascii="Times New Roman" w:hAnsi="Times New Roman" w:cs="Times New Roman"/>
        </w:rPr>
        <w:t xml:space="preserve"> </w:t>
      </w:r>
      <w:r w:rsidR="002842C5">
        <w:rPr>
          <w:rFonts w:ascii="Times New Roman" w:hAnsi="Times New Roman" w:cs="Times New Roman"/>
        </w:rPr>
        <w:t>An additional</w:t>
      </w:r>
      <w:r w:rsidR="00B90893" w:rsidRPr="004E1CFF">
        <w:rPr>
          <w:rFonts w:ascii="Times New Roman" w:hAnsi="Times New Roman" w:cs="Times New Roman"/>
        </w:rPr>
        <w:t xml:space="preserve"> </w:t>
      </w:r>
      <w:r w:rsidR="00C51CEF" w:rsidRPr="004E1CFF">
        <w:rPr>
          <w:rFonts w:ascii="Times New Roman" w:hAnsi="Times New Roman" w:cs="Times New Roman"/>
        </w:rPr>
        <w:t>GLM</w:t>
      </w:r>
      <w:r w:rsidR="00E576C7" w:rsidRPr="004E1CFF">
        <w:rPr>
          <w:rFonts w:ascii="Times New Roman" w:hAnsi="Times New Roman" w:cs="Times New Roman"/>
        </w:rPr>
        <w:t xml:space="preserve"> included the difference maps </w:t>
      </w:r>
      <w:r w:rsidR="00BF0923">
        <w:rPr>
          <w:rFonts w:ascii="Times New Roman" w:hAnsi="Times New Roman" w:cs="Times New Roman"/>
        </w:rPr>
        <w:t>of</w:t>
      </w:r>
      <w:r w:rsidR="00E576C7" w:rsidRPr="004E1CFF">
        <w:rPr>
          <w:rFonts w:ascii="Times New Roman" w:hAnsi="Times New Roman" w:cs="Times New Roman"/>
        </w:rPr>
        <w:t xml:space="preserve"> parameter estimate</w:t>
      </w:r>
      <w:r w:rsidR="00BF0923">
        <w:rPr>
          <w:rFonts w:ascii="Times New Roman" w:hAnsi="Times New Roman" w:cs="Times New Roman"/>
        </w:rPr>
        <w:t xml:space="preserve"> contrasts</w:t>
      </w:r>
      <w:r w:rsidR="00E576C7" w:rsidRPr="004E1CFF">
        <w:rPr>
          <w:rFonts w:ascii="Times New Roman" w:hAnsi="Times New Roman" w:cs="Times New Roman"/>
        </w:rPr>
        <w:t xml:space="preserve"> </w:t>
      </w:r>
      <w:r w:rsidR="00BF0923">
        <w:rPr>
          <w:rFonts w:ascii="Times New Roman" w:hAnsi="Times New Roman" w:cs="Times New Roman"/>
        </w:rPr>
        <w:t xml:space="preserve">for </w:t>
      </w:r>
      <w:r w:rsidR="00E576C7" w:rsidRPr="004E1CFF">
        <w:rPr>
          <w:rFonts w:ascii="Times New Roman" w:hAnsi="Times New Roman" w:cs="Times New Roman"/>
        </w:rPr>
        <w:t>placebo and atomoxetine</w:t>
      </w:r>
      <w:r w:rsidR="00A3633F" w:rsidRPr="004E1CFF">
        <w:rPr>
          <w:rFonts w:ascii="Times New Roman" w:hAnsi="Times New Roman" w:cs="Times New Roman"/>
        </w:rPr>
        <w:t xml:space="preserve">. </w:t>
      </w:r>
      <w:r w:rsidR="00B079AB">
        <w:rPr>
          <w:rFonts w:ascii="Times New Roman" w:hAnsi="Times New Roman" w:cs="Times New Roman"/>
        </w:rPr>
        <w:t>Here</w:t>
      </w:r>
      <w:r w:rsidR="000E224F" w:rsidRPr="004E1CFF">
        <w:rPr>
          <w:rFonts w:ascii="Times New Roman" w:hAnsi="Times New Roman" w:cs="Times New Roman"/>
        </w:rPr>
        <w:t xml:space="preserve">, </w:t>
      </w:r>
      <w:r w:rsidR="00E10EDC" w:rsidRPr="004E1CFF">
        <w:rPr>
          <w:rFonts w:ascii="Times New Roman" w:hAnsi="Times New Roman" w:cs="Times New Roman"/>
        </w:rPr>
        <w:t>one sample</w:t>
      </w:r>
      <w:r w:rsidR="00C4696A" w:rsidRPr="004E1CFF">
        <w:rPr>
          <w:rFonts w:ascii="Times New Roman" w:hAnsi="Times New Roman" w:cs="Times New Roman"/>
        </w:rPr>
        <w:t xml:space="preserve"> t-tests </w:t>
      </w:r>
      <w:r w:rsidR="003A21D3" w:rsidRPr="004E1CFF">
        <w:rPr>
          <w:rFonts w:ascii="Times New Roman" w:hAnsi="Times New Roman" w:cs="Times New Roman"/>
        </w:rPr>
        <w:t xml:space="preserve">of the </w:t>
      </w:r>
      <w:r w:rsidR="0075546E" w:rsidRPr="004E1CFF">
        <w:rPr>
          <w:rFonts w:ascii="Times New Roman" w:hAnsi="Times New Roman" w:cs="Times New Roman"/>
        </w:rPr>
        <w:t xml:space="preserve">atomoxetine </w:t>
      </w:r>
      <w:r w:rsidR="00DA4654" w:rsidRPr="004E1CFF">
        <w:rPr>
          <w:rFonts w:ascii="Times New Roman" w:hAnsi="Times New Roman" w:cs="Times New Roman"/>
        </w:rPr>
        <w:t xml:space="preserve">versus </w:t>
      </w:r>
      <w:r w:rsidR="0075546E" w:rsidRPr="004E1CFF">
        <w:rPr>
          <w:rFonts w:ascii="Times New Roman" w:hAnsi="Times New Roman" w:cs="Times New Roman"/>
        </w:rPr>
        <w:t xml:space="preserve">placebo </w:t>
      </w:r>
      <w:r w:rsidR="00280ED1" w:rsidRPr="004E1CFF">
        <w:rPr>
          <w:rFonts w:ascii="Times New Roman" w:hAnsi="Times New Roman" w:cs="Times New Roman"/>
        </w:rPr>
        <w:t xml:space="preserve">difference maps </w:t>
      </w:r>
      <w:r w:rsidR="00C4696A" w:rsidRPr="004E1CFF">
        <w:rPr>
          <w:rFonts w:ascii="Times New Roman" w:hAnsi="Times New Roman" w:cs="Times New Roman"/>
        </w:rPr>
        <w:t xml:space="preserve">were used to </w:t>
      </w:r>
      <w:r w:rsidR="00426B53" w:rsidRPr="004E1CFF">
        <w:rPr>
          <w:rFonts w:ascii="Times New Roman" w:hAnsi="Times New Roman" w:cs="Times New Roman"/>
        </w:rPr>
        <w:t>evaluate drug effects across subjects and</w:t>
      </w:r>
      <w:r w:rsidR="00525795" w:rsidRPr="004E1CFF">
        <w:rPr>
          <w:rFonts w:ascii="Times New Roman" w:hAnsi="Times New Roman" w:cs="Times New Roman"/>
        </w:rPr>
        <w:t xml:space="preserve"> a</w:t>
      </w:r>
      <w:r w:rsidR="00426B53" w:rsidRPr="004E1CFF">
        <w:rPr>
          <w:rFonts w:ascii="Times New Roman" w:hAnsi="Times New Roman" w:cs="Times New Roman"/>
        </w:rPr>
        <w:t xml:space="preserve"> </w:t>
      </w:r>
      <w:r w:rsidR="00F63D47" w:rsidRPr="004E1CFF">
        <w:rPr>
          <w:rFonts w:ascii="Times New Roman" w:hAnsi="Times New Roman" w:cs="Times New Roman"/>
        </w:rPr>
        <w:t>group</w:t>
      </w:r>
      <w:r w:rsidR="00DA4654" w:rsidRPr="004E1CFF">
        <w:rPr>
          <w:rFonts w:ascii="Times New Roman" w:hAnsi="Times New Roman" w:cs="Times New Roman"/>
        </w:rPr>
        <w:t>-by-</w:t>
      </w:r>
      <w:r w:rsidR="002D5046" w:rsidRPr="004E1CFF">
        <w:rPr>
          <w:rFonts w:ascii="Times New Roman" w:hAnsi="Times New Roman" w:cs="Times New Roman"/>
        </w:rPr>
        <w:t xml:space="preserve">drug interaction was </w:t>
      </w:r>
      <w:r w:rsidR="0013269B" w:rsidRPr="004E1CFF">
        <w:rPr>
          <w:rFonts w:ascii="Times New Roman" w:hAnsi="Times New Roman" w:cs="Times New Roman"/>
        </w:rPr>
        <w:t xml:space="preserve">tested using </w:t>
      </w:r>
      <w:r w:rsidR="00E33E1D" w:rsidRPr="004E1CFF">
        <w:rPr>
          <w:rFonts w:ascii="Times New Roman" w:hAnsi="Times New Roman" w:cs="Times New Roman"/>
        </w:rPr>
        <w:t xml:space="preserve">independent </w:t>
      </w:r>
      <w:r w:rsidR="004C4A8F" w:rsidRPr="004E1CFF">
        <w:rPr>
          <w:rFonts w:ascii="Times New Roman" w:hAnsi="Times New Roman" w:cs="Times New Roman"/>
        </w:rPr>
        <w:t>sample</w:t>
      </w:r>
      <w:r w:rsidR="00B16D80" w:rsidRPr="004E1CFF">
        <w:rPr>
          <w:rFonts w:ascii="Times New Roman" w:hAnsi="Times New Roman" w:cs="Times New Roman"/>
        </w:rPr>
        <w:t xml:space="preserve"> t-tests </w:t>
      </w:r>
      <w:r w:rsidR="00440FC5" w:rsidRPr="004E1CFF">
        <w:rPr>
          <w:rFonts w:ascii="Times New Roman" w:hAnsi="Times New Roman" w:cs="Times New Roman"/>
        </w:rPr>
        <w:t>(</w:t>
      </w:r>
      <w:r w:rsidR="00674D68">
        <w:rPr>
          <w:rFonts w:ascii="Times New Roman" w:hAnsi="Times New Roman" w:cs="Times New Roman"/>
        </w:rPr>
        <w:t xml:space="preserve">CUD </w:t>
      </w:r>
      <w:r w:rsidR="00860213" w:rsidRPr="004E1CFF">
        <w:rPr>
          <w:rFonts w:ascii="Times New Roman" w:hAnsi="Times New Roman" w:cs="Times New Roman"/>
        </w:rPr>
        <w:t>vs control)</w:t>
      </w:r>
      <w:r w:rsidR="00174310" w:rsidRPr="004E1CFF">
        <w:rPr>
          <w:rFonts w:ascii="Times New Roman" w:hAnsi="Times New Roman" w:cs="Times New Roman"/>
        </w:rPr>
        <w:t xml:space="preserve"> </w:t>
      </w:r>
      <w:r w:rsidR="00A040E8" w:rsidRPr="004E1CFF">
        <w:rPr>
          <w:rFonts w:ascii="Times New Roman" w:hAnsi="Times New Roman" w:cs="Times New Roman"/>
        </w:rPr>
        <w:t>(</w:t>
      </w:r>
      <w:hyperlink r:id="rId11" w:history="1">
        <w:r w:rsidR="00A040E8" w:rsidRPr="004E1CFF">
          <w:rPr>
            <w:rStyle w:val="Hyperlink"/>
            <w:rFonts w:ascii="Times New Roman" w:hAnsi="Times New Roman" w:cs="Times New Roman"/>
          </w:rPr>
          <w:t>https://fsl.fmrib.ox.ac.uk/fsl/fslwiki/Randomise/UserGuide</w:t>
        </w:r>
      </w:hyperlink>
      <w:r w:rsidR="00A040E8" w:rsidRPr="004E1CFF">
        <w:rPr>
          <w:rFonts w:ascii="Times New Roman" w:hAnsi="Times New Roman" w:cs="Times New Roman"/>
        </w:rPr>
        <w:t>)</w:t>
      </w:r>
      <w:r w:rsidR="00F35141" w:rsidRPr="004E1CFF">
        <w:rPr>
          <w:rFonts w:ascii="Times New Roman" w:hAnsi="Times New Roman" w:cs="Times New Roman"/>
        </w:rPr>
        <w:t xml:space="preserve">. </w:t>
      </w:r>
    </w:p>
    <w:p w14:paraId="2FA95B0C" w14:textId="0A05FAB5" w:rsidR="0007277E" w:rsidRPr="00B57643" w:rsidRDefault="00535BE1" w:rsidP="00BF7E9E">
      <w:pPr>
        <w:spacing w:line="360" w:lineRule="auto"/>
        <w:rPr>
          <w:rFonts w:ascii="Times New Roman" w:hAnsi="Times New Roman" w:cs="Times New Roman"/>
        </w:rPr>
      </w:pPr>
      <w:r>
        <w:rPr>
          <w:rFonts w:ascii="Times New Roman" w:hAnsi="Times New Roman" w:cs="Times New Roman"/>
        </w:rPr>
        <w:t xml:space="preserve">We also sought to assess whether </w:t>
      </w:r>
      <w:proofErr w:type="spellStart"/>
      <w:r>
        <w:rPr>
          <w:rFonts w:ascii="Times New Roman" w:hAnsi="Times New Roman" w:cs="Times New Roman"/>
        </w:rPr>
        <w:t>behavioral</w:t>
      </w:r>
      <w:proofErr w:type="spellEnd"/>
      <w:r>
        <w:rPr>
          <w:rFonts w:ascii="Times New Roman" w:hAnsi="Times New Roman" w:cs="Times New Roman"/>
        </w:rPr>
        <w:t xml:space="preserve"> effects of atomoxetine were conditional on individual differences in brain activation. </w:t>
      </w:r>
      <w:r w:rsidR="00540B4A">
        <w:rPr>
          <w:rFonts w:ascii="Times New Roman" w:hAnsi="Times New Roman" w:cs="Times New Roman"/>
        </w:rPr>
        <w:t xml:space="preserve">To </w:t>
      </w:r>
      <w:r w:rsidR="00540B4A" w:rsidRPr="004E1CFF">
        <w:rPr>
          <w:rFonts w:ascii="Times New Roman" w:hAnsi="Times New Roman" w:cs="Times New Roman"/>
        </w:rPr>
        <w:t xml:space="preserve">test for associations between </w:t>
      </w:r>
      <w:r w:rsidR="00540B4A">
        <w:rPr>
          <w:rFonts w:ascii="Times New Roman" w:hAnsi="Times New Roman" w:cs="Times New Roman"/>
        </w:rPr>
        <w:t xml:space="preserve">drug-related </w:t>
      </w:r>
      <w:r w:rsidR="00540B4A" w:rsidRPr="004E1CFF">
        <w:rPr>
          <w:rFonts w:ascii="Times New Roman" w:hAnsi="Times New Roman" w:cs="Times New Roman"/>
        </w:rPr>
        <w:t xml:space="preserve">changes in </w:t>
      </w:r>
      <w:r w:rsidR="00540B4A">
        <w:rPr>
          <w:rFonts w:ascii="Times New Roman" w:hAnsi="Times New Roman" w:cs="Times New Roman"/>
        </w:rPr>
        <w:t xml:space="preserve">task performance </w:t>
      </w:r>
      <w:r w:rsidR="00540B4A" w:rsidRPr="004E1CFF">
        <w:rPr>
          <w:rFonts w:ascii="Times New Roman" w:hAnsi="Times New Roman" w:cs="Times New Roman"/>
        </w:rPr>
        <w:t>and brain activity</w:t>
      </w:r>
      <w:r w:rsidR="00540B4A">
        <w:rPr>
          <w:rFonts w:ascii="Times New Roman" w:hAnsi="Times New Roman" w:cs="Times New Roman"/>
        </w:rPr>
        <w:t xml:space="preserve">, the </w:t>
      </w:r>
      <w:r w:rsidR="00540B4A" w:rsidRPr="004E1CFF">
        <w:rPr>
          <w:rFonts w:ascii="Times New Roman" w:hAnsi="Times New Roman" w:cs="Times New Roman"/>
        </w:rPr>
        <w:t xml:space="preserve">difference between </w:t>
      </w:r>
      <w:r w:rsidR="00540B4A">
        <w:rPr>
          <w:rFonts w:ascii="Times New Roman" w:hAnsi="Times New Roman" w:cs="Times New Roman"/>
        </w:rPr>
        <w:t>atomoxetine and placebo in SSRT</w:t>
      </w:r>
      <w:r w:rsidR="00540B4A" w:rsidRPr="004E1CFF">
        <w:rPr>
          <w:rFonts w:ascii="Times New Roman" w:hAnsi="Times New Roman" w:cs="Times New Roman"/>
        </w:rPr>
        <w:t xml:space="preserve"> </w:t>
      </w:r>
      <w:r w:rsidR="00540B4A">
        <w:rPr>
          <w:rFonts w:ascii="Times New Roman" w:hAnsi="Times New Roman" w:cs="Times New Roman"/>
        </w:rPr>
        <w:t>(ΔSSRT)</w:t>
      </w:r>
      <w:r w:rsidR="00540B4A" w:rsidRPr="004E1CFF">
        <w:rPr>
          <w:rFonts w:ascii="Times New Roman" w:hAnsi="Times New Roman" w:cs="Times New Roman"/>
        </w:rPr>
        <w:t xml:space="preserve"> </w:t>
      </w:r>
      <w:r w:rsidR="005E5C4D">
        <w:rPr>
          <w:rFonts w:ascii="Times New Roman" w:hAnsi="Times New Roman" w:cs="Times New Roman"/>
        </w:rPr>
        <w:t xml:space="preserve">was added as a covariate to the </w:t>
      </w:r>
      <w:r w:rsidR="00540B4A">
        <w:rPr>
          <w:rFonts w:ascii="Times New Roman" w:hAnsi="Times New Roman" w:cs="Times New Roman"/>
        </w:rPr>
        <w:t>atomoxetine vs placebo</w:t>
      </w:r>
      <w:r w:rsidR="005E5C4D">
        <w:rPr>
          <w:rFonts w:ascii="Times New Roman" w:hAnsi="Times New Roman" w:cs="Times New Roman"/>
        </w:rPr>
        <w:t xml:space="preserve"> </w:t>
      </w:r>
      <w:r w:rsidR="00F11E3B">
        <w:rPr>
          <w:rFonts w:ascii="Times New Roman" w:hAnsi="Times New Roman" w:cs="Times New Roman"/>
        </w:rPr>
        <w:t xml:space="preserve">difference </w:t>
      </w:r>
      <w:r w:rsidR="005E5C4D">
        <w:rPr>
          <w:rFonts w:ascii="Times New Roman" w:hAnsi="Times New Roman" w:cs="Times New Roman"/>
        </w:rPr>
        <w:t>GLM</w:t>
      </w:r>
      <w:r w:rsidR="00F11E3B">
        <w:rPr>
          <w:rFonts w:ascii="Times New Roman" w:hAnsi="Times New Roman" w:cs="Times New Roman"/>
        </w:rPr>
        <w:t xml:space="preserve">. </w:t>
      </w:r>
      <w:r w:rsidR="005E5C4D">
        <w:rPr>
          <w:rFonts w:ascii="Times New Roman" w:hAnsi="Times New Roman" w:cs="Times New Roman"/>
        </w:rPr>
        <w:t xml:space="preserve">Based on previous </w:t>
      </w:r>
      <w:r w:rsidR="00F11E3B">
        <w:rPr>
          <w:rFonts w:ascii="Times New Roman" w:hAnsi="Times New Roman" w:cs="Times New Roman"/>
        </w:rPr>
        <w:t>findings</w:t>
      </w:r>
      <w:r w:rsidR="005E5C4D">
        <w:rPr>
          <w:rFonts w:ascii="Times New Roman" w:hAnsi="Times New Roman" w:cs="Times New Roman"/>
        </w:rPr>
        <w:t xml:space="preserve"> </w:t>
      </w:r>
      <w:r w:rsidR="00E7262E">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{"citationItems":[{"id":"ITEM-1","itemData":{"DOI":"10.1016/j.biopsych.2008.10.014","ISSN":"00063223","abstract":"Background: Atomoxetine, a selective noradrenaline reuptake inhibitor (SNRI) licensed for the treatment of attention-deficit/hyperactivity disorder (ADHD), has been shown to improve response inhibition in animals, healthy volunteers, and adult patients. However, the mechanisms by which atomoxetine improves inhibitory control have yet to be determined. Methods: The effects of atomoxetine (40 mg) were measured with a stop-signal functional magnetic resonance imaging (fMRI) paradigm in 19 healthy volunteers, in a within-subject, double-blind, placebo-controlled design. Results: Atomoxetine improved inhibitory control and increased activation in the right inferior frontal gyrus when volunteers attempted to inhibit their responses (irrespective of success). Plasma levels of drug correlated significantly with right inferior frontal gyrus activation only during successful inhibition. Conclusions: These results show that atomoxetine exerts its beneficial effects on inhibitory control via modulation of right inferior frontal function, with implications for understanding and treating inhibitory dysfunction of ADHD and other disorders. © 2009 Society of Biological Psychiatry.","author":[{"dropping-particle":"","family":"Chamberlain","given":"Samuel R.","non-dropping-particle":"","parse-names":false,"suffix":""},{"dropping-particle":"","family":"Hampshire","given":"Adam","non-dropping-particle":"","parse-names":false,"suffix":""},{"dropping-particle":"","family":"Müller","given":"Ulrich","non-dropping-particle":"","parse-names":false,"suffix":""},{"dropping-particle":"","family":"Rubia","given":"Katya","non-dropping-particle":"","parse-names":false,"suffix":""},{"dropping-particle":"","family":"Campo","given":"Natalia","non-dropping-particle":"del","parse-names":false,"suffix":""},{"dropping-particle":"","family":"Craig","given":"Kevin","non-dropping-particle":"","parse-names":false,"suffix":""},{"dropping-particle":"","family":"Regenthal","given":"Ralf","non-dropping-particle":"","parse-names":false,"suffix":""},{"dropping-particle":"","family":"Suckling","given":"John","non-dropping-particle":"","parse-names":false,"suffix":""},{"dropping-particle":"","family":"Roiser","given":"Jonathan P.","non-dropping-particle":"","parse-names":false,"suffix":""},{"dropping-particle":"","family":"Grant","given":"Jon E.","non-dropping-particle":"","parse-names":false,"suffix":""},{"dropping-particle":"","family":"Bullmore","given":"Edward T.","non-dropping-particle":"","parse-names":false,"suffix":""},{"dropping-particle":"","family":"Robbins","given":"Trevor W.","non-dropping-particle":"","parse-names":false,"suffix":""},{"dropping-particle":"","family":"Sahakian","given":"Barbara J.","non-dropping-particle":"","parse-names":false,"suffix":""}],"container-title":"Biological Psychiatry","id":"ITEM-1","issue":"7","issued":{"date-parts":[["2009"]]},"page":"550-555","publisher":"Society of Biological Psychiatry","title":"Atomoxetine Modulates Right Inferior Frontal Activation During Inhibitory Control: A Pharmacological Functional Magnetic Resonance Imaging Study","type":"article-journal","volume":"65"},"uris":["http://www.mendeley.com/documents/?uuid=c14a21aa-8370-482f-a275-30951fac1f22"]},{"id":"ITEM-2","itemData":{"DOI":"10.1016/j.biopsych.2014.01.024","ISSN":"18732402","abstract":"BACKGROUND: Dopaminergic drugs remain the mainstay of Parkinson's disease therapy but often fail to improve cognitive problems such as impulsivity. This may be due to the loss of other neurotransmitters, including noradrenaline, which is linked to impulsivity and response inhibition. We therefore examined the effect of the selective noradrenaline reuptake inhibitor atomoxetine on response inhibition in a stop-signal paradigm. METHODS: This pharmacological functional magnetic resonance imaging study used a double-blinded randomized crossover design with low-frequency inhibition trials distributed among frequent Go trials. Twenty-one patients received 40 mg atomoxetine or placebo. Control subjects were tested on no-drug. The effects of disease and drug on behavioral performance, regional brain activity, and functional connectivity were analyzed using general linear models. Anatomical connectivity was examined using diffusion-weighted imaging. RESULTS: Patients with Parkinson's disease had longer stop-signal reaction times, less stop-related activation in the right inferior frontal gyrus (RIFG), and weaker functional connectivity between the RIFG and striatum compared with control subjects. Atomoxetine enhanced stop-related RIFG activation in proportion to disease severity. Although there was no overall behavioral benefit from atomoxetine, analyses of individual differences revealed that enhanced response inhibition by atomoxetine was associated with increased RIFG activation and functional frontostriatal connectivity. Improved performance was more likely in patients with higher structural frontostriatal connectivity. CONCLUSIONS: This study suggests that enhanced prefrontal cortical activation and frontostriatal connectivity by atomoxetine may improve response inhibition in Parkinson's disease. These results point the way to new stratified clinical trials of atomoxetine to treat impulsivity in selected patients with Parkinson's disease.","author":[{"dropping-particle":"","family":"Ye","given":"Zheng","non-dropping-particle":"","parse-names":false,"suffix":""},{"dropping-particle":"","family":"Altena","given":"Ellemarije","non-dropping-particle":"","parse-names":false,"suffix":""},{"dropping-particle":"","family":"Nombela","given":"Cristina","non-dropping-particle":"","parse-names":false,"suffix":""},{"dropping-particle":"","family":"Housden","given":"Charlotte R.","non-dropping-particle":"","parse-names":false,"suffix":""},{"dropping-particle":"","family":"Maxwell","given":"Helen","non-dropping-particle":"","parse-names":false,"suffix":""},{"dropping-particle":"","family":"Rittman","given":"Timothy","non-dropping-particle":"","parse-names":false,"suffix":""},{"dropping-particle":"","family":"Huddleston","given":"Chelan","non-dropping-particle":"","parse-names":false,"suffix":""},{"dropping-particle":"","family":"Rae","given":"Charlotte L.","non-dropping-particle":"","parse-names":false,"suffix":""},{"dropping-particle":"","family":"Regenthal","given":"Ralf","non-dropping-particle":"","parse-names":false,"suffix":""},{"dropping-particle":"","family":"Sahakian","given":"Barbara J.","non-dropping-particle":"","parse-names":false,"suffix":""},{"dropping-particle":"","family":"Barker","given":"Roger A.","non-dropping-particle":"","parse-names":false,"suffix":""},{"dropping-particle":"","family":"Robbins","given":"Trevor W.","non-dropping-particle":"","parse-names":false,"suffix":""},{"dropping-particle":"","family":"Rowe","given":"James B.","non-dropping-particle":"","parse-names":false,"suffix":""}],"container-title":"Biological Psychiatry","id":"ITEM-2","issue":"8","issued":{"date-parts":[["2015"]]},"page":"740-748","publisher":"Elsevier","title":"Improving response inhibition in Parkinson's disease with atomoxetine","type":"article-journal","volume":"77"},"uris":["http://www.mendeley.com/documents/?uuid=cbcdd1b4-4fbf-4038-b776-c7dd388c5d66"]}],"mendeley":{"formattedCitation":"(24,30)","plainTextFormattedCitation":"(24,30)","previouslyFormattedCitation":"(24,30)"},"properties":{"noteIndex":0},"schema":"https://github.com/citation-style-language/schema/raw/master/csl-citation.json"}</w:instrText>
      </w:r>
      <w:r w:rsidR="00E7262E">
        <w:rPr>
          <w:rFonts w:ascii="Times New Roman" w:hAnsi="Times New Roman" w:cs="Times New Roman"/>
        </w:rPr>
        <w:fldChar w:fldCharType="separate"/>
      </w:r>
      <w:r w:rsidR="00112D56" w:rsidRPr="00112D56">
        <w:rPr>
          <w:rFonts w:ascii="Times New Roman" w:hAnsi="Times New Roman" w:cs="Times New Roman"/>
          <w:noProof/>
        </w:rPr>
        <w:t>(24,30)</w:t>
      </w:r>
      <w:r w:rsidR="00E7262E">
        <w:rPr>
          <w:rFonts w:ascii="Times New Roman" w:hAnsi="Times New Roman" w:cs="Times New Roman"/>
        </w:rPr>
        <w:fldChar w:fldCharType="end"/>
      </w:r>
      <w:r w:rsidR="005E5C4D">
        <w:rPr>
          <w:rFonts w:ascii="Times New Roman" w:hAnsi="Times New Roman" w:cs="Times New Roman"/>
        </w:rPr>
        <w:t xml:space="preserve">, an IFG </w:t>
      </w:r>
      <w:r>
        <w:rPr>
          <w:rFonts w:ascii="Times New Roman" w:hAnsi="Times New Roman" w:cs="Times New Roman"/>
        </w:rPr>
        <w:t>region of interest (</w:t>
      </w:r>
      <w:r w:rsidR="005E5C4D">
        <w:rPr>
          <w:rFonts w:ascii="Times New Roman" w:hAnsi="Times New Roman" w:cs="Times New Roman"/>
        </w:rPr>
        <w:t>ROI</w:t>
      </w:r>
      <w:r>
        <w:rPr>
          <w:rFonts w:ascii="Times New Roman" w:hAnsi="Times New Roman" w:cs="Times New Roman"/>
        </w:rPr>
        <w:t xml:space="preserve">) </w:t>
      </w:r>
      <w:r w:rsidR="00F11E3B">
        <w:rPr>
          <w:rFonts w:ascii="Times New Roman" w:hAnsi="Times New Roman" w:cs="Times New Roman"/>
        </w:rPr>
        <w:t>w</w:t>
      </w:r>
      <w:r w:rsidR="00F11E3B" w:rsidRPr="002842C5">
        <w:rPr>
          <w:rFonts w:ascii="Times New Roman" w:hAnsi="Times New Roman" w:cs="Times New Roman"/>
        </w:rPr>
        <w:t xml:space="preserve">as </w:t>
      </w:r>
      <w:r w:rsidR="002842C5" w:rsidRPr="00811349">
        <w:rPr>
          <w:rFonts w:ascii="Times New Roman" w:hAnsi="Times New Roman" w:cs="Times New Roman"/>
        </w:rPr>
        <w:t xml:space="preserve">applied </w:t>
      </w:r>
      <w:r w:rsidR="00E947EA" w:rsidRPr="002842C5">
        <w:rPr>
          <w:rFonts w:ascii="Times New Roman" w:hAnsi="Times New Roman" w:cs="Times New Roman"/>
        </w:rPr>
        <w:t xml:space="preserve">using the </w:t>
      </w:r>
      <w:r w:rsidR="005E5C4D" w:rsidRPr="002842C5">
        <w:rPr>
          <w:rFonts w:ascii="Times New Roman" w:hAnsi="Times New Roman" w:cs="Times New Roman"/>
        </w:rPr>
        <w:t>Harvard</w:t>
      </w:r>
      <w:r w:rsidR="00E947EA" w:rsidRPr="002842C5">
        <w:rPr>
          <w:rFonts w:ascii="Times New Roman" w:hAnsi="Times New Roman" w:cs="Times New Roman"/>
        </w:rPr>
        <w:t>-Oxford</w:t>
      </w:r>
      <w:r w:rsidR="005E5C4D" w:rsidRPr="002842C5">
        <w:rPr>
          <w:rFonts w:ascii="Times New Roman" w:hAnsi="Times New Roman" w:cs="Times New Roman"/>
        </w:rPr>
        <w:t xml:space="preserve"> atlas</w:t>
      </w:r>
      <w:r w:rsidR="00F11E3B" w:rsidRPr="002842C5">
        <w:rPr>
          <w:rFonts w:ascii="Times New Roman" w:hAnsi="Times New Roman" w:cs="Times New Roman"/>
        </w:rPr>
        <w:t>. As significant improvement</w:t>
      </w:r>
      <w:r w:rsidRPr="002842C5">
        <w:rPr>
          <w:rFonts w:ascii="Times New Roman" w:hAnsi="Times New Roman" w:cs="Times New Roman"/>
        </w:rPr>
        <w:t xml:space="preserve"> in Go RT was</w:t>
      </w:r>
      <w:r w:rsidR="00F11E3B" w:rsidRPr="002842C5">
        <w:rPr>
          <w:rFonts w:ascii="Times New Roman" w:hAnsi="Times New Roman" w:cs="Times New Roman"/>
        </w:rPr>
        <w:t xml:space="preserve"> noted, a parallel </w:t>
      </w:r>
      <w:r w:rsidR="002842C5">
        <w:rPr>
          <w:rFonts w:ascii="Times New Roman" w:hAnsi="Times New Roman" w:cs="Times New Roman"/>
        </w:rPr>
        <w:t xml:space="preserve">yet exploratory </w:t>
      </w:r>
      <w:r w:rsidR="00F11E3B" w:rsidRPr="002842C5">
        <w:rPr>
          <w:rFonts w:ascii="Times New Roman" w:hAnsi="Times New Roman" w:cs="Times New Roman"/>
        </w:rPr>
        <w:t xml:space="preserve">analysis was conducted </w:t>
      </w:r>
      <w:r w:rsidR="00F11E3B">
        <w:rPr>
          <w:rFonts w:ascii="Times New Roman" w:hAnsi="Times New Roman" w:cs="Times New Roman"/>
        </w:rPr>
        <w:t>with the difference between drug conditions in Go RT (</w:t>
      </w:r>
      <w:proofErr w:type="spellStart"/>
      <w:r w:rsidR="00F11E3B">
        <w:rPr>
          <w:rFonts w:ascii="Times New Roman" w:hAnsi="Times New Roman" w:cs="Times New Roman"/>
        </w:rPr>
        <w:t>ΔGoRT</w:t>
      </w:r>
      <w:proofErr w:type="spellEnd"/>
      <w:r w:rsidR="00F11E3B">
        <w:rPr>
          <w:rFonts w:ascii="Times New Roman" w:hAnsi="Times New Roman" w:cs="Times New Roman"/>
        </w:rPr>
        <w:t>) added as a covariate to the go&gt;stop drug difference GLM</w:t>
      </w:r>
      <w:r>
        <w:rPr>
          <w:rFonts w:ascii="Times New Roman" w:hAnsi="Times New Roman" w:cs="Times New Roman"/>
        </w:rPr>
        <w:t xml:space="preserve"> with</w:t>
      </w:r>
      <w:r w:rsidR="003D4CDF">
        <w:rPr>
          <w:rFonts w:ascii="Times New Roman" w:hAnsi="Times New Roman" w:cs="Times New Roman"/>
        </w:rPr>
        <w:t xml:space="preserve"> primary motor cortex</w:t>
      </w:r>
      <w:r>
        <w:rPr>
          <w:rFonts w:ascii="Times New Roman" w:hAnsi="Times New Roman" w:cs="Times New Roman"/>
        </w:rPr>
        <w:t xml:space="preserve"> </w:t>
      </w:r>
      <w:r w:rsidR="003D4CDF">
        <w:rPr>
          <w:rFonts w:ascii="Times New Roman" w:hAnsi="Times New Roman" w:cs="Times New Roman"/>
        </w:rPr>
        <w:t>(</w:t>
      </w:r>
      <w:r>
        <w:rPr>
          <w:rFonts w:ascii="Times New Roman" w:hAnsi="Times New Roman" w:cs="Times New Roman"/>
        </w:rPr>
        <w:t>M1</w:t>
      </w:r>
      <w:r w:rsidR="003D4CDF">
        <w:rPr>
          <w:rFonts w:ascii="Times New Roman" w:hAnsi="Times New Roman" w:cs="Times New Roman"/>
        </w:rPr>
        <w:t>)</w:t>
      </w:r>
      <w:r>
        <w:rPr>
          <w:rFonts w:ascii="Times New Roman" w:hAnsi="Times New Roman" w:cs="Times New Roman"/>
        </w:rPr>
        <w:t xml:space="preserve"> serving as an ROI</w:t>
      </w:r>
      <w:r w:rsidR="00AE2453">
        <w:rPr>
          <w:rFonts w:ascii="Times New Roman" w:hAnsi="Times New Roman" w:cs="Times New Roman"/>
        </w:rPr>
        <w:t xml:space="preserve"> (primary motor cortex</w:t>
      </w:r>
      <w:r w:rsidR="00EE514E">
        <w:rPr>
          <w:rFonts w:ascii="Times New Roman" w:hAnsi="Times New Roman" w:cs="Times New Roman"/>
        </w:rPr>
        <w:t xml:space="preserve"> from the </w:t>
      </w:r>
      <w:proofErr w:type="spellStart"/>
      <w:r w:rsidR="00EE514E">
        <w:rPr>
          <w:rFonts w:ascii="Times New Roman" w:hAnsi="Times New Roman" w:cs="Times New Roman"/>
        </w:rPr>
        <w:t>Juelich</w:t>
      </w:r>
      <w:proofErr w:type="spellEnd"/>
      <w:r w:rsidR="00EE514E">
        <w:rPr>
          <w:rFonts w:ascii="Times New Roman" w:hAnsi="Times New Roman" w:cs="Times New Roman"/>
        </w:rPr>
        <w:t xml:space="preserve"> Atlas</w:t>
      </w:r>
      <w:r w:rsidR="00AE2453">
        <w:rPr>
          <w:rFonts w:ascii="Times New Roman" w:hAnsi="Times New Roman" w:cs="Times New Roman"/>
        </w:rPr>
        <w:t>)</w:t>
      </w:r>
      <w:r w:rsidR="00F11E3B">
        <w:rPr>
          <w:rFonts w:ascii="Times New Roman" w:hAnsi="Times New Roman" w:cs="Times New Roman"/>
        </w:rPr>
        <w:t xml:space="preserve">. </w:t>
      </w:r>
      <w:r w:rsidR="00540B4A">
        <w:rPr>
          <w:rFonts w:ascii="Times New Roman" w:hAnsi="Times New Roman" w:cs="Times New Roman"/>
        </w:rPr>
        <w:t>For all analyses, i</w:t>
      </w:r>
      <w:r w:rsidR="00637EB7" w:rsidRPr="004E1CFF">
        <w:rPr>
          <w:rFonts w:ascii="Times New Roman" w:hAnsi="Times New Roman" w:cs="Times New Roman"/>
        </w:rPr>
        <w:t xml:space="preserve">mages were </w:t>
      </w:r>
      <w:proofErr w:type="spellStart"/>
      <w:r w:rsidR="00637EB7" w:rsidRPr="004E1CFF">
        <w:rPr>
          <w:rFonts w:ascii="Times New Roman" w:hAnsi="Times New Roman" w:cs="Times New Roman"/>
        </w:rPr>
        <w:t>thresholded</w:t>
      </w:r>
      <w:proofErr w:type="spellEnd"/>
      <w:r w:rsidR="00637EB7" w:rsidRPr="004E1CFF">
        <w:rPr>
          <w:rFonts w:ascii="Times New Roman" w:hAnsi="Times New Roman" w:cs="Times New Roman"/>
        </w:rPr>
        <w:t xml:space="preserve"> </w:t>
      </w:r>
      <w:r w:rsidR="00932742" w:rsidRPr="004E1CFF">
        <w:rPr>
          <w:rFonts w:ascii="Times New Roman" w:hAnsi="Times New Roman" w:cs="Times New Roman"/>
        </w:rPr>
        <w:t xml:space="preserve">using </w:t>
      </w:r>
      <w:r w:rsidR="00557006" w:rsidRPr="004E1CFF">
        <w:rPr>
          <w:rFonts w:ascii="Times New Roman" w:hAnsi="Times New Roman" w:cs="Times New Roman"/>
        </w:rPr>
        <w:t>t</w:t>
      </w:r>
      <w:r w:rsidR="004C3E50" w:rsidRPr="004E1CFF">
        <w:rPr>
          <w:rFonts w:ascii="Times New Roman" w:hAnsi="Times New Roman" w:cs="Times New Roman"/>
        </w:rPr>
        <w:t xml:space="preserve">hreshold free </w:t>
      </w:r>
      <w:r w:rsidR="00557006" w:rsidRPr="004E1CFF">
        <w:rPr>
          <w:rFonts w:ascii="Times New Roman" w:hAnsi="Times New Roman" w:cs="Times New Roman"/>
        </w:rPr>
        <w:t xml:space="preserve">cluster enhancement </w:t>
      </w:r>
      <w:r w:rsidR="009001C7" w:rsidRPr="004E1CFF">
        <w:rPr>
          <w:rFonts w:ascii="Times New Roman" w:hAnsi="Times New Roman" w:cs="Times New Roman"/>
        </w:rPr>
        <w:t xml:space="preserve">in </w:t>
      </w:r>
      <w:r w:rsidR="00557006" w:rsidRPr="004E1CFF">
        <w:rPr>
          <w:rFonts w:ascii="Times New Roman" w:hAnsi="Times New Roman" w:cs="Times New Roman"/>
        </w:rPr>
        <w:t>r</w:t>
      </w:r>
      <w:r w:rsidR="00F3644D" w:rsidRPr="004E1CFF">
        <w:rPr>
          <w:rFonts w:ascii="Times New Roman" w:hAnsi="Times New Roman" w:cs="Times New Roman"/>
        </w:rPr>
        <w:t>andomise</w:t>
      </w:r>
      <w:r w:rsidR="00557006" w:rsidRPr="004E1CFF">
        <w:rPr>
          <w:rFonts w:ascii="Times New Roman" w:hAnsi="Times New Roman" w:cs="Times New Roman"/>
        </w:rPr>
        <w:t xml:space="preserve"> with </w:t>
      </w:r>
      <w:r w:rsidR="00F3644D" w:rsidRPr="004E1CFF">
        <w:rPr>
          <w:rFonts w:ascii="Times New Roman" w:hAnsi="Times New Roman" w:cs="Times New Roman"/>
        </w:rPr>
        <w:t>5000 permutations</w:t>
      </w:r>
      <w:r w:rsidR="002633DD">
        <w:rPr>
          <w:rFonts w:ascii="Times New Roman" w:hAnsi="Times New Roman" w:cs="Times New Roman"/>
        </w:rPr>
        <w:t xml:space="preserve"> (z&gt;2.3, p&lt;0.05)</w:t>
      </w:r>
      <w:r w:rsidR="00756C78" w:rsidRPr="004E1CFF">
        <w:rPr>
          <w:rFonts w:ascii="Times New Roman" w:hAnsi="Times New Roman" w:cs="Times New Roman"/>
        </w:rPr>
        <w:t>.</w:t>
      </w:r>
      <w:r w:rsidR="00F3644D" w:rsidRPr="004E1CFF">
        <w:rPr>
          <w:rFonts w:ascii="Times New Roman" w:hAnsi="Times New Roman" w:cs="Times New Roman"/>
        </w:rPr>
        <w:t xml:space="preserve"> </w:t>
      </w:r>
      <w:r w:rsidR="009D1B9E" w:rsidRPr="004E1CFF">
        <w:rPr>
          <w:rFonts w:ascii="Times New Roman" w:hAnsi="Times New Roman" w:cs="Times New Roman"/>
        </w:rPr>
        <w:t xml:space="preserve">Demeaned order </w:t>
      </w:r>
      <w:r w:rsidR="008C0C88" w:rsidRPr="004E1CFF">
        <w:rPr>
          <w:rFonts w:ascii="Times New Roman" w:hAnsi="Times New Roman" w:cs="Times New Roman"/>
        </w:rPr>
        <w:t xml:space="preserve">of </w:t>
      </w:r>
      <w:r w:rsidR="00EB2924" w:rsidRPr="004E1CFF">
        <w:rPr>
          <w:rFonts w:ascii="Times New Roman" w:hAnsi="Times New Roman" w:cs="Times New Roman"/>
        </w:rPr>
        <w:t xml:space="preserve">drug vs placebo </w:t>
      </w:r>
      <w:r w:rsidR="00160C86" w:rsidRPr="004E1CFF">
        <w:rPr>
          <w:rFonts w:ascii="Times New Roman" w:hAnsi="Times New Roman" w:cs="Times New Roman"/>
        </w:rPr>
        <w:t xml:space="preserve">sessions </w:t>
      </w:r>
      <w:r w:rsidR="00393F68" w:rsidRPr="004E1CFF">
        <w:rPr>
          <w:rFonts w:ascii="Times New Roman" w:hAnsi="Times New Roman" w:cs="Times New Roman"/>
        </w:rPr>
        <w:t xml:space="preserve">was included </w:t>
      </w:r>
      <w:r w:rsidR="00744F70" w:rsidRPr="004E1CFF">
        <w:rPr>
          <w:rFonts w:ascii="Times New Roman" w:hAnsi="Times New Roman" w:cs="Times New Roman"/>
        </w:rPr>
        <w:t xml:space="preserve">as a </w:t>
      </w:r>
      <w:r w:rsidR="009D1B9E" w:rsidRPr="004E1CFF">
        <w:rPr>
          <w:rFonts w:ascii="Times New Roman" w:hAnsi="Times New Roman" w:cs="Times New Roman"/>
        </w:rPr>
        <w:t>s</w:t>
      </w:r>
      <w:r w:rsidR="00397E27" w:rsidRPr="004E1CFF">
        <w:rPr>
          <w:rFonts w:ascii="Times New Roman" w:hAnsi="Times New Roman" w:cs="Times New Roman"/>
        </w:rPr>
        <w:t xml:space="preserve">econd-level </w:t>
      </w:r>
      <w:r w:rsidR="0032744A" w:rsidRPr="004E1CFF">
        <w:rPr>
          <w:rFonts w:ascii="Times New Roman" w:hAnsi="Times New Roman" w:cs="Times New Roman"/>
        </w:rPr>
        <w:t>covariate</w:t>
      </w:r>
      <w:r w:rsidR="005B09F5" w:rsidRPr="004E1CFF">
        <w:rPr>
          <w:rFonts w:ascii="Times New Roman" w:hAnsi="Times New Roman" w:cs="Times New Roman"/>
        </w:rPr>
        <w:t xml:space="preserve"> of no interest</w:t>
      </w:r>
      <w:r w:rsidR="009155E4" w:rsidRPr="004E1CFF">
        <w:rPr>
          <w:rFonts w:ascii="Times New Roman" w:hAnsi="Times New Roman" w:cs="Times New Roman"/>
        </w:rPr>
        <w:t xml:space="preserve"> </w:t>
      </w:r>
      <w:r w:rsidR="00C505E4" w:rsidRPr="004E1CFF">
        <w:rPr>
          <w:rFonts w:ascii="Times New Roman" w:hAnsi="Times New Roman" w:cs="Times New Roman"/>
        </w:rPr>
        <w:t>in all GLMs</w:t>
      </w:r>
      <w:r w:rsidR="00744F70" w:rsidRPr="004E1CFF">
        <w:rPr>
          <w:rFonts w:ascii="Times New Roman" w:hAnsi="Times New Roman" w:cs="Times New Roman"/>
        </w:rPr>
        <w:t xml:space="preserve">. </w:t>
      </w:r>
      <w:r w:rsidR="006E6398">
        <w:rPr>
          <w:rFonts w:ascii="Times New Roman" w:hAnsi="Times New Roman" w:cs="Times New Roman"/>
        </w:rPr>
        <w:t xml:space="preserve">Group mean activations and </w:t>
      </w:r>
      <w:r w:rsidR="007051F7">
        <w:rPr>
          <w:rFonts w:ascii="Times New Roman" w:hAnsi="Times New Roman" w:cs="Times New Roman"/>
        </w:rPr>
        <w:t xml:space="preserve">placebo-atomoxetine GLMs were conducted using a whole-brain mask while the </w:t>
      </w:r>
      <w:r w:rsidR="00B57643">
        <w:rPr>
          <w:rFonts w:ascii="Symbol" w:hAnsi="Symbol"/>
        </w:rPr>
        <w:t></w:t>
      </w:r>
      <w:r w:rsidR="00B57643" w:rsidRPr="00B57643">
        <w:rPr>
          <w:rFonts w:ascii="Times New Roman" w:hAnsi="Times New Roman" w:cs="Times New Roman"/>
        </w:rPr>
        <w:t>SSRT and</w:t>
      </w:r>
      <w:r w:rsidR="00B57643">
        <w:t xml:space="preserve"> </w:t>
      </w:r>
      <w:r w:rsidR="00B57643">
        <w:rPr>
          <w:rFonts w:ascii="Symbol" w:hAnsi="Symbol"/>
        </w:rPr>
        <w:t></w:t>
      </w:r>
      <w:proofErr w:type="spellStart"/>
      <w:r w:rsidR="00B57643" w:rsidRPr="00B57643">
        <w:rPr>
          <w:rFonts w:ascii="Times New Roman" w:hAnsi="Times New Roman" w:cs="Times New Roman"/>
        </w:rPr>
        <w:t>GoRT</w:t>
      </w:r>
      <w:proofErr w:type="spellEnd"/>
      <w:r w:rsidR="00B57643" w:rsidRPr="00B57643">
        <w:rPr>
          <w:rFonts w:ascii="Times New Roman" w:hAnsi="Times New Roman" w:cs="Times New Roman"/>
        </w:rPr>
        <w:t xml:space="preserve"> </w:t>
      </w:r>
      <w:r w:rsidR="00D17E40">
        <w:rPr>
          <w:rFonts w:ascii="Times New Roman" w:hAnsi="Times New Roman" w:cs="Times New Roman"/>
        </w:rPr>
        <w:t xml:space="preserve">analyses </w:t>
      </w:r>
      <w:r w:rsidR="00A35344">
        <w:rPr>
          <w:rFonts w:ascii="Times New Roman" w:hAnsi="Times New Roman" w:cs="Times New Roman"/>
        </w:rPr>
        <w:t xml:space="preserve">were conducted within the </w:t>
      </w:r>
      <w:r w:rsidR="00B57643" w:rsidRPr="00B57643">
        <w:rPr>
          <w:rFonts w:ascii="Times New Roman" w:hAnsi="Times New Roman" w:cs="Times New Roman"/>
        </w:rPr>
        <w:t xml:space="preserve">IFG </w:t>
      </w:r>
      <w:r w:rsidR="00720BE8">
        <w:rPr>
          <w:rFonts w:ascii="Times New Roman" w:hAnsi="Times New Roman" w:cs="Times New Roman"/>
        </w:rPr>
        <w:t xml:space="preserve">and </w:t>
      </w:r>
      <w:r w:rsidR="00B57643" w:rsidRPr="00B57643">
        <w:rPr>
          <w:rFonts w:ascii="Times New Roman" w:hAnsi="Times New Roman" w:cs="Times New Roman"/>
        </w:rPr>
        <w:t>M1</w:t>
      </w:r>
      <w:r w:rsidR="00720BE8">
        <w:rPr>
          <w:rFonts w:ascii="Times New Roman" w:hAnsi="Times New Roman" w:cs="Times New Roman"/>
        </w:rPr>
        <w:t xml:space="preserve"> masks, respectively.</w:t>
      </w:r>
    </w:p>
    <w:p w14:paraId="029C8FF6" w14:textId="0ED74B59" w:rsidR="00922DD6" w:rsidRDefault="00F1293A" w:rsidP="00BF7E9E">
      <w:pPr>
        <w:spacing w:line="360" w:lineRule="auto"/>
        <w:rPr>
          <w:rFonts w:ascii="Times New Roman" w:hAnsi="Times New Roman" w:cs="Times New Roman"/>
        </w:rPr>
      </w:pPr>
      <w:r w:rsidRPr="004E1CFF">
        <w:rPr>
          <w:rFonts w:ascii="Times New Roman" w:hAnsi="Times New Roman" w:cs="Times New Roman"/>
          <w:i/>
        </w:rPr>
        <w:lastRenderedPageBreak/>
        <w:t>DCM</w:t>
      </w:r>
      <w:r w:rsidR="00441D5E">
        <w:rPr>
          <w:rFonts w:ascii="Times New Roman" w:hAnsi="Times New Roman" w:cs="Times New Roman"/>
          <w:i/>
        </w:rPr>
        <w:t xml:space="preserve"> Analyses</w:t>
      </w:r>
      <w:r w:rsidRPr="004E1CFF">
        <w:rPr>
          <w:rFonts w:ascii="Times New Roman" w:hAnsi="Times New Roman" w:cs="Times New Roman"/>
          <w:i/>
        </w:rPr>
        <w:t xml:space="preserve">. </w:t>
      </w:r>
      <w:r w:rsidR="0006580A">
        <w:rPr>
          <w:rFonts w:ascii="Times New Roman" w:hAnsi="Times New Roman" w:cs="Times New Roman"/>
        </w:rPr>
        <w:t>T</w:t>
      </w:r>
      <w:r w:rsidR="001934EB" w:rsidRPr="004E1CFF">
        <w:rPr>
          <w:rFonts w:ascii="Times New Roman" w:hAnsi="Times New Roman" w:cs="Times New Roman"/>
        </w:rPr>
        <w:t xml:space="preserve">o examine </w:t>
      </w:r>
      <w:r w:rsidR="00E838F1" w:rsidRPr="004E1CFF">
        <w:rPr>
          <w:rFonts w:ascii="Times New Roman" w:hAnsi="Times New Roman" w:cs="Times New Roman"/>
        </w:rPr>
        <w:t>the</w:t>
      </w:r>
      <w:r w:rsidR="00FD56BC">
        <w:rPr>
          <w:rFonts w:ascii="Times New Roman" w:hAnsi="Times New Roman" w:cs="Times New Roman"/>
        </w:rPr>
        <w:t xml:space="preserve"> most likely network </w:t>
      </w:r>
      <w:r w:rsidR="00E838F1" w:rsidRPr="004E1CFF">
        <w:rPr>
          <w:rFonts w:ascii="Times New Roman" w:hAnsi="Times New Roman" w:cs="Times New Roman"/>
        </w:rPr>
        <w:t xml:space="preserve">identified by group mean </w:t>
      </w:r>
      <w:r w:rsidR="001C531A" w:rsidRPr="004E1CFF">
        <w:rPr>
          <w:rFonts w:ascii="Times New Roman" w:hAnsi="Times New Roman" w:cs="Times New Roman"/>
        </w:rPr>
        <w:t xml:space="preserve">GLM </w:t>
      </w:r>
      <w:r w:rsidR="00E838F1" w:rsidRPr="004E1CFF">
        <w:rPr>
          <w:rFonts w:ascii="Times New Roman" w:hAnsi="Times New Roman" w:cs="Times New Roman"/>
        </w:rPr>
        <w:t>maps</w:t>
      </w:r>
      <w:r w:rsidR="00ED262E" w:rsidRPr="004E1CFF">
        <w:rPr>
          <w:rFonts w:ascii="Times New Roman" w:hAnsi="Times New Roman" w:cs="Times New Roman"/>
        </w:rPr>
        <w:t xml:space="preserve">, </w:t>
      </w:r>
      <w:r w:rsidR="002842C5">
        <w:rPr>
          <w:rFonts w:ascii="Times New Roman" w:hAnsi="Times New Roman" w:cs="Times New Roman"/>
        </w:rPr>
        <w:t>and</w:t>
      </w:r>
      <w:r w:rsidR="002842C5" w:rsidRPr="004E1CFF">
        <w:rPr>
          <w:rFonts w:ascii="Times New Roman" w:hAnsi="Times New Roman" w:cs="Times New Roman"/>
        </w:rPr>
        <w:t xml:space="preserve"> </w:t>
      </w:r>
      <w:r w:rsidR="002842C5">
        <w:rPr>
          <w:rFonts w:ascii="Times New Roman" w:hAnsi="Times New Roman" w:cs="Times New Roman"/>
        </w:rPr>
        <w:t xml:space="preserve">to inspect the </w:t>
      </w:r>
      <w:r w:rsidR="002842C5" w:rsidRPr="004E1CFF">
        <w:rPr>
          <w:rFonts w:ascii="Times New Roman" w:hAnsi="Times New Roman" w:cs="Times New Roman"/>
        </w:rPr>
        <w:t>directed connectivity in th</w:t>
      </w:r>
      <w:r w:rsidR="002842C5">
        <w:rPr>
          <w:rFonts w:ascii="Times New Roman" w:hAnsi="Times New Roman" w:cs="Times New Roman"/>
        </w:rPr>
        <w:t>at</w:t>
      </w:r>
      <w:r w:rsidR="002842C5" w:rsidRPr="004E1CFF">
        <w:rPr>
          <w:rFonts w:ascii="Times New Roman" w:hAnsi="Times New Roman" w:cs="Times New Roman"/>
        </w:rPr>
        <w:t xml:space="preserve"> network</w:t>
      </w:r>
      <w:r w:rsidR="002842C5">
        <w:rPr>
          <w:rFonts w:ascii="Times New Roman" w:hAnsi="Times New Roman" w:cs="Times New Roman"/>
        </w:rPr>
        <w:t>,</w:t>
      </w:r>
      <w:r w:rsidR="002842C5" w:rsidRPr="004E1CFF">
        <w:rPr>
          <w:rFonts w:ascii="Times New Roman" w:hAnsi="Times New Roman" w:cs="Times New Roman"/>
        </w:rPr>
        <w:t xml:space="preserve"> </w:t>
      </w:r>
      <w:r w:rsidR="00ED262E" w:rsidRPr="004E1CFF">
        <w:rPr>
          <w:rFonts w:ascii="Times New Roman" w:hAnsi="Times New Roman" w:cs="Times New Roman"/>
        </w:rPr>
        <w:t xml:space="preserve">dynamic causal models </w:t>
      </w:r>
      <w:r w:rsidR="0091132F" w:rsidRPr="004E1CFF">
        <w:rPr>
          <w:rFonts w:ascii="Times New Roman" w:hAnsi="Times New Roman" w:cs="Times New Roman"/>
        </w:rPr>
        <w:t>(DCM</w:t>
      </w:r>
      <w:r w:rsidR="00AC7501">
        <w:rPr>
          <w:rFonts w:ascii="Times New Roman" w:hAnsi="Times New Roman" w:cs="Times New Roman"/>
        </w:rPr>
        <w:t>;</w:t>
      </w:r>
      <w:r w:rsidR="00B64520" w:rsidRPr="004E1CFF">
        <w:rPr>
          <w:rFonts w:ascii="Times New Roman" w:hAnsi="Times New Roman" w:cs="Times New Roman"/>
        </w:rPr>
        <w:t xml:space="preserve"> </w:t>
      </w:r>
      <w:proofErr w:type="spellStart"/>
      <w:r w:rsidR="001E7E9E" w:rsidRPr="004E1CFF">
        <w:rPr>
          <w:rFonts w:ascii="Times New Roman" w:hAnsi="Times New Roman" w:cs="Times New Roman"/>
        </w:rPr>
        <w:t>Friston</w:t>
      </w:r>
      <w:proofErr w:type="spellEnd"/>
      <w:r w:rsidR="001E7E9E" w:rsidRPr="004E1CFF">
        <w:rPr>
          <w:rFonts w:ascii="Times New Roman" w:hAnsi="Times New Roman" w:cs="Times New Roman"/>
        </w:rPr>
        <w:t xml:space="preserve"> 2003</w:t>
      </w:r>
      <w:r w:rsidR="0091132F" w:rsidRPr="004E1CFF">
        <w:rPr>
          <w:rFonts w:ascii="Times New Roman" w:hAnsi="Times New Roman" w:cs="Times New Roman"/>
        </w:rPr>
        <w:t xml:space="preserve">) </w:t>
      </w:r>
      <w:r w:rsidR="00ED262E" w:rsidRPr="004E1CFF">
        <w:rPr>
          <w:rFonts w:ascii="Times New Roman" w:hAnsi="Times New Roman" w:cs="Times New Roman"/>
        </w:rPr>
        <w:t xml:space="preserve">were </w:t>
      </w:r>
      <w:r w:rsidR="00F31B42" w:rsidRPr="004E1CFF">
        <w:rPr>
          <w:rFonts w:ascii="Times New Roman" w:hAnsi="Times New Roman" w:cs="Times New Roman"/>
        </w:rPr>
        <w:t>built</w:t>
      </w:r>
      <w:r w:rsidR="00ED262E" w:rsidRPr="004E1CFF">
        <w:rPr>
          <w:rFonts w:ascii="Times New Roman" w:hAnsi="Times New Roman" w:cs="Times New Roman"/>
        </w:rPr>
        <w:t xml:space="preserve"> and tested in each group and drug condition</w:t>
      </w:r>
      <w:r w:rsidR="00B03436" w:rsidRPr="004E1CFF">
        <w:rPr>
          <w:rFonts w:ascii="Times New Roman" w:hAnsi="Times New Roman" w:cs="Times New Roman"/>
        </w:rPr>
        <w:t xml:space="preserve"> in SPM12</w:t>
      </w:r>
      <w:r w:rsidR="00951DDD" w:rsidRPr="004E1CFF">
        <w:rPr>
          <w:rFonts w:ascii="Times New Roman" w:hAnsi="Times New Roman" w:cs="Times New Roman"/>
        </w:rPr>
        <w:t xml:space="preserve"> (</w:t>
      </w:r>
      <w:hyperlink r:id="rId12" w:history="1">
        <w:r w:rsidR="00675C39" w:rsidRPr="004E1CFF">
          <w:rPr>
            <w:rStyle w:val="Hyperlink"/>
            <w:rFonts w:ascii="Times New Roman" w:hAnsi="Times New Roman" w:cs="Times New Roman"/>
          </w:rPr>
          <w:t>https://www.fil.ion.ucl.ac.uk/spm/software/spm12/</w:t>
        </w:r>
      </w:hyperlink>
      <w:r w:rsidR="00951DDD" w:rsidRPr="004E1CFF">
        <w:rPr>
          <w:rFonts w:ascii="Times New Roman" w:hAnsi="Times New Roman" w:cs="Times New Roman"/>
        </w:rPr>
        <w:t>)</w:t>
      </w:r>
      <w:r w:rsidR="00ED262E" w:rsidRPr="004E1CFF">
        <w:rPr>
          <w:rFonts w:ascii="Times New Roman" w:hAnsi="Times New Roman" w:cs="Times New Roman"/>
        </w:rPr>
        <w:t>.</w:t>
      </w:r>
      <w:r w:rsidR="0006580A">
        <w:rPr>
          <w:rFonts w:ascii="Times New Roman" w:hAnsi="Times New Roman" w:cs="Times New Roman"/>
        </w:rPr>
        <w:t xml:space="preserve"> W</w:t>
      </w:r>
      <w:r w:rsidR="0007277E" w:rsidRPr="004E1CFF">
        <w:rPr>
          <w:rFonts w:ascii="Times New Roman" w:hAnsi="Times New Roman" w:cs="Times New Roman"/>
        </w:rPr>
        <w:t>e examine</w:t>
      </w:r>
      <w:r w:rsidR="0007277E">
        <w:rPr>
          <w:rFonts w:ascii="Times New Roman" w:hAnsi="Times New Roman" w:cs="Times New Roman"/>
        </w:rPr>
        <w:t>d</w:t>
      </w:r>
      <w:r w:rsidR="0007277E" w:rsidRPr="004E1CFF">
        <w:rPr>
          <w:rFonts w:ascii="Times New Roman" w:hAnsi="Times New Roman" w:cs="Times New Roman"/>
        </w:rPr>
        <w:t xml:space="preserve"> the </w:t>
      </w:r>
      <w:r w:rsidR="0007277E">
        <w:rPr>
          <w:rFonts w:ascii="Times New Roman" w:hAnsi="Times New Roman" w:cs="Times New Roman"/>
        </w:rPr>
        <w:t>effective connectivity</w:t>
      </w:r>
      <w:r w:rsidR="0007277E" w:rsidRPr="004E1CFF">
        <w:rPr>
          <w:rFonts w:ascii="Times New Roman" w:hAnsi="Times New Roman" w:cs="Times New Roman"/>
        </w:rPr>
        <w:t xml:space="preserve"> between well-known nodes of the stopping network that included the IFG, </w:t>
      </w:r>
      <w:r w:rsidR="003D4CDF">
        <w:rPr>
          <w:rFonts w:ascii="Times New Roman" w:hAnsi="Times New Roman" w:cs="Times New Roman"/>
        </w:rPr>
        <w:t>dorsal Anterior Cingulate</w:t>
      </w:r>
      <w:r w:rsidR="00606F2F">
        <w:rPr>
          <w:rFonts w:ascii="Times New Roman" w:hAnsi="Times New Roman" w:cs="Times New Roman"/>
        </w:rPr>
        <w:t xml:space="preserve"> Cortex</w:t>
      </w:r>
      <w:r w:rsidR="003D4CDF">
        <w:rPr>
          <w:rFonts w:ascii="Times New Roman" w:hAnsi="Times New Roman" w:cs="Times New Roman"/>
        </w:rPr>
        <w:t xml:space="preserve"> (</w:t>
      </w:r>
      <w:r w:rsidR="0007277E" w:rsidRPr="004E1CFF">
        <w:rPr>
          <w:rFonts w:ascii="Times New Roman" w:hAnsi="Times New Roman" w:cs="Times New Roman"/>
        </w:rPr>
        <w:t>ACC</w:t>
      </w:r>
      <w:r w:rsidR="003D4CDF">
        <w:rPr>
          <w:rFonts w:ascii="Times New Roman" w:hAnsi="Times New Roman" w:cs="Times New Roman"/>
        </w:rPr>
        <w:t>)</w:t>
      </w:r>
      <w:r w:rsidR="0007277E" w:rsidRPr="004E1CFF">
        <w:rPr>
          <w:rFonts w:ascii="Times New Roman" w:hAnsi="Times New Roman" w:cs="Times New Roman"/>
        </w:rPr>
        <w:t xml:space="preserve">, M1, </w:t>
      </w:r>
      <w:r w:rsidR="0077279D">
        <w:rPr>
          <w:rFonts w:ascii="Times New Roman" w:hAnsi="Times New Roman" w:cs="Times New Roman"/>
        </w:rPr>
        <w:t xml:space="preserve">and </w:t>
      </w:r>
      <w:r w:rsidR="0007277E" w:rsidRPr="004E1CFF">
        <w:rPr>
          <w:rFonts w:ascii="Times New Roman" w:hAnsi="Times New Roman" w:cs="Times New Roman"/>
        </w:rPr>
        <w:t>STN</w:t>
      </w:r>
      <w:r w:rsidR="0077279D">
        <w:rPr>
          <w:rFonts w:ascii="Times New Roman" w:hAnsi="Times New Roman" w:cs="Times New Roman"/>
        </w:rPr>
        <w:t>,</w:t>
      </w:r>
      <w:r w:rsidR="0007277E">
        <w:rPr>
          <w:rFonts w:ascii="Times New Roman" w:hAnsi="Times New Roman" w:cs="Times New Roman"/>
        </w:rPr>
        <w:t xml:space="preserve"> b</w:t>
      </w:r>
      <w:r w:rsidR="000B4BD1" w:rsidRPr="004E1CFF">
        <w:rPr>
          <w:rFonts w:ascii="Times New Roman" w:hAnsi="Times New Roman" w:cs="Times New Roman"/>
        </w:rPr>
        <w:t xml:space="preserve">uilding on previous </w:t>
      </w:r>
      <w:r w:rsidR="001F6A4A">
        <w:rPr>
          <w:rFonts w:ascii="Times New Roman" w:hAnsi="Times New Roman" w:cs="Times New Roman"/>
        </w:rPr>
        <w:t xml:space="preserve">DCM findings </w:t>
      </w:r>
      <w:r w:rsidR="000B4BD1" w:rsidRPr="004E1CF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Neuroscience","id":"ITEM-1","issue":"2","issued":{"date-parts":[["2015"]]},"page":"786-94","title":"The prefrontal cortex achieves inhibitory control by facilitating subcortical motor pathway connectivity.","type":"article-journal","volume":"35"},"uris":["http://www.mendeley.com/documents/?uuid=e1cd2b52-4b20-423b-8c98-36004beeeda5"]}],"mendeley":{"formattedCitation":"(9)","plainTextFormattedCitation":"(9)","previouslyFormattedCitation":"(9)"},"properties":{"noteIndex":0},"schema":"https://github.com/citation-style-language/schema/raw/master/csl-citation.json"}</w:instrText>
      </w:r>
      <w:r w:rsidR="000B4BD1" w:rsidRPr="004E1CFF">
        <w:rPr>
          <w:rFonts w:ascii="Times New Roman" w:hAnsi="Times New Roman" w:cs="Times New Roman"/>
        </w:rPr>
        <w:fldChar w:fldCharType="separate"/>
      </w:r>
      <w:r w:rsidR="00112D56" w:rsidRPr="00112D56">
        <w:rPr>
          <w:rFonts w:ascii="Times New Roman" w:hAnsi="Times New Roman" w:cs="Times New Roman"/>
          <w:noProof/>
        </w:rPr>
        <w:t>(9)</w:t>
      </w:r>
      <w:r w:rsidR="000B4BD1" w:rsidRPr="004E1CFF">
        <w:rPr>
          <w:rFonts w:ascii="Times New Roman" w:hAnsi="Times New Roman" w:cs="Times New Roman"/>
        </w:rPr>
        <w:fldChar w:fldCharType="end"/>
      </w:r>
      <w:r w:rsidR="009A08B4" w:rsidRPr="004E1CFF">
        <w:rPr>
          <w:rFonts w:ascii="Times New Roman" w:hAnsi="Times New Roman" w:cs="Times New Roman"/>
        </w:rPr>
        <w:t xml:space="preserve">. </w:t>
      </w:r>
      <w:r w:rsidR="008839A9" w:rsidRPr="004E1CFF">
        <w:rPr>
          <w:rFonts w:ascii="Times New Roman" w:hAnsi="Times New Roman" w:cs="Times New Roman"/>
        </w:rPr>
        <w:t xml:space="preserve">We </w:t>
      </w:r>
      <w:r w:rsidR="0007277E">
        <w:rPr>
          <w:rFonts w:ascii="Times New Roman" w:hAnsi="Times New Roman" w:cs="Times New Roman"/>
        </w:rPr>
        <w:t xml:space="preserve">extended the network </w:t>
      </w:r>
      <w:r w:rsidR="00FD56BC" w:rsidRPr="004E1CFF">
        <w:rPr>
          <w:rFonts w:ascii="Times New Roman" w:hAnsi="Times New Roman" w:cs="Times New Roman"/>
        </w:rPr>
        <w:t>underlying action initiation and inhibition</w:t>
      </w:r>
      <w:r w:rsidR="00FD56BC" w:rsidRPr="004E1CFF" w:rsidDel="0007277E">
        <w:rPr>
          <w:rFonts w:ascii="Times New Roman" w:hAnsi="Times New Roman" w:cs="Times New Roman"/>
        </w:rPr>
        <w:t xml:space="preserve"> </w:t>
      </w:r>
      <w:r w:rsidR="00B04141" w:rsidRPr="004E1CFF">
        <w:rPr>
          <w:rFonts w:ascii="Times New Roman" w:hAnsi="Times New Roman" w:cs="Times New Roman"/>
        </w:rPr>
        <w:t xml:space="preserve">by adding the putamen, a </w:t>
      </w:r>
      <w:r w:rsidR="005F651F" w:rsidRPr="004E1CFF">
        <w:rPr>
          <w:rFonts w:ascii="Times New Roman" w:hAnsi="Times New Roman" w:cs="Times New Roman"/>
        </w:rPr>
        <w:t xml:space="preserve">key </w:t>
      </w:r>
      <w:r w:rsidR="005F25AA">
        <w:rPr>
          <w:rFonts w:ascii="Times New Roman" w:hAnsi="Times New Roman" w:cs="Times New Roman"/>
        </w:rPr>
        <w:t>node</w:t>
      </w:r>
      <w:r w:rsidR="005F25AA" w:rsidRPr="004E1CFF">
        <w:rPr>
          <w:rFonts w:ascii="Times New Roman" w:hAnsi="Times New Roman" w:cs="Times New Roman"/>
        </w:rPr>
        <w:t xml:space="preserve"> </w:t>
      </w:r>
      <w:r w:rsidR="00B04141" w:rsidRPr="004E1CFF">
        <w:rPr>
          <w:rFonts w:ascii="Times New Roman" w:hAnsi="Times New Roman" w:cs="Times New Roman"/>
        </w:rPr>
        <w:t xml:space="preserve">of the </w:t>
      </w:r>
      <w:r w:rsidR="00102846" w:rsidRPr="004E1CFF">
        <w:rPr>
          <w:rFonts w:ascii="Times New Roman" w:hAnsi="Times New Roman" w:cs="Times New Roman"/>
        </w:rPr>
        <w:t>in</w:t>
      </w:r>
      <w:r w:rsidR="00B04141" w:rsidRPr="004E1CFF">
        <w:rPr>
          <w:rFonts w:ascii="Times New Roman" w:hAnsi="Times New Roman" w:cs="Times New Roman"/>
        </w:rPr>
        <w:t>di</w:t>
      </w:r>
      <w:r w:rsidR="00102846" w:rsidRPr="004E1CFF">
        <w:rPr>
          <w:rFonts w:ascii="Times New Roman" w:hAnsi="Times New Roman" w:cs="Times New Roman"/>
        </w:rPr>
        <w:t>rect</w:t>
      </w:r>
      <w:r w:rsidR="00CB6F5D" w:rsidRPr="004E1CFF">
        <w:rPr>
          <w:rFonts w:ascii="Times New Roman" w:hAnsi="Times New Roman" w:cs="Times New Roman"/>
        </w:rPr>
        <w:t xml:space="preserve"> cortico-basal ganglia</w:t>
      </w:r>
      <w:r w:rsidR="008951EC" w:rsidRPr="004E1CFF">
        <w:rPr>
          <w:rFonts w:ascii="Times New Roman" w:hAnsi="Times New Roman" w:cs="Times New Roman"/>
        </w:rPr>
        <w:t xml:space="preserve"> pathway </w:t>
      </w:r>
      <w:r w:rsidR="004B30D4" w:rsidRPr="004E1CF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{"citationItems":[{"id":"ITEM-1","itemData":{"DOI":"10.3389/fneur.2013.00134","ISSN":"16642295","abstract":"Motor dysfunction in Parkinson's disease is believed to arise primarily from pathophysiology in the dorsal striatum and its related corticostriatal and thalamostriatal circuits during progressive dopamine denervation. One function of these circuits is to provide a filter that selectively facilitates or inhibits cortical activity to optimize cortical processing, making motor responses rapid and efficient. Corticostriatal synaptic plasticity mediates the learning that underlies this performance-optimizing filter. Under dopamine denervation, corticostriatal plasticity is altered, resulting in aberrant learning that induces inappropriate basal ganglia filtering that impedes rather than optimizes cortical processing. Human imaging suggests that increased cortical activity may compensate for striatal dysfunction in PD patients. In this Perspective article, we consider how aberrant learning at corticostriatal synapses may impair cortical processing and learning and undermine potential cortical compensatory mechanisms. Blocking or remediating aberrant corticostriatal plasticity may protect cortical function and support cortical compensatory mechanisms mitigating the functional decline associated with progressive dopamine denervation.","author":[{"dropping-particle":"","family":"Beeler","given":"JeffA A.","non-dropping-particle":"","parse-names":false,"suffix":""},{"dropping-particle":"","family":"Petzinger","given":"Giselle","non-dropping-particle":"","parse-names":false,"suffix":""},{"dropping-particle":"","family":"Jakowec","given":"Michael W.","non-dropping-particle":"","parse-names":false,"suffix":""}],"container-title":"Frontiers in Neurology","id":"ITEM-1","issue":"September","issued":{"date-parts":[["2013"]]},"page":"1-7","title":"The enemy within: Propagation of aberrant corticostriatal learning to cortical function in Parkinson's disease","type":"article-journal","volume":"4 SEP"},"uris":["http://www.mendeley.com/documents/?uuid=ab9a1957-3e6f-4fba-acbd-a906fdfe2732"]},{"id":"ITEM-2","itemData":{"DOI":"10.3389/fnsys.2013.00122","abstract":"Over the past 15 years, computational models have had a considerable impact on basal-ganglia research. Most of these models implement multiple distinct basal-ganglia pathways and assume them to fulfill different functions. As there is now a multitude of different models, it has become complex to keep track of their various, sometimes just marginally different assumptions on pathway functions. Moreover, it has become a challenge to oversee to what extent individual assumptions are corroborated or challenged by empirical data. Focusing on computational, but also considering non-computational models, we review influential concepts of pathway functions and show to what extent they are compatible with or contradict each other. Moreover, we outline how empirical evidence favors or challenges specific model assumptions and propose experiments that allow testing assumptions against each other.","author":[{"dropping-particle":"","family":"Schroll","given":"Henning","non-dropping-particle":"","parse-names":false,"suffix":""},{"dropping-particle":"","family":"Hamker","given":"Fred H.","non-dropping-particle":"","parse-names":false,"suffix":""}],"container-title":"Frontiers in Systems Neuroscience","id":"ITEM-2","issue":"December","issued":{"date-parts":[["2013"]]},"title":"Computational models of basal-ganglia pathway functions: focus on functional neuroanatomy","type":"article-journal","volume":"7"},"uris":["http://www.mendeley.com/documents/?uuid=c6e0e813-6b85-4cfc-8c84-4ffae0e13b96"]}],"mendeley":{"formattedCitation":"(54,55)","plainTextFormattedCitation":"(54,55)","previouslyFormattedCitation":"(54,55)"},"properties":{"noteIndex":0},"schema":"https://github.com/citation-style-language/schema/raw/master/csl-citation.json"}</w:instrText>
      </w:r>
      <w:r w:rsidR="004B30D4" w:rsidRPr="004E1CFF">
        <w:rPr>
          <w:rFonts w:ascii="Times New Roman" w:hAnsi="Times New Roman" w:cs="Times New Roman"/>
        </w:rPr>
        <w:fldChar w:fldCharType="separate"/>
      </w:r>
      <w:r w:rsidR="00112D56" w:rsidRPr="00112D56">
        <w:rPr>
          <w:rFonts w:ascii="Times New Roman" w:hAnsi="Times New Roman" w:cs="Times New Roman"/>
          <w:noProof/>
        </w:rPr>
        <w:t>(54,55)</w:t>
      </w:r>
      <w:r w:rsidR="004B30D4" w:rsidRPr="004E1CFF">
        <w:rPr>
          <w:rFonts w:ascii="Times New Roman" w:hAnsi="Times New Roman" w:cs="Times New Roman"/>
        </w:rPr>
        <w:fldChar w:fldCharType="end"/>
      </w:r>
      <w:r w:rsidR="0066450E" w:rsidRPr="004E1CFF">
        <w:rPr>
          <w:rFonts w:ascii="Times New Roman" w:hAnsi="Times New Roman" w:cs="Times New Roman"/>
        </w:rPr>
        <w:t xml:space="preserve">. </w:t>
      </w:r>
      <w:r w:rsidR="00C16872" w:rsidRPr="004E1CFF">
        <w:rPr>
          <w:rFonts w:ascii="Times New Roman" w:hAnsi="Times New Roman" w:cs="Times New Roman"/>
        </w:rPr>
        <w:t xml:space="preserve">The addition of the putamen </w:t>
      </w:r>
      <w:r w:rsidR="007A2A3C">
        <w:rPr>
          <w:rFonts w:ascii="Times New Roman" w:hAnsi="Times New Roman" w:cs="Times New Roman"/>
        </w:rPr>
        <w:t>allowed for the assessment of</w:t>
      </w:r>
      <w:r w:rsidR="00C16872" w:rsidRPr="004E1CFF">
        <w:rPr>
          <w:rFonts w:ascii="Times New Roman" w:hAnsi="Times New Roman" w:cs="Times New Roman"/>
        </w:rPr>
        <w:t xml:space="preserve"> striatal contributions</w:t>
      </w:r>
      <w:r w:rsidR="00643AE5" w:rsidRPr="004E1CFF">
        <w:rPr>
          <w:rFonts w:ascii="Times New Roman" w:hAnsi="Times New Roman" w:cs="Times New Roman"/>
        </w:rPr>
        <w:t xml:space="preserve"> to </w:t>
      </w:r>
      <w:r w:rsidR="00DD0905" w:rsidRPr="004E1CFF">
        <w:rPr>
          <w:rFonts w:ascii="Times New Roman" w:hAnsi="Times New Roman" w:cs="Times New Roman"/>
        </w:rPr>
        <w:t xml:space="preserve">response inhibition via the </w:t>
      </w:r>
      <w:r w:rsidR="009356A1" w:rsidRPr="004E1CFF">
        <w:rPr>
          <w:rFonts w:ascii="Times New Roman" w:hAnsi="Times New Roman" w:cs="Times New Roman"/>
        </w:rPr>
        <w:t>indirect pathway</w:t>
      </w:r>
      <w:r w:rsidR="00BD7704" w:rsidRPr="004E1CFF">
        <w:rPr>
          <w:rFonts w:ascii="Times New Roman" w:hAnsi="Times New Roman" w:cs="Times New Roman"/>
        </w:rPr>
        <w:t xml:space="preserve"> </w:t>
      </w:r>
      <w:r w:rsidR="00F07A20" w:rsidRPr="004E1CF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{"citationItems":[{"id":"ITEM-1","itemData":{"DOI":"10.1007/s00429-016-1250-9","ISSN":"18632661","abstract":"The pulvinar is an 'associative' thalamic nucleus, meaning that most of its input and output relationships are formed with the cerebral cortex. The function of this circuitry is little understood and its anatomy, though much investigated, is notably recondite. This is because pulvinar connection patterns disrespect the architectural subunits (anterior, medial, lateral and inferior pulvinar nuclei) that have been the traditional reference system. This article presents a simplified, global model of the organization of cortico-pulvinar connections so as to pursue their structure-function relationships. Connections between the cortex and pulvinar are topographically organized, and as a result the pulvinar contains a 'map' of the cortical sheet. However, the topography is very blurred. Hence the pulvinar connection zones of nearby cortical areas overlap, allowing indirect transcortical communication via the pulvinar. A general observation is that indirect cortico-pulvino-cortical circuits tend to mimic direct cortico-cortical pathways: this is termed 'the replication principle'. It is equally apt for certain pairs (or groups) of nearby cortical areas that happen not to connect with each other. The 'replication' of this non-connection is achieved by discontinuities and dislocations of the cortical topography within the pulvinar, such that the associated pair of connection zones do not overlap. Certain of these deformations can be used to divide the global cortical topography into specific sub-domains, which form the natural units of a connectional subdivision of the pulvinar. A substantial part of the pulvinar also expresses visual topography, reflecting visual maps in occipital cortex. There are just two well-ordered visual maps in the pulvinar, that both receive projections from area V1, and several other occipital areas; the resulting duplication of cortical topography means that each visual map also acts as a separate connection domain. In summary, the model identifies four topographically ordered connection domains, and reconciles the coexistence of visual and cortical maps in two of them. The replication principle operates at and below the level of domain structure. It is argued that cortico-pulvinar circuitry replicates the pattern of cortical circuitry but not its function, playing a more regulatory role instead. Thalamic neurons differ from cortical neurons in their inherent rhythmicity, and the pattern of cortico-thalamic connections must govern the…","author":[{"dropping-particle":"","family":"Shipp","given":"Stewart","non-dropping-particle":"","parse-names":false,"suffix":""}],"container-title":"Brain Structure and Function","id":"ITEM-1","issue":"2","issued":{"date-parts":[["2017"]]},"page":"669-706","publisher":"Springer Berlin Heidelberg","title":"The functional logic of corticostriatal connections","type":"article-journal","volume":"222"},"uris":["http://www.mendeley.com/documents/?uuid=06b0c454-aedd-44e7-aa81-2ca5e82cca19"]}],"mendeley":{"formattedCitation":"(56)","plainTextFormattedCitation":"(56)","previouslyFormattedCitation":"(56)"},"properties":{"noteIndex":0},"schema":"https://github.com/citation-style-language/schema/raw/master/csl-citation.json"}</w:instrText>
      </w:r>
      <w:r w:rsidR="00F07A20" w:rsidRPr="004E1CFF">
        <w:rPr>
          <w:rFonts w:ascii="Times New Roman" w:hAnsi="Times New Roman" w:cs="Times New Roman"/>
        </w:rPr>
        <w:fldChar w:fldCharType="separate"/>
      </w:r>
      <w:r w:rsidR="00112D56" w:rsidRPr="00112D56">
        <w:rPr>
          <w:rFonts w:ascii="Times New Roman" w:hAnsi="Times New Roman" w:cs="Times New Roman"/>
          <w:noProof/>
        </w:rPr>
        <w:t>(56)</w:t>
      </w:r>
      <w:r w:rsidR="00F07A20" w:rsidRPr="004E1CFF">
        <w:rPr>
          <w:rFonts w:ascii="Times New Roman" w:hAnsi="Times New Roman" w:cs="Times New Roman"/>
        </w:rPr>
        <w:fldChar w:fldCharType="end"/>
      </w:r>
      <w:r w:rsidR="00623E41" w:rsidRPr="004E1CFF">
        <w:rPr>
          <w:rFonts w:ascii="Times New Roman" w:hAnsi="Times New Roman" w:cs="Times New Roman"/>
        </w:rPr>
        <w:t xml:space="preserve"> by explicitly modelling its connections with cortical regions such as the </w:t>
      </w:r>
      <w:proofErr w:type="spellStart"/>
      <w:r w:rsidR="00623E41" w:rsidRPr="004E1CFF">
        <w:rPr>
          <w:rFonts w:ascii="Times New Roman" w:hAnsi="Times New Roman" w:cs="Times New Roman"/>
        </w:rPr>
        <w:t>dACC</w:t>
      </w:r>
      <w:proofErr w:type="spellEnd"/>
      <w:r w:rsidR="00623E41" w:rsidRPr="004E1CFF">
        <w:rPr>
          <w:rFonts w:ascii="Times New Roman" w:hAnsi="Times New Roman" w:cs="Times New Roman"/>
        </w:rPr>
        <w:t xml:space="preserve"> and IFG as well as </w:t>
      </w:r>
      <w:r w:rsidR="00C30126" w:rsidRPr="004E1CFF">
        <w:rPr>
          <w:rFonts w:ascii="Times New Roman" w:hAnsi="Times New Roman" w:cs="Times New Roman"/>
        </w:rPr>
        <w:t>subcortical regions such as the STN</w:t>
      </w:r>
      <w:r w:rsidR="00DD0905" w:rsidRPr="004E1CFF">
        <w:rPr>
          <w:rFonts w:ascii="Times New Roman" w:hAnsi="Times New Roman" w:cs="Times New Roman"/>
        </w:rPr>
        <w:t xml:space="preserve">. </w:t>
      </w:r>
    </w:p>
    <w:p w14:paraId="67268530" w14:textId="0B0EA14A" w:rsidR="0006580A" w:rsidRDefault="0006580A" w:rsidP="00BF7E9E">
      <w:pPr>
        <w:spacing w:line="360" w:lineRule="auto"/>
        <w:rPr>
          <w:rFonts w:ascii="Times New Roman" w:hAnsi="Times New Roman" w:cs="Times New Roman"/>
        </w:rPr>
      </w:pPr>
      <w:r>
        <w:rPr>
          <w:rFonts w:ascii="Times New Roman" w:hAnsi="Times New Roman" w:cs="Times New Roman"/>
        </w:rPr>
        <w:t>Full details of the DCM analyses are provided in the Supplementary Information</w:t>
      </w:r>
      <w:r w:rsidR="002842C5">
        <w:rPr>
          <w:rFonts w:ascii="Times New Roman" w:hAnsi="Times New Roman" w:cs="Times New Roman"/>
        </w:rPr>
        <w:t xml:space="preserve"> (SI)</w:t>
      </w:r>
      <w:r>
        <w:rPr>
          <w:rFonts w:ascii="Times New Roman" w:hAnsi="Times New Roman" w:cs="Times New Roman"/>
        </w:rPr>
        <w:t xml:space="preserve">. Briefly, the </w:t>
      </w:r>
      <w:r w:rsidR="00AC5FB7" w:rsidRPr="004E1CFF">
        <w:rPr>
          <w:rFonts w:ascii="Times New Roman" w:hAnsi="Times New Roman" w:cs="Times New Roman"/>
        </w:rPr>
        <w:t>DCMs allow</w:t>
      </w:r>
      <w:r w:rsidR="0052760E">
        <w:rPr>
          <w:rFonts w:ascii="Times New Roman" w:hAnsi="Times New Roman" w:cs="Times New Roman"/>
        </w:rPr>
        <w:t>ed</w:t>
      </w:r>
      <w:r w:rsidR="00AC5FB7" w:rsidRPr="004E1CFF">
        <w:rPr>
          <w:rFonts w:ascii="Times New Roman" w:hAnsi="Times New Roman" w:cs="Times New Roman"/>
        </w:rPr>
        <w:t xml:space="preserve"> us to compare a) fixed connections between the</w:t>
      </w:r>
      <w:r w:rsidR="00FD56BC">
        <w:rPr>
          <w:rFonts w:ascii="Times New Roman" w:hAnsi="Times New Roman" w:cs="Times New Roman"/>
        </w:rPr>
        <w:t xml:space="preserve"> network</w:t>
      </w:r>
      <w:r w:rsidR="00AC5FB7" w:rsidRPr="004E1CFF">
        <w:rPr>
          <w:rFonts w:ascii="Times New Roman" w:hAnsi="Times New Roman" w:cs="Times New Roman"/>
        </w:rPr>
        <w:t xml:space="preserve"> </w:t>
      </w:r>
      <w:r w:rsidR="008A7E57">
        <w:rPr>
          <w:rFonts w:ascii="Times New Roman" w:hAnsi="Times New Roman" w:cs="Times New Roman"/>
        </w:rPr>
        <w:t>nodes</w:t>
      </w:r>
      <w:r w:rsidR="008A7E57" w:rsidRPr="004E1CFF">
        <w:rPr>
          <w:rFonts w:ascii="Times New Roman" w:hAnsi="Times New Roman" w:cs="Times New Roman"/>
        </w:rPr>
        <w:t xml:space="preserve"> </w:t>
      </w:r>
      <w:r w:rsidR="00AC5FB7" w:rsidRPr="004E1CFF">
        <w:rPr>
          <w:rFonts w:ascii="Times New Roman" w:hAnsi="Times New Roman" w:cs="Times New Roman"/>
        </w:rPr>
        <w:t>(</w:t>
      </w:r>
      <w:proofErr w:type="spellStart"/>
      <w:r w:rsidR="00AC5FB7" w:rsidRPr="004E1CFF">
        <w:rPr>
          <w:rFonts w:ascii="Times New Roman" w:hAnsi="Times New Roman" w:cs="Times New Roman"/>
        </w:rPr>
        <w:t>DCM.a</w:t>
      </w:r>
      <w:proofErr w:type="spellEnd"/>
      <w:r w:rsidR="00AC5FB7" w:rsidRPr="004E1CFF">
        <w:rPr>
          <w:rFonts w:ascii="Times New Roman" w:hAnsi="Times New Roman" w:cs="Times New Roman"/>
        </w:rPr>
        <w:t xml:space="preserve">), b) </w:t>
      </w:r>
      <w:r w:rsidR="00982EC5" w:rsidRPr="004E1CFF">
        <w:rPr>
          <w:rFonts w:ascii="Times New Roman" w:hAnsi="Times New Roman" w:cs="Times New Roman"/>
        </w:rPr>
        <w:t xml:space="preserve">modulatory </w:t>
      </w:r>
      <w:r w:rsidR="004150B3" w:rsidRPr="004E1CFF">
        <w:rPr>
          <w:rFonts w:ascii="Times New Roman" w:hAnsi="Times New Roman" w:cs="Times New Roman"/>
        </w:rPr>
        <w:t xml:space="preserve">effects of </w:t>
      </w:r>
      <w:r w:rsidR="007D08CF" w:rsidRPr="004E1CFF">
        <w:rPr>
          <w:rFonts w:ascii="Times New Roman" w:hAnsi="Times New Roman" w:cs="Times New Roman"/>
        </w:rPr>
        <w:t>the task (</w:t>
      </w:r>
      <w:r w:rsidR="00A4553E" w:rsidRPr="004E1CFF">
        <w:rPr>
          <w:rFonts w:ascii="Times New Roman" w:hAnsi="Times New Roman" w:cs="Times New Roman"/>
        </w:rPr>
        <w:t>successful stop &gt; go contrast</w:t>
      </w:r>
      <w:r w:rsidR="000445D5" w:rsidRPr="004E1CFF">
        <w:rPr>
          <w:rFonts w:ascii="Times New Roman" w:hAnsi="Times New Roman" w:cs="Times New Roman"/>
        </w:rPr>
        <w:t xml:space="preserve">) </w:t>
      </w:r>
      <w:r w:rsidR="002411E3" w:rsidRPr="004E1CFF">
        <w:rPr>
          <w:rFonts w:ascii="Times New Roman" w:hAnsi="Times New Roman" w:cs="Times New Roman"/>
        </w:rPr>
        <w:t xml:space="preserve">on </w:t>
      </w:r>
      <w:r w:rsidR="00F34963" w:rsidRPr="004E1CFF">
        <w:rPr>
          <w:rFonts w:ascii="Times New Roman" w:hAnsi="Times New Roman" w:cs="Times New Roman"/>
        </w:rPr>
        <w:t xml:space="preserve">these </w:t>
      </w:r>
      <w:r w:rsidR="002411E3" w:rsidRPr="004E1CFF">
        <w:rPr>
          <w:rFonts w:ascii="Times New Roman" w:hAnsi="Times New Roman" w:cs="Times New Roman"/>
        </w:rPr>
        <w:t>connections</w:t>
      </w:r>
      <w:r w:rsidR="00647A21" w:rsidRPr="004E1CFF">
        <w:rPr>
          <w:rFonts w:ascii="Times New Roman" w:hAnsi="Times New Roman" w:cs="Times New Roman"/>
        </w:rPr>
        <w:t xml:space="preserve"> (</w:t>
      </w:r>
      <w:proofErr w:type="spellStart"/>
      <w:r w:rsidR="00647A21" w:rsidRPr="004E1CFF">
        <w:rPr>
          <w:rFonts w:ascii="Times New Roman" w:hAnsi="Times New Roman" w:cs="Times New Roman"/>
        </w:rPr>
        <w:t>DCM.b</w:t>
      </w:r>
      <w:proofErr w:type="spellEnd"/>
      <w:r w:rsidR="00647A21" w:rsidRPr="004E1CFF">
        <w:rPr>
          <w:rFonts w:ascii="Times New Roman" w:hAnsi="Times New Roman" w:cs="Times New Roman"/>
        </w:rPr>
        <w:t>), c</w:t>
      </w:r>
      <w:r w:rsidR="00D9057E" w:rsidRPr="004E1CFF">
        <w:rPr>
          <w:rFonts w:ascii="Times New Roman" w:hAnsi="Times New Roman" w:cs="Times New Roman"/>
        </w:rPr>
        <w:t>)</w:t>
      </w:r>
      <w:r w:rsidR="009E3E9C" w:rsidRPr="004E1CFF">
        <w:rPr>
          <w:rFonts w:ascii="Times New Roman" w:hAnsi="Times New Roman" w:cs="Times New Roman"/>
        </w:rPr>
        <w:t xml:space="preserve"> </w:t>
      </w:r>
      <w:r w:rsidR="0058561C" w:rsidRPr="004E1CFF">
        <w:rPr>
          <w:rFonts w:ascii="Times New Roman" w:hAnsi="Times New Roman" w:cs="Times New Roman"/>
        </w:rPr>
        <w:t xml:space="preserve">inputs </w:t>
      </w:r>
      <w:r w:rsidR="003A439D" w:rsidRPr="004E1CFF">
        <w:rPr>
          <w:rFonts w:ascii="Times New Roman" w:hAnsi="Times New Roman" w:cs="Times New Roman"/>
        </w:rPr>
        <w:t xml:space="preserve">that drive network activity </w:t>
      </w:r>
      <w:r w:rsidR="006D2500" w:rsidRPr="004E1CFF">
        <w:rPr>
          <w:rFonts w:ascii="Times New Roman" w:hAnsi="Times New Roman" w:cs="Times New Roman"/>
        </w:rPr>
        <w:t>(</w:t>
      </w:r>
      <w:r w:rsidR="00311D9F">
        <w:rPr>
          <w:rFonts w:ascii="Times New Roman" w:hAnsi="Times New Roman" w:cs="Times New Roman"/>
        </w:rPr>
        <w:t xml:space="preserve">Go stimulus presentation on </w:t>
      </w:r>
      <w:r w:rsidR="006D2500" w:rsidRPr="004E1CFF">
        <w:rPr>
          <w:rFonts w:ascii="Times New Roman" w:hAnsi="Times New Roman" w:cs="Times New Roman"/>
        </w:rPr>
        <w:t>all trials</w:t>
      </w:r>
      <w:r w:rsidR="00D847C7" w:rsidRPr="004E1CFF">
        <w:rPr>
          <w:rFonts w:ascii="Times New Roman" w:hAnsi="Times New Roman" w:cs="Times New Roman"/>
        </w:rPr>
        <w:t>)</w:t>
      </w:r>
      <w:r w:rsidR="006D2500" w:rsidRPr="004E1CFF">
        <w:rPr>
          <w:rFonts w:ascii="Times New Roman" w:hAnsi="Times New Roman" w:cs="Times New Roman"/>
        </w:rPr>
        <w:t xml:space="preserve"> </w:t>
      </w:r>
      <w:r w:rsidR="00D847C7" w:rsidRPr="004E1CFF">
        <w:rPr>
          <w:rFonts w:ascii="Times New Roman" w:hAnsi="Times New Roman" w:cs="Times New Roman"/>
        </w:rPr>
        <w:t xml:space="preserve">and </w:t>
      </w:r>
      <w:r w:rsidR="00E824F6" w:rsidRPr="004E1CFF">
        <w:rPr>
          <w:rFonts w:ascii="Times New Roman" w:hAnsi="Times New Roman" w:cs="Times New Roman"/>
        </w:rPr>
        <w:t xml:space="preserve">d) nonlinear modulatory effects </w:t>
      </w:r>
      <w:r w:rsidR="00B6024B" w:rsidRPr="004E1CFF">
        <w:rPr>
          <w:rFonts w:ascii="Times New Roman" w:hAnsi="Times New Roman" w:cs="Times New Roman"/>
        </w:rPr>
        <w:t xml:space="preserve">of one </w:t>
      </w:r>
      <w:r w:rsidR="00980C01">
        <w:rPr>
          <w:rFonts w:ascii="Times New Roman" w:hAnsi="Times New Roman" w:cs="Times New Roman"/>
        </w:rPr>
        <w:t>node</w:t>
      </w:r>
      <w:r w:rsidR="00980C01" w:rsidRPr="004E1CFF">
        <w:rPr>
          <w:rFonts w:ascii="Times New Roman" w:hAnsi="Times New Roman" w:cs="Times New Roman"/>
        </w:rPr>
        <w:t xml:space="preserve"> </w:t>
      </w:r>
      <w:r w:rsidR="00B6024B" w:rsidRPr="004E1CFF">
        <w:rPr>
          <w:rFonts w:ascii="Times New Roman" w:hAnsi="Times New Roman" w:cs="Times New Roman"/>
        </w:rPr>
        <w:t xml:space="preserve">on connectivity between other </w:t>
      </w:r>
      <w:r w:rsidR="00980C01">
        <w:rPr>
          <w:rFonts w:ascii="Times New Roman" w:hAnsi="Times New Roman" w:cs="Times New Roman"/>
        </w:rPr>
        <w:t>nodes</w:t>
      </w:r>
      <w:r w:rsidR="00980C01" w:rsidRPr="004E1CFF">
        <w:rPr>
          <w:rFonts w:ascii="Times New Roman" w:hAnsi="Times New Roman" w:cs="Times New Roman"/>
        </w:rPr>
        <w:t xml:space="preserve"> </w:t>
      </w:r>
      <w:r w:rsidR="00B6024B" w:rsidRPr="004E1CFF">
        <w:rPr>
          <w:rFonts w:ascii="Times New Roman" w:hAnsi="Times New Roman" w:cs="Times New Roman"/>
        </w:rPr>
        <w:t>(</w:t>
      </w:r>
      <w:proofErr w:type="spellStart"/>
      <w:r w:rsidR="00B6024B" w:rsidRPr="004E1CFF">
        <w:rPr>
          <w:rFonts w:ascii="Times New Roman" w:hAnsi="Times New Roman" w:cs="Times New Roman"/>
        </w:rPr>
        <w:t>DCM.d</w:t>
      </w:r>
      <w:proofErr w:type="spellEnd"/>
      <w:r w:rsidR="00B6024B" w:rsidRPr="004E1CFF">
        <w:rPr>
          <w:rFonts w:ascii="Times New Roman" w:hAnsi="Times New Roman" w:cs="Times New Roman"/>
        </w:rPr>
        <w:t xml:space="preserve">). </w:t>
      </w:r>
      <w:r w:rsidR="00D35A72" w:rsidRPr="004E1CFF">
        <w:rPr>
          <w:rFonts w:ascii="Times New Roman" w:hAnsi="Times New Roman" w:cs="Times New Roman"/>
        </w:rPr>
        <w:t xml:space="preserve">A set of </w:t>
      </w:r>
      <w:r w:rsidR="0052760E">
        <w:rPr>
          <w:rFonts w:ascii="Times New Roman" w:hAnsi="Times New Roman" w:cs="Times New Roman"/>
        </w:rPr>
        <w:t xml:space="preserve">33 </w:t>
      </w:r>
      <w:r w:rsidR="00D35A72" w:rsidRPr="004E1CFF">
        <w:rPr>
          <w:rFonts w:ascii="Times New Roman" w:hAnsi="Times New Roman" w:cs="Times New Roman"/>
        </w:rPr>
        <w:t xml:space="preserve">models </w:t>
      </w:r>
      <w:r w:rsidR="00DC152D" w:rsidRPr="004E1CFF">
        <w:rPr>
          <w:rFonts w:ascii="Times New Roman" w:hAnsi="Times New Roman" w:cs="Times New Roman"/>
        </w:rPr>
        <w:t xml:space="preserve">guided by </w:t>
      </w:r>
      <w:r w:rsidR="00DC152D" w:rsidRPr="004E1CFF">
        <w:rPr>
          <w:rFonts w:ascii="Times New Roman" w:hAnsi="Times New Roman" w:cs="Times New Roman"/>
          <w:i/>
        </w:rPr>
        <w:t xml:space="preserve">a priori </w:t>
      </w:r>
      <w:r w:rsidR="00DC152D" w:rsidRPr="004E1CFF">
        <w:rPr>
          <w:rFonts w:ascii="Times New Roman" w:hAnsi="Times New Roman" w:cs="Times New Roman"/>
        </w:rPr>
        <w:t xml:space="preserve">hypotheses </w:t>
      </w:r>
      <w:r w:rsidR="002527D8">
        <w:rPr>
          <w:rFonts w:ascii="Times New Roman" w:hAnsi="Times New Roman" w:cs="Times New Roman"/>
        </w:rPr>
        <w:t xml:space="preserve">(Rae et al., 2015) </w:t>
      </w:r>
      <w:r w:rsidR="004E55DF">
        <w:rPr>
          <w:rFonts w:ascii="Times New Roman" w:hAnsi="Times New Roman" w:cs="Times New Roman"/>
        </w:rPr>
        <w:t>were generated</w:t>
      </w:r>
      <w:r>
        <w:rPr>
          <w:rFonts w:ascii="Times New Roman" w:hAnsi="Times New Roman" w:cs="Times New Roman"/>
        </w:rPr>
        <w:t xml:space="preserve"> (Figure </w:t>
      </w:r>
      <w:r w:rsidR="0076008B">
        <w:rPr>
          <w:rFonts w:ascii="Times New Roman" w:hAnsi="Times New Roman" w:cs="Times New Roman"/>
        </w:rPr>
        <w:t>3A</w:t>
      </w:r>
      <w:r>
        <w:rPr>
          <w:rFonts w:ascii="Times New Roman" w:hAnsi="Times New Roman" w:cs="Times New Roman"/>
        </w:rPr>
        <w:t>)</w:t>
      </w:r>
      <w:r w:rsidR="005E19B6" w:rsidRPr="004E1CFF">
        <w:rPr>
          <w:rFonts w:ascii="Times New Roman" w:hAnsi="Times New Roman" w:cs="Times New Roman"/>
        </w:rPr>
        <w:t xml:space="preserve">. </w:t>
      </w:r>
      <w:r w:rsidR="001D45F1" w:rsidRPr="001D45F1">
        <w:rPr>
          <w:rFonts w:ascii="Times New Roman" w:hAnsi="Times New Roman" w:cs="Times New Roman"/>
        </w:rPr>
        <w:t xml:space="preserve">Six linear models and </w:t>
      </w:r>
      <w:r w:rsidR="00222A41">
        <w:rPr>
          <w:rFonts w:ascii="Times New Roman" w:hAnsi="Times New Roman" w:cs="Times New Roman"/>
        </w:rPr>
        <w:t>five</w:t>
      </w:r>
      <w:r w:rsidR="001D45F1" w:rsidRPr="001D45F1">
        <w:rPr>
          <w:rFonts w:ascii="Times New Roman" w:hAnsi="Times New Roman" w:cs="Times New Roman"/>
        </w:rPr>
        <w:t xml:space="preserve"> nonlinear models were initially defined</w:t>
      </w:r>
      <w:r w:rsidR="00206128">
        <w:rPr>
          <w:rFonts w:ascii="Times New Roman" w:hAnsi="Times New Roman" w:cs="Times New Roman"/>
        </w:rPr>
        <w:t xml:space="preserve"> </w:t>
      </w:r>
      <w:r w:rsidR="00206128" w:rsidRPr="001D45F1">
        <w:rPr>
          <w:rFonts w:ascii="Times New Roman" w:hAnsi="Times New Roman" w:cs="Times New Roman"/>
        </w:rPr>
        <w:t xml:space="preserve">to test for </w:t>
      </w:r>
      <w:r w:rsidR="00206128">
        <w:rPr>
          <w:rFonts w:ascii="Times New Roman" w:hAnsi="Times New Roman" w:cs="Times New Roman"/>
        </w:rPr>
        <w:t>linear</w:t>
      </w:r>
      <w:r w:rsidR="00206128" w:rsidRPr="001D45F1">
        <w:rPr>
          <w:rFonts w:ascii="Times New Roman" w:hAnsi="Times New Roman" w:cs="Times New Roman"/>
        </w:rPr>
        <w:t xml:space="preserve"> (DCM.A) and </w:t>
      </w:r>
      <w:r w:rsidR="00206128">
        <w:rPr>
          <w:rFonts w:ascii="Times New Roman" w:hAnsi="Times New Roman" w:cs="Times New Roman"/>
        </w:rPr>
        <w:t>nonlinear</w:t>
      </w:r>
      <w:r w:rsidR="00206128" w:rsidRPr="001D45F1">
        <w:rPr>
          <w:rFonts w:ascii="Times New Roman" w:hAnsi="Times New Roman" w:cs="Times New Roman"/>
        </w:rPr>
        <w:t xml:space="preserve"> (DCM.D)</w:t>
      </w:r>
      <w:r w:rsidR="00206128">
        <w:rPr>
          <w:rFonts w:ascii="Times New Roman" w:hAnsi="Times New Roman" w:cs="Times New Roman"/>
        </w:rPr>
        <w:t xml:space="preserve"> </w:t>
      </w:r>
      <w:r w:rsidR="00206128" w:rsidRPr="001D45F1">
        <w:rPr>
          <w:rFonts w:ascii="Times New Roman" w:hAnsi="Times New Roman" w:cs="Times New Roman"/>
        </w:rPr>
        <w:t>effects</w:t>
      </w:r>
      <w:r w:rsidR="00206128">
        <w:rPr>
          <w:rFonts w:ascii="Times New Roman" w:hAnsi="Times New Roman" w:cs="Times New Roman"/>
        </w:rPr>
        <w:t xml:space="preserve"> (Figure 3</w:t>
      </w:r>
      <w:r w:rsidR="00740509">
        <w:rPr>
          <w:rFonts w:ascii="Times New Roman" w:hAnsi="Times New Roman" w:cs="Times New Roman"/>
        </w:rPr>
        <w:t>A</w:t>
      </w:r>
      <w:r w:rsidR="00206128">
        <w:rPr>
          <w:rFonts w:ascii="Times New Roman" w:hAnsi="Times New Roman" w:cs="Times New Roman"/>
        </w:rPr>
        <w:t>)</w:t>
      </w:r>
      <w:r w:rsidR="001D45F1" w:rsidRPr="001D45F1">
        <w:rPr>
          <w:rFonts w:ascii="Times New Roman" w:hAnsi="Times New Roman" w:cs="Times New Roman"/>
        </w:rPr>
        <w:t xml:space="preserve">. </w:t>
      </w:r>
      <w:r w:rsidR="00F34487">
        <w:rPr>
          <w:rFonts w:ascii="Times New Roman" w:hAnsi="Times New Roman" w:cs="Times New Roman"/>
        </w:rPr>
        <w:t xml:space="preserve">All models included connections from </w:t>
      </w:r>
      <w:proofErr w:type="spellStart"/>
      <w:r w:rsidR="00F34487">
        <w:rPr>
          <w:rFonts w:ascii="Times New Roman" w:hAnsi="Times New Roman" w:cs="Times New Roman"/>
        </w:rPr>
        <w:t>dACC</w:t>
      </w:r>
      <w:proofErr w:type="spellEnd"/>
      <w:r w:rsidR="00F34487">
        <w:rPr>
          <w:rFonts w:ascii="Times New Roman" w:hAnsi="Times New Roman" w:cs="Times New Roman"/>
        </w:rPr>
        <w:t xml:space="preserve"> and </w:t>
      </w:r>
      <w:r w:rsidR="00206128">
        <w:rPr>
          <w:rFonts w:ascii="Times New Roman" w:hAnsi="Times New Roman" w:cs="Times New Roman"/>
        </w:rPr>
        <w:t xml:space="preserve">from </w:t>
      </w:r>
      <w:r w:rsidR="00F34487">
        <w:rPr>
          <w:rFonts w:ascii="Times New Roman" w:hAnsi="Times New Roman" w:cs="Times New Roman"/>
        </w:rPr>
        <w:t>STN to M1</w:t>
      </w:r>
      <w:r w:rsidR="00206128">
        <w:rPr>
          <w:rFonts w:ascii="Times New Roman" w:hAnsi="Times New Roman" w:cs="Times New Roman"/>
        </w:rPr>
        <w:t>,</w:t>
      </w:r>
      <w:r w:rsidR="00F34487">
        <w:rPr>
          <w:rFonts w:ascii="Times New Roman" w:hAnsi="Times New Roman" w:cs="Times New Roman"/>
        </w:rPr>
        <w:t xml:space="preserve"> connections from </w:t>
      </w:r>
      <w:proofErr w:type="spellStart"/>
      <w:r w:rsidR="00F34487">
        <w:rPr>
          <w:rFonts w:ascii="Times New Roman" w:hAnsi="Times New Roman" w:cs="Times New Roman"/>
        </w:rPr>
        <w:t>dACC</w:t>
      </w:r>
      <w:proofErr w:type="spellEnd"/>
      <w:r w:rsidR="00F34487">
        <w:rPr>
          <w:rFonts w:ascii="Times New Roman" w:hAnsi="Times New Roman" w:cs="Times New Roman"/>
        </w:rPr>
        <w:t xml:space="preserve"> to Putamen and from Putamen to STN. </w:t>
      </w:r>
      <w:r w:rsidR="00206128" w:rsidRPr="001D45F1">
        <w:rPr>
          <w:rFonts w:ascii="Times New Roman" w:hAnsi="Times New Roman" w:cs="Times New Roman"/>
        </w:rPr>
        <w:t xml:space="preserve">Among the nonlinear models, models A, B and C included interactive effects by the IFG, models D </w:t>
      </w:r>
      <w:r w:rsidR="00206128" w:rsidRPr="00E64471">
        <w:rPr>
          <w:rFonts w:ascii="Times New Roman" w:hAnsi="Times New Roman" w:cs="Times New Roman"/>
        </w:rPr>
        <w:t>and E included interactive effects by the putamen</w:t>
      </w:r>
      <w:r w:rsidR="00206128" w:rsidRPr="001D45F1">
        <w:rPr>
          <w:rFonts w:ascii="Times New Roman" w:hAnsi="Times New Roman" w:cs="Times New Roman"/>
        </w:rPr>
        <w:t>. The set of 11 models was test</w:t>
      </w:r>
      <w:r w:rsidR="00206128">
        <w:rPr>
          <w:rFonts w:ascii="Times New Roman" w:hAnsi="Times New Roman" w:cs="Times New Roman"/>
        </w:rPr>
        <w:t>ed</w:t>
      </w:r>
      <w:r w:rsidR="00206128" w:rsidRPr="001D45F1">
        <w:rPr>
          <w:rFonts w:ascii="Times New Roman" w:hAnsi="Times New Roman" w:cs="Times New Roman"/>
        </w:rPr>
        <w:t xml:space="preserve"> for </w:t>
      </w:r>
      <w:r w:rsidR="00206128">
        <w:rPr>
          <w:rFonts w:ascii="Times New Roman" w:hAnsi="Times New Roman" w:cs="Times New Roman"/>
        </w:rPr>
        <w:t xml:space="preserve">task </w:t>
      </w:r>
      <w:r w:rsidR="00206128" w:rsidRPr="001D45F1">
        <w:rPr>
          <w:rFonts w:ascii="Times New Roman" w:hAnsi="Times New Roman" w:cs="Times New Roman"/>
        </w:rPr>
        <w:t>modulatory effects (</w:t>
      </w:r>
      <w:r w:rsidR="00206128">
        <w:rPr>
          <w:rFonts w:ascii="Times New Roman" w:hAnsi="Times New Roman" w:cs="Times New Roman"/>
        </w:rPr>
        <w:t>successful s</w:t>
      </w:r>
      <w:r w:rsidR="00206128" w:rsidRPr="001D45F1">
        <w:rPr>
          <w:rFonts w:ascii="Times New Roman" w:hAnsi="Times New Roman" w:cs="Times New Roman"/>
        </w:rPr>
        <w:t xml:space="preserve">top </w:t>
      </w:r>
      <w:r w:rsidR="00206128">
        <w:rPr>
          <w:rFonts w:ascii="Times New Roman" w:hAnsi="Times New Roman" w:cs="Times New Roman"/>
        </w:rPr>
        <w:t>vs go</w:t>
      </w:r>
      <w:r w:rsidR="00206128" w:rsidRPr="001D45F1">
        <w:rPr>
          <w:rFonts w:ascii="Times New Roman" w:hAnsi="Times New Roman" w:cs="Times New Roman"/>
        </w:rPr>
        <w:t>) at the IFG</w:t>
      </w:r>
      <w:r w:rsidR="00206128">
        <w:rPr>
          <w:rFonts w:ascii="Times New Roman" w:hAnsi="Times New Roman" w:cs="Times New Roman"/>
        </w:rPr>
        <w:t xml:space="preserve">, the </w:t>
      </w:r>
      <w:proofErr w:type="spellStart"/>
      <w:r w:rsidR="006D37EA">
        <w:rPr>
          <w:rFonts w:ascii="Times New Roman" w:hAnsi="Times New Roman" w:cs="Times New Roman"/>
        </w:rPr>
        <w:t>dACC</w:t>
      </w:r>
      <w:proofErr w:type="spellEnd"/>
      <w:r w:rsidR="006D37EA">
        <w:rPr>
          <w:rFonts w:ascii="Times New Roman" w:hAnsi="Times New Roman" w:cs="Times New Roman"/>
        </w:rPr>
        <w:t xml:space="preserve"> </w:t>
      </w:r>
      <w:r w:rsidR="00206128">
        <w:rPr>
          <w:rFonts w:ascii="Times New Roman" w:hAnsi="Times New Roman" w:cs="Times New Roman"/>
        </w:rPr>
        <w:t>and the putamen</w:t>
      </w:r>
      <w:r w:rsidR="00206128" w:rsidRPr="001D45F1">
        <w:rPr>
          <w:rFonts w:ascii="Times New Roman" w:hAnsi="Times New Roman" w:cs="Times New Roman"/>
        </w:rPr>
        <w:t>, resulting in 3x11=33 models</w:t>
      </w:r>
      <w:r w:rsidR="001D45F1" w:rsidRPr="001D45F1">
        <w:rPr>
          <w:rFonts w:ascii="Times New Roman" w:hAnsi="Times New Roman" w:cs="Times New Roman"/>
        </w:rPr>
        <w:t>.</w:t>
      </w:r>
      <w:r w:rsidR="001D45F1">
        <w:rPr>
          <w:rFonts w:ascii="Times New Roman" w:hAnsi="Times New Roman" w:cs="Times New Roman"/>
        </w:rPr>
        <w:t xml:space="preserve"> </w:t>
      </w:r>
      <w:r w:rsidR="004E55DF" w:rsidRPr="004E1CFF">
        <w:rPr>
          <w:rFonts w:ascii="Times New Roman" w:hAnsi="Times New Roman" w:cs="Times New Roman"/>
        </w:rPr>
        <w:t>Bayesian model selection (BMS,</w:t>
      </w:r>
      <w:r w:rsidR="004E55DF">
        <w:rPr>
          <w:rFonts w:ascii="Times New Roman" w:hAnsi="Times New Roman" w:cs="Times New Roman"/>
        </w:rPr>
        <w:t xml:space="preserve"> </w:t>
      </w:r>
      <w:r w:rsidR="004E55D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{"citationItems":[{"id":"ITEM-1","itemData":{"DOI":"10.1016/j.neuroimage.2009.11.015","ISBN":"1095-9572 (Electronic)\\n1053-8119 (Linking)","ISSN":"10538119","PMID":"19914382","abstract":"Dynamic causal modeling (DCM) is a generic Bayesian framework for inferring hidden neuronal states from measurements of brain activity. It provides posterior estimates of neurobiologically interpretable quantities such as the effective strength of synaptic connections among neuronal populations and their context-dependent modulation. DCM is increasingly used in the analysis of a wide range of neuroimaging and electrophysiological data. Given the relative complexity of DCM, compared to conventional analysis techniques, a good knowledge of its theoretical foundations is needed to avoid pitfalls in its application and interpretation of results. By providing good practice recommendations for DCM, in the form of ten simple rules, we hope that this article serves as a helpful tutorial for the growing community of DCM users. © 2009 Elsevier Inc. All rights reserved.","author":[{"dropping-particle":"","family":"Stephan","given":"K. E.","non-dropping-particle":"","parse-names":false,"suffix":""},{"dropping-particle":"","family":"Penny","given":"W. D.","non-dropping-particle":"","parse-names":false,"suffix":""},{"dropping-particle":"","family":"Moran","given":"R. J.","non-dropping-particle":"","parse-names":false,"suffix":""},{"dropping-particle":"","family":"Ouden","given":"H. E M","non-dropping-particle":"den","parse-names":false,"suffix":""},{"dropping-particle":"","family":"Daunizeau","given":"J.","non-dropping-particle":"","parse-names":false,"suffix":""},{"dropping-particle":"","family":"Friston","given":"K. J.","non-dropping-particle":"","parse-names":false,"suffix":""}],"container-title":"NeuroImage","id":"ITEM-1","issue":"4","issued":{"date-parts":[["2010"]]},"page":"3099-3109","publisher":"Elsevier Inc.","title":"Ten simple rules for dynamic causal modeling","type":"article-journal","volume":"49"},"uris":["http://www.mendeley.com/documents/?uuid=1afbe62d-aff1-4033-a0be-8d42ac5071d8"]}],"mendeley":{"formattedCitation":"(57)","manualFormatting":"Stephan et al, 2010)","plainTextFormattedCitation":"(57)","previouslyFormattedCitation":"(57)"},"properties":{"noteIndex":0},"schema":"https://github.com/citation-style-language/schema/raw/master/csl-citation.json"}</w:instrText>
      </w:r>
      <w:r w:rsidR="004E55DF">
        <w:rPr>
          <w:rFonts w:ascii="Times New Roman" w:hAnsi="Times New Roman" w:cs="Times New Roman"/>
        </w:rPr>
        <w:fldChar w:fldCharType="separate"/>
      </w:r>
      <w:r w:rsidR="004E55DF" w:rsidRPr="00600CEB">
        <w:rPr>
          <w:rFonts w:ascii="Times New Roman" w:hAnsi="Times New Roman" w:cs="Times New Roman"/>
          <w:noProof/>
        </w:rPr>
        <w:t xml:space="preserve">Stephan </w:t>
      </w:r>
      <w:r w:rsidR="004E55DF" w:rsidRPr="00600CEB">
        <w:rPr>
          <w:rFonts w:ascii="Times New Roman" w:hAnsi="Times New Roman" w:cs="Times New Roman"/>
          <w:i/>
          <w:noProof/>
        </w:rPr>
        <w:t>et al</w:t>
      </w:r>
      <w:r w:rsidR="004E55DF" w:rsidRPr="00600CEB">
        <w:rPr>
          <w:rFonts w:ascii="Times New Roman" w:hAnsi="Times New Roman" w:cs="Times New Roman"/>
          <w:noProof/>
        </w:rPr>
        <w:t>, 2010)</w:t>
      </w:r>
      <w:r w:rsidR="004E55DF">
        <w:rPr>
          <w:rFonts w:ascii="Times New Roman" w:hAnsi="Times New Roman" w:cs="Times New Roman"/>
        </w:rPr>
        <w:fldChar w:fldCharType="end"/>
      </w:r>
      <w:r w:rsidR="004E55DF">
        <w:rPr>
          <w:rFonts w:ascii="Times New Roman" w:hAnsi="Times New Roman" w:cs="Times New Roman"/>
        </w:rPr>
        <w:t xml:space="preserve"> determined the winning models separately in each group in each drug condition.</w:t>
      </w:r>
      <w:r w:rsidR="000C0B6C">
        <w:rPr>
          <w:rFonts w:ascii="Times New Roman" w:hAnsi="Times New Roman" w:cs="Times New Roman"/>
        </w:rPr>
        <w:t xml:space="preserve"> S</w:t>
      </w:r>
      <w:r w:rsidR="000C0B6C" w:rsidRPr="000C0B6C">
        <w:rPr>
          <w:rFonts w:ascii="Times New Roman" w:hAnsi="Times New Roman" w:cs="Times New Roman"/>
        </w:rPr>
        <w:t>ubject-specific connectivity values from the DCM.</w:t>
      </w:r>
      <w:r w:rsidR="003B6F84">
        <w:rPr>
          <w:rFonts w:ascii="Times New Roman" w:hAnsi="Times New Roman" w:cs="Times New Roman"/>
        </w:rPr>
        <w:t>A</w:t>
      </w:r>
      <w:r w:rsidR="000C0B6C" w:rsidRPr="000C0B6C">
        <w:rPr>
          <w:rFonts w:ascii="Times New Roman" w:hAnsi="Times New Roman" w:cs="Times New Roman"/>
        </w:rPr>
        <w:t xml:space="preserve"> </w:t>
      </w:r>
      <w:r w:rsidR="007C522B">
        <w:rPr>
          <w:rFonts w:ascii="Times New Roman" w:hAnsi="Times New Roman" w:cs="Times New Roman"/>
        </w:rPr>
        <w:t xml:space="preserve">and </w:t>
      </w:r>
      <w:r w:rsidR="003B6F84">
        <w:rPr>
          <w:rFonts w:ascii="Times New Roman" w:hAnsi="Times New Roman" w:cs="Times New Roman"/>
        </w:rPr>
        <w:t>DCM.B</w:t>
      </w:r>
      <w:r w:rsidR="007C522B">
        <w:rPr>
          <w:rFonts w:ascii="Times New Roman" w:hAnsi="Times New Roman" w:cs="Times New Roman"/>
        </w:rPr>
        <w:t xml:space="preserve"> </w:t>
      </w:r>
      <w:r w:rsidR="000C0B6C" w:rsidRPr="000C0B6C">
        <w:rPr>
          <w:rFonts w:ascii="Times New Roman" w:hAnsi="Times New Roman" w:cs="Times New Roman"/>
        </w:rPr>
        <w:t xml:space="preserve">matrices </w:t>
      </w:r>
      <w:r w:rsidR="000C0B6C">
        <w:rPr>
          <w:rFonts w:ascii="Times New Roman" w:hAnsi="Times New Roman" w:cs="Times New Roman"/>
        </w:rPr>
        <w:t xml:space="preserve">were then </w:t>
      </w:r>
      <w:r w:rsidR="000C0B6C" w:rsidRPr="000C0B6C">
        <w:rPr>
          <w:rFonts w:ascii="Times New Roman" w:hAnsi="Times New Roman" w:cs="Times New Roman"/>
        </w:rPr>
        <w:t xml:space="preserve">extracted for the most likely model for each group </w:t>
      </w:r>
      <w:r w:rsidR="000C0B6C">
        <w:rPr>
          <w:rFonts w:ascii="Times New Roman" w:hAnsi="Times New Roman" w:cs="Times New Roman"/>
        </w:rPr>
        <w:t xml:space="preserve">by drug condition </w:t>
      </w:r>
      <w:r w:rsidR="000C0B6C" w:rsidRPr="000C0B6C">
        <w:rPr>
          <w:rFonts w:ascii="Times New Roman" w:hAnsi="Times New Roman" w:cs="Times New Roman"/>
        </w:rPr>
        <w:t>using Bayesian Model Averaging.</w:t>
      </w:r>
      <w:r w:rsidR="000C0B6C">
        <w:rPr>
          <w:rFonts w:ascii="Times New Roman" w:hAnsi="Times New Roman" w:cs="Times New Roman"/>
        </w:rPr>
        <w:t xml:space="preserve"> </w:t>
      </w:r>
      <w:r w:rsidR="004C30C3">
        <w:rPr>
          <w:rFonts w:ascii="Times New Roman" w:hAnsi="Times New Roman" w:cs="Times New Roman"/>
        </w:rPr>
        <w:t xml:space="preserve">The resulting </w:t>
      </w:r>
      <w:r w:rsidR="00CF7983">
        <w:rPr>
          <w:rFonts w:ascii="Times New Roman" w:hAnsi="Times New Roman" w:cs="Times New Roman"/>
        </w:rPr>
        <w:t>connectivity values</w:t>
      </w:r>
      <w:r w:rsidR="004C30C3">
        <w:rPr>
          <w:rFonts w:ascii="Times New Roman" w:hAnsi="Times New Roman" w:cs="Times New Roman"/>
        </w:rPr>
        <w:t xml:space="preserve"> from the </w:t>
      </w:r>
      <w:r w:rsidR="00CF7983">
        <w:rPr>
          <w:rFonts w:ascii="Times New Roman" w:hAnsi="Times New Roman" w:cs="Times New Roman"/>
        </w:rPr>
        <w:t>most likely group model</w:t>
      </w:r>
      <w:r w:rsidR="004C30C3">
        <w:rPr>
          <w:rFonts w:ascii="Times New Roman" w:hAnsi="Times New Roman" w:cs="Times New Roman"/>
        </w:rPr>
        <w:t xml:space="preserve"> were subsequently subjected to the same </w:t>
      </w:r>
      <w:r w:rsidR="00206128" w:rsidRPr="004E1CFF">
        <w:rPr>
          <w:rFonts w:ascii="Times New Roman" w:hAnsi="Times New Roman" w:cs="Times New Roman"/>
        </w:rPr>
        <w:t xml:space="preserve">subject-level random effects </w:t>
      </w:r>
      <w:r w:rsidR="004C30C3">
        <w:rPr>
          <w:rFonts w:ascii="Times New Roman" w:hAnsi="Times New Roman" w:cs="Times New Roman"/>
        </w:rPr>
        <w:t xml:space="preserve">analysis approach as the </w:t>
      </w:r>
      <w:proofErr w:type="spellStart"/>
      <w:r w:rsidR="004C30C3">
        <w:rPr>
          <w:rFonts w:ascii="Times New Roman" w:hAnsi="Times New Roman" w:cs="Times New Roman"/>
        </w:rPr>
        <w:t>behavioral</w:t>
      </w:r>
      <w:proofErr w:type="spellEnd"/>
      <w:r w:rsidR="004C30C3">
        <w:rPr>
          <w:rFonts w:ascii="Times New Roman" w:hAnsi="Times New Roman" w:cs="Times New Roman"/>
        </w:rPr>
        <w:t xml:space="preserve"> performance measures</w:t>
      </w:r>
      <w:r w:rsidR="00A94368">
        <w:rPr>
          <w:rFonts w:ascii="Times New Roman" w:hAnsi="Times New Roman" w:cs="Times New Roman"/>
        </w:rPr>
        <w:t xml:space="preserve">. </w:t>
      </w:r>
    </w:p>
    <w:p w14:paraId="20E67509" w14:textId="5A8E2015" w:rsidR="00687AAF" w:rsidRPr="004E1CFF" w:rsidRDefault="0084371D" w:rsidP="000B7DB7">
      <w:pPr>
        <w:pStyle w:val="Heading1"/>
      </w:pPr>
      <w:r w:rsidRPr="004E1CFF">
        <w:t>RESULT</w:t>
      </w:r>
      <w:r w:rsidR="00931D63" w:rsidRPr="004E1CFF">
        <w:t>S</w:t>
      </w:r>
    </w:p>
    <w:p w14:paraId="650D3C97" w14:textId="5BDDBE79" w:rsidR="00B365CD" w:rsidRPr="004E1CFF" w:rsidRDefault="00CD2BCC" w:rsidP="000B7DB7">
      <w:pPr>
        <w:pStyle w:val="Heading2"/>
        <w:rPr>
          <w:b w:val="0"/>
        </w:rPr>
      </w:pPr>
      <w:r>
        <w:t xml:space="preserve">Demographic and </w:t>
      </w:r>
      <w:proofErr w:type="spellStart"/>
      <w:r w:rsidR="002B3AC2" w:rsidRPr="004E1CFF">
        <w:t>Behavioral</w:t>
      </w:r>
      <w:proofErr w:type="spellEnd"/>
      <w:r w:rsidR="00B365CD" w:rsidRPr="004E1CFF">
        <w:t xml:space="preserve"> Results</w:t>
      </w:r>
    </w:p>
    <w:p w14:paraId="3AB49C46" w14:textId="057ADEC5" w:rsidR="00DC6558" w:rsidRPr="004E1CFF" w:rsidRDefault="00784F1F" w:rsidP="00BF7E9E">
      <w:pPr>
        <w:spacing w:line="360" w:lineRule="auto"/>
        <w:rPr>
          <w:rFonts w:ascii="Times New Roman" w:hAnsi="Times New Roman" w:cs="Times New Roman"/>
        </w:rPr>
      </w:pPr>
      <w:r w:rsidRPr="004E1CFF">
        <w:rPr>
          <w:rFonts w:ascii="Times New Roman" w:hAnsi="Times New Roman" w:cs="Times New Roman"/>
        </w:rPr>
        <w:t>Demographic, clinical and personality measures are reported in Table 1.</w:t>
      </w:r>
      <w:r w:rsidR="00A2303D" w:rsidRPr="004E1CFF">
        <w:rPr>
          <w:rFonts w:ascii="Times New Roman" w:hAnsi="Times New Roman" w:cs="Times New Roman"/>
        </w:rPr>
        <w:t xml:space="preserve"> </w:t>
      </w:r>
      <w:r w:rsidR="00977D8C" w:rsidRPr="004E1CFF">
        <w:rPr>
          <w:rFonts w:ascii="Times New Roman" w:hAnsi="Times New Roman" w:cs="Times New Roman"/>
        </w:rPr>
        <w:t xml:space="preserve">The </w:t>
      </w:r>
      <w:r w:rsidR="00E64D19" w:rsidRPr="004E1CFF">
        <w:rPr>
          <w:rFonts w:ascii="Times New Roman" w:hAnsi="Times New Roman" w:cs="Times New Roman"/>
        </w:rPr>
        <w:t xml:space="preserve">participants were well matched in terms of their </w:t>
      </w:r>
      <w:r w:rsidR="004B30A0" w:rsidRPr="004E1CFF">
        <w:rPr>
          <w:rFonts w:ascii="Times New Roman" w:hAnsi="Times New Roman" w:cs="Times New Roman"/>
        </w:rPr>
        <w:t xml:space="preserve">sex, </w:t>
      </w:r>
      <w:r w:rsidR="00F73816" w:rsidRPr="004E1CFF">
        <w:rPr>
          <w:rFonts w:ascii="Times New Roman" w:hAnsi="Times New Roman" w:cs="Times New Roman"/>
        </w:rPr>
        <w:t xml:space="preserve">education </w:t>
      </w:r>
      <w:r w:rsidR="009B18BC">
        <w:rPr>
          <w:rFonts w:ascii="Times New Roman" w:hAnsi="Times New Roman" w:cs="Times New Roman"/>
        </w:rPr>
        <w:t xml:space="preserve">level </w:t>
      </w:r>
      <w:r w:rsidR="00F73816" w:rsidRPr="004E1CFF">
        <w:rPr>
          <w:rFonts w:ascii="Times New Roman" w:hAnsi="Times New Roman" w:cs="Times New Roman"/>
        </w:rPr>
        <w:t xml:space="preserve">and </w:t>
      </w:r>
      <w:r w:rsidR="009B18BC">
        <w:rPr>
          <w:rFonts w:ascii="Times New Roman" w:hAnsi="Times New Roman" w:cs="Times New Roman"/>
        </w:rPr>
        <w:t xml:space="preserve">pattern of </w:t>
      </w:r>
      <w:r w:rsidR="00F73816" w:rsidRPr="004E1CFF">
        <w:rPr>
          <w:rFonts w:ascii="Times New Roman" w:hAnsi="Times New Roman" w:cs="Times New Roman"/>
        </w:rPr>
        <w:t xml:space="preserve">alcohol use </w:t>
      </w:r>
      <w:r w:rsidR="009B18BC">
        <w:rPr>
          <w:rFonts w:ascii="Times New Roman" w:hAnsi="Times New Roman" w:cs="Times New Roman"/>
        </w:rPr>
        <w:t xml:space="preserve">as reflected by the </w:t>
      </w:r>
      <w:r w:rsidR="00F73816" w:rsidRPr="004E1CFF">
        <w:rPr>
          <w:rFonts w:ascii="Times New Roman" w:hAnsi="Times New Roman" w:cs="Times New Roman"/>
        </w:rPr>
        <w:t>AUDIT</w:t>
      </w:r>
      <w:r w:rsidR="009B18BC">
        <w:rPr>
          <w:rFonts w:ascii="Times New Roman" w:hAnsi="Times New Roman" w:cs="Times New Roman"/>
        </w:rPr>
        <w:t xml:space="preserve"> score</w:t>
      </w:r>
      <w:r w:rsidR="00AE4C0E" w:rsidRPr="004E1CFF">
        <w:rPr>
          <w:rFonts w:ascii="Times New Roman" w:hAnsi="Times New Roman" w:cs="Times New Roman"/>
        </w:rPr>
        <w:t>.</w:t>
      </w:r>
      <w:r w:rsidR="00EC1349" w:rsidRPr="004E1CFF">
        <w:rPr>
          <w:rFonts w:ascii="Times New Roman" w:hAnsi="Times New Roman" w:cs="Times New Roman"/>
        </w:rPr>
        <w:t xml:space="preserve"> </w:t>
      </w:r>
      <w:r w:rsidR="009B18BC">
        <w:rPr>
          <w:rFonts w:ascii="Times New Roman" w:hAnsi="Times New Roman" w:cs="Times New Roman"/>
        </w:rPr>
        <w:t xml:space="preserve">CUD </w:t>
      </w:r>
      <w:r w:rsidR="00301112">
        <w:rPr>
          <w:rFonts w:ascii="Times New Roman" w:hAnsi="Times New Roman" w:cs="Times New Roman"/>
        </w:rPr>
        <w:t xml:space="preserve">patients </w:t>
      </w:r>
      <w:r w:rsidR="00BB4D54" w:rsidRPr="004E1CFF">
        <w:rPr>
          <w:rFonts w:ascii="Times New Roman" w:hAnsi="Times New Roman" w:cs="Times New Roman"/>
        </w:rPr>
        <w:t>were</w:t>
      </w:r>
      <w:r w:rsidR="00BA0C2C" w:rsidRPr="004E1CFF">
        <w:rPr>
          <w:rFonts w:ascii="Times New Roman" w:hAnsi="Times New Roman" w:cs="Times New Roman"/>
        </w:rPr>
        <w:t xml:space="preserve"> younger, </w:t>
      </w:r>
      <w:r w:rsidR="009B18BC">
        <w:rPr>
          <w:rFonts w:ascii="Times New Roman" w:hAnsi="Times New Roman" w:cs="Times New Roman"/>
        </w:rPr>
        <w:t xml:space="preserve">had </w:t>
      </w:r>
      <w:r w:rsidR="00301112">
        <w:rPr>
          <w:rFonts w:ascii="Times New Roman" w:hAnsi="Times New Roman" w:cs="Times New Roman"/>
        </w:rPr>
        <w:t xml:space="preserve">a </w:t>
      </w:r>
      <w:r w:rsidR="009B18BC">
        <w:rPr>
          <w:rFonts w:ascii="Times New Roman" w:hAnsi="Times New Roman" w:cs="Times New Roman"/>
        </w:rPr>
        <w:t xml:space="preserve">lower </w:t>
      </w:r>
      <w:r w:rsidR="00740509">
        <w:rPr>
          <w:rFonts w:ascii="Times New Roman" w:hAnsi="Times New Roman" w:cs="Times New Roman"/>
        </w:rPr>
        <w:t>verbal IQ</w:t>
      </w:r>
      <w:r w:rsidR="00231288">
        <w:rPr>
          <w:rFonts w:ascii="Times New Roman" w:hAnsi="Times New Roman" w:cs="Times New Roman"/>
        </w:rPr>
        <w:t xml:space="preserve"> and significantly higher levels of depressed </w:t>
      </w:r>
      <w:proofErr w:type="gramStart"/>
      <w:r w:rsidR="00231288">
        <w:rPr>
          <w:rFonts w:ascii="Times New Roman" w:hAnsi="Times New Roman" w:cs="Times New Roman"/>
        </w:rPr>
        <w:t>mood  on</w:t>
      </w:r>
      <w:proofErr w:type="gramEnd"/>
      <w:r w:rsidR="00231288">
        <w:rPr>
          <w:rFonts w:ascii="Times New Roman" w:hAnsi="Times New Roman" w:cs="Times New Roman"/>
        </w:rPr>
        <w:t xml:space="preserve"> the BDI-II</w:t>
      </w:r>
      <w:r w:rsidR="00FF6745" w:rsidRPr="004E1CFF">
        <w:rPr>
          <w:rFonts w:ascii="Times New Roman" w:hAnsi="Times New Roman" w:cs="Times New Roman"/>
        </w:rPr>
        <w:t>.</w:t>
      </w:r>
    </w:p>
    <w:p w14:paraId="5128F048" w14:textId="3FCC5A87" w:rsidR="00BA629D" w:rsidRPr="00B87204" w:rsidRDefault="00F04CCD" w:rsidP="00BF7E9E">
      <w:pPr>
        <w:spacing w:line="360" w:lineRule="auto"/>
        <w:rPr>
          <w:rFonts w:ascii="Times New Roman" w:hAnsi="Times New Roman" w:cs="Times New Roman"/>
        </w:rPr>
      </w:pPr>
      <w:r w:rsidRPr="004E1CFF">
        <w:rPr>
          <w:rFonts w:ascii="Times New Roman" w:hAnsi="Times New Roman" w:cs="Times New Roman"/>
        </w:rPr>
        <w:lastRenderedPageBreak/>
        <w:t xml:space="preserve">Stopping performance is summarized in </w:t>
      </w:r>
      <w:r w:rsidR="00B365CD" w:rsidRPr="004E1CFF">
        <w:rPr>
          <w:rFonts w:ascii="Times New Roman" w:hAnsi="Times New Roman" w:cs="Times New Roman"/>
        </w:rPr>
        <w:t>Table 2</w:t>
      </w:r>
      <w:r w:rsidR="00E505E2" w:rsidRPr="004E1CFF">
        <w:rPr>
          <w:rFonts w:ascii="Times New Roman" w:hAnsi="Times New Roman" w:cs="Times New Roman"/>
        </w:rPr>
        <w:t xml:space="preserve">. </w:t>
      </w:r>
      <w:r w:rsidR="00D47B32">
        <w:rPr>
          <w:rFonts w:ascii="Times New Roman" w:hAnsi="Times New Roman" w:cs="Times New Roman"/>
        </w:rPr>
        <w:t>For SSRT there was n</w:t>
      </w:r>
      <w:r w:rsidR="003B2519" w:rsidRPr="004E1CFF">
        <w:rPr>
          <w:rFonts w:ascii="Times New Roman" w:hAnsi="Times New Roman" w:cs="Times New Roman"/>
        </w:rPr>
        <w:t>o</w:t>
      </w:r>
      <w:r w:rsidR="002F50C6" w:rsidRPr="004E1CFF">
        <w:rPr>
          <w:rFonts w:ascii="Times New Roman" w:hAnsi="Times New Roman" w:cs="Times New Roman"/>
        </w:rPr>
        <w:t xml:space="preserve"> </w:t>
      </w:r>
      <w:r w:rsidR="003B2519" w:rsidRPr="004E1CFF">
        <w:rPr>
          <w:rFonts w:ascii="Times New Roman" w:hAnsi="Times New Roman" w:cs="Times New Roman"/>
        </w:rPr>
        <w:t>main effect o</w:t>
      </w:r>
      <w:r w:rsidR="002F50C6" w:rsidRPr="004E1CFF">
        <w:rPr>
          <w:rFonts w:ascii="Times New Roman" w:hAnsi="Times New Roman" w:cs="Times New Roman"/>
        </w:rPr>
        <w:t xml:space="preserve">f </w:t>
      </w:r>
      <w:r w:rsidR="004A5C36">
        <w:rPr>
          <w:rFonts w:ascii="Times New Roman" w:hAnsi="Times New Roman" w:cs="Times New Roman"/>
        </w:rPr>
        <w:t xml:space="preserve">atomoxetine </w:t>
      </w:r>
      <w:r w:rsidR="005C337F" w:rsidRPr="004E1CFF">
        <w:rPr>
          <w:rFonts w:ascii="Times New Roman" w:hAnsi="Times New Roman" w:cs="Times New Roman"/>
        </w:rPr>
        <w:t xml:space="preserve"> </w:t>
      </w:r>
      <w:r w:rsidR="003D4CDF">
        <w:rPr>
          <w:rFonts w:ascii="Times New Roman" w:hAnsi="Times New Roman" w:cs="Times New Roman"/>
        </w:rPr>
        <w:t>compared with</w:t>
      </w:r>
      <w:r w:rsidR="004A5C36">
        <w:rPr>
          <w:rFonts w:ascii="Times New Roman" w:hAnsi="Times New Roman" w:cs="Times New Roman"/>
        </w:rPr>
        <w:t xml:space="preserve"> placebo </w:t>
      </w:r>
      <w:r w:rsidR="003955F2" w:rsidRPr="004E1CFF">
        <w:rPr>
          <w:rFonts w:ascii="Times New Roman" w:hAnsi="Times New Roman" w:cs="Times New Roman"/>
        </w:rPr>
        <w:t>(β=</w:t>
      </w:r>
      <w:r w:rsidR="008A27BF" w:rsidRPr="004E1CFF">
        <w:rPr>
          <w:rFonts w:ascii="Times New Roman" w:hAnsi="Times New Roman" w:cs="Times New Roman"/>
        </w:rPr>
        <w:t>12.6</w:t>
      </w:r>
      <w:r w:rsidR="003955F2" w:rsidRPr="004E1CFF">
        <w:rPr>
          <w:rFonts w:ascii="Times New Roman" w:hAnsi="Times New Roman" w:cs="Times New Roman"/>
        </w:rPr>
        <w:t>, SE=</w:t>
      </w:r>
      <w:r w:rsidR="008A27BF" w:rsidRPr="004E1CFF">
        <w:rPr>
          <w:rFonts w:ascii="Times New Roman" w:hAnsi="Times New Roman" w:cs="Times New Roman"/>
        </w:rPr>
        <w:t>9</w:t>
      </w:r>
      <w:r w:rsidR="003955F2" w:rsidRPr="004E1CFF">
        <w:rPr>
          <w:rFonts w:ascii="Times New Roman" w:hAnsi="Times New Roman" w:cs="Times New Roman"/>
        </w:rPr>
        <w:t>.</w:t>
      </w:r>
      <w:r w:rsidR="00CA16BD">
        <w:rPr>
          <w:rFonts w:ascii="Times New Roman" w:hAnsi="Times New Roman" w:cs="Times New Roman"/>
        </w:rPr>
        <w:t>4</w:t>
      </w:r>
      <w:r w:rsidR="003955F2" w:rsidRPr="004E1CFF">
        <w:rPr>
          <w:rFonts w:ascii="Times New Roman" w:hAnsi="Times New Roman" w:cs="Times New Roman"/>
        </w:rPr>
        <w:t>, t</w:t>
      </w:r>
      <w:r w:rsidR="003955F2" w:rsidRPr="004E1CFF">
        <w:rPr>
          <w:rFonts w:ascii="Times New Roman" w:hAnsi="Times New Roman" w:cs="Times New Roman"/>
          <w:vertAlign w:val="subscript"/>
        </w:rPr>
        <w:t>4</w:t>
      </w:r>
      <w:r w:rsidR="001218BA" w:rsidRPr="004E1CFF">
        <w:rPr>
          <w:rFonts w:ascii="Times New Roman" w:hAnsi="Times New Roman" w:cs="Times New Roman"/>
          <w:vertAlign w:val="subscript"/>
        </w:rPr>
        <w:t>4</w:t>
      </w:r>
      <w:r w:rsidR="003955F2" w:rsidRPr="004E1CFF">
        <w:rPr>
          <w:rFonts w:ascii="Times New Roman" w:hAnsi="Times New Roman" w:cs="Times New Roman"/>
        </w:rPr>
        <w:t>=</w:t>
      </w:r>
      <w:r w:rsidR="001218BA" w:rsidRPr="004E1CFF">
        <w:rPr>
          <w:rFonts w:ascii="Times New Roman" w:hAnsi="Times New Roman" w:cs="Times New Roman"/>
        </w:rPr>
        <w:t>1.3</w:t>
      </w:r>
      <w:r w:rsidR="003955F2" w:rsidRPr="004E1CFF">
        <w:rPr>
          <w:rFonts w:ascii="Times New Roman" w:hAnsi="Times New Roman" w:cs="Times New Roman"/>
        </w:rPr>
        <w:t xml:space="preserve">, </w:t>
      </w:r>
      <w:r w:rsidR="0019706F" w:rsidRPr="004E1CFF">
        <w:rPr>
          <w:rFonts w:ascii="Times New Roman" w:hAnsi="Times New Roman" w:cs="Times New Roman"/>
        </w:rPr>
        <w:t>p=0.</w:t>
      </w:r>
      <w:r w:rsidR="00DD4928" w:rsidRPr="004E1CFF">
        <w:rPr>
          <w:rFonts w:ascii="Times New Roman" w:hAnsi="Times New Roman" w:cs="Times New Roman"/>
        </w:rPr>
        <w:t>1</w:t>
      </w:r>
      <w:r w:rsidR="00DD4928">
        <w:rPr>
          <w:rFonts w:ascii="Times New Roman" w:hAnsi="Times New Roman" w:cs="Times New Roman"/>
        </w:rPr>
        <w:t>80</w:t>
      </w:r>
      <w:r w:rsidR="0019706F" w:rsidRPr="004E1CFF">
        <w:rPr>
          <w:rFonts w:ascii="Times New Roman" w:hAnsi="Times New Roman" w:cs="Times New Roman"/>
        </w:rPr>
        <w:t>)</w:t>
      </w:r>
      <w:r w:rsidR="00D47B32">
        <w:rPr>
          <w:rFonts w:ascii="Times New Roman" w:hAnsi="Times New Roman" w:cs="Times New Roman"/>
        </w:rPr>
        <w:t>,</w:t>
      </w:r>
      <w:r w:rsidR="004A5C36">
        <w:rPr>
          <w:rFonts w:ascii="Times New Roman" w:hAnsi="Times New Roman" w:cs="Times New Roman"/>
        </w:rPr>
        <w:t xml:space="preserve"> </w:t>
      </w:r>
      <w:r w:rsidR="00D3127B">
        <w:rPr>
          <w:rFonts w:ascii="Times New Roman" w:hAnsi="Times New Roman" w:cs="Times New Roman"/>
        </w:rPr>
        <w:t>C</w:t>
      </w:r>
      <w:r w:rsidR="004A5C36">
        <w:rPr>
          <w:rFonts w:ascii="Times New Roman" w:hAnsi="Times New Roman" w:cs="Times New Roman"/>
        </w:rPr>
        <w:t xml:space="preserve">UD </w:t>
      </w:r>
      <w:r w:rsidR="003D4CDF">
        <w:rPr>
          <w:rFonts w:ascii="Times New Roman" w:hAnsi="Times New Roman" w:cs="Times New Roman"/>
        </w:rPr>
        <w:t>compared with</w:t>
      </w:r>
      <w:r w:rsidR="004A5C36">
        <w:rPr>
          <w:rFonts w:ascii="Times New Roman" w:hAnsi="Times New Roman" w:cs="Times New Roman"/>
        </w:rPr>
        <w:t xml:space="preserve"> controls </w:t>
      </w:r>
      <w:r w:rsidR="00724028" w:rsidRPr="004E1CFF">
        <w:rPr>
          <w:rFonts w:ascii="Times New Roman" w:hAnsi="Times New Roman" w:cs="Times New Roman"/>
        </w:rPr>
        <w:t>(</w:t>
      </w:r>
      <w:r w:rsidR="00D8386C" w:rsidRPr="004E1CFF">
        <w:rPr>
          <w:rFonts w:ascii="Times New Roman" w:hAnsi="Times New Roman" w:cs="Times New Roman"/>
        </w:rPr>
        <w:t>β=</w:t>
      </w:r>
      <w:r w:rsidR="00DC5CCA" w:rsidRPr="004E1CFF">
        <w:rPr>
          <w:rFonts w:ascii="Times New Roman" w:hAnsi="Times New Roman" w:cs="Times New Roman"/>
        </w:rPr>
        <w:t>5.3</w:t>
      </w:r>
      <w:r w:rsidR="00D8386C" w:rsidRPr="004E1CFF">
        <w:rPr>
          <w:rFonts w:ascii="Times New Roman" w:hAnsi="Times New Roman" w:cs="Times New Roman"/>
        </w:rPr>
        <w:t>, SE=</w:t>
      </w:r>
      <w:r w:rsidR="00EE0D64" w:rsidRPr="004E1CFF">
        <w:rPr>
          <w:rFonts w:ascii="Times New Roman" w:hAnsi="Times New Roman" w:cs="Times New Roman"/>
        </w:rPr>
        <w:t>14.</w:t>
      </w:r>
      <w:r w:rsidR="00CA16BD">
        <w:rPr>
          <w:rFonts w:ascii="Times New Roman" w:hAnsi="Times New Roman" w:cs="Times New Roman"/>
        </w:rPr>
        <w:t>7</w:t>
      </w:r>
      <w:r w:rsidR="00D8386C" w:rsidRPr="004E1CFF">
        <w:rPr>
          <w:rFonts w:ascii="Times New Roman" w:hAnsi="Times New Roman" w:cs="Times New Roman"/>
        </w:rPr>
        <w:t>, t</w:t>
      </w:r>
      <w:r w:rsidR="00D8386C" w:rsidRPr="004E1CFF">
        <w:rPr>
          <w:rFonts w:ascii="Times New Roman" w:hAnsi="Times New Roman" w:cs="Times New Roman"/>
          <w:vertAlign w:val="subscript"/>
        </w:rPr>
        <w:t>42</w:t>
      </w:r>
      <w:r w:rsidR="00D8386C" w:rsidRPr="004E1CFF">
        <w:rPr>
          <w:rFonts w:ascii="Times New Roman" w:hAnsi="Times New Roman" w:cs="Times New Roman"/>
        </w:rPr>
        <w:t>=</w:t>
      </w:r>
      <w:r w:rsidR="00EE0D64" w:rsidRPr="004E1CFF">
        <w:rPr>
          <w:rFonts w:ascii="Times New Roman" w:hAnsi="Times New Roman" w:cs="Times New Roman"/>
        </w:rPr>
        <w:t>0.4</w:t>
      </w:r>
      <w:r w:rsidR="00D8386C" w:rsidRPr="004E1CFF">
        <w:rPr>
          <w:rFonts w:ascii="Times New Roman" w:hAnsi="Times New Roman" w:cs="Times New Roman"/>
        </w:rPr>
        <w:t xml:space="preserve">, </w:t>
      </w:r>
      <w:r w:rsidR="00724028" w:rsidRPr="004E1CFF">
        <w:rPr>
          <w:rFonts w:ascii="Times New Roman" w:hAnsi="Times New Roman" w:cs="Times New Roman"/>
        </w:rPr>
        <w:t>p=0.</w:t>
      </w:r>
      <w:r w:rsidR="00DD51F1" w:rsidRPr="004E1CFF">
        <w:rPr>
          <w:rFonts w:ascii="Times New Roman" w:hAnsi="Times New Roman" w:cs="Times New Roman"/>
        </w:rPr>
        <w:t>7</w:t>
      </w:r>
      <w:r w:rsidR="00A63B99">
        <w:rPr>
          <w:rFonts w:ascii="Times New Roman" w:hAnsi="Times New Roman" w:cs="Times New Roman"/>
        </w:rPr>
        <w:t>17</w:t>
      </w:r>
      <w:r w:rsidR="00724028" w:rsidRPr="004E1CFF">
        <w:rPr>
          <w:rFonts w:ascii="Times New Roman" w:hAnsi="Times New Roman" w:cs="Times New Roman"/>
        </w:rPr>
        <w:t>)</w:t>
      </w:r>
      <w:r w:rsidR="003D4CDF">
        <w:rPr>
          <w:rFonts w:ascii="Times New Roman" w:hAnsi="Times New Roman" w:cs="Times New Roman"/>
        </w:rPr>
        <w:t>,</w:t>
      </w:r>
      <w:r w:rsidR="002F50C6" w:rsidRPr="004E1CFF">
        <w:rPr>
          <w:rFonts w:ascii="Times New Roman" w:hAnsi="Times New Roman" w:cs="Times New Roman"/>
        </w:rPr>
        <w:t xml:space="preserve"> </w:t>
      </w:r>
      <w:r w:rsidR="00D47B32">
        <w:rPr>
          <w:rFonts w:ascii="Times New Roman" w:hAnsi="Times New Roman" w:cs="Times New Roman"/>
        </w:rPr>
        <w:t>nor was there a significant</w:t>
      </w:r>
      <w:r w:rsidR="002F50C6" w:rsidRPr="004E1CFF">
        <w:rPr>
          <w:rFonts w:ascii="Times New Roman" w:hAnsi="Times New Roman" w:cs="Times New Roman"/>
        </w:rPr>
        <w:t xml:space="preserve"> interaction </w:t>
      </w:r>
      <w:r w:rsidR="00A63D6F" w:rsidRPr="004E1CFF">
        <w:rPr>
          <w:rFonts w:ascii="Times New Roman" w:hAnsi="Times New Roman" w:cs="Times New Roman"/>
        </w:rPr>
        <w:t>(β=</w:t>
      </w:r>
      <w:r w:rsidR="00C20698" w:rsidRPr="004E1CFF">
        <w:rPr>
          <w:rFonts w:ascii="Times New Roman" w:hAnsi="Times New Roman" w:cs="Times New Roman"/>
        </w:rPr>
        <w:t>-17.3</w:t>
      </w:r>
      <w:r w:rsidR="00A63D6F" w:rsidRPr="004E1CFF">
        <w:rPr>
          <w:rFonts w:ascii="Times New Roman" w:hAnsi="Times New Roman" w:cs="Times New Roman"/>
        </w:rPr>
        <w:t>, SE=</w:t>
      </w:r>
      <w:r w:rsidR="00C20698" w:rsidRPr="004E1CFF">
        <w:rPr>
          <w:rFonts w:ascii="Times New Roman" w:hAnsi="Times New Roman" w:cs="Times New Roman"/>
        </w:rPr>
        <w:t>12.</w:t>
      </w:r>
      <w:r w:rsidR="00CA16BD">
        <w:rPr>
          <w:rFonts w:ascii="Times New Roman" w:hAnsi="Times New Roman" w:cs="Times New Roman"/>
        </w:rPr>
        <w:t>0</w:t>
      </w:r>
      <w:r w:rsidR="00A63D6F" w:rsidRPr="004E1CFF">
        <w:rPr>
          <w:rFonts w:ascii="Times New Roman" w:hAnsi="Times New Roman" w:cs="Times New Roman"/>
        </w:rPr>
        <w:t>, t</w:t>
      </w:r>
      <w:r w:rsidR="00A63D6F" w:rsidRPr="004E1CFF">
        <w:rPr>
          <w:rFonts w:ascii="Times New Roman" w:hAnsi="Times New Roman" w:cs="Times New Roman"/>
          <w:vertAlign w:val="subscript"/>
        </w:rPr>
        <w:t>42</w:t>
      </w:r>
      <w:r w:rsidR="00A63D6F" w:rsidRPr="004E1CFF">
        <w:rPr>
          <w:rFonts w:ascii="Times New Roman" w:hAnsi="Times New Roman" w:cs="Times New Roman"/>
        </w:rPr>
        <w:t>=</w:t>
      </w:r>
      <w:r w:rsidR="00B86BD1" w:rsidRPr="004E1CFF">
        <w:rPr>
          <w:rFonts w:ascii="Times New Roman" w:hAnsi="Times New Roman" w:cs="Times New Roman"/>
        </w:rPr>
        <w:t>1.4</w:t>
      </w:r>
      <w:r w:rsidR="00A63D6F" w:rsidRPr="004E1CFF">
        <w:rPr>
          <w:rFonts w:ascii="Times New Roman" w:hAnsi="Times New Roman" w:cs="Times New Roman"/>
        </w:rPr>
        <w:t xml:space="preserve">, </w:t>
      </w:r>
      <w:r w:rsidR="009B0FDF" w:rsidRPr="004E1CFF">
        <w:rPr>
          <w:rFonts w:ascii="Times New Roman" w:hAnsi="Times New Roman" w:cs="Times New Roman"/>
        </w:rPr>
        <w:t>p=0.</w:t>
      </w:r>
      <w:r w:rsidR="00DF46F4" w:rsidRPr="004E1CFF">
        <w:rPr>
          <w:rFonts w:ascii="Times New Roman" w:hAnsi="Times New Roman" w:cs="Times New Roman"/>
        </w:rPr>
        <w:t>1</w:t>
      </w:r>
      <w:r w:rsidR="00DF46F4">
        <w:rPr>
          <w:rFonts w:ascii="Times New Roman" w:hAnsi="Times New Roman" w:cs="Times New Roman"/>
        </w:rPr>
        <w:t>51</w:t>
      </w:r>
      <w:r w:rsidR="009B0FDF" w:rsidRPr="004E1CFF">
        <w:rPr>
          <w:rFonts w:ascii="Times New Roman" w:hAnsi="Times New Roman" w:cs="Times New Roman"/>
        </w:rPr>
        <w:t xml:space="preserve">) </w:t>
      </w:r>
      <w:r w:rsidR="00384E6B" w:rsidRPr="004E1CFF">
        <w:rPr>
          <w:rFonts w:ascii="Times New Roman" w:hAnsi="Times New Roman" w:cs="Times New Roman"/>
        </w:rPr>
        <w:t>while</w:t>
      </w:r>
      <w:r w:rsidR="002F50C6" w:rsidRPr="004E1CFF">
        <w:rPr>
          <w:rFonts w:ascii="Times New Roman" w:hAnsi="Times New Roman" w:cs="Times New Roman"/>
        </w:rPr>
        <w:t xml:space="preserve"> </w:t>
      </w:r>
      <w:r w:rsidR="008706F5" w:rsidRPr="004E1CFF">
        <w:rPr>
          <w:rFonts w:ascii="Times New Roman" w:hAnsi="Times New Roman" w:cs="Times New Roman"/>
        </w:rPr>
        <w:t xml:space="preserve">controlling for </w:t>
      </w:r>
      <w:r w:rsidR="00F13F02" w:rsidRPr="004E1CFF">
        <w:rPr>
          <w:rFonts w:ascii="Times New Roman" w:hAnsi="Times New Roman" w:cs="Times New Roman"/>
        </w:rPr>
        <w:t>a</w:t>
      </w:r>
      <w:r w:rsidR="008706F5" w:rsidRPr="004E1CFF">
        <w:rPr>
          <w:rFonts w:ascii="Times New Roman" w:hAnsi="Times New Roman" w:cs="Times New Roman"/>
        </w:rPr>
        <w:t>ge</w:t>
      </w:r>
      <w:r w:rsidR="000832F2" w:rsidRPr="004E1CFF">
        <w:rPr>
          <w:rFonts w:ascii="Times New Roman" w:hAnsi="Times New Roman" w:cs="Times New Roman"/>
        </w:rPr>
        <w:t xml:space="preserve"> </w:t>
      </w:r>
      <w:bookmarkStart w:id="0" w:name="OLE_LINK1"/>
      <w:r w:rsidR="00F90DAE" w:rsidRPr="004E1CFF">
        <w:rPr>
          <w:rFonts w:ascii="Times New Roman" w:hAnsi="Times New Roman" w:cs="Times New Roman"/>
        </w:rPr>
        <w:t>(β=1.9</w:t>
      </w:r>
      <w:r w:rsidR="00D22934" w:rsidRPr="004E1CFF">
        <w:rPr>
          <w:rFonts w:ascii="Times New Roman" w:hAnsi="Times New Roman" w:cs="Times New Roman"/>
        </w:rPr>
        <w:t>, SE=</w:t>
      </w:r>
      <w:r w:rsidR="00F90DAE" w:rsidRPr="004E1CFF">
        <w:rPr>
          <w:rFonts w:ascii="Times New Roman" w:hAnsi="Times New Roman" w:cs="Times New Roman"/>
        </w:rPr>
        <w:t>0.</w:t>
      </w:r>
      <w:r w:rsidR="00D22934" w:rsidRPr="004E1CFF">
        <w:rPr>
          <w:rFonts w:ascii="Times New Roman" w:hAnsi="Times New Roman" w:cs="Times New Roman"/>
        </w:rPr>
        <w:t>9, t</w:t>
      </w:r>
      <w:r w:rsidR="00F90DAE" w:rsidRPr="004E1CFF">
        <w:rPr>
          <w:rFonts w:ascii="Times New Roman" w:hAnsi="Times New Roman" w:cs="Times New Roman"/>
          <w:vertAlign w:val="subscript"/>
        </w:rPr>
        <w:t>4</w:t>
      </w:r>
      <w:r w:rsidR="00D20179" w:rsidRPr="004E1CFF">
        <w:rPr>
          <w:rFonts w:ascii="Times New Roman" w:hAnsi="Times New Roman" w:cs="Times New Roman"/>
          <w:vertAlign w:val="subscript"/>
        </w:rPr>
        <w:t>4</w:t>
      </w:r>
      <w:r w:rsidR="00D22934" w:rsidRPr="004E1CFF">
        <w:rPr>
          <w:rFonts w:ascii="Times New Roman" w:hAnsi="Times New Roman" w:cs="Times New Roman"/>
        </w:rPr>
        <w:t>=</w:t>
      </w:r>
      <w:r w:rsidR="00F90DAE" w:rsidRPr="004E1CFF">
        <w:rPr>
          <w:rFonts w:ascii="Times New Roman" w:hAnsi="Times New Roman" w:cs="Times New Roman"/>
        </w:rPr>
        <w:t>2.</w:t>
      </w:r>
      <w:r w:rsidR="00D22934" w:rsidRPr="004E1CFF">
        <w:rPr>
          <w:rFonts w:ascii="Times New Roman" w:hAnsi="Times New Roman" w:cs="Times New Roman"/>
        </w:rPr>
        <w:t>1</w:t>
      </w:r>
      <w:r w:rsidR="003955F2" w:rsidRPr="004E1CFF">
        <w:rPr>
          <w:rFonts w:ascii="Times New Roman" w:hAnsi="Times New Roman" w:cs="Times New Roman"/>
        </w:rPr>
        <w:t>,</w:t>
      </w:r>
      <w:r w:rsidR="00D22934" w:rsidRPr="004E1CFF">
        <w:rPr>
          <w:rFonts w:ascii="Times New Roman" w:hAnsi="Times New Roman" w:cs="Times New Roman"/>
        </w:rPr>
        <w:t xml:space="preserve"> p=</w:t>
      </w:r>
      <w:r w:rsidR="00F90DAE" w:rsidRPr="004E1CFF">
        <w:rPr>
          <w:rFonts w:ascii="Times New Roman" w:hAnsi="Times New Roman" w:cs="Times New Roman"/>
        </w:rPr>
        <w:t>0.0</w:t>
      </w:r>
      <w:r w:rsidR="007A3054">
        <w:rPr>
          <w:rFonts w:ascii="Times New Roman" w:hAnsi="Times New Roman" w:cs="Times New Roman"/>
        </w:rPr>
        <w:t>38</w:t>
      </w:r>
      <w:r w:rsidR="00D22934" w:rsidRPr="004E1CFF">
        <w:rPr>
          <w:rFonts w:ascii="Times New Roman" w:hAnsi="Times New Roman" w:cs="Times New Roman"/>
        </w:rPr>
        <w:t xml:space="preserve">) </w:t>
      </w:r>
      <w:bookmarkEnd w:id="0"/>
      <w:r w:rsidR="008706F5" w:rsidRPr="004E1CFF">
        <w:rPr>
          <w:rFonts w:ascii="Times New Roman" w:hAnsi="Times New Roman" w:cs="Times New Roman"/>
        </w:rPr>
        <w:t>and plasma at</w:t>
      </w:r>
      <w:r w:rsidR="00B36BB6" w:rsidRPr="004E1CFF">
        <w:rPr>
          <w:rFonts w:ascii="Times New Roman" w:hAnsi="Times New Roman" w:cs="Times New Roman"/>
        </w:rPr>
        <w:t>omoxetine</w:t>
      </w:r>
      <w:r w:rsidR="00D64B29" w:rsidRPr="004E1CFF">
        <w:rPr>
          <w:rFonts w:ascii="Times New Roman" w:hAnsi="Times New Roman" w:cs="Times New Roman"/>
        </w:rPr>
        <w:t xml:space="preserve"> levels</w:t>
      </w:r>
      <w:r w:rsidR="00306A08" w:rsidRPr="004E1CFF">
        <w:rPr>
          <w:rFonts w:ascii="Times New Roman" w:hAnsi="Times New Roman" w:cs="Times New Roman"/>
        </w:rPr>
        <w:t xml:space="preserve"> (p</w:t>
      </w:r>
      <w:r w:rsidR="0019706F" w:rsidRPr="004E1CFF">
        <w:rPr>
          <w:rFonts w:ascii="Times New Roman" w:hAnsi="Times New Roman" w:cs="Times New Roman"/>
        </w:rPr>
        <w:t>=</w:t>
      </w:r>
      <w:r w:rsidR="00306A08" w:rsidRPr="004E1CFF">
        <w:rPr>
          <w:rFonts w:ascii="Times New Roman" w:hAnsi="Times New Roman" w:cs="Times New Roman"/>
        </w:rPr>
        <w:t>0.</w:t>
      </w:r>
      <w:r w:rsidR="00066BB4" w:rsidRPr="004E1CFF">
        <w:rPr>
          <w:rFonts w:ascii="Times New Roman" w:hAnsi="Times New Roman" w:cs="Times New Roman"/>
        </w:rPr>
        <w:t>3</w:t>
      </w:r>
      <w:r w:rsidR="00066BB4">
        <w:rPr>
          <w:rFonts w:ascii="Times New Roman" w:hAnsi="Times New Roman" w:cs="Times New Roman"/>
        </w:rPr>
        <w:t>88</w:t>
      </w:r>
      <w:r w:rsidR="00306A08" w:rsidRPr="004E1CFF">
        <w:rPr>
          <w:rFonts w:ascii="Times New Roman" w:hAnsi="Times New Roman" w:cs="Times New Roman"/>
        </w:rPr>
        <w:t>)</w:t>
      </w:r>
      <w:r w:rsidR="00D64B29" w:rsidRPr="004E1CFF">
        <w:rPr>
          <w:rFonts w:ascii="Times New Roman" w:hAnsi="Times New Roman" w:cs="Times New Roman"/>
        </w:rPr>
        <w:t>.</w:t>
      </w:r>
      <w:r w:rsidR="00FC0E9C" w:rsidRPr="004E1CFF">
        <w:rPr>
          <w:rFonts w:ascii="Times New Roman" w:hAnsi="Times New Roman" w:cs="Times New Roman"/>
        </w:rPr>
        <w:t xml:space="preserve"> </w:t>
      </w:r>
      <w:r w:rsidR="00D47B32">
        <w:rPr>
          <w:rFonts w:ascii="Times New Roman" w:hAnsi="Times New Roman" w:cs="Times New Roman"/>
        </w:rPr>
        <w:t>For Go RT, there was a</w:t>
      </w:r>
      <w:r w:rsidR="00DE455C" w:rsidRPr="004E1CFF">
        <w:rPr>
          <w:rFonts w:ascii="Times New Roman" w:hAnsi="Times New Roman" w:cs="Times New Roman"/>
        </w:rPr>
        <w:t xml:space="preserve"> significant main effect of</w:t>
      </w:r>
      <w:r w:rsidR="00566D46">
        <w:rPr>
          <w:rFonts w:ascii="Times New Roman" w:hAnsi="Times New Roman" w:cs="Times New Roman"/>
        </w:rPr>
        <w:t xml:space="preserve"> drug</w:t>
      </w:r>
      <w:r w:rsidR="00DE455C" w:rsidRPr="004E1CFF">
        <w:rPr>
          <w:rFonts w:ascii="Times New Roman" w:hAnsi="Times New Roman" w:cs="Times New Roman"/>
        </w:rPr>
        <w:t xml:space="preserve"> </w:t>
      </w:r>
      <w:r w:rsidR="00B42319" w:rsidRPr="004E1CFF">
        <w:rPr>
          <w:rFonts w:ascii="Times New Roman" w:hAnsi="Times New Roman" w:cs="Times New Roman"/>
        </w:rPr>
        <w:t>condition</w:t>
      </w:r>
      <w:r w:rsidR="00D17522" w:rsidRPr="004E1CFF">
        <w:rPr>
          <w:rFonts w:ascii="Times New Roman" w:hAnsi="Times New Roman" w:cs="Times New Roman"/>
        </w:rPr>
        <w:t xml:space="preserve"> </w:t>
      </w:r>
      <w:r w:rsidR="00D02C7C">
        <w:rPr>
          <w:rFonts w:ascii="Times New Roman" w:hAnsi="Times New Roman" w:cs="Times New Roman"/>
        </w:rPr>
        <w:t xml:space="preserve">as atomoxetine speeded responding </w:t>
      </w:r>
      <w:r w:rsidR="003D4CDF">
        <w:rPr>
          <w:rFonts w:ascii="Times New Roman" w:hAnsi="Times New Roman" w:cs="Times New Roman"/>
        </w:rPr>
        <w:t xml:space="preserve">compared with placebo </w:t>
      </w:r>
      <w:r w:rsidR="009D5613" w:rsidRPr="004E1CFF">
        <w:rPr>
          <w:rFonts w:ascii="Times New Roman" w:hAnsi="Times New Roman" w:cs="Times New Roman"/>
        </w:rPr>
        <w:t>(β=28.5, SE=11.</w:t>
      </w:r>
      <w:r w:rsidR="001B0B52">
        <w:rPr>
          <w:rFonts w:ascii="Times New Roman" w:hAnsi="Times New Roman" w:cs="Times New Roman"/>
        </w:rPr>
        <w:t>0</w:t>
      </w:r>
      <w:r w:rsidR="009D5613" w:rsidRPr="004E1CFF">
        <w:rPr>
          <w:rFonts w:ascii="Times New Roman" w:hAnsi="Times New Roman" w:cs="Times New Roman"/>
        </w:rPr>
        <w:t>, t</w:t>
      </w:r>
      <w:r w:rsidR="009D5613" w:rsidRPr="004E1CFF">
        <w:rPr>
          <w:rFonts w:ascii="Times New Roman" w:hAnsi="Times New Roman" w:cs="Times New Roman"/>
          <w:vertAlign w:val="subscript"/>
        </w:rPr>
        <w:t>44</w:t>
      </w:r>
      <w:r w:rsidR="009D5613" w:rsidRPr="004E1CFF">
        <w:rPr>
          <w:rFonts w:ascii="Times New Roman" w:hAnsi="Times New Roman" w:cs="Times New Roman"/>
        </w:rPr>
        <w:t>=2.6</w:t>
      </w:r>
      <w:r w:rsidR="006C450F" w:rsidRPr="004E1CFF">
        <w:rPr>
          <w:rFonts w:ascii="Times New Roman" w:hAnsi="Times New Roman" w:cs="Times New Roman"/>
        </w:rPr>
        <w:t>,</w:t>
      </w:r>
      <w:r w:rsidR="009D5613" w:rsidRPr="004E1CFF">
        <w:rPr>
          <w:rFonts w:ascii="Times New Roman" w:hAnsi="Times New Roman" w:cs="Times New Roman"/>
        </w:rPr>
        <w:t xml:space="preserve"> p=0.</w:t>
      </w:r>
      <w:r w:rsidR="00122ED6" w:rsidRPr="004E1CFF">
        <w:rPr>
          <w:rFonts w:ascii="Times New Roman" w:hAnsi="Times New Roman" w:cs="Times New Roman"/>
        </w:rPr>
        <w:t>0</w:t>
      </w:r>
      <w:r w:rsidR="00122ED6">
        <w:rPr>
          <w:rFonts w:ascii="Times New Roman" w:hAnsi="Times New Roman" w:cs="Times New Roman"/>
        </w:rPr>
        <w:t>09</w:t>
      </w:r>
      <w:r w:rsidR="009D5613" w:rsidRPr="004E1CFF">
        <w:rPr>
          <w:rFonts w:ascii="Times New Roman" w:hAnsi="Times New Roman" w:cs="Times New Roman"/>
        </w:rPr>
        <w:t>)</w:t>
      </w:r>
      <w:r w:rsidR="00D47B32">
        <w:rPr>
          <w:rFonts w:ascii="Times New Roman" w:hAnsi="Times New Roman" w:cs="Times New Roman"/>
        </w:rPr>
        <w:t xml:space="preserve">, </w:t>
      </w:r>
      <w:r w:rsidR="00566D46">
        <w:rPr>
          <w:rFonts w:ascii="Times New Roman" w:hAnsi="Times New Roman" w:cs="Times New Roman"/>
        </w:rPr>
        <w:t xml:space="preserve">with </w:t>
      </w:r>
      <w:r w:rsidR="00D47B32">
        <w:rPr>
          <w:rFonts w:ascii="Times New Roman" w:hAnsi="Times New Roman" w:cs="Times New Roman"/>
        </w:rPr>
        <w:t xml:space="preserve">no </w:t>
      </w:r>
      <w:r w:rsidR="00115AB1" w:rsidRPr="004E1CFF">
        <w:rPr>
          <w:rFonts w:ascii="Times New Roman" w:hAnsi="Times New Roman" w:cs="Times New Roman"/>
        </w:rPr>
        <w:t xml:space="preserve">main effect of group </w:t>
      </w:r>
      <w:r w:rsidR="009C7FDF" w:rsidRPr="004E1CFF">
        <w:rPr>
          <w:rFonts w:ascii="Times New Roman" w:hAnsi="Times New Roman" w:cs="Times New Roman"/>
        </w:rPr>
        <w:t>(</w:t>
      </w:r>
      <w:r w:rsidR="00801843" w:rsidRPr="004E1CFF">
        <w:rPr>
          <w:rFonts w:ascii="Times New Roman" w:hAnsi="Times New Roman" w:cs="Times New Roman"/>
        </w:rPr>
        <w:t>β=</w:t>
      </w:r>
      <w:r w:rsidR="009168C6" w:rsidRPr="004E1CFF">
        <w:rPr>
          <w:rFonts w:ascii="Times New Roman" w:hAnsi="Times New Roman" w:cs="Times New Roman"/>
        </w:rPr>
        <w:t>-</w:t>
      </w:r>
      <w:r w:rsidR="00801843" w:rsidRPr="004E1CFF">
        <w:rPr>
          <w:rFonts w:ascii="Times New Roman" w:hAnsi="Times New Roman" w:cs="Times New Roman"/>
        </w:rPr>
        <w:t>2</w:t>
      </w:r>
      <w:r w:rsidR="009168C6" w:rsidRPr="004E1CFF">
        <w:rPr>
          <w:rFonts w:ascii="Times New Roman" w:hAnsi="Times New Roman" w:cs="Times New Roman"/>
        </w:rPr>
        <w:t>7</w:t>
      </w:r>
      <w:r w:rsidR="00801843" w:rsidRPr="004E1CFF">
        <w:rPr>
          <w:rFonts w:ascii="Times New Roman" w:hAnsi="Times New Roman" w:cs="Times New Roman"/>
        </w:rPr>
        <w:t>.</w:t>
      </w:r>
      <w:r w:rsidR="009168C6" w:rsidRPr="004E1CFF">
        <w:rPr>
          <w:rFonts w:ascii="Times New Roman" w:hAnsi="Times New Roman" w:cs="Times New Roman"/>
        </w:rPr>
        <w:t>2</w:t>
      </w:r>
      <w:r w:rsidR="00801843" w:rsidRPr="004E1CFF">
        <w:rPr>
          <w:rFonts w:ascii="Times New Roman" w:hAnsi="Times New Roman" w:cs="Times New Roman"/>
        </w:rPr>
        <w:t>, SE=1</w:t>
      </w:r>
      <w:r w:rsidR="0091550A" w:rsidRPr="004E1CFF">
        <w:rPr>
          <w:rFonts w:ascii="Times New Roman" w:hAnsi="Times New Roman" w:cs="Times New Roman"/>
        </w:rPr>
        <w:t>9</w:t>
      </w:r>
      <w:r w:rsidR="00801843" w:rsidRPr="004E1CFF">
        <w:rPr>
          <w:rFonts w:ascii="Times New Roman" w:hAnsi="Times New Roman" w:cs="Times New Roman"/>
        </w:rPr>
        <w:t>.</w:t>
      </w:r>
      <w:r w:rsidR="00AE3E14">
        <w:rPr>
          <w:rFonts w:ascii="Times New Roman" w:hAnsi="Times New Roman" w:cs="Times New Roman"/>
        </w:rPr>
        <w:t>3</w:t>
      </w:r>
      <w:r w:rsidR="00801843" w:rsidRPr="004E1CFF">
        <w:rPr>
          <w:rFonts w:ascii="Times New Roman" w:hAnsi="Times New Roman" w:cs="Times New Roman"/>
        </w:rPr>
        <w:t>, t</w:t>
      </w:r>
      <w:r w:rsidR="00801843" w:rsidRPr="004E1CFF">
        <w:rPr>
          <w:rFonts w:ascii="Times New Roman" w:hAnsi="Times New Roman" w:cs="Times New Roman"/>
          <w:vertAlign w:val="subscript"/>
        </w:rPr>
        <w:t>4</w:t>
      </w:r>
      <w:r w:rsidR="00397AF4" w:rsidRPr="004E1CFF">
        <w:rPr>
          <w:rFonts w:ascii="Times New Roman" w:hAnsi="Times New Roman" w:cs="Times New Roman"/>
          <w:vertAlign w:val="subscript"/>
        </w:rPr>
        <w:t>2</w:t>
      </w:r>
      <w:r w:rsidR="00801843" w:rsidRPr="004E1CFF">
        <w:rPr>
          <w:rFonts w:ascii="Times New Roman" w:hAnsi="Times New Roman" w:cs="Times New Roman"/>
        </w:rPr>
        <w:t>=</w:t>
      </w:r>
      <w:r w:rsidR="00AE3E14">
        <w:rPr>
          <w:rFonts w:ascii="Times New Roman" w:hAnsi="Times New Roman" w:cs="Times New Roman"/>
        </w:rPr>
        <w:t>-</w:t>
      </w:r>
      <w:r w:rsidR="00742C0A" w:rsidRPr="004E1CFF">
        <w:rPr>
          <w:rFonts w:ascii="Times New Roman" w:hAnsi="Times New Roman" w:cs="Times New Roman"/>
        </w:rPr>
        <w:t>1.4</w:t>
      </w:r>
      <w:r w:rsidR="00801843" w:rsidRPr="004E1CFF">
        <w:rPr>
          <w:rFonts w:ascii="Times New Roman" w:hAnsi="Times New Roman" w:cs="Times New Roman"/>
        </w:rPr>
        <w:t xml:space="preserve">, </w:t>
      </w:r>
      <w:r w:rsidR="009C7FDF" w:rsidRPr="004E1CFF">
        <w:rPr>
          <w:rFonts w:ascii="Times New Roman" w:hAnsi="Times New Roman" w:cs="Times New Roman"/>
        </w:rPr>
        <w:t>p=0.</w:t>
      </w:r>
      <w:r w:rsidR="00C846E0" w:rsidRPr="004E1CFF">
        <w:rPr>
          <w:rFonts w:ascii="Times New Roman" w:hAnsi="Times New Roman" w:cs="Times New Roman"/>
        </w:rPr>
        <w:t>1</w:t>
      </w:r>
      <w:r w:rsidR="00C846E0">
        <w:rPr>
          <w:rFonts w:ascii="Times New Roman" w:hAnsi="Times New Roman" w:cs="Times New Roman"/>
        </w:rPr>
        <w:t>59</w:t>
      </w:r>
      <w:r w:rsidR="009C7FDF" w:rsidRPr="004E1CFF">
        <w:rPr>
          <w:rFonts w:ascii="Times New Roman" w:hAnsi="Times New Roman" w:cs="Times New Roman"/>
        </w:rPr>
        <w:t xml:space="preserve">) </w:t>
      </w:r>
      <w:r w:rsidR="00D47B32">
        <w:rPr>
          <w:rFonts w:ascii="Times New Roman" w:hAnsi="Times New Roman" w:cs="Times New Roman"/>
        </w:rPr>
        <w:t>or</w:t>
      </w:r>
      <w:r w:rsidR="00D47B32" w:rsidRPr="004E1CFF">
        <w:rPr>
          <w:rFonts w:ascii="Times New Roman" w:hAnsi="Times New Roman" w:cs="Times New Roman"/>
        </w:rPr>
        <w:t xml:space="preserve"> significant interaction (β=-17.5, SE=14.</w:t>
      </w:r>
      <w:r w:rsidR="00125623">
        <w:rPr>
          <w:rFonts w:ascii="Times New Roman" w:hAnsi="Times New Roman" w:cs="Times New Roman"/>
        </w:rPr>
        <w:t>1</w:t>
      </w:r>
      <w:r w:rsidR="00D47B32" w:rsidRPr="004E1CFF">
        <w:rPr>
          <w:rFonts w:ascii="Times New Roman" w:hAnsi="Times New Roman" w:cs="Times New Roman"/>
        </w:rPr>
        <w:t>, t</w:t>
      </w:r>
      <w:r w:rsidR="00D47B32" w:rsidRPr="004E1CFF">
        <w:rPr>
          <w:rFonts w:ascii="Times New Roman" w:hAnsi="Times New Roman" w:cs="Times New Roman"/>
          <w:vertAlign w:val="subscript"/>
        </w:rPr>
        <w:t>44</w:t>
      </w:r>
      <w:r w:rsidR="00D47B32" w:rsidRPr="004E1CFF">
        <w:rPr>
          <w:rFonts w:ascii="Times New Roman" w:hAnsi="Times New Roman" w:cs="Times New Roman"/>
        </w:rPr>
        <w:t>=</w:t>
      </w:r>
      <w:r w:rsidR="00125623">
        <w:rPr>
          <w:rFonts w:ascii="Times New Roman" w:hAnsi="Times New Roman" w:cs="Times New Roman"/>
        </w:rPr>
        <w:t>-</w:t>
      </w:r>
      <w:r w:rsidR="00D47B32" w:rsidRPr="004E1CFF">
        <w:rPr>
          <w:rFonts w:ascii="Times New Roman" w:hAnsi="Times New Roman" w:cs="Times New Roman"/>
        </w:rPr>
        <w:t>1.2, p=</w:t>
      </w:r>
      <w:r w:rsidR="00D47B32">
        <w:rPr>
          <w:rFonts w:ascii="Times New Roman" w:hAnsi="Times New Roman" w:cs="Times New Roman"/>
        </w:rPr>
        <w:t>0.</w:t>
      </w:r>
      <w:r w:rsidR="00903735">
        <w:rPr>
          <w:rFonts w:ascii="Times New Roman" w:hAnsi="Times New Roman" w:cs="Times New Roman"/>
        </w:rPr>
        <w:t>215</w:t>
      </w:r>
      <w:r w:rsidR="00D47B32">
        <w:rPr>
          <w:rFonts w:ascii="Times New Roman" w:hAnsi="Times New Roman" w:cs="Times New Roman"/>
        </w:rPr>
        <w:t>)</w:t>
      </w:r>
      <w:r w:rsidR="00115AB1" w:rsidRPr="004E1CFF">
        <w:rPr>
          <w:rFonts w:ascii="Times New Roman" w:hAnsi="Times New Roman" w:cs="Times New Roman"/>
        </w:rPr>
        <w:t xml:space="preserve">. </w:t>
      </w:r>
    </w:p>
    <w:p w14:paraId="6CEF80E2" w14:textId="77D7F74D" w:rsidR="00861FFE" w:rsidRPr="004E1CFF" w:rsidRDefault="00861FFE" w:rsidP="000B7DB7">
      <w:pPr>
        <w:pStyle w:val="Heading2"/>
        <w:rPr>
          <w:b w:val="0"/>
        </w:rPr>
      </w:pPr>
      <w:r w:rsidRPr="004E1CFF">
        <w:t>fMRI Results</w:t>
      </w:r>
    </w:p>
    <w:p w14:paraId="387F4F4B" w14:textId="61837981" w:rsidR="005E5C4D" w:rsidRDefault="000B5CB9" w:rsidP="00BF7E9E">
      <w:pPr>
        <w:spacing w:line="360" w:lineRule="auto"/>
        <w:rPr>
          <w:rFonts w:ascii="Times New Roman" w:hAnsi="Times New Roman" w:cs="Times New Roman"/>
        </w:rPr>
      </w:pPr>
      <w:r w:rsidRPr="004E1CFF">
        <w:rPr>
          <w:rFonts w:ascii="Times New Roman" w:hAnsi="Times New Roman" w:cs="Times New Roman"/>
        </w:rPr>
        <w:t>Whole-brain g</w:t>
      </w:r>
      <w:r w:rsidR="00976455" w:rsidRPr="004E1CFF">
        <w:rPr>
          <w:rFonts w:ascii="Times New Roman" w:hAnsi="Times New Roman" w:cs="Times New Roman"/>
        </w:rPr>
        <w:t xml:space="preserve">roup mean activations </w:t>
      </w:r>
      <w:r w:rsidR="00AD3C44" w:rsidRPr="004E1CFF">
        <w:rPr>
          <w:rFonts w:ascii="Times New Roman" w:hAnsi="Times New Roman" w:cs="Times New Roman"/>
        </w:rPr>
        <w:t xml:space="preserve">were found </w:t>
      </w:r>
      <w:r w:rsidR="00976455" w:rsidRPr="004E1CFF">
        <w:rPr>
          <w:rFonts w:ascii="Times New Roman" w:hAnsi="Times New Roman" w:cs="Times New Roman"/>
        </w:rPr>
        <w:t xml:space="preserve">in the </w:t>
      </w:r>
      <w:r w:rsidR="001A24E0" w:rsidRPr="004E1CFF">
        <w:rPr>
          <w:rFonts w:ascii="Times New Roman" w:hAnsi="Times New Roman" w:cs="Times New Roman"/>
        </w:rPr>
        <w:t xml:space="preserve">IFG, </w:t>
      </w:r>
      <w:r w:rsidR="001E2CCC">
        <w:rPr>
          <w:rFonts w:ascii="Times New Roman" w:hAnsi="Times New Roman" w:cs="Times New Roman"/>
        </w:rPr>
        <w:t xml:space="preserve">dorsal </w:t>
      </w:r>
      <w:r w:rsidR="00C73D87">
        <w:rPr>
          <w:rFonts w:ascii="Times New Roman" w:hAnsi="Times New Roman" w:cs="Times New Roman"/>
        </w:rPr>
        <w:t xml:space="preserve">ACC, </w:t>
      </w:r>
      <w:r w:rsidR="003D4CDF">
        <w:rPr>
          <w:rFonts w:ascii="Times New Roman" w:hAnsi="Times New Roman" w:cs="Times New Roman"/>
        </w:rPr>
        <w:t>medial frontal gyrus</w:t>
      </w:r>
      <w:r w:rsidR="00536423" w:rsidRPr="004E1CFF">
        <w:rPr>
          <w:rFonts w:ascii="Times New Roman" w:hAnsi="Times New Roman" w:cs="Times New Roman"/>
        </w:rPr>
        <w:t xml:space="preserve">, </w:t>
      </w:r>
      <w:proofErr w:type="gramStart"/>
      <w:r w:rsidR="00536423" w:rsidRPr="004E1CFF">
        <w:rPr>
          <w:rFonts w:ascii="Times New Roman" w:hAnsi="Times New Roman" w:cs="Times New Roman"/>
        </w:rPr>
        <w:t>parietal</w:t>
      </w:r>
      <w:proofErr w:type="gramEnd"/>
      <w:r w:rsidR="00536423" w:rsidRPr="004E1CFF">
        <w:rPr>
          <w:rFonts w:ascii="Times New Roman" w:hAnsi="Times New Roman" w:cs="Times New Roman"/>
        </w:rPr>
        <w:t xml:space="preserve"> and visual areas</w:t>
      </w:r>
      <w:r w:rsidR="00C05711" w:rsidRPr="004E1CFF">
        <w:rPr>
          <w:rFonts w:ascii="Times New Roman" w:hAnsi="Times New Roman" w:cs="Times New Roman"/>
        </w:rPr>
        <w:t xml:space="preserve"> for </w:t>
      </w:r>
      <w:r w:rsidR="0009684D" w:rsidRPr="004E1CFF">
        <w:rPr>
          <w:rFonts w:ascii="Times New Roman" w:hAnsi="Times New Roman" w:cs="Times New Roman"/>
        </w:rPr>
        <w:t xml:space="preserve">the </w:t>
      </w:r>
      <w:r w:rsidR="00D13DF1">
        <w:rPr>
          <w:rFonts w:ascii="Times New Roman" w:hAnsi="Times New Roman" w:cs="Times New Roman"/>
        </w:rPr>
        <w:t>stopping</w:t>
      </w:r>
      <w:r w:rsidR="0009684D" w:rsidRPr="004E1CFF">
        <w:rPr>
          <w:rFonts w:ascii="Times New Roman" w:hAnsi="Times New Roman" w:cs="Times New Roman"/>
        </w:rPr>
        <w:t xml:space="preserve"> contrast</w:t>
      </w:r>
      <w:r w:rsidR="00536423" w:rsidRPr="004E1CFF">
        <w:rPr>
          <w:rFonts w:ascii="Times New Roman" w:hAnsi="Times New Roman" w:cs="Times New Roman"/>
        </w:rPr>
        <w:t xml:space="preserve">. </w:t>
      </w:r>
      <w:r w:rsidR="00081D39" w:rsidRPr="004E1CFF">
        <w:rPr>
          <w:rFonts w:ascii="Times New Roman" w:hAnsi="Times New Roman" w:cs="Times New Roman"/>
        </w:rPr>
        <w:t xml:space="preserve">Conjunction analysis revealed wide-ranging overlap in </w:t>
      </w:r>
      <w:r w:rsidR="00BA3136" w:rsidRPr="004E1CFF">
        <w:rPr>
          <w:rFonts w:ascii="Times New Roman" w:hAnsi="Times New Roman" w:cs="Times New Roman"/>
        </w:rPr>
        <w:t xml:space="preserve">the above </w:t>
      </w:r>
      <w:r w:rsidR="00081D39" w:rsidRPr="004E1CFF">
        <w:rPr>
          <w:rFonts w:ascii="Times New Roman" w:hAnsi="Times New Roman" w:cs="Times New Roman"/>
        </w:rPr>
        <w:t xml:space="preserve">areas activated by both cocaine and control groups </w:t>
      </w:r>
      <w:r w:rsidR="003D4CDF">
        <w:rPr>
          <w:rFonts w:ascii="Times New Roman" w:hAnsi="Times New Roman" w:cs="Times New Roman"/>
        </w:rPr>
        <w:t>i</w:t>
      </w:r>
      <w:r w:rsidR="00081D39" w:rsidRPr="004E1CFF">
        <w:rPr>
          <w:rFonts w:ascii="Times New Roman" w:hAnsi="Times New Roman" w:cs="Times New Roman"/>
        </w:rPr>
        <w:t xml:space="preserve">n both </w:t>
      </w:r>
      <w:r w:rsidR="003D4CDF">
        <w:rPr>
          <w:rFonts w:ascii="Times New Roman" w:hAnsi="Times New Roman" w:cs="Times New Roman"/>
        </w:rPr>
        <w:t xml:space="preserve">drug </w:t>
      </w:r>
      <w:r w:rsidR="00081D39" w:rsidRPr="004E1CFF">
        <w:rPr>
          <w:rFonts w:ascii="Times New Roman" w:hAnsi="Times New Roman" w:cs="Times New Roman"/>
        </w:rPr>
        <w:t>conditions</w:t>
      </w:r>
      <w:r w:rsidR="007E090F" w:rsidRPr="004E1CFF">
        <w:rPr>
          <w:rFonts w:ascii="Times New Roman" w:hAnsi="Times New Roman" w:cs="Times New Roman"/>
        </w:rPr>
        <w:t xml:space="preserve"> (Figure 1)</w:t>
      </w:r>
      <w:r w:rsidR="00081D39" w:rsidRPr="004E1CFF">
        <w:rPr>
          <w:rFonts w:ascii="Times New Roman" w:hAnsi="Times New Roman" w:cs="Times New Roman"/>
        </w:rPr>
        <w:t xml:space="preserve">. </w:t>
      </w:r>
      <w:r w:rsidR="00C20EFD">
        <w:rPr>
          <w:rFonts w:ascii="Times New Roman" w:hAnsi="Times New Roman" w:cs="Times New Roman"/>
        </w:rPr>
        <w:t>On placebo, n</w:t>
      </w:r>
      <w:r w:rsidR="00234C64" w:rsidRPr="004E1CFF">
        <w:rPr>
          <w:rFonts w:ascii="Times New Roman" w:hAnsi="Times New Roman" w:cs="Times New Roman"/>
        </w:rPr>
        <w:t xml:space="preserve">o significant </w:t>
      </w:r>
      <w:r w:rsidR="00606F2F">
        <w:rPr>
          <w:rFonts w:ascii="Times New Roman" w:hAnsi="Times New Roman" w:cs="Times New Roman"/>
        </w:rPr>
        <w:t xml:space="preserve">group </w:t>
      </w:r>
      <w:r w:rsidR="00234C64" w:rsidRPr="004E1CFF">
        <w:rPr>
          <w:rFonts w:ascii="Times New Roman" w:hAnsi="Times New Roman" w:cs="Times New Roman"/>
        </w:rPr>
        <w:t xml:space="preserve">differences were observed </w:t>
      </w:r>
      <w:r w:rsidR="00C20EFD">
        <w:rPr>
          <w:rFonts w:ascii="Times New Roman" w:hAnsi="Times New Roman" w:cs="Times New Roman"/>
        </w:rPr>
        <w:t>using a whole brain mask. O</w:t>
      </w:r>
      <w:r w:rsidR="00DC6838" w:rsidRPr="004E1CFF">
        <w:rPr>
          <w:rFonts w:ascii="Times New Roman" w:hAnsi="Times New Roman" w:cs="Times New Roman"/>
        </w:rPr>
        <w:t>n atomoxetine</w:t>
      </w:r>
      <w:r w:rsidR="00EE1490">
        <w:rPr>
          <w:rFonts w:ascii="Times New Roman" w:hAnsi="Times New Roman" w:cs="Times New Roman"/>
        </w:rPr>
        <w:t>, CUD patients</w:t>
      </w:r>
      <w:r w:rsidR="00D730BF" w:rsidRPr="004E1CFF">
        <w:rPr>
          <w:rFonts w:ascii="Times New Roman" w:hAnsi="Times New Roman" w:cs="Times New Roman"/>
        </w:rPr>
        <w:t xml:space="preserve"> showed significantly greater activation </w:t>
      </w:r>
      <w:r w:rsidR="00C73D87">
        <w:rPr>
          <w:rFonts w:ascii="Times New Roman" w:hAnsi="Times New Roman" w:cs="Times New Roman"/>
        </w:rPr>
        <w:t xml:space="preserve">than controls </w:t>
      </w:r>
      <w:r w:rsidR="00D730BF" w:rsidRPr="004E1CFF">
        <w:rPr>
          <w:rFonts w:ascii="Times New Roman" w:hAnsi="Times New Roman" w:cs="Times New Roman"/>
        </w:rPr>
        <w:t>in the</w:t>
      </w:r>
      <w:r w:rsidR="00DC6838" w:rsidRPr="004E1CFF">
        <w:rPr>
          <w:rFonts w:ascii="Times New Roman" w:hAnsi="Times New Roman" w:cs="Times New Roman"/>
        </w:rPr>
        <w:t xml:space="preserve"> d</w:t>
      </w:r>
      <w:r w:rsidR="00D52827" w:rsidRPr="004E1CFF">
        <w:rPr>
          <w:rFonts w:ascii="Times New Roman" w:hAnsi="Times New Roman" w:cs="Times New Roman"/>
        </w:rPr>
        <w:t xml:space="preserve">orsal </w:t>
      </w:r>
      <w:r w:rsidR="00DC6838" w:rsidRPr="004E1CFF">
        <w:rPr>
          <w:rFonts w:ascii="Times New Roman" w:hAnsi="Times New Roman" w:cs="Times New Roman"/>
        </w:rPr>
        <w:t>ACC</w:t>
      </w:r>
      <w:r w:rsidR="00D730BF" w:rsidRPr="004E1CFF">
        <w:rPr>
          <w:rFonts w:ascii="Times New Roman" w:hAnsi="Times New Roman" w:cs="Times New Roman"/>
        </w:rPr>
        <w:t xml:space="preserve"> (peak MNI coordinates [-6, 16, 52]</w:t>
      </w:r>
      <w:r w:rsidR="001608AD" w:rsidRPr="004E1CFF">
        <w:rPr>
          <w:rFonts w:ascii="Times New Roman" w:hAnsi="Times New Roman" w:cs="Times New Roman"/>
        </w:rPr>
        <w:t xml:space="preserve">, </w:t>
      </w:r>
      <w:proofErr w:type="spellStart"/>
      <w:r w:rsidR="001608AD" w:rsidRPr="004E1CFF">
        <w:rPr>
          <w:rFonts w:ascii="Times New Roman" w:hAnsi="Times New Roman" w:cs="Times New Roman"/>
        </w:rPr>
        <w:t>z</w:t>
      </w:r>
      <w:r w:rsidR="001608AD" w:rsidRPr="004E1CFF">
        <w:rPr>
          <w:rFonts w:ascii="Times New Roman" w:hAnsi="Times New Roman" w:cs="Times New Roman"/>
          <w:vertAlign w:val="subscript"/>
        </w:rPr>
        <w:t>max</w:t>
      </w:r>
      <w:proofErr w:type="spellEnd"/>
      <w:r w:rsidR="001608AD" w:rsidRPr="004E1CFF">
        <w:rPr>
          <w:rFonts w:ascii="Times New Roman" w:hAnsi="Times New Roman" w:cs="Times New Roman"/>
        </w:rPr>
        <w:t xml:space="preserve">=3.89, p=0.002). </w:t>
      </w:r>
      <w:r w:rsidR="00C20EFD">
        <w:rPr>
          <w:rFonts w:ascii="Times New Roman" w:hAnsi="Times New Roman" w:cs="Times New Roman"/>
        </w:rPr>
        <w:t>There were n</w:t>
      </w:r>
      <w:r w:rsidR="00276A3D" w:rsidRPr="004E1CFF">
        <w:rPr>
          <w:rFonts w:ascii="Times New Roman" w:hAnsi="Times New Roman" w:cs="Times New Roman"/>
        </w:rPr>
        <w:t xml:space="preserve">o </w:t>
      </w:r>
      <w:r w:rsidR="00466CBE" w:rsidRPr="004E1CFF">
        <w:rPr>
          <w:rFonts w:ascii="Times New Roman" w:hAnsi="Times New Roman" w:cs="Times New Roman"/>
        </w:rPr>
        <w:t>significant drug effects in either group</w:t>
      </w:r>
      <w:r w:rsidR="00C20EFD">
        <w:rPr>
          <w:rFonts w:ascii="Times New Roman" w:hAnsi="Times New Roman" w:cs="Times New Roman"/>
        </w:rPr>
        <w:t>, nor was there an</w:t>
      </w:r>
      <w:r w:rsidR="00466CBE" w:rsidRPr="004E1CFF">
        <w:rPr>
          <w:rFonts w:ascii="Times New Roman" w:hAnsi="Times New Roman" w:cs="Times New Roman"/>
        </w:rPr>
        <w:t xml:space="preserve"> interaction between </w:t>
      </w:r>
      <w:r w:rsidR="00C20EFD">
        <w:rPr>
          <w:rFonts w:ascii="Times New Roman" w:hAnsi="Times New Roman" w:cs="Times New Roman"/>
        </w:rPr>
        <w:t>group and drug</w:t>
      </w:r>
      <w:r w:rsidR="00466CBE" w:rsidRPr="004E1CFF">
        <w:rPr>
          <w:rFonts w:ascii="Times New Roman" w:hAnsi="Times New Roman" w:cs="Times New Roman"/>
        </w:rPr>
        <w:t xml:space="preserve">. </w:t>
      </w:r>
    </w:p>
    <w:p w14:paraId="133E0D4A" w14:textId="02A8D234" w:rsidR="00F11E3B" w:rsidRPr="000C0F69" w:rsidRDefault="00F11E3B" w:rsidP="00BF7E9E">
      <w:pPr>
        <w:spacing w:line="360" w:lineRule="auto"/>
        <w:rPr>
          <w:rFonts w:ascii="Times New Roman" w:hAnsi="Times New Roman" w:cs="Times New Roman"/>
        </w:rPr>
      </w:pPr>
      <w:r>
        <w:rPr>
          <w:rFonts w:ascii="Times New Roman" w:hAnsi="Times New Roman" w:cs="Times New Roman"/>
        </w:rPr>
        <w:t>In sum</w:t>
      </w:r>
      <w:r w:rsidR="00C20EFD">
        <w:rPr>
          <w:rFonts w:ascii="Times New Roman" w:hAnsi="Times New Roman" w:cs="Times New Roman"/>
        </w:rPr>
        <w:t>, b</w:t>
      </w:r>
      <w:r w:rsidR="00AA0E77" w:rsidRPr="004E1CFF">
        <w:rPr>
          <w:rFonts w:ascii="Times New Roman" w:hAnsi="Times New Roman" w:cs="Times New Roman"/>
        </w:rPr>
        <w:t xml:space="preserve">oth </w:t>
      </w:r>
      <w:r w:rsidR="00C26A63">
        <w:rPr>
          <w:rFonts w:ascii="Times New Roman" w:hAnsi="Times New Roman" w:cs="Times New Roman"/>
        </w:rPr>
        <w:t>CUD and control participants</w:t>
      </w:r>
      <w:r w:rsidR="00C26A63" w:rsidRPr="004E1CFF">
        <w:rPr>
          <w:rFonts w:ascii="Times New Roman" w:hAnsi="Times New Roman" w:cs="Times New Roman"/>
        </w:rPr>
        <w:t xml:space="preserve"> </w:t>
      </w:r>
      <w:r w:rsidR="00AA0E77" w:rsidRPr="004E1CFF">
        <w:rPr>
          <w:rFonts w:ascii="Times New Roman" w:hAnsi="Times New Roman" w:cs="Times New Roman"/>
        </w:rPr>
        <w:t>showed robust and</w:t>
      </w:r>
      <w:r w:rsidR="00C20EFD">
        <w:rPr>
          <w:rFonts w:ascii="Times New Roman" w:hAnsi="Times New Roman" w:cs="Times New Roman"/>
        </w:rPr>
        <w:t xml:space="preserve"> largely</w:t>
      </w:r>
      <w:r w:rsidR="00AA0E77" w:rsidRPr="004E1CFF">
        <w:rPr>
          <w:rFonts w:ascii="Times New Roman" w:hAnsi="Times New Roman" w:cs="Times New Roman"/>
        </w:rPr>
        <w:t xml:space="preserve"> consistent activations </w:t>
      </w:r>
      <w:r w:rsidR="00F61917" w:rsidRPr="004E1CFF">
        <w:rPr>
          <w:rFonts w:ascii="Times New Roman" w:hAnsi="Times New Roman" w:cs="Times New Roman"/>
        </w:rPr>
        <w:t xml:space="preserve">in the key </w:t>
      </w:r>
      <w:r w:rsidR="0031430A" w:rsidRPr="004E1CFF">
        <w:rPr>
          <w:rFonts w:ascii="Times New Roman" w:hAnsi="Times New Roman" w:cs="Times New Roman"/>
        </w:rPr>
        <w:t>nodes</w:t>
      </w:r>
      <w:r w:rsidR="00F61917" w:rsidRPr="004E1CFF">
        <w:rPr>
          <w:rFonts w:ascii="Times New Roman" w:hAnsi="Times New Roman" w:cs="Times New Roman"/>
        </w:rPr>
        <w:t xml:space="preserve"> of the stopping network regardles</w:t>
      </w:r>
      <w:r w:rsidR="0031430A" w:rsidRPr="004E1CFF">
        <w:rPr>
          <w:rFonts w:ascii="Times New Roman" w:hAnsi="Times New Roman" w:cs="Times New Roman"/>
        </w:rPr>
        <w:t>s of drug condition</w:t>
      </w:r>
      <w:r w:rsidR="005E5C4D">
        <w:rPr>
          <w:rFonts w:ascii="Times New Roman" w:hAnsi="Times New Roman" w:cs="Times New Roman"/>
        </w:rPr>
        <w:t xml:space="preserve">. Thus, associations with </w:t>
      </w:r>
      <w:r>
        <w:rPr>
          <w:rFonts w:ascii="Times New Roman" w:hAnsi="Times New Roman" w:cs="Times New Roman"/>
        </w:rPr>
        <w:t xml:space="preserve">drug-dependent </w:t>
      </w:r>
      <w:r w:rsidR="005E5C4D">
        <w:rPr>
          <w:rFonts w:ascii="Times New Roman" w:hAnsi="Times New Roman" w:cs="Times New Roman"/>
        </w:rPr>
        <w:t>performance differences</w:t>
      </w:r>
      <w:r w:rsidR="00E14897">
        <w:rPr>
          <w:rFonts w:ascii="Times New Roman" w:hAnsi="Times New Roman" w:cs="Times New Roman"/>
        </w:rPr>
        <w:t xml:space="preserve"> (ΔSSRT)</w:t>
      </w:r>
      <w:r w:rsidR="005E5C4D">
        <w:rPr>
          <w:rFonts w:ascii="Times New Roman" w:hAnsi="Times New Roman" w:cs="Times New Roman"/>
        </w:rPr>
        <w:t xml:space="preserve"> were assessed across the entire sample. A</w:t>
      </w:r>
      <w:r w:rsidR="00000E0F">
        <w:rPr>
          <w:rFonts w:ascii="Times New Roman" w:hAnsi="Times New Roman" w:cs="Times New Roman"/>
        </w:rPr>
        <w:t xml:space="preserve">t the whole-brain level no </w:t>
      </w:r>
      <w:r w:rsidR="00DA3835">
        <w:rPr>
          <w:rFonts w:ascii="Times New Roman" w:hAnsi="Times New Roman" w:cs="Times New Roman"/>
        </w:rPr>
        <w:t xml:space="preserve">results survived </w:t>
      </w:r>
      <w:r w:rsidR="0089358F">
        <w:rPr>
          <w:rFonts w:ascii="Times New Roman" w:hAnsi="Times New Roman" w:cs="Times New Roman"/>
        </w:rPr>
        <w:t xml:space="preserve">threshold-free cluster-enhancement </w:t>
      </w:r>
      <w:r w:rsidR="006D5716">
        <w:rPr>
          <w:rFonts w:ascii="Times New Roman" w:hAnsi="Times New Roman" w:cs="Times New Roman"/>
        </w:rPr>
        <w:t>multiple comparison correction</w:t>
      </w:r>
      <w:r>
        <w:rPr>
          <w:rFonts w:ascii="Times New Roman" w:hAnsi="Times New Roman" w:cs="Times New Roman"/>
        </w:rPr>
        <w:t xml:space="preserve">. </w:t>
      </w:r>
      <w:r w:rsidR="00A51530">
        <w:rPr>
          <w:rFonts w:ascii="Times New Roman" w:hAnsi="Times New Roman" w:cs="Times New Roman"/>
        </w:rPr>
        <w:t xml:space="preserve">Using the bilateral IFG mask, we identified </w:t>
      </w:r>
      <w:r>
        <w:rPr>
          <w:rFonts w:ascii="Times New Roman" w:hAnsi="Times New Roman" w:cs="Times New Roman"/>
        </w:rPr>
        <w:t xml:space="preserve">a robust cluster </w:t>
      </w:r>
      <w:r w:rsidR="00E33EF8">
        <w:rPr>
          <w:rFonts w:ascii="Times New Roman" w:hAnsi="Times New Roman" w:cs="Times New Roman"/>
        </w:rPr>
        <w:t xml:space="preserve">of </w:t>
      </w:r>
      <w:r w:rsidR="00606F2F">
        <w:rPr>
          <w:rFonts w:ascii="Times New Roman" w:hAnsi="Times New Roman" w:cs="Times New Roman"/>
        </w:rPr>
        <w:t xml:space="preserve">right </w:t>
      </w:r>
      <w:r>
        <w:rPr>
          <w:rFonts w:ascii="Times New Roman" w:hAnsi="Times New Roman" w:cs="Times New Roman"/>
        </w:rPr>
        <w:t>IFG</w:t>
      </w:r>
      <w:r w:rsidR="00E14897">
        <w:rPr>
          <w:rFonts w:ascii="Times New Roman" w:hAnsi="Times New Roman" w:cs="Times New Roman"/>
        </w:rPr>
        <w:t xml:space="preserve"> </w:t>
      </w:r>
      <w:r w:rsidR="00E14897" w:rsidRPr="000C0F69">
        <w:rPr>
          <w:rFonts w:ascii="Times New Roman" w:hAnsi="Times New Roman" w:cs="Times New Roman"/>
        </w:rPr>
        <w:t>activation</w:t>
      </w:r>
      <w:r w:rsidR="00710825" w:rsidRPr="000C0F69">
        <w:rPr>
          <w:rFonts w:ascii="Times New Roman" w:hAnsi="Times New Roman" w:cs="Times New Roman"/>
        </w:rPr>
        <w:t xml:space="preserve"> </w:t>
      </w:r>
      <w:r w:rsidR="00E9239E" w:rsidRPr="000C0F69">
        <w:rPr>
          <w:rFonts w:ascii="Times New Roman" w:hAnsi="Times New Roman" w:cs="Times New Roman"/>
        </w:rPr>
        <w:t xml:space="preserve">that </w:t>
      </w:r>
      <w:r w:rsidR="00E14897" w:rsidRPr="00C6741E">
        <w:rPr>
          <w:rFonts w:ascii="Times New Roman" w:hAnsi="Times New Roman" w:cs="Times New Roman"/>
        </w:rPr>
        <w:t>was associated with improved SSRT performance</w:t>
      </w:r>
      <w:r w:rsidRPr="000C0F69">
        <w:rPr>
          <w:rFonts w:ascii="Times New Roman" w:hAnsi="Times New Roman" w:cs="Times New Roman"/>
        </w:rPr>
        <w:t xml:space="preserve"> </w:t>
      </w:r>
      <w:r w:rsidR="0001299C" w:rsidRPr="000C0F69">
        <w:rPr>
          <w:rFonts w:ascii="Times New Roman" w:hAnsi="Times New Roman" w:cs="Times New Roman"/>
        </w:rPr>
        <w:t xml:space="preserve">on atomoxetine </w:t>
      </w:r>
      <w:r w:rsidR="00E14897" w:rsidRPr="000C0F69">
        <w:rPr>
          <w:rFonts w:ascii="Times New Roman" w:hAnsi="Times New Roman" w:cs="Times New Roman"/>
        </w:rPr>
        <w:t xml:space="preserve">(Figure </w:t>
      </w:r>
      <w:r w:rsidR="00240D9B" w:rsidRPr="000C0F69">
        <w:rPr>
          <w:rFonts w:ascii="Times New Roman" w:hAnsi="Times New Roman" w:cs="Times New Roman"/>
        </w:rPr>
        <w:t xml:space="preserve">2A, </w:t>
      </w:r>
      <w:r w:rsidR="00DE6379" w:rsidRPr="000C0F69">
        <w:rPr>
          <w:rFonts w:ascii="Times New Roman" w:hAnsi="Times New Roman" w:cs="Times New Roman"/>
        </w:rPr>
        <w:t>2B</w:t>
      </w:r>
      <w:r w:rsidRPr="000C0F69">
        <w:rPr>
          <w:rFonts w:ascii="Times New Roman" w:hAnsi="Times New Roman" w:cs="Times New Roman"/>
        </w:rPr>
        <w:t>).</w:t>
      </w:r>
      <w:r w:rsidR="00E14897" w:rsidRPr="000C0F69">
        <w:rPr>
          <w:rFonts w:ascii="Times New Roman" w:hAnsi="Times New Roman" w:cs="Times New Roman"/>
        </w:rPr>
        <w:t xml:space="preserve"> </w:t>
      </w:r>
      <w:bookmarkStart w:id="1" w:name="_Hlk79059647"/>
      <w:r w:rsidR="00BF48DA" w:rsidRPr="000C0F69">
        <w:rPr>
          <w:rFonts w:ascii="Times New Roman" w:hAnsi="Times New Roman" w:cs="Times New Roman"/>
        </w:rPr>
        <w:t xml:space="preserve">This finding was in line with our hypothesis that </w:t>
      </w:r>
      <w:proofErr w:type="spellStart"/>
      <w:r w:rsidR="00BF48DA" w:rsidRPr="000C0F69">
        <w:rPr>
          <w:rFonts w:ascii="Times New Roman" w:hAnsi="Times New Roman" w:cs="Times New Roman"/>
        </w:rPr>
        <w:t>fronto</w:t>
      </w:r>
      <w:proofErr w:type="spellEnd"/>
      <w:r w:rsidR="00BF48DA" w:rsidRPr="000C0F69">
        <w:rPr>
          <w:rFonts w:ascii="Times New Roman" w:hAnsi="Times New Roman" w:cs="Times New Roman"/>
        </w:rPr>
        <w:t>-striatal activation would be associated with atomoxetine-induced stopping improvements.</w:t>
      </w:r>
    </w:p>
    <w:bookmarkEnd w:id="1"/>
    <w:p w14:paraId="3AAE4DB0" w14:textId="2ADF2F82" w:rsidR="00E14897" w:rsidRDefault="00E14897" w:rsidP="00BF7E9E">
      <w:pPr>
        <w:spacing w:line="360" w:lineRule="auto"/>
        <w:rPr>
          <w:rFonts w:ascii="Times New Roman" w:hAnsi="Times New Roman" w:cs="Times New Roman"/>
        </w:rPr>
      </w:pPr>
      <w:r>
        <w:rPr>
          <w:rFonts w:ascii="Times New Roman" w:hAnsi="Times New Roman" w:cs="Times New Roman"/>
        </w:rPr>
        <w:t>Analyses for the go&gt;stop contrast revealed g</w:t>
      </w:r>
      <w:r w:rsidRPr="004E1CFF">
        <w:rPr>
          <w:rFonts w:ascii="Times New Roman" w:hAnsi="Times New Roman" w:cs="Times New Roman"/>
        </w:rPr>
        <w:t>roup mean activations in the left precentral gyrus</w:t>
      </w:r>
      <w:r>
        <w:rPr>
          <w:rFonts w:ascii="Times New Roman" w:hAnsi="Times New Roman" w:cs="Times New Roman"/>
        </w:rPr>
        <w:t xml:space="preserve"> (M1)</w:t>
      </w:r>
      <w:r w:rsidRPr="004E1CFF">
        <w:rPr>
          <w:rFonts w:ascii="Times New Roman" w:hAnsi="Times New Roman" w:cs="Times New Roman"/>
        </w:rPr>
        <w:t xml:space="preserve">, contralateral to the right-handed </w:t>
      </w:r>
      <w:r w:rsidR="004E5E79">
        <w:rPr>
          <w:rFonts w:ascii="Times New Roman" w:hAnsi="Times New Roman" w:cs="Times New Roman"/>
        </w:rPr>
        <w:t>task response</w:t>
      </w:r>
      <w:r w:rsidRPr="004E1CFF">
        <w:rPr>
          <w:rFonts w:ascii="Times New Roman" w:hAnsi="Times New Roman" w:cs="Times New Roman"/>
        </w:rPr>
        <w:t xml:space="preserve"> </w:t>
      </w:r>
      <w:r>
        <w:rPr>
          <w:rFonts w:ascii="Times New Roman" w:hAnsi="Times New Roman" w:cs="Times New Roman"/>
        </w:rPr>
        <w:t>as would be expected</w:t>
      </w:r>
      <w:r w:rsidR="001F6A4A">
        <w:rPr>
          <w:rFonts w:ascii="Times New Roman" w:hAnsi="Times New Roman" w:cs="Times New Roman"/>
        </w:rPr>
        <w:t xml:space="preserve"> (</w:t>
      </w:r>
      <w:r w:rsidR="009A28DD">
        <w:rPr>
          <w:rFonts w:ascii="Times New Roman" w:hAnsi="Times New Roman" w:cs="Times New Roman"/>
        </w:rPr>
        <w:t xml:space="preserve">Supplementary </w:t>
      </w:r>
      <w:r w:rsidR="001F6A4A">
        <w:rPr>
          <w:rFonts w:ascii="Times New Roman" w:hAnsi="Times New Roman" w:cs="Times New Roman"/>
        </w:rPr>
        <w:t xml:space="preserve">Figure </w:t>
      </w:r>
      <w:r w:rsidR="009A28DD">
        <w:rPr>
          <w:rFonts w:ascii="Times New Roman" w:hAnsi="Times New Roman" w:cs="Times New Roman"/>
        </w:rPr>
        <w:t>1</w:t>
      </w:r>
      <w:r w:rsidR="001F6A4A">
        <w:rPr>
          <w:rFonts w:ascii="Times New Roman" w:hAnsi="Times New Roman" w:cs="Times New Roman"/>
        </w:rPr>
        <w:t>)</w:t>
      </w:r>
      <w:r>
        <w:rPr>
          <w:rFonts w:ascii="Times New Roman" w:hAnsi="Times New Roman" w:cs="Times New Roman"/>
        </w:rPr>
        <w:t>. Associations with drug-</w:t>
      </w:r>
      <w:r w:rsidR="004E5E79">
        <w:rPr>
          <w:rFonts w:ascii="Times New Roman" w:hAnsi="Times New Roman" w:cs="Times New Roman"/>
        </w:rPr>
        <w:t>dependent</w:t>
      </w:r>
      <w:r>
        <w:rPr>
          <w:rFonts w:ascii="Times New Roman" w:hAnsi="Times New Roman" w:cs="Times New Roman"/>
        </w:rPr>
        <w:t xml:space="preserve"> performance differences (</w:t>
      </w:r>
      <w:proofErr w:type="spellStart"/>
      <w:r>
        <w:rPr>
          <w:rFonts w:ascii="Times New Roman" w:hAnsi="Times New Roman" w:cs="Times New Roman"/>
        </w:rPr>
        <w:t>ΔGo</w:t>
      </w:r>
      <w:proofErr w:type="spellEnd"/>
      <w:r>
        <w:rPr>
          <w:rFonts w:ascii="Times New Roman" w:hAnsi="Times New Roman" w:cs="Times New Roman"/>
        </w:rPr>
        <w:t xml:space="preserve"> RT) showed that within the primary motor cortex (M1) ROI, </w:t>
      </w:r>
      <w:r w:rsidR="00063FEE">
        <w:rPr>
          <w:rFonts w:ascii="Times New Roman" w:hAnsi="Times New Roman" w:cs="Times New Roman"/>
        </w:rPr>
        <w:t xml:space="preserve">increased </w:t>
      </w:r>
      <w:r w:rsidR="00077C05">
        <w:rPr>
          <w:rFonts w:ascii="Times New Roman" w:hAnsi="Times New Roman" w:cs="Times New Roman"/>
        </w:rPr>
        <w:t xml:space="preserve">activation </w:t>
      </w:r>
      <w:r w:rsidR="00D8004F">
        <w:rPr>
          <w:rFonts w:ascii="Times New Roman" w:hAnsi="Times New Roman" w:cs="Times New Roman"/>
        </w:rPr>
        <w:t xml:space="preserve">in a </w:t>
      </w:r>
      <w:r>
        <w:rPr>
          <w:rFonts w:ascii="Times New Roman" w:hAnsi="Times New Roman" w:cs="Times New Roman"/>
        </w:rPr>
        <w:t xml:space="preserve">robust cluster was associated with improved Go RT performance </w:t>
      </w:r>
      <w:r w:rsidR="004E5E79">
        <w:rPr>
          <w:rFonts w:ascii="Times New Roman" w:hAnsi="Times New Roman" w:cs="Times New Roman"/>
        </w:rPr>
        <w:t xml:space="preserve">on atomoxetine </w:t>
      </w:r>
      <w:r>
        <w:rPr>
          <w:rFonts w:ascii="Times New Roman" w:hAnsi="Times New Roman" w:cs="Times New Roman"/>
        </w:rPr>
        <w:t xml:space="preserve">across all participants (Figure </w:t>
      </w:r>
      <w:r w:rsidR="00C423EE">
        <w:rPr>
          <w:rFonts w:ascii="Times New Roman" w:hAnsi="Times New Roman" w:cs="Times New Roman"/>
        </w:rPr>
        <w:t>2</w:t>
      </w:r>
      <w:r w:rsidR="00B52D82">
        <w:rPr>
          <w:rFonts w:ascii="Times New Roman" w:hAnsi="Times New Roman" w:cs="Times New Roman"/>
        </w:rPr>
        <w:t>C, 2</w:t>
      </w:r>
      <w:r w:rsidR="00C423EE">
        <w:rPr>
          <w:rFonts w:ascii="Times New Roman" w:hAnsi="Times New Roman" w:cs="Times New Roman"/>
        </w:rPr>
        <w:t>D</w:t>
      </w:r>
      <w:r>
        <w:rPr>
          <w:rFonts w:ascii="Times New Roman" w:hAnsi="Times New Roman" w:cs="Times New Roman"/>
        </w:rPr>
        <w:t xml:space="preserve">).     </w:t>
      </w:r>
    </w:p>
    <w:p w14:paraId="6B3D789E" w14:textId="4E5EEC4B" w:rsidR="00CB7209" w:rsidRPr="00FC7A63" w:rsidRDefault="00CB7209" w:rsidP="000B7DB7">
      <w:pPr>
        <w:pStyle w:val="Heading2"/>
        <w:rPr>
          <w:rFonts w:eastAsia="Times New Roman"/>
          <w:b w:val="0"/>
          <w:lang w:eastAsia="en-GB"/>
        </w:rPr>
      </w:pPr>
      <w:r>
        <w:t xml:space="preserve">Predictors of changes in </w:t>
      </w:r>
      <w:r w:rsidRPr="00FC7A63">
        <w:t xml:space="preserve">performance </w:t>
      </w:r>
      <w:r w:rsidR="00FA721D">
        <w:t>induced by atomoxetine</w:t>
      </w:r>
    </w:p>
    <w:p w14:paraId="30492768" w14:textId="294CA827" w:rsidR="00CB7209" w:rsidRPr="004E1CFF" w:rsidRDefault="00CB7209" w:rsidP="00BF7E9E">
      <w:pPr>
        <w:spacing w:line="360" w:lineRule="auto"/>
        <w:rPr>
          <w:rFonts w:ascii="Times New Roman" w:hAnsi="Times New Roman" w:cs="Times New Roman"/>
        </w:rPr>
      </w:pPr>
      <w:r>
        <w:rPr>
          <w:rFonts w:ascii="Times New Roman" w:hAnsi="Times New Roman" w:cs="Times New Roman"/>
        </w:rPr>
        <w:t xml:space="preserve">To determine the factors predicting </w:t>
      </w:r>
      <w:r w:rsidR="00C11292">
        <w:rPr>
          <w:rFonts w:ascii="Times New Roman" w:hAnsi="Times New Roman" w:cs="Times New Roman"/>
        </w:rPr>
        <w:t xml:space="preserve">changes in performance following atomoxetine administration, </w:t>
      </w:r>
      <w:proofErr w:type="gramStart"/>
      <w:r>
        <w:rPr>
          <w:rFonts w:ascii="Times New Roman" w:hAnsi="Times New Roman" w:cs="Times New Roman"/>
        </w:rPr>
        <w:t>mixed-effect</w:t>
      </w:r>
      <w:proofErr w:type="gramEnd"/>
      <w:r>
        <w:rPr>
          <w:rFonts w:ascii="Times New Roman" w:hAnsi="Times New Roman" w:cs="Times New Roman"/>
        </w:rPr>
        <w:t xml:space="preserve"> generalized linear models </w:t>
      </w:r>
      <w:r w:rsidRPr="004E1CFF">
        <w:rPr>
          <w:rFonts w:ascii="Times New Roman" w:hAnsi="Times New Roman" w:cs="Times New Roman"/>
        </w:rPr>
        <w:t>(</w:t>
      </w:r>
      <w:proofErr w:type="spellStart"/>
      <w:r w:rsidRPr="004E1CFF">
        <w:rPr>
          <w:rFonts w:ascii="Times New Roman" w:hAnsi="Times New Roman" w:cs="Times New Roman"/>
          <w:i/>
        </w:rPr>
        <w:t>aov</w:t>
      </w:r>
      <w:proofErr w:type="spellEnd"/>
      <w:r w:rsidRPr="004E1CFF">
        <w:rPr>
          <w:rFonts w:ascii="Times New Roman" w:hAnsi="Times New Roman" w:cs="Times New Roman"/>
          <w:i/>
        </w:rPr>
        <w:t xml:space="preserve"> </w:t>
      </w:r>
      <w:r w:rsidRPr="004E1CFF">
        <w:rPr>
          <w:rFonts w:ascii="Times New Roman" w:hAnsi="Times New Roman" w:cs="Times New Roman"/>
        </w:rPr>
        <w:t xml:space="preserve">package) </w:t>
      </w:r>
      <w:r>
        <w:rPr>
          <w:rFonts w:ascii="Times New Roman" w:hAnsi="Times New Roman" w:cs="Times New Roman"/>
        </w:rPr>
        <w:t xml:space="preserve">assessed the contribution of </w:t>
      </w:r>
      <w:r w:rsidR="00DF58E7">
        <w:rPr>
          <w:rFonts w:ascii="Times New Roman" w:hAnsi="Times New Roman" w:cs="Times New Roman"/>
        </w:rPr>
        <w:t xml:space="preserve">placebo </w:t>
      </w:r>
      <w:r>
        <w:rPr>
          <w:rFonts w:ascii="Times New Roman" w:hAnsi="Times New Roman" w:cs="Times New Roman"/>
        </w:rPr>
        <w:t>performance</w:t>
      </w:r>
      <w:r w:rsidR="00AF76D1">
        <w:rPr>
          <w:rFonts w:ascii="Times New Roman" w:hAnsi="Times New Roman" w:cs="Times New Roman"/>
        </w:rPr>
        <w:t xml:space="preserve"> (“baseline")</w:t>
      </w:r>
      <w:r>
        <w:rPr>
          <w:rFonts w:ascii="Times New Roman" w:hAnsi="Times New Roman" w:cs="Times New Roman"/>
        </w:rPr>
        <w:t xml:space="preserve">, plasma atomoxetine, and change in </w:t>
      </w:r>
      <w:proofErr w:type="spellStart"/>
      <w:r w:rsidR="00606F2F">
        <w:rPr>
          <w:rFonts w:ascii="Times New Roman" w:hAnsi="Times New Roman" w:cs="Times New Roman"/>
        </w:rPr>
        <w:t>r</w:t>
      </w:r>
      <w:r>
        <w:rPr>
          <w:rFonts w:ascii="Times New Roman" w:hAnsi="Times New Roman" w:cs="Times New Roman"/>
        </w:rPr>
        <w:t>IFG</w:t>
      </w:r>
      <w:proofErr w:type="spellEnd"/>
      <w:r>
        <w:rPr>
          <w:rFonts w:ascii="Times New Roman" w:hAnsi="Times New Roman" w:cs="Times New Roman"/>
        </w:rPr>
        <w:t xml:space="preserve"> activation on SSRT improvements on atomoxetine</w:t>
      </w:r>
      <w:r w:rsidRPr="00086E64">
        <w:rPr>
          <w:rFonts w:ascii="Times New Roman" w:hAnsi="Times New Roman" w:cs="Times New Roman"/>
        </w:rPr>
        <w:t xml:space="preserve">. </w:t>
      </w:r>
      <w:r w:rsidR="00912731">
        <w:rPr>
          <w:rFonts w:ascii="Times New Roman" w:hAnsi="Times New Roman" w:cs="Times New Roman"/>
        </w:rPr>
        <w:t xml:space="preserve">The </w:t>
      </w:r>
      <w:proofErr w:type="spellStart"/>
      <w:r w:rsidR="00606F2F">
        <w:rPr>
          <w:rFonts w:ascii="Times New Roman" w:hAnsi="Times New Roman" w:cs="Times New Roman"/>
        </w:rPr>
        <w:t>r</w:t>
      </w:r>
      <w:r>
        <w:rPr>
          <w:rFonts w:ascii="Times New Roman" w:hAnsi="Times New Roman" w:cs="Times New Roman"/>
        </w:rPr>
        <w:t>IFG</w:t>
      </w:r>
      <w:proofErr w:type="spellEnd"/>
      <w:r>
        <w:rPr>
          <w:rFonts w:ascii="Times New Roman" w:hAnsi="Times New Roman" w:cs="Times New Roman"/>
        </w:rPr>
        <w:t xml:space="preserve"> region was defined based </w:t>
      </w:r>
      <w:r>
        <w:rPr>
          <w:rFonts w:ascii="Times New Roman" w:eastAsiaTheme="minorEastAsia" w:hAnsi="Times New Roman" w:cs="Times New Roman"/>
        </w:rPr>
        <w:t xml:space="preserve">on </w:t>
      </w:r>
      <w:r w:rsidR="008E4AEA">
        <w:rPr>
          <w:rFonts w:ascii="Times New Roman" w:eastAsiaTheme="minorEastAsia" w:hAnsi="Times New Roman" w:cs="Times New Roman"/>
        </w:rPr>
        <w:t xml:space="preserve">the </w:t>
      </w:r>
      <w:proofErr w:type="spellStart"/>
      <w:r>
        <w:rPr>
          <w:rFonts w:ascii="Times New Roman" w:eastAsiaTheme="minorEastAsia" w:hAnsi="Times New Roman" w:cs="Times New Roman"/>
        </w:rPr>
        <w:t>voxelwise</w:t>
      </w:r>
      <w:proofErr w:type="spellEnd"/>
      <w:r>
        <w:rPr>
          <w:rFonts w:ascii="Times New Roman" w:eastAsiaTheme="minorEastAsia" w:hAnsi="Times New Roman" w:cs="Times New Roman"/>
        </w:rPr>
        <w:t xml:space="preserve"> fMRI results in which ΔSSRT </w:t>
      </w:r>
      <w:r>
        <w:rPr>
          <w:rFonts w:ascii="Times New Roman" w:eastAsiaTheme="minorEastAsia" w:hAnsi="Times New Roman" w:cs="Times New Roman"/>
        </w:rPr>
        <w:lastRenderedPageBreak/>
        <w:t xml:space="preserve">was included as covariate of interest. </w:t>
      </w:r>
      <w:r w:rsidRPr="004E1CFF">
        <w:rPr>
          <w:rFonts w:ascii="Times New Roman" w:hAnsi="Times New Roman" w:cs="Times New Roman"/>
        </w:rPr>
        <w:t xml:space="preserve">The full model explained a significant amount of variance in </w:t>
      </w:r>
      <w:r>
        <w:rPr>
          <w:rFonts w:ascii="Times New Roman" w:eastAsiaTheme="minorEastAsia" w:hAnsi="Times New Roman" w:cs="Times New Roman"/>
        </w:rPr>
        <w:t xml:space="preserve">ΔSSRT </w:t>
      </w:r>
      <w:r w:rsidRPr="004E1CFF">
        <w:rPr>
          <w:rFonts w:ascii="Times New Roman" w:hAnsi="Times New Roman" w:cs="Times New Roman"/>
        </w:rPr>
        <w:t>in all participants (r</w:t>
      </w:r>
      <w:r w:rsidRPr="004E1CFF">
        <w:rPr>
          <w:rFonts w:ascii="Times New Roman" w:hAnsi="Times New Roman" w:cs="Times New Roman"/>
          <w:vertAlign w:val="superscript"/>
        </w:rPr>
        <w:t>2</w:t>
      </w:r>
      <w:r w:rsidRPr="004E1CFF">
        <w:rPr>
          <w:rFonts w:ascii="Times New Roman" w:hAnsi="Times New Roman" w:cs="Times New Roman"/>
        </w:rPr>
        <w:t>= 0.</w:t>
      </w:r>
      <w:r>
        <w:rPr>
          <w:rFonts w:ascii="Times New Roman" w:hAnsi="Times New Roman" w:cs="Times New Roman"/>
        </w:rPr>
        <w:t>6</w:t>
      </w:r>
      <w:r w:rsidR="00B70B1A">
        <w:rPr>
          <w:rFonts w:ascii="Times New Roman" w:hAnsi="Times New Roman" w:cs="Times New Roman"/>
        </w:rPr>
        <w:t>4</w:t>
      </w:r>
      <w:r w:rsidRPr="004E1CFF">
        <w:rPr>
          <w:rFonts w:ascii="Times New Roman" w:hAnsi="Times New Roman" w:cs="Times New Roman"/>
        </w:rPr>
        <w:t xml:space="preserve">, </w:t>
      </w:r>
      <w:r w:rsidR="00AB4B6F" w:rsidRPr="004E1CFF">
        <w:rPr>
          <w:rFonts w:ascii="Times New Roman" w:hAnsi="Times New Roman" w:cs="Times New Roman"/>
        </w:rPr>
        <w:t>F</w:t>
      </w:r>
      <w:r w:rsidR="00AB4B6F">
        <w:rPr>
          <w:rFonts w:ascii="Times New Roman" w:hAnsi="Times New Roman" w:cs="Times New Roman"/>
          <w:vertAlign w:val="subscript"/>
        </w:rPr>
        <w:t>4</w:t>
      </w:r>
      <w:r w:rsidRPr="004E1CFF">
        <w:rPr>
          <w:rFonts w:ascii="Times New Roman" w:hAnsi="Times New Roman" w:cs="Times New Roman"/>
          <w:vertAlign w:val="subscript"/>
        </w:rPr>
        <w:t>,</w:t>
      </w:r>
      <w:r w:rsidR="00AB4B6F" w:rsidRPr="004E1CFF">
        <w:rPr>
          <w:rFonts w:ascii="Times New Roman" w:hAnsi="Times New Roman" w:cs="Times New Roman"/>
          <w:vertAlign w:val="subscript"/>
        </w:rPr>
        <w:t>4</w:t>
      </w:r>
      <w:r w:rsidR="00AB4B6F">
        <w:rPr>
          <w:rFonts w:ascii="Times New Roman" w:hAnsi="Times New Roman" w:cs="Times New Roman"/>
          <w:vertAlign w:val="subscript"/>
        </w:rPr>
        <w:t>1</w:t>
      </w:r>
      <w:r w:rsidRPr="004E1CFF">
        <w:rPr>
          <w:rFonts w:ascii="Times New Roman" w:hAnsi="Times New Roman" w:cs="Times New Roman"/>
        </w:rPr>
        <w:t>=</w:t>
      </w:r>
      <w:r w:rsidR="00527E28">
        <w:rPr>
          <w:rFonts w:ascii="Times New Roman" w:hAnsi="Times New Roman" w:cs="Times New Roman"/>
        </w:rPr>
        <w:t>18</w:t>
      </w:r>
      <w:r>
        <w:rPr>
          <w:rFonts w:ascii="Times New Roman" w:hAnsi="Times New Roman" w:cs="Times New Roman"/>
        </w:rPr>
        <w:t>.</w:t>
      </w:r>
      <w:r w:rsidR="00527E28">
        <w:rPr>
          <w:rFonts w:ascii="Times New Roman" w:hAnsi="Times New Roman" w:cs="Times New Roman"/>
        </w:rPr>
        <w:t>33</w:t>
      </w:r>
      <w:r w:rsidRPr="004E1CFF">
        <w:rPr>
          <w:rFonts w:ascii="Times New Roman" w:hAnsi="Times New Roman" w:cs="Times New Roman"/>
        </w:rPr>
        <w:t>, p</w:t>
      </w:r>
      <w:r w:rsidR="006C2141">
        <w:rPr>
          <w:rFonts w:ascii="Times New Roman" w:hAnsi="Times New Roman" w:cs="Times New Roman"/>
        </w:rPr>
        <w:t>=</w:t>
      </w:r>
      <w:r w:rsidR="006C2141" w:rsidRPr="006C2141">
        <w:t xml:space="preserve"> </w:t>
      </w:r>
      <w:r w:rsidR="006C2141" w:rsidRPr="006C2141">
        <w:rPr>
          <w:rFonts w:ascii="Times New Roman" w:hAnsi="Times New Roman" w:cs="Times New Roman"/>
        </w:rPr>
        <w:t>1.</w:t>
      </w:r>
      <w:r w:rsidR="006C2141">
        <w:rPr>
          <w:rFonts w:ascii="Times New Roman" w:hAnsi="Times New Roman" w:cs="Times New Roman"/>
        </w:rPr>
        <w:t>1</w:t>
      </w:r>
      <w:r w:rsidR="006C2141" w:rsidRPr="006C2141">
        <w:rPr>
          <w:rFonts w:ascii="Times New Roman" w:hAnsi="Times New Roman" w:cs="Times New Roman"/>
        </w:rPr>
        <w:t>e-8</w:t>
      </w:r>
      <w:r w:rsidRPr="004E1CFF">
        <w:rPr>
          <w:rFonts w:ascii="Times New Roman" w:hAnsi="Times New Roman" w:cs="Times New Roman"/>
        </w:rPr>
        <w:t>).</w:t>
      </w:r>
      <w:r w:rsidR="00874AE5">
        <w:rPr>
          <w:rFonts w:ascii="Times New Roman" w:hAnsi="Times New Roman" w:cs="Times New Roman"/>
        </w:rPr>
        <w:t xml:space="preserve"> </w:t>
      </w:r>
    </w:p>
    <w:p w14:paraId="01798ABD" w14:textId="706438F1" w:rsidR="00CB7209" w:rsidRPr="004E1CFF" w:rsidRDefault="00CB7209" w:rsidP="00BF7E9E">
      <w:pPr>
        <w:spacing w:line="360" w:lineRule="auto"/>
        <w:rPr>
          <w:rFonts w:ascii="Times New Roman" w:eastAsiaTheme="minorEastAsia" w:hAnsi="Times New Roman" w:cs="Times New Roman"/>
        </w:rPr>
      </w:pPr>
      <m:oMathPara>
        <m:oMath>
          <m:r>
            <m:rPr>
              <m:sty m:val="p"/>
            </m:rPr>
            <w:rPr>
              <w:rFonts w:ascii="Cambria Math" w:hAnsi="Cambria Math" w:cs="Times New Roman"/>
            </w:rPr>
            <m:t>ΔSSRT</m:t>
          </m:r>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β</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SSRT</m:t>
              </m:r>
            </m:e>
            <m:sub>
              <m:r>
                <w:rPr>
                  <w:rFonts w:ascii="Cambria Math" w:hAnsi="Cambria Math" w:cs="Times New Roman"/>
                </w:rPr>
                <m:t>placebo</m:t>
              </m:r>
            </m:sub>
          </m:sSub>
          <m:r>
            <w:rPr>
              <w:rFonts w:ascii="Cambria Math" w:eastAsiaTheme="minorEastAsia" w:hAnsi="Cambria Math" w:cs="Times New Roman"/>
            </w:rPr>
            <m:t xml:space="preserve">+ </m:t>
          </m:r>
          <m:sSub>
            <m:sSubPr>
              <m:ctrlPr>
                <w:rPr>
                  <w:rFonts w:ascii="Cambria Math" w:hAnsi="Cambria Math" w:cs="Times New Roman"/>
                  <w:i/>
                </w:rPr>
              </m:ctrlPr>
            </m:sSubPr>
            <m:e>
              <m:r>
                <w:rPr>
                  <w:rFonts w:ascii="Cambria Math" w:hAnsi="Cambria Math" w:cs="Times New Roman"/>
                </w:rPr>
                <m:t>β</m:t>
              </m:r>
            </m:e>
            <m:sub>
              <m:r>
                <w:rPr>
                  <w:rFonts w:ascii="Cambria Math" w:hAnsi="Cambria Math" w:cs="Times New Roman"/>
                </w:rPr>
                <m:t>2</m:t>
              </m:r>
            </m:sub>
          </m:sSub>
          <m:r>
            <w:rPr>
              <w:rFonts w:ascii="Cambria Math" w:hAnsi="Cambria Math" w:cs="Times New Roman"/>
            </w:rPr>
            <m:t>×</m:t>
          </m:r>
          <m:d>
            <m:dPr>
              <m:begChr m:val="["/>
              <m:endChr m:val="]"/>
              <m:ctrlPr>
                <w:rPr>
                  <w:rFonts w:ascii="Cambria Math" w:hAnsi="Cambria Math" w:cs="Times New Roman"/>
                  <w:i/>
                </w:rPr>
              </m:ctrlPr>
            </m:dPr>
            <m:e>
              <m:r>
                <m:rPr>
                  <m:sty m:val="p"/>
                </m:rPr>
                <w:rPr>
                  <w:rFonts w:ascii="Cambria Math" w:hAnsi="Cambria Math" w:cs="Times New Roman"/>
                </w:rPr>
                <m:t>Δ</m:t>
              </m:r>
              <m:r>
                <w:rPr>
                  <w:rFonts w:ascii="Cambria Math" w:hAnsi="Cambria Math" w:cs="Times New Roman"/>
                </w:rPr>
                <m:t xml:space="preserve"> rIFG activation</m:t>
              </m:r>
            </m:e>
          </m:d>
          <m:r>
            <w:rPr>
              <w:rFonts w:ascii="Cambria Math" w:eastAsiaTheme="minorEastAsia" w:hAnsi="Cambria Math" w:cs="Times New Roman"/>
            </w:rPr>
            <m:t xml:space="preserve">+ </m:t>
          </m:r>
          <m:sSub>
            <m:sSubPr>
              <m:ctrlPr>
                <w:rPr>
                  <w:rFonts w:ascii="Cambria Math" w:hAnsi="Cambria Math" w:cs="Times New Roman"/>
                  <w:i/>
                </w:rPr>
              </m:ctrlPr>
            </m:sSubPr>
            <m:e>
              <m:r>
                <w:rPr>
                  <w:rFonts w:ascii="Cambria Math" w:hAnsi="Cambria Math" w:cs="Times New Roman"/>
                </w:rPr>
                <m:t>β</m:t>
              </m:r>
            </m:e>
            <m:sub>
              <m:r>
                <w:rPr>
                  <w:rFonts w:ascii="Cambria Math" w:hAnsi="Cambria Math" w:cs="Times New Roman"/>
                </w:rPr>
                <m:t>3</m:t>
              </m:r>
            </m:sub>
          </m:sSub>
          <m:r>
            <w:rPr>
              <w:rFonts w:ascii="Cambria Math" w:hAnsi="Cambria Math" w:cs="Times New Roman"/>
            </w:rPr>
            <m:t>×</m:t>
          </m:r>
          <m:d>
            <m:dPr>
              <m:begChr m:val="["/>
              <m:endChr m:val="]"/>
              <m:ctrlPr>
                <w:rPr>
                  <w:rFonts w:ascii="Cambria Math" w:hAnsi="Cambria Math" w:cs="Times New Roman"/>
                  <w:i/>
                </w:rPr>
              </m:ctrlPr>
            </m:dPr>
            <m:e>
              <m:r>
                <w:rPr>
                  <w:rFonts w:ascii="Cambria Math" w:hAnsi="Cambria Math" w:cs="Times New Roman"/>
                </w:rPr>
                <m:t>plasma Atx</m:t>
              </m:r>
            </m:e>
          </m:d>
          <m:r>
            <w:rPr>
              <w:rFonts w:ascii="Cambria Math" w:hAnsi="Cambria Math" w:cs="Times New Roman"/>
            </w:rPr>
            <m:t>+order</m:t>
          </m:r>
        </m:oMath>
      </m:oMathPara>
    </w:p>
    <w:p w14:paraId="2ECC32DA" w14:textId="251333BE" w:rsidR="00CB7209" w:rsidRDefault="004A3451" w:rsidP="00BF7E9E">
      <w:pPr>
        <w:spacing w:line="360" w:lineRule="auto"/>
        <w:rPr>
          <w:rFonts w:ascii="Times New Roman" w:eastAsiaTheme="minorEastAsia" w:hAnsi="Times New Roman" w:cs="Times New Roman"/>
        </w:rPr>
      </w:pPr>
      <w:r>
        <w:rPr>
          <w:rFonts w:ascii="Times New Roman" w:eastAsiaTheme="minorEastAsia" w:hAnsi="Times New Roman" w:cs="Times New Roman"/>
        </w:rPr>
        <w:t>S</w:t>
      </w:r>
      <w:r w:rsidR="00CB7209">
        <w:rPr>
          <w:rFonts w:ascii="Times New Roman" w:eastAsiaTheme="minorEastAsia" w:hAnsi="Times New Roman" w:cs="Times New Roman"/>
        </w:rPr>
        <w:t>topping improvement</w:t>
      </w:r>
      <w:r>
        <w:rPr>
          <w:rFonts w:ascii="Times New Roman" w:eastAsiaTheme="minorEastAsia" w:hAnsi="Times New Roman" w:cs="Times New Roman"/>
        </w:rPr>
        <w:t xml:space="preserve"> </w:t>
      </w:r>
      <w:r w:rsidR="00912731">
        <w:rPr>
          <w:rFonts w:ascii="Times New Roman" w:eastAsiaTheme="minorEastAsia" w:hAnsi="Times New Roman" w:cs="Times New Roman"/>
        </w:rPr>
        <w:t xml:space="preserve">on atomoxetine </w:t>
      </w:r>
      <w:r>
        <w:rPr>
          <w:rFonts w:ascii="Times New Roman" w:eastAsiaTheme="minorEastAsia" w:hAnsi="Times New Roman" w:cs="Times New Roman"/>
        </w:rPr>
        <w:t>was predicted by worse baseline stopping performance</w:t>
      </w:r>
      <w:r w:rsidR="00CB7209" w:rsidRPr="004E1CFF">
        <w:rPr>
          <w:rFonts w:ascii="Times New Roman" w:eastAsiaTheme="minorEastAsia" w:hAnsi="Times New Roman" w:cs="Times New Roman"/>
        </w:rPr>
        <w:t xml:space="preserve"> (beta=-0.3</w:t>
      </w:r>
      <w:r w:rsidR="00CB7209">
        <w:rPr>
          <w:rFonts w:ascii="Times New Roman" w:eastAsiaTheme="minorEastAsia" w:hAnsi="Times New Roman" w:cs="Times New Roman"/>
        </w:rPr>
        <w:t>2</w:t>
      </w:r>
      <w:r w:rsidR="00CB7209" w:rsidRPr="004E1CFF">
        <w:rPr>
          <w:rFonts w:ascii="Times New Roman" w:eastAsiaTheme="minorEastAsia" w:hAnsi="Times New Roman" w:cs="Times New Roman"/>
        </w:rPr>
        <w:t>, t</w:t>
      </w:r>
      <w:r w:rsidR="00CB7209" w:rsidRPr="004E1CFF">
        <w:rPr>
          <w:rFonts w:ascii="Times New Roman" w:eastAsiaTheme="minorEastAsia" w:hAnsi="Times New Roman" w:cs="Times New Roman"/>
          <w:vertAlign w:val="subscript"/>
        </w:rPr>
        <w:t>42</w:t>
      </w:r>
      <w:r w:rsidR="00CB7209" w:rsidRPr="004E1CFF">
        <w:rPr>
          <w:rFonts w:ascii="Times New Roman" w:eastAsiaTheme="minorEastAsia" w:hAnsi="Times New Roman" w:cs="Times New Roman"/>
        </w:rPr>
        <w:t>=</w:t>
      </w:r>
      <w:r w:rsidR="00B6522D">
        <w:rPr>
          <w:rFonts w:ascii="Times New Roman" w:eastAsiaTheme="minorEastAsia" w:hAnsi="Times New Roman" w:cs="Times New Roman"/>
        </w:rPr>
        <w:t>-</w:t>
      </w:r>
      <w:r w:rsidR="00CB7209" w:rsidRPr="004E1CFF">
        <w:rPr>
          <w:rFonts w:ascii="Times New Roman" w:eastAsiaTheme="minorEastAsia" w:hAnsi="Times New Roman" w:cs="Times New Roman"/>
        </w:rPr>
        <w:t>3.</w:t>
      </w:r>
      <w:r w:rsidR="00F30264">
        <w:rPr>
          <w:rFonts w:ascii="Times New Roman" w:eastAsiaTheme="minorEastAsia" w:hAnsi="Times New Roman" w:cs="Times New Roman"/>
        </w:rPr>
        <w:t>8</w:t>
      </w:r>
      <w:r w:rsidR="00CB7209" w:rsidRPr="004E1CFF">
        <w:rPr>
          <w:rFonts w:ascii="Times New Roman" w:eastAsiaTheme="minorEastAsia" w:hAnsi="Times New Roman" w:cs="Times New Roman"/>
        </w:rPr>
        <w:t>, p</w:t>
      </w:r>
      <w:r w:rsidR="00E479B5">
        <w:rPr>
          <w:rFonts w:ascii="Times New Roman" w:eastAsiaTheme="minorEastAsia" w:hAnsi="Times New Roman" w:cs="Times New Roman"/>
        </w:rPr>
        <w:t>=4.6e-</w:t>
      </w:r>
      <w:r w:rsidR="00267663">
        <w:rPr>
          <w:rFonts w:ascii="Times New Roman" w:eastAsiaTheme="minorEastAsia" w:hAnsi="Times New Roman" w:cs="Times New Roman"/>
        </w:rPr>
        <w:t>4</w:t>
      </w:r>
      <w:r w:rsidR="00CB7209" w:rsidRPr="004E1CFF">
        <w:rPr>
          <w:rFonts w:ascii="Times New Roman" w:eastAsiaTheme="minorEastAsia" w:hAnsi="Times New Roman" w:cs="Times New Roman"/>
        </w:rPr>
        <w:t>)</w:t>
      </w:r>
      <w:r>
        <w:rPr>
          <w:rFonts w:ascii="Times New Roman" w:eastAsiaTheme="minorEastAsia" w:hAnsi="Times New Roman" w:cs="Times New Roman"/>
        </w:rPr>
        <w:t xml:space="preserve">, greater </w:t>
      </w:r>
      <w:r w:rsidR="00CB7209" w:rsidRPr="004E1CFF">
        <w:rPr>
          <w:rFonts w:ascii="Times New Roman" w:eastAsiaTheme="minorEastAsia" w:hAnsi="Times New Roman" w:cs="Times New Roman"/>
        </w:rPr>
        <w:t xml:space="preserve">activation of </w:t>
      </w:r>
      <w:proofErr w:type="spellStart"/>
      <w:r w:rsidR="00606F2F">
        <w:rPr>
          <w:rFonts w:ascii="Times New Roman" w:eastAsiaTheme="minorEastAsia" w:hAnsi="Times New Roman" w:cs="Times New Roman"/>
        </w:rPr>
        <w:t>r</w:t>
      </w:r>
      <w:r w:rsidR="00CB7209" w:rsidRPr="004E1CFF">
        <w:rPr>
          <w:rFonts w:ascii="Times New Roman" w:eastAsiaTheme="minorEastAsia" w:hAnsi="Times New Roman" w:cs="Times New Roman"/>
        </w:rPr>
        <w:t>IFG</w:t>
      </w:r>
      <w:proofErr w:type="spellEnd"/>
      <w:r w:rsidR="00CB7209" w:rsidRPr="004E1CFF">
        <w:rPr>
          <w:rFonts w:ascii="Times New Roman" w:eastAsiaTheme="minorEastAsia" w:hAnsi="Times New Roman" w:cs="Times New Roman"/>
        </w:rPr>
        <w:t xml:space="preserve"> (Figure </w:t>
      </w:r>
      <w:r w:rsidR="00CB7209">
        <w:rPr>
          <w:rFonts w:ascii="Times New Roman" w:eastAsiaTheme="minorEastAsia" w:hAnsi="Times New Roman" w:cs="Times New Roman"/>
        </w:rPr>
        <w:t>2</w:t>
      </w:r>
      <w:r w:rsidR="00CB7209" w:rsidRPr="004E1CFF">
        <w:rPr>
          <w:rFonts w:ascii="Times New Roman" w:eastAsiaTheme="minorEastAsia" w:hAnsi="Times New Roman" w:cs="Times New Roman"/>
        </w:rPr>
        <w:t>B; beta</w:t>
      </w:r>
      <w:r w:rsidR="00CB7209">
        <w:rPr>
          <w:rFonts w:ascii="Times New Roman" w:eastAsiaTheme="minorEastAsia" w:hAnsi="Times New Roman" w:cs="Times New Roman"/>
        </w:rPr>
        <w:t>=</w:t>
      </w:r>
      <w:r w:rsidR="00CB7209" w:rsidRPr="00F80D59">
        <w:rPr>
          <w:rFonts w:ascii="Times New Roman" w:eastAsia="Times New Roman" w:hAnsi="Times New Roman" w:cs="Times New Roman"/>
          <w:color w:val="000000"/>
          <w:lang w:eastAsia="en-GB"/>
        </w:rPr>
        <w:t>-0.</w:t>
      </w:r>
      <w:r w:rsidR="00F13A0E" w:rsidRPr="00F80D59">
        <w:rPr>
          <w:rFonts w:ascii="Times New Roman" w:eastAsia="Times New Roman" w:hAnsi="Times New Roman" w:cs="Times New Roman"/>
          <w:color w:val="000000"/>
          <w:lang w:eastAsia="en-GB"/>
        </w:rPr>
        <w:t>1</w:t>
      </w:r>
      <w:r w:rsidR="00F13A0E">
        <w:rPr>
          <w:rFonts w:ascii="Times New Roman" w:eastAsia="Times New Roman" w:hAnsi="Times New Roman" w:cs="Times New Roman"/>
          <w:color w:val="000000"/>
          <w:lang w:eastAsia="en-GB"/>
        </w:rPr>
        <w:t>9</w:t>
      </w:r>
      <w:r w:rsidR="00CB7209" w:rsidRPr="00B7780B">
        <w:rPr>
          <w:rFonts w:ascii="Times New Roman" w:eastAsiaTheme="minorEastAsia" w:hAnsi="Times New Roman" w:cs="Times New Roman"/>
        </w:rPr>
        <w:t>, t</w:t>
      </w:r>
      <w:r w:rsidR="00CB7209" w:rsidRPr="00B7780B">
        <w:rPr>
          <w:rFonts w:ascii="Times New Roman" w:eastAsiaTheme="minorEastAsia" w:hAnsi="Times New Roman" w:cs="Times New Roman"/>
          <w:vertAlign w:val="subscript"/>
        </w:rPr>
        <w:t>42</w:t>
      </w:r>
      <w:r w:rsidR="00CB7209" w:rsidRPr="00B7780B">
        <w:rPr>
          <w:rFonts w:ascii="Times New Roman" w:eastAsiaTheme="minorEastAsia" w:hAnsi="Times New Roman" w:cs="Times New Roman"/>
        </w:rPr>
        <w:t>=</w:t>
      </w:r>
      <w:r w:rsidR="00CB7209">
        <w:rPr>
          <w:rFonts w:ascii="Times New Roman" w:eastAsiaTheme="minorEastAsia" w:hAnsi="Times New Roman" w:cs="Times New Roman"/>
        </w:rPr>
        <w:t>-</w:t>
      </w:r>
      <w:r w:rsidR="0012110E">
        <w:rPr>
          <w:rFonts w:ascii="Times New Roman" w:eastAsiaTheme="minorEastAsia" w:hAnsi="Times New Roman" w:cs="Times New Roman"/>
        </w:rPr>
        <w:t>5</w:t>
      </w:r>
      <w:r w:rsidR="00CB7209" w:rsidRPr="00B7780B">
        <w:rPr>
          <w:rFonts w:ascii="Times New Roman" w:eastAsiaTheme="minorEastAsia" w:hAnsi="Times New Roman" w:cs="Times New Roman"/>
        </w:rPr>
        <w:t>.</w:t>
      </w:r>
      <w:r w:rsidR="000521B6">
        <w:rPr>
          <w:rFonts w:ascii="Times New Roman" w:eastAsiaTheme="minorEastAsia" w:hAnsi="Times New Roman" w:cs="Times New Roman"/>
        </w:rPr>
        <w:t>1</w:t>
      </w:r>
      <w:r w:rsidR="00CB7209" w:rsidRPr="00B7780B">
        <w:rPr>
          <w:rFonts w:ascii="Times New Roman" w:eastAsiaTheme="minorEastAsia" w:hAnsi="Times New Roman" w:cs="Times New Roman"/>
        </w:rPr>
        <w:t xml:space="preserve">, </w:t>
      </w:r>
      <w:r w:rsidR="00CB7209" w:rsidRPr="004E1CFF">
        <w:rPr>
          <w:rFonts w:ascii="Times New Roman" w:eastAsiaTheme="minorEastAsia" w:hAnsi="Times New Roman" w:cs="Times New Roman"/>
        </w:rPr>
        <w:t>p</w:t>
      </w:r>
      <w:r w:rsidR="00044148">
        <w:rPr>
          <w:rFonts w:ascii="Times New Roman" w:eastAsiaTheme="minorEastAsia" w:hAnsi="Times New Roman" w:cs="Times New Roman"/>
        </w:rPr>
        <w:t>=</w:t>
      </w:r>
      <w:r w:rsidR="00044148" w:rsidRPr="00044148">
        <w:t xml:space="preserve"> </w:t>
      </w:r>
      <w:r w:rsidR="00044148" w:rsidRPr="00044148">
        <w:rPr>
          <w:rFonts w:ascii="Times New Roman" w:eastAsiaTheme="minorEastAsia" w:hAnsi="Times New Roman" w:cs="Times New Roman"/>
        </w:rPr>
        <w:t>9.</w:t>
      </w:r>
      <w:r w:rsidR="00044148">
        <w:rPr>
          <w:rFonts w:ascii="Times New Roman" w:eastAsiaTheme="minorEastAsia" w:hAnsi="Times New Roman" w:cs="Times New Roman"/>
        </w:rPr>
        <w:t>5</w:t>
      </w:r>
      <w:r w:rsidR="00044148" w:rsidRPr="00044148">
        <w:rPr>
          <w:rFonts w:ascii="Times New Roman" w:eastAsiaTheme="minorEastAsia" w:hAnsi="Times New Roman" w:cs="Times New Roman"/>
        </w:rPr>
        <w:t>e-6</w:t>
      </w:r>
      <w:r w:rsidR="00CB7209" w:rsidRPr="004E1CFF">
        <w:rPr>
          <w:rFonts w:ascii="Times New Roman" w:eastAsiaTheme="minorEastAsia" w:hAnsi="Times New Roman" w:cs="Times New Roman"/>
        </w:rPr>
        <w:t>)</w:t>
      </w:r>
      <w:r>
        <w:rPr>
          <w:rFonts w:ascii="Times New Roman" w:eastAsiaTheme="minorEastAsia" w:hAnsi="Times New Roman" w:cs="Times New Roman"/>
        </w:rPr>
        <w:t xml:space="preserve"> and by </w:t>
      </w:r>
      <w:r w:rsidR="00CB7209">
        <w:rPr>
          <w:rFonts w:ascii="Times New Roman" w:eastAsiaTheme="minorEastAsia" w:hAnsi="Times New Roman" w:cs="Times New Roman"/>
        </w:rPr>
        <w:t>higher levels of plasma atomoxetine</w:t>
      </w:r>
      <w:r w:rsidR="00CB7209" w:rsidRPr="004E1CFF">
        <w:rPr>
          <w:rFonts w:ascii="Times New Roman" w:eastAsiaTheme="minorEastAsia" w:hAnsi="Times New Roman" w:cs="Times New Roman"/>
        </w:rPr>
        <w:t xml:space="preserve"> (beta=-0.0</w:t>
      </w:r>
      <w:r w:rsidR="00CB7209">
        <w:rPr>
          <w:rFonts w:ascii="Times New Roman" w:eastAsiaTheme="minorEastAsia" w:hAnsi="Times New Roman" w:cs="Times New Roman"/>
        </w:rPr>
        <w:t>5</w:t>
      </w:r>
      <w:r w:rsidR="00CB7209" w:rsidRPr="004E1CFF">
        <w:rPr>
          <w:rFonts w:ascii="Times New Roman" w:eastAsiaTheme="minorEastAsia" w:hAnsi="Times New Roman" w:cs="Times New Roman"/>
        </w:rPr>
        <w:t>, t</w:t>
      </w:r>
      <w:r w:rsidR="00CB7209" w:rsidRPr="004E1CFF">
        <w:rPr>
          <w:rFonts w:ascii="Times New Roman" w:eastAsiaTheme="minorEastAsia" w:hAnsi="Times New Roman" w:cs="Times New Roman"/>
          <w:vertAlign w:val="subscript"/>
        </w:rPr>
        <w:t>42</w:t>
      </w:r>
      <w:r w:rsidR="00CB7209" w:rsidRPr="004E1CFF">
        <w:rPr>
          <w:rFonts w:ascii="Times New Roman" w:eastAsiaTheme="minorEastAsia" w:hAnsi="Times New Roman" w:cs="Times New Roman"/>
        </w:rPr>
        <w:t>=</w:t>
      </w:r>
      <w:r w:rsidR="00CB7209">
        <w:rPr>
          <w:rFonts w:ascii="Times New Roman" w:eastAsiaTheme="minorEastAsia" w:hAnsi="Times New Roman" w:cs="Times New Roman"/>
        </w:rPr>
        <w:t>-</w:t>
      </w:r>
      <w:r w:rsidR="00CB7209" w:rsidRPr="004E1CFF">
        <w:rPr>
          <w:rFonts w:ascii="Times New Roman" w:eastAsiaTheme="minorEastAsia" w:hAnsi="Times New Roman" w:cs="Times New Roman"/>
        </w:rPr>
        <w:t>2.</w:t>
      </w:r>
      <w:r w:rsidR="00150D13">
        <w:rPr>
          <w:rFonts w:ascii="Times New Roman" w:eastAsiaTheme="minorEastAsia" w:hAnsi="Times New Roman" w:cs="Times New Roman"/>
        </w:rPr>
        <w:t>3</w:t>
      </w:r>
      <w:r w:rsidR="00CB7209" w:rsidRPr="004E1CFF">
        <w:rPr>
          <w:rFonts w:ascii="Times New Roman" w:eastAsiaTheme="minorEastAsia" w:hAnsi="Times New Roman" w:cs="Times New Roman"/>
        </w:rPr>
        <w:t>, p=0.</w:t>
      </w:r>
      <w:r w:rsidR="00150D13" w:rsidRPr="004E1CFF">
        <w:rPr>
          <w:rFonts w:ascii="Times New Roman" w:eastAsiaTheme="minorEastAsia" w:hAnsi="Times New Roman" w:cs="Times New Roman"/>
        </w:rPr>
        <w:t>0</w:t>
      </w:r>
      <w:r w:rsidR="00150D13">
        <w:rPr>
          <w:rFonts w:ascii="Times New Roman" w:eastAsiaTheme="minorEastAsia" w:hAnsi="Times New Roman" w:cs="Times New Roman"/>
        </w:rPr>
        <w:t>25</w:t>
      </w:r>
      <w:r w:rsidR="00CB7209" w:rsidRPr="004E1CFF">
        <w:rPr>
          <w:rFonts w:ascii="Times New Roman" w:eastAsiaTheme="minorEastAsia" w:hAnsi="Times New Roman" w:cs="Times New Roman"/>
        </w:rPr>
        <w:t xml:space="preserve">). </w:t>
      </w:r>
      <w:r w:rsidR="00874AE5">
        <w:rPr>
          <w:rFonts w:ascii="Times New Roman" w:hAnsi="Times New Roman" w:cs="Times New Roman"/>
        </w:rPr>
        <w:t>No significant effects of order were found</w:t>
      </w:r>
      <w:r w:rsidR="004122DF">
        <w:rPr>
          <w:rFonts w:ascii="Times New Roman" w:hAnsi="Times New Roman" w:cs="Times New Roman"/>
        </w:rPr>
        <w:t xml:space="preserve"> (p=</w:t>
      </w:r>
      <w:r w:rsidR="00BC32CA">
        <w:rPr>
          <w:rFonts w:ascii="Times New Roman" w:hAnsi="Times New Roman" w:cs="Times New Roman"/>
        </w:rPr>
        <w:t>0.2</w:t>
      </w:r>
      <w:r w:rsidR="001A1C57">
        <w:rPr>
          <w:rFonts w:ascii="Times New Roman" w:hAnsi="Times New Roman" w:cs="Times New Roman"/>
        </w:rPr>
        <w:t>68</w:t>
      </w:r>
      <w:r w:rsidR="00BC32CA">
        <w:rPr>
          <w:rFonts w:ascii="Times New Roman" w:hAnsi="Times New Roman" w:cs="Times New Roman"/>
        </w:rPr>
        <w:t>).</w:t>
      </w:r>
    </w:p>
    <w:p w14:paraId="6AC7A5E4" w14:textId="12668D29" w:rsidR="00CB7209" w:rsidRDefault="00CB7209" w:rsidP="00BF7E9E">
      <w:pPr>
        <w:spacing w:line="360" w:lineRule="auto"/>
        <w:rPr>
          <w:rFonts w:ascii="Times New Roman" w:eastAsiaTheme="minorEastAsia" w:hAnsi="Times New Roman" w:cs="Times New Roman"/>
        </w:rPr>
      </w:pPr>
      <w:r>
        <w:rPr>
          <w:rFonts w:ascii="Times New Roman" w:eastAsiaTheme="minorEastAsia" w:hAnsi="Times New Roman" w:cs="Times New Roman"/>
        </w:rPr>
        <w:t xml:space="preserve">A separate </w:t>
      </w:r>
      <w:r w:rsidR="004A3451">
        <w:rPr>
          <w:rFonts w:ascii="Times New Roman" w:eastAsiaTheme="minorEastAsia" w:hAnsi="Times New Roman" w:cs="Times New Roman"/>
        </w:rPr>
        <w:t xml:space="preserve">exploratory parallel </w:t>
      </w:r>
      <w:r>
        <w:rPr>
          <w:rFonts w:ascii="Times New Roman" w:eastAsiaTheme="minorEastAsia" w:hAnsi="Times New Roman" w:cs="Times New Roman"/>
        </w:rPr>
        <w:t xml:space="preserve">model was fitted to explain atomoxetine-dependent Go RT improvement. M1 </w:t>
      </w:r>
      <w:r>
        <w:rPr>
          <w:rFonts w:ascii="Times New Roman" w:hAnsi="Times New Roman" w:cs="Times New Roman"/>
        </w:rPr>
        <w:t xml:space="preserve">was defined based </w:t>
      </w:r>
      <w:r>
        <w:rPr>
          <w:rFonts w:ascii="Times New Roman" w:eastAsiaTheme="minorEastAsia" w:hAnsi="Times New Roman" w:cs="Times New Roman"/>
        </w:rPr>
        <w:t xml:space="preserve">on the </w:t>
      </w:r>
      <w:proofErr w:type="spellStart"/>
      <w:r>
        <w:rPr>
          <w:rFonts w:ascii="Times New Roman" w:eastAsiaTheme="minorEastAsia" w:hAnsi="Times New Roman" w:cs="Times New Roman"/>
        </w:rPr>
        <w:t>voxelwise</w:t>
      </w:r>
      <w:proofErr w:type="spellEnd"/>
      <w:r>
        <w:rPr>
          <w:rFonts w:ascii="Times New Roman" w:eastAsiaTheme="minorEastAsia" w:hAnsi="Times New Roman" w:cs="Times New Roman"/>
        </w:rPr>
        <w:t xml:space="preserve"> fMRI results where </w:t>
      </w:r>
      <w:proofErr w:type="spellStart"/>
      <w:r>
        <w:rPr>
          <w:rFonts w:ascii="Times New Roman" w:eastAsiaTheme="minorEastAsia" w:hAnsi="Times New Roman" w:cs="Times New Roman"/>
        </w:rPr>
        <w:t>ΔGo</w:t>
      </w:r>
      <w:proofErr w:type="spellEnd"/>
      <w:r>
        <w:rPr>
          <w:rFonts w:ascii="Times New Roman" w:eastAsiaTheme="minorEastAsia" w:hAnsi="Times New Roman" w:cs="Times New Roman"/>
        </w:rPr>
        <w:t xml:space="preserve"> RT was included as a covariate. </w:t>
      </w:r>
    </w:p>
    <w:p w14:paraId="08341939" w14:textId="7B0BF757" w:rsidR="00CB7209" w:rsidRPr="00A00DBB" w:rsidRDefault="00CB7209" w:rsidP="00BF7E9E">
      <w:pPr>
        <w:spacing w:line="360" w:lineRule="auto"/>
        <w:jc w:val="center"/>
        <w:rPr>
          <w:rFonts w:ascii="Times New Roman" w:eastAsiaTheme="minorEastAsia" w:hAnsi="Times New Roman" w:cs="Times New Roman"/>
        </w:rPr>
      </w:pPr>
      <m:oMathPara>
        <m:oMath>
          <m:r>
            <m:rPr>
              <m:sty m:val="p"/>
            </m:rPr>
            <w:rPr>
              <w:rFonts w:ascii="Cambria Math" w:hAnsi="Cambria Math" w:cs="Times New Roman"/>
            </w:rPr>
            <m:t>ΔGoRT</m:t>
          </m:r>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β</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GoRT</m:t>
              </m:r>
            </m:e>
            <m:sub>
              <m:r>
                <w:rPr>
                  <w:rFonts w:ascii="Cambria Math" w:hAnsi="Cambria Math" w:cs="Times New Roman"/>
                </w:rPr>
                <m:t>placebo</m:t>
              </m:r>
            </m:sub>
          </m:sSub>
          <m:r>
            <w:rPr>
              <w:rFonts w:ascii="Cambria Math" w:eastAsiaTheme="minorEastAsia" w:hAnsi="Cambria Math" w:cs="Times New Roman"/>
            </w:rPr>
            <m:t xml:space="preserve">+ </m:t>
          </m:r>
          <m:sSub>
            <m:sSubPr>
              <m:ctrlPr>
                <w:rPr>
                  <w:rFonts w:ascii="Cambria Math" w:hAnsi="Cambria Math" w:cs="Times New Roman"/>
                  <w:i/>
                </w:rPr>
              </m:ctrlPr>
            </m:sSubPr>
            <m:e>
              <m:r>
                <w:rPr>
                  <w:rFonts w:ascii="Cambria Math" w:hAnsi="Cambria Math" w:cs="Times New Roman"/>
                </w:rPr>
                <m:t>β</m:t>
              </m:r>
            </m:e>
            <m:sub>
              <m:r>
                <w:rPr>
                  <w:rFonts w:ascii="Cambria Math" w:hAnsi="Cambria Math" w:cs="Times New Roman"/>
                </w:rPr>
                <m:t>2</m:t>
              </m:r>
            </m:sub>
          </m:sSub>
          <m:r>
            <w:rPr>
              <w:rFonts w:ascii="Cambria Math" w:hAnsi="Cambria Math" w:cs="Times New Roman"/>
            </w:rPr>
            <m:t>×</m:t>
          </m:r>
          <m:d>
            <m:dPr>
              <m:begChr m:val="["/>
              <m:endChr m:val="]"/>
              <m:ctrlPr>
                <w:rPr>
                  <w:rFonts w:ascii="Cambria Math" w:hAnsi="Cambria Math" w:cs="Times New Roman"/>
                  <w:i/>
                </w:rPr>
              </m:ctrlPr>
            </m:dPr>
            <m:e>
              <m:r>
                <m:rPr>
                  <m:sty m:val="p"/>
                </m:rPr>
                <w:rPr>
                  <w:rFonts w:ascii="Cambria Math" w:hAnsi="Cambria Math" w:cs="Times New Roman"/>
                </w:rPr>
                <m:t>Δ M1 activation</m:t>
              </m:r>
            </m:e>
          </m:d>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β</m:t>
              </m:r>
            </m:e>
            <m:sub>
              <m:r>
                <w:rPr>
                  <w:rFonts w:ascii="Cambria Math" w:hAnsi="Cambria Math" w:cs="Times New Roman"/>
                </w:rPr>
                <m:t>3</m:t>
              </m:r>
            </m:sub>
          </m:sSub>
          <m:r>
            <w:rPr>
              <w:rFonts w:ascii="Cambria Math" w:hAnsi="Cambria Math" w:cs="Times New Roman"/>
            </w:rPr>
            <m:t>×</m:t>
          </m:r>
          <m:d>
            <m:dPr>
              <m:begChr m:val="["/>
              <m:endChr m:val="]"/>
              <m:ctrlPr>
                <w:rPr>
                  <w:rFonts w:ascii="Cambria Math" w:hAnsi="Cambria Math" w:cs="Times New Roman"/>
                  <w:i/>
                </w:rPr>
              </m:ctrlPr>
            </m:dPr>
            <m:e>
              <m:r>
                <m:rPr>
                  <m:sty m:val="p"/>
                </m:rPr>
                <w:rPr>
                  <w:rFonts w:ascii="Cambria Math" w:hAnsi="Cambria Math" w:cs="Times New Roman"/>
                </w:rPr>
                <m:t>plasma Atx</m:t>
              </m:r>
            </m:e>
          </m:d>
          <m:r>
            <w:rPr>
              <w:rFonts w:ascii="Cambria Math" w:hAnsi="Cambria Math" w:cs="Times New Roman"/>
            </w:rPr>
            <m:t>+order</m:t>
          </m:r>
        </m:oMath>
      </m:oMathPara>
    </w:p>
    <w:p w14:paraId="51B86577" w14:textId="0E17FEAA" w:rsidR="00CB7209" w:rsidRDefault="00CB7209" w:rsidP="00BF7E9E">
      <w:pPr>
        <w:spacing w:line="360" w:lineRule="auto"/>
        <w:rPr>
          <w:rFonts w:ascii="Times New Roman" w:hAnsi="Times New Roman" w:cs="Times New Roman"/>
          <w:b/>
        </w:rPr>
      </w:pPr>
      <w:r>
        <w:rPr>
          <w:rFonts w:ascii="Times New Roman" w:hAnsi="Times New Roman" w:cs="Times New Roman"/>
        </w:rPr>
        <w:t xml:space="preserve">The full model </w:t>
      </w:r>
      <w:r w:rsidRPr="004E1CFF">
        <w:rPr>
          <w:rFonts w:ascii="Times New Roman" w:hAnsi="Times New Roman" w:cs="Times New Roman"/>
        </w:rPr>
        <w:t xml:space="preserve">explained a significant amount of variance in </w:t>
      </w:r>
      <w:proofErr w:type="spellStart"/>
      <w:r>
        <w:rPr>
          <w:rFonts w:ascii="Times New Roman" w:eastAsiaTheme="minorEastAsia" w:hAnsi="Times New Roman" w:cs="Times New Roman"/>
        </w:rPr>
        <w:t>ΔGo</w:t>
      </w:r>
      <w:proofErr w:type="spellEnd"/>
      <w:r>
        <w:rPr>
          <w:rFonts w:ascii="Times New Roman" w:eastAsiaTheme="minorEastAsia" w:hAnsi="Times New Roman" w:cs="Times New Roman"/>
        </w:rPr>
        <w:t xml:space="preserve"> RT </w:t>
      </w:r>
      <w:r w:rsidRPr="004E1CFF">
        <w:rPr>
          <w:rFonts w:ascii="Times New Roman" w:hAnsi="Times New Roman" w:cs="Times New Roman"/>
        </w:rPr>
        <w:t>in all participants (r</w:t>
      </w:r>
      <w:r w:rsidRPr="004E1CFF">
        <w:rPr>
          <w:rFonts w:ascii="Times New Roman" w:hAnsi="Times New Roman" w:cs="Times New Roman"/>
          <w:vertAlign w:val="superscript"/>
        </w:rPr>
        <w:t>2</w:t>
      </w:r>
      <w:r w:rsidRPr="004E1CFF">
        <w:rPr>
          <w:rFonts w:ascii="Times New Roman" w:hAnsi="Times New Roman" w:cs="Times New Roman"/>
        </w:rPr>
        <w:t>= 0.</w:t>
      </w:r>
      <w:r w:rsidR="00E85591">
        <w:rPr>
          <w:rFonts w:ascii="Times New Roman" w:hAnsi="Times New Roman" w:cs="Times New Roman"/>
        </w:rPr>
        <w:t>48</w:t>
      </w:r>
      <w:r w:rsidRPr="004E1CFF">
        <w:rPr>
          <w:rFonts w:ascii="Times New Roman" w:hAnsi="Times New Roman" w:cs="Times New Roman"/>
        </w:rPr>
        <w:t>, F</w:t>
      </w:r>
      <w:r w:rsidR="00114A92">
        <w:rPr>
          <w:rFonts w:ascii="Times New Roman" w:hAnsi="Times New Roman" w:cs="Times New Roman"/>
          <w:vertAlign w:val="subscript"/>
        </w:rPr>
        <w:t>4,41</w:t>
      </w:r>
      <w:r w:rsidRPr="004E1CFF">
        <w:rPr>
          <w:rFonts w:ascii="Times New Roman" w:hAnsi="Times New Roman" w:cs="Times New Roman"/>
        </w:rPr>
        <w:t>=</w:t>
      </w:r>
      <w:r w:rsidR="009B09FA">
        <w:rPr>
          <w:rFonts w:ascii="Times New Roman" w:hAnsi="Times New Roman" w:cs="Times New Roman"/>
        </w:rPr>
        <w:t>9.59</w:t>
      </w:r>
      <w:r w:rsidRPr="004E1CFF">
        <w:rPr>
          <w:rFonts w:ascii="Times New Roman" w:hAnsi="Times New Roman" w:cs="Times New Roman"/>
        </w:rPr>
        <w:t xml:space="preserve">, </w:t>
      </w:r>
      <w:r w:rsidRPr="0082507D">
        <w:rPr>
          <w:rFonts w:ascii="Times New Roman" w:hAnsi="Times New Roman" w:cs="Times New Roman"/>
        </w:rPr>
        <w:t>p</w:t>
      </w:r>
      <w:r w:rsidR="00087E67">
        <w:rPr>
          <w:rFonts w:ascii="Times New Roman" w:hAnsi="Times New Roman" w:cs="Times New Roman"/>
        </w:rPr>
        <w:t>=</w:t>
      </w:r>
      <w:r w:rsidR="006E25B5">
        <w:rPr>
          <w:rFonts w:ascii="Times New Roman" w:hAnsi="Times New Roman" w:cs="Times New Roman"/>
        </w:rPr>
        <w:t>1</w:t>
      </w:r>
      <w:r w:rsidR="00087E67" w:rsidRPr="00087E67">
        <w:rPr>
          <w:rFonts w:ascii="Times New Roman" w:hAnsi="Times New Roman" w:cs="Times New Roman"/>
        </w:rPr>
        <w:t>.4e-5</w:t>
      </w:r>
      <w:r w:rsidRPr="00076D08">
        <w:rPr>
          <w:rFonts w:ascii="Times New Roman" w:hAnsi="Times New Roman" w:cs="Times New Roman"/>
        </w:rPr>
        <w:t>)</w:t>
      </w:r>
      <w:r w:rsidRPr="004E1CFF">
        <w:rPr>
          <w:rFonts w:ascii="Times New Roman" w:hAnsi="Times New Roman" w:cs="Times New Roman"/>
        </w:rPr>
        <w:t>.</w:t>
      </w:r>
      <w:r>
        <w:rPr>
          <w:rFonts w:ascii="Times New Roman" w:hAnsi="Times New Roman" w:cs="Times New Roman"/>
        </w:rPr>
        <w:t xml:space="preserve"> B</w:t>
      </w:r>
      <w:r w:rsidRPr="004E1CFF">
        <w:rPr>
          <w:rFonts w:ascii="Times New Roman" w:eastAsiaTheme="minorEastAsia" w:hAnsi="Times New Roman" w:cs="Times New Roman"/>
        </w:rPr>
        <w:t xml:space="preserve">aseline </w:t>
      </w:r>
      <w:r w:rsidR="00877344">
        <w:rPr>
          <w:rFonts w:ascii="Times New Roman" w:eastAsiaTheme="minorEastAsia" w:hAnsi="Times New Roman" w:cs="Times New Roman"/>
        </w:rPr>
        <w:t>G</w:t>
      </w:r>
      <w:r>
        <w:rPr>
          <w:rFonts w:ascii="Times New Roman" w:eastAsiaTheme="minorEastAsia" w:hAnsi="Times New Roman" w:cs="Times New Roman"/>
        </w:rPr>
        <w:t>o RT predicted greater improvement with atomoxetine</w:t>
      </w:r>
      <w:r w:rsidRPr="004E1CFF">
        <w:rPr>
          <w:rFonts w:ascii="Times New Roman" w:eastAsiaTheme="minorEastAsia" w:hAnsi="Times New Roman" w:cs="Times New Roman"/>
        </w:rPr>
        <w:t xml:space="preserve">, with </w:t>
      </w:r>
      <w:r>
        <w:rPr>
          <w:rFonts w:ascii="Times New Roman" w:eastAsiaTheme="minorEastAsia" w:hAnsi="Times New Roman" w:cs="Times New Roman"/>
        </w:rPr>
        <w:t>slower responders</w:t>
      </w:r>
      <w:r w:rsidRPr="004E1CFF">
        <w:rPr>
          <w:rFonts w:ascii="Times New Roman" w:eastAsiaTheme="minorEastAsia" w:hAnsi="Times New Roman" w:cs="Times New Roman"/>
        </w:rPr>
        <w:t xml:space="preserve"> benefitting </w:t>
      </w:r>
      <w:r>
        <w:rPr>
          <w:rFonts w:ascii="Times New Roman" w:eastAsiaTheme="minorEastAsia" w:hAnsi="Times New Roman" w:cs="Times New Roman"/>
        </w:rPr>
        <w:t xml:space="preserve">more </w:t>
      </w:r>
      <w:r w:rsidRPr="004E1CFF">
        <w:rPr>
          <w:rFonts w:ascii="Times New Roman" w:eastAsiaTheme="minorEastAsia" w:hAnsi="Times New Roman" w:cs="Times New Roman"/>
        </w:rPr>
        <w:t>from atomoxetine (beta=-0.</w:t>
      </w:r>
      <w:r w:rsidR="00EE67F0">
        <w:rPr>
          <w:rFonts w:ascii="Times New Roman" w:eastAsiaTheme="minorEastAsia" w:hAnsi="Times New Roman" w:cs="Times New Roman"/>
        </w:rPr>
        <w:t>22</w:t>
      </w:r>
      <w:r w:rsidRPr="004E1CFF">
        <w:rPr>
          <w:rFonts w:ascii="Times New Roman" w:eastAsiaTheme="minorEastAsia" w:hAnsi="Times New Roman" w:cs="Times New Roman"/>
        </w:rPr>
        <w:t>, t</w:t>
      </w:r>
      <w:r>
        <w:rPr>
          <w:rFonts w:ascii="Times New Roman" w:eastAsiaTheme="minorEastAsia" w:hAnsi="Times New Roman" w:cs="Times New Roman"/>
          <w:vertAlign w:val="subscript"/>
        </w:rPr>
        <w:t>40</w:t>
      </w:r>
      <w:r w:rsidRPr="004E1CFF">
        <w:rPr>
          <w:rFonts w:ascii="Times New Roman" w:eastAsiaTheme="minorEastAsia" w:hAnsi="Times New Roman" w:cs="Times New Roman"/>
        </w:rPr>
        <w:t>=</w:t>
      </w:r>
      <w:r>
        <w:rPr>
          <w:rFonts w:ascii="Times New Roman" w:eastAsiaTheme="minorEastAsia" w:hAnsi="Times New Roman" w:cs="Times New Roman"/>
        </w:rPr>
        <w:t>-2</w:t>
      </w:r>
      <w:r w:rsidRPr="004E1CFF">
        <w:rPr>
          <w:rFonts w:ascii="Times New Roman" w:eastAsiaTheme="minorEastAsia" w:hAnsi="Times New Roman" w:cs="Times New Roman"/>
        </w:rPr>
        <w:t>.</w:t>
      </w:r>
      <w:r w:rsidR="00EE67F0">
        <w:rPr>
          <w:rFonts w:ascii="Times New Roman" w:eastAsiaTheme="minorEastAsia" w:hAnsi="Times New Roman" w:cs="Times New Roman"/>
        </w:rPr>
        <w:t>25</w:t>
      </w:r>
      <w:r w:rsidRPr="004E1CFF">
        <w:rPr>
          <w:rFonts w:ascii="Times New Roman" w:eastAsiaTheme="minorEastAsia" w:hAnsi="Times New Roman" w:cs="Times New Roman"/>
        </w:rPr>
        <w:t>, p</w:t>
      </w:r>
      <w:r>
        <w:rPr>
          <w:rFonts w:ascii="Times New Roman" w:eastAsiaTheme="minorEastAsia" w:hAnsi="Times New Roman" w:cs="Times New Roman"/>
        </w:rPr>
        <w:t>=</w:t>
      </w:r>
      <w:r w:rsidRPr="004E1CFF">
        <w:rPr>
          <w:rFonts w:ascii="Times New Roman" w:eastAsiaTheme="minorEastAsia" w:hAnsi="Times New Roman" w:cs="Times New Roman"/>
        </w:rPr>
        <w:t>0.</w:t>
      </w:r>
      <w:r w:rsidR="009416BE" w:rsidRPr="004E1CFF">
        <w:rPr>
          <w:rFonts w:ascii="Times New Roman" w:eastAsiaTheme="minorEastAsia" w:hAnsi="Times New Roman" w:cs="Times New Roman"/>
        </w:rPr>
        <w:t>0</w:t>
      </w:r>
      <w:r w:rsidR="009416BE">
        <w:rPr>
          <w:rFonts w:ascii="Times New Roman" w:eastAsiaTheme="minorEastAsia" w:hAnsi="Times New Roman" w:cs="Times New Roman"/>
        </w:rPr>
        <w:t>3</w:t>
      </w:r>
      <w:r w:rsidR="00267210">
        <w:rPr>
          <w:rFonts w:ascii="Times New Roman" w:eastAsiaTheme="minorEastAsia" w:hAnsi="Times New Roman" w:cs="Times New Roman"/>
        </w:rPr>
        <w:t>0</w:t>
      </w:r>
      <w:r w:rsidRPr="004E1CFF">
        <w:rPr>
          <w:rFonts w:ascii="Times New Roman" w:eastAsiaTheme="minorEastAsia" w:hAnsi="Times New Roman" w:cs="Times New Roman"/>
        </w:rPr>
        <w:t>)</w:t>
      </w:r>
      <w:r w:rsidRPr="004E1CFF">
        <w:rPr>
          <w:rFonts w:ascii="Times New Roman" w:hAnsi="Times New Roman" w:cs="Times New Roman"/>
        </w:rPr>
        <w:t>.</w:t>
      </w:r>
      <w:r w:rsidR="004A3451">
        <w:rPr>
          <w:rFonts w:ascii="Times New Roman" w:hAnsi="Times New Roman" w:cs="Times New Roman"/>
        </w:rPr>
        <w:t xml:space="preserve"> I</w:t>
      </w:r>
      <w:r>
        <w:rPr>
          <w:rFonts w:ascii="Times New Roman" w:hAnsi="Times New Roman" w:cs="Times New Roman"/>
        </w:rPr>
        <w:t xml:space="preserve">ncreases in M1 activation </w:t>
      </w:r>
      <w:r w:rsidR="0000000B">
        <w:rPr>
          <w:rFonts w:ascii="Times New Roman" w:hAnsi="Times New Roman" w:cs="Times New Roman"/>
        </w:rPr>
        <w:t xml:space="preserve">were </w:t>
      </w:r>
      <w:r>
        <w:rPr>
          <w:rFonts w:ascii="Times New Roman" w:hAnsi="Times New Roman" w:cs="Times New Roman"/>
        </w:rPr>
        <w:t xml:space="preserve">also </w:t>
      </w:r>
      <w:r w:rsidR="0000000B">
        <w:rPr>
          <w:rFonts w:ascii="Times New Roman" w:hAnsi="Times New Roman" w:cs="Times New Roman"/>
        </w:rPr>
        <w:t>associated with</w:t>
      </w:r>
      <w:r>
        <w:rPr>
          <w:rFonts w:ascii="Times New Roman" w:hAnsi="Times New Roman" w:cs="Times New Roman"/>
        </w:rPr>
        <w:t xml:space="preserve"> faster response execution </w:t>
      </w:r>
      <w:r w:rsidRPr="004E1CFF">
        <w:rPr>
          <w:rFonts w:ascii="Times New Roman" w:eastAsiaTheme="minorEastAsia" w:hAnsi="Times New Roman" w:cs="Times New Roman"/>
        </w:rPr>
        <w:t>(</w:t>
      </w:r>
      <w:r>
        <w:rPr>
          <w:rFonts w:ascii="Times New Roman" w:eastAsiaTheme="minorEastAsia" w:hAnsi="Times New Roman" w:cs="Times New Roman"/>
        </w:rPr>
        <w:t xml:space="preserve">Figure 2D, </w:t>
      </w:r>
      <w:r w:rsidRPr="004E1CFF">
        <w:rPr>
          <w:rFonts w:ascii="Times New Roman" w:eastAsiaTheme="minorEastAsia" w:hAnsi="Times New Roman" w:cs="Times New Roman"/>
        </w:rPr>
        <w:t>beta=-0.</w:t>
      </w:r>
      <w:r w:rsidR="003A4C05">
        <w:rPr>
          <w:rFonts w:ascii="Times New Roman" w:eastAsiaTheme="minorEastAsia" w:hAnsi="Times New Roman" w:cs="Times New Roman"/>
        </w:rPr>
        <w:t>34</w:t>
      </w:r>
      <w:r w:rsidRPr="004E1CFF">
        <w:rPr>
          <w:rFonts w:ascii="Times New Roman" w:eastAsiaTheme="minorEastAsia" w:hAnsi="Times New Roman" w:cs="Times New Roman"/>
        </w:rPr>
        <w:t>, t</w:t>
      </w:r>
      <w:r w:rsidRPr="00AA0369">
        <w:rPr>
          <w:rFonts w:ascii="Times New Roman" w:eastAsiaTheme="minorEastAsia" w:hAnsi="Times New Roman" w:cs="Times New Roman"/>
          <w:vertAlign w:val="subscript"/>
        </w:rPr>
        <w:t>40</w:t>
      </w:r>
      <w:r w:rsidRPr="004E1CFF">
        <w:rPr>
          <w:rFonts w:ascii="Times New Roman" w:eastAsiaTheme="minorEastAsia" w:hAnsi="Times New Roman" w:cs="Times New Roman"/>
        </w:rPr>
        <w:t>=</w:t>
      </w:r>
      <w:r>
        <w:rPr>
          <w:rFonts w:ascii="Times New Roman" w:eastAsiaTheme="minorEastAsia" w:hAnsi="Times New Roman" w:cs="Times New Roman"/>
        </w:rPr>
        <w:t>-3</w:t>
      </w:r>
      <w:r w:rsidRPr="004E1CFF">
        <w:rPr>
          <w:rFonts w:ascii="Times New Roman" w:eastAsiaTheme="minorEastAsia" w:hAnsi="Times New Roman" w:cs="Times New Roman"/>
        </w:rPr>
        <w:t>.</w:t>
      </w:r>
      <w:r w:rsidR="008642B8">
        <w:rPr>
          <w:rFonts w:ascii="Times New Roman" w:eastAsiaTheme="minorEastAsia" w:hAnsi="Times New Roman" w:cs="Times New Roman"/>
        </w:rPr>
        <w:t>8</w:t>
      </w:r>
      <w:r w:rsidRPr="004E1CFF">
        <w:rPr>
          <w:rFonts w:ascii="Times New Roman" w:eastAsiaTheme="minorEastAsia" w:hAnsi="Times New Roman" w:cs="Times New Roman"/>
        </w:rPr>
        <w:t xml:space="preserve">, </w:t>
      </w:r>
      <w:r w:rsidRPr="00C41B62">
        <w:rPr>
          <w:rFonts w:ascii="Times New Roman" w:eastAsiaTheme="minorEastAsia" w:hAnsi="Times New Roman" w:cs="Times New Roman"/>
        </w:rPr>
        <w:t>p</w:t>
      </w:r>
      <w:r w:rsidR="00C41B62">
        <w:rPr>
          <w:rFonts w:ascii="Times New Roman" w:eastAsiaTheme="minorEastAsia" w:hAnsi="Times New Roman" w:cs="Times New Roman"/>
        </w:rPr>
        <w:t>=</w:t>
      </w:r>
      <w:r w:rsidR="00C41B62" w:rsidRPr="00C41B62">
        <w:rPr>
          <w:rFonts w:ascii="Times New Roman" w:eastAsiaTheme="minorEastAsia" w:hAnsi="Times New Roman" w:cs="Times New Roman"/>
        </w:rPr>
        <w:t>4.4 × 10-4</w:t>
      </w:r>
      <w:r w:rsidRPr="00C41B62">
        <w:rPr>
          <w:rFonts w:ascii="Times New Roman" w:eastAsiaTheme="minorEastAsia" w:hAnsi="Times New Roman" w:cs="Times New Roman"/>
        </w:rPr>
        <w:t>)</w:t>
      </w:r>
      <w:r>
        <w:rPr>
          <w:rFonts w:ascii="Times New Roman" w:eastAsiaTheme="minorEastAsia" w:hAnsi="Times New Roman" w:cs="Times New Roman"/>
        </w:rPr>
        <w:t xml:space="preserve">. No significant effects of plasma </w:t>
      </w:r>
      <w:r w:rsidRPr="00A861DB">
        <w:rPr>
          <w:rFonts w:ascii="Times New Roman" w:eastAsiaTheme="minorEastAsia" w:hAnsi="Times New Roman" w:cs="Times New Roman"/>
        </w:rPr>
        <w:t>atomoxetine were found (beta=-0.01, t</w:t>
      </w:r>
      <w:r w:rsidRPr="00A861DB">
        <w:rPr>
          <w:rFonts w:ascii="Times New Roman" w:eastAsiaTheme="minorEastAsia" w:hAnsi="Times New Roman" w:cs="Times New Roman"/>
          <w:vertAlign w:val="subscript"/>
        </w:rPr>
        <w:t>40</w:t>
      </w:r>
      <w:r w:rsidRPr="00A861DB">
        <w:rPr>
          <w:rFonts w:ascii="Times New Roman" w:eastAsiaTheme="minorEastAsia" w:hAnsi="Times New Roman" w:cs="Times New Roman"/>
        </w:rPr>
        <w:t>=-0.</w:t>
      </w:r>
      <w:r w:rsidR="00CB03A9" w:rsidRPr="00A861DB">
        <w:rPr>
          <w:rFonts w:ascii="Times New Roman" w:eastAsiaTheme="minorEastAsia" w:hAnsi="Times New Roman" w:cs="Times New Roman"/>
        </w:rPr>
        <w:t>4</w:t>
      </w:r>
      <w:r w:rsidRPr="00A861DB">
        <w:rPr>
          <w:rFonts w:ascii="Times New Roman" w:eastAsiaTheme="minorEastAsia" w:hAnsi="Times New Roman" w:cs="Times New Roman"/>
        </w:rPr>
        <w:t>, p=0.</w:t>
      </w:r>
      <w:r w:rsidR="00020B44" w:rsidRPr="00A861DB">
        <w:rPr>
          <w:rFonts w:ascii="Times New Roman" w:eastAsiaTheme="minorEastAsia" w:hAnsi="Times New Roman" w:cs="Times New Roman"/>
        </w:rPr>
        <w:t>66</w:t>
      </w:r>
      <w:r w:rsidR="00C41B62" w:rsidRPr="00A861DB">
        <w:rPr>
          <w:rFonts w:ascii="Times New Roman" w:eastAsiaTheme="minorEastAsia" w:hAnsi="Times New Roman" w:cs="Times New Roman"/>
        </w:rPr>
        <w:t>3</w:t>
      </w:r>
      <w:r w:rsidRPr="00A861DB">
        <w:rPr>
          <w:rFonts w:ascii="Times New Roman" w:eastAsiaTheme="minorEastAsia" w:hAnsi="Times New Roman" w:cs="Times New Roman"/>
        </w:rPr>
        <w:t>).</w:t>
      </w:r>
      <w:r w:rsidR="00BC32CA" w:rsidRPr="00A861DB">
        <w:rPr>
          <w:rFonts w:ascii="Times New Roman" w:hAnsi="Times New Roman" w:cs="Times New Roman"/>
        </w:rPr>
        <w:t xml:space="preserve"> No significant effects of order were found (p=0.</w:t>
      </w:r>
      <w:r w:rsidR="006938D8" w:rsidRPr="00A861DB">
        <w:rPr>
          <w:rFonts w:ascii="Times New Roman" w:hAnsi="Times New Roman" w:cs="Times New Roman"/>
        </w:rPr>
        <w:t>1</w:t>
      </w:r>
      <w:r w:rsidR="00855928" w:rsidRPr="00A861DB">
        <w:rPr>
          <w:rFonts w:ascii="Times New Roman" w:hAnsi="Times New Roman" w:cs="Times New Roman"/>
        </w:rPr>
        <w:t>5</w:t>
      </w:r>
      <w:r w:rsidR="00C41B62" w:rsidRPr="00A861DB">
        <w:rPr>
          <w:rFonts w:ascii="Times New Roman" w:hAnsi="Times New Roman" w:cs="Times New Roman"/>
        </w:rPr>
        <w:t>1</w:t>
      </w:r>
      <w:r w:rsidR="00BC32CA" w:rsidRPr="00A861DB">
        <w:rPr>
          <w:rFonts w:ascii="Times New Roman" w:hAnsi="Times New Roman" w:cs="Times New Roman"/>
        </w:rPr>
        <w:t>).</w:t>
      </w:r>
      <w:r w:rsidR="00FC736C">
        <w:rPr>
          <w:rFonts w:ascii="Times New Roman" w:hAnsi="Times New Roman" w:cs="Times New Roman"/>
        </w:rPr>
        <w:t xml:space="preserve"> </w:t>
      </w:r>
    </w:p>
    <w:p w14:paraId="2D7A56F9" w14:textId="437674B7" w:rsidR="008929E8" w:rsidRDefault="00E91186" w:rsidP="000B7DB7">
      <w:pPr>
        <w:pStyle w:val="Heading2"/>
        <w:rPr>
          <w:b w:val="0"/>
        </w:rPr>
      </w:pPr>
      <w:r w:rsidRPr="00E91186">
        <w:t>DCM Results</w:t>
      </w:r>
    </w:p>
    <w:p w14:paraId="6E123F4E" w14:textId="5B51EEDE" w:rsidR="00BB40B2" w:rsidRDefault="00D00B33" w:rsidP="00BF7E9E">
      <w:pPr>
        <w:spacing w:line="360" w:lineRule="auto"/>
        <w:rPr>
          <w:rFonts w:asciiTheme="majorBidi" w:hAnsiTheme="majorBidi" w:cstheme="majorBidi"/>
        </w:rPr>
      </w:pPr>
      <w:r>
        <w:rPr>
          <w:rFonts w:ascii="Times New Roman" w:hAnsi="Times New Roman" w:cs="Times New Roman"/>
        </w:rPr>
        <w:t xml:space="preserve">Overall, </w:t>
      </w:r>
      <w:r w:rsidR="00344A1A">
        <w:rPr>
          <w:rFonts w:ascii="Times New Roman" w:hAnsi="Times New Roman" w:cs="Times New Roman"/>
        </w:rPr>
        <w:t>DCM</w:t>
      </w:r>
      <w:r w:rsidR="00A92970">
        <w:rPr>
          <w:rFonts w:ascii="Times New Roman" w:hAnsi="Times New Roman" w:cs="Times New Roman"/>
        </w:rPr>
        <w:t xml:space="preserve"> connectivity analyses</w:t>
      </w:r>
      <w:r w:rsidR="00261F45">
        <w:rPr>
          <w:rFonts w:ascii="Times New Roman" w:hAnsi="Times New Roman" w:cs="Times New Roman"/>
        </w:rPr>
        <w:t xml:space="preserve"> </w:t>
      </w:r>
      <w:r w:rsidR="00A92970">
        <w:rPr>
          <w:rFonts w:ascii="Times New Roman" w:hAnsi="Times New Roman" w:cs="Times New Roman"/>
        </w:rPr>
        <w:t xml:space="preserve">were consistent between the groups and largely </w:t>
      </w:r>
      <w:r w:rsidR="00D55A50">
        <w:rPr>
          <w:rFonts w:ascii="Times New Roman" w:hAnsi="Times New Roman" w:cs="Times New Roman"/>
        </w:rPr>
        <w:t xml:space="preserve">replicated </w:t>
      </w:r>
      <w:r w:rsidR="00BB2850">
        <w:rPr>
          <w:rFonts w:ascii="Times New Roman" w:hAnsi="Times New Roman" w:cs="Times New Roman"/>
        </w:rPr>
        <w:t xml:space="preserve">previous </w:t>
      </w:r>
      <w:r w:rsidR="00A92970">
        <w:rPr>
          <w:rFonts w:ascii="Times New Roman" w:hAnsi="Times New Roman" w:cs="Times New Roman"/>
        </w:rPr>
        <w:t>findings regarding the</w:t>
      </w:r>
      <w:r w:rsidR="004940F7">
        <w:rPr>
          <w:rFonts w:ascii="Times New Roman" w:hAnsi="Times New Roman" w:cs="Times New Roman"/>
        </w:rPr>
        <w:t xml:space="preserve"> </w:t>
      </w:r>
      <w:r w:rsidR="000F24B5">
        <w:rPr>
          <w:rFonts w:ascii="Times New Roman" w:hAnsi="Times New Roman" w:cs="Times New Roman"/>
        </w:rPr>
        <w:t xml:space="preserve">effective connectivity </w:t>
      </w:r>
      <w:r w:rsidR="00974D5E">
        <w:rPr>
          <w:rFonts w:ascii="Times New Roman" w:hAnsi="Times New Roman" w:cs="Times New Roman"/>
        </w:rPr>
        <w:t>underlying stopping</w:t>
      </w:r>
      <w:r w:rsidR="005F25AA">
        <w:rPr>
          <w:rFonts w:ascii="Times New Roman" w:hAnsi="Times New Roman" w:cs="Times New Roman"/>
        </w:rPr>
        <w:t>, though the putamen was not included in previous models</w:t>
      </w:r>
      <w:r w:rsidR="00974D5E">
        <w:rPr>
          <w:rFonts w:ascii="Times New Roman" w:hAnsi="Times New Roman" w:cs="Times New Roman"/>
        </w:rPr>
        <w:t xml:space="preserve"> </w:t>
      </w:r>
      <w:r w:rsidR="00415088">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Neuroscience","id":"ITEM-1","issue":"2","issued":{"date-parts":[["2015"]]},"page":"786-94","title":"The prefrontal cortex achieves inhibitory control by facilitating subcortical motor pathway connectivity.","type":"article-journal","volume":"35"},"uris":["http://www.mendeley.com/documents/?uuid=e1cd2b52-4b20-423b-8c98-36004beeeda5"]}],"mendeley":{"formattedCitation":"(9)","plainTextFormattedCitation":"(9)","previouslyFormattedCitation":"(9)"},"properties":{"noteIndex":0},"schema":"https://github.com/citation-style-language/schema/raw/master/csl-citation.json"}</w:instrText>
      </w:r>
      <w:r w:rsidR="00415088">
        <w:rPr>
          <w:rFonts w:ascii="Times New Roman" w:hAnsi="Times New Roman" w:cs="Times New Roman"/>
        </w:rPr>
        <w:fldChar w:fldCharType="separate"/>
      </w:r>
      <w:r w:rsidR="00112D56" w:rsidRPr="00112D56">
        <w:rPr>
          <w:rFonts w:ascii="Times New Roman" w:hAnsi="Times New Roman" w:cs="Times New Roman"/>
          <w:noProof/>
        </w:rPr>
        <w:t>(9)</w:t>
      </w:r>
      <w:r w:rsidR="00415088">
        <w:rPr>
          <w:rFonts w:ascii="Times New Roman" w:hAnsi="Times New Roman" w:cs="Times New Roman"/>
        </w:rPr>
        <w:fldChar w:fldCharType="end"/>
      </w:r>
      <w:r w:rsidR="00C20EFD">
        <w:rPr>
          <w:rFonts w:ascii="Times New Roman" w:hAnsi="Times New Roman" w:cs="Times New Roman"/>
        </w:rPr>
        <w:t>.</w:t>
      </w:r>
      <w:r w:rsidR="00B87E1D">
        <w:rPr>
          <w:rFonts w:ascii="Times New Roman" w:hAnsi="Times New Roman" w:cs="Times New Roman"/>
        </w:rPr>
        <w:t xml:space="preserve"> Bayesian model selection</w:t>
      </w:r>
      <w:r w:rsidR="00C20EFD">
        <w:rPr>
          <w:rFonts w:ascii="Times New Roman" w:hAnsi="Times New Roman" w:cs="Times New Roman"/>
        </w:rPr>
        <w:t xml:space="preserve"> </w:t>
      </w:r>
      <w:r w:rsidR="004C1C2D">
        <w:rPr>
          <w:rFonts w:ascii="Times New Roman" w:hAnsi="Times New Roman" w:cs="Times New Roman"/>
        </w:rPr>
        <w:t>(Figure 3A</w:t>
      </w:r>
      <w:r w:rsidR="001A11D9">
        <w:rPr>
          <w:rFonts w:ascii="Times New Roman" w:hAnsi="Times New Roman" w:cs="Times New Roman"/>
        </w:rPr>
        <w:t>, Supplementary Figure 2</w:t>
      </w:r>
      <w:r w:rsidR="004C1C2D">
        <w:rPr>
          <w:rFonts w:ascii="Times New Roman" w:hAnsi="Times New Roman" w:cs="Times New Roman"/>
        </w:rPr>
        <w:t xml:space="preserve">) </w:t>
      </w:r>
      <w:r w:rsidR="0073212E">
        <w:rPr>
          <w:rFonts w:ascii="Times New Roman" w:hAnsi="Times New Roman" w:cs="Times New Roman"/>
        </w:rPr>
        <w:t>indicated the same</w:t>
      </w:r>
      <w:r w:rsidR="00ED69FC" w:rsidRPr="00ED69FC">
        <w:rPr>
          <w:rFonts w:ascii="Times New Roman" w:hAnsi="Times New Roman" w:cs="Times New Roman"/>
        </w:rPr>
        <w:t xml:space="preserve"> winning model</w:t>
      </w:r>
      <w:r w:rsidR="0073212E">
        <w:rPr>
          <w:rFonts w:ascii="Times New Roman" w:hAnsi="Times New Roman" w:cs="Times New Roman"/>
        </w:rPr>
        <w:t xml:space="preserve"> for both groups on placebo (nonlinear C). Additionally, the winning model was the same for both groups on atomoxetine (linear D). </w:t>
      </w:r>
      <w:r w:rsidR="00FC2521" w:rsidRPr="00E45556">
        <w:rPr>
          <w:rFonts w:asciiTheme="majorBidi" w:hAnsiTheme="majorBidi" w:cstheme="majorBidi"/>
        </w:rPr>
        <w:t xml:space="preserve">On </w:t>
      </w:r>
      <w:r w:rsidR="00EC20DA">
        <w:rPr>
          <w:rFonts w:asciiTheme="majorBidi" w:hAnsiTheme="majorBidi" w:cstheme="majorBidi"/>
        </w:rPr>
        <w:t>placebo</w:t>
      </w:r>
      <w:r w:rsidR="00FC2521" w:rsidRPr="00E45556">
        <w:rPr>
          <w:rFonts w:asciiTheme="majorBidi" w:hAnsiTheme="majorBidi" w:cstheme="majorBidi"/>
        </w:rPr>
        <w:t xml:space="preserve">, the winning model included </w:t>
      </w:r>
      <w:r w:rsidR="008D0485">
        <w:rPr>
          <w:rFonts w:asciiTheme="majorBidi" w:hAnsiTheme="majorBidi" w:cstheme="majorBidi"/>
        </w:rPr>
        <w:t xml:space="preserve">nonlinear modulation of the </w:t>
      </w:r>
      <w:proofErr w:type="spellStart"/>
      <w:r w:rsidR="00261F45">
        <w:rPr>
          <w:rFonts w:asciiTheme="majorBidi" w:hAnsiTheme="majorBidi" w:cstheme="majorBidi"/>
        </w:rPr>
        <w:t>hy</w:t>
      </w:r>
      <w:r w:rsidR="009A1AE4">
        <w:rPr>
          <w:rFonts w:asciiTheme="majorBidi" w:hAnsiTheme="majorBidi" w:cstheme="majorBidi"/>
        </w:rPr>
        <w:t>p</w:t>
      </w:r>
      <w:r w:rsidR="00261F45">
        <w:rPr>
          <w:rFonts w:asciiTheme="majorBidi" w:hAnsiTheme="majorBidi" w:cstheme="majorBidi"/>
        </w:rPr>
        <w:t>erdirect</w:t>
      </w:r>
      <w:proofErr w:type="spellEnd"/>
      <w:r w:rsidR="00261F45">
        <w:rPr>
          <w:rFonts w:asciiTheme="majorBidi" w:hAnsiTheme="majorBidi" w:cstheme="majorBidi"/>
        </w:rPr>
        <w:t xml:space="preserve"> </w:t>
      </w:r>
      <w:proofErr w:type="spellStart"/>
      <w:r w:rsidR="00046E4F">
        <w:rPr>
          <w:rFonts w:asciiTheme="majorBidi" w:hAnsiTheme="majorBidi" w:cstheme="majorBidi"/>
        </w:rPr>
        <w:t>dACC</w:t>
      </w:r>
      <w:proofErr w:type="spellEnd"/>
      <w:r w:rsidR="00046E4F">
        <w:rPr>
          <w:rFonts w:asciiTheme="majorBidi" w:hAnsiTheme="majorBidi" w:cstheme="majorBidi"/>
        </w:rPr>
        <w:t>-STN connection by the IFG</w:t>
      </w:r>
      <w:r w:rsidR="00D54165">
        <w:rPr>
          <w:rFonts w:asciiTheme="majorBidi" w:hAnsiTheme="majorBidi" w:cstheme="majorBidi"/>
        </w:rPr>
        <w:t xml:space="preserve"> (Figure 3B)</w:t>
      </w:r>
      <w:r w:rsidR="00046E4F">
        <w:rPr>
          <w:rFonts w:asciiTheme="majorBidi" w:hAnsiTheme="majorBidi" w:cstheme="majorBidi"/>
        </w:rPr>
        <w:t xml:space="preserve">. </w:t>
      </w:r>
      <w:r w:rsidR="004C1C2D">
        <w:rPr>
          <w:rFonts w:asciiTheme="majorBidi" w:hAnsiTheme="majorBidi" w:cstheme="majorBidi"/>
        </w:rPr>
        <w:t>In contrast, o</w:t>
      </w:r>
      <w:r w:rsidR="00DE370F">
        <w:rPr>
          <w:rFonts w:asciiTheme="majorBidi" w:hAnsiTheme="majorBidi" w:cstheme="majorBidi"/>
        </w:rPr>
        <w:t xml:space="preserve">n </w:t>
      </w:r>
      <w:r w:rsidR="00FE1CBB">
        <w:rPr>
          <w:rFonts w:asciiTheme="majorBidi" w:hAnsiTheme="majorBidi" w:cstheme="majorBidi"/>
        </w:rPr>
        <w:t xml:space="preserve">atomoxetine </w:t>
      </w:r>
      <w:r w:rsidR="00DC093B">
        <w:rPr>
          <w:rFonts w:asciiTheme="majorBidi" w:hAnsiTheme="majorBidi" w:cstheme="majorBidi"/>
        </w:rPr>
        <w:t xml:space="preserve">this nonlinear modulatory connection was replaced with </w:t>
      </w:r>
      <w:r w:rsidR="003244E2">
        <w:rPr>
          <w:rFonts w:asciiTheme="majorBidi" w:hAnsiTheme="majorBidi" w:cstheme="majorBidi"/>
        </w:rPr>
        <w:t xml:space="preserve">a fixed connection between the IFG and putamen. </w:t>
      </w:r>
      <w:r w:rsidR="004C1C2D">
        <w:rPr>
          <w:rFonts w:asciiTheme="majorBidi" w:hAnsiTheme="majorBidi" w:cstheme="majorBidi"/>
        </w:rPr>
        <w:t>Looking at task modulation</w:t>
      </w:r>
      <w:r w:rsidR="00D54165">
        <w:rPr>
          <w:rFonts w:asciiTheme="majorBidi" w:hAnsiTheme="majorBidi" w:cstheme="majorBidi"/>
        </w:rPr>
        <w:t xml:space="preserve"> (the red arrow in Figure 3B)</w:t>
      </w:r>
      <w:r w:rsidR="004C1C2D">
        <w:rPr>
          <w:rFonts w:asciiTheme="majorBidi" w:hAnsiTheme="majorBidi" w:cstheme="majorBidi"/>
        </w:rPr>
        <w:t>, s</w:t>
      </w:r>
      <w:r w:rsidR="00ED69FC" w:rsidRPr="00E45556">
        <w:rPr>
          <w:rFonts w:asciiTheme="majorBidi" w:hAnsiTheme="majorBidi" w:cstheme="majorBidi"/>
        </w:rPr>
        <w:t xml:space="preserve">topping modulated the IFG in </w:t>
      </w:r>
      <w:r w:rsidR="00D54165">
        <w:rPr>
          <w:rFonts w:asciiTheme="majorBidi" w:hAnsiTheme="majorBidi" w:cstheme="majorBidi"/>
        </w:rPr>
        <w:t>controls</w:t>
      </w:r>
      <w:r w:rsidR="00ED69FC" w:rsidRPr="00E45556">
        <w:rPr>
          <w:rFonts w:asciiTheme="majorBidi" w:hAnsiTheme="majorBidi" w:cstheme="majorBidi"/>
        </w:rPr>
        <w:t xml:space="preserve"> </w:t>
      </w:r>
      <w:r w:rsidR="00D54165">
        <w:rPr>
          <w:rFonts w:asciiTheme="majorBidi" w:hAnsiTheme="majorBidi" w:cstheme="majorBidi"/>
        </w:rPr>
        <w:t>o</w:t>
      </w:r>
      <w:r w:rsidR="00ED69FC" w:rsidRPr="00E45556">
        <w:rPr>
          <w:rFonts w:asciiTheme="majorBidi" w:hAnsiTheme="majorBidi" w:cstheme="majorBidi"/>
        </w:rPr>
        <w:t xml:space="preserve">n placebo, but </w:t>
      </w:r>
      <w:r w:rsidR="004C1C2D">
        <w:rPr>
          <w:rFonts w:asciiTheme="majorBidi" w:hAnsiTheme="majorBidi" w:cstheme="majorBidi"/>
        </w:rPr>
        <w:t>this</w:t>
      </w:r>
      <w:r w:rsidR="00ED69FC" w:rsidRPr="00E45556">
        <w:rPr>
          <w:rFonts w:asciiTheme="majorBidi" w:hAnsiTheme="majorBidi" w:cstheme="majorBidi"/>
        </w:rPr>
        <w:t xml:space="preserve"> changed to the putamen when </w:t>
      </w:r>
      <w:r w:rsidR="00D54165">
        <w:rPr>
          <w:rFonts w:asciiTheme="majorBidi" w:hAnsiTheme="majorBidi" w:cstheme="majorBidi"/>
        </w:rPr>
        <w:t>they</w:t>
      </w:r>
      <w:r w:rsidR="00ED69FC" w:rsidRPr="00E45556">
        <w:rPr>
          <w:rFonts w:asciiTheme="majorBidi" w:hAnsiTheme="majorBidi" w:cstheme="majorBidi"/>
        </w:rPr>
        <w:t xml:space="preserve"> were given atomoxetine</w:t>
      </w:r>
      <w:r w:rsidR="00FC2521" w:rsidRPr="00E45556">
        <w:rPr>
          <w:rFonts w:asciiTheme="majorBidi" w:hAnsiTheme="majorBidi" w:cstheme="majorBidi"/>
        </w:rPr>
        <w:t xml:space="preserve"> (</w:t>
      </w:r>
      <w:proofErr w:type="spellStart"/>
      <w:r w:rsidR="00FC2521" w:rsidRPr="00E45556">
        <w:rPr>
          <w:rFonts w:asciiTheme="majorBidi" w:hAnsiTheme="majorBidi" w:cstheme="majorBidi"/>
        </w:rPr>
        <w:t>DCM.b</w:t>
      </w:r>
      <w:proofErr w:type="spellEnd"/>
      <w:r w:rsidR="00FC2521" w:rsidRPr="00E45556">
        <w:rPr>
          <w:rFonts w:asciiTheme="majorBidi" w:hAnsiTheme="majorBidi" w:cstheme="majorBidi"/>
        </w:rPr>
        <w:t>)</w:t>
      </w:r>
      <w:r w:rsidR="00ED69FC" w:rsidRPr="00E45556">
        <w:rPr>
          <w:rFonts w:asciiTheme="majorBidi" w:hAnsiTheme="majorBidi" w:cstheme="majorBidi"/>
        </w:rPr>
        <w:t xml:space="preserve">. </w:t>
      </w:r>
      <w:r w:rsidR="004C1C2D">
        <w:rPr>
          <w:rFonts w:asciiTheme="majorBidi" w:hAnsiTheme="majorBidi" w:cstheme="majorBidi"/>
        </w:rPr>
        <w:t>S</w:t>
      </w:r>
      <w:r w:rsidR="00ED69FC" w:rsidRPr="00E45556">
        <w:rPr>
          <w:rFonts w:asciiTheme="majorBidi" w:hAnsiTheme="majorBidi" w:cstheme="majorBidi"/>
        </w:rPr>
        <w:t xml:space="preserve">topping modulated putamen </w:t>
      </w:r>
      <w:r w:rsidR="00877344">
        <w:rPr>
          <w:rFonts w:asciiTheme="majorBidi" w:hAnsiTheme="majorBidi" w:cstheme="majorBidi"/>
        </w:rPr>
        <w:t xml:space="preserve">BOLD </w:t>
      </w:r>
      <w:r w:rsidR="00ED69FC" w:rsidRPr="00E45556">
        <w:rPr>
          <w:rFonts w:asciiTheme="majorBidi" w:hAnsiTheme="majorBidi" w:cstheme="majorBidi"/>
        </w:rPr>
        <w:t xml:space="preserve">activity </w:t>
      </w:r>
      <w:r w:rsidR="004C1C2D">
        <w:rPr>
          <w:rFonts w:asciiTheme="majorBidi" w:hAnsiTheme="majorBidi" w:cstheme="majorBidi"/>
        </w:rPr>
        <w:t>i</w:t>
      </w:r>
      <w:r w:rsidR="004C1C2D" w:rsidRPr="00E45556">
        <w:rPr>
          <w:rFonts w:asciiTheme="majorBidi" w:hAnsiTheme="majorBidi" w:cstheme="majorBidi"/>
        </w:rPr>
        <w:t xml:space="preserve">n </w:t>
      </w:r>
      <w:r w:rsidR="00D54165">
        <w:rPr>
          <w:rFonts w:asciiTheme="majorBidi" w:hAnsiTheme="majorBidi" w:cstheme="majorBidi"/>
        </w:rPr>
        <w:t>CUD</w:t>
      </w:r>
      <w:r w:rsidR="004C1C2D" w:rsidRPr="00E45556">
        <w:rPr>
          <w:rFonts w:asciiTheme="majorBidi" w:hAnsiTheme="majorBidi" w:cstheme="majorBidi"/>
        </w:rPr>
        <w:t xml:space="preserve"> individuals, </w:t>
      </w:r>
      <w:r w:rsidR="00ED69FC" w:rsidRPr="00E45556">
        <w:rPr>
          <w:rFonts w:asciiTheme="majorBidi" w:hAnsiTheme="majorBidi" w:cstheme="majorBidi"/>
        </w:rPr>
        <w:t xml:space="preserve">regardless of drug condition. </w:t>
      </w:r>
      <w:r w:rsidR="0092128B" w:rsidRPr="0092128B">
        <w:rPr>
          <w:rFonts w:asciiTheme="majorBidi" w:hAnsiTheme="majorBidi" w:cstheme="majorBidi"/>
        </w:rPr>
        <w:t xml:space="preserve">This observation is consistent with the expectation that the putamen plays a key role in the stopping network (8–11) and further refines our hypothesis of a </w:t>
      </w:r>
      <w:proofErr w:type="spellStart"/>
      <w:r w:rsidR="0092128B" w:rsidRPr="0092128B">
        <w:rPr>
          <w:rFonts w:asciiTheme="majorBidi" w:hAnsiTheme="majorBidi" w:cstheme="majorBidi"/>
        </w:rPr>
        <w:t>fronto</w:t>
      </w:r>
      <w:proofErr w:type="spellEnd"/>
      <w:r w:rsidR="0092128B" w:rsidRPr="0092128B">
        <w:rPr>
          <w:rFonts w:asciiTheme="majorBidi" w:hAnsiTheme="majorBidi" w:cstheme="majorBidi"/>
        </w:rPr>
        <w:t>-striatal network incorporating the IFG and putamen in modulating stopping performance.</w:t>
      </w:r>
      <w:r w:rsidR="00E03789">
        <w:rPr>
          <w:rFonts w:asciiTheme="majorBidi" w:hAnsiTheme="majorBidi" w:cstheme="majorBidi"/>
        </w:rPr>
        <w:t xml:space="preserve"> </w:t>
      </w:r>
    </w:p>
    <w:p w14:paraId="68F7C19C" w14:textId="7072A8A9" w:rsidR="004E5E79" w:rsidRDefault="004C1C2D" w:rsidP="00BF7E9E">
      <w:pPr>
        <w:spacing w:line="360" w:lineRule="auto"/>
        <w:rPr>
          <w:rFonts w:ascii="Times New Roman" w:hAnsi="Times New Roman" w:cs="Times New Roman"/>
        </w:rPr>
      </w:pPr>
      <w:r>
        <w:rPr>
          <w:rFonts w:asciiTheme="majorBidi" w:hAnsiTheme="majorBidi" w:cstheme="majorBidi"/>
        </w:rPr>
        <w:t xml:space="preserve">The excitatory and inhibitory connectivity patterns as revealed by the Bayesian Model Averaging </w:t>
      </w:r>
      <w:r w:rsidR="00CB7209">
        <w:rPr>
          <w:rFonts w:asciiTheme="majorBidi" w:hAnsiTheme="majorBidi" w:cstheme="majorBidi"/>
        </w:rPr>
        <w:t xml:space="preserve">in the controls on placebo </w:t>
      </w:r>
      <w:r>
        <w:rPr>
          <w:rFonts w:asciiTheme="majorBidi" w:hAnsiTheme="majorBidi" w:cstheme="majorBidi"/>
        </w:rPr>
        <w:t xml:space="preserve">replicated previous findings with </w:t>
      </w:r>
      <w:r w:rsidR="0000000B">
        <w:rPr>
          <w:rFonts w:asciiTheme="majorBidi" w:hAnsiTheme="majorBidi" w:cstheme="majorBidi"/>
        </w:rPr>
        <w:t xml:space="preserve">an </w:t>
      </w:r>
      <w:r>
        <w:rPr>
          <w:rFonts w:asciiTheme="majorBidi" w:hAnsiTheme="majorBidi" w:cstheme="majorBidi"/>
        </w:rPr>
        <w:t>inhibitory connection from STN to M1</w:t>
      </w:r>
      <w:r w:rsidR="00CB7209">
        <w:rPr>
          <w:rFonts w:asciiTheme="majorBidi" w:hAnsiTheme="majorBidi" w:cstheme="majorBidi"/>
        </w:rPr>
        <w:t xml:space="preserve"> </w:t>
      </w:r>
      <w:r w:rsidR="00CB7209">
        <w:rPr>
          <w:rFonts w:asciiTheme="majorBidi" w:hAnsiTheme="majorBidi" w:cstheme="majorBidi"/>
        </w:rPr>
        <w:lastRenderedPageBreak/>
        <w:t xml:space="preserve">and </w:t>
      </w:r>
      <w:r w:rsidR="001675D9">
        <w:rPr>
          <w:rFonts w:asciiTheme="majorBidi" w:hAnsiTheme="majorBidi" w:cstheme="majorBidi"/>
        </w:rPr>
        <w:t xml:space="preserve">an </w:t>
      </w:r>
      <w:r w:rsidR="00CB7209">
        <w:rPr>
          <w:rFonts w:asciiTheme="majorBidi" w:hAnsiTheme="majorBidi" w:cstheme="majorBidi"/>
        </w:rPr>
        <w:t>excitatory connection between dorsomedial PFC and STN as well as excitatory modulation of this connection by the IFG</w:t>
      </w:r>
      <w:r w:rsidR="00810E38">
        <w:rPr>
          <w:rFonts w:asciiTheme="majorBidi" w:hAnsiTheme="majorBidi" w:cstheme="majorBidi"/>
        </w:rPr>
        <w:t xml:space="preserve"> </w:t>
      </w:r>
      <w:r w:rsidR="00112E3E">
        <w:rPr>
          <w:rFonts w:asciiTheme="majorBidi" w:hAnsiTheme="majorBidi" w:cstheme="majorBidi"/>
        </w:rPr>
        <w:fldChar w:fldCharType="begin" w:fldLock="1"/>
      </w:r>
      <w:r w:rsidR="00C30855">
        <w:rPr>
          <w:rFonts w:asciiTheme="majorBidi" w:hAnsiTheme="majorBidi" w:cstheme="majorBidi"/>
        </w:rPr>
        <w:instrText>ADDIN CSL_CITATION {"citationItems":[{"id":"ITEM-1","itemData":{"DOI":"10.1523/JNEUROSCI.3093-13.2015","ISBN":"1529-2401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Neuroscience","id":"ITEM-1","issue":"2","issued":{"date-parts":[["2015"]]},"page":"786-94","title":"The prefrontal cortex achieves inhibitory control by facilitating subcortical motor pathway connectivity.","type":"article-journal","volume":"35"},"uris":["http://www.mendeley.com/documents/?uuid=e1cd2b52-4b20-423b-8c98-36004beeeda5"]}],"mendeley":{"formattedCitation":"(9)","plainTextFormattedCitation":"(9)","previouslyFormattedCitation":"(9)"},"properties":{"noteIndex":0},"schema":"https://github.com/citation-style-language/schema/raw/master/csl-citation.json"}</w:instrText>
      </w:r>
      <w:r w:rsidR="00112E3E">
        <w:rPr>
          <w:rFonts w:asciiTheme="majorBidi" w:hAnsiTheme="majorBidi" w:cstheme="majorBidi"/>
        </w:rPr>
        <w:fldChar w:fldCharType="separate"/>
      </w:r>
      <w:r w:rsidR="00112D56" w:rsidRPr="00112D56">
        <w:rPr>
          <w:rFonts w:asciiTheme="majorBidi" w:hAnsiTheme="majorBidi" w:cstheme="majorBidi"/>
          <w:noProof/>
        </w:rPr>
        <w:t>(9)</w:t>
      </w:r>
      <w:r w:rsidR="00112E3E">
        <w:rPr>
          <w:rFonts w:asciiTheme="majorBidi" w:hAnsiTheme="majorBidi" w:cstheme="majorBidi"/>
        </w:rPr>
        <w:fldChar w:fldCharType="end"/>
      </w:r>
      <w:r>
        <w:rPr>
          <w:rFonts w:asciiTheme="majorBidi" w:hAnsiTheme="majorBidi" w:cstheme="majorBidi"/>
        </w:rPr>
        <w:t xml:space="preserve">. </w:t>
      </w:r>
      <w:r w:rsidR="009B740D">
        <w:rPr>
          <w:rFonts w:asciiTheme="majorBidi" w:hAnsiTheme="majorBidi" w:cstheme="majorBidi"/>
        </w:rPr>
        <w:t>Extending these results, we show that</w:t>
      </w:r>
      <w:r w:rsidR="00CB7209">
        <w:rPr>
          <w:rFonts w:asciiTheme="majorBidi" w:hAnsiTheme="majorBidi" w:cstheme="majorBidi"/>
        </w:rPr>
        <w:t xml:space="preserve"> the putamen </w:t>
      </w:r>
      <w:r w:rsidR="003511EC">
        <w:rPr>
          <w:rFonts w:asciiTheme="majorBidi" w:hAnsiTheme="majorBidi" w:cstheme="majorBidi"/>
        </w:rPr>
        <w:t xml:space="preserve">provides inhibitory inputs </w:t>
      </w:r>
      <w:r w:rsidR="00CB7209">
        <w:rPr>
          <w:rFonts w:asciiTheme="majorBidi" w:hAnsiTheme="majorBidi" w:cstheme="majorBidi"/>
        </w:rPr>
        <w:t>to the STN</w:t>
      </w:r>
      <w:r>
        <w:rPr>
          <w:rFonts w:asciiTheme="majorBidi" w:hAnsiTheme="majorBidi" w:cstheme="majorBidi"/>
        </w:rPr>
        <w:t xml:space="preserve">. </w:t>
      </w:r>
      <w:r w:rsidR="00266D77" w:rsidRPr="00406666">
        <w:rPr>
          <w:rFonts w:ascii="Times New Roman" w:hAnsi="Times New Roman" w:cs="Times New Roman"/>
        </w:rPr>
        <w:t>To investigate further, mixed effect models assessed the parameters obtain</w:t>
      </w:r>
      <w:r w:rsidR="0084440C" w:rsidRPr="001B5FDD">
        <w:rPr>
          <w:rFonts w:ascii="Times New Roman" w:hAnsi="Times New Roman" w:cs="Times New Roman"/>
        </w:rPr>
        <w:t>ed</w:t>
      </w:r>
      <w:r w:rsidR="00266D77" w:rsidRPr="001B5FDD">
        <w:rPr>
          <w:rFonts w:ascii="Times New Roman" w:hAnsi="Times New Roman" w:cs="Times New Roman"/>
        </w:rPr>
        <w:t xml:space="preserve"> in the Bayesian Model averaging</w:t>
      </w:r>
      <w:r w:rsidR="009B2E3C" w:rsidRPr="00BC6D31">
        <w:rPr>
          <w:rFonts w:ascii="Times New Roman" w:hAnsi="Times New Roman" w:cs="Times New Roman"/>
        </w:rPr>
        <w:t>,</w:t>
      </w:r>
      <w:r w:rsidR="00266D77" w:rsidRPr="00BC6D31">
        <w:rPr>
          <w:rFonts w:ascii="Times New Roman" w:hAnsi="Times New Roman" w:cs="Times New Roman"/>
        </w:rPr>
        <w:t xml:space="preserve"> </w:t>
      </w:r>
      <w:r w:rsidR="005F25AA">
        <w:rPr>
          <w:rFonts w:ascii="Times New Roman" w:hAnsi="Times New Roman" w:cs="Times New Roman"/>
        </w:rPr>
        <w:t>with</w:t>
      </w:r>
      <w:r w:rsidR="00266D77" w:rsidRPr="00BC6D31">
        <w:rPr>
          <w:rFonts w:ascii="Times New Roman" w:hAnsi="Times New Roman" w:cs="Times New Roman"/>
        </w:rPr>
        <w:t xml:space="preserve"> no results surviv</w:t>
      </w:r>
      <w:r w:rsidR="005F25AA">
        <w:rPr>
          <w:rFonts w:ascii="Times New Roman" w:hAnsi="Times New Roman" w:cs="Times New Roman"/>
        </w:rPr>
        <w:t>ing</w:t>
      </w:r>
      <w:r w:rsidR="00266D77" w:rsidRPr="00BC6D31">
        <w:rPr>
          <w:rFonts w:ascii="Times New Roman" w:hAnsi="Times New Roman" w:cs="Times New Roman"/>
        </w:rPr>
        <w:t xml:space="preserve"> Bonferroni multiple comparison correction</w:t>
      </w:r>
      <w:r w:rsidR="00D54165">
        <w:rPr>
          <w:rFonts w:ascii="Times New Roman" w:hAnsi="Times New Roman" w:cs="Times New Roman"/>
        </w:rPr>
        <w:t xml:space="preserve"> (see SI for further details)</w:t>
      </w:r>
      <w:r w:rsidR="00266D77" w:rsidRPr="00BC6D31">
        <w:rPr>
          <w:rFonts w:ascii="Times New Roman" w:hAnsi="Times New Roman" w:cs="Times New Roman"/>
        </w:rPr>
        <w:t xml:space="preserve">. </w:t>
      </w:r>
      <w:r w:rsidR="00266D77" w:rsidRPr="001B5FDD">
        <w:rPr>
          <w:rFonts w:ascii="Times New Roman" w:hAnsi="Times New Roman" w:cs="Times New Roman"/>
        </w:rPr>
        <w:t>Overall, our DCMs replicat</w:t>
      </w:r>
      <w:r w:rsidR="00A40361" w:rsidRPr="001B5FDD">
        <w:rPr>
          <w:rFonts w:ascii="Times New Roman" w:hAnsi="Times New Roman" w:cs="Times New Roman"/>
        </w:rPr>
        <w:t>e</w:t>
      </w:r>
      <w:r w:rsidR="00266D77" w:rsidRPr="001B5FDD">
        <w:rPr>
          <w:rFonts w:ascii="Times New Roman" w:hAnsi="Times New Roman" w:cs="Times New Roman"/>
        </w:rPr>
        <w:t xml:space="preserve"> </w:t>
      </w:r>
      <w:r w:rsidR="00A547E3" w:rsidRPr="001B5FDD">
        <w:rPr>
          <w:rFonts w:ascii="Times New Roman" w:hAnsi="Times New Roman" w:cs="Times New Roman"/>
        </w:rPr>
        <w:t xml:space="preserve">and extend </w:t>
      </w:r>
      <w:r w:rsidR="008A44FD" w:rsidRPr="001B5FDD">
        <w:rPr>
          <w:rFonts w:ascii="Times New Roman" w:hAnsi="Times New Roman" w:cs="Times New Roman"/>
        </w:rPr>
        <w:t xml:space="preserve">an effective </w:t>
      </w:r>
      <w:r w:rsidR="00266D77" w:rsidRPr="001B5FDD">
        <w:rPr>
          <w:rFonts w:ascii="Times New Roman" w:hAnsi="Times New Roman" w:cs="Times New Roman"/>
        </w:rPr>
        <w:t xml:space="preserve">connectivity </w:t>
      </w:r>
      <w:r w:rsidR="008D4D2E" w:rsidRPr="001B5FDD">
        <w:rPr>
          <w:rFonts w:ascii="Times New Roman" w:hAnsi="Times New Roman" w:cs="Times New Roman"/>
        </w:rPr>
        <w:t xml:space="preserve">model </w:t>
      </w:r>
      <w:r w:rsidR="00C976DF" w:rsidRPr="001B5FDD">
        <w:rPr>
          <w:rFonts w:ascii="Times New Roman" w:hAnsi="Times New Roman" w:cs="Times New Roman"/>
        </w:rPr>
        <w:t>of prefrontal-basal ganglia interactions</w:t>
      </w:r>
      <w:r w:rsidR="00732B9E" w:rsidRPr="001B5FDD">
        <w:rPr>
          <w:rFonts w:ascii="Times New Roman" w:hAnsi="Times New Roman" w:cs="Times New Roman"/>
        </w:rPr>
        <w:t xml:space="preserve"> in both </w:t>
      </w:r>
      <w:r w:rsidR="00F41990" w:rsidRPr="001B5FDD">
        <w:rPr>
          <w:rFonts w:ascii="Times New Roman" w:hAnsi="Times New Roman" w:cs="Times New Roman"/>
        </w:rPr>
        <w:t>control and CUD groups</w:t>
      </w:r>
      <w:r w:rsidR="008129BB" w:rsidRPr="001B5FDD">
        <w:rPr>
          <w:rFonts w:ascii="Times New Roman" w:hAnsi="Times New Roman" w:cs="Times New Roman"/>
        </w:rPr>
        <w:t xml:space="preserve"> and show</w:t>
      </w:r>
      <w:r w:rsidR="00794630" w:rsidRPr="001B5FDD">
        <w:rPr>
          <w:rFonts w:ascii="Times New Roman" w:hAnsi="Times New Roman" w:cs="Times New Roman"/>
        </w:rPr>
        <w:t xml:space="preserve"> </w:t>
      </w:r>
      <w:r w:rsidR="00A06D6E" w:rsidRPr="001B5FDD">
        <w:rPr>
          <w:rFonts w:ascii="Times New Roman" w:hAnsi="Times New Roman" w:cs="Times New Roman"/>
        </w:rPr>
        <w:t xml:space="preserve">subtle effects of atomoxetine </w:t>
      </w:r>
      <w:r w:rsidR="004A3BB2" w:rsidRPr="001B5FDD">
        <w:rPr>
          <w:rFonts w:ascii="Times New Roman" w:hAnsi="Times New Roman" w:cs="Times New Roman"/>
        </w:rPr>
        <w:t>on the interactions between the IFG and the putamen</w:t>
      </w:r>
      <w:r w:rsidR="00877344">
        <w:rPr>
          <w:rFonts w:ascii="Times New Roman" w:hAnsi="Times New Roman" w:cs="Times New Roman"/>
        </w:rPr>
        <w:t xml:space="preserve"> </w:t>
      </w:r>
      <w:r w:rsidR="00AC06BD">
        <w:rPr>
          <w:rFonts w:ascii="Times New Roman" w:hAnsi="Times New Roman" w:cs="Times New Roman"/>
        </w:rPr>
        <w:t>in both</w:t>
      </w:r>
      <w:r w:rsidR="00877344">
        <w:rPr>
          <w:rFonts w:ascii="Times New Roman" w:hAnsi="Times New Roman" w:cs="Times New Roman"/>
        </w:rPr>
        <w:t xml:space="preserve"> group</w:t>
      </w:r>
      <w:r w:rsidR="00AC06BD">
        <w:rPr>
          <w:rFonts w:ascii="Times New Roman" w:hAnsi="Times New Roman" w:cs="Times New Roman"/>
        </w:rPr>
        <w:t>s</w:t>
      </w:r>
      <w:r w:rsidR="00877344">
        <w:rPr>
          <w:rFonts w:ascii="Times New Roman" w:hAnsi="Times New Roman" w:cs="Times New Roman"/>
        </w:rPr>
        <w:t>.</w:t>
      </w:r>
    </w:p>
    <w:p w14:paraId="725DC9D3" w14:textId="188FD79B" w:rsidR="00CA59F5" w:rsidRDefault="00CE331D" w:rsidP="000B7DB7">
      <w:pPr>
        <w:pStyle w:val="Heading1"/>
      </w:pPr>
      <w:r w:rsidRPr="004E1CFF">
        <w:t>DISCUSSION</w:t>
      </w:r>
    </w:p>
    <w:p w14:paraId="10FA4A9C" w14:textId="3E48944E" w:rsidR="008E2CE7" w:rsidRDefault="008E2CE7" w:rsidP="00BF7E9E">
      <w:pPr>
        <w:spacing w:line="360" w:lineRule="auto"/>
        <w:rPr>
          <w:rFonts w:ascii="Times New Roman" w:hAnsi="Times New Roman" w:cs="Times New Roman"/>
        </w:rPr>
      </w:pPr>
      <w:r w:rsidRPr="004E1CFF">
        <w:rPr>
          <w:rFonts w:ascii="Times New Roman" w:hAnsi="Times New Roman" w:cs="Times New Roman"/>
        </w:rPr>
        <w:t xml:space="preserve">This study </w:t>
      </w:r>
      <w:r>
        <w:rPr>
          <w:rFonts w:ascii="Times New Roman" w:hAnsi="Times New Roman" w:cs="Times New Roman"/>
        </w:rPr>
        <w:t>investigate</w:t>
      </w:r>
      <w:r w:rsidR="00693694">
        <w:rPr>
          <w:rFonts w:ascii="Times New Roman" w:hAnsi="Times New Roman" w:cs="Times New Roman"/>
        </w:rPr>
        <w:t>d</w:t>
      </w:r>
      <w:r>
        <w:rPr>
          <w:rFonts w:ascii="Times New Roman" w:hAnsi="Times New Roman" w:cs="Times New Roman"/>
        </w:rPr>
        <w:t xml:space="preserve"> the </w:t>
      </w:r>
      <w:r w:rsidR="00877344">
        <w:rPr>
          <w:rFonts w:ascii="Times New Roman" w:hAnsi="Times New Roman" w:cs="Times New Roman"/>
        </w:rPr>
        <w:t xml:space="preserve">mechanisms </w:t>
      </w:r>
      <w:r>
        <w:rPr>
          <w:rFonts w:ascii="Times New Roman" w:hAnsi="Times New Roman" w:cs="Times New Roman"/>
        </w:rPr>
        <w:t xml:space="preserve">underlying </w:t>
      </w:r>
      <w:r w:rsidR="00335F00">
        <w:rPr>
          <w:rFonts w:ascii="Times New Roman" w:hAnsi="Times New Roman" w:cs="Times New Roman"/>
        </w:rPr>
        <w:t xml:space="preserve">the </w:t>
      </w:r>
      <w:r>
        <w:rPr>
          <w:rFonts w:ascii="Times New Roman" w:hAnsi="Times New Roman" w:cs="Times New Roman"/>
        </w:rPr>
        <w:t xml:space="preserve">effects of atomoxetine on inhibitory control in CUD and healthy </w:t>
      </w:r>
      <w:r w:rsidR="00D643CD">
        <w:rPr>
          <w:rFonts w:ascii="Times New Roman" w:hAnsi="Times New Roman" w:cs="Times New Roman"/>
        </w:rPr>
        <w:t>participants</w:t>
      </w:r>
      <w:r>
        <w:rPr>
          <w:rFonts w:ascii="Times New Roman" w:hAnsi="Times New Roman" w:cs="Times New Roman"/>
        </w:rPr>
        <w:t>. Atomoxetine led to faster response execution across the two groups with no significant effects on stopping latency</w:t>
      </w:r>
      <w:r w:rsidR="001840D2">
        <w:rPr>
          <w:rFonts w:ascii="Times New Roman" w:hAnsi="Times New Roman" w:cs="Times New Roman"/>
        </w:rPr>
        <w:t xml:space="preserve">, </w:t>
      </w:r>
      <w:r w:rsidR="00A47F3E">
        <w:rPr>
          <w:rFonts w:ascii="Times New Roman" w:hAnsi="Times New Roman" w:cs="Times New Roman"/>
        </w:rPr>
        <w:t xml:space="preserve">in keeping </w:t>
      </w:r>
      <w:r w:rsidR="001840D2">
        <w:rPr>
          <w:rFonts w:ascii="Times New Roman" w:hAnsi="Times New Roman" w:cs="Times New Roman"/>
        </w:rPr>
        <w:t xml:space="preserve">with </w:t>
      </w:r>
      <w:r w:rsidR="005F25AA">
        <w:rPr>
          <w:rFonts w:ascii="Times New Roman" w:hAnsi="Times New Roman" w:cs="Times New Roman"/>
        </w:rPr>
        <w:t xml:space="preserve">some </w:t>
      </w:r>
      <w:r w:rsidR="001840D2">
        <w:rPr>
          <w:rFonts w:ascii="Times New Roman" w:hAnsi="Times New Roman" w:cs="Times New Roman"/>
        </w:rPr>
        <w:t xml:space="preserve">previous </w:t>
      </w:r>
      <w:r w:rsidR="00BC452A">
        <w:rPr>
          <w:rFonts w:ascii="Times New Roman" w:hAnsi="Times New Roman" w:cs="Times New Roman"/>
        </w:rPr>
        <w:t xml:space="preserve">studies </w:t>
      </w:r>
      <w:r w:rsidR="001840D2">
        <w:rPr>
          <w:rFonts w:ascii="Times New Roman" w:hAnsi="Times New Roman" w:cs="Times New Roman"/>
        </w:rPr>
        <w:t xml:space="preserve">of </w:t>
      </w:r>
      <w:r w:rsidR="00BC452A">
        <w:rPr>
          <w:rFonts w:ascii="Times New Roman" w:hAnsi="Times New Roman" w:cs="Times New Roman"/>
        </w:rPr>
        <w:t xml:space="preserve">the effects of </w:t>
      </w:r>
      <w:r w:rsidR="001840D2">
        <w:rPr>
          <w:rFonts w:ascii="Times New Roman" w:hAnsi="Times New Roman" w:cs="Times New Roman"/>
        </w:rPr>
        <w:t xml:space="preserve">atomoxetine </w:t>
      </w:r>
      <w:r w:rsidR="000E3168">
        <w:rPr>
          <w:rFonts w:ascii="Times New Roman" w:hAnsi="Times New Roman" w:cs="Times New Roman"/>
        </w:rPr>
        <w:t>o</w:t>
      </w:r>
      <w:r w:rsidR="00BC452A">
        <w:rPr>
          <w:rFonts w:ascii="Times New Roman" w:hAnsi="Times New Roman" w:cs="Times New Roman"/>
        </w:rPr>
        <w:t>n the SSRT</w:t>
      </w:r>
      <w:r w:rsidR="00335F00">
        <w:rPr>
          <w:rFonts w:ascii="Times New Roman" w:hAnsi="Times New Roman" w:cs="Times New Roman"/>
        </w:rPr>
        <w:t xml:space="preserve"> task</w:t>
      </w:r>
      <w:r w:rsidR="001840D2">
        <w:rPr>
          <w:rFonts w:ascii="Times New Roman" w:hAnsi="Times New Roman" w:cs="Times New Roman"/>
        </w:rPr>
        <w:t xml:space="preserve"> </w:t>
      </w:r>
      <w:r w:rsidR="001840D2">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{"citationItems":[{"id":"ITEM-1","itemData":{"DOI":"10.1016/j.pbb.2017.07.002","ISSN":"18735177","abstract":"No pharmacotherapies are approved for the treatment of cocaine use disorders (CUD). Behavioral treatments for CUD are efficacious for some individuals, but recovery rates from CUD remain low. Cognitive impairments in CUD have been linked with poorer clinical outcomes. Cognitive enhancing pharmacotherapies have been proposed as promising treatments for CUD. Atomoxetine, a norepinephrine transporter inhibitor, shows potential as a treatment for CUD based on its efficacy as a cognitive enhancer in other clinical populations and impact on addictive processes in preclinical and human laboratory studies. In this randomized, double-blind, crossover study, abstinent individuals with CUD (N = 39) received placebo, 40 and 80 mg atomoxetine, over three sessions. Measures of attention, response inhibition and working memory; subjective medication effects and mood; and cardiovascular effects were collected. Analyses assessed acute, dose-dependent effects of atomoxetine. In addition, preliminary analyses investigating the modulation of atomoxetine dose effects by sex were performed. Atomoxetine increased heart rate and blood pressure, was rated as having positive and negative subjective drug effects, and had only modest effects on mood and cognitive enhancement.","author":[{"dropping-particle":"","family":"DeVito","given":"Elise E.","non-dropping-particle":"","parse-names":false,"suffix":""},{"dropping-particle":"","family":"Herman","given":"Aryeh I.","non-dropping-particle":"","parse-names":false,"suffix":""},{"dropping-particle":"","family":"Konkus","given":"Noah S.","non-dropping-particle":"","parse-names":false,"suffix":""},{"dropping-particle":"","family":"Zhang","given":"Huiping","non-dropping-particle":"","parse-names":false,"suffix":""},{"dropping-particle":"","family":"Sofuoglu","given":"Mehmet","non-dropping-particle":"","parse-names":false,"suffix":""}],"container-title":"Pharmacology Biochemistry and Behavior","id":"ITEM-1","issue":"July","issued":{"date-parts":[["2017"]]},"page":"55-61","title":"Atomoxetine in abstinent cocaine users: Cognitive, subjective and cardiovascular effects","type":"article-journal","volume":"159"},"uris":["http://www.mendeley.com/documents/?uuid=7c702784-379b-4236-a7b1-6d26e6aec2a0"]},{"id":"ITEM-2","itemData":{"DOI":"10.1093/cercor/bhs296","ISSN":"14602199","abstract":"The stimulant methylphenidate (MPX) and the nonstimulant atomoxetine (ATX) are the most commonly prescribed medications for attention deficit hyperactivity disorder (ADHD). However, no functional magnetic resonance imaging (fMRI) study has as yet investigated the effects of ATX on inhibitory or any other brain function in ADHD patients or compared its effects with those of MPX. A randomized, double-blind, placebo-controlled, crossover pharmacological design was used to compare the neurofunctional effects of single doses of MPX, ATX, and placebo during a stop task, combined with fMRI within 19 medication-naive ADHD boys, and their potential normalization effects relative to 29 age-matched healthy boys. Compared with controls, ADHD boys under placebo showed bilateral ventrolateral prefrontal, middle temporal, and cerebellar underactivation. Within patients, MPX relative to ATX and placebo significantly upregulated right ventrolateral prefrontal activation, which correlated with enhanced inhibitory capacity. Relative to controls, both drugs significantly normalized the left ventrolateral prefrontal underactivation observed under placebo, while MPX had a drug-specific effect of normalizing right ventrolateral prefrontal and cerebellar underactivation observed under both placebo and ATX. The findings show shared and drug-specific effects of MPX and ATX on performance and brain activation during inhibitory control in ADHD patients with superior upregulation and normalization effects of MPX.","author":[{"dropping-particle":"","family":"Cubillo","given":"Ana","non-dropping-particle":"","parse-names":false,"suffix":""},{"dropping-particle":"","family":"Smith","given":"Anna B.","non-dropping-particle":"","parse-names":false,"suffix":""},{"dropping-particle":"","family":"Barrett","given":"Nadia","non-dropping-particle":"","parse-names":false,"suffix":""},{"dropping-particle":"","family":"Giampietro","given":"Vincent","non-dropping-particle":"","parse-names":false,"suffix":""},{"dropping-particle":"","family":"Brammer","given":"Michael J.","non-dropping-particle":"","parse-names":false,"suffix":""},{"dropping-particle":"","family":"Simmons","given":"Andrew","non-dropping-particle":"","parse-names":false,"suffix":""},{"dropping-particle":"","family":"Rubia","given":"Katya","non-dropping-particle":"","parse-names":false,"suffix":""}],"container-title":"Cerebral Cortex","id":"ITEM-2","issue":"1","issued":{"date-parts":[["2014"]]},"page":"174-185","title":"Shared and Drug-Specific Effects of Atomoxetine and Methylphenidate on Inhibitory Brain Dysfunction in Medication-Naive ADHD Boys","type":"article-journal","volume":"24"},"uris":["http://www.mendeley.com/documents/?uuid=6ab9f62e-68c2-4393-9b47-fed336a7a872"]}],"mendeley":{"formattedCitation":"(28,29)","plainTextFormattedCitation":"(28,29)","previouslyFormattedCitation":"(28,29)"},"properties":{"noteIndex":0},"schema":"https://github.com/citation-style-language/schema/raw/master/csl-citation.json"}</w:instrText>
      </w:r>
      <w:r w:rsidR="001840D2">
        <w:rPr>
          <w:rFonts w:ascii="Times New Roman" w:hAnsi="Times New Roman" w:cs="Times New Roman"/>
        </w:rPr>
        <w:fldChar w:fldCharType="separate"/>
      </w:r>
      <w:r w:rsidR="00112D56" w:rsidRPr="00112D56">
        <w:rPr>
          <w:rFonts w:ascii="Times New Roman" w:hAnsi="Times New Roman" w:cs="Times New Roman"/>
          <w:noProof/>
        </w:rPr>
        <w:t>(28,29)</w:t>
      </w:r>
      <w:r w:rsidR="001840D2">
        <w:rPr>
          <w:rFonts w:ascii="Times New Roman" w:hAnsi="Times New Roman" w:cs="Times New Roman"/>
        </w:rPr>
        <w:fldChar w:fldCharType="end"/>
      </w:r>
      <w:r>
        <w:rPr>
          <w:rFonts w:ascii="Times New Roman" w:hAnsi="Times New Roman" w:cs="Times New Roman"/>
        </w:rPr>
        <w:t xml:space="preserve">. We noted prominent and consistent stopping-related group-level BOLD activations in </w:t>
      </w:r>
      <w:r w:rsidR="00645625">
        <w:rPr>
          <w:rFonts w:ascii="Times New Roman" w:hAnsi="Times New Roman" w:cs="Times New Roman"/>
        </w:rPr>
        <w:t xml:space="preserve">both </w:t>
      </w:r>
      <w:r>
        <w:rPr>
          <w:rFonts w:ascii="Times New Roman" w:hAnsi="Times New Roman" w:cs="Times New Roman"/>
        </w:rPr>
        <w:t xml:space="preserve">the placebo and the atomoxetine conditions in both samples with considerable overlap between the groups. These activations encompassed key established nodes of the stopping network including </w:t>
      </w:r>
      <w:proofErr w:type="spellStart"/>
      <w:r w:rsidR="00431583">
        <w:rPr>
          <w:rFonts w:ascii="Times New Roman" w:hAnsi="Times New Roman" w:cs="Times New Roman"/>
        </w:rPr>
        <w:t>r</w:t>
      </w:r>
      <w:r w:rsidR="001375B8">
        <w:rPr>
          <w:rFonts w:ascii="Times New Roman" w:hAnsi="Times New Roman" w:cs="Times New Roman"/>
        </w:rPr>
        <w:t>IFG</w:t>
      </w:r>
      <w:proofErr w:type="spellEnd"/>
      <w:r w:rsidR="001375B8">
        <w:rPr>
          <w:rFonts w:ascii="Times New Roman" w:hAnsi="Times New Roman" w:cs="Times New Roman"/>
        </w:rPr>
        <w:t xml:space="preserve"> </w:t>
      </w:r>
      <w:r>
        <w:rPr>
          <w:rFonts w:ascii="Times New Roman" w:hAnsi="Times New Roman" w:cs="Times New Roman"/>
        </w:rPr>
        <w:t xml:space="preserve">and </w:t>
      </w:r>
      <w:proofErr w:type="spellStart"/>
      <w:r w:rsidR="00F8622A">
        <w:rPr>
          <w:rFonts w:ascii="Times New Roman" w:hAnsi="Times New Roman" w:cs="Times New Roman"/>
        </w:rPr>
        <w:t>dm</w:t>
      </w:r>
      <w:r>
        <w:rPr>
          <w:rFonts w:ascii="Times New Roman" w:hAnsi="Times New Roman" w:cs="Times New Roman"/>
        </w:rPr>
        <w:t>PFC</w:t>
      </w:r>
      <w:proofErr w:type="spellEnd"/>
      <w:r>
        <w:rPr>
          <w:rFonts w:ascii="Times New Roman" w:hAnsi="Times New Roman" w:cs="Times New Roman"/>
        </w:rPr>
        <w:t xml:space="preserve"> in addition to striatal and parietal regions </w:t>
      </w:r>
      <w:r w:rsidR="005B7233">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{"citationItems":[{"id":"ITEM-1","itemData":{"DOI":"10.1038/nn.3092","ISSN":"1097-6256","abstract":"Impulsivity is a multi-dimensional construct, and it is plausible that distinct brain networks contribute to its different aspects. Here the authors identify distinct cortical and subcortical networks underlying cognitive, clinical and genetic dimensions of impulsivity in a large sample of adolescents.","author":[{"dropping-particle":"","family":"Whelan","given":"Robert","non-dropping-particle":"","parse-names":false,"suffix":""},{"dropping-particle":"","family":"Conrod","given":"Patricia J","non-dropping-particle":"","parse-names":false,"suffix":""},{"dropping-particle":"","family":"Poline","given":"Jean-Baptiste","non-dropping-particle":"","parse-names":false,"suffix":""},{"dropping-particle":"","family":"Lourdusamy","given":"Anbarasu","non-dropping-particle":"","parse-names":false,"suffix":""},{"dropping-particle":"","family":"Banaschewski","given":"Tobias","non-dropping-particle":"","parse-names":false,"suffix":""},{"dropping-particle":"","family":"Barker","given":"Gareth J","non-dropping-particle":"","parse-names":false,"suffix":""},{"dropping-particle":"","family":"Bellgrove","given":"Mark A","non-dropping-particle":"","parse-names":false,"suffix":""},{"dropping-particle":"","family":"Büchel","given":"Christian","non-dropping-particle":"","parse-names":false,"suffix":""},{"dropping-particle":"","family":"Byrne","given":"Mark","non-dropping-particle":"","parse-names":false,"suffix":""},{"dropping-particle":"","family":"Cummins","given":"Tarrant D R","non-dropping-particle":"","parse-names":false,"suffix":""},{"dropping-particle":"","family":"Fauth-Bühler","given":"Mira","non-dropping-particle":"","parse-names":false,"suffix":""},{"dropping-particle":"","family":"Flor","given":"Herta","non-dropping-particle":"","parse-names":false,"suffix":""},{"dropping-particle":"","family":"Gallinat","given":"Jürgen","non-dropping-particle":"","parse-names":false,"suffix":""},{"dropping-particle":"","family":"Heinz","given":"Andreas","non-dropping-particle":"","parse-names":false,"suffix":""},{"dropping-particle":"","family":"Ittermann","given":"Bernd","non-dropping-particle":"","parse-names":false,"suffix":""},{"dropping-particle":"","family":"Mann","given":"Karl","non-dropping-particle":"","parse-names":false,"suffix":""},{"dropping-particle":"","family":"Martinot","given":"Jean-Luc","non-dropping-particle":"","parse-names":false,"suffix":""},{"dropping-particle":"","family":"Lalor","given":"Edmund C","non-dropping-particle":"","parse-names":false,"suffix":""},{"dropping-particle":"","family":"Lathrop","given":"Mark","non-dropping-particle":"","parse-names":false,"suffix":""},{"dropping-particle":"","family":"Loth","given":"Eva","non-dropping-particle":"","parse-names":false,"suffix":""},{"dropping-particle":"","family":"Nees","given":"Frauke","non-dropping-particle":"","parse-names":false,"suffix":""},{"dropping-particle":"","family":"Paus","given":"Tomas","non-dropping-particle":"","parse-names":false,"suffix":""},{"dropping-particle":"","family":"Rietschel","given":"Marcella","non-dropping-particle":"","parse-names":false,"suffix":""},{"dropping-particle":"","family":"Smolka","given":"Michael N","non-dropping-particle":"","parse-names":false,"suffix":""},{"dropping-particle":"","family":"Spanagel","given":"Rainer","non-dropping-particle":"","parse-names":false,"suffix":""},{"dropping-particle":"","family":"Stephens","given":"David N","non-dropping-particle":"","parse-names":false,"suffix":""},{"dropping-particle":"","family":"Struve","given":"Maren","non-dropping-particle":"","parse-names":false,"suffix":""},{"dropping-particle":"","family":"Thyreau","given":"Benjamin","non-dropping-particle":"","parse-names":false,"suffix":""},{"dropping-particle":"","family":"Vollstaedt-Klein","given":"Sabine","non-dropping-particle":"","parse-names":false,"suffix":""},{"dropping-particle":"","family":"Robbins","given":"Trevor W","non-dropping-particle":"","parse-names":false,"suffix":""},{"dropping-particle":"","family":"Schumann","given":"Gunter","non-dropping-particle":"","parse-names":false,"suffix":""},{"dropping-particle":"","family":"Garavan","given":"Hugh","non-dropping-particle":"","parse-names":false,"suffix":""},{"dropping-particle":"","family":"Consortium","given":"the IMAGEN","non-dropping-particle":"","parse-names":false,"suffix":""}],"container-title":"Nature Neuroscience","id":"ITEM-1","issue":"6","issued":{"date-parts":[["2012","6","29"]]},"page":"920-925","publisher":"Nature Publishing Group","title":"Adolescent impulsivity phenotypes characterized by distinct brain networks","type":"article-journal","volume":"15"},"uris":["http://www.mendeley.com/documents/?uuid=260fd196-de87-421d-96cc-f118d2c17904"]}],"mendeley":{"formattedCitation":"(39)","plainTextFormattedCitation":"(39)","previouslyFormattedCitation":"(39)"},"properties":{"noteIndex":0},"schema":"https://github.com/citation-style-language/schema/raw/master/csl-citation.json"}</w:instrText>
      </w:r>
      <w:r w:rsidR="005B7233">
        <w:rPr>
          <w:rFonts w:ascii="Times New Roman" w:hAnsi="Times New Roman" w:cs="Times New Roman"/>
        </w:rPr>
        <w:fldChar w:fldCharType="separate"/>
      </w:r>
      <w:r w:rsidR="00112D56" w:rsidRPr="00112D56">
        <w:rPr>
          <w:rFonts w:ascii="Times New Roman" w:hAnsi="Times New Roman" w:cs="Times New Roman"/>
          <w:noProof/>
        </w:rPr>
        <w:t>(39)</w:t>
      </w:r>
      <w:r w:rsidR="005B7233">
        <w:rPr>
          <w:rFonts w:ascii="Times New Roman" w:hAnsi="Times New Roman" w:cs="Times New Roman"/>
        </w:rPr>
        <w:fldChar w:fldCharType="end"/>
      </w:r>
      <w:r>
        <w:rPr>
          <w:rFonts w:ascii="Times New Roman" w:hAnsi="Times New Roman" w:cs="Times New Roman"/>
        </w:rPr>
        <w:t xml:space="preserve">. </w:t>
      </w:r>
      <w:r w:rsidR="001B5FDD">
        <w:rPr>
          <w:rFonts w:ascii="Times New Roman" w:hAnsi="Times New Roman" w:cs="Times New Roman"/>
        </w:rPr>
        <w:t xml:space="preserve">Additional connectivity analyses pointed to the same winning model </w:t>
      </w:r>
      <w:r w:rsidR="003B7186">
        <w:rPr>
          <w:rFonts w:ascii="Times New Roman" w:hAnsi="Times New Roman" w:cs="Times New Roman"/>
        </w:rPr>
        <w:t>of</w:t>
      </w:r>
      <w:r w:rsidR="001B5FDD">
        <w:rPr>
          <w:rFonts w:ascii="Times New Roman" w:hAnsi="Times New Roman" w:cs="Times New Roman"/>
        </w:rPr>
        <w:t xml:space="preserve"> network architecture in both groups on placebo. </w:t>
      </w:r>
      <w:r w:rsidR="001B5FDD" w:rsidRPr="009226CF">
        <w:rPr>
          <w:rFonts w:ascii="Times New Roman" w:hAnsi="Times New Roman" w:cs="Times New Roman"/>
        </w:rPr>
        <w:t>Th</w:t>
      </w:r>
      <w:r w:rsidR="00A20635">
        <w:rPr>
          <w:rFonts w:ascii="Times New Roman" w:hAnsi="Times New Roman" w:cs="Times New Roman"/>
        </w:rPr>
        <w:t>e</w:t>
      </w:r>
      <w:r w:rsidR="001B5FDD" w:rsidRPr="009226CF">
        <w:rPr>
          <w:rFonts w:ascii="Times New Roman" w:hAnsi="Times New Roman" w:cs="Times New Roman"/>
        </w:rPr>
        <w:t xml:space="preserve"> architecture, connections and weights </w:t>
      </w:r>
      <w:r w:rsidR="001B5FDD">
        <w:rPr>
          <w:rFonts w:ascii="Times New Roman" w:hAnsi="Times New Roman" w:cs="Times New Roman"/>
        </w:rPr>
        <w:t>are</w:t>
      </w:r>
      <w:r w:rsidR="001B5FDD" w:rsidRPr="009226CF">
        <w:rPr>
          <w:rFonts w:ascii="Times New Roman" w:hAnsi="Times New Roman" w:cs="Times New Roman"/>
        </w:rPr>
        <w:t xml:space="preserve"> consistent</w:t>
      </w:r>
      <w:r w:rsidR="001B5FDD">
        <w:rPr>
          <w:rFonts w:ascii="Times New Roman" w:hAnsi="Times New Roman" w:cs="Times New Roman"/>
        </w:rPr>
        <w:t xml:space="preserve"> with</w:t>
      </w:r>
      <w:r w:rsidR="001B5FDD" w:rsidRPr="009226CF">
        <w:rPr>
          <w:rFonts w:ascii="Times New Roman" w:hAnsi="Times New Roman" w:cs="Times New Roman"/>
        </w:rPr>
        <w:t xml:space="preserve"> </w:t>
      </w:r>
      <w:r w:rsidR="00A20635">
        <w:rPr>
          <w:rFonts w:ascii="Times New Roman" w:hAnsi="Times New Roman" w:cs="Times New Roman"/>
        </w:rPr>
        <w:t>those</w:t>
      </w:r>
      <w:r w:rsidR="001B5FDD" w:rsidRPr="009226CF">
        <w:rPr>
          <w:rFonts w:ascii="Times New Roman" w:hAnsi="Times New Roman" w:cs="Times New Roman"/>
        </w:rPr>
        <w:t xml:space="preserve"> previously found in a cohort of </w:t>
      </w:r>
      <w:r w:rsidR="00846FBB">
        <w:rPr>
          <w:rFonts w:ascii="Times New Roman" w:hAnsi="Times New Roman" w:cs="Times New Roman"/>
        </w:rPr>
        <w:t>sixteen</w:t>
      </w:r>
      <w:r w:rsidR="003B7186">
        <w:rPr>
          <w:rFonts w:ascii="Times New Roman" w:hAnsi="Times New Roman" w:cs="Times New Roman"/>
        </w:rPr>
        <w:t xml:space="preserve"> </w:t>
      </w:r>
      <w:r w:rsidR="001B5FDD" w:rsidRPr="009226CF">
        <w:rPr>
          <w:rFonts w:ascii="Times New Roman" w:hAnsi="Times New Roman" w:cs="Times New Roman"/>
        </w:rPr>
        <w:t xml:space="preserve">healthy young adults </w:t>
      </w:r>
      <w:r w:rsidR="001B5FDD">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Neuroscience","id":"ITEM-1","issue":"2","issued":{"date-parts":[["2015"]]},"page":"786-94","title":"The prefrontal cortex achieves inhibitory control by facilitating subcortical motor pathway connectivity.","type":"article-journal","volume":"35"},"uris":["http://www.mendeley.com/documents/?uuid=e1cd2b52-4b20-423b-8c98-36004beeeda5"]}],"mendeley":{"formattedCitation":"(9)","plainTextFormattedCitation":"(9)","previouslyFormattedCitation":"(9)"},"properties":{"noteIndex":0},"schema":"https://github.com/citation-style-language/schema/raw/master/csl-citation.json"}</w:instrText>
      </w:r>
      <w:r w:rsidR="001B5FDD">
        <w:rPr>
          <w:rFonts w:ascii="Times New Roman" w:hAnsi="Times New Roman" w:cs="Times New Roman"/>
        </w:rPr>
        <w:fldChar w:fldCharType="separate"/>
      </w:r>
      <w:r w:rsidR="00112D56" w:rsidRPr="00112D56">
        <w:rPr>
          <w:rFonts w:ascii="Times New Roman" w:hAnsi="Times New Roman" w:cs="Times New Roman"/>
          <w:noProof/>
        </w:rPr>
        <w:t>(9)</w:t>
      </w:r>
      <w:r w:rsidR="001B5FDD">
        <w:rPr>
          <w:rFonts w:ascii="Times New Roman" w:hAnsi="Times New Roman" w:cs="Times New Roman"/>
        </w:rPr>
        <w:fldChar w:fldCharType="end"/>
      </w:r>
      <w:r w:rsidR="001B5FDD">
        <w:rPr>
          <w:rFonts w:ascii="Times New Roman" w:hAnsi="Times New Roman" w:cs="Times New Roman"/>
        </w:rPr>
        <w:t xml:space="preserve">. </w:t>
      </w:r>
      <w:r w:rsidR="001B5FDD" w:rsidRPr="005B47E3">
        <w:rPr>
          <w:rFonts w:ascii="Times New Roman" w:hAnsi="Times New Roman" w:cs="Times New Roman"/>
        </w:rPr>
        <w:t>We extend</w:t>
      </w:r>
      <w:r w:rsidR="00A20635">
        <w:rPr>
          <w:rFonts w:ascii="Times New Roman" w:hAnsi="Times New Roman" w:cs="Times New Roman"/>
        </w:rPr>
        <w:t>ed</w:t>
      </w:r>
      <w:r w:rsidR="001B5FDD" w:rsidRPr="005B47E3">
        <w:rPr>
          <w:rFonts w:ascii="Times New Roman" w:hAnsi="Times New Roman" w:cs="Times New Roman"/>
        </w:rPr>
        <w:t xml:space="preserve"> the connectivity model for response inhibition by </w:t>
      </w:r>
      <w:r w:rsidR="005F25AA">
        <w:rPr>
          <w:rFonts w:ascii="Times New Roman" w:hAnsi="Times New Roman" w:cs="Times New Roman"/>
        </w:rPr>
        <w:t xml:space="preserve">introducing and </w:t>
      </w:r>
      <w:r w:rsidR="001B5FDD" w:rsidRPr="005B47E3">
        <w:rPr>
          <w:rFonts w:ascii="Times New Roman" w:hAnsi="Times New Roman" w:cs="Times New Roman"/>
        </w:rPr>
        <w:t>showing the contributions of the putamen which again was consistent across the two groups</w:t>
      </w:r>
      <w:r w:rsidR="001B5FDD">
        <w:rPr>
          <w:rFonts w:ascii="Times New Roman" w:hAnsi="Times New Roman" w:cs="Times New Roman"/>
        </w:rPr>
        <w:t xml:space="preserve">. </w:t>
      </w:r>
      <w:r w:rsidR="00A20635">
        <w:rPr>
          <w:rFonts w:ascii="Times New Roman" w:hAnsi="Times New Roman" w:cs="Times New Roman"/>
        </w:rPr>
        <w:t xml:space="preserve">Importantly, we also investigated the effect of atomoxetine on effective connectivity. </w:t>
      </w:r>
      <w:bookmarkStart w:id="2" w:name="_Hlk53676016"/>
      <w:r w:rsidR="00A20635">
        <w:rPr>
          <w:rFonts w:ascii="Times New Roman" w:hAnsi="Times New Roman" w:cs="Times New Roman"/>
        </w:rPr>
        <w:t>Specifically</w:t>
      </w:r>
      <w:r w:rsidR="001B5FDD">
        <w:rPr>
          <w:rFonts w:ascii="Times New Roman" w:hAnsi="Times New Roman" w:cs="Times New Roman"/>
        </w:rPr>
        <w:t>,</w:t>
      </w:r>
      <w:r w:rsidR="001B5FDD" w:rsidRPr="005B47E3">
        <w:rPr>
          <w:rFonts w:ascii="Times New Roman" w:hAnsi="Times New Roman" w:cs="Times New Roman"/>
        </w:rPr>
        <w:t xml:space="preserve"> </w:t>
      </w:r>
      <w:r w:rsidR="00A20635">
        <w:rPr>
          <w:rFonts w:ascii="Times New Roman" w:hAnsi="Times New Roman" w:cs="Times New Roman"/>
        </w:rPr>
        <w:t xml:space="preserve">whereas on placebo the </w:t>
      </w:r>
      <w:proofErr w:type="spellStart"/>
      <w:r w:rsidR="00335F00">
        <w:rPr>
          <w:rFonts w:ascii="Times New Roman" w:hAnsi="Times New Roman" w:cs="Times New Roman"/>
        </w:rPr>
        <w:t>r</w:t>
      </w:r>
      <w:r w:rsidR="005445C6">
        <w:rPr>
          <w:rFonts w:ascii="Times New Roman" w:hAnsi="Times New Roman" w:cs="Times New Roman"/>
        </w:rPr>
        <w:t>IFG</w:t>
      </w:r>
      <w:proofErr w:type="spellEnd"/>
      <w:r w:rsidR="005445C6">
        <w:rPr>
          <w:rFonts w:ascii="Times New Roman" w:hAnsi="Times New Roman" w:cs="Times New Roman"/>
        </w:rPr>
        <w:t xml:space="preserve"> </w:t>
      </w:r>
      <w:r w:rsidR="00A20635">
        <w:rPr>
          <w:rFonts w:ascii="Times New Roman" w:hAnsi="Times New Roman" w:cs="Times New Roman"/>
        </w:rPr>
        <w:t xml:space="preserve">modulated the hyper-direct </w:t>
      </w:r>
      <w:proofErr w:type="spellStart"/>
      <w:r w:rsidR="00A20635">
        <w:rPr>
          <w:rFonts w:ascii="Times New Roman" w:hAnsi="Times New Roman" w:cs="Times New Roman"/>
        </w:rPr>
        <w:t>fronto</w:t>
      </w:r>
      <w:proofErr w:type="spellEnd"/>
      <w:r w:rsidR="00A20635">
        <w:rPr>
          <w:rFonts w:ascii="Times New Roman" w:hAnsi="Times New Roman" w:cs="Times New Roman"/>
        </w:rPr>
        <w:t xml:space="preserve">-striatal pathway from the </w:t>
      </w:r>
      <w:proofErr w:type="spellStart"/>
      <w:r w:rsidR="00A20635">
        <w:rPr>
          <w:rFonts w:ascii="Times New Roman" w:hAnsi="Times New Roman" w:cs="Times New Roman"/>
        </w:rPr>
        <w:t>dmPFC</w:t>
      </w:r>
      <w:proofErr w:type="spellEnd"/>
      <w:r w:rsidR="00A20635">
        <w:rPr>
          <w:rFonts w:ascii="Times New Roman" w:hAnsi="Times New Roman" w:cs="Times New Roman"/>
        </w:rPr>
        <w:t xml:space="preserve"> to the STN, </w:t>
      </w:r>
      <w:r w:rsidR="001B5FDD" w:rsidRPr="005B47E3">
        <w:rPr>
          <w:rFonts w:ascii="Times New Roman" w:hAnsi="Times New Roman" w:cs="Times New Roman"/>
        </w:rPr>
        <w:t xml:space="preserve">atomoxetine led to </w:t>
      </w:r>
      <w:r w:rsidR="00A20635">
        <w:rPr>
          <w:rFonts w:ascii="Times New Roman" w:hAnsi="Times New Roman" w:cs="Times New Roman"/>
        </w:rPr>
        <w:t xml:space="preserve">the </w:t>
      </w:r>
      <w:proofErr w:type="spellStart"/>
      <w:r w:rsidR="00335F00">
        <w:rPr>
          <w:rFonts w:ascii="Times New Roman" w:hAnsi="Times New Roman" w:cs="Times New Roman"/>
        </w:rPr>
        <w:t>r</w:t>
      </w:r>
      <w:r w:rsidR="005445C6">
        <w:rPr>
          <w:rFonts w:ascii="Times New Roman" w:hAnsi="Times New Roman" w:cs="Times New Roman"/>
        </w:rPr>
        <w:t>IFG</w:t>
      </w:r>
      <w:proofErr w:type="spellEnd"/>
      <w:r w:rsidR="005445C6">
        <w:rPr>
          <w:rFonts w:ascii="Times New Roman" w:hAnsi="Times New Roman" w:cs="Times New Roman"/>
        </w:rPr>
        <w:t xml:space="preserve"> </w:t>
      </w:r>
      <w:r w:rsidR="00814764">
        <w:rPr>
          <w:rFonts w:ascii="Times New Roman" w:hAnsi="Times New Roman" w:cs="Times New Roman"/>
        </w:rPr>
        <w:t xml:space="preserve">modulating the indirect pathway by </w:t>
      </w:r>
      <w:r w:rsidR="001B51C3">
        <w:rPr>
          <w:rFonts w:ascii="Times New Roman" w:hAnsi="Times New Roman" w:cs="Times New Roman"/>
        </w:rPr>
        <w:t xml:space="preserve">interacting with </w:t>
      </w:r>
      <w:r w:rsidR="001B5FDD" w:rsidRPr="005B47E3">
        <w:rPr>
          <w:rFonts w:ascii="Times New Roman" w:hAnsi="Times New Roman" w:cs="Times New Roman"/>
        </w:rPr>
        <w:t>the putam</w:t>
      </w:r>
      <w:r w:rsidR="001B5FDD">
        <w:rPr>
          <w:rFonts w:ascii="Times New Roman" w:hAnsi="Times New Roman" w:cs="Times New Roman"/>
        </w:rPr>
        <w:t>e</w:t>
      </w:r>
      <w:r w:rsidR="001B5FDD" w:rsidRPr="005B47E3">
        <w:rPr>
          <w:rFonts w:ascii="Times New Roman" w:hAnsi="Times New Roman" w:cs="Times New Roman"/>
        </w:rPr>
        <w:t>n</w:t>
      </w:r>
      <w:r w:rsidR="001B5FDD">
        <w:rPr>
          <w:rFonts w:ascii="Times New Roman" w:hAnsi="Times New Roman" w:cs="Times New Roman"/>
        </w:rPr>
        <w:t>.</w:t>
      </w:r>
      <w:r w:rsidR="00A20635">
        <w:rPr>
          <w:rFonts w:ascii="Times New Roman" w:hAnsi="Times New Roman" w:cs="Times New Roman"/>
        </w:rPr>
        <w:t xml:space="preserve"> This change in the network architecture </w:t>
      </w:r>
      <w:r w:rsidR="00814764">
        <w:rPr>
          <w:rFonts w:ascii="Times New Roman" w:hAnsi="Times New Roman" w:cs="Times New Roman"/>
        </w:rPr>
        <w:t xml:space="preserve">with atomoxetine </w:t>
      </w:r>
      <w:r w:rsidR="00A20635">
        <w:rPr>
          <w:rFonts w:ascii="Times New Roman" w:hAnsi="Times New Roman" w:cs="Times New Roman"/>
        </w:rPr>
        <w:t xml:space="preserve">was found in </w:t>
      </w:r>
      <w:r>
        <w:rPr>
          <w:rFonts w:ascii="Times New Roman" w:hAnsi="Times New Roman" w:cs="Times New Roman"/>
        </w:rPr>
        <w:t>both groups independently</w:t>
      </w:r>
      <w:r w:rsidR="001F340F">
        <w:rPr>
          <w:rFonts w:ascii="Times New Roman" w:hAnsi="Times New Roman" w:cs="Times New Roman"/>
        </w:rPr>
        <w:t>.</w:t>
      </w:r>
      <w:r>
        <w:rPr>
          <w:rFonts w:ascii="Times New Roman" w:hAnsi="Times New Roman" w:cs="Times New Roman"/>
        </w:rPr>
        <w:t xml:space="preserve"> Taken together</w:t>
      </w:r>
      <w:r w:rsidR="00645625">
        <w:rPr>
          <w:rFonts w:ascii="Times New Roman" w:hAnsi="Times New Roman" w:cs="Times New Roman"/>
        </w:rPr>
        <w:t>,</w:t>
      </w:r>
      <w:r>
        <w:rPr>
          <w:rFonts w:ascii="Times New Roman" w:hAnsi="Times New Roman" w:cs="Times New Roman"/>
        </w:rPr>
        <w:t xml:space="preserve"> </w:t>
      </w:r>
      <w:r w:rsidR="004526F0">
        <w:rPr>
          <w:rFonts w:ascii="Times New Roman" w:hAnsi="Times New Roman" w:cs="Times New Roman"/>
        </w:rPr>
        <w:t xml:space="preserve">task </w:t>
      </w:r>
      <w:r>
        <w:rPr>
          <w:rFonts w:ascii="Times New Roman" w:hAnsi="Times New Roman" w:cs="Times New Roman"/>
        </w:rPr>
        <w:t xml:space="preserve">performance and neural activations point to similar mechanisms of action for atomoxetine across the CUD and control participants. </w:t>
      </w:r>
    </w:p>
    <w:bookmarkEnd w:id="2"/>
    <w:p w14:paraId="6D0D0C53" w14:textId="7015CCAA" w:rsidR="008E2CE7" w:rsidRPr="004E1CFF" w:rsidRDefault="008E2CE7" w:rsidP="000B7DB7">
      <w:pPr>
        <w:pStyle w:val="Heading2"/>
      </w:pPr>
      <w:r>
        <w:t xml:space="preserve">Individual differences in </w:t>
      </w:r>
      <w:r w:rsidR="00F8622A">
        <w:t xml:space="preserve">atomoxetine </w:t>
      </w:r>
      <w:r w:rsidR="00B11878">
        <w:t>effects</w:t>
      </w:r>
    </w:p>
    <w:p w14:paraId="0227CB14" w14:textId="7CDBA878" w:rsidR="003B7186" w:rsidRDefault="008E2CE7" w:rsidP="00BF7E9E">
      <w:pPr>
        <w:spacing w:line="360" w:lineRule="auto"/>
        <w:rPr>
          <w:rFonts w:ascii="Times New Roman" w:hAnsi="Times New Roman" w:cs="Times New Roman"/>
        </w:rPr>
      </w:pPr>
      <w:r>
        <w:rPr>
          <w:rFonts w:ascii="Times New Roman" w:hAnsi="Times New Roman" w:cs="Times New Roman"/>
        </w:rPr>
        <w:t>Importantly</w:t>
      </w:r>
      <w:r w:rsidR="00645625">
        <w:rPr>
          <w:rFonts w:ascii="Times New Roman" w:hAnsi="Times New Roman" w:cs="Times New Roman"/>
        </w:rPr>
        <w:t>,</w:t>
      </w:r>
      <w:r>
        <w:rPr>
          <w:rFonts w:ascii="Times New Roman" w:hAnsi="Times New Roman" w:cs="Times New Roman"/>
        </w:rPr>
        <w:t xml:space="preserve"> atomoxetine improved stopping performance in a baseline-dependent manner independent from diagnosis, </w:t>
      </w:r>
      <w:r w:rsidR="00814764">
        <w:rPr>
          <w:rFonts w:ascii="Times New Roman" w:hAnsi="Times New Roman" w:cs="Times New Roman"/>
        </w:rPr>
        <w:t>in keeping with findings from a much older cohort of healthy volunteers and PD patients</w:t>
      </w:r>
      <w:r w:rsidR="00814764" w:rsidDel="00814764">
        <w:rPr>
          <w:rFonts w:ascii="Times New Roman" w:hAnsi="Times New Roman" w:cs="Times New Roman"/>
        </w:rPr>
        <w:t xml:space="preserve"> </w:t>
      </w:r>
      <w:r w:rsidR="001076CA">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{"citationItems":[{"id":"ITEM-1","itemData":{"DOI":"10.1016/j.biopsych.2014.01.024","ISSN":"18732402","abstract":"BACKGROUND: Dopaminergic drugs remain the mainstay of Parkinson's disease therapy but often fail to improve cognitive problems such as impulsivity. This may be due to the loss of other neurotransmitters, including noradrenaline, which is linked to impulsivity and response inhibition. We therefore examined the effect of the selective noradrenaline reuptake inhibitor atomoxetine on response inhibition in a stop-signal paradigm. METHODS: This pharmacological functional magnetic resonance imaging study used a double-blinded randomized crossover design with low-frequency inhibition trials distributed among frequent Go trials. Twenty-one patients received 40 mg atomoxetine or placebo. Control subjects were tested on no-drug. The effects of disease and drug on behavioral performance, regional brain activity, and functional connectivity were analyzed using general linear models. Anatomical connectivity was examined using diffusion-weighted imaging. RESULTS: Patients with Parkinson's disease had longer stop-signal reaction times, less stop-related activation in the right inferior frontal gyrus (RIFG), and weaker functional connectivity between the RIFG and striatum compared with control subjects. Atomoxetine enhanced stop-related RIFG activation in proportion to disease severity. Although there was no overall behavioral benefit from atomoxetine, analyses of individual differences revealed that enhanced response inhibition by atomoxetine was associated with increased RIFG activation and functional frontostriatal connectivity. Improved performance was more likely in patients with higher structural frontostriatal connectivity. CONCLUSIONS: This study suggests that enhanced prefrontal cortical activation and frontostriatal connectivity by atomoxetine may improve response inhibition in Parkinson's disease. These results point the way to new stratified clinical trials of atomoxetine to treat impulsivity in selected patients with Parkinson's disease.","author":[{"dropping-particle":"","family":"Ye","given":"Zheng","non-dropping-particle":"","parse-names":false,"suffix":""},{"dropping-particle":"","family":"Altena","given":"Ellemarije","non-dropping-particle":"","parse-names":false,"suffix":""},{"dropping-particle":"","family":"Nombela","given":"Cristina","non-dropping-particle":"","parse-names":false,"suffix":""},{"dropping-particle":"","family":"Housden","given":"Charlotte R.","non-dropping-particle":"","parse-names":false,"suffix":""},{"dropping-particle":"","family":"Maxwell","given":"Helen","non-dropping-particle":"","parse-names":false,"suffix":""},{"dropping-particle":"","family":"Rittman","given":"Timothy","non-dropping-particle":"","parse-names":false,"suffix":""},{"dropping-particle":"","family":"Huddleston","given":"Chelan","non-dropping-particle":"","parse-names":false,"suffix":""},{"dropping-particle":"","family":"Rae","given":"Charlotte L.","non-dropping-particle":"","parse-names":false,"suffix":""},{"dropping-particle":"","family":"Regenthal","given":"Ralf","non-dropping-particle":"","parse-names":false,"suffix":""},{"dropping-particle":"","family":"Sahakian","given":"Barbara J.","non-dropping-particle":"","parse-names":false,"suffix":""},{"dropping-particle":"","family":"Barker","given":"Roger A.","non-dropping-particle":"","parse-names":false,"suffix":""},{"dropping-particle":"","family":"Robbins","given":"Trevor W.","non-dropping-particle":"","parse-names":false,"suffix":""},{"dropping-particle":"","family":"Rowe","given":"James B.","non-dropping-particle":"","parse-names":false,"suffix":""}],"container-title":"Biological Psychiatry","id":"ITEM-1","issue":"8","issued":{"date-parts":[["2015"]]},"page":"740-748","publisher":"Elsevier","title":"Improving response inhibition in Parkinson's disease with atomoxetine","type":"article-journal","volume":"77"},"uris":["http://www.mendeley.com/documents/?uuid=cbcdd1b4-4fbf-4038-b776-c7dd388c5d66"]},{"id":"ITEM-2","itemData":{"DOI":"10.1093/brain/aww138","ISSN":"14602156","abstract":"Parkinson's disease impairs the inhibition of responses, and whilst impulsivity is mild for some patients, severe impulse control disorders affect approximately 10% of cases. Based on preclinical models we proposed that noradrenergic denervation contributes to the impairment of response inhibition, via changes in the prefrontal cortex and its subcortical connections. Previous work in Parkinson's disease found that the selective noradrenaline reuptake inhibitor atomoxetine could improve response inhibition, gambling decisions and reflection impulsivity. Here we tested the hypotheses that atomoxetine can restore functional brain networks for response inhibition in Parkinson's disease, and that both structural and functional connectivity determine the behavioural effect. In a randomized, double-blind placebo-controlled crossover study, 19 patients with mild-to-moderate idiopathic Parkinson's disease underwent functional magnetic resonance imaging during a stop-signal task, while on their usual dopaminergic therapy. Patients received 40 mg atomoxetine or placebo, orally. This regimen anticipates that noradrenergic therapies for behavioural symptoms would be adjunctive to, not a replacement for, dopaminergic therapy. Twenty matched control participants provided normative data. Arterial spin labelling identified no significant changes in regional perfusion. We assessed functional interactions between key frontal and subcortical brain areas for response inhibition, by comparing 20 dynamic causal models of the response inhibition network, inverted to the functional magnetic resonance imaging data and compared using random effects model selection. We found that the normal interaction between pre-supplementary motor cortex and the inferior frontal gyrus was absent in Parkinson's disease patients on placebo (despite dopaminergic therapy), but this connection was restored by atomoxetine. The behavioural change in response inhibition (improvement indicated by reduced stop-signal reaction time) following atomoxetine correlated with structural connectivity as measured by the fractional anisotropy in the white matter underlying the inferior frontal gyrus. Using multiple regression models, we examined the factors that influenced the individual differences in the response to atomoxetine: the reduction in stop-signal reaction time correlated with structural connectivity and baseline performance, while disease severity and drug plasma level predicted the change in fronto-s…","author":[{"dropping-particle":"","family":"Rae","given":"Charlotte L.","non-dropping-particle":"","parse-names":false,"suffix":""},{"dropping-particle":"","family":"Nombela","given":"Cristina","non-dropping-particle":"","parse-names":false,"suffix":""},{"dropping-particle":"","family":"Rodríguez","given":"Patricia Vázquez","non-dropping-particle":"","parse-names":false,"suffix":""},{"dropping-particle":"","family":"Ye","given":"Zheng","non-dropping-particle":"","parse-names":false,"suffix":""},{"dropping-particle":"","family":"Hughes","given":"Laura E.","non-dropping-particle":"","parse-names":false,"suffix":""},{"dropping-particle":"","family":"Jones","given":"P. Simon","non-dropping-particle":"","parse-names":false,"suffix":""},{"dropping-particle":"","family":"Ham","given":"Timothy","non-dropping-particle":"","parse-names":false,"suffix":""},{"dropping-particle":"","family":"Rittman","given":"Timothy","non-dropping-particle":"","parse-names":false,"suffix":""},{"dropping-particle":"","family":"Coyle-Gilchrist","given":"Ian","non-dropping-particle":"","parse-names":false,"suffix":""},{"dropping-particle":"","family":"Regenthal","given":"Ralf","non-dropping-particle":"","parse-names":false,"suffix":""},{"dropping-particle":"","family":"Sahakian","given":"Barbara J.","non-dropping-particle":"","parse-names":false,"suffix":""},{"dropping-particle":"","family":"Barker","given":"Roger A.","non-dropping-particle":"","parse-names":false,"suffix":""},{"dropping-particle":"","family":"Robbins","given":"Trevor W.","non-dropping-particle":"","parse-names":false,"suffix":""},{"dropping-particle":"","family":"Rowe","given":"James B.","non-dropping-particle":"","parse-names":false,"suffix":""}],"container-title":"Brain","id":"ITEM-2","issue":"8","issued":{"date-parts":[["2016"]]},"page":"2235-2248","title":"Atomoxetine restores the response inhibition network in Parkinson's disease","type":"article-journal","volume":"139"},"uris":["http://www.mendeley.com/documents/?uuid=72f9ba60-f68e-41f2-b8ee-352557399bd1"]}],"mendeley":{"formattedCitation":"(30,31)","plainTextFormattedCitation":"(30,31)","previouslyFormattedCitation":"(30,31)"},"properties":{"noteIndex":0},"schema":"https://github.com/citation-style-language/schema/raw/master/csl-citation.json"}</w:instrText>
      </w:r>
      <w:r w:rsidR="001076CA">
        <w:rPr>
          <w:rFonts w:ascii="Times New Roman" w:hAnsi="Times New Roman" w:cs="Times New Roman"/>
        </w:rPr>
        <w:fldChar w:fldCharType="separate"/>
      </w:r>
      <w:r w:rsidR="00112D56" w:rsidRPr="00112D56">
        <w:rPr>
          <w:rFonts w:ascii="Times New Roman" w:hAnsi="Times New Roman" w:cs="Times New Roman"/>
          <w:noProof/>
        </w:rPr>
        <w:t>(30,31)</w:t>
      </w:r>
      <w:r w:rsidR="001076CA">
        <w:rPr>
          <w:rFonts w:ascii="Times New Roman" w:hAnsi="Times New Roman" w:cs="Times New Roman"/>
        </w:rPr>
        <w:fldChar w:fldCharType="end"/>
      </w:r>
      <w:r>
        <w:rPr>
          <w:rFonts w:ascii="Times New Roman" w:hAnsi="Times New Roman" w:cs="Times New Roman"/>
        </w:rPr>
        <w:t xml:space="preserve">. Thus, poorer inhibitors benefited the most from atomoxetine compared to placebo. Moreover, this was accompanied by increased </w:t>
      </w:r>
      <w:proofErr w:type="spellStart"/>
      <w:r w:rsidR="0065536A">
        <w:rPr>
          <w:rFonts w:ascii="Times New Roman" w:hAnsi="Times New Roman" w:cs="Times New Roman"/>
        </w:rPr>
        <w:t>r</w:t>
      </w:r>
      <w:r w:rsidR="001375B8">
        <w:rPr>
          <w:rFonts w:ascii="Times New Roman" w:hAnsi="Times New Roman" w:cs="Times New Roman"/>
        </w:rPr>
        <w:t>IFG</w:t>
      </w:r>
      <w:proofErr w:type="spellEnd"/>
      <w:r w:rsidR="001375B8">
        <w:rPr>
          <w:rFonts w:ascii="Times New Roman" w:hAnsi="Times New Roman" w:cs="Times New Roman"/>
        </w:rPr>
        <w:t xml:space="preserve"> </w:t>
      </w:r>
      <w:r>
        <w:rPr>
          <w:rFonts w:ascii="Times New Roman" w:hAnsi="Times New Roman" w:cs="Times New Roman"/>
        </w:rPr>
        <w:t>activation such that the greatest improvement in stopping latency was associated with greate</w:t>
      </w:r>
      <w:r w:rsidR="00F96262">
        <w:rPr>
          <w:rFonts w:ascii="Times New Roman" w:hAnsi="Times New Roman" w:cs="Times New Roman"/>
        </w:rPr>
        <w:t>r</w:t>
      </w:r>
      <w:r>
        <w:rPr>
          <w:rFonts w:ascii="Times New Roman" w:hAnsi="Times New Roman" w:cs="Times New Roman"/>
        </w:rPr>
        <w:t xml:space="preserve"> upregulation of </w:t>
      </w:r>
      <w:r w:rsidR="00F8622A">
        <w:rPr>
          <w:rFonts w:ascii="Times New Roman" w:hAnsi="Times New Roman" w:cs="Times New Roman"/>
        </w:rPr>
        <w:t>this region</w:t>
      </w:r>
      <w:r>
        <w:rPr>
          <w:rFonts w:ascii="Times New Roman" w:hAnsi="Times New Roman" w:cs="Times New Roman"/>
        </w:rPr>
        <w:t xml:space="preserve">. Higher levels of atomoxetine as detected in the blood were also positively correlated with greater brain activation in the </w:t>
      </w:r>
      <w:proofErr w:type="spellStart"/>
      <w:r w:rsidR="000F1AAC">
        <w:rPr>
          <w:rFonts w:ascii="Times New Roman" w:hAnsi="Times New Roman" w:cs="Times New Roman"/>
        </w:rPr>
        <w:t>r</w:t>
      </w:r>
      <w:r w:rsidR="0052339E">
        <w:rPr>
          <w:rFonts w:ascii="Times New Roman" w:hAnsi="Times New Roman" w:cs="Times New Roman"/>
        </w:rPr>
        <w:t>IFG</w:t>
      </w:r>
      <w:proofErr w:type="spellEnd"/>
      <w:r w:rsidR="0052339E">
        <w:rPr>
          <w:rFonts w:ascii="Times New Roman" w:hAnsi="Times New Roman" w:cs="Times New Roman"/>
        </w:rPr>
        <w:t xml:space="preserve"> </w:t>
      </w:r>
      <w:r>
        <w:rPr>
          <w:rFonts w:ascii="Times New Roman" w:hAnsi="Times New Roman" w:cs="Times New Roman"/>
        </w:rPr>
        <w:t xml:space="preserve">during successful stopping </w:t>
      </w:r>
      <w:r w:rsidR="00A5616A" w:rsidRPr="006C4F40">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{"citationItems":[{"id":"ITEM-1","itemData":{"DOI":"10.1016/j.biopsych.2008.10.014","ISSN":"00063223","abstract":"Background: Atomoxetine, a selective noradrenaline reuptake inhibitor (SNRI) licensed for the treatment of attention-deficit/hyperactivity disorder (ADHD), has been shown to improve response inhibition in animals, healthy volunteers, and adult patients. However, the mechanisms by which atomoxetine improves inhibitory control have yet to be determined. Methods: The effects of atomoxetine (40 mg) were measured with a stop-signal functional magnetic resonance imaging (fMRI) paradigm in 19 healthy volunteers, in a within-subject, double-blind, placebo-controlled design. Results: Atomoxetine improved inhibitory control and increased activation in the right inferior frontal gyrus when volunteers attempted to inhibit their responses (irrespective of success). Plasma levels of drug correlated significantly with right inferior frontal gyrus activation only during successful inhibition. Conclusions: These results show that atomoxetine exerts its beneficial effects on inhibitory control via modulation of right inferior frontal function, with implications for understanding and treating inhibitory dysfunction of ADHD and other disorders. © 2009 Society of Biological Psychiatry.","author":[{"dropping-particle":"","family":"Chamberlain","given":"Samuel R.","non-dropping-particle":"","parse-names":false,"suffix":""},{"dropping-particle":"","family":"Hampshire","given":"Adam","non-dropping-particle":"","parse-names":false,"suffix":""},{"dropping-particle":"","family":"Müller","given":"Ulrich","non-dropping-particle":"","parse-names":false,"suffix":""},{"dropping-particle":"","family":"Rubia","given":"Katya","non-dropping-particle":"","parse-names":false,"suffix":""},{"dropping-particle":"","family":"Campo","given":"Natalia","non-dropping-particle":"del","parse-names":false,"suffix":""},{"dropping-particle":"","family":"Craig","given":"Kevin","non-dropping-particle":"","parse-names":false,"suffix":""},{"dropping-particle":"","family":"Regenthal","given":"Ralf","non-dropping-particle":"","parse-names":false,"suffix":""},{"dropping-particle":"","family":"Suckling","given":"John","non-dropping-particle":"","parse-names":false,"suffix":""},{"dropping-particle":"","family":"Roiser","given":"Jonathan P.","non-dropping-particle":"","parse-names":false,"suffix":""},{"dropping-particle":"","family":"Grant","given":"Jon E.","non-dropping-particle":"","parse-names":false,"suffix":""},{"dropping-particle":"","family":"Bullmore","given":"Edward T.","non-dropping-particle":"","parse-names":false,"suffix":""},{"dropping-particle":"","family":"Robbins","given":"Trevor W.","non-dropping-particle":"","parse-names":false,"suffix":""},{"dropping-particle":"","family":"Sahakian","given":"Barbara J.","non-dropping-particle":"","parse-names":false,"suffix":""}],"container-title":"Biological Psychiatry","id":"ITEM-1","issue":"7","issued":{"date-parts":[["2009"]]},"page":"550-555","publisher":"Society of Biological Psychiatry","title":"Atomoxetine Modulates Right Inferior Frontal Activation During Inhibitory Control: A Pharmacological Functional Magnetic Resonance Imaging Study","type":"article-journal","volume":"65"},"uris":["http://www.mendeley.com/documents/?uuid=c14a21aa-8370-482f-a275-30951fac1f22"]}],"mendeley":{"formattedCitation":"(24)","plainTextFormattedCitation":"(24)","previouslyFormattedCitation":"(24)"},"properties":{"noteIndex":0},"schema":"https://github.com/citation-style-language/schema/raw/master/csl-citation.json"}</w:instrText>
      </w:r>
      <w:r w:rsidR="00A5616A" w:rsidRPr="006C4F40">
        <w:rPr>
          <w:rFonts w:ascii="Times New Roman" w:hAnsi="Times New Roman" w:cs="Times New Roman"/>
        </w:rPr>
        <w:fldChar w:fldCharType="separate"/>
      </w:r>
      <w:r w:rsidR="00112D56" w:rsidRPr="00112D56">
        <w:rPr>
          <w:rFonts w:ascii="Times New Roman" w:hAnsi="Times New Roman" w:cs="Times New Roman"/>
          <w:noProof/>
        </w:rPr>
        <w:t>(24)</w:t>
      </w:r>
      <w:r w:rsidR="00A5616A" w:rsidRPr="006C4F40">
        <w:rPr>
          <w:rFonts w:ascii="Times New Roman" w:hAnsi="Times New Roman" w:cs="Times New Roman"/>
        </w:rPr>
        <w:fldChar w:fldCharType="end"/>
      </w:r>
      <w:r w:rsidRPr="006C4F40">
        <w:rPr>
          <w:rFonts w:ascii="Times New Roman" w:hAnsi="Times New Roman" w:cs="Times New Roman"/>
        </w:rPr>
        <w:t xml:space="preserve">. These results are consistent with the inverted-U </w:t>
      </w:r>
      <w:r w:rsidR="00877344">
        <w:rPr>
          <w:rFonts w:ascii="Times New Roman" w:hAnsi="Times New Roman" w:cs="Times New Roman"/>
        </w:rPr>
        <w:t xml:space="preserve">modulation by </w:t>
      </w:r>
      <w:r w:rsidR="003206A4" w:rsidRPr="006C4F40">
        <w:rPr>
          <w:rFonts w:ascii="Times New Roman" w:hAnsi="Times New Roman" w:cs="Times New Roman"/>
        </w:rPr>
        <w:t xml:space="preserve">norepinephrine </w:t>
      </w:r>
      <w:r w:rsidR="000F1AAC">
        <w:rPr>
          <w:rFonts w:ascii="Times New Roman" w:hAnsi="Times New Roman" w:cs="Times New Roman"/>
        </w:rPr>
        <w:t>of</w:t>
      </w:r>
      <w:r w:rsidRPr="006C4F40">
        <w:rPr>
          <w:rFonts w:ascii="Times New Roman" w:hAnsi="Times New Roman" w:cs="Times New Roman"/>
        </w:rPr>
        <w:t xml:space="preserve"> PFC-mediated cognitive control </w:t>
      </w:r>
      <w:r w:rsidRPr="006C4F40">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{"citationItems":[{"id":"ITEM-1","itemData":{"DOI":"10.3389/fncir.2014.00033","abstract":"While much progress has been made in identifying the brain regions and neurochemical systems involved in the cognitive processes disrupted in mental illnesses, to date, the level of detail at which neurobiologists can describe the chain of events giving rise to cognitive functions is very rudimentary. Much of the intense interest in understanding cognitive functions is motivated by the hope that it might be possible to understand these complex functions at the level of neurons and neural circuits. Here, we review the current state of the literature regarding how modulations in catecholamine levels within the prefrontal cortex (PFC) alter the neuronal and behavioral correlates of cognitive functions, particularly attention and working memory.","author":[{"dropping-particle":"","family":"Clark","given":"Kelsey L.","non-dropping-particle":"","parse-names":false,"suffix":""},{"dropping-particle":"","family":"Noudoost","given":"Behrad","non-dropping-particle":"","parse-names":false,"suffix":""}],"container-title":"Frontiers in Neural Circuits","id":"ITEM-1","issue":"April","issued":{"date-parts":[["2014"]]},"page":"1-19","title":"The role of prefrontal catecholamines in attention and working memory","type":"article-journal","volume":"8"},"uris":["http://www.mendeley.com/documents/?uuid=095e60e6-df84-4a15-850f-a4f6a70789c0"]},{"id":"ITEM-2","itemData":{"DOI":"10.1146/annurev.neuro.28.061604.135709","ISSN":"0147-006X","PMID":"16022602","abstract":"Historically, the locus coeruleus-norepinephrine (LC-NE) system has been implicated in arousal, but recent findings suggest that this system plays a more complex and specific role in the control of behavior than investigators previously thought. We review neurophysiological and modeling studies in monkey that support a new theory of LC-NE function. LC neurons exhibit two modes of activity, phasic and tonic. Phasic LC activation is driven by the outcome of task-related decision processes and is proposed to facilitate ensuing behaviors and to help optimize task performance (exploitation). When utility in the task wanes, LC neurons exhibit a tonic activity mode, associated with disengagement from the current task and a search for alternative behaviors (exploration). Monkey LC receives prominent, direct inputs from the anterior cingulate (ACC) and orbitofrontal cortices (OFC), both of which are thought to monitor task-related utility. We propose that these frontal areas produce the above patterns of LC activity to optimize utility on both short and long timescales.","author":[{"dropping-particle":"","family":"Aston-Jones","given":"Gary","non-dropping-particle":"","parse-names":false,"suffix":""},{"dropping-particle":"","family":"Cohen","given":"Jonathan D","non-dropping-particle":"","parse-names":false,"suffix":""}],"container-title":"Annual review of neuroscience","id":"ITEM-2","issued":{"date-parts":[["2005"]]},"page":"403-50","title":"An integrative theory of locus coeruleus-norepinephrine function: adaptive gain and optimal performance.","type":"article-journal","volume":"28"},"uris":["http://www.mendeley.com/documents/?uuid=65a02d42-8001-4384-9f11-94269ff90cf9"]},{"id":"ITEM-3","itemData":{"DOI":"10.1016/j.jaac.2010.06.015","ISSN":"08908567","abstract":"Objective This study examined the effects of the attention-deficit/ hyperactivity disorder treatments, methylphenidate (MPH) and atomoxetine (ATM), on prefrontal cortex (PFC) function in monkeys and explored the receptor mechanisms underlying enhancement of PFC function at the behavioral and cellular levels. Method Monkeys performed a working memory task after administration of a wide range of MPH or ATM doses. The optimal doses were challenged with the α2-adrenoceptor antagonist, idazoxan, or the D1 dopamine receptor antagonist, SCH23390 (SCH). In a parallel physiology study, neurons were recorded from the dorsolateral PFC of a monkey performing a working memory task. ATM, SCH, or the α2 antagonist, yohimbine, were applied to the neurons by iontophoresis. Results MPH and ATM generally produced inverted-U dose-response curves, with improvement occurring at moderate doses, but not at higher doses. The beneficial effects of these drugs were blocked by idazoxan or SCH. At the cellular level, ATM produced an inverted-U dose-response effect on memory-related firing, enhancing firing for preferred directions (increasing \"signals\") and decreasing firing for the nonpreferred directions (decreasing \"noise\"). The increase in persistent firing for the preferred direction was blocked by yohimbine, whereas the suppression of firing for the nonpreferred directions was blocked by SCH. Conclusions Optimal doses of MPH or ATM improved PFC cognitive function in monkeys. These enhancing effects appeared to involve indirect stimulation of α2 adrenoceptors and D1 dopamine receptors in the PFC. These receptor actions likely contribute to their therapeutic effects in the treatment of attention-deficit/hyperactivity disorder. © 2010 American Academy of Child and Adolescent Psychiatry.","author":[{"dropping-particle":"","family":"Gamo","given":"Nao J.","non-dropping-particle":"","parse-names":false,"suffix":""},{"dropping-particle":"","family":"Wang","given":"Min","non-dropping-particle":"","parse-names":false,"suffix":""},{"dropping-particle":"","family":"Arnsten","given":"Amy F.T.","non-dropping-particle":"","parse-names":false,"suffix":""}],"container-title":"Journal of the American Academy of Child and Adolescent Psychiatry","id":"ITEM-3","issue":"10","issued":{"date-parts":[["2010"]]},"page":"1011-1023","publisher":"Elsevier Inc.","title":"Methylphenidate and atomoxetine enhance prefrontal function through α2-adrenergic and dopamine D1 receptors","type":"article-journal","volume":"49"},"uris":["http://www.mendeley.com/documents/?uuid=7d355ab6-e5ef-45d1-a0cb-08e4f3348aa4"]}],"mendeley":{"formattedCitation":"(58–60)","plainTextFormattedCitation":"(58–60)","previouslyFormattedCitation":"(58–60)"},"properties":{"noteIndex":0},"schema":"https://github.com/citation-style-language/schema/raw/master/csl-citation.json"}</w:instrText>
      </w:r>
      <w:r w:rsidRPr="006C4F40">
        <w:rPr>
          <w:rFonts w:ascii="Times New Roman" w:hAnsi="Times New Roman" w:cs="Times New Roman"/>
        </w:rPr>
        <w:fldChar w:fldCharType="separate"/>
      </w:r>
      <w:r w:rsidR="00112D56" w:rsidRPr="00112D56">
        <w:rPr>
          <w:rFonts w:ascii="Times New Roman" w:hAnsi="Times New Roman" w:cs="Times New Roman"/>
          <w:noProof/>
        </w:rPr>
        <w:t>(58–60)</w:t>
      </w:r>
      <w:r w:rsidRPr="006C4F40">
        <w:rPr>
          <w:rFonts w:ascii="Times New Roman" w:hAnsi="Times New Roman" w:cs="Times New Roman"/>
        </w:rPr>
        <w:fldChar w:fldCharType="end"/>
      </w:r>
      <w:r w:rsidRPr="006C4F40">
        <w:rPr>
          <w:rFonts w:ascii="Times New Roman" w:hAnsi="Times New Roman" w:cs="Times New Roman"/>
        </w:rPr>
        <w:t xml:space="preserve">. </w:t>
      </w:r>
      <w:r w:rsidR="00B209F3" w:rsidRPr="006C4F40">
        <w:rPr>
          <w:rFonts w:ascii="Times New Roman" w:hAnsi="Times New Roman" w:cs="Times New Roman"/>
        </w:rPr>
        <w:t>T</w:t>
      </w:r>
      <w:r w:rsidR="003B7186" w:rsidRPr="006C4F40">
        <w:rPr>
          <w:rFonts w:ascii="Times New Roman" w:hAnsi="Times New Roman" w:cs="Times New Roman"/>
        </w:rPr>
        <w:t xml:space="preserve">hey are reminiscent of findings found not only with atomoxetine but also with methylphenidate which acts on both the </w:t>
      </w:r>
      <w:r w:rsidR="003B7186" w:rsidRPr="006C4F40">
        <w:rPr>
          <w:rFonts w:ascii="Times New Roman" w:hAnsi="Times New Roman" w:cs="Times New Roman"/>
        </w:rPr>
        <w:lastRenderedPageBreak/>
        <w:t xml:space="preserve">noradrenergic and dopaminergic systems, in accordance with the broader literature of optimal catecholamine levels determining optimal performance </w:t>
      </w:r>
      <w:r w:rsidR="003B7186" w:rsidRPr="006C4F40">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{"citationItems":[{"id":"ITEM-1","itemData":{"DOI":"10.1093/brain/awt263","ISSN":"14602156","PMID":"24163364","abstract":"Through the combined use of &lt;sup&gt;18&lt;/sup&gt;F-fallypride positron emission tomography and magnetic resonance imaging this study examined the neural mechanisms underlying the attentional deficits associated with attention deficit/hyperactivity disorder and their potential reversal with a single therapeutic dose of methylphenidate. Sixteen adult patients with attention deficit/hyperactivity disorder and 16 matched healthy control subjects were positron emission tomography and magnetic resonance imaging scanned and tested on a computerized sustained attention task after oral methylphenidate (0.5 mg/kg) and placebo administration in a within-subject, double-blind, cross-over design. Although patients with attention deficit/hyperactivity disorder as a group showed significant attentional deficits and reduced grey matter volume in fronto-striato-cerebellar and limbic networks, they had equivalent D &lt;inf&gt;2&lt;/inf&gt;/D&lt;inf&gt;3&lt;/inf&gt; receptor availability and equivalent increases in endogenous dopamine after methylphenidate treatment to that observed in healthy control subjects. However, poor attentional performers drawn from both the attention deficit/hyperactivity disorder and the control groups had significantly reduced left caudate dopamine activity. Methylphenidate significantly increased dopamine levels in all nigro-striatal regions, thereby normalizing dopamine levels in the left caudate in low performers. Behaviourally, methylphenidate improved sustained attention in a baseline performance-dependent manner, irrespective of diagnosis. This finding was accompanied by an equally performance-dependent effect of the drug on dopamine release in the midbrain, whereby low performers showed reduced dopamine release in this region. Collectively, these findings support a dimensional model of attentional deficits and underlying nigro-striatal dopaminergic mechanisms of attention deficit/hyperactivity disorder that extends into the healthy population. Moreover, they confer midbrain dopamine autoreceptors a hitherto neglected role in the therapeutic effects of oral methylphenidate in attention deficit/hyperactivity disorder. The absence of significant case-control differences in D&lt;inf&gt;2&lt;/inf&gt;/D&lt;inf&gt;3&lt;/inf&gt; receptor availability (despite the observed relationships between dopamine activity and attention) suggests that dopamine dysregulation per se is unlikely to be the primary cause underlying attention deficit/ hyperactivity disorder pathology in adults. This conclusion is rei…","author":[{"dropping-particle":"","family":"Campo","given":"Natalia","non-dropping-particle":"Del","parse-names":false,"suffix":""},{"dropping-particle":"","family":"Fryer","given":"Tim D.","non-dropping-particle":"","parse-names":false,"suffix":""},{"dropping-particle":"","family":"Hong","given":"Young T.","non-dropping-particle":"","parse-names":false,"suffix":""},{"dropping-particle":"","family":"Smith","given":"Rob","non-dropping-particle":"","parse-names":false,"suffix":""},{"dropping-particle":"","family":"Brichard","given":"Laurent","non-dropping-particle":"","parse-names":false,"suffix":""},{"dropping-particle":"","family":"Acosta-Cabronero","given":"Julio","non-dropping-particle":"","parse-names":false,"suffix":""},{"dropping-particle":"","family":"Chamberlain","given":"Samuel R.","non-dropping-particle":"","parse-names":false,"suffix":""},{"dropping-particle":"","family":"Tait","given":"Roger","non-dropping-particle":"","parse-names":false,"suffix":""},{"dropping-particle":"","family":"Izquierdo","given":"David","non-dropping-particle":"","parse-names":false,"suffix":""},{"dropping-particle":"","family":"Regenthal","given":"Ralf","non-dropping-particle":"","parse-names":false,"suffix":""},{"dropping-particle":"","family":"Dowson","given":"Jonathan","non-dropping-particle":"","parse-names":false,"suffix":""},{"dropping-particle":"","family":"Suckling","given":"John","non-dropping-particle":"","parse-names":false,"suffix":""},{"dropping-particle":"","family":"Baron","given":"Jean Claude","non-dropping-particle":"","parse-names":false,"suffix":""},{"dropping-particle":"","family":"Aigbirhio","given":"Franklin I.","non-dropping-particle":"","parse-names":false,"suffix":""},{"dropping-particle":"","family":"Robbins","given":"Trevor W.","non-dropping-particle":"","parse-names":false,"suffix":""},{"dropping-particle":"","family":"Sahakian","given":"Barbara J.","non-dropping-particle":"","parse-names":false,"suffix":""},{"dropping-particle":"","family":"Müller","given":"Ulrich","non-dropping-particle":"","parse-names":false,"suffix":""}],"container-title":"Brain","id":"ITEM-1","issue":"11","issued":{"date-parts":[["2013"]]},"page":"3252-3270","title":"A positron emission tomography study of nigro-striatal dopaminergic mechanisms underlying attention: Implications for ADHD and its treatment","type":"article-journal","volume":"136"},"uris":["http://www.mendeley.com/documents/?uuid=93079544-2a8b-4da0-ab79-2a2658899890"]},{"id":"ITEM-2","itemData":{"DOI":"10.1007/s00213-007-0701-7","ISBN":"0021300707017","ISSN":"00333158","abstract":"Rationale: The stop-signal reaction time (SSRT) task measures inhibition of a response that has already been initiated, i.e. the ability to stop. 'Impulsive' human subjects, e.g. with attention deficit and hyperactivity disorder (ADHD), have longer SSRTs. Both SSRT and go-trial reaction time (GoRT) may be sensitive to drugs such as d-amphetamine, methylphenidate and modafinil, both in normal subjects and those with ADHD. Objectives: To investigate the effects of modafinil (3, 10, 30 and 100 mg/kg) and methylphenidate (0.3, 1.0 and 3.0 mg/kg) on SSRT task performance in the rat. To investigate the possible contribution of dopamine receptors in the action of these drugs using the mixed D1/D2 dopamine receptor antagonist cis-flupenthixol. Results: Modafinil significantly decreased SSRT with little effect on GoRT but only in rats with slow baseline SSRTs. Fast SSRTs were not changed by modafinil. Methylphenidate decreased GoRTs of all rats. However, methylphenidate had baseline-dependent effects on SSRT, decreasing SSRT in slow responders but increasing SSRT in fast responders. Cis-flupenthixol (0.01, 0.04 and 0.125 mg/kg) had no effects on SSRT but increased GoRT at higher doses. At the lowest dose (0.01 mg/kg), cis-flupenthixol failed to disrupt the SSRT-decreasing effects of either modafinil or methylphenidate, whereas at 0.04 mg/kg, the cis-flupenthixol- dependent increase in GoRT was antagonised by methylphenidate but not by modafinil. Conclusions: This evidence supports a hypothesis that stop and go processes are under control of distinct neurochemical mechanisms. © 2007 Springer-Verlag.","author":[{"dropping-particle":"","family":"Eagle","given":"Dawn M.","non-dropping-particle":"","parse-names":false,"suffix":""},{"dropping-particle":"","family":"Tufft","given":"Miles R.A.","non-dropping-particle":"","parse-names":false,"suffix":""},{"dropping-particle":"","family":"Goodchild","given":"Hannah L.","non-dropping-particle":"","parse-names":false,"suffix":""},{"dropping-particle":"","family":"Robbins","given":"Trevor W.","non-dropping-particle":"","parse-names":false,"suffix":""}],"container-title":"Psychopharmacology","id":"ITEM-2","issue":"2","issued":{"date-parts":[["2007"]]},"page":"193-206","title":"Differential effects of modafinil and methylphenidate on stop-signal reaction time task performance in the rat, and interactions with the dopamine receptor antagonist cis-flupenthixol","type":"article-journal","volume":"192"},"uris":["http://www.mendeley.com/documents/?uuid=33dca4ab-3d50-42d4-bf0c-359180706d0a"]},{"id":"ITEM-3","itemData":{"DOI":"10.1038/jid.2014.371","ISBN":"6176321972","ISSN":"15378276","PMID":"1000000221","author":[{"dropping-particle":"","family":"Arnsten","given":"AF","non-dropping-particle":"","parse-names":false,"suffix":""},{"dropping-particle":"","family":"Pliszka","given":"Steven","non-dropping-particle":"","parse-names":false,"suffix":""}],"container-title":"Pharmacol Biochem Behav","id":"ITEM-3","issue":"2","issued":{"date-parts":[["2011"]]},"page":"211–216","title":"Catecholamine Influences on Prefrontal Cortical Function: Relevance to Treatment of Attention Deficit Hyperactivity Disorder and Related Disorders","type":"article-journal","volume":"99"},"uris":["http://www.mendeley.com/documents/?uuid=24097164-f0f2-4991-bd51-86cf9b499531"]}],"mendeley":{"formattedCitation":"(61–63)","plainTextFormattedCitation":"(61–63)","previouslyFormattedCitation":"(61–63)"},"properties":{"noteIndex":0},"schema":"https://github.com/citation-style-language/schema/raw/master/csl-citation.json"}</w:instrText>
      </w:r>
      <w:r w:rsidR="003B7186" w:rsidRPr="006C4F40">
        <w:rPr>
          <w:rFonts w:ascii="Times New Roman" w:hAnsi="Times New Roman" w:cs="Times New Roman"/>
        </w:rPr>
        <w:fldChar w:fldCharType="separate"/>
      </w:r>
      <w:r w:rsidR="00112D56" w:rsidRPr="00112D56">
        <w:rPr>
          <w:rFonts w:ascii="Times New Roman" w:hAnsi="Times New Roman" w:cs="Times New Roman"/>
          <w:noProof/>
        </w:rPr>
        <w:t>(61–63)</w:t>
      </w:r>
      <w:r w:rsidR="003B7186" w:rsidRPr="006C4F40">
        <w:rPr>
          <w:rFonts w:ascii="Times New Roman" w:hAnsi="Times New Roman" w:cs="Times New Roman"/>
        </w:rPr>
        <w:fldChar w:fldCharType="end"/>
      </w:r>
      <w:r w:rsidR="003B7186" w:rsidRPr="006C4F40">
        <w:rPr>
          <w:rFonts w:ascii="Times New Roman" w:hAnsi="Times New Roman" w:cs="Times New Roman"/>
        </w:rPr>
        <w:t>. This</w:t>
      </w:r>
      <w:r w:rsidR="003B7186">
        <w:rPr>
          <w:rFonts w:ascii="Times New Roman" w:hAnsi="Times New Roman" w:cs="Times New Roman"/>
        </w:rPr>
        <w:t xml:space="preserve"> also points to the </w:t>
      </w:r>
      <w:r w:rsidR="000F1AAC">
        <w:rPr>
          <w:rFonts w:ascii="Times New Roman" w:hAnsi="Times New Roman" w:cs="Times New Roman"/>
        </w:rPr>
        <w:t xml:space="preserve">likely </w:t>
      </w:r>
      <w:r w:rsidR="003B7186">
        <w:rPr>
          <w:rFonts w:ascii="Times New Roman" w:hAnsi="Times New Roman" w:cs="Times New Roman"/>
        </w:rPr>
        <w:t xml:space="preserve">utility of </w:t>
      </w:r>
      <w:r w:rsidR="00D410B1">
        <w:rPr>
          <w:rFonts w:ascii="Times New Roman" w:hAnsi="Times New Roman" w:cs="Times New Roman"/>
        </w:rPr>
        <w:t xml:space="preserve">placebo </w:t>
      </w:r>
      <w:r w:rsidR="003B7186">
        <w:rPr>
          <w:rFonts w:ascii="Times New Roman" w:hAnsi="Times New Roman" w:cs="Times New Roman"/>
        </w:rPr>
        <w:t xml:space="preserve">inhibitory performance </w:t>
      </w:r>
      <w:r w:rsidR="00846BC6">
        <w:rPr>
          <w:rFonts w:ascii="Times New Roman" w:hAnsi="Times New Roman" w:cs="Times New Roman"/>
        </w:rPr>
        <w:t xml:space="preserve">(“baseline”) </w:t>
      </w:r>
      <w:r w:rsidR="003B7186">
        <w:rPr>
          <w:rFonts w:ascii="Times New Roman" w:hAnsi="Times New Roman" w:cs="Times New Roman"/>
        </w:rPr>
        <w:t xml:space="preserve">in predicting subsequent effects of </w:t>
      </w:r>
      <w:r w:rsidR="00F97D18">
        <w:rPr>
          <w:rFonts w:ascii="Times New Roman" w:hAnsi="Times New Roman" w:cs="Times New Roman"/>
        </w:rPr>
        <w:t>atomoxetine</w:t>
      </w:r>
      <w:r w:rsidR="003B7186">
        <w:rPr>
          <w:rFonts w:ascii="Times New Roman" w:hAnsi="Times New Roman" w:cs="Times New Roman"/>
        </w:rPr>
        <w:t xml:space="preserve"> on cognitive control across individuals.  </w:t>
      </w:r>
      <w:r w:rsidR="00AD2A04">
        <w:rPr>
          <w:rFonts w:ascii="Times New Roman" w:hAnsi="Times New Roman" w:cs="Times New Roman"/>
        </w:rPr>
        <w:t xml:space="preserve">Larger studies </w:t>
      </w:r>
      <w:r w:rsidR="00364E6E">
        <w:rPr>
          <w:rFonts w:ascii="Times New Roman" w:hAnsi="Times New Roman" w:cs="Times New Roman"/>
        </w:rPr>
        <w:t xml:space="preserve">may be more adequately </w:t>
      </w:r>
      <w:r w:rsidR="00AD2A04">
        <w:rPr>
          <w:rFonts w:ascii="Times New Roman" w:hAnsi="Times New Roman" w:cs="Times New Roman"/>
        </w:rPr>
        <w:t>power</w:t>
      </w:r>
      <w:r w:rsidR="00364E6E">
        <w:rPr>
          <w:rFonts w:ascii="Times New Roman" w:hAnsi="Times New Roman" w:cs="Times New Roman"/>
        </w:rPr>
        <w:t>ed</w:t>
      </w:r>
      <w:r w:rsidR="00AD2A04">
        <w:rPr>
          <w:rFonts w:ascii="Times New Roman" w:hAnsi="Times New Roman" w:cs="Times New Roman"/>
        </w:rPr>
        <w:t xml:space="preserve"> to detect group-level benefits to CUD patients driven by those who show</w:t>
      </w:r>
      <w:r w:rsidR="00621C98">
        <w:rPr>
          <w:rFonts w:ascii="Times New Roman" w:hAnsi="Times New Roman" w:cs="Times New Roman"/>
        </w:rPr>
        <w:t>ed</w:t>
      </w:r>
      <w:r w:rsidR="00AD2A04">
        <w:rPr>
          <w:rFonts w:ascii="Times New Roman" w:hAnsi="Times New Roman" w:cs="Times New Roman"/>
        </w:rPr>
        <w:t xml:space="preserve"> increased </w:t>
      </w:r>
      <w:proofErr w:type="spellStart"/>
      <w:r w:rsidR="00AD2A04">
        <w:rPr>
          <w:rFonts w:ascii="Times New Roman" w:hAnsi="Times New Roman" w:cs="Times New Roman"/>
        </w:rPr>
        <w:t>rIFG</w:t>
      </w:r>
      <w:proofErr w:type="spellEnd"/>
      <w:r w:rsidR="00AD2A04">
        <w:rPr>
          <w:rFonts w:ascii="Times New Roman" w:hAnsi="Times New Roman" w:cs="Times New Roman"/>
        </w:rPr>
        <w:t xml:space="preserve"> activation and improved stopping performance.  </w:t>
      </w:r>
    </w:p>
    <w:p w14:paraId="1678E781" w14:textId="29520C58" w:rsidR="00F70CF6" w:rsidRDefault="00FF4D4E" w:rsidP="00BF7E9E">
      <w:pPr>
        <w:spacing w:line="360" w:lineRule="auto"/>
        <w:rPr>
          <w:rFonts w:ascii="Times New Roman" w:hAnsi="Times New Roman" w:cs="Times New Roman"/>
        </w:rPr>
      </w:pPr>
      <w:r w:rsidRPr="00FF4D4E">
        <w:rPr>
          <w:rFonts w:ascii="Times New Roman" w:hAnsi="Times New Roman" w:cs="Times New Roman"/>
        </w:rPr>
        <w:t>Unexpectedly, atomoxetine also improved response execution compared to placebo</w:t>
      </w:r>
      <w:r w:rsidR="00045DD8">
        <w:rPr>
          <w:rFonts w:ascii="Times New Roman" w:hAnsi="Times New Roman" w:cs="Times New Roman"/>
        </w:rPr>
        <w:t>.</w:t>
      </w:r>
      <w:r w:rsidR="009C5E79">
        <w:rPr>
          <w:rFonts w:ascii="Times New Roman" w:hAnsi="Times New Roman" w:cs="Times New Roman"/>
        </w:rPr>
        <w:t xml:space="preserve"> </w:t>
      </w:r>
      <w:r w:rsidR="007321D9">
        <w:rPr>
          <w:rFonts w:ascii="Times New Roman" w:hAnsi="Times New Roman" w:cs="Times New Roman"/>
        </w:rPr>
        <w:t>T</w:t>
      </w:r>
      <w:r w:rsidRPr="00FF4D4E">
        <w:rPr>
          <w:rFonts w:ascii="Times New Roman" w:hAnsi="Times New Roman" w:cs="Times New Roman"/>
        </w:rPr>
        <w:t>h</w:t>
      </w:r>
      <w:r w:rsidR="007321D9">
        <w:rPr>
          <w:rFonts w:ascii="Times New Roman" w:hAnsi="Times New Roman" w:cs="Times New Roman"/>
        </w:rPr>
        <w:t xml:space="preserve">ese improvements </w:t>
      </w:r>
      <w:r w:rsidR="001F3FC9">
        <w:rPr>
          <w:rFonts w:ascii="Times New Roman" w:hAnsi="Times New Roman" w:cs="Times New Roman"/>
        </w:rPr>
        <w:t>were f</w:t>
      </w:r>
      <w:r w:rsidR="00E569B4">
        <w:rPr>
          <w:rFonts w:ascii="Times New Roman" w:hAnsi="Times New Roman" w:cs="Times New Roman"/>
        </w:rPr>
        <w:t>o</w:t>
      </w:r>
      <w:r w:rsidR="001F3FC9">
        <w:rPr>
          <w:rFonts w:ascii="Times New Roman" w:hAnsi="Times New Roman" w:cs="Times New Roman"/>
        </w:rPr>
        <w:t>und</w:t>
      </w:r>
      <w:r w:rsidR="007321D9">
        <w:rPr>
          <w:rFonts w:ascii="Times New Roman" w:hAnsi="Times New Roman" w:cs="Times New Roman"/>
        </w:rPr>
        <w:t xml:space="preserve"> </w:t>
      </w:r>
      <w:r w:rsidRPr="00FF4D4E">
        <w:rPr>
          <w:rFonts w:ascii="Times New Roman" w:hAnsi="Times New Roman" w:cs="Times New Roman"/>
        </w:rPr>
        <w:t>in a baseline-dependent manner, independent from diagnosis.</w:t>
      </w:r>
      <w:r w:rsidR="00E92B3B">
        <w:rPr>
          <w:rFonts w:ascii="Times New Roman" w:hAnsi="Times New Roman" w:cs="Times New Roman"/>
        </w:rPr>
        <w:t xml:space="preserve"> Moreover, faster responding with atomoxetine was </w:t>
      </w:r>
      <w:r w:rsidR="00877344">
        <w:rPr>
          <w:rFonts w:ascii="Times New Roman" w:hAnsi="Times New Roman" w:cs="Times New Roman"/>
        </w:rPr>
        <w:t xml:space="preserve">positively </w:t>
      </w:r>
      <w:r w:rsidR="00E92B3B">
        <w:rPr>
          <w:rFonts w:ascii="Times New Roman" w:hAnsi="Times New Roman" w:cs="Times New Roman"/>
        </w:rPr>
        <w:t xml:space="preserve">associated with enhanced activation in </w:t>
      </w:r>
      <w:r w:rsidR="00AB242C">
        <w:rPr>
          <w:rFonts w:ascii="Times New Roman" w:hAnsi="Times New Roman" w:cs="Times New Roman"/>
        </w:rPr>
        <w:t xml:space="preserve">primary motor cortex, which is typically activated </w:t>
      </w:r>
      <w:r w:rsidR="009C5E79">
        <w:rPr>
          <w:rFonts w:ascii="Times New Roman" w:hAnsi="Times New Roman" w:cs="Times New Roman"/>
        </w:rPr>
        <w:t>with</w:t>
      </w:r>
      <w:r w:rsidR="00877344">
        <w:rPr>
          <w:rFonts w:ascii="Times New Roman" w:hAnsi="Times New Roman" w:cs="Times New Roman"/>
        </w:rPr>
        <w:t xml:space="preserve"> </w:t>
      </w:r>
      <w:r w:rsidR="00AB242C">
        <w:rPr>
          <w:rFonts w:ascii="Times New Roman" w:hAnsi="Times New Roman" w:cs="Times New Roman"/>
        </w:rPr>
        <w:t>response execution</w:t>
      </w:r>
      <w:r w:rsidR="00FB39E2">
        <w:rPr>
          <w:rFonts w:ascii="Times New Roman" w:hAnsi="Times New Roman" w:cs="Times New Roman"/>
        </w:rPr>
        <w:t xml:space="preserve"> </w:t>
      </w:r>
      <w:r w:rsidR="00FB39E2">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{"citationItems":[{"id":"ITEM-1","itemData":{"DOI":"10.1523/JNEUROSCI.4682-05.2006","ISSN":"02706474","PMID":"16510720","abstract":"Suppressing an already initiated manual response depends critically on the right inferior frontal cortex (IFC), yet it is unclear how this inhibitory function is implemented in the motor system. It has been suggested that the subthalamic nucleus (STN), which is a part of the basal ganglia, may play a role because it is well placed to suppress the \"direct\" fronto-striatal pathway that is activated by response initiation. In two experiments, we investigated this hypothesis with functional magnetic resonance imaging and a Stop-signal task. Subjects responded to Go signals and attempted to inhibit the initiated response to occasional Stop signals. In experiment 1, Going significantly activated frontal, striatal, pallidal, and motor cortical regions, consistent with the direct pathway, whereas Stopping significantly activated right IFC and STN. In addition, Stopping-related activation was significantly greater for fast inhibitors than slow ones in both IFC and STN, and activity in these regions was correlated across subjects. In experiment 2, high-resolution functional and structural imaging confirmed the location of Stopping activation within the vicinity of the STN. We propose that the role of the STN is to suppress thalamocortical output, thereby blocking Go response execution. These results provide convergent data for a role for the STN in Stop-signal response inhibition. They also suggest that the speed of Go and Stop processes could relate to the relative activation of different neural pathways. Future research is required to establish whether Stop-signal inhibition could be implemented via a direct functional neuroanatomic projection between IFC and STN (a \"hyperdirect\" pathway). Copyright © 2006 Society for Neuroscience.","author":[{"dropping-particle":"","family":"Aron","given":"Adam R.","non-dropping-particle":"","parse-names":false,"suffix":""},{"dropping-particle":"","family":"Poldrack","given":"Russell A.","non-dropping-particle":"","parse-names":false,"suffix":""}],"container-title":"Journal of Neuroscience","id":"ITEM-1","issue":"9","issued":{"date-parts":[["2006"]]},"page":"2424-2433","title":"Cortical and subcortical contributions to stop signal response inhibition: Role of the subthalamic nucleus","type":"article-journal","volume":"26"},"uris":["http://www.mendeley.com/documents/?uuid=aaf97c61-3ce6-4684-8e53-6c737ad23ce4"]}],"mendeley":{"formattedCitation":"(8)","plainTextFormattedCitation":"(8)","previouslyFormattedCitation":"(8)"},"properties":{"noteIndex":0},"schema":"https://github.com/citation-style-language/schema/raw/master/csl-citation.json"}</w:instrText>
      </w:r>
      <w:r w:rsidR="00FB39E2">
        <w:rPr>
          <w:rFonts w:ascii="Times New Roman" w:hAnsi="Times New Roman" w:cs="Times New Roman"/>
        </w:rPr>
        <w:fldChar w:fldCharType="separate"/>
      </w:r>
      <w:r w:rsidR="00112D56" w:rsidRPr="00112D56">
        <w:rPr>
          <w:rFonts w:ascii="Times New Roman" w:hAnsi="Times New Roman" w:cs="Times New Roman"/>
          <w:noProof/>
        </w:rPr>
        <w:t>(8)</w:t>
      </w:r>
      <w:r w:rsidR="00FB39E2">
        <w:rPr>
          <w:rFonts w:ascii="Times New Roman" w:hAnsi="Times New Roman" w:cs="Times New Roman"/>
        </w:rPr>
        <w:fldChar w:fldCharType="end"/>
      </w:r>
      <w:r w:rsidR="00E92B3B">
        <w:rPr>
          <w:rFonts w:ascii="Times New Roman" w:hAnsi="Times New Roman" w:cs="Times New Roman"/>
        </w:rPr>
        <w:t>. Atomoxetine is known</w:t>
      </w:r>
      <w:r w:rsidR="007C7BF9">
        <w:rPr>
          <w:rFonts w:ascii="Times New Roman" w:hAnsi="Times New Roman" w:cs="Times New Roman"/>
        </w:rPr>
        <w:t xml:space="preserve"> to improve </w:t>
      </w:r>
      <w:r w:rsidR="00B930E3">
        <w:rPr>
          <w:rFonts w:ascii="Times New Roman" w:hAnsi="Times New Roman" w:cs="Times New Roman"/>
        </w:rPr>
        <w:t>attention,</w:t>
      </w:r>
      <w:r w:rsidR="00E92B3B">
        <w:rPr>
          <w:rFonts w:ascii="Times New Roman" w:hAnsi="Times New Roman" w:cs="Times New Roman"/>
        </w:rPr>
        <w:t xml:space="preserve"> but</w:t>
      </w:r>
      <w:r w:rsidR="00457AA7">
        <w:rPr>
          <w:rFonts w:ascii="Times New Roman" w:hAnsi="Times New Roman" w:cs="Times New Roman"/>
        </w:rPr>
        <w:t xml:space="preserve"> acute administration</w:t>
      </w:r>
      <w:r w:rsidR="00E92B3B">
        <w:rPr>
          <w:rFonts w:ascii="Times New Roman" w:hAnsi="Times New Roman" w:cs="Times New Roman"/>
        </w:rPr>
        <w:t xml:space="preserve"> does not </w:t>
      </w:r>
      <w:r w:rsidR="00457AA7">
        <w:rPr>
          <w:rFonts w:ascii="Times New Roman" w:hAnsi="Times New Roman" w:cs="Times New Roman"/>
        </w:rPr>
        <w:t xml:space="preserve">typically </w:t>
      </w:r>
      <w:r w:rsidR="007C7BF9">
        <w:rPr>
          <w:rFonts w:ascii="Times New Roman" w:hAnsi="Times New Roman" w:cs="Times New Roman"/>
        </w:rPr>
        <w:t xml:space="preserve">promote general response speeding </w:t>
      </w:r>
      <w:r w:rsidR="00A62B86">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{"citationItems":[{"id":"ITEM-1","itemData":{"DOI":"10.1016/j.nicl.2014.09.001","ISSN":"22131582","abstract":"The object of the current study is to explore the neural substrate for effects of atomoxetine (ATX) on inhibitory control in school-aged children with attention deficit hyperactivity disorder (ADHD) using functional near-infrared spectroscopy (fNIRS). We monitored the oxy-hemoglobin signal changes of sixteen ADHD children (6-14 years old) performing a go/no-go task before and 1.5 h after ATX or placebo administration, in a randomized, double-blind, placebo-controlled, crossover design. Sixteen age-and gender-matched normal controls without ATX administration were also monitored. In the control subjects, the go/no-go task recruited the right inferior and middle prefrontal gyri (IFG/MFG), and this activation was absent in pre-medicated ADHD children. The reduction of right IFG/MFG activation was acutely normalized after ATX administration but not placebo administration in ADHD children. These results are reminiscent of the neuropharmacological effects of methylphenidate to up-regulate reduced right IFG/MFG function in ADHD children during inhibitory tasks. As with methylphenidate, activation in the IFG/MFG could serve as an objective neuro-functional biomarker to indicate the effects of ATX on inhibitory control in ADHD children. This promising technique will enhance early clinical diagnosis and treatment of ADHD in children, especially in those with a hyperactivity/impulsivity phenotype.","author":[{"dropping-particle":"","family":"Nagashima","given":"Masako","non-dropping-particle":"","parse-names":false,"suffix":""},{"dropping-particle":"","family":"Monden","given":"Yukifumi","non-dropping-particle":"","parse-names":false,"suffix":""},{"dropping-particle":"","family":"Dan","given":"Ippeita","non-dropping-particle":"","parse-names":false,"suffix":""},{"dropping-particle":"","family":"Dan","given":"Haruka","non-dropping-particle":"","parse-names":false,"suffix":""},{"dropping-particle":"","family":"Tsuzuki","given":"Daisuke","non-dropping-particle":"","parse-names":false,"suffix":""},{"dropping-particle":"","family":"Mizutani","given":"Tsutomu","non-dropping-particle":"","parse-names":false,"suffix":""},{"dropping-particle":"","family":"Kyutoku","given":"Yasushi","non-dropping-particle":"","parse-names":false,"suffix":""},{"dropping-particle":"","family":"Gunji","given":"Yuji","non-dropping-particle":"","parse-names":false,"suffix":""},{"dropping-particle":"","family":"Hirano","given":"Daisuke","non-dropping-particle":"","parse-names":false,"suffix":""},{"dropping-particle":"","family":"Taniguchi","given":"Takamichi","non-dropping-particle":"","parse-names":false,"suffix":""},{"dropping-particle":"","family":"Shimoizumi","given":"Hideo","non-dropping-particle":"","parse-names":false,"suffix":""},{"dropping-particle":"","family":"Momoi","given":"Mariko Y.","non-dropping-particle":"","parse-names":false,"suffix":""},{"dropping-particle":"","family":"Watanabe","given":"Eiju","non-dropping-particle":"","parse-names":false,"suffix":""},{"dropping-particle":"","family":"Yamagata","given":"Takanori","non-dropping-particle":"","parse-names":false,"suffix":""}],"container-title":"NeuroImage: Clinical","id":"ITEM-1","issued":{"date-parts":[["2014"]]},"page":"192-201","publisher":"Elsevier B.V.","title":"Acute neuropharmacological effects of atomoxetine on inhibitory control in ADHD children: A fNIRS study","type":"article-journal","volume":"6"},"uris":["http://www.mendeley.com/documents/?uuid=db48d92e-9f7e-47a1-a9e0-c27306e1c4f1"]},{"id":"ITEM-2","itemData":{"DOI":"10.1016/j.biopsych.2010.11.014","ISSN":"00063223","abstract":"Background: Response inhibition is a prototypical executive function of considerable clinical relevance to psychiatry. Nevertheless, our understanding of its pharmacological modulation remains incomplete. Methods: We used a randomized, double-blind, placebo-controlled, crossover design to examine the effect of an acute dose of methylphenidate (MPH) (30 mg), atomoxetine (ATM) (60 mg), citalopram (CIT) (30 mg), and placebo (PLAC) (dextrose) on the stop signal inhibition task in 24 healthy, right-handed men 1835 years of age. Participants performed the task under each of the four drug conditions across four consecutive sessions. Results: Methylphenidate led to a reduction in both response time variability and stop-signal reaction time (SSRT), indicating enhanced response inhibition compared with all other drug conditions. Crucially, the enhancement of response inhibition by MPH occurred without concomitant changes in overall response speed, arguing against a simple enhancement of processing speed. We found no significant differences between ATM and PLAC, CIT and PLAC, or ATM and CIT for either response time variability or SSRT. Conclusions: An acute dose of MPH but not ATM or CIT was able to improve SSRT and reduce response time variability in nonclinical participants. Improvements in response inhibition and response variability might underlie the reported clinical benefits of MPH in disorders such as attention-deficit/hyperactivity disorder. © 2011 Society of Biological Psychiatry.","author":[{"dropping-particle":"","family":"Nandam","given":"L. Sanjay","non-dropping-particle":"","parse-names":false,"suffix":""},{"dropping-particle":"","family":"Hester","given":"Robert","non-dropping-particle":"","parse-names":false,"suffix":""},{"dropping-particle":"","family":"Wagner","given":"Joe","non-dropping-particle":"","parse-names":false,"suffix":""},{"dropping-particle":"","family":"Cummins","given":"Tarrant D.R.","non-dropping-particle":"","parse-names":false,"suffix":""},{"dropping-particle":"","family":"Garner","given":"Kelly","non-dropping-particle":"","parse-names":false,"suffix":""},{"dropping-particle":"","family":"Dean","given":"Angela J.","non-dropping-particle":"","parse-names":false,"suffix":""},{"dropping-particle":"","family":"Kim","given":"Bung Nyun","non-dropping-particle":"","parse-names":false,"suffix":""},{"dropping-particle":"","family":"Nathan","given":"Pradeep J.","non-dropping-particle":"","parse-names":false,"suffix":""},{"dropping-particle":"","family":"Mattingley","given":"Jason B.","non-dropping-particle":"","parse-names":false,"suffix":""},{"dropping-particle":"","family":"Bellgrove","given":"Mark A.","non-dropping-particle":"","parse-names":false,"suffix":""}],"container-title":"Biological Psychiatry","id":"ITEM-2","issue":"9","issued":{"date-parts":[["2011"]]},"page":"902-904","publisher":"Elsevier Inc.","title":"Methylphenidate but not atomoxetine or citalopram modulates inhibitory control and response time variability","type":"article-journal","volume":"69"},"uris":["http://www.mendeley.com/documents/?uuid=ca2ec655-6150-4785-b5e6-535bbe389d38"]}],"mendeley":{"formattedCitation":"(26,64)","plainTextFormattedCitation":"(26,64)","previouslyFormattedCitation":"(26,64)"},"properties":{"noteIndex":0},"schema":"https://github.com/citation-style-language/schema/raw/master/csl-citation.json"}</w:instrText>
      </w:r>
      <w:r w:rsidR="00A62B86">
        <w:rPr>
          <w:rFonts w:ascii="Times New Roman" w:hAnsi="Times New Roman" w:cs="Times New Roman"/>
        </w:rPr>
        <w:fldChar w:fldCharType="separate"/>
      </w:r>
      <w:r w:rsidR="00112D56" w:rsidRPr="00112D56">
        <w:rPr>
          <w:rFonts w:ascii="Times New Roman" w:hAnsi="Times New Roman" w:cs="Times New Roman"/>
          <w:noProof/>
        </w:rPr>
        <w:t>(26,64)</w:t>
      </w:r>
      <w:r w:rsidR="00A62B86">
        <w:rPr>
          <w:rFonts w:ascii="Times New Roman" w:hAnsi="Times New Roman" w:cs="Times New Roman"/>
        </w:rPr>
        <w:fldChar w:fldCharType="end"/>
      </w:r>
      <w:r w:rsidR="009521B7">
        <w:rPr>
          <w:rFonts w:ascii="Times New Roman" w:hAnsi="Times New Roman" w:cs="Times New Roman"/>
        </w:rPr>
        <w:t xml:space="preserve">. Faster response latencies with atomoxetine compared to placebo </w:t>
      </w:r>
      <w:r w:rsidR="00645625">
        <w:rPr>
          <w:rFonts w:ascii="Times New Roman" w:hAnsi="Times New Roman" w:cs="Times New Roman"/>
        </w:rPr>
        <w:t>in the stop</w:t>
      </w:r>
      <w:r w:rsidR="00571284">
        <w:rPr>
          <w:rFonts w:ascii="Times New Roman" w:hAnsi="Times New Roman" w:cs="Times New Roman"/>
        </w:rPr>
        <w:t>-</w:t>
      </w:r>
      <w:r w:rsidR="00645625">
        <w:rPr>
          <w:rFonts w:ascii="Times New Roman" w:hAnsi="Times New Roman" w:cs="Times New Roman"/>
        </w:rPr>
        <w:t xml:space="preserve">signal task </w:t>
      </w:r>
      <w:r w:rsidR="009521B7">
        <w:rPr>
          <w:rFonts w:ascii="Times New Roman" w:hAnsi="Times New Roman" w:cs="Times New Roman"/>
        </w:rPr>
        <w:t xml:space="preserve">were </w:t>
      </w:r>
      <w:r w:rsidR="00645625">
        <w:rPr>
          <w:rFonts w:ascii="Times New Roman" w:hAnsi="Times New Roman" w:cs="Times New Roman"/>
        </w:rPr>
        <w:t xml:space="preserve">also </w:t>
      </w:r>
      <w:r w:rsidR="009521B7">
        <w:rPr>
          <w:rFonts w:ascii="Times New Roman" w:hAnsi="Times New Roman" w:cs="Times New Roman"/>
        </w:rPr>
        <w:t xml:space="preserve">reported in ADHD boys </w:t>
      </w:r>
      <w:r w:rsidR="008C3380">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{"citationItems":[{"id":"ITEM-1","itemData":{"DOI":"10.1093/cercor/bhs296","ISSN":"14602199","abstract":"The stimulant methylphenidate (MPX) and the nonstimulant atomoxetine (ATX) are the most commonly prescribed medications for attention deficit hyperactivity disorder (ADHD). However, no functional magnetic resonance imaging (fMRI) study has as yet investigated the effects of ATX on inhibitory or any other brain function in ADHD patients or compared its effects with those of MPX. A randomized, double-blind, placebo-controlled, crossover pharmacological design was used to compare the neurofunctional effects of single doses of MPX, ATX, and placebo during a stop task, combined with fMRI within 19 medication-naive ADHD boys, and their potential normalization effects relative to 29 age-matched healthy boys. Compared with controls, ADHD boys under placebo showed bilateral ventrolateral prefrontal, middle temporal, and cerebellar underactivation. Within patients, MPX relative to ATX and placebo significantly upregulated right ventrolateral prefrontal activation, which correlated with enhanced inhibitory capacity. Relative to controls, both drugs significantly normalized the left ventrolateral prefrontal underactivation observed under placebo, while MPX had a drug-specific effect of normalizing right ventrolateral prefrontal and cerebellar underactivation observed under both placebo and ATX. The findings show shared and drug-specific effects of MPX and ATX on performance and brain activation during inhibitory control in ADHD patients with superior upregulation and normalization effects of MPX.","author":[{"dropping-particle":"","family":"Cubillo","given":"Ana","non-dropping-particle":"","parse-names":false,"suffix":""},{"dropping-particle":"","family":"Smith","given":"Anna B.","non-dropping-particle":"","parse-names":false,"suffix":""},{"dropping-particle":"","family":"Barrett","given":"Nadia","non-dropping-particle":"","parse-names":false,"suffix":""},{"dropping-particle":"","family":"Giampietro","given":"Vincent","non-dropping-particle":"","parse-names":false,"suffix":""},{"dropping-particle":"","family":"Brammer","given":"Michael J.","non-dropping-particle":"","parse-names":false,"suffix":""},{"dropping-particle":"","family":"Simmons","given":"Andrew","non-dropping-particle":"","parse-names":false,"suffix":""},{"dropping-particle":"","family":"Rubia","given":"Katya","non-dropping-particle":"","parse-names":false,"suffix":""}],"container-title":"Cerebral Cortex","id":"ITEM-1","issue":"1","issued":{"date-parts":[["2014"]]},"page":"174-185","title":"Shared and Drug-Specific Effects of Atomoxetine and Methylphenidate on Inhibitory Brain Dysfunction in Medication-Naive ADHD Boys","type":"article-journal","volume":"24"},"uris":["http://www.mendeley.com/documents/?uuid=6ab9f62e-68c2-4393-9b47-fed336a7a872"]}],"mendeley":{"formattedCitation":"(28)","plainTextFormattedCitation":"(28)","previouslyFormattedCitation":"(28)"},"properties":{"noteIndex":0},"schema":"https://github.com/citation-style-language/schema/raw/master/csl-citation.json"}</w:instrText>
      </w:r>
      <w:r w:rsidR="008C3380">
        <w:rPr>
          <w:rFonts w:ascii="Times New Roman" w:hAnsi="Times New Roman" w:cs="Times New Roman"/>
        </w:rPr>
        <w:fldChar w:fldCharType="separate"/>
      </w:r>
      <w:r w:rsidR="00112D56" w:rsidRPr="00112D56">
        <w:rPr>
          <w:rFonts w:ascii="Times New Roman" w:hAnsi="Times New Roman" w:cs="Times New Roman"/>
          <w:noProof/>
        </w:rPr>
        <w:t>(28)</w:t>
      </w:r>
      <w:r w:rsidR="008C3380">
        <w:rPr>
          <w:rFonts w:ascii="Times New Roman" w:hAnsi="Times New Roman" w:cs="Times New Roman"/>
        </w:rPr>
        <w:fldChar w:fldCharType="end"/>
      </w:r>
      <w:r w:rsidR="009521B7">
        <w:rPr>
          <w:rFonts w:ascii="Times New Roman" w:hAnsi="Times New Roman" w:cs="Times New Roman"/>
        </w:rPr>
        <w:t xml:space="preserve">, suggesting speeding may occur in some situations. </w:t>
      </w:r>
      <w:r w:rsidR="00571284">
        <w:rPr>
          <w:rFonts w:ascii="Times New Roman" w:hAnsi="Times New Roman" w:cs="Times New Roman"/>
        </w:rPr>
        <w:t xml:space="preserve">The effects on response </w:t>
      </w:r>
      <w:r w:rsidR="00706752">
        <w:rPr>
          <w:rFonts w:ascii="Times New Roman" w:hAnsi="Times New Roman" w:cs="Times New Roman"/>
        </w:rPr>
        <w:t xml:space="preserve">speeding </w:t>
      </w:r>
      <w:r w:rsidR="00571284">
        <w:rPr>
          <w:rFonts w:ascii="Times New Roman" w:hAnsi="Times New Roman" w:cs="Times New Roman"/>
        </w:rPr>
        <w:t xml:space="preserve">indicate </w:t>
      </w:r>
      <w:r w:rsidR="00706752">
        <w:rPr>
          <w:rFonts w:ascii="Times New Roman" w:hAnsi="Times New Roman" w:cs="Times New Roman"/>
        </w:rPr>
        <w:t xml:space="preserve">that </w:t>
      </w:r>
      <w:r w:rsidR="00571284">
        <w:rPr>
          <w:rFonts w:ascii="Times New Roman" w:hAnsi="Times New Roman" w:cs="Times New Roman"/>
        </w:rPr>
        <w:t>a</w:t>
      </w:r>
      <w:r w:rsidR="009521B7">
        <w:rPr>
          <w:rFonts w:ascii="Times New Roman" w:hAnsi="Times New Roman" w:cs="Times New Roman"/>
        </w:rPr>
        <w:t xml:space="preserve">tomoxetine facilitated </w:t>
      </w:r>
      <w:r w:rsidR="00457AA7">
        <w:rPr>
          <w:rFonts w:ascii="Times New Roman" w:hAnsi="Times New Roman" w:cs="Times New Roman"/>
        </w:rPr>
        <w:t xml:space="preserve">compliance </w:t>
      </w:r>
      <w:r w:rsidR="009521B7">
        <w:rPr>
          <w:rFonts w:ascii="Times New Roman" w:hAnsi="Times New Roman" w:cs="Times New Roman"/>
        </w:rPr>
        <w:t>without any concomitant negative effects on stopping</w:t>
      </w:r>
      <w:r w:rsidR="00571284">
        <w:rPr>
          <w:rFonts w:ascii="Times New Roman" w:hAnsi="Times New Roman" w:cs="Times New Roman"/>
        </w:rPr>
        <w:t xml:space="preserve">, as instructions emphasized </w:t>
      </w:r>
      <w:r w:rsidR="00706752">
        <w:rPr>
          <w:rFonts w:ascii="Times New Roman" w:hAnsi="Times New Roman" w:cs="Times New Roman"/>
        </w:rPr>
        <w:t xml:space="preserve">to </w:t>
      </w:r>
      <w:r w:rsidR="00571284">
        <w:rPr>
          <w:rFonts w:ascii="Times New Roman" w:hAnsi="Times New Roman" w:cs="Times New Roman"/>
        </w:rPr>
        <w:t>respond as fast as possible and avoid slowing</w:t>
      </w:r>
      <w:r w:rsidR="009521B7">
        <w:rPr>
          <w:rFonts w:ascii="Times New Roman" w:hAnsi="Times New Roman" w:cs="Times New Roman"/>
        </w:rPr>
        <w:t xml:space="preserve">. </w:t>
      </w:r>
    </w:p>
    <w:p w14:paraId="6C804E7E" w14:textId="2742A545" w:rsidR="008E2CE7" w:rsidRPr="001A34A7" w:rsidRDefault="00DD6636" w:rsidP="000B7DB7">
      <w:pPr>
        <w:pStyle w:val="Heading2"/>
      </w:pPr>
      <w:r>
        <w:t xml:space="preserve">Effective connectivity underlying </w:t>
      </w:r>
      <w:r w:rsidR="007D4AD0">
        <w:t>r</w:t>
      </w:r>
      <w:r w:rsidR="008E2CE7">
        <w:t>esponse inhibition</w:t>
      </w:r>
      <w:r w:rsidR="00ED5FC7">
        <w:t xml:space="preserve"> and execution</w:t>
      </w:r>
    </w:p>
    <w:p w14:paraId="1150361B" w14:textId="4924ED99" w:rsidR="008E2CE7" w:rsidRDefault="008E2CE7" w:rsidP="00BF7E9E">
      <w:pPr>
        <w:spacing w:line="360" w:lineRule="auto"/>
        <w:rPr>
          <w:rFonts w:ascii="Times New Roman" w:hAnsi="Times New Roman" w:cs="Times New Roman"/>
        </w:rPr>
      </w:pPr>
      <w:r>
        <w:rPr>
          <w:rFonts w:ascii="Times New Roman" w:hAnsi="Times New Roman" w:cs="Times New Roman"/>
        </w:rPr>
        <w:t xml:space="preserve">Some of the network connectivity findings are relevant to </w:t>
      </w:r>
      <w:r w:rsidR="00F91D0F">
        <w:rPr>
          <w:rFonts w:ascii="Times New Roman" w:hAnsi="Times New Roman" w:cs="Times New Roman"/>
        </w:rPr>
        <w:t xml:space="preserve">a </w:t>
      </w:r>
      <w:r>
        <w:rPr>
          <w:rFonts w:ascii="Times New Roman" w:hAnsi="Times New Roman" w:cs="Times New Roman"/>
        </w:rPr>
        <w:t xml:space="preserve">general understanding of response inhibition, with others being more specific to its basis in CUD. Present results in controls on placebo provide an important replication </w:t>
      </w:r>
      <w:r w:rsidR="00F71C28">
        <w:rPr>
          <w:rFonts w:ascii="Times New Roman" w:hAnsi="Times New Roman" w:cs="Times New Roman"/>
        </w:rPr>
        <w:t xml:space="preserve">and extension </w:t>
      </w:r>
      <w:r>
        <w:rPr>
          <w:rFonts w:ascii="Times New Roman" w:hAnsi="Times New Roman" w:cs="Times New Roman"/>
        </w:rPr>
        <w:t>of previous DCM findings</w:t>
      </w:r>
      <w:r w:rsidR="0072140F">
        <w:rPr>
          <w:rFonts w:ascii="Times New Roman" w:hAnsi="Times New Roman" w:cs="Times New Roman"/>
        </w:rPr>
        <w:t xml:space="preserve"> </w:t>
      </w:r>
      <w:r w:rsidR="0072140F">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Neuroscience","id":"ITEM-1","issue":"2","issued":{"date-parts":[["2015"]]},"page":"786-94","title":"The prefrontal cortex achieves inhibitory control by facilitating subcortical motor pathway connectivity.","type":"article-journal","volume":"35"},"uris":["http://www.mendeley.com/documents/?uuid=e1cd2b52-4b20-423b-8c98-36004beeeda5"]}],"mendeley":{"formattedCitation":"(9)","plainTextFormattedCitation":"(9)","previouslyFormattedCitation":"(9)"},"properties":{"noteIndex":0},"schema":"https://github.com/citation-style-language/schema/raw/master/csl-citation.json"}</w:instrText>
      </w:r>
      <w:r w:rsidR="0072140F">
        <w:rPr>
          <w:rFonts w:ascii="Times New Roman" w:hAnsi="Times New Roman" w:cs="Times New Roman"/>
        </w:rPr>
        <w:fldChar w:fldCharType="separate"/>
      </w:r>
      <w:r w:rsidR="00112D56" w:rsidRPr="00112D56">
        <w:rPr>
          <w:rFonts w:ascii="Times New Roman" w:hAnsi="Times New Roman" w:cs="Times New Roman"/>
          <w:noProof/>
        </w:rPr>
        <w:t>(9)</w:t>
      </w:r>
      <w:r w:rsidR="0072140F">
        <w:rPr>
          <w:rFonts w:ascii="Times New Roman" w:hAnsi="Times New Roman" w:cs="Times New Roman"/>
        </w:rPr>
        <w:fldChar w:fldCharType="end"/>
      </w:r>
      <w:r>
        <w:rPr>
          <w:rFonts w:ascii="Times New Roman" w:hAnsi="Times New Roman" w:cs="Times New Roman"/>
        </w:rPr>
        <w:t>, particularly as such replications are uncommon. D</w:t>
      </w:r>
      <w:r w:rsidRPr="004E1CFF">
        <w:rPr>
          <w:rFonts w:ascii="Times New Roman" w:hAnsi="Times New Roman" w:cs="Times New Roman"/>
        </w:rPr>
        <w:t>espite s</w:t>
      </w:r>
      <w:r>
        <w:rPr>
          <w:rFonts w:ascii="Times New Roman" w:hAnsi="Times New Roman" w:cs="Times New Roman"/>
        </w:rPr>
        <w:t>ome methodological differences</w:t>
      </w:r>
      <w:r w:rsidR="00706752">
        <w:rPr>
          <w:rFonts w:ascii="Times New Roman" w:hAnsi="Times New Roman" w:cs="Times New Roman"/>
        </w:rPr>
        <w:t>,</w:t>
      </w:r>
      <w:r>
        <w:rPr>
          <w:rFonts w:ascii="Times New Roman" w:hAnsi="Times New Roman" w:cs="Times New Roman"/>
        </w:rPr>
        <w:t xml:space="preserve"> not only was the same winning architecture found, but also there was notable agreement as to the effective connectivity between regions. </w:t>
      </w:r>
      <w:r w:rsidR="00115E69">
        <w:rPr>
          <w:rFonts w:ascii="Times New Roman" w:hAnsi="Times New Roman" w:cs="Times New Roman"/>
        </w:rPr>
        <w:t>Specifically,</w:t>
      </w:r>
      <w:r w:rsidRPr="005268A3">
        <w:rPr>
          <w:rFonts w:ascii="Times New Roman" w:hAnsi="Times New Roman" w:cs="Times New Roman"/>
          <w:color w:val="808080" w:themeColor="background1" w:themeShade="80"/>
        </w:rPr>
        <w:t xml:space="preserve"> </w:t>
      </w:r>
      <w:proofErr w:type="spellStart"/>
      <w:r w:rsidR="00511C65">
        <w:rPr>
          <w:rFonts w:ascii="Times New Roman" w:hAnsi="Times New Roman" w:cs="Times New Roman"/>
        </w:rPr>
        <w:t>dACC</w:t>
      </w:r>
      <w:proofErr w:type="spellEnd"/>
      <w:r w:rsidR="00511C65">
        <w:rPr>
          <w:rFonts w:ascii="Times New Roman" w:hAnsi="Times New Roman" w:cs="Times New Roman"/>
        </w:rPr>
        <w:t xml:space="preserve"> </w:t>
      </w:r>
      <w:r>
        <w:rPr>
          <w:rFonts w:ascii="Times New Roman" w:hAnsi="Times New Roman" w:cs="Times New Roman"/>
        </w:rPr>
        <w:t xml:space="preserve">projections to M1 and STN were excitatory, while putamen to the STN and STN to M1 projections </w:t>
      </w:r>
      <w:r w:rsidRPr="001A34A7">
        <w:rPr>
          <w:rFonts w:ascii="Times New Roman" w:hAnsi="Times New Roman" w:cs="Times New Roman"/>
        </w:rPr>
        <w:t>were inhibitory</w:t>
      </w:r>
      <w:r>
        <w:rPr>
          <w:rFonts w:ascii="Times New Roman" w:hAnsi="Times New Roman" w:cs="Times New Roman"/>
        </w:rPr>
        <w:t xml:space="preserve"> </w:t>
      </w:r>
      <w:r w:rsidR="00C0174A">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{"citationItems":[{"id":"ITEM-1","itemData":{"DOI":"10.1016/S0306-4522(98)00004-9","ISSN":"03064522","PMID":"9881853","abstract":"Our understanding of the organization of the basal ganglia has advanced markedly over the last 10 years, mainly due to increased knowledge of their anatomical, neurochemical and physiological organization. These developments have led to a unifying model of the functional organization of the basal ganglia in both health and disease. The hypothesis is based on the so-called 'direct' and 'indirect' pathways of the flow of cortical information through the basal ganglia and has profoundly influenced the field of basal ganglia research, providing a framework for anatomical, physiological and clinical studies. The recent introduction of powerful techniques for the analysis of neuronal networks has led to further developments in our understanding of the basal ganglia. The objective of this commentary is to build upon the established model of the basal ganglia connectivity and review new anatomical findings that lead to the refinement of some aspects of the model. Four issues will be discussed. (1) The existence of several routes for the flow of cortical information along 'indirect' pathways. (2) The synaptic convergence of information flowing through the 'direct' and 'indirect' pathways at the single-cell level in the basal ganglia output structures. (3) The convergence of functionally diverse information from the globus pallidus and the ventral pallidum at different levels of the basal ganglia. (4) The interconnections between the two divisions of the pallidal complex and the subthalamic nucleus and the characterization of the neuronal network underlying the indirect pathways. The findings summarized in this commentary confirm and elaborate the models of the direct and indirect pathways of information flow through the basal ganglia and provide a morphological framework for future studies.","author":[{"dropping-particle":"","family":"Smith","given":"Y.","non-dropping-particle":"","parse-names":false,"suffix":""},{"dropping-particle":"","family":"Bevan","given":"M. D.","non-dropping-particle":"","parse-names":false,"suffix":""},{"dropping-particle":"","family":"Shink","given":"E.","non-dropping-particle":"","parse-names":false,"suffix":""},{"dropping-particle":"","family":"Bolam","given":"J. P.","non-dropping-particle":"","parse-names":false,"suffix":""}],"container-title":"Neuroscience","id":"ITEM-1","issue":"2","issued":{"date-parts":[["1998"]]},"page":"353-387","title":"Microcircuitry of the direct and indirect pathways of the basal ganglia","type":"article-journal","volume":"86"},"uris":["http://www.mendeley.com/documents/?uuid=206fe311-7e4d-4a81-8985-a816a2a617dc"]}],"mendeley":{"formattedCitation":"(65)","plainTextFormattedCitation":"(65)","previouslyFormattedCitation":"(65)"},"properties":{"noteIndex":0},"schema":"https://github.com/citation-style-language/schema/raw/master/csl-citation.json"}</w:instrText>
      </w:r>
      <w:r w:rsidR="00C0174A">
        <w:rPr>
          <w:rFonts w:ascii="Times New Roman" w:hAnsi="Times New Roman" w:cs="Times New Roman"/>
        </w:rPr>
        <w:fldChar w:fldCharType="separate"/>
      </w:r>
      <w:r w:rsidR="00112D56" w:rsidRPr="00112D56">
        <w:rPr>
          <w:rFonts w:ascii="Times New Roman" w:hAnsi="Times New Roman" w:cs="Times New Roman"/>
          <w:noProof/>
        </w:rPr>
        <w:t>(65)</w:t>
      </w:r>
      <w:r w:rsidR="00C0174A">
        <w:rPr>
          <w:rFonts w:ascii="Times New Roman" w:hAnsi="Times New Roman" w:cs="Times New Roman"/>
        </w:rPr>
        <w:fldChar w:fldCharType="end"/>
      </w:r>
      <w:r w:rsidRPr="001A34A7">
        <w:rPr>
          <w:rFonts w:ascii="Times New Roman" w:hAnsi="Times New Roman" w:cs="Times New Roman"/>
        </w:rPr>
        <w:t xml:space="preserve">. Positive modulation of the </w:t>
      </w:r>
      <w:proofErr w:type="spellStart"/>
      <w:r w:rsidRPr="001A34A7">
        <w:rPr>
          <w:rFonts w:ascii="Times New Roman" w:hAnsi="Times New Roman" w:cs="Times New Roman"/>
        </w:rPr>
        <w:t>hyperdirect</w:t>
      </w:r>
      <w:proofErr w:type="spellEnd"/>
      <w:r w:rsidRPr="001A34A7">
        <w:rPr>
          <w:rFonts w:ascii="Times New Roman" w:hAnsi="Times New Roman" w:cs="Times New Roman"/>
        </w:rPr>
        <w:t xml:space="preserve"> pathway by </w:t>
      </w:r>
      <w:proofErr w:type="spellStart"/>
      <w:r w:rsidR="00627653">
        <w:rPr>
          <w:rFonts w:ascii="Times New Roman" w:hAnsi="Times New Roman" w:cs="Times New Roman"/>
        </w:rPr>
        <w:t>r</w:t>
      </w:r>
      <w:r w:rsidR="00706752">
        <w:rPr>
          <w:rFonts w:ascii="Times New Roman" w:hAnsi="Times New Roman" w:cs="Times New Roman"/>
        </w:rPr>
        <w:t>IFG</w:t>
      </w:r>
      <w:proofErr w:type="spellEnd"/>
      <w:r w:rsidR="00706752" w:rsidRPr="005268A3">
        <w:rPr>
          <w:rFonts w:ascii="Times New Roman" w:hAnsi="Times New Roman" w:cs="Times New Roman"/>
        </w:rPr>
        <w:t xml:space="preserve"> </w:t>
      </w:r>
      <w:r w:rsidRPr="001A34A7">
        <w:rPr>
          <w:rFonts w:ascii="Times New Roman" w:hAnsi="Times New Roman" w:cs="Times New Roman"/>
        </w:rPr>
        <w:t xml:space="preserve">allows for top-down control over response cancellation. </w:t>
      </w:r>
      <w:r>
        <w:rPr>
          <w:rFonts w:ascii="Times New Roman" w:hAnsi="Times New Roman" w:cs="Times New Roman"/>
        </w:rPr>
        <w:t>P</w:t>
      </w:r>
      <w:r w:rsidRPr="001A34A7">
        <w:rPr>
          <w:rFonts w:ascii="Times New Roman" w:hAnsi="Times New Roman" w:cs="Times New Roman"/>
        </w:rPr>
        <w:t xml:space="preserve">resent </w:t>
      </w:r>
      <w:proofErr w:type="spellStart"/>
      <w:r w:rsidR="00627653">
        <w:rPr>
          <w:rFonts w:ascii="Times New Roman" w:hAnsi="Times New Roman" w:cs="Times New Roman"/>
        </w:rPr>
        <w:t>r</w:t>
      </w:r>
      <w:r w:rsidR="0052339E">
        <w:rPr>
          <w:rFonts w:ascii="Times New Roman" w:hAnsi="Times New Roman" w:cs="Times New Roman"/>
        </w:rPr>
        <w:t>IFG</w:t>
      </w:r>
      <w:r>
        <w:rPr>
          <w:rFonts w:ascii="Times New Roman" w:hAnsi="Times New Roman" w:cs="Times New Roman"/>
        </w:rPr>
        <w:t>-dmPFC</w:t>
      </w:r>
      <w:proofErr w:type="spellEnd"/>
      <w:r>
        <w:rPr>
          <w:rFonts w:ascii="Times New Roman" w:hAnsi="Times New Roman" w:cs="Times New Roman"/>
        </w:rPr>
        <w:t xml:space="preserve"> connectivity</w:t>
      </w:r>
      <w:r w:rsidRPr="001A34A7">
        <w:rPr>
          <w:rFonts w:ascii="Times New Roman" w:hAnsi="Times New Roman" w:cs="Times New Roman"/>
        </w:rPr>
        <w:t xml:space="preserve"> diverge</w:t>
      </w:r>
      <w:r>
        <w:rPr>
          <w:rFonts w:ascii="Times New Roman" w:hAnsi="Times New Roman" w:cs="Times New Roman"/>
        </w:rPr>
        <w:t>s</w:t>
      </w:r>
      <w:r w:rsidRPr="001A34A7">
        <w:rPr>
          <w:rFonts w:ascii="Times New Roman" w:hAnsi="Times New Roman" w:cs="Times New Roman"/>
        </w:rPr>
        <w:t xml:space="preserve"> from th</w:t>
      </w:r>
      <w:r>
        <w:rPr>
          <w:rFonts w:ascii="Times New Roman" w:hAnsi="Times New Roman" w:cs="Times New Roman"/>
        </w:rPr>
        <w:t xml:space="preserve">ose </w:t>
      </w:r>
      <w:r w:rsidR="00F70CF6">
        <w:rPr>
          <w:rFonts w:ascii="Times New Roman" w:hAnsi="Times New Roman" w:cs="Times New Roman"/>
        </w:rPr>
        <w:t xml:space="preserve">previously </w:t>
      </w:r>
      <w:r>
        <w:rPr>
          <w:rFonts w:ascii="Times New Roman" w:hAnsi="Times New Roman" w:cs="Times New Roman"/>
        </w:rPr>
        <w:t>found</w:t>
      </w:r>
      <w:r w:rsidR="00571284">
        <w:rPr>
          <w:rFonts w:ascii="Times New Roman" w:hAnsi="Times New Roman" w:cs="Times New Roman"/>
        </w:rPr>
        <w:t xml:space="preserve"> </w:t>
      </w:r>
      <w:r w:rsidR="001A2AA2">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Neuroscience","id":"ITEM-1","issue":"2","issued":{"date-parts":[["2015"]]},"page":"786-94","title":"The prefrontal cortex achieves inhibitory control by facilitating subcortical motor pathway connectivity.","type":"article-journal","volume":"35"},"uris":["http://www.mendeley.com/documents/?uuid=e1cd2b52-4b20-423b-8c98-36004beeeda5"]}],"mendeley":{"formattedCitation":"(9)","plainTextFormattedCitation":"(9)","previouslyFormattedCitation":"(9)"},"properties":{"noteIndex":0},"schema":"https://github.com/citation-style-language/schema/raw/master/csl-citation.json"}</w:instrText>
      </w:r>
      <w:r w:rsidR="001A2AA2">
        <w:rPr>
          <w:rFonts w:ascii="Times New Roman" w:hAnsi="Times New Roman" w:cs="Times New Roman"/>
        </w:rPr>
        <w:fldChar w:fldCharType="separate"/>
      </w:r>
      <w:r w:rsidR="00112D56" w:rsidRPr="00112D56">
        <w:rPr>
          <w:rFonts w:ascii="Times New Roman" w:hAnsi="Times New Roman" w:cs="Times New Roman"/>
          <w:noProof/>
        </w:rPr>
        <w:t>(9)</w:t>
      </w:r>
      <w:r w:rsidR="001A2AA2">
        <w:rPr>
          <w:rFonts w:ascii="Times New Roman" w:hAnsi="Times New Roman" w:cs="Times New Roman"/>
        </w:rPr>
        <w:fldChar w:fldCharType="end"/>
      </w:r>
      <w:r w:rsidR="0000651C">
        <w:rPr>
          <w:rFonts w:ascii="Times New Roman" w:hAnsi="Times New Roman" w:cs="Times New Roman"/>
        </w:rPr>
        <w:t>, possibly</w:t>
      </w:r>
      <w:r>
        <w:rPr>
          <w:rFonts w:ascii="Times New Roman" w:hAnsi="Times New Roman" w:cs="Times New Roman"/>
        </w:rPr>
        <w:t xml:space="preserve"> due to differences in task instantiation such as their inclusion of no-go trials. </w:t>
      </w:r>
      <w:r w:rsidR="00F94B38">
        <w:rPr>
          <w:rFonts w:ascii="Times New Roman" w:hAnsi="Times New Roman" w:cs="Times New Roman"/>
        </w:rPr>
        <w:t xml:space="preserve">Additionally, present </w:t>
      </w:r>
      <w:r w:rsidR="00AB2B32">
        <w:rPr>
          <w:rFonts w:ascii="Times New Roman" w:hAnsi="Times New Roman" w:cs="Times New Roman"/>
        </w:rPr>
        <w:t xml:space="preserve">results found </w:t>
      </w:r>
      <w:r w:rsidR="00F94B38">
        <w:rPr>
          <w:rFonts w:ascii="Times New Roman" w:hAnsi="Times New Roman" w:cs="Times New Roman"/>
        </w:rPr>
        <w:t xml:space="preserve">activation in the dorsal part of the </w:t>
      </w:r>
      <w:proofErr w:type="spellStart"/>
      <w:r w:rsidR="00F94B38">
        <w:rPr>
          <w:rFonts w:ascii="Times New Roman" w:hAnsi="Times New Roman" w:cs="Times New Roman"/>
        </w:rPr>
        <w:t>dACC</w:t>
      </w:r>
      <w:proofErr w:type="spellEnd"/>
      <w:r w:rsidR="00F94B38">
        <w:rPr>
          <w:rFonts w:ascii="Times New Roman" w:hAnsi="Times New Roman" w:cs="Times New Roman"/>
        </w:rPr>
        <w:t xml:space="preserve"> rather than the pre-supplementary motor area, though exact </w:t>
      </w:r>
      <w:r w:rsidR="008F3F8C">
        <w:rPr>
          <w:rFonts w:ascii="Times New Roman" w:hAnsi="Times New Roman" w:cs="Times New Roman"/>
        </w:rPr>
        <w:t xml:space="preserve">ROI </w:t>
      </w:r>
      <w:r w:rsidR="00B33543">
        <w:rPr>
          <w:rFonts w:ascii="Times New Roman" w:hAnsi="Times New Roman" w:cs="Times New Roman"/>
        </w:rPr>
        <w:t>location</w:t>
      </w:r>
      <w:r w:rsidR="00F96262">
        <w:rPr>
          <w:rFonts w:ascii="Times New Roman" w:hAnsi="Times New Roman" w:cs="Times New Roman"/>
        </w:rPr>
        <w:t>s</w:t>
      </w:r>
      <w:r w:rsidR="00B33543">
        <w:rPr>
          <w:rFonts w:ascii="Times New Roman" w:hAnsi="Times New Roman" w:cs="Times New Roman"/>
        </w:rPr>
        <w:t xml:space="preserve"> </w:t>
      </w:r>
      <w:r w:rsidR="00B27141">
        <w:rPr>
          <w:rFonts w:ascii="Times New Roman" w:hAnsi="Times New Roman" w:cs="Times New Roman"/>
        </w:rPr>
        <w:t>appeared</w:t>
      </w:r>
      <w:r w:rsidR="00F94B38">
        <w:rPr>
          <w:rFonts w:ascii="Times New Roman" w:hAnsi="Times New Roman" w:cs="Times New Roman"/>
        </w:rPr>
        <w:t xml:space="preserve"> spatially </w:t>
      </w:r>
      <w:r w:rsidR="00571284">
        <w:rPr>
          <w:rFonts w:ascii="Times New Roman" w:hAnsi="Times New Roman" w:cs="Times New Roman"/>
        </w:rPr>
        <w:t>adjacent</w:t>
      </w:r>
      <w:r w:rsidR="00F94B38">
        <w:rPr>
          <w:rFonts w:ascii="Times New Roman" w:hAnsi="Times New Roman" w:cs="Times New Roman"/>
        </w:rPr>
        <w:t xml:space="preserve">. </w:t>
      </w:r>
      <w:r>
        <w:rPr>
          <w:rFonts w:ascii="Times New Roman" w:hAnsi="Times New Roman" w:cs="Times New Roman"/>
        </w:rPr>
        <w:t>A subsequent DCM study by the same authors also did not yield similar results, though it was conducted on a considerably older cohort</w:t>
      </w:r>
      <w:r w:rsidR="00706752">
        <w:rPr>
          <w:rFonts w:ascii="Times New Roman" w:hAnsi="Times New Roman" w:cs="Times New Roman"/>
        </w:rPr>
        <w:t>,</w:t>
      </w:r>
      <w:r>
        <w:rPr>
          <w:rFonts w:ascii="Times New Roman" w:hAnsi="Times New Roman" w:cs="Times New Roman"/>
        </w:rPr>
        <w:t xml:space="preserve"> suggesting</w:t>
      </w:r>
      <w:r w:rsidR="00706752">
        <w:rPr>
          <w:rFonts w:ascii="Times New Roman" w:hAnsi="Times New Roman" w:cs="Times New Roman"/>
        </w:rPr>
        <w:t xml:space="preserve"> that</w:t>
      </w:r>
      <w:r>
        <w:rPr>
          <w:rFonts w:ascii="Times New Roman" w:hAnsi="Times New Roman" w:cs="Times New Roman"/>
        </w:rPr>
        <w:t xml:space="preserve"> age</w:t>
      </w:r>
      <w:r w:rsidR="00571284">
        <w:rPr>
          <w:rFonts w:ascii="Times New Roman" w:hAnsi="Times New Roman" w:cs="Times New Roman"/>
        </w:rPr>
        <w:t xml:space="preserve"> may</w:t>
      </w:r>
      <w:r>
        <w:rPr>
          <w:rFonts w:ascii="Times New Roman" w:hAnsi="Times New Roman" w:cs="Times New Roman"/>
        </w:rPr>
        <w:t xml:space="preserve"> </w:t>
      </w:r>
      <w:r w:rsidR="00571284">
        <w:rPr>
          <w:rFonts w:ascii="Times New Roman" w:hAnsi="Times New Roman" w:cs="Times New Roman"/>
        </w:rPr>
        <w:t>modulate</w:t>
      </w:r>
      <w:r>
        <w:rPr>
          <w:rFonts w:ascii="Times New Roman" w:hAnsi="Times New Roman" w:cs="Times New Roman"/>
        </w:rPr>
        <w:t xml:space="preserve"> stopping </w:t>
      </w:r>
      <w:r w:rsidR="00F70CF6">
        <w:rPr>
          <w:rFonts w:ascii="Times New Roman" w:hAnsi="Times New Roman" w:cs="Times New Roman"/>
        </w:rPr>
        <w:t xml:space="preserve">network connectivity </w:t>
      </w:r>
      <w:r w:rsidR="00E05EDE">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{"citationItems":[{"id":"ITEM-1","itemData":{"DOI":"10.1093/brain/aww138","ISSN":"14602156","abstract":"Parkinson's disease impairs the inhibition of responses, and whilst impulsivity is mild for some patients, severe impulse control disorders affect approximately 10% of cases. Based on preclinical models we proposed that noradrenergic denervation contributes to the impairment of response inhibition, via changes in the prefrontal cortex and its subcortical connections. Previous work in Parkinson's disease found that the selective noradrenaline reuptake inhibitor atomoxetine could improve response inhibition, gambling decisions and reflection impulsivity. Here we tested the hypotheses that atomoxetine can restore functional brain networks for response inhibition in Parkinson's disease, and that both structural and functional connectivity determine the behavioural effect. In a randomized, double-blind placebo-controlled crossover study, 19 patients with mild-to-moderate idiopathic Parkinson's disease underwent functional magnetic resonance imaging during a stop-signal task, while on their usual dopaminergic therapy. Patients received 40 mg atomoxetine or placebo, orally. This regimen anticipates that noradrenergic therapies for behavioural symptoms would be adjunctive to, not a replacement for, dopaminergic therapy. Twenty matched control participants provided normative data. Arterial spin labelling identified no significant changes in regional perfusion. We assessed functional interactions between key frontal and subcortical brain areas for response inhibition, by comparing 20 dynamic causal models of the response inhibition network, inverted to the functional magnetic resonance imaging data and compared using random effects model selection. We found that the normal interaction between pre-supplementary motor cortex and the inferior frontal gyrus was absent in Parkinson's disease patients on placebo (despite dopaminergic therapy), but this connection was restored by atomoxetine. The behavioural change in response inhibition (improvement indicated by reduced stop-signal reaction time) following atomoxetine correlated with structural connectivity as measured by the fractional anisotropy in the white matter underlying the inferior frontal gyrus. Using multiple regression models, we examined the factors that influenced the individual differences in the response to atomoxetine: the reduction in stop-signal reaction time correlated with structural connectivity and baseline performance, while disease severity and drug plasma level predicted the change in fronto-s…","author":[{"dropping-particle":"","family":"Rae","given":"Charlotte L.","non-dropping-particle":"","parse-names":false,"suffix":""},{"dropping-particle":"","family":"Nombela","given":"Cristina","non-dropping-particle":"","parse-names":false,"suffix":""},{"dropping-particle":"","family":"Rodríguez","given":"Patricia Vázquez","non-dropping-particle":"","parse-names":false,"suffix":""},{"dropping-particle":"","family":"Ye","given":"Zheng","non-dropping-particle":"","parse-names":false,"suffix":""},{"dropping-particle":"","family":"Hughes","given":"Laura E.","non-dropping-particle":"","parse-names":false,"suffix":""},{"dropping-particle":"","family":"Jones","given":"P. Simon","non-dropping-particle":"","parse-names":false,"suffix":""},{"dropping-particle":"","family":"Ham","given":"Timothy","non-dropping-particle":"","parse-names":false,"suffix":""},{"dropping-particle":"","family":"Rittman","given":"Timothy","non-dropping-particle":"","parse-names":false,"suffix":""},{"dropping-particle":"","family":"Coyle-Gilchrist","given":"Ian","non-dropping-particle":"","parse-names":false,"suffix":""},{"dropping-particle":"","family":"Regenthal","given":"Ralf","non-dropping-particle":"","parse-names":false,"suffix":""},{"dropping-particle":"","family":"Sahakian","given":"Barbara J.","non-dropping-particle":"","parse-names":false,"suffix":""},{"dropping-particle":"","family":"Barker","given":"Roger A.","non-dropping-particle":"","parse-names":false,"suffix":""},{"dropping-particle":"","family":"Robbins","given":"Trevor W.","non-dropping-particle":"","parse-names":false,"suffix":""},{"dropping-particle":"","family":"Rowe","given":"James B.","non-dropping-particle":"","parse-names":false,"suffix":""}],"container-title":"Brain","id":"ITEM-1","issue":"8","issued":{"date-parts":[["2016"]]},"page":"2235-2248","title":"Atomoxetine restores the response inhibition network in Parkinson's disease","type":"article-journal","volume":"139"},"uris":["http://www.mendeley.com/documents/?uuid=72f9ba60-f68e-41f2-b8ee-352557399bd1"]}],"mendeley":{"formattedCitation":"(31)","plainTextFormattedCitation":"(31)","previouslyFormattedCitation":"(31)"},"properties":{"noteIndex":0},"schema":"https://github.com/citation-style-language/schema/raw/master/csl-citation.json"}</w:instrText>
      </w:r>
      <w:r w:rsidR="00E05EDE">
        <w:rPr>
          <w:rFonts w:ascii="Times New Roman" w:hAnsi="Times New Roman" w:cs="Times New Roman"/>
        </w:rPr>
        <w:fldChar w:fldCharType="separate"/>
      </w:r>
      <w:r w:rsidR="00112D56" w:rsidRPr="00112D56">
        <w:rPr>
          <w:rFonts w:ascii="Times New Roman" w:hAnsi="Times New Roman" w:cs="Times New Roman"/>
          <w:noProof/>
        </w:rPr>
        <w:t>(31)</w:t>
      </w:r>
      <w:r w:rsidR="00E05EDE">
        <w:rPr>
          <w:rFonts w:ascii="Times New Roman" w:hAnsi="Times New Roman" w:cs="Times New Roman"/>
        </w:rPr>
        <w:fldChar w:fldCharType="end"/>
      </w:r>
      <w:r>
        <w:rPr>
          <w:rFonts w:ascii="Times New Roman" w:hAnsi="Times New Roman" w:cs="Times New Roman"/>
        </w:rPr>
        <w:t xml:space="preserve">. </w:t>
      </w:r>
      <w:r w:rsidR="00F70CF6">
        <w:rPr>
          <w:rFonts w:ascii="Times New Roman" w:hAnsi="Times New Roman" w:cs="Times New Roman"/>
        </w:rPr>
        <w:t>This would be consistent with the well-established d</w:t>
      </w:r>
      <w:r>
        <w:rPr>
          <w:rFonts w:ascii="Times New Roman" w:hAnsi="Times New Roman" w:cs="Times New Roman"/>
        </w:rPr>
        <w:t xml:space="preserve">ecline in </w:t>
      </w:r>
      <w:r w:rsidR="00F70CF6">
        <w:rPr>
          <w:rFonts w:ascii="Times New Roman" w:hAnsi="Times New Roman" w:cs="Times New Roman"/>
        </w:rPr>
        <w:t>response inhibition</w:t>
      </w:r>
      <w:r>
        <w:rPr>
          <w:rFonts w:ascii="Times New Roman" w:hAnsi="Times New Roman" w:cs="Times New Roman"/>
        </w:rPr>
        <w:t xml:space="preserve"> from adulthood to older age, with gradual worsening in stopping efficiency </w:t>
      </w:r>
      <w:r w:rsidR="005841E7">
        <w:rPr>
          <w:rFonts w:ascii="Times New Roman" w:hAnsi="Times New Roman" w:cs="Times New Roman"/>
        </w:rPr>
        <w:fldChar w:fldCharType="begin" w:fldLock="1"/>
      </w:r>
      <w:r w:rsidR="00C30855">
        <w:rPr>
          <w:rFonts w:ascii="Times New Roman" w:hAnsi="Times New Roman" w:cs="Times New Roman"/>
        </w:rPr>
        <w:instrText>ADDIN CSL_CITATION {"citationItems":[{"id":"ITEM-1","itemData":{"author":[{"dropping-particle":"","family":"Williams","given":"Benjamin R","non-dropping-particle":"","parse-names":false,"suffix":""},{"dropping-particle":"","family":"Ponesse","given":"Jonathan S","non-dropping-particle":"","parse-names":false,"suffix":""},{"dropping-particle":"","family":"Schachar","given":"Russell J","non-dropping-particle":"","parse-names":false,"suffix":""},{"dropping-particle":"","family":"Logan","given":"Gordon D","non-dropping-particle":"","parse-names":false,"suffix":""},{"dropping-particle":"","family":"Tannock","given":"Rosemary","non-dropping-particle":"","parse-names":false,"suffix":""}],"container-title":"Developmental Psychology","id":"ITEM-1","issue":"1","issued":{"date-parts":[["1999"]]},"page":"205-213","title":"Inhibitory Control Across Lifespan","type":"article-journal","volume":"35"},"uris":["http://www.mendeley.com/documents/?uuid=b8948556-c664-4b56-9870-43867f7270ef"]},{"id":"ITEM-2","itemData":{"DOI":"10.3758/s13423-017-1384-7","ISSN":"15315320","abstract":"Aging has been assumed to go along with deficient inhibitory processes in cognitive performance. According to this inhibition deficit hypothesis, older adults are less able to suppress or ignore irrelevant thoughts and actions than young adults are. This hypothesis has been investigated in a large number of studies. We conducted a meta-analysis to determine whether there is an inhibition deficit in older age and whether this deficit is general or task-specific. We selected 176 studies in which young and older adults were tested on tasks commonly assumed to measure inhibition (i.e., the color Stroop, flanker, Simon, stop-signal, go/no-go, global–local, positive and negative compatibility tasks, as well as the paradigm assessing n-2 repetition costs in task switching). For most tasks (i.e., the color Stroop, flanker, and local tasks, as well as the n-2 repetition costs), the results speak against an inhibition deficit in older age. Only in a few tasks (i.e., the go/no-go and stop-signal tasks), older adults showed impaired inhibition. Moreover, for four tasks (i.e., the Simon, global, positive and negative compatibility tasks), the results suggest that more studies are necessary to draw a firm conclusion. Together, the present findings call into question the hypothesis of a general inhibition deficit in older age.","author":[{"dropping-particle":"","family":"Rey-Mermet","given":"Alodie","non-dropping-particle":"","parse-names":false,"suffix":""},{"dropping-particle":"","family":"Gade","given":"Miriam","non-dropping-particle":"","parse-names":false,"suffix":""}],"container-title":"Psychonomic Bulletin and Review","id":"ITEM-2","issue":"5","issued":{"date-parts":[["2018"]]},"page":"1695-1716","publisher":"Psychonomic Bulletin &amp; Review","title":"Inhibition in aging: What is preserved? What declines? A meta-analysis","type":"article-journal","volume":"25"},"uris":["http://www.mendeley.com/documents/?uuid=d156c61f-53c9-43d9-badd-65e862263c2e"]}],"mendeley":{"formattedCitation":"(66,67)","plainTextFormattedCitation":"(66,67)","previouslyFormattedCitation":"(66,67)"},"properties":{"noteIndex":0},"schema":"https://github.com/citation-style-language/schema/raw/master/csl-citation.json"}</w:instrText>
      </w:r>
      <w:r w:rsidR="005841E7">
        <w:rPr>
          <w:rFonts w:ascii="Times New Roman" w:hAnsi="Times New Roman" w:cs="Times New Roman"/>
        </w:rPr>
        <w:fldChar w:fldCharType="separate"/>
      </w:r>
      <w:r w:rsidR="00112D56" w:rsidRPr="00112D56">
        <w:rPr>
          <w:rFonts w:ascii="Times New Roman" w:hAnsi="Times New Roman" w:cs="Times New Roman"/>
          <w:noProof/>
        </w:rPr>
        <w:t>(66,67)</w:t>
      </w:r>
      <w:r w:rsidR="005841E7">
        <w:rPr>
          <w:rFonts w:ascii="Times New Roman" w:hAnsi="Times New Roman" w:cs="Times New Roman"/>
        </w:rPr>
        <w:fldChar w:fldCharType="end"/>
      </w:r>
      <w:r w:rsidR="0003617D">
        <w:rPr>
          <w:rFonts w:ascii="Times New Roman" w:hAnsi="Times New Roman" w:cs="Times New Roman"/>
        </w:rPr>
        <w:t>.</w:t>
      </w:r>
      <w:r>
        <w:rPr>
          <w:rFonts w:ascii="Times New Roman" w:hAnsi="Times New Roman" w:cs="Times New Roman"/>
        </w:rPr>
        <w:t xml:space="preserve"> The present connectivity analyses also extended the stopping network by incorporating an indirect route from the </w:t>
      </w:r>
      <w:proofErr w:type="spellStart"/>
      <w:r>
        <w:rPr>
          <w:rFonts w:ascii="Times New Roman" w:hAnsi="Times New Roman" w:cs="Times New Roman"/>
        </w:rPr>
        <w:t>dmPFC</w:t>
      </w:r>
      <w:proofErr w:type="spellEnd"/>
      <w:r>
        <w:rPr>
          <w:rFonts w:ascii="Times New Roman" w:hAnsi="Times New Roman" w:cs="Times New Roman"/>
        </w:rPr>
        <w:t xml:space="preserve"> to the STN by way of the putamen, as supported by animal and human research </w:t>
      </w:r>
      <w:r w:rsidR="00AF03E6">
        <w:rPr>
          <w:rFonts w:ascii="Times New Roman" w:hAnsi="Times New Roman" w:cs="Times New Roman"/>
        </w:rPr>
        <w:t xml:space="preserve">in </w:t>
      </w:r>
      <w:r w:rsidR="00995DF9">
        <w:rPr>
          <w:rFonts w:ascii="Times New Roman" w:hAnsi="Times New Roman" w:cs="Times New Roman"/>
        </w:rPr>
        <w:t xml:space="preserve">response </w:t>
      </w:r>
      <w:r w:rsidR="000547C6">
        <w:rPr>
          <w:rFonts w:ascii="Times New Roman" w:hAnsi="Times New Roman" w:cs="Times New Roman"/>
        </w:rPr>
        <w:t xml:space="preserve">execution </w:t>
      </w:r>
      <w:r w:rsidR="00B3540D">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{"citationItems":[{"id":"ITEM-1","itemData":{"DOI":"10.1038/nn.3743","ISSN":"15461726","abstract":"The basal ganglia are subcortical nuclei controlling voluntary actions and have been implicated in Parkinson's disease (PD). The prevailing model of basal ganglia function states that two circuits, the direct and indirect pathways, originate from distinct populations of striatal medium spiny neurons (MSNs) and project to different output structures. These circuits are believed to have opposite effects on movement. Specifically, the activity of direct pathway MSNs is postulated to promote movement, whereas the activation of indirect pathway MSNs is hypothesized to inhibit it. Recent findings have revealed that this model might not fully account for the concurrent activation of both pathways during movement. Accordingly, we propose a model in which intrastriatal connections are critical and the two pathways are structurally and functionally intertwined. Thus, all MSNs might either facilitate or inhibit movement depending on the form of synaptic plasticity expressed at a certain moment. In PD, alterations of dopamine-dependent synaptic plasticity could alter this coordinated activity. © 2014 Nature America, Inc.","author":[{"dropping-particle":"","family":"Calabresi","given":"Paolo","non-dropping-particle":"","parse-names":false,"suffix":""},{"dropping-particle":"","family":"Picconi","given":"Barbara","non-dropping-particle":"","parse-names":false,"suffix":""},{"dropping-particle":"","family":"Tozzi","given":"Alessandro","non-dropping-particle":"","parse-names":false,"suffix":""},{"dropping-particle":"","family":"Ghiglieri","given":"Veronica","non-dropping-particle":"","parse-names":false,"suffix":""},{"dropping-particle":"","family":"Filippo","given":"Massimiliano","non-dropping-particle":"Di","parse-names":false,"suffix":""}],"container-title":"Nature Neuroscience","id":"ITEM-1","issue":"8","issued":{"date-parts":[["2014"]]},"page":"1022-1030","title":"Direct and indirect pathways of basal ganglia: A critical reappraisal","type":"article-journal","volume":"17"},"uris":["http://www.mendeley.com/documents/?uuid=e1f07add-98fe-40c7-af75-2eb7c6bb60a2"]}],"mendeley":{"formattedCitation":"(68)","plainTextFormattedCitation":"(68)","previouslyFormattedCitation":"(68)"},"properties":{"noteIndex":0},"schema":"https://github.com/citation-style-language/schema/raw/master/csl-citation.json"}</w:instrText>
      </w:r>
      <w:r w:rsidR="00B3540D">
        <w:rPr>
          <w:rFonts w:ascii="Times New Roman" w:hAnsi="Times New Roman" w:cs="Times New Roman"/>
        </w:rPr>
        <w:fldChar w:fldCharType="separate"/>
      </w:r>
      <w:r w:rsidR="00112D56" w:rsidRPr="00112D56">
        <w:rPr>
          <w:rFonts w:ascii="Times New Roman" w:hAnsi="Times New Roman" w:cs="Times New Roman"/>
          <w:noProof/>
        </w:rPr>
        <w:t>(68)</w:t>
      </w:r>
      <w:r w:rsidR="00B3540D">
        <w:rPr>
          <w:rFonts w:ascii="Times New Roman" w:hAnsi="Times New Roman" w:cs="Times New Roman"/>
        </w:rPr>
        <w:fldChar w:fldCharType="end"/>
      </w:r>
      <w:r>
        <w:rPr>
          <w:rFonts w:ascii="Times New Roman" w:hAnsi="Times New Roman" w:cs="Times New Roman"/>
        </w:rPr>
        <w:t xml:space="preserve">. Atomoxetine selectively altered </w:t>
      </w:r>
      <w:proofErr w:type="spellStart"/>
      <w:r w:rsidR="00F71C28">
        <w:rPr>
          <w:rFonts w:ascii="Times New Roman" w:hAnsi="Times New Roman" w:cs="Times New Roman"/>
        </w:rPr>
        <w:t>r</w:t>
      </w:r>
      <w:r w:rsidR="00706752">
        <w:rPr>
          <w:rFonts w:ascii="Times New Roman" w:hAnsi="Times New Roman" w:cs="Times New Roman"/>
        </w:rPr>
        <w:t>IFG</w:t>
      </w:r>
      <w:proofErr w:type="spellEnd"/>
      <w:r w:rsidR="00706752">
        <w:rPr>
          <w:rFonts w:ascii="Times New Roman" w:hAnsi="Times New Roman" w:cs="Times New Roman"/>
        </w:rPr>
        <w:t xml:space="preserve"> </w:t>
      </w:r>
      <w:r>
        <w:rPr>
          <w:rFonts w:ascii="Times New Roman" w:hAnsi="Times New Roman" w:cs="Times New Roman"/>
        </w:rPr>
        <w:t xml:space="preserve">modulation of </w:t>
      </w:r>
      <w:proofErr w:type="spellStart"/>
      <w:r>
        <w:rPr>
          <w:rFonts w:ascii="Times New Roman" w:hAnsi="Times New Roman" w:cs="Times New Roman"/>
        </w:rPr>
        <w:t>dmPFC</w:t>
      </w:r>
      <w:proofErr w:type="spellEnd"/>
      <w:r>
        <w:rPr>
          <w:rFonts w:ascii="Times New Roman" w:hAnsi="Times New Roman" w:cs="Times New Roman"/>
        </w:rPr>
        <w:t xml:space="preserve"> to STN connectivity for both control and CUD </w:t>
      </w:r>
      <w:r w:rsidR="00D643CD">
        <w:rPr>
          <w:rFonts w:ascii="Times New Roman" w:hAnsi="Times New Roman" w:cs="Times New Roman"/>
        </w:rPr>
        <w:t>patients</w:t>
      </w:r>
      <w:r w:rsidR="00F70CF6">
        <w:rPr>
          <w:rFonts w:ascii="Times New Roman" w:hAnsi="Times New Roman" w:cs="Times New Roman"/>
        </w:rPr>
        <w:t xml:space="preserve">, consistent </w:t>
      </w:r>
      <w:r>
        <w:rPr>
          <w:rFonts w:ascii="Times New Roman" w:hAnsi="Times New Roman" w:cs="Times New Roman"/>
        </w:rPr>
        <w:t xml:space="preserve">with </w:t>
      </w:r>
      <w:r w:rsidR="00F70CF6">
        <w:rPr>
          <w:rFonts w:ascii="Times New Roman" w:hAnsi="Times New Roman" w:cs="Times New Roman"/>
        </w:rPr>
        <w:t>the notion that it is</w:t>
      </w:r>
      <w:r>
        <w:rPr>
          <w:rFonts w:ascii="Times New Roman" w:hAnsi="Times New Roman" w:cs="Times New Roman"/>
        </w:rPr>
        <w:t xml:space="preserve"> a key node by which the drug </w:t>
      </w:r>
      <w:r>
        <w:rPr>
          <w:rFonts w:ascii="Times New Roman" w:hAnsi="Times New Roman" w:cs="Times New Roman"/>
        </w:rPr>
        <w:lastRenderedPageBreak/>
        <w:t>exerts its influence on response inhibition. Group differences in connectivity were noted</w:t>
      </w:r>
      <w:r w:rsidR="00C4204C">
        <w:rPr>
          <w:rFonts w:ascii="Times New Roman" w:hAnsi="Times New Roman" w:cs="Times New Roman"/>
        </w:rPr>
        <w:t>,</w:t>
      </w:r>
      <w:r>
        <w:rPr>
          <w:rFonts w:ascii="Times New Roman" w:hAnsi="Times New Roman" w:cs="Times New Roman"/>
        </w:rPr>
        <w:t xml:space="preserve"> though these did not survive type I error control</w:t>
      </w:r>
      <w:r w:rsidR="00F70CF6">
        <w:rPr>
          <w:rFonts w:ascii="Times New Roman" w:hAnsi="Times New Roman" w:cs="Times New Roman"/>
        </w:rPr>
        <w:t xml:space="preserve"> and were obscured by individual differences. Nevertheless</w:t>
      </w:r>
      <w:r w:rsidR="00BD52AA">
        <w:rPr>
          <w:rFonts w:ascii="Times New Roman" w:hAnsi="Times New Roman" w:cs="Times New Roman"/>
        </w:rPr>
        <w:t>,</w:t>
      </w:r>
      <w:r w:rsidR="00F70CF6">
        <w:rPr>
          <w:rFonts w:ascii="Times New Roman" w:hAnsi="Times New Roman" w:cs="Times New Roman"/>
        </w:rPr>
        <w:t xml:space="preserve"> </w:t>
      </w:r>
      <w:r>
        <w:rPr>
          <w:rFonts w:ascii="Times New Roman" w:hAnsi="Times New Roman" w:cs="Times New Roman"/>
        </w:rPr>
        <w:t xml:space="preserve">on the whole the results draw attention to the potential importance of cortico-cortical connectivity in addition to </w:t>
      </w:r>
      <w:proofErr w:type="spellStart"/>
      <w:r>
        <w:rPr>
          <w:rFonts w:ascii="Times New Roman" w:hAnsi="Times New Roman" w:cs="Times New Roman"/>
        </w:rPr>
        <w:t>corticostriatal</w:t>
      </w:r>
      <w:proofErr w:type="spellEnd"/>
      <w:r>
        <w:rPr>
          <w:rFonts w:ascii="Times New Roman" w:hAnsi="Times New Roman" w:cs="Times New Roman"/>
        </w:rPr>
        <w:t xml:space="preserve"> connectivity traditionally associated with impulsivity in CUD </w:t>
      </w:r>
      <w:r>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{"citationItems":[{"id":"ITEM-1","itemData":{"DOI":"10.1038/nrn.2017.8","ISSN":"1471-003X","PMID":"28209979","abstract":"The ability to make decisions and act quickly without hesitation can be advantageous in many settings. However, when persistently expressed, impulsive decisions and actions are considered risky, maladaptive and symptomatic of such diverse brain disorders as attention-deficit hyperactivity disorder, drug addiction and affective disorders. Over the past decade, rapid progress has been made in the identification of discrete neural networks that underlie different forms of impulsivity - from impaired response inhibition and risky decision making to a profound intolerance of delayed rewards. Herein, we review what is currently known about the neural and psychological mechanisms of impulsivity, and discuss the relevance and application of these new insights to various neuropsychiatric disorders.","author":[{"dropping-particle":"","family":"Dalley","given":"Jeffrey W.","non-dropping-particle":"","parse-names":false,"suffix":""},{"dropping-particle":"","family":"Robbins","given":"Trevor W.","non-dropping-particle":"","parse-names":false,"suffix":""}],"container-title":"Nature Reviews Neuroscience","id":"ITEM-1","issue":"3","issued":{"date-parts":[["2017"]]},"page":"158-171","publisher":"Nature Publishing Group","title":"Fractionating impulsivity: neuropsychiatric implications","type":"article-journal","volume":"18"},"uris":["http://www.mendeley.com/documents/?uuid=0d307721-6814-4b11-b7bb-b23cd80215dc"]}],"mendeley":{"formattedCitation":"(69)","plainTextFormattedCitation":"(69)","previouslyFormattedCitation":"(69)"},"properties":{"noteIndex":0},"schema":"https://github.com/citation-style-language/schema/raw/master/csl-citation.json"}</w:instrText>
      </w:r>
      <w:r>
        <w:rPr>
          <w:rFonts w:ascii="Times New Roman" w:hAnsi="Times New Roman" w:cs="Times New Roman"/>
        </w:rPr>
        <w:fldChar w:fldCharType="separate"/>
      </w:r>
      <w:r w:rsidR="00112D56" w:rsidRPr="00112D56">
        <w:rPr>
          <w:rFonts w:ascii="Times New Roman" w:hAnsi="Times New Roman" w:cs="Times New Roman"/>
          <w:noProof/>
        </w:rPr>
        <w:t>(69)</w:t>
      </w:r>
      <w:r>
        <w:rPr>
          <w:rFonts w:ascii="Times New Roman" w:hAnsi="Times New Roman" w:cs="Times New Roman"/>
        </w:rPr>
        <w:fldChar w:fldCharType="end"/>
      </w:r>
      <w:r>
        <w:rPr>
          <w:rFonts w:ascii="Times New Roman" w:hAnsi="Times New Roman" w:cs="Times New Roman"/>
        </w:rPr>
        <w:t>.</w:t>
      </w:r>
    </w:p>
    <w:p w14:paraId="1C22FAF8" w14:textId="4AAAAD92" w:rsidR="00457AA7" w:rsidRPr="004E1CFF" w:rsidRDefault="00457AA7" w:rsidP="000B7DB7">
      <w:pPr>
        <w:pStyle w:val="Heading2"/>
      </w:pPr>
      <w:r w:rsidRPr="004E1CFF">
        <w:t>Conclusions</w:t>
      </w:r>
      <w:r w:rsidR="00E64DCD">
        <w:t xml:space="preserve"> and limitations</w:t>
      </w:r>
    </w:p>
    <w:p w14:paraId="3D3E3AF7" w14:textId="53AE1E31" w:rsidR="00F94B38" w:rsidRDefault="002B4DBF" w:rsidP="00B40013">
      <w:pPr>
        <w:spacing w:line="360" w:lineRule="auto"/>
        <w:rPr>
          <w:rFonts w:ascii="Times New Roman" w:hAnsi="Times New Roman" w:cs="Times New Roman"/>
        </w:rPr>
      </w:pPr>
      <w:r>
        <w:rPr>
          <w:rFonts w:ascii="Times New Roman" w:hAnsi="Times New Roman" w:cs="Times New Roman"/>
        </w:rPr>
        <w:t xml:space="preserve">This study points to baseline-dependent improvements in response inhibition with atomoxetine administration along with concomitant </w:t>
      </w:r>
      <w:proofErr w:type="spellStart"/>
      <w:r>
        <w:rPr>
          <w:rFonts w:ascii="Times New Roman" w:hAnsi="Times New Roman" w:cs="Times New Roman"/>
        </w:rPr>
        <w:t>rIFG</w:t>
      </w:r>
      <w:proofErr w:type="spellEnd"/>
      <w:r>
        <w:rPr>
          <w:rFonts w:ascii="Times New Roman" w:hAnsi="Times New Roman" w:cs="Times New Roman"/>
        </w:rPr>
        <w:t xml:space="preserve"> upregulation in a cohort of CUD </w:t>
      </w:r>
      <w:r w:rsidR="00D643CD">
        <w:rPr>
          <w:rFonts w:ascii="Times New Roman" w:hAnsi="Times New Roman" w:cs="Times New Roman"/>
        </w:rPr>
        <w:t xml:space="preserve">patients </w:t>
      </w:r>
      <w:r>
        <w:rPr>
          <w:rFonts w:ascii="Times New Roman" w:hAnsi="Times New Roman" w:cs="Times New Roman"/>
        </w:rPr>
        <w:t xml:space="preserve">and in healthy volunteers. </w:t>
      </w:r>
      <w:r w:rsidR="00B5371A">
        <w:rPr>
          <w:rFonts w:ascii="Times New Roman" w:hAnsi="Times New Roman" w:cs="Times New Roman"/>
        </w:rPr>
        <w:t xml:space="preserve">CUD </w:t>
      </w:r>
      <w:r w:rsidR="00D643CD">
        <w:rPr>
          <w:rFonts w:ascii="Times New Roman" w:hAnsi="Times New Roman" w:cs="Times New Roman"/>
        </w:rPr>
        <w:t xml:space="preserve">patients </w:t>
      </w:r>
      <w:r w:rsidR="00B5371A">
        <w:rPr>
          <w:rFonts w:ascii="Times New Roman" w:hAnsi="Times New Roman" w:cs="Times New Roman"/>
        </w:rPr>
        <w:t xml:space="preserve">did not demonstrate impaired </w:t>
      </w:r>
      <w:r w:rsidR="006C1464">
        <w:rPr>
          <w:rFonts w:ascii="Times New Roman" w:hAnsi="Times New Roman" w:cs="Times New Roman"/>
        </w:rPr>
        <w:t xml:space="preserve">stopping </w:t>
      </w:r>
      <w:r w:rsidR="00B5371A">
        <w:rPr>
          <w:rFonts w:ascii="Times New Roman" w:hAnsi="Times New Roman" w:cs="Times New Roman"/>
        </w:rPr>
        <w:t xml:space="preserve">or reduced PFC activation compared to controls, contrary to </w:t>
      </w:r>
      <w:r w:rsidR="0000651C" w:rsidRPr="003F2048">
        <w:rPr>
          <w:rFonts w:ascii="Times New Roman" w:hAnsi="Times New Roman" w:cs="Times New Roman"/>
        </w:rPr>
        <w:t>expectations</w:t>
      </w:r>
      <w:r w:rsidR="00B5371A" w:rsidRPr="003F2048">
        <w:rPr>
          <w:rFonts w:ascii="Times New Roman" w:hAnsi="Times New Roman" w:cs="Times New Roman"/>
        </w:rPr>
        <w:t xml:space="preserve"> </w:t>
      </w:r>
      <w:r w:rsidR="008E2CE7" w:rsidRPr="003F2048">
        <w:rPr>
          <w:rFonts w:ascii="Times New Roman" w:hAnsi="Times New Roman" w:cs="Times New Roman"/>
        </w:rPr>
        <w:fldChar w:fldCharType="begin" w:fldLock="1"/>
      </w:r>
      <w:r w:rsidR="00C30855" w:rsidRPr="003F2048">
        <w:rPr>
          <w:rFonts w:ascii="Times New Roman" w:hAnsi="Times New Roman" w:cs="Times New Roman"/>
        </w:rPr>
        <w:instrText>ADDIN CSL_CITATION {"citationItems":[{"id":"ITEM-1","itemData":{"DOI":"10.1038/npp.2013.90","ISSN":"0893133X","abstract":"A neurocognitive endophenotype has been proposed for stimulant dependence, based on behavioral measures of inhibitory response control associated with white matter changes in the frontal cortex. This study investigated the functional neuroimaging correlates of inhibitory response control, as functional activity serves as a more dynamic measure than brain structure, allowing refinement of the suggested endophenotype. Stimulant-dependent individuals (SDIs), their unaffected siblings (SIBs), and healthy controls (CTs) performed the stop-signal task, including stop-signal reaction time (SSRT) as a measure of response inhibition, while undergoing functional magnetic resonance imaging. SDIs had impaired response inhibition accompanied by hypoactivation in the ventrolateral prefrontal cortex (PFC). In addition, they demonstrated hypoactivation in the anterior cingulate when failing to stop. In contrast, no hypoactivations were noted in their unaffected SIBs. Rather, they exhibited increased activation in the dorsomedial PFC relative to controls, together with inhibitory performance that was intermediate between that of the stimulant group and the healthy CT group. Such hyperactivations within the neurocircuitry underlying response inhibition and control are suggestive of compensatory mechanisms that could be protective in nature or could reflect coping with a pre-existing vulnerability, thus expressing potential aspects of resilience. The functional activation associated with response inhibition and error monitoring showed differential patterns of results between SDIs and their unaffected first-degree relatives, suggesting that the proposed endophenotype does not generalize to functional brain activity.","author":[{"dropping-particle":"","family":"Morein-Zamir","given":"Sharon","non-dropping-particle":"","parse-names":false,"suffix":""},{"dropping-particle":"","family":"Simon Jones","given":"P.","non-dropping-particle":"","parse-names":false,"suffix":""},{"dropping-particle":"","family":"Bullmore","given":"Edward T.","non-dropping-particle":"","parse-names":false,"suffix":""},{"dropping-particle":"","family":"Robbins","given":"Trevor W.","non-dropping-particle":"","parse-names":false,"suffix":""},{"dropping-particle":"","family":"Ersche","given":"Karen D.","non-dropping-particle":"","parse-names":false,"suffix":""}],"container-title":"Neuropsychopharmacology","id":"ITEM-1","issue":"10","issued":{"date-parts":[["2013"]]},"page":"1945-1953","publisher":"Nature Publishing Group","title":"Prefrontal hypoactivity associated with impaired inhibition in stimulant-dependent individuals but evidence for hyperactivation in their unaffected siblings","type":"article-journal","volume":"38"},"uris":["http://www.mendeley.com/documents/?uuid=e0ee51a8-ba2c-487c-b05b-858bc6dbe6dd"]},{"id":"ITEM-2","itemData":{"DOI":"10.1016/j.neuron.2018.03.048","ISBN":"1097-4199; 0896-6273","ISSN":"10974199","PMID":"29879391","abstract":"The impaired response inhibition and salience attribution (iRISA) model proposes that impaired response inhibition and salience attribution underlie drug seeking and taking. To update this model, we systematically reviewed 105 task-related neuroimaging studies (n &gt; 15/group) published since 2010. Results demonstrate specific impairments within six large-scale brain networks (reward, habit, salience, executive, memory, and self-directed networks) during drug cue exposure, decision making, inhibitory control, and social-emotional processing. Addicted individuals demonstrated increased recruitment of these networks during drug-related processing but a blunted response during non-drug-related processing, with the same networks also being implicated during resting state. Associations with real-life drug use, relapse, therapeutic interventions, and the relevance to initiation of drug use during adolescence support the clinical relevance of the results. Whereas the salience and executive networks showed impairments throughout the addiction cycle, the reward network was dysregulated at later stages of abuse. Effects were similar in alcohol, cannabis, and stimulant addiction. Zilverstand et al. find that behaviors in drug addiction are closely tied to brain impairments underlying drug cue reactivity, decision making, inhibitory control, and social-emotional processing. Neuroimaging biomarkers can also be used to predict initiation and progression of drug addiction.","author":[{"dropping-particle":"","family":"Zilverstand","given":"Anna","non-dropping-particle":"","parse-names":false,"suffix":""},{"dropping-particle":"","family":"Huang","given":"Anna S.","non-dropping-particle":"","parse-names":false,"suffix":""},{"dropping-particle":"","family":"Alia-Klein","given":"Nelly","non-dropping-particle":"","parse-names":false,"suffix":""},{"dropping-particle":"","family":"Goldstein","given":"Rita Z.","non-dropping-particle":"","parse-names":false,"suffix":""}],"container-title":"Neuron","id":"ITEM-2","issue":"5","issued":{"date-parts":[["2018"]]},"page":"886-903","publisher":"Elsevier Inc.","title":"Neuroimaging Impaired Response Inhibition and Salience Attribution in Human Drug Addiction: A Systematic Review","type":"article-journal","volume":"98"},"uris":["http://www.mendeley.com/documents/?uuid=a9f0754f-79ce-4025-802b-195340f09362"]},{"id":"ITEM-3","itemData":{"DOI":"10.1016/j.drugalcdep.2006.04.008","ISSN":"03768716","PMID":"16725282","abstract":"Impulsivity has been associated with drug abuse and relapse. As a measure of impulsivity, response inhibition in a stop signal task is impaired in substance abusers compared to healthy control subjects. However, cognitive processes besides response inhibition can affect performance in the stop signal task. Greater response readiness to the go signal increases stop signal reaction time (SSRT) and greater performance monitoring elicited by the stop signal decreases SSRT. Prolonged SSRT, therefore, may reflect differences in these other task-related cognitive processes rather than impaired response inhibition. Using a tracking stop-signal task, we compared 18 abstinent cocaine dependent patients with 41 age- and education-matched healthy controls. We computed SSRT for each individual subject on the basis of the horse race model. We also computed the fore-period (FP) effect to measure response readiness to the go signal and the post-signal slowing (PSS) effect to measure performance monitoring to the stop signal. Cocaine subjects showed increased SSRT and decreased PSS effect, compared to healthy controls. Covariance adjustment for the PSS effect eliminated the SSRT difference from healthy controls. These results suggest that diminished performance monitoring can be a critical cognitive mechanism underlying impaired response inhibition in cocaine dependent patients. © 2006 Elsevier Ireland Ltd. All rights reserved.","author":[{"dropping-particle":"","family":"Li","given":"Chiang shan Ray","non-dropping-particle":"","parse-names":false,"suffix":""},{"dropping-particle":"","family":"Milivojevic","given":"Verica","non-dropping-particle":"","parse-names":false,"suffix":""},{"dropping-particle":"","family":"Kemp","given":"Kathleen","non-dropping-particle":"","parse-names":false,"suffix":""},{"dropping-particle":"","family":"Hong","given":"Kwangik","non-dropping-particle":"","parse-names":false,"suffix":""},{"dropping-particle":"","family":"Sinha","given":"Rajita","non-dropping-particle":"","parse-names":false,"suffix":""}],"container-title":"Drug and Alcohol Dependence","id":"ITEM-3","issue":"3","issued":{"date-parts":[["2006"]]},"page":"205-212","title":"Performance monitoring and stop signal inhibition in abstinent patients with cocaine dependence","type":"article-journal","volume":"85"},"uris":["http://www.mendeley.com/documents/?uuid=9b9dd5cc-7e12-40ee-b9ea-1c2b341a6c6c"]},{"id":"ITEM-4","itemData":{"DOI":"10.1016/j.nicl.2018.03.016","ISSN":"22131582","PMID":"29876265","abstract":"Graphic theoretical metrics have become increasingly popular in characterizing functional connectivity of neural networks and how network connectivity is compromised in neuropsychiatric illnesses. Here, we add to this literature by describing dynamic network connectivities of 78 cocaine dependent (CD) and 85 non-drug using healthy control (HC) participants who underwent fMRI during performance of a stop signal task (SST). Compared to HC, CD showed prolonged stop signal reaction time (SSRT), consistent with deficits in response inhibition. In graph theoretical analysis of dynamic functional connectivity, we examined temporal flexibility and spatiotemporal diversity of 14 networks covering the whole brain. Temporal flexibility quantifies how frequently a brain region interacts with regions of other communities across time, with high temporal flexibility indicating that a region interacts predominantly with regions outside its own community. Spatiotemporal diversity quantifies how uniformly a brain region interacts with regions in other communities over time, with high spatiotemporal diversity indicating that the interactions are more evenly distributed across communities. Compared to HC, CD exhibited decreased temporal flexibility and increased spatiotemporal diversity in the great majority of neural networks. The graph metric measures of the default mode network negatively correlated with SSRT in CD but not HC. The findings are consistent with diminished temporal flexibility and a compensatory increase in spatiotemporal diversity, in association with impairment of a critical executive function, in cocaine addiction. More broadly, the findings suggest that graph theoretical metrics provide new insights for connectivity analyses to elucidate network dysfunction that may elude conventional measures.","author":[{"dropping-particle":"","family":"Zhang","given":"Yihe","non-dropping-particle":"","parse-names":false,"suffix":""},{"dropping-particle":"","family":"Zhang","given":"Sheng","non-dropping-particle":"","parse-names":false,"suffix":""},{"dropping-particle":"","family":"Ide","given":"Jaime S.","non-dropping-particle":"","parse-names":false,"suffix":""},{"dropping-particle":"","family":"Hu","given":"Sien","non-dropping-particle":"","parse-names":false,"suffix":""},{"dropping-particle":"","family":"Zhornitsky","given":"Simon","non-dropping-particle":"","parse-names":false,"suffix":""},{"dropping-particle":"","family":"Wang","given":"Wuyi","non-dropping-particle":"","parse-names":false,"suffix":""},{"dropping-particle":"","family":"Dong","given":"Guozhao","non-dropping-particle":"","parse-names":false,"suffix":""},{"dropping-particle":"","family":"Tang","given":"Xiaoying","non-dropping-particle":"","parse-names":false,"suffix":""},{"dropping-particle":"","family":"Li","given":"Chiang shan R.","non-dropping-particle":"","parse-names":false,"suffix":""}],"container-title":"NeuroImage: Clinical","id":"ITEM-4","issue":"January","issued":{"date-parts":[["2018"]]},"page":"793-801","publisher":"Elsevier","title":"Dynamic network dysfunction in cocaine dependence: Graph theoretical metrics and stop signal reaction time","type":"article-journal","volume":"18"},"uris":["http://www.mendeley.com/documents/?uuid=5e733027-15d8-4ae4-8b78-86bce8f81a9a"]}],"mendeley":{"formattedCitation":"(1,6,70,71)","plainTextFormattedCitation":"(1,6,70,71)","previouslyFormattedCitation":"(1,6,70,71)"},"properties":{"noteIndex":0},"schema":"https://github.com/citation-style-language/schema/raw/master/csl-citation.json"}</w:instrText>
      </w:r>
      <w:r w:rsidR="008E2CE7" w:rsidRPr="003F2048">
        <w:rPr>
          <w:rFonts w:ascii="Times New Roman" w:hAnsi="Times New Roman" w:cs="Times New Roman"/>
        </w:rPr>
        <w:fldChar w:fldCharType="separate"/>
      </w:r>
      <w:r w:rsidR="00112D56" w:rsidRPr="003F2048">
        <w:rPr>
          <w:rFonts w:ascii="Times New Roman" w:hAnsi="Times New Roman" w:cs="Times New Roman"/>
          <w:noProof/>
        </w:rPr>
        <w:t>(1,6,70,71)</w:t>
      </w:r>
      <w:r w:rsidR="008E2CE7" w:rsidRPr="003F2048">
        <w:rPr>
          <w:rFonts w:ascii="Times New Roman" w:hAnsi="Times New Roman" w:cs="Times New Roman"/>
        </w:rPr>
        <w:fldChar w:fldCharType="end"/>
      </w:r>
      <w:r w:rsidR="00B5371A" w:rsidRPr="003F2048">
        <w:rPr>
          <w:rFonts w:ascii="Times New Roman" w:hAnsi="Times New Roman" w:cs="Times New Roman"/>
        </w:rPr>
        <w:t>.</w:t>
      </w:r>
      <w:r w:rsidR="008E2CE7" w:rsidRPr="003F2048">
        <w:rPr>
          <w:rFonts w:ascii="Times New Roman" w:hAnsi="Times New Roman" w:cs="Times New Roman"/>
        </w:rPr>
        <w:t xml:space="preserve"> </w:t>
      </w:r>
      <w:r w:rsidR="004A7183" w:rsidRPr="00D56E1C">
        <w:rPr>
          <w:rFonts w:ascii="Times New Roman" w:hAnsi="Times New Roman" w:cs="Times New Roman"/>
          <w:u w:val="single"/>
        </w:rPr>
        <w:t xml:space="preserve">However, CUD patients showed significantly more omissions on Go trials, suggesting a degree of hesitancy manifesting from  proactive inhibition </w:t>
      </w:r>
      <w:r w:rsidR="004A7183" w:rsidRPr="00D56E1C">
        <w:rPr>
          <w:rFonts w:ascii="Times New Roman" w:hAnsi="Times New Roman" w:cs="Times New Roman"/>
          <w:u w:val="single"/>
        </w:rPr>
        <w:fldChar w:fldCharType="begin" w:fldLock="1"/>
      </w:r>
      <w:r w:rsidR="004A7183" w:rsidRPr="00D56E1C">
        <w:rPr>
          <w:rFonts w:ascii="Times New Roman" w:hAnsi="Times New Roman" w:cs="Times New Roman"/>
          <w:u w:val="single"/>
        </w:rPr>
        <w:instrText>ADDIN CSL_CITATION {"citationItems":[{"id":"ITEM-1","itemData":{"DOI":"10.1016/j.biopsych.2010.07.024","ISSN":"00063223","PMID":"20932513","abstract":"A better understanding of the neural systems underlying impulse control is important for psychiatry. Although most impulses are motivational or emotional rather than motoric per se, it is research into the neural architecture of motor response control that has made the greatest strides. This article reviews recent developments in the cognitive neuroscience of stopping responses. Most research of this kind has focused on reactive controlthat is, how subjects stop a response outright when instructed by a signal. It is argued that reactive paradigms are limited as models of control relevant to psychiatry. Instead, a set of paradigms is advocated that begins to model proactive inhibitory controlthat is, how a subject prepares to stop an upcoming response tendency. Proactive inhibitory control is generated according to the goals of the subject rather than by an external signal, and it can be selectively targeted at a particular response tendency. This may have wider validity than reactive control as an experimental model for stopping inappropriate responses. © 2011 Society of Biological Psychiatry.","author":[{"dropping-particle":"","family":"Aron","given":"Adam R.","non-dropping-particle":"","parse-names":false,"suffix":""}],"container-title":"Biological Psychiatry","id":"ITEM-1","issue":"12","issued":{"date-parts":[["2011"]]},"page":"e55-e68","publisher":"Elsevier Inc.","title":"From reactive to proactive and selective control: Developing a richer model for stopping inappropriate responses","type":"article-journal","volume":"69"},"uris":["http://www.mendeley.com/documents/?uuid=b243ee0a-bb92-48c2-85e1-937c0829df51"]}],"mendeley":{"formattedCitation":"(72)","plainTextFormattedCitation":"(72)"},"properties":{"noteIndex":0},"schema":"https://github.com/citation-style-language/schema/raw/master/csl-citation.json"}</w:instrText>
      </w:r>
      <w:r w:rsidR="004A7183" w:rsidRPr="00D56E1C">
        <w:rPr>
          <w:rFonts w:ascii="Times New Roman" w:hAnsi="Times New Roman" w:cs="Times New Roman"/>
          <w:u w:val="single"/>
        </w:rPr>
        <w:fldChar w:fldCharType="separate"/>
      </w:r>
      <w:r w:rsidR="004A7183" w:rsidRPr="00D56E1C">
        <w:rPr>
          <w:rFonts w:ascii="Times New Roman" w:hAnsi="Times New Roman" w:cs="Times New Roman"/>
          <w:noProof/>
          <w:u w:val="single"/>
        </w:rPr>
        <w:t>(72)</w:t>
      </w:r>
      <w:r w:rsidR="004A7183" w:rsidRPr="00D56E1C">
        <w:rPr>
          <w:rFonts w:ascii="Times New Roman" w:hAnsi="Times New Roman" w:cs="Times New Roman"/>
          <w:u w:val="single"/>
        </w:rPr>
        <w:fldChar w:fldCharType="end"/>
      </w:r>
      <w:r w:rsidR="004A7183" w:rsidRPr="00D56E1C">
        <w:rPr>
          <w:rFonts w:ascii="Times New Roman" w:hAnsi="Times New Roman" w:cs="Times New Roman"/>
          <w:u w:val="single"/>
        </w:rPr>
        <w:t xml:space="preserve"> being used in this group in view of increased impulsivity </w:t>
      </w:r>
      <w:r w:rsidR="004A7183" w:rsidRPr="00D56E1C">
        <w:rPr>
          <w:rFonts w:ascii="Times New Roman" w:hAnsi="Times New Roman" w:cs="Times New Roman"/>
          <w:color w:val="000000" w:themeColor="text1"/>
          <w:u w:val="single"/>
        </w:rPr>
        <w:fldChar w:fldCharType="begin" w:fldLock="1"/>
      </w:r>
      <w:r w:rsidR="004A7183" w:rsidRPr="00D56E1C">
        <w:rPr>
          <w:rFonts w:ascii="Times New Roman" w:hAnsi="Times New Roman" w:cs="Times New Roman"/>
          <w:color w:val="000000" w:themeColor="text1"/>
          <w:u w:val="single"/>
        </w:rPr>
        <w:instrText>ADDIN CSL_CITATION {"citationItems":[{"id":"ITEM-1","itemData":{"DOI":"10.1038/npp.2013.90","ISSN":"0893133X","abstract":"A neurocognitive endophenotype has been proposed for stimulant dependence, based on behavioral measures of inhibitory response control associated with white matter changes in the frontal cortex. This study investigated the functional neuroimaging correlates of inhibitory response control, as functional activity serves as a more dynamic measure than brain structure, allowing refinement of the suggested endophenotype. Stimulant-dependent individuals (SDIs), their unaffected siblings (SIBs), and healthy controls (CTs) performed the stop-signal task, including stop-signal reaction time (SSRT) as a measure of response inhibition, while undergoing functional magnetic resonance imaging. SDIs had impaired response inhibition accompanied by hypoactivation in the ventrolateral prefrontal cortex (PFC). In addition, they demonstrated hypoactivation in the anterior cingulate when failing to stop. In contrast, no hypoactivations were noted in their unaffected SIBs. Rather, they exhibited increased activation in the dorsomedial PFC relative to controls, together with inhibitory performance that was intermediate between that of the stimulant group and the healthy CT group. Such hyperactivations within the neurocircuitry underlying response inhibition and control are suggestive of compensatory mechanisms that could be protective in nature or could reflect coping with a pre-existing vulnerability, thus expressing potential aspects of resilience. The functional activation associated with response inhibition and error monitoring showed differential patterns of results between SDIs and their unaffected first-degree relatives, suggesting that the proposed endophenotype does not generalize to functional brain activity.","author":[{"dropping-particle":"","family":"Morein-Zamir","given":"Sharon","non-dropping-particle":"","parse-names":false,"suffix":""},{"dropping-particle":"","family":"Simon Jones","given":"P.","non-dropping-particle":"","parse-names":false,"suffix":""},{"dropping-particle":"","family":"Bullmore","given":"Edward T.","non-dropping-particle":"","parse-names":false,"suffix":""},{"dropping-particle":"","family":"Robbins","given":"Trevor W.","non-dropping-particle":"","parse-names":false,"suffix":""},{"dropping-particle":"","family":"Ersche","given":"Karen D.","non-dropping-particle":"","parse-names":false,"suffix":""}],"container-title":"Neuropsychopharmacology","id":"ITEM-1","issue":"10","issued":{"date-parts":[["2013"]]},"page":"1945-1953","publisher":"Nature Publishing Group","title":"Prefrontal hypoactivity associated with impaired inhibition in stimulant-dependent individuals but evidence for hyperactivation in their unaffected siblings","type":"article-journal","volume":"38"},"uris":["http://www.mendeley.com/documents/?uuid=e0ee51a8-ba2c-487c-b05b-858bc6dbe6dd"]}],"mendeley":{"formattedCitation":"(6)","plainTextFormattedCitation":"(6)","previouslyFormattedCitation":"(6)"},"properties":{"noteIndex":0},"schema":"https://github.com/citation-style-language/schema/raw/master/csl-citation.json"}</w:instrText>
      </w:r>
      <w:r w:rsidR="004A7183" w:rsidRPr="00D56E1C">
        <w:rPr>
          <w:rFonts w:ascii="Times New Roman" w:hAnsi="Times New Roman" w:cs="Times New Roman"/>
          <w:color w:val="000000" w:themeColor="text1"/>
          <w:u w:val="single"/>
        </w:rPr>
        <w:fldChar w:fldCharType="separate"/>
      </w:r>
      <w:r w:rsidR="004A7183" w:rsidRPr="00D56E1C">
        <w:rPr>
          <w:rFonts w:ascii="Times New Roman" w:hAnsi="Times New Roman" w:cs="Times New Roman"/>
          <w:noProof/>
          <w:color w:val="000000" w:themeColor="text1"/>
          <w:u w:val="single"/>
        </w:rPr>
        <w:t>(6)</w:t>
      </w:r>
      <w:r w:rsidR="004A7183" w:rsidRPr="00D56E1C">
        <w:rPr>
          <w:rFonts w:ascii="Times New Roman" w:hAnsi="Times New Roman" w:cs="Times New Roman"/>
          <w:color w:val="000000" w:themeColor="text1"/>
          <w:u w:val="single"/>
        </w:rPr>
        <w:fldChar w:fldCharType="end"/>
      </w:r>
      <w:r w:rsidR="004A7183" w:rsidRPr="00D56E1C">
        <w:rPr>
          <w:rFonts w:ascii="Times New Roman" w:hAnsi="Times New Roman" w:cs="Times New Roman"/>
          <w:u w:val="single"/>
        </w:rPr>
        <w:fldChar w:fldCharType="begin" w:fldLock="1"/>
      </w:r>
      <w:r w:rsidR="004A7183" w:rsidRPr="00D56E1C">
        <w:rPr>
          <w:rFonts w:ascii="Times New Roman" w:hAnsi="Times New Roman" w:cs="Times New Roman"/>
          <w:u w:val="single"/>
        </w:rPr>
        <w:instrText>ADDIN CSL_CITATION {"citationItems":[{"id":"ITEM-1","itemData":{"DOI":"10.1002/hbm.24941","ISSN":"10970193","PMID":"32150321","abstract":"Adequate control of impulsive urges to act is demanded in everyday life but is impaired in neuropsychiatric conditions such as stimulant use disorder. Despite intensive research it remains unclear whether failures in impulse control are caused by impaired suppression of behavior or by the over invigoration of behavior by stimuli associated with salient incentives such as drugs, food, and money. We investigated failures in impulse control using functional magnetic resonance imaging (fMRI) to map the neural correlates of premature (impulsive) responses during the anticipation phase of the Monetary Incentive Delay (MID) task in healthy controls (HC), stimulant-dependent individuals (SDIs), and their unaffected first-degree siblings (SIB). We combined task-based fMRI analyses with dynamic causal modeling to show that failures of impulse control were associated with interactions between cingulo-opercular and dorsal striatal networks regardless of group status and incentive type. We further report that group-specific incentive salience plays a critical role in modulating impulsivity in SDIs since drug-related incentives specifically increased premature responding and shifted task modulation away from the dorsal striatal network to the cingulo-opercular network. Our findings thus indicate that impulsive actions are elicited by salient personally-relevant incentive stimuli and those such slips of action recruit a distinct fronto-striatal network.","author":[{"dropping-particle":"","family":"Zhukovsky","given":"Peter","non-dropping-particle":"","parse-names":false,"suffix":""},{"dropping-particle":"","family":"Morein-Zamir","given":"Sharon","non-dropping-particle":"","parse-names":false,"suffix":""},{"dropping-particle":"","family":"Meng","given":"Chun","non-dropping-particle":"","parse-names":false,"suffix":""},{"dropping-particle":"","family":"Dalley","given":"Jeffrey W.","non-dropping-particle":"","parse-names":false,"suffix":""},{"dropping-particle":"","family":"Ersche","given":"Karen D.","non-dropping-particle":"","parse-names":false,"suffix":""}],"container-title":"Human Brain Mapping","id":"ITEM-1","issue":"December 2019","issued":{"date-parts":[["2020"]]},"page":"1-13","title":"Network failures: When incentives trigger impulsive responses","type":"article-journal"},"uris":["http://www.mendeley.com/documents/?uuid=5cafbd03-932f-4404-b29f-23dc9a12f15f"]}],"mendeley":{"formattedCitation":"(73)","plainTextFormattedCitation":"(73)","previouslyFormattedCitation":"(81)"},"properties":{"noteIndex":0},"schema":"https://github.com/citation-style-language/schema/raw/master/csl-citation.json"}</w:instrText>
      </w:r>
      <w:r w:rsidR="004A7183" w:rsidRPr="00D56E1C">
        <w:rPr>
          <w:rFonts w:ascii="Times New Roman" w:hAnsi="Times New Roman" w:cs="Times New Roman"/>
          <w:u w:val="single"/>
        </w:rPr>
        <w:fldChar w:fldCharType="separate"/>
      </w:r>
      <w:r w:rsidR="004A7183" w:rsidRPr="00D56E1C">
        <w:rPr>
          <w:rFonts w:ascii="Times New Roman" w:hAnsi="Times New Roman" w:cs="Times New Roman"/>
          <w:noProof/>
          <w:u w:val="single"/>
        </w:rPr>
        <w:t>(73)</w:t>
      </w:r>
      <w:r w:rsidR="004A7183" w:rsidRPr="00D56E1C">
        <w:rPr>
          <w:rFonts w:ascii="Times New Roman" w:hAnsi="Times New Roman" w:cs="Times New Roman"/>
          <w:u w:val="single"/>
        </w:rPr>
        <w:fldChar w:fldCharType="end"/>
      </w:r>
      <w:r w:rsidR="004A7183" w:rsidRPr="00D56E1C">
        <w:rPr>
          <w:rFonts w:ascii="Times New Roman" w:hAnsi="Times New Roman" w:cs="Times New Roman"/>
          <w:u w:val="single"/>
        </w:rPr>
        <w:t xml:space="preserve">. </w:t>
      </w:r>
      <w:r w:rsidR="00A77162" w:rsidRPr="00D56E1C">
        <w:rPr>
          <w:rFonts w:ascii="Times New Roman" w:hAnsi="Times New Roman" w:cs="Times New Roman"/>
        </w:rPr>
        <w:t xml:space="preserve">Some </w:t>
      </w:r>
      <w:r w:rsidR="00EC1CF1" w:rsidRPr="00D56E1C">
        <w:rPr>
          <w:rFonts w:ascii="Times New Roman" w:hAnsi="Times New Roman" w:cs="Times New Roman"/>
        </w:rPr>
        <w:t xml:space="preserve">of the participants </w:t>
      </w:r>
      <w:r w:rsidR="0030399C" w:rsidRPr="00D56E1C">
        <w:rPr>
          <w:rFonts w:ascii="Times New Roman" w:hAnsi="Times New Roman" w:cs="Times New Roman"/>
        </w:rPr>
        <w:t xml:space="preserve">were also </w:t>
      </w:r>
      <w:r w:rsidR="00FE193C" w:rsidRPr="00D56E1C">
        <w:rPr>
          <w:rFonts w:ascii="Times New Roman" w:hAnsi="Times New Roman" w:cs="Times New Roman"/>
        </w:rPr>
        <w:t>dependen</w:t>
      </w:r>
      <w:r w:rsidR="00DD6A05" w:rsidRPr="00D56E1C">
        <w:rPr>
          <w:rFonts w:ascii="Times New Roman" w:hAnsi="Times New Roman" w:cs="Times New Roman"/>
        </w:rPr>
        <w:t>t on opioids and cannabis</w:t>
      </w:r>
      <w:r w:rsidR="003522ED" w:rsidRPr="00D56E1C">
        <w:rPr>
          <w:rFonts w:ascii="Times New Roman" w:hAnsi="Times New Roman" w:cs="Times New Roman"/>
        </w:rPr>
        <w:t xml:space="preserve"> in addition to cocaine</w:t>
      </w:r>
      <w:r w:rsidR="00F22003" w:rsidRPr="00D56E1C">
        <w:rPr>
          <w:rFonts w:ascii="Times New Roman" w:hAnsi="Times New Roman" w:cs="Times New Roman"/>
        </w:rPr>
        <w:t>.</w:t>
      </w:r>
      <w:r w:rsidR="003C19AE" w:rsidRPr="00D56E1C">
        <w:rPr>
          <w:rFonts w:ascii="Times New Roman" w:hAnsi="Times New Roman" w:cs="Times New Roman"/>
        </w:rPr>
        <w:t xml:space="preserve"> </w:t>
      </w:r>
      <w:r w:rsidR="00DA3FB6" w:rsidRPr="00D56E1C">
        <w:rPr>
          <w:rFonts w:ascii="Times New Roman" w:hAnsi="Times New Roman" w:cs="Times New Roman"/>
        </w:rPr>
        <w:t xml:space="preserve">The stop-signal task </w:t>
      </w:r>
      <w:r w:rsidR="006A7024" w:rsidRPr="00D56E1C">
        <w:rPr>
          <w:rFonts w:ascii="Times New Roman" w:hAnsi="Times New Roman" w:cs="Times New Roman"/>
        </w:rPr>
        <w:t xml:space="preserve">is </w:t>
      </w:r>
      <w:r w:rsidR="00B666DB">
        <w:rPr>
          <w:rFonts w:ascii="Times New Roman" w:hAnsi="Times New Roman" w:cs="Times New Roman"/>
        </w:rPr>
        <w:t>a sensitive measure of response inhibition in stimulant</w:t>
      </w:r>
      <w:r w:rsidR="00CB4E33">
        <w:rPr>
          <w:rFonts w:ascii="Times New Roman" w:hAnsi="Times New Roman" w:cs="Times New Roman"/>
        </w:rPr>
        <w:t xml:space="preserve"> use disorder</w:t>
      </w:r>
      <w:r w:rsidR="00836409">
        <w:rPr>
          <w:rFonts w:ascii="Times New Roman" w:hAnsi="Times New Roman" w:cs="Times New Roman"/>
        </w:rPr>
        <w:t xml:space="preserve">, </w:t>
      </w:r>
      <w:r w:rsidR="00A47F3E">
        <w:rPr>
          <w:rFonts w:ascii="Times New Roman" w:hAnsi="Times New Roman" w:cs="Times New Roman"/>
        </w:rPr>
        <w:t>with</w:t>
      </w:r>
      <w:r w:rsidR="00836409">
        <w:rPr>
          <w:rFonts w:ascii="Times New Roman" w:hAnsi="Times New Roman" w:cs="Times New Roman"/>
        </w:rPr>
        <w:t xml:space="preserve"> </w:t>
      </w:r>
      <w:r w:rsidR="003F63B0">
        <w:rPr>
          <w:rFonts w:ascii="Times New Roman" w:hAnsi="Times New Roman" w:cs="Times New Roman"/>
        </w:rPr>
        <w:t xml:space="preserve">impaired stopping </w:t>
      </w:r>
      <w:r w:rsidR="00D44CA7">
        <w:rPr>
          <w:rFonts w:ascii="Times New Roman" w:hAnsi="Times New Roman" w:cs="Times New Roman"/>
        </w:rPr>
        <w:t xml:space="preserve">in </w:t>
      </w:r>
      <w:r w:rsidR="000063F6">
        <w:rPr>
          <w:rFonts w:ascii="Times New Roman" w:hAnsi="Times New Roman" w:cs="Times New Roman"/>
        </w:rPr>
        <w:t xml:space="preserve">both clinical and preclinical </w:t>
      </w:r>
      <w:r w:rsidR="00D613C6">
        <w:rPr>
          <w:rFonts w:ascii="Times New Roman" w:hAnsi="Times New Roman" w:cs="Times New Roman"/>
        </w:rPr>
        <w:t>studies</w:t>
      </w:r>
      <w:r w:rsidR="00710E71">
        <w:rPr>
          <w:rFonts w:ascii="Times New Roman" w:hAnsi="Times New Roman" w:cs="Times New Roman"/>
        </w:rPr>
        <w:t xml:space="preserve"> </w:t>
      </w:r>
      <w:r w:rsidR="00710E71">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{"citationItems":[{"id":"ITEM-1","itemData":{"DOI":"10.1016/S0376-8716(01)00206-X","ISSN":"03768716","PMID":"12062461","abstract":"This study examined the ability to inhibit and execute behavioral responses in adult cocaine users and in an aged-matched sample with no history of cocaine use. Subjects (n=22) were identified as cocaine users by testing positive for the presence of cocaine or benzoylecgonine in urine-analysis and by self-reported cocaine use. Control subjects (n=22) tested negative in urine-analysis and reported no past cocaine use. Response inhibition and response execution were measured by a stop-signal paradigm using a choice reaction time task that engaged subjects in responding to go-signals when stop-signals occasionally informed them to inhibit the response. Cocaine users displayed significantly poorer ability to inhibit their behavioral responses than did controls. Specifically, cocaine users required more time to inhibit responses to stop-signals and displayed a lower probability of inhibiting their responses. Cocaine users did not differ from controls in their ability to execute responses as measured by their speed and accuracy of responses to go-signals. These findings are important because they identify a specific deficit involving behavioral inhibition that could contribute to cocaine abuse, and explain its association with other disorders of self-regulation, such as ADHD. © 2002 Elsevier Science Ireland Ltd. All rights reserved.","author":[{"dropping-particle":"","family":"Fillmore","given":"Mark T.","non-dropping-particle":"","parse-names":false,"suffix":""},{"dropping-particle":"","family":"Rush","given":"Craig R.","non-dropping-particle":"","parse-names":false,"suffix":""}],"container-title":"Drug and Alcohol Dependence","id":"ITEM-1","issue":"3","issued":{"date-parts":[["2002"]]},"page":"265-273","title":"Impaired inhibitory control of behavior in chronic cocaine users","type":"article-journal","volume":"66"},"uris":["http://www.mendeley.com/documents/?uuid=e793fe1e-d5d1-4e9a-b033-0875c4367ea2"]},{"id":"ITEM-2","itemData":{"DOI":"10.1007/s40429-014-0035-6","ISBN":"4042901400356","abstract":"Impulsive behavior is strongly implicated in drug abuse, as both a cause and a consequence of drug use. To understand how impulsive behaviors lead to and result from drug use, translational evidence from both human and non-human animal studies is needed. Here, we review recent (2009 or later) studies that have investigated two major components of impulsive behavior, inhibitory control and impulsive choice, across preclinical and clinical studies. We concentrate on the stop-signal task as the measure of inhibitory control and delay discounting as the measure of impulsive choice. Consistent with previous reports, recent studies show greater impulsive behavior in drug users compared with non-users. Additionally, new evidence supports the prospective role of impulsive behavior in drug abuse, and has begun to identify the neurobiological mechanisms underlying impulsive behavior. We focus on the commonalities and differences in findings between preclinical and clinical studies, and suggest future directions for translational research.","author":[{"dropping-particle":"","family":"Weafer","given":"Jessica","non-dropping-particle":"","parse-names":false,"suffix":""},{"dropping-particle":"","family":"Mitchell","given":"Suzanne H.","non-dropping-particle":"","parse-names":false,"suffix":""},{"dropping-particle":"","family":"Wit","given":"Harriet","non-dropping-particle":"de","parse-names":false,"suffix":""}],"container-title":"Current Addiction Reports","id":"ITEM-2","issue":"4","issued":{"date-parts":[["2014"]]},"page":"289-300","title":"Recent Translational Findings on Impulsivity in Relation to Drug Abuse","type":"article-journal","volume":"1"},"uris":["http://www.mendeley.com/documents/?uuid=a5852882-3f79-401d-9668-593d056a8ddf"]},{"id":"ITEM-3","itemData":{"DOI":"10.1111/j.1360-0443.2006.01522.x","ISSN":"09652140","abstract":"This study examined dose-response effects of oral cocaine on the inhibitory control of behavior in adult cocaine users using two different behavioral models of inhibitory control.","author":[{"dropping-particle":"","family":"Fillmore","given":"Mark T.","non-dropping-particle":"","parse-names":false,"suffix":""},{"dropping-particle":"","family":"Rush","given":"Craig R.","non-dropping-particle":"","parse-names":false,"suffix":""},{"dropping-particle":"","family":"Hays","given":"Lon","non-dropping-particle":"","parse-names":false,"suffix":""}],"container-title":"Addiction","id":"ITEM-3","issue":"9","issued":{"date-parts":[["2006"]]},"page":"1323-1332","title":"Acute effects of cocaine in two models of inhibitory control: Implications of non-linear dose effects","type":"article-journal","volume":"101"},"uris":["http://www.mendeley.com/documents/?uuid=5155e5ae-3a7f-47bb-99c2-b6b3286717d0"]}],"mendeley":{"formattedCitation":"(74–76)","plainTextFormattedCitation":"(74–76)","previouslyFormattedCitation":"(72–74)"},"properties":{"noteIndex":0},"schema":"https://github.com/citation-style-language/schema/raw/master/csl-citation.json"}</w:instrText>
      </w:r>
      <w:r w:rsidR="00710E71">
        <w:rPr>
          <w:rFonts w:ascii="Times New Roman" w:hAnsi="Times New Roman" w:cs="Times New Roman"/>
        </w:rPr>
        <w:fldChar w:fldCharType="separate"/>
      </w:r>
      <w:r w:rsidR="00C30855" w:rsidRPr="00C30855">
        <w:rPr>
          <w:rFonts w:ascii="Times New Roman" w:hAnsi="Times New Roman" w:cs="Times New Roman"/>
          <w:noProof/>
        </w:rPr>
        <w:t>(74–76)</w:t>
      </w:r>
      <w:r w:rsidR="00710E71">
        <w:rPr>
          <w:rFonts w:ascii="Times New Roman" w:hAnsi="Times New Roman" w:cs="Times New Roman"/>
        </w:rPr>
        <w:fldChar w:fldCharType="end"/>
      </w:r>
      <w:r w:rsidR="00B21A9A" w:rsidRPr="00627CF0">
        <w:rPr>
          <w:rFonts w:ascii="Times New Roman" w:hAnsi="Times New Roman" w:cs="Times New Roman"/>
        </w:rPr>
        <w:t>.</w:t>
      </w:r>
      <w:r w:rsidR="005A3356" w:rsidRPr="00627CF0">
        <w:rPr>
          <w:rFonts w:ascii="Times New Roman" w:hAnsi="Times New Roman" w:cs="Times New Roman"/>
        </w:rPr>
        <w:t xml:space="preserve"> </w:t>
      </w:r>
      <w:r w:rsidR="00640970">
        <w:rPr>
          <w:rFonts w:ascii="Times New Roman" w:hAnsi="Times New Roman" w:cs="Times New Roman"/>
        </w:rPr>
        <w:t>Notably,</w:t>
      </w:r>
      <w:r w:rsidR="005B0D33">
        <w:rPr>
          <w:rFonts w:ascii="Times New Roman" w:hAnsi="Times New Roman" w:cs="Times New Roman"/>
        </w:rPr>
        <w:t xml:space="preserve"> </w:t>
      </w:r>
      <w:r w:rsidR="00944678">
        <w:rPr>
          <w:rFonts w:ascii="Times New Roman" w:hAnsi="Times New Roman" w:cs="Times New Roman"/>
        </w:rPr>
        <w:t xml:space="preserve">our </w:t>
      </w:r>
      <w:r w:rsidR="005B0D33">
        <w:rPr>
          <w:rFonts w:ascii="Times New Roman" w:hAnsi="Times New Roman" w:cs="Times New Roman"/>
        </w:rPr>
        <w:t xml:space="preserve">participants were active cocaine users, </w:t>
      </w:r>
      <w:r w:rsidR="00E00BC3">
        <w:rPr>
          <w:rFonts w:ascii="Times New Roman" w:hAnsi="Times New Roman" w:cs="Times New Roman"/>
        </w:rPr>
        <w:t xml:space="preserve">and </w:t>
      </w:r>
      <w:r w:rsidR="00ED628C">
        <w:rPr>
          <w:rFonts w:ascii="Times New Roman" w:hAnsi="Times New Roman" w:cs="Times New Roman"/>
        </w:rPr>
        <w:t xml:space="preserve">acute cocaine </w:t>
      </w:r>
      <w:r w:rsidR="00140A31">
        <w:rPr>
          <w:rFonts w:ascii="Times New Roman" w:hAnsi="Times New Roman" w:cs="Times New Roman"/>
        </w:rPr>
        <w:t xml:space="preserve">administration </w:t>
      </w:r>
      <w:r w:rsidR="00904837">
        <w:rPr>
          <w:rFonts w:ascii="Times New Roman" w:hAnsi="Times New Roman" w:cs="Times New Roman"/>
        </w:rPr>
        <w:t>has been shown to</w:t>
      </w:r>
      <w:r w:rsidR="00ED628C">
        <w:rPr>
          <w:rFonts w:ascii="Times New Roman" w:hAnsi="Times New Roman" w:cs="Times New Roman"/>
        </w:rPr>
        <w:t xml:space="preserve"> </w:t>
      </w:r>
      <w:r w:rsidR="00DD466A">
        <w:rPr>
          <w:rFonts w:ascii="Times New Roman" w:hAnsi="Times New Roman" w:cs="Times New Roman"/>
        </w:rPr>
        <w:t xml:space="preserve">improve response inhibition </w:t>
      </w:r>
      <w:r w:rsidR="0008487C">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{"citationItems":[{"id":"ITEM-1","itemData":{"DOI":"10.1111/j.1360-0443.2006.01522.x","ISSN":"09652140","abstract":"This study examined dose-response effects of oral cocaine on the inhibitory control of behavior in adult cocaine users using two different behavioral models of inhibitory control.","author":[{"dropping-particle":"","family":"Fillmore","given":"Mark T.","non-dropping-particle":"","parse-names":false,"suffix":""},{"dropping-particle":"","family":"Rush","given":"Craig R.","non-dropping-particle":"","parse-names":false,"suffix":""},{"dropping-particle":"","family":"Hays","given":"Lon","non-dropping-particle":"","parse-names":false,"suffix":""}],"container-title":"Addiction","id":"ITEM-1","issue":"9","issued":{"date-parts":[["2006"]]},"page":"1323-1332","title":"Acute effects of cocaine in two models of inhibitory control: Implications of non-linear dose effects","type":"article-journal","volume":"101"},"uris":["http://www.mendeley.com/documents/?uuid=5155e5ae-3a7f-47bb-99c2-b6b3286717d0"]},{"id":"ITEM-2","itemData":{"DOI":"10.1098/rstb.2008.0106","ISSN":"09628436","PMID":"18640911","abstract":"Compromised ability to exert control over drug urges and drug-seeking behaviour is a characteristic of addiction. One specific cognitive control function, impulse control, has been shown to be a risk factor for the development of substance problems and has been linked in animal models to increased drug administration and relapse. We present evidence of a direct effect of cocaine on the neurobiology underlying impulse control. In a laboratory test of motor response inhibition, an intravenous cocaine administration improved task performance in 13 cocaine users. This improvement was accompanied by increased activation in right dorsolateral and inferior frontal cortex, regions considered critical for this cognitive function. Similarly, for both inhibitory control and action monitoring processes, cocaine normalized activation levels in lateral and medial prefrontal regions previously reported to be hypoactive in users relative to drug-naive controls. The acute amelioration of neurocognitive dysfunction may reflect a chronic dysregulation of those brain regions and the cognitive processes they subserve. Furthermore, the effects of cocaine on midline function suggest a dopaminergically mediated intersection between cocaine's acute reinforcing effects and its effects on cognitive control. © 2008 The Royal Society.","author":[{"dropping-particle":"","family":"Garavan","given":"Hugh","non-dropping-particle":"","parse-names":false,"suffix":""},{"dropping-particle":"","family":"Kaufman","given":"Jacqueline N.","non-dropping-particle":"","parse-names":false,"suffix":""},{"dropping-particle":"","family":"Hester","given":"Robert","non-dropping-particle":"","parse-names":false,"suffix":""}],"container-title":"Philosophical Transactions of the Royal Society B: Biological Sciences","id":"ITEM-2","issue":"1507","issued":{"date-parts":[["2008"]]},"page":"3267-3276","title":"Acute effects of cocaine on the neurobiology of cognitive control","type":"article-journal","volume":"363"},"uris":["http://www.mendeley.com/documents/?uuid=b7ce6028-d3bd-4eb1-992b-ba2468214400"]}],"mendeley":{"formattedCitation":"(76,77)","plainTextFormattedCitation":"(76,77)","previouslyFormattedCitation":"(74,75)"},"properties":{"noteIndex":0},"schema":"https://github.com/citation-style-language/schema/raw/master/csl-citation.json"}</w:instrText>
      </w:r>
      <w:r w:rsidR="0008487C">
        <w:rPr>
          <w:rFonts w:ascii="Times New Roman" w:hAnsi="Times New Roman" w:cs="Times New Roman"/>
        </w:rPr>
        <w:fldChar w:fldCharType="separate"/>
      </w:r>
      <w:r w:rsidR="00C30855" w:rsidRPr="00C30855">
        <w:rPr>
          <w:rFonts w:ascii="Times New Roman" w:hAnsi="Times New Roman" w:cs="Times New Roman"/>
          <w:noProof/>
        </w:rPr>
        <w:t>(76,77)</w:t>
      </w:r>
      <w:r w:rsidR="0008487C">
        <w:rPr>
          <w:rFonts w:ascii="Times New Roman" w:hAnsi="Times New Roman" w:cs="Times New Roman"/>
        </w:rPr>
        <w:fldChar w:fldCharType="end"/>
      </w:r>
      <w:r w:rsidR="00CE57ED">
        <w:rPr>
          <w:rFonts w:ascii="Times New Roman" w:hAnsi="Times New Roman" w:cs="Times New Roman"/>
        </w:rPr>
        <w:t>.</w:t>
      </w:r>
      <w:r w:rsidR="007222AD">
        <w:rPr>
          <w:rFonts w:ascii="Times New Roman" w:hAnsi="Times New Roman" w:cs="Times New Roman"/>
        </w:rPr>
        <w:t xml:space="preserve"> Alternatively, lack of case-control differences in response inhibition may be due </w:t>
      </w:r>
      <w:r w:rsidR="00A448AC">
        <w:rPr>
          <w:rFonts w:ascii="Times New Roman" w:hAnsi="Times New Roman" w:cs="Times New Roman"/>
        </w:rPr>
        <w:t xml:space="preserve">low </w:t>
      </w:r>
      <w:r w:rsidR="007222AD">
        <w:rPr>
          <w:rFonts w:ascii="Times New Roman" w:hAnsi="Times New Roman" w:cs="Times New Roman"/>
        </w:rPr>
        <w:t xml:space="preserve">of power </w:t>
      </w:r>
      <w:r w:rsidR="00F3605B">
        <w:rPr>
          <w:rFonts w:ascii="Times New Roman" w:hAnsi="Times New Roman" w:cs="Times New Roman"/>
        </w:rPr>
        <w:t xml:space="preserve">in our sample </w:t>
      </w:r>
      <w:r w:rsidR="007222AD">
        <w:rPr>
          <w:rFonts w:ascii="Times New Roman" w:hAnsi="Times New Roman" w:cs="Times New Roman"/>
        </w:rPr>
        <w:t xml:space="preserve">or </w:t>
      </w:r>
      <w:r w:rsidR="00F165BF">
        <w:rPr>
          <w:rFonts w:ascii="Times New Roman" w:hAnsi="Times New Roman" w:cs="Times New Roman"/>
        </w:rPr>
        <w:t xml:space="preserve">differences between </w:t>
      </w:r>
      <w:r w:rsidR="001B6000">
        <w:rPr>
          <w:rFonts w:ascii="Times New Roman" w:hAnsi="Times New Roman" w:cs="Times New Roman"/>
        </w:rPr>
        <w:t xml:space="preserve">the </w:t>
      </w:r>
      <w:proofErr w:type="spellStart"/>
      <w:r w:rsidR="001B6000">
        <w:rPr>
          <w:rFonts w:ascii="Times New Roman" w:hAnsi="Times New Roman" w:cs="Times New Roman"/>
        </w:rPr>
        <w:t>behavioral</w:t>
      </w:r>
      <w:proofErr w:type="spellEnd"/>
      <w:r w:rsidR="001B6000">
        <w:rPr>
          <w:rFonts w:ascii="Times New Roman" w:hAnsi="Times New Roman" w:cs="Times New Roman"/>
        </w:rPr>
        <w:t xml:space="preserve"> </w:t>
      </w:r>
      <w:r w:rsidR="00B40013">
        <w:rPr>
          <w:rFonts w:ascii="Times New Roman" w:hAnsi="Times New Roman" w:cs="Times New Roman"/>
        </w:rPr>
        <w:t>and the fMRI versions of the stop signal task</w:t>
      </w:r>
      <w:r w:rsidR="001A3F8F">
        <w:rPr>
          <w:rFonts w:ascii="Times New Roman" w:hAnsi="Times New Roman" w:cs="Times New Roman"/>
        </w:rPr>
        <w:t xml:space="preserve"> as </w:t>
      </w:r>
      <w:r w:rsidR="0080614A">
        <w:rPr>
          <w:rFonts w:ascii="Times New Roman" w:hAnsi="Times New Roman" w:cs="Times New Roman"/>
        </w:rPr>
        <w:t xml:space="preserve">some </w:t>
      </w:r>
      <w:r w:rsidR="001A3F8F">
        <w:rPr>
          <w:rFonts w:ascii="Times New Roman" w:hAnsi="Times New Roman" w:cs="Times New Roman"/>
        </w:rPr>
        <w:t xml:space="preserve">previous studies </w:t>
      </w:r>
      <w:r w:rsidR="008A4AFA">
        <w:rPr>
          <w:rFonts w:ascii="Times New Roman" w:hAnsi="Times New Roman" w:cs="Times New Roman"/>
        </w:rPr>
        <w:t xml:space="preserve">of CUD </w:t>
      </w:r>
      <w:r w:rsidR="00D643CD">
        <w:rPr>
          <w:rFonts w:ascii="Times New Roman" w:hAnsi="Times New Roman" w:cs="Times New Roman"/>
        </w:rPr>
        <w:t xml:space="preserve">patients </w:t>
      </w:r>
      <w:r w:rsidR="001A3F8F">
        <w:rPr>
          <w:rFonts w:ascii="Times New Roman" w:hAnsi="Times New Roman" w:cs="Times New Roman"/>
        </w:rPr>
        <w:t xml:space="preserve">also report no significant differences in </w:t>
      </w:r>
      <w:proofErr w:type="spellStart"/>
      <w:r w:rsidR="00FC701C">
        <w:rPr>
          <w:rFonts w:ascii="Times New Roman" w:hAnsi="Times New Roman" w:cs="Times New Roman"/>
        </w:rPr>
        <w:t>behavioral</w:t>
      </w:r>
      <w:proofErr w:type="spellEnd"/>
      <w:r w:rsidR="00FC701C">
        <w:rPr>
          <w:rFonts w:ascii="Times New Roman" w:hAnsi="Times New Roman" w:cs="Times New Roman"/>
        </w:rPr>
        <w:t xml:space="preserve"> </w:t>
      </w:r>
      <w:r w:rsidR="00F409C8">
        <w:rPr>
          <w:rFonts w:ascii="Times New Roman" w:hAnsi="Times New Roman" w:cs="Times New Roman"/>
        </w:rPr>
        <w:t xml:space="preserve">performance </w:t>
      </w:r>
      <w:r w:rsidR="00F409C8">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{"citationItems":[{"id":"ITEM-1","itemData":{"DOI":"10.1038/sj.npp.1301568","ISSN":"0893133X","PMID":"17895916","abstract":"Altered impulse control is associated with substance use disorders, including cocaine dependence. We sought to identify the neural correlates of impulse control in abstinent male patients with cocaine dependence (PCD). Functional magnetic resonance imaging (fMRI) was conducted during a stop signal task that allowed trial-by-trial evaluation of response inhibition. Fifteen male PCD and 15 healthy control (HC) subjects, matched in age and years of education, were compared. Stop signal reaction time (SSRT) was derived on the basis of a horse race model. By comparing PCD and HC co-varied for stop success rate, task-related frustration rating, and post-error slowing, we isolated the neural substrates of response inhibition, independent of attentional monitoring (of the stop signal) and post-response processes including affective responses and error monitoring. Using region of interest analysis, we found no differences between HC and PCD who were matched in stop signal performance in the pre-supplementary motor area (pre-SMA) previously shown to be associated with SSRT. However, compared with HC, PCD demonstrated less activation of the rostral anterior cingulate cortex (rACC), an area thought to be involved in the control of stop signal inhibition. The magnitude of rACC activation also correlated negatively with the total score and the impulse control subscore of the Difficulty in Emotion Regulation Scale in PCD. The current study thus identified the neural correlates of altered impulse control in PCD independent of other cognitive processes that may influence stop signal performance. Relative hypoactivation of the rACC during response inhibition may represent a useful neural marker of difficulties in impulse control in abstinent cocaine-dependent men who are at risk of relapse. © 2008 Nature Publishing Group All rights reserved.","author":[{"dropping-particle":"","family":"Li","given":"Chiang Shan Ray","non-dropping-particle":"","parse-names":false,"suffix":""},{"dropping-particle":"","family":"Huang","given":"Cong","non-dropping-particle":"","parse-names":false,"suffix":""},{"dropping-particle":"","family":"Yan","given":"Peisi","non-dropping-particle":"","parse-names":false,"suffix":""},{"dropping-particle":"","family":"Bhagwagar","given":"Zubin","non-dropping-particle":"","parse-names":false,"suffix":""},{"dropping-particle":"","family":"Milivojevic","given":"Verica","non-dropping-particle":"","parse-names":false,"suffix":""},{"dropping-particle":"","family":"Sinha","given":"Rajita","non-dropping-particle":"","parse-names":false,"suffix":""}],"container-title":"Neuropsychopharmacology","id":"ITEM-1","issue":"8","issued":{"date-parts":[["2008"]]},"page":"1798-1806","title":"Neural correlates of impulse control during stop signal inhibition in cocaine-dependent men","type":"article-journal","volume":"33"},"uris":["http://www.mendeley.com/documents/?uuid=a4a67d87-a8e3-4d0b-9211-d02cb6833bba"]},{"id":"ITEM-2","itemData":{"DOI":"10.1016/j.drugalcdep.2015.03.021","ISSN":"18790046","PMID":"25869543","abstract":"Background: Cocaine dependence is associated with cognitive control deficits. Here, we apply a Bayesian model of stop-signal task (SST) performance to further characterize these deficits in a theory-driven framework. Methods: A \"sequential effect\" is commonly observed in SST: encounters with a stop trial tend to prolong reaction time (RT) on subsequent go trials. The Bayesian model accounts for this by assuming that each stop/go trial increases/decreases the subject's belief about the likelihood of encountering a subsequent stop trial, P(stop), and that P(stop) strategically modulates RT accordingly. Parameters of the model were individually fit, and compared between cocaine-dependent (CD, n= 51) and healthy control (HC, n= 57) groups, matched in age and gender and both demonstrating a significant sequential effect (p&lt;. 0.05). Model-free measures of sequential effect, post-error slowing (PES) and post-stop slowing (PSS), were also compared across groups. Results: By comparing individually fit Bayesian model parameters, CD were found to utilize a smaller time window of past experiences to anticipate P(stop) (p&lt;. 0.003), as well as showing less behavioral adjustment in response to P(stop) (p&lt;. 0.015). PES (p= 0.19) and PSS (p= 0.14) did not show group differences and were less correlated with the Bayesian account of sequential effect in CD than in HC. Conclusions: Cocaine dependence is associated with the utilization of less contextual information to anticipate future events and decreased behavioral adaptation in response to changes in such anticipation. These findings constitute a novel contribution by providing a computationally more refined and statistically more sensitive account of altered cognitive control in cocaine addiction.","author":[{"dropping-particle":"","family":"Ide","given":"Jaime S.","non-dropping-particle":"","parse-names":false,"suffix":""},{"dropping-particle":"","family":"Hu","given":"Sien","non-dropping-particle":"","parse-names":false,"suffix":""},{"dropping-particle":"","family":"Zhang","given":"Sheng","non-dropping-particle":"","parse-names":false,"suffix":""},{"dropping-particle":"","family":"Yu","given":"Angela J.","non-dropping-particle":"","parse-names":false,"suffix":""},{"dropping-particle":"","family":"Li","given":"Chiang Shan R.","non-dropping-particle":"","parse-names":false,"suffix":""}],"container-title":"Drug and Alcohol Dependence","id":"ITEM-2","issued":{"date-parts":[["2015"]]},"page":"220-227","publisher":"Elsevier Ireland Ltd","title":"Impaired Bayesian learning for cognitive control in cocaine dependence","type":"article-journal","volume":"151"},"uris":["http://www.mendeley.com/documents/?uuid=372b8b90-456e-46e5-ac40-cf42a02bb9cf"]},{"id":"ITEM-3","itemData":{"DOI":"10.1111/adb.12011","ISSN":"13691600","abstract":"Cocaine dependence is defined by a loss of inhibitory control over drug-use behaviors, mirrored by measurable impairments in laboratory tasks of inhibitory control. The current study tested the hypothesis that deficits in multiple subprocesses of behavioral control are associated with reliable neural-processing alterations that define cocaine addiction. While undergoing functional magnetic resonance imaging (fMRI), 38 cocaine-dependent men and 27 healthy control men performed a stop-signal task of motor inhibition. An independent component analysis on fMRI time courses identified task-related neural networks attributed to motor, visual, cognitive and affective processes. The statistical associations of these components with five different stop-signal task conditions were selected for use in a linear discriminant analysis to define a classifier for cocaine addiction from a subsample of 26 cocaine-dependent men and 18 controls. Leave-one-out cross-validation accurately classified 89.5% (39/44; chance accuracy = 26/44 = 59.1%) of subjects with 84.6% (22/26) sensitivity and 94.4% (17/18) specificity. The remaining 12 cocaine-dependent and 9 control men formed an independent test sample, for which accuracy of the classifier was 81.9% (17/21; chance accuracy = 12/21 = 57.1%) with 75% (9/12) sensitivity and 88.9% (8/9) specificity. The cocaine addiction classification score was significantly correlated with a measure of impulsiveness as well as the duration of cocaine use for cocaine-dependent men. The results of this study support the ability of a pattern of multiple neural network alterations associated with inhibitory motor control to define a binary classifier for cocaine addiction. © 2012 Society for the Study of Addiction.","author":[{"dropping-particle":"","family":"Elton","given":"Amanda","non-dropping-particle":"","parse-names":false,"suffix":""},{"dropping-particle":"","family":"Young","given":"Jonathan","non-dropping-particle":"","parse-names":false,"suffix":""},{"dropping-particle":"","family":"Smitherman","given":"Sonet","non-dropping-particle":"","parse-names":false,"suffix":""},{"dropping-particle":"","family":"Gross","given":"Robin E.","non-dropping-particle":"","parse-names":false,"suffix":""},{"dropping-particle":"","family":"Mletzko","given":"Tanja","non-dropping-particle":"","parse-names":false,"suffix":""},{"dropping-particle":"","family":"Kilts","given":"Clinton D.","non-dropping-particle":"","parse-names":false,"suffix":""}],"container-title":"Addiction Biology","id":"ITEM-3","issue":"3","issued":{"date-parts":[["2014"]]},"page":"427-438","title":"Neural network activation during a stop-signal task discriminates cocaine-dependent from non-drug-abusing men","type":"article-journal","volume":"19"},"uris":["http://www.mendeley.com/documents/?uuid=ba523339-a58e-4c26-8351-7a321b363236"]},{"id":"ITEM-4","itemData":{"DOI":"10.1016/j.drugalcdep.2013.05.032","ISSN":"03768716","PMID":"23806872","abstract":"Background: Dependent cocaine users consistently display increased trait impulsivity on self-report questionnaires and less consistently exhibit elevated motor impulsivity in some behavioral tasks. However, trait and behavioral impulsivity measures have rarely been investigated in recreational users. Therefore, we examined self-reported trait and motor impulsivities in recreational and dependent cocaine users to clarify the role of impulse control in cocaine addiction and non-dependent cocaine use. Methods: We investigated relatively pure recreational (n= 68) and dependent (n= 30) cocaine users, as well as psychostimulant-naïve controls (n= 68), with self-report questionnaires (Barratt Impulsiveness Scale 11; Temperament and Character Inventory) and behavioral tasks (Rapid Visual Information Processing Task; Stop-Signal Task). Results: Compared with controls, recreational and dependent cocaine users displayed higher trait impulsivity and novelty seeking scores on self-report questionnaires. Trait impulsivity scores were strongly associated with an increased number of symptoms of depression and attention deficit hyperactivity disorder and correlated significantly with long-term cocaine intake parameters. By contrast, none of the behavioral motor impulsivity measures showed significant group effects or correlated with cocaine use parameters. The correlations among the self-report measures were high, but self-reports were scarcely correlated with behavioral task measures. Conclusions: These findings suggest that relatively pure cocaine users already display increased trait impulsivity at a recreational level of use. However, the results do not indicate any cocaine-related elevation of behavioral impulsivity in terms of motor or response inhibition. In summary, our data imply that elevated trait impulsivity is not a specific feature of dependent cocaine use. © 2013 Elsevier Ireland Ltd.","author":[{"dropping-particle":"","family":"Vonmoos","given":"Matthias","non-dropping-particle":"","parse-names":false,"suffix":""},{"dropping-particle":"","family":"Hulka","given":"Lea M.","non-dropping-particle":"","parse-names":false,"suffix":""},{"dropping-particle":"","family":"Preller","given":"Katrin H.","non-dropping-particle":"","parse-names":false,"suffix":""},{"dropping-particle":"","family":"Jenni","given":"Daniela","non-dropping-particle":"","parse-names":false,"suffix":""},{"dropping-particle":"","family":"Schulz","given":"Claudia","non-dropping-particle":"","parse-names":false,"suffix":""},{"dropping-particle":"","family":"Baumgartner","given":"Markus R.","non-dropping-particle":"","parse-names":false,"suffix":""},{"dropping-particle":"","family":"Quednow","given":"Boris B.","non-dropping-particle":"","parse-names":false,"suffix":""}],"container-title":"Drug and Alcohol Dependence","id":"ITEM-4","issue":"1","issued":{"date-parts":[["2013"]]},"page":"61-70","publisher":"Elsevier Ireland Ltd","title":"Differences in self-reported and behavioral measures of impulsivity in recreational and dependent cocaine users","type":"article-journal","volume":"133"},"uris":["http://www.mendeley.com/documents/?uuid=87c28772-07bf-4591-bd66-85fc36a4b333"]}],"mendeley":{"formattedCitation":"(78–81)","plainTextFormattedCitation":"(78–81)","previouslyFormattedCitation":"(76–79)"},"properties":{"noteIndex":0},"schema":"https://github.com/citation-style-language/schema/raw/master/csl-citation.json"}</w:instrText>
      </w:r>
      <w:r w:rsidR="00F409C8">
        <w:rPr>
          <w:rFonts w:ascii="Times New Roman" w:hAnsi="Times New Roman" w:cs="Times New Roman"/>
        </w:rPr>
        <w:fldChar w:fldCharType="separate"/>
      </w:r>
      <w:r w:rsidR="00C30855" w:rsidRPr="00C30855">
        <w:rPr>
          <w:rFonts w:ascii="Times New Roman" w:hAnsi="Times New Roman" w:cs="Times New Roman"/>
          <w:noProof/>
        </w:rPr>
        <w:t>(78–81)</w:t>
      </w:r>
      <w:r w:rsidR="00F409C8">
        <w:rPr>
          <w:rFonts w:ascii="Times New Roman" w:hAnsi="Times New Roman" w:cs="Times New Roman"/>
        </w:rPr>
        <w:fldChar w:fldCharType="end"/>
      </w:r>
      <w:r w:rsidR="005D1216">
        <w:rPr>
          <w:rFonts w:ascii="Times New Roman" w:hAnsi="Times New Roman" w:cs="Times New Roman"/>
        </w:rPr>
        <w:t xml:space="preserve">, </w:t>
      </w:r>
      <w:r w:rsidR="003A59F9">
        <w:rPr>
          <w:rFonts w:ascii="Times New Roman" w:hAnsi="Times New Roman" w:cs="Times New Roman"/>
        </w:rPr>
        <w:t xml:space="preserve">suggesting that </w:t>
      </w:r>
      <w:r w:rsidR="00AE0C4C">
        <w:rPr>
          <w:rFonts w:ascii="Times New Roman" w:hAnsi="Times New Roman" w:cs="Times New Roman"/>
        </w:rPr>
        <w:t xml:space="preserve">the </w:t>
      </w:r>
      <w:r w:rsidR="005D1216">
        <w:rPr>
          <w:rFonts w:ascii="Times New Roman" w:hAnsi="Times New Roman" w:cs="Times New Roman"/>
        </w:rPr>
        <w:t xml:space="preserve">evidence </w:t>
      </w:r>
      <w:r w:rsidR="00317761">
        <w:rPr>
          <w:rFonts w:ascii="Times New Roman" w:hAnsi="Times New Roman" w:cs="Times New Roman"/>
        </w:rPr>
        <w:t xml:space="preserve">for </w:t>
      </w:r>
      <w:r w:rsidR="005D1216">
        <w:rPr>
          <w:rFonts w:ascii="Times New Roman" w:hAnsi="Times New Roman" w:cs="Times New Roman"/>
        </w:rPr>
        <w:t>SSRT impairments in CUD</w:t>
      </w:r>
      <w:r w:rsidR="00D643CD">
        <w:rPr>
          <w:rFonts w:ascii="Times New Roman" w:hAnsi="Times New Roman" w:cs="Times New Roman"/>
        </w:rPr>
        <w:t xml:space="preserve"> patients </w:t>
      </w:r>
      <w:r w:rsidR="00AE0C4C">
        <w:rPr>
          <w:rFonts w:ascii="Times New Roman" w:hAnsi="Times New Roman" w:cs="Times New Roman"/>
        </w:rPr>
        <w:t>is inconsistent</w:t>
      </w:r>
      <w:r w:rsidR="00103BD4">
        <w:rPr>
          <w:rFonts w:ascii="Times New Roman" w:hAnsi="Times New Roman" w:cs="Times New Roman"/>
        </w:rPr>
        <w:t xml:space="preserve"> </w:t>
      </w:r>
      <w:r w:rsidR="00103BD4">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{"citationItems":[{"id":"ITEM-1","itemData":{"DOI":"10.1007/s40429-014-0035-6","ISBN":"4042901400356","abstract":"Impulsive behavior is strongly implicated in drug abuse, as both a cause and a consequence of drug use. To understand how impulsive behaviors lead to and result from drug use, translational evidence from both human and non-human animal studies is needed. Here, we review recent (2009 or later) studies that have investigated two major components of impulsive behavior, inhibitory control and impulsive choice, across preclinical and clinical studies. We concentrate on the stop-signal task as the measure of inhibitory control and delay discounting as the measure of impulsive choice. Consistent with previous reports, recent studies show greater impulsive behavior in drug users compared with non-users. Additionally, new evidence supports the prospective role of impulsive behavior in drug abuse, and has begun to identify the neurobiological mechanisms underlying impulsive behavior. We focus on the commonalities and differences in findings between preclinical and clinical studies, and suggest future directions for translational research.","author":[{"dropping-particle":"","family":"Weafer","given":"Jessica","non-dropping-particle":"","parse-names":false,"suffix":""},{"dropping-particle":"","family":"Mitchell","given":"Suzanne H.","non-dropping-particle":"","parse-names":false,"suffix":""},{"dropping-particle":"","family":"Wit","given":"Harriet","non-dropping-particle":"de","parse-names":false,"suffix":""}],"container-title":"Current Addiction Reports","id":"ITEM-1","issue":"4","issued":{"date-parts":[["2014"]]},"page":"289-300","title":"Recent Translational Findings on Impulsivity in Relation to Drug Abuse","type":"article-journal","volume":"1"},"uris":["http://www.mendeley.com/documents/?uuid=e57a4391-6c4e-49bb-8372-be771fb6edf1"]}],"mendeley":{"formattedCitation":"(75)","plainTextFormattedCitation":"(75)","previouslyFormattedCitation":"(73)"},"properties":{"noteIndex":0},"schema":"https://github.com/citation-style-language/schema/raw/master/csl-citation.json"}</w:instrText>
      </w:r>
      <w:r w:rsidR="00103BD4">
        <w:rPr>
          <w:rFonts w:ascii="Times New Roman" w:hAnsi="Times New Roman" w:cs="Times New Roman"/>
        </w:rPr>
        <w:fldChar w:fldCharType="separate"/>
      </w:r>
      <w:r w:rsidR="00C30855" w:rsidRPr="00C30855">
        <w:rPr>
          <w:rFonts w:ascii="Times New Roman" w:hAnsi="Times New Roman" w:cs="Times New Roman"/>
          <w:noProof/>
        </w:rPr>
        <w:t>(75)</w:t>
      </w:r>
      <w:r w:rsidR="00103BD4">
        <w:rPr>
          <w:rFonts w:ascii="Times New Roman" w:hAnsi="Times New Roman" w:cs="Times New Roman"/>
        </w:rPr>
        <w:fldChar w:fldCharType="end"/>
      </w:r>
      <w:r w:rsidR="00B40013">
        <w:rPr>
          <w:rFonts w:ascii="Times New Roman" w:hAnsi="Times New Roman" w:cs="Times New Roman"/>
        </w:rPr>
        <w:t>.</w:t>
      </w:r>
      <w:r w:rsidR="002B637D">
        <w:rPr>
          <w:rFonts w:ascii="Times New Roman" w:hAnsi="Times New Roman" w:cs="Times New Roman"/>
        </w:rPr>
        <w:t xml:space="preserve"> </w:t>
      </w:r>
      <w:r w:rsidR="007444EB">
        <w:rPr>
          <w:rFonts w:ascii="Times New Roman" w:hAnsi="Times New Roman" w:cs="Times New Roman"/>
        </w:rPr>
        <w:t xml:space="preserve">Therefore, </w:t>
      </w:r>
      <w:r w:rsidR="00932270">
        <w:rPr>
          <w:rFonts w:ascii="Times New Roman" w:hAnsi="Times New Roman" w:cs="Times New Roman"/>
        </w:rPr>
        <w:t>atomoxetine m</w:t>
      </w:r>
      <w:r w:rsidR="004542B1">
        <w:rPr>
          <w:rFonts w:ascii="Times New Roman" w:hAnsi="Times New Roman" w:cs="Times New Roman"/>
        </w:rPr>
        <w:t>ight</w:t>
      </w:r>
      <w:r w:rsidR="00932270">
        <w:rPr>
          <w:rFonts w:ascii="Times New Roman" w:hAnsi="Times New Roman" w:cs="Times New Roman"/>
        </w:rPr>
        <w:t xml:space="preserve"> prove more beneficial in</w:t>
      </w:r>
      <w:r w:rsidR="00987F66">
        <w:rPr>
          <w:rFonts w:ascii="Times New Roman" w:hAnsi="Times New Roman" w:cs="Times New Roman"/>
        </w:rPr>
        <w:t xml:space="preserve"> drug abstinent CUD patients in recovery, </w:t>
      </w:r>
      <w:r w:rsidR="00CA6451">
        <w:rPr>
          <w:rFonts w:ascii="Times New Roman" w:hAnsi="Times New Roman" w:cs="Times New Roman"/>
        </w:rPr>
        <w:t xml:space="preserve">strengthening </w:t>
      </w:r>
      <w:r w:rsidR="001A36FC">
        <w:rPr>
          <w:rFonts w:ascii="Times New Roman" w:hAnsi="Times New Roman" w:cs="Times New Roman"/>
        </w:rPr>
        <w:t xml:space="preserve">response </w:t>
      </w:r>
      <w:r w:rsidR="00FA4744">
        <w:rPr>
          <w:rFonts w:ascii="Times New Roman" w:hAnsi="Times New Roman" w:cs="Times New Roman"/>
        </w:rPr>
        <w:t>inhibition</w:t>
      </w:r>
      <w:r w:rsidR="001A36FC">
        <w:rPr>
          <w:rFonts w:ascii="Times New Roman" w:hAnsi="Times New Roman" w:cs="Times New Roman"/>
        </w:rPr>
        <w:t xml:space="preserve"> and preventing relapse</w:t>
      </w:r>
      <w:r w:rsidR="00061C5D">
        <w:rPr>
          <w:rFonts w:ascii="Times New Roman" w:hAnsi="Times New Roman" w:cs="Times New Roman"/>
        </w:rPr>
        <w:t>.</w:t>
      </w:r>
      <w:r w:rsidR="004C214F">
        <w:rPr>
          <w:rFonts w:ascii="Times New Roman" w:hAnsi="Times New Roman" w:cs="Times New Roman"/>
        </w:rPr>
        <w:t xml:space="preserve"> Further, i</w:t>
      </w:r>
      <w:r w:rsidR="00B5371A">
        <w:rPr>
          <w:rFonts w:ascii="Times New Roman" w:hAnsi="Times New Roman" w:cs="Times New Roman"/>
        </w:rPr>
        <w:t xml:space="preserve">t </w:t>
      </w:r>
      <w:r w:rsidR="00431583">
        <w:rPr>
          <w:rFonts w:ascii="Times New Roman" w:hAnsi="Times New Roman" w:cs="Times New Roman"/>
        </w:rPr>
        <w:t>is possible</w:t>
      </w:r>
      <w:r w:rsidR="00B5371A">
        <w:rPr>
          <w:rFonts w:ascii="Times New Roman" w:hAnsi="Times New Roman" w:cs="Times New Roman"/>
        </w:rPr>
        <w:t xml:space="preserve"> that participants who chose to undertake a lengthy pharmacological study with multiple visits </w:t>
      </w:r>
      <w:r w:rsidR="00562D74">
        <w:rPr>
          <w:rFonts w:ascii="Times New Roman" w:hAnsi="Times New Roman" w:cs="Times New Roman"/>
        </w:rPr>
        <w:t xml:space="preserve">and perform the task adequately in the scanner </w:t>
      </w:r>
      <w:r w:rsidR="00B5371A">
        <w:rPr>
          <w:rFonts w:ascii="Times New Roman" w:hAnsi="Times New Roman" w:cs="Times New Roman"/>
        </w:rPr>
        <w:t xml:space="preserve">exhibit </w:t>
      </w:r>
      <w:r w:rsidR="00987F66">
        <w:rPr>
          <w:rFonts w:ascii="Times New Roman" w:hAnsi="Times New Roman" w:cs="Times New Roman"/>
        </w:rPr>
        <w:t xml:space="preserve">good </w:t>
      </w:r>
      <w:r w:rsidR="00562D74">
        <w:rPr>
          <w:rFonts w:ascii="Times New Roman" w:hAnsi="Times New Roman" w:cs="Times New Roman"/>
        </w:rPr>
        <w:t xml:space="preserve">executive control. In accordance with this </w:t>
      </w:r>
      <w:r w:rsidR="00431583">
        <w:rPr>
          <w:rFonts w:ascii="Times New Roman" w:hAnsi="Times New Roman" w:cs="Times New Roman"/>
        </w:rPr>
        <w:t>notion</w:t>
      </w:r>
      <w:r w:rsidR="00562D74">
        <w:rPr>
          <w:rFonts w:ascii="Times New Roman" w:hAnsi="Times New Roman" w:cs="Times New Roman"/>
        </w:rPr>
        <w:t xml:space="preserve">, alcohol use was not </w:t>
      </w:r>
      <w:r w:rsidR="00987F66">
        <w:rPr>
          <w:rFonts w:ascii="Times New Roman" w:hAnsi="Times New Roman" w:cs="Times New Roman"/>
        </w:rPr>
        <w:t xml:space="preserve">increased </w:t>
      </w:r>
      <w:r w:rsidR="00562D74">
        <w:rPr>
          <w:rFonts w:ascii="Times New Roman" w:hAnsi="Times New Roman" w:cs="Times New Roman"/>
        </w:rPr>
        <w:t>in this cohort, though they</w:t>
      </w:r>
      <w:r w:rsidR="00CB6D3A">
        <w:rPr>
          <w:rFonts w:ascii="Times New Roman" w:hAnsi="Times New Roman" w:cs="Times New Roman"/>
        </w:rPr>
        <w:t xml:space="preserve"> </w:t>
      </w:r>
      <w:r w:rsidR="00562D74">
        <w:rPr>
          <w:rFonts w:ascii="Times New Roman" w:hAnsi="Times New Roman" w:cs="Times New Roman"/>
        </w:rPr>
        <w:t xml:space="preserve">reported high levels of </w:t>
      </w:r>
      <w:r w:rsidR="00987F66">
        <w:rPr>
          <w:rFonts w:ascii="Times New Roman" w:hAnsi="Times New Roman" w:cs="Times New Roman"/>
        </w:rPr>
        <w:t xml:space="preserve">trait </w:t>
      </w:r>
      <w:r w:rsidR="00562D74">
        <w:rPr>
          <w:rFonts w:ascii="Times New Roman" w:hAnsi="Times New Roman" w:cs="Times New Roman"/>
        </w:rPr>
        <w:t xml:space="preserve">impulsivity, chronic and compulsive drug use. </w:t>
      </w:r>
      <w:r w:rsidR="00B5371A" w:rsidRPr="004E1CFF">
        <w:rPr>
          <w:rFonts w:ascii="Times New Roman" w:hAnsi="Times New Roman" w:cs="Times New Roman"/>
        </w:rPr>
        <w:t xml:space="preserve">The two groups </w:t>
      </w:r>
      <w:r w:rsidR="00B5371A">
        <w:rPr>
          <w:rFonts w:ascii="Times New Roman" w:hAnsi="Times New Roman" w:cs="Times New Roman"/>
        </w:rPr>
        <w:t>were also not matched</w:t>
      </w:r>
      <w:r w:rsidR="00562D74">
        <w:rPr>
          <w:rFonts w:ascii="Times New Roman" w:hAnsi="Times New Roman" w:cs="Times New Roman"/>
        </w:rPr>
        <w:t xml:space="preserve"> on demographic characteristics, though age was added as a covariate</w:t>
      </w:r>
      <w:r w:rsidR="00B5371A" w:rsidRPr="004E1CFF">
        <w:rPr>
          <w:rFonts w:ascii="Times New Roman" w:hAnsi="Times New Roman" w:cs="Times New Roman"/>
        </w:rPr>
        <w:t>.</w:t>
      </w:r>
      <w:r w:rsidR="00022A4D">
        <w:rPr>
          <w:rFonts w:ascii="Times New Roman" w:hAnsi="Times New Roman" w:cs="Times New Roman"/>
        </w:rPr>
        <w:t xml:space="preserve"> In principle</w:t>
      </w:r>
      <w:r w:rsidR="00831E17">
        <w:rPr>
          <w:rFonts w:ascii="Times New Roman" w:hAnsi="Times New Roman" w:cs="Times New Roman"/>
        </w:rPr>
        <w:t>,</w:t>
      </w:r>
      <w:r w:rsidR="00022A4D">
        <w:rPr>
          <w:rFonts w:ascii="Times New Roman" w:hAnsi="Times New Roman" w:cs="Times New Roman"/>
        </w:rPr>
        <w:t xml:space="preserve"> atomoxetine may alter the hemodynamic response to neural activity obscuring or confounding any differences detected by fMRI though there is some evidence to counteract this</w:t>
      </w:r>
      <w:r w:rsidR="00CA55C5">
        <w:rPr>
          <w:rFonts w:ascii="Times New Roman" w:hAnsi="Times New Roman" w:cs="Times New Roman"/>
        </w:rPr>
        <w:t xml:space="preserve"> </w:t>
      </w:r>
      <w:r w:rsidR="00CA55C5">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{"citationItems":[{"id":"ITEM-1","itemData":{"DOI":"10.1016/j.neuroimage.2012.01.058","ISSN":"10538119","abstract":"The stimulant drug methylphenidate (MPH) and the non-stimulant drug atomoxetine (ATX) are both widely used for the treatment of attention deficit/hyperactivity disorder (ADHD), but their differential effects on human brain function are poorly understood. PET and blood oxygen level dependent (BOLD) fMRI have been used to study the effects of MPH and BOLD fMRI is beginning to be used to delineate the effects of MPH and ATX in the context of cognitive tasks. The BOLD signal is a proxy for neuronal activity and is dependent on three physiological parameters: regional cerebral blood flow (rCBF), cerebral metabolic rate of oxygen and cerebral blood volume. To identify areas sensitive to MPH and ATX and assist interpretation of BOLD studies in healthy volunteers and ADHD patients, it is therefore of interest to characterize the effects of these drugs on rCBF. In this study, we used arterial spin labeling (ASL) MRI to measure rCBF non-invasively in healthy volunteers after administration of MPH, ATX or placebo. We employed multi-class pattern recognition (PR) to discriminate the neuronal effects of the drugs, which accurately discriminated all drug conditions from one another and provided activity patterns that precisely localized discriminating brain regions. We showed common and differential effects in cortical and subcortical brain regions. The clearest differential effects were observed in four regions: (i) in the caudate body where MPH but not ATX increased rCBF, (ii) in the midbrain/substantia nigra and (iii) thalamus where MPH increased and ATX decreased rCBF plus (iv) a large region of cerebellar cortex where ATX increased rCBF relative to MPH. Our results demonstrate that combining ASL and PR yields a sensitive method for detecting the effects of these drugs and provides insights into the regional distribution of brain networks potentially modulated by these compounds. © 2011 Elsevier Inc.","author":[{"dropping-particle":"","family":"Marquand","given":"Andre F.","non-dropping-particle":"","parse-names":false,"suffix":""},{"dropping-particle":"","family":"O'Daly","given":"Owen G.","non-dropping-particle":"","parse-names":false,"suffix":""},{"dropping-particle":"","family":"Simoni","given":"Sara","non-dropping-particle":"De","parse-names":false,"suffix":""},{"dropping-particle":"","family":"Alsop","given":"David C.","non-dropping-particle":"","parse-names":false,"suffix":""},{"dropping-particle":"","family":"Maguire","given":"R. Paul","non-dropping-particle":"","parse-names":false,"suffix":""},{"dropping-particle":"","family":"Williams","given":"Steven C.R.","non-dropping-particle":"","parse-names":false,"suffix":""},{"dropping-particle":"","family":"Zelaya","given":"Fernando O.","non-dropping-particle":"","parse-names":false,"suffix":""},{"dropping-particle":"","family":"Mehta","given":"Mitul A.","non-dropping-particle":"","parse-names":false,"suffix":""}],"container-title":"NeuroImage","id":"ITEM-1","issue":"2","issued":{"date-parts":[["2012"]]},"page":"1015-1024","publisher":"Elsevier Inc.","title":"Dissociable effects of methylphenidate, atomoxetine and placebo on regional cerebral blood flow in healthy volunteers at rest: A multi-class pattern recognition approach","type":"article-journal","volume":"60"},"uris":["http://www.mendeley.com/documents/?uuid=cfd8a227-b385-4ebf-b003-885030277105"]}],"mendeley":{"formattedCitation":"(82)","plainTextFormattedCitation":"(82)","previouslyFormattedCitation":"(80)"},"properties":{"noteIndex":0},"schema":"https://github.com/citation-style-language/schema/raw/master/csl-citation.json"}</w:instrText>
      </w:r>
      <w:r w:rsidR="00CA55C5">
        <w:rPr>
          <w:rFonts w:ascii="Times New Roman" w:hAnsi="Times New Roman" w:cs="Times New Roman"/>
        </w:rPr>
        <w:fldChar w:fldCharType="separate"/>
      </w:r>
      <w:r w:rsidR="00C30855" w:rsidRPr="00C30855">
        <w:rPr>
          <w:rFonts w:ascii="Times New Roman" w:hAnsi="Times New Roman" w:cs="Times New Roman"/>
          <w:noProof/>
        </w:rPr>
        <w:t>(82)</w:t>
      </w:r>
      <w:r w:rsidR="00CA55C5">
        <w:rPr>
          <w:rFonts w:ascii="Times New Roman" w:hAnsi="Times New Roman" w:cs="Times New Roman"/>
        </w:rPr>
        <w:fldChar w:fldCharType="end"/>
      </w:r>
      <w:r w:rsidR="00022A4D">
        <w:rPr>
          <w:rFonts w:ascii="Times New Roman" w:hAnsi="Times New Roman" w:cs="Times New Roman"/>
        </w:rPr>
        <w:t>. The spatial resolution of fMRI methods restrict</w:t>
      </w:r>
      <w:r w:rsidR="00706752">
        <w:rPr>
          <w:rFonts w:ascii="Times New Roman" w:hAnsi="Times New Roman" w:cs="Times New Roman"/>
        </w:rPr>
        <w:t>s</w:t>
      </w:r>
      <w:r w:rsidR="00022A4D">
        <w:rPr>
          <w:rFonts w:ascii="Times New Roman" w:hAnsi="Times New Roman" w:cs="Times New Roman"/>
        </w:rPr>
        <w:t xml:space="preserve"> precision in regions such as the putamen and STN. </w:t>
      </w:r>
      <w:r w:rsidR="00F94B38">
        <w:rPr>
          <w:rFonts w:ascii="Times New Roman" w:hAnsi="Times New Roman" w:cs="Times New Roman"/>
        </w:rPr>
        <w:t xml:space="preserve">To </w:t>
      </w:r>
      <w:r w:rsidR="00A47F3E">
        <w:rPr>
          <w:rFonts w:ascii="Times New Roman" w:hAnsi="Times New Roman" w:cs="Times New Roman"/>
        </w:rPr>
        <w:t xml:space="preserve">mitigate </w:t>
      </w:r>
      <w:r w:rsidR="00F94B38">
        <w:rPr>
          <w:rFonts w:ascii="Times New Roman" w:hAnsi="Times New Roman" w:cs="Times New Roman"/>
        </w:rPr>
        <w:t>this</w:t>
      </w:r>
      <w:r w:rsidR="00022A4D">
        <w:rPr>
          <w:rFonts w:ascii="Times New Roman" w:hAnsi="Times New Roman" w:cs="Times New Roman"/>
        </w:rPr>
        <w:t>, w</w:t>
      </w:r>
      <w:r w:rsidR="00F94B38">
        <w:rPr>
          <w:rFonts w:ascii="Times New Roman" w:hAnsi="Times New Roman" w:cs="Times New Roman"/>
        </w:rPr>
        <w:t xml:space="preserve">e followed previous methods where possible </w:t>
      </w:r>
      <w:r w:rsidR="007B357E">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Neuroscience","id":"ITEM-1","issue":"2","issued":{"date-parts":[["2015"]]},"page":"786-94","title":"The prefrontal cortex achieves inhibitory control by facilitating subcortical motor pathway connectivity.","type":"article-journal","volume":"35"},"uris":["http://www.mendeley.com/documents/?uuid=e1cd2b52-4b20-423b-8c98-36004beeeda5"]}],"mendeley":{"formattedCitation":"(9)","plainTextFormattedCitation":"(9)","previouslyFormattedCitation":"(9)"},"properties":{"noteIndex":0},"schema":"https://github.com/citation-style-language/schema/raw/master/csl-citation.json"}</w:instrText>
      </w:r>
      <w:r w:rsidR="007B357E">
        <w:rPr>
          <w:rFonts w:ascii="Times New Roman" w:hAnsi="Times New Roman" w:cs="Times New Roman"/>
        </w:rPr>
        <w:fldChar w:fldCharType="separate"/>
      </w:r>
      <w:r w:rsidR="00112D56" w:rsidRPr="00112D56">
        <w:rPr>
          <w:rFonts w:ascii="Times New Roman" w:hAnsi="Times New Roman" w:cs="Times New Roman"/>
          <w:noProof/>
        </w:rPr>
        <w:t>(9)</w:t>
      </w:r>
      <w:r w:rsidR="007B357E">
        <w:rPr>
          <w:rFonts w:ascii="Times New Roman" w:hAnsi="Times New Roman" w:cs="Times New Roman"/>
        </w:rPr>
        <w:fldChar w:fldCharType="end"/>
      </w:r>
      <w:r w:rsidR="00F94B38">
        <w:rPr>
          <w:rFonts w:ascii="Times New Roman" w:hAnsi="Times New Roman" w:cs="Times New Roman"/>
        </w:rPr>
        <w:t xml:space="preserve"> and used established anatomical masks. </w:t>
      </w:r>
      <w:r w:rsidR="00B27141">
        <w:rPr>
          <w:rFonts w:ascii="Times New Roman" w:hAnsi="Times New Roman" w:cs="Times New Roman"/>
        </w:rPr>
        <w:t xml:space="preserve">The present study used a dose of 40 mg of atomoxetine which is the standard starting therapeutic dose </w:t>
      </w:r>
      <w:r w:rsidR="007E31E8">
        <w:rPr>
          <w:rFonts w:ascii="Times New Roman" w:hAnsi="Times New Roman" w:cs="Times New Roman"/>
        </w:rPr>
        <w:fldChar w:fldCharType="begin" w:fldLock="1"/>
      </w:r>
      <w:r w:rsidR="00C30855">
        <w:rPr>
          <w:rFonts w:ascii="Times New Roman" w:hAnsi="Times New Roman" w:cs="Times New Roman"/>
        </w:rPr>
        <w:instrText>ADDIN CSL_CITATION {"citationItems":[{"id":"ITEM-1","itemData":{"abstract":"Cognitive functions dependent on the prefrontal cortex, such as the ability to suppress behavior (response inhibition) and to learn from complex feedback (probabilistic learning), play critical roles in activities of daily life. To what extent do different neurochemical systems modulate these two cognitive functions? Here, using stop-signal and probabilistic learning tasks, we show a double dissociation for the involvement of noradrenaline and serotonin in human cognition. In healthy volunteers, inhibition of central noradrenaline reuptake improved response inhibition but had no effect on probabilistic learning, whereas inhibition of central serotonin reuptake impaired probabilistic learning with no effect on response inhibition. scending","author":[{"dropping-particle":"","family":"Chamberlain","given":"Samuel R.","non-dropping-particle":"","parse-names":false,"suffix":""},{"dropping-particle":"","family":"Mueller","given":"Ulrich","non-dropping-particle":"","parse-names":false,"suffix":""},{"dropping-particle":"","family":"Blackwell","given":"Andrew D.","non-dropping-particle":"","parse-names":false,"suffix":""},{"dropping-particle":"","family":"Clark","given":"Luke","non-dropping-particle":"","parse-names":false,"suffix":""},{"dropping-particle":"","family":"Robbins","given":"Trevor W.","non-dropping-particle":"","parse-names":false,"suffix":""},{"dropping-particle":"","family":"Sahakian","given":"Barbara J.","non-dropping-particle":"","parse-names":false,"suffix":""}],"container-title":"Science","id":"ITEM-1","issue":"February","issued":{"date-parts":[["2006"]]},"page":"861-863","title":"Neurochemical Modulation of Response Inhibition and Probabilistic Learning in Humans","type":"article-journal","volume":"311"},"uris":["http://www.mendeley.com/documents/?uuid=2412bc65-ffbe-4012-9db3-296e7ab43a51"]}],"mendeley":{"formattedCitation":"(14)","plainTextFormattedCitation":"(14)","previouslyFormattedCitation":"(14)"},"properties":{"noteIndex":0},"schema":"https://github.com/citation-style-language/schema/raw/master/csl-citation.json"}</w:instrText>
      </w:r>
      <w:r w:rsidR="007E31E8">
        <w:rPr>
          <w:rFonts w:ascii="Times New Roman" w:hAnsi="Times New Roman" w:cs="Times New Roman"/>
        </w:rPr>
        <w:fldChar w:fldCharType="separate"/>
      </w:r>
      <w:r w:rsidR="00112D56" w:rsidRPr="00112D56">
        <w:rPr>
          <w:rFonts w:ascii="Times New Roman" w:hAnsi="Times New Roman" w:cs="Times New Roman"/>
          <w:noProof/>
        </w:rPr>
        <w:t>(14)</w:t>
      </w:r>
      <w:r w:rsidR="007E31E8">
        <w:rPr>
          <w:rFonts w:ascii="Times New Roman" w:hAnsi="Times New Roman" w:cs="Times New Roman"/>
        </w:rPr>
        <w:fldChar w:fldCharType="end"/>
      </w:r>
      <w:r w:rsidR="00B27141">
        <w:rPr>
          <w:rFonts w:ascii="Times New Roman" w:hAnsi="Times New Roman" w:cs="Times New Roman"/>
        </w:rPr>
        <w:t xml:space="preserve">. </w:t>
      </w:r>
      <w:r w:rsidR="00F96262">
        <w:rPr>
          <w:rFonts w:ascii="Times New Roman" w:hAnsi="Times New Roman" w:cs="Times New Roman"/>
        </w:rPr>
        <w:t>Whilst greater improvements may have been detected with a larger dose</w:t>
      </w:r>
      <w:r w:rsidR="00251A0E">
        <w:rPr>
          <w:rFonts w:ascii="Times New Roman" w:hAnsi="Times New Roman" w:cs="Times New Roman"/>
        </w:rPr>
        <w:t>,</w:t>
      </w:r>
      <w:r w:rsidR="00B27141">
        <w:rPr>
          <w:rFonts w:ascii="Times New Roman" w:hAnsi="Times New Roman" w:cs="Times New Roman"/>
        </w:rPr>
        <w:t xml:space="preserve"> dosage was guided by safety and tolerability considerations.</w:t>
      </w:r>
      <w:r w:rsidR="002035EB">
        <w:rPr>
          <w:rFonts w:ascii="Times New Roman" w:hAnsi="Times New Roman" w:cs="Times New Roman"/>
        </w:rPr>
        <w:t xml:space="preserve"> </w:t>
      </w:r>
    </w:p>
    <w:p w14:paraId="04795907" w14:textId="2FD96D91" w:rsidR="00836AAA" w:rsidRPr="000B7DB7" w:rsidRDefault="003A663A" w:rsidP="00BF7E9E">
      <w:pPr>
        <w:spacing w:line="360" w:lineRule="auto"/>
        <w:rPr>
          <w:rFonts w:ascii="Times New Roman" w:hAnsi="Times New Roman" w:cs="Times New Roman"/>
        </w:rPr>
      </w:pPr>
      <w:r>
        <w:rPr>
          <w:rFonts w:ascii="Times New Roman" w:hAnsi="Times New Roman" w:cs="Times New Roman"/>
        </w:rPr>
        <w:t>The results emphasize the nature of response inhibition functioning as existing along a continuum, with considerable overlap between CUD patients and healthy volunteers in the</w:t>
      </w:r>
      <w:r w:rsidR="00F96184">
        <w:rPr>
          <w:rFonts w:ascii="Times New Roman" w:hAnsi="Times New Roman" w:cs="Times New Roman"/>
        </w:rPr>
        <w:t xml:space="preserve"> underlying neural</w:t>
      </w:r>
      <w:r>
        <w:rPr>
          <w:rFonts w:ascii="Times New Roman" w:hAnsi="Times New Roman" w:cs="Times New Roman"/>
        </w:rPr>
        <w:t xml:space="preserve"> network</w:t>
      </w:r>
      <w:r w:rsidR="002B4DBF">
        <w:rPr>
          <w:rFonts w:ascii="Times New Roman" w:hAnsi="Times New Roman" w:cs="Times New Roman"/>
        </w:rPr>
        <w:t>,</w:t>
      </w:r>
      <w:r>
        <w:rPr>
          <w:rFonts w:ascii="Times New Roman" w:hAnsi="Times New Roman" w:cs="Times New Roman"/>
        </w:rPr>
        <w:t xml:space="preserve"> </w:t>
      </w:r>
      <w:r w:rsidR="005320BC">
        <w:rPr>
          <w:rFonts w:ascii="Times New Roman" w:hAnsi="Times New Roman" w:cs="Times New Roman"/>
        </w:rPr>
        <w:t>determining</w:t>
      </w:r>
      <w:r w:rsidR="00706752">
        <w:rPr>
          <w:rFonts w:ascii="Times New Roman" w:hAnsi="Times New Roman" w:cs="Times New Roman"/>
        </w:rPr>
        <w:t xml:space="preserve"> </w:t>
      </w:r>
      <w:r>
        <w:rPr>
          <w:rFonts w:ascii="Times New Roman" w:hAnsi="Times New Roman" w:cs="Times New Roman"/>
        </w:rPr>
        <w:t xml:space="preserve">the overall effects atomoxetine has on </w:t>
      </w:r>
      <w:r w:rsidR="00F96184">
        <w:rPr>
          <w:rFonts w:ascii="Times New Roman" w:hAnsi="Times New Roman" w:cs="Times New Roman"/>
        </w:rPr>
        <w:t>its nodes and connectivity</w:t>
      </w:r>
      <w:r>
        <w:rPr>
          <w:rFonts w:ascii="Times New Roman" w:hAnsi="Times New Roman" w:cs="Times New Roman"/>
        </w:rPr>
        <w:t xml:space="preserve">. Future studies </w:t>
      </w:r>
      <w:r>
        <w:rPr>
          <w:rFonts w:ascii="Times New Roman" w:hAnsi="Times New Roman" w:cs="Times New Roman"/>
        </w:rPr>
        <w:lastRenderedPageBreak/>
        <w:t xml:space="preserve">may explore whether this is the case for other forms of impulsive </w:t>
      </w:r>
      <w:proofErr w:type="spellStart"/>
      <w:r>
        <w:rPr>
          <w:rFonts w:ascii="Times New Roman" w:hAnsi="Times New Roman" w:cs="Times New Roman"/>
        </w:rPr>
        <w:t>behaviors</w:t>
      </w:r>
      <w:proofErr w:type="spellEnd"/>
      <w:r>
        <w:rPr>
          <w:rFonts w:ascii="Times New Roman" w:hAnsi="Times New Roman" w:cs="Times New Roman"/>
        </w:rPr>
        <w:t xml:space="preserve"> such as premature responding also found to be abnormal in stimulant-dependent individuals </w:t>
      </w:r>
      <w:r>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{"citationItems":[{"id":"ITEM-1","itemData":{"DOI":"10.1002/hbm.24941","ISSN":"10970193","PMID":"32150321","abstract":"Adequate control of impulsive urges to act is demanded in everyday life but is impaired in neuropsychiatric conditions such as stimulant use disorder. Despite intensive research it remains unclear whether failures in impulse control are caused by impaired suppression of behavior or by the over invigoration of behavior by stimuli associated with salient incentives such as drugs, food, and money. We investigated failures in impulse control using functional magnetic resonance imaging (fMRI) to map the neural correlates of premature (impulsive) responses during the anticipation phase of the Monetary Incentive Delay (MID) task in healthy controls (HC), stimulant-dependent individuals (SDIs), and their unaffected first-degree siblings (SIB). We combined task-based fMRI analyses with dynamic causal modeling to show that failures of impulse control were associated with interactions between cingulo-opercular and dorsal striatal networks regardless of group status and incentive type. We further report that group-specific incentive salience plays a critical role in modulating impulsivity in SDIs since drug-related incentives specifically increased premature responding and shifted task modulation away from the dorsal striatal network to the cingulo-opercular network. Our findings thus indicate that impulsive actions are elicited by salient personally-relevant incentive stimuli and those such slips of action recruit a distinct fronto-striatal network.","author":[{"dropping-particle":"","family":"Zhukovsky","given":"Peter","non-dropping-particle":"","parse-names":false,"suffix":""},{"dropping-particle":"","family":"Morein-Zamir","given":"Sharon","non-dropping-particle":"","parse-names":false,"suffix":""},{"dropping-particle":"","family":"Meng","given":"Chun","non-dropping-particle":"","parse-names":false,"suffix":""},{"dropping-particle":"","family":"Dalley","given":"Jeffrey W.","non-dropping-particle":"","parse-names":false,"suffix":""},{"dropping-particle":"","family":"Ersche","given":"Karen D.","non-dropping-particle":"","parse-names":false,"suffix":""}],"container-title":"Human Brain Mapping","id":"ITEM-1","issue":"December 2019","issued":{"date-parts":[["2020"]]},"page":"1-13","title":"Network failures: When incentives trigger impulsive responses","type":"article-journal"},"uris":["http://www.mendeley.com/documents/?uuid=5cafbd03-932f-4404-b29f-23dc9a12f15f"]}],"mendeley":{"formattedCitation":"(73)","plainTextFormattedCitation":"(73)","previouslyFormattedCitation":"(81)"},"properties":{"noteIndex":0},"schema":"https://github.com/citation-style-language/schema/raw/master/csl-citation.json"}</w:instrText>
      </w:r>
      <w:r>
        <w:rPr>
          <w:rFonts w:ascii="Times New Roman" w:hAnsi="Times New Roman" w:cs="Times New Roman"/>
        </w:rPr>
        <w:fldChar w:fldCharType="separate"/>
      </w:r>
      <w:r w:rsidR="00C30855" w:rsidRPr="00C30855">
        <w:rPr>
          <w:rFonts w:ascii="Times New Roman" w:hAnsi="Times New Roman" w:cs="Times New Roman"/>
          <w:noProof/>
        </w:rPr>
        <w:t>(73)</w:t>
      </w:r>
      <w:r>
        <w:rPr>
          <w:rFonts w:ascii="Times New Roman" w:hAnsi="Times New Roman" w:cs="Times New Roman"/>
        </w:rPr>
        <w:fldChar w:fldCharType="end"/>
      </w:r>
      <w:r w:rsidR="005320BC">
        <w:rPr>
          <w:rFonts w:ascii="Times New Roman" w:hAnsi="Times New Roman" w:cs="Times New Roman"/>
        </w:rPr>
        <w:t xml:space="preserve">, </w:t>
      </w:r>
      <w:r>
        <w:rPr>
          <w:rFonts w:ascii="Times New Roman" w:hAnsi="Times New Roman" w:cs="Times New Roman"/>
        </w:rPr>
        <w:t xml:space="preserve">given the improvements with atomoxetine found in rodent studies </w:t>
      </w:r>
      <w:r>
        <w:rPr>
          <w:rFonts w:ascii="Times New Roman" w:hAnsi="Times New Roman" w:cs="Times New Roman"/>
        </w:rPr>
        <w:fldChar w:fldCharType="begin" w:fldLock="1"/>
      </w:r>
      <w:r w:rsidR="00C30855">
        <w:rPr>
          <w:rFonts w:ascii="Times New Roman" w:hAnsi="Times New Roman" w:cs="Times New Roman"/>
        </w:rPr>
        <w:instrText>ADDIN CSL_CITATION {"citationItems":[{"id":"ITEM-1","itemData":{"DOI":"10.1038/sj.npp.1301487","ISSN":"0893133X","abstract":"Atomoxetine is a noradrenaline-specific reuptake inhibitor used clinically for the treatment of childhood and adult attention deficit hyperactivity disorder (ADHD). Studies in human volunteers and patient groups have shown that atomoxetine improves stop-signal reaction time (SSRT) performance, an effect consistent with a reduction in motor impulsivity. However, ADHD is a heterogeneous disorder and it is of interest to determine whether atomoxetine is similarly effective against other forms of impulsivity, as well as the attentional impairment present in certain subtypes of ADHD. The present study examined the effects of atomoxetine on impulsivity using an analogous SSRT task in rats and two additional tests of impulsivity; delay discounting of reward and the five-choice serial reaction time task (5CSRTT), the latter providing an added assessment of sustained visual attention. Atomoxetine produced a significant dose-dependent speeding of SSRT. In addition, atomoxetine produced a selective, dose-dependent decrease in premature responding on the 5CSRTT. Finally, on the delay-discounting task, atomoxetine significantly decreased impulsivity by increasing preference for the large-value reward across increasing delay. These findings conclusively demonstrate that atomoxetine decreases several distinct forms of impulsivity in rats. The apparent contrast of these effects with stimulant drugs such as amphetamine and methylphenidate, which generally act to increase impulsivity on the 5CSRTT, may provide new insights into the mechanisms of action of stimulant and nonstimulant drugs in ADHD.","author":[{"dropping-particle":"","family":"Robinson","given":"Emma S.J.","non-dropping-particle":"","parse-names":false,"suffix":""},{"dropping-particle":"","family":"Eagle","given":"Dawn M.","non-dropping-particle":"","parse-names":false,"suffix":""},{"dropping-particle":"","family":"Mar","given":"Adam C.","non-dropping-particle":"","parse-names":false,"suffix":""},{"dropping-particle":"","family":"Bari","given":"Andrea","non-dropping-particle":"","parse-names":false,"suffix":""},{"dropping-particle":"","family":"Banerjee","given":"Gargi","non-dropping-particle":"","parse-names":false,"suffix":""},{"dropping-particle":"","family":"Jiang","given":"Xiaosu","non-dropping-particle":"","parse-names":false,"suffix":""},{"dropping-particle":"","family":"Dalley","given":"Jeffrey W.","non-dropping-particle":"","parse-names":false,"suffix":""},{"dropping-particle":"","family":"Robbins","given":"Trevor W.","non-dropping-particle":"","parse-names":false,"suffix":""}],"container-title":"Neuropsychopharmacology","id":"ITEM-1","issue":"5","issued":{"date-parts":[["2008"]]},"page":"1028-1037","title":"Similar effects of the selective noradrenaline reuptake inhibitor atomoxetine on three distinct forms of impulsivity in the rat","type":"article-journal","volume":"33"},"uris":["http://www.mendeley.com/documents/?uuid=ec6ab8a4-d2de-4a6a-bd5f-15c6a0708c87"]}],"mendeley":{"formattedCitation":"(83)","plainTextFormattedCitation":"(83)","previouslyFormattedCitation":"(82)"},"properties":{"noteIndex":0},"schema":"https://github.com/citation-style-language/schema/raw/master/csl-citation.json"}</w:instrText>
      </w:r>
      <w:r>
        <w:rPr>
          <w:rFonts w:ascii="Times New Roman" w:hAnsi="Times New Roman" w:cs="Times New Roman"/>
        </w:rPr>
        <w:fldChar w:fldCharType="separate"/>
      </w:r>
      <w:r w:rsidR="00C30855" w:rsidRPr="00C30855">
        <w:rPr>
          <w:rFonts w:ascii="Times New Roman" w:hAnsi="Times New Roman" w:cs="Times New Roman"/>
          <w:noProof/>
        </w:rPr>
        <w:t>(83)</w:t>
      </w:r>
      <w:r>
        <w:rPr>
          <w:rFonts w:ascii="Times New Roman" w:hAnsi="Times New Roman" w:cs="Times New Roman"/>
        </w:rPr>
        <w:fldChar w:fldCharType="end"/>
      </w:r>
      <w:r>
        <w:rPr>
          <w:rFonts w:ascii="Times New Roman" w:hAnsi="Times New Roman" w:cs="Times New Roman"/>
        </w:rPr>
        <w:t xml:space="preserve">. </w:t>
      </w:r>
      <w:r w:rsidR="0045282A">
        <w:rPr>
          <w:rFonts w:ascii="Times New Roman" w:hAnsi="Times New Roman" w:cs="Times New Roman"/>
        </w:rPr>
        <w:t xml:space="preserve">The findings </w:t>
      </w:r>
      <w:r w:rsidR="00F96184">
        <w:rPr>
          <w:rFonts w:ascii="Times New Roman" w:hAnsi="Times New Roman" w:cs="Times New Roman"/>
        </w:rPr>
        <w:t>also</w:t>
      </w:r>
      <w:r>
        <w:rPr>
          <w:rFonts w:ascii="Times New Roman" w:hAnsi="Times New Roman" w:cs="Times New Roman"/>
        </w:rPr>
        <w:t xml:space="preserve"> </w:t>
      </w:r>
      <w:r w:rsidR="0045282A">
        <w:rPr>
          <w:rFonts w:ascii="Times New Roman" w:hAnsi="Times New Roman" w:cs="Times New Roman"/>
        </w:rPr>
        <w:t xml:space="preserve">underscore the importance of individual differences </w:t>
      </w:r>
      <w:r w:rsidR="00F96262">
        <w:rPr>
          <w:rFonts w:ascii="Times New Roman" w:hAnsi="Times New Roman" w:cs="Times New Roman"/>
        </w:rPr>
        <w:t xml:space="preserve">within the CUD </w:t>
      </w:r>
      <w:r w:rsidR="00D643CD">
        <w:rPr>
          <w:rFonts w:ascii="Times New Roman" w:hAnsi="Times New Roman" w:cs="Times New Roman"/>
        </w:rPr>
        <w:t xml:space="preserve">patients </w:t>
      </w:r>
      <w:r w:rsidR="0045282A">
        <w:rPr>
          <w:rFonts w:ascii="Times New Roman" w:hAnsi="Times New Roman" w:cs="Times New Roman"/>
        </w:rPr>
        <w:t>in responding to atomoxetine,</w:t>
      </w:r>
      <w:r w:rsidR="00F96262">
        <w:rPr>
          <w:rFonts w:ascii="Times New Roman" w:hAnsi="Times New Roman" w:cs="Times New Roman"/>
        </w:rPr>
        <w:t xml:space="preserve"> </w:t>
      </w:r>
      <w:r w:rsidR="00C9439F">
        <w:rPr>
          <w:rFonts w:ascii="Times New Roman" w:hAnsi="Times New Roman" w:cs="Times New Roman"/>
        </w:rPr>
        <w:t xml:space="preserve">as those </w:t>
      </w:r>
      <w:r w:rsidR="00F96262">
        <w:rPr>
          <w:rFonts w:ascii="Times New Roman" w:hAnsi="Times New Roman" w:cs="Times New Roman"/>
        </w:rPr>
        <w:t xml:space="preserve">with </w:t>
      </w:r>
      <w:r w:rsidR="00C9439F">
        <w:rPr>
          <w:rFonts w:ascii="Times New Roman" w:hAnsi="Times New Roman" w:cs="Times New Roman"/>
        </w:rPr>
        <w:t xml:space="preserve">worse </w:t>
      </w:r>
      <w:r w:rsidR="00F96262">
        <w:rPr>
          <w:rFonts w:ascii="Times New Roman" w:hAnsi="Times New Roman" w:cs="Times New Roman"/>
        </w:rPr>
        <w:t>response control</w:t>
      </w:r>
      <w:r w:rsidR="00C9439F">
        <w:rPr>
          <w:rFonts w:ascii="Times New Roman" w:hAnsi="Times New Roman" w:cs="Times New Roman"/>
        </w:rPr>
        <w:t xml:space="preserve"> are expected to benefit more from atomoxetine</w:t>
      </w:r>
      <w:r w:rsidR="00F96262">
        <w:rPr>
          <w:rFonts w:ascii="Times New Roman" w:hAnsi="Times New Roman" w:cs="Times New Roman"/>
        </w:rPr>
        <w:t>.</w:t>
      </w:r>
      <w:r w:rsidR="0063202B">
        <w:rPr>
          <w:rFonts w:ascii="Times New Roman" w:hAnsi="Times New Roman" w:cs="Times New Roman"/>
        </w:rPr>
        <w:t xml:space="preserve"> </w:t>
      </w:r>
      <w:r w:rsidR="00320C3A">
        <w:rPr>
          <w:rFonts w:ascii="Times New Roman" w:hAnsi="Times New Roman" w:cs="Times New Roman"/>
        </w:rPr>
        <w:t xml:space="preserve">More generally, </w:t>
      </w:r>
      <w:r w:rsidR="006F16B0">
        <w:rPr>
          <w:rFonts w:ascii="Times New Roman" w:hAnsi="Times New Roman" w:cs="Times New Roman"/>
        </w:rPr>
        <w:t>t</w:t>
      </w:r>
      <w:r w:rsidR="006F54E5">
        <w:rPr>
          <w:rFonts w:ascii="Times New Roman" w:hAnsi="Times New Roman" w:cs="Times New Roman"/>
        </w:rPr>
        <w:t xml:space="preserve">he </w:t>
      </w:r>
      <w:r w:rsidR="009111E3">
        <w:rPr>
          <w:rFonts w:ascii="Times New Roman" w:hAnsi="Times New Roman" w:cs="Times New Roman"/>
        </w:rPr>
        <w:t xml:space="preserve">association </w:t>
      </w:r>
      <w:r w:rsidR="006F54E5">
        <w:rPr>
          <w:rFonts w:ascii="Times New Roman" w:hAnsi="Times New Roman" w:cs="Times New Roman"/>
        </w:rPr>
        <w:t xml:space="preserve">between </w:t>
      </w:r>
      <w:proofErr w:type="spellStart"/>
      <w:r w:rsidR="005320BC">
        <w:rPr>
          <w:rFonts w:ascii="Times New Roman" w:hAnsi="Times New Roman" w:cs="Times New Roman"/>
        </w:rPr>
        <w:t>r</w:t>
      </w:r>
      <w:r w:rsidR="00E80CE4">
        <w:rPr>
          <w:rFonts w:ascii="Times New Roman" w:hAnsi="Times New Roman" w:cs="Times New Roman"/>
        </w:rPr>
        <w:t>IFG</w:t>
      </w:r>
      <w:proofErr w:type="spellEnd"/>
      <w:r w:rsidR="00E80CE4">
        <w:rPr>
          <w:rFonts w:ascii="Times New Roman" w:hAnsi="Times New Roman" w:cs="Times New Roman"/>
        </w:rPr>
        <w:t xml:space="preserve"> </w:t>
      </w:r>
      <w:r w:rsidR="00B3669C">
        <w:rPr>
          <w:rFonts w:ascii="Times New Roman" w:hAnsi="Times New Roman" w:cs="Times New Roman"/>
        </w:rPr>
        <w:t xml:space="preserve">upregulation </w:t>
      </w:r>
      <w:r w:rsidR="006F54E5">
        <w:rPr>
          <w:rFonts w:ascii="Times New Roman" w:hAnsi="Times New Roman" w:cs="Times New Roman"/>
        </w:rPr>
        <w:t xml:space="preserve">and </w:t>
      </w:r>
      <w:r w:rsidR="00E074A8">
        <w:rPr>
          <w:rFonts w:ascii="Times New Roman" w:hAnsi="Times New Roman" w:cs="Times New Roman"/>
        </w:rPr>
        <w:t xml:space="preserve">successful </w:t>
      </w:r>
      <w:r w:rsidR="006F54E5">
        <w:rPr>
          <w:rFonts w:ascii="Times New Roman" w:hAnsi="Times New Roman" w:cs="Times New Roman"/>
        </w:rPr>
        <w:t xml:space="preserve">stopping </w:t>
      </w:r>
      <w:r w:rsidR="00A47F3E">
        <w:rPr>
          <w:rFonts w:ascii="Times New Roman" w:hAnsi="Times New Roman" w:cs="Times New Roman"/>
        </w:rPr>
        <w:t xml:space="preserve">underscoring the effects of atomoxetine in the present sample </w:t>
      </w:r>
      <w:r w:rsidR="000264B3">
        <w:rPr>
          <w:rFonts w:ascii="Times New Roman" w:hAnsi="Times New Roman" w:cs="Times New Roman"/>
        </w:rPr>
        <w:t>support</w:t>
      </w:r>
      <w:r w:rsidR="00706752">
        <w:rPr>
          <w:rFonts w:ascii="Times New Roman" w:hAnsi="Times New Roman" w:cs="Times New Roman"/>
        </w:rPr>
        <w:t>s</w:t>
      </w:r>
      <w:r w:rsidR="000264B3">
        <w:rPr>
          <w:rFonts w:ascii="Times New Roman" w:hAnsi="Times New Roman" w:cs="Times New Roman"/>
        </w:rPr>
        <w:t xml:space="preserve"> </w:t>
      </w:r>
      <w:r w:rsidR="0083631B">
        <w:rPr>
          <w:rFonts w:ascii="Times New Roman" w:hAnsi="Times New Roman" w:cs="Times New Roman"/>
        </w:rPr>
        <w:t xml:space="preserve">the development of new </w:t>
      </w:r>
      <w:r w:rsidR="00E009B6">
        <w:rPr>
          <w:rFonts w:ascii="Times New Roman" w:hAnsi="Times New Roman" w:cs="Times New Roman"/>
        </w:rPr>
        <w:t>intervention</w:t>
      </w:r>
      <w:r w:rsidR="00F5387B">
        <w:rPr>
          <w:rFonts w:ascii="Times New Roman" w:hAnsi="Times New Roman" w:cs="Times New Roman"/>
        </w:rPr>
        <w:t>s</w:t>
      </w:r>
      <w:r w:rsidR="00E009B6">
        <w:rPr>
          <w:rFonts w:ascii="Times New Roman" w:hAnsi="Times New Roman" w:cs="Times New Roman"/>
        </w:rPr>
        <w:t xml:space="preserve"> </w:t>
      </w:r>
      <w:r w:rsidR="006E5EB6">
        <w:rPr>
          <w:rFonts w:ascii="Times New Roman" w:hAnsi="Times New Roman" w:cs="Times New Roman"/>
        </w:rPr>
        <w:t xml:space="preserve">that </w:t>
      </w:r>
      <w:r w:rsidR="00F25705">
        <w:rPr>
          <w:rFonts w:ascii="Times New Roman" w:hAnsi="Times New Roman" w:cs="Times New Roman"/>
        </w:rPr>
        <w:t xml:space="preserve">can robustly </w:t>
      </w:r>
      <w:r w:rsidR="006E5EB6">
        <w:rPr>
          <w:rFonts w:ascii="Times New Roman" w:hAnsi="Times New Roman" w:cs="Times New Roman"/>
        </w:rPr>
        <w:t xml:space="preserve">upregulate </w:t>
      </w:r>
      <w:proofErr w:type="spellStart"/>
      <w:r w:rsidR="005320BC">
        <w:rPr>
          <w:rFonts w:ascii="Times New Roman" w:hAnsi="Times New Roman" w:cs="Times New Roman"/>
        </w:rPr>
        <w:t>r</w:t>
      </w:r>
      <w:r w:rsidR="00E80CE4">
        <w:rPr>
          <w:rFonts w:ascii="Times New Roman" w:hAnsi="Times New Roman" w:cs="Times New Roman"/>
        </w:rPr>
        <w:t>IFG</w:t>
      </w:r>
      <w:proofErr w:type="spellEnd"/>
      <w:r w:rsidR="00E80CE4">
        <w:rPr>
          <w:rFonts w:ascii="Times New Roman" w:hAnsi="Times New Roman" w:cs="Times New Roman"/>
        </w:rPr>
        <w:t xml:space="preserve"> </w:t>
      </w:r>
      <w:r w:rsidR="006E5EB6">
        <w:rPr>
          <w:rFonts w:ascii="Times New Roman" w:hAnsi="Times New Roman" w:cs="Times New Roman"/>
        </w:rPr>
        <w:t>activation</w:t>
      </w:r>
      <w:r w:rsidR="006A3EDF">
        <w:rPr>
          <w:rFonts w:ascii="Times New Roman" w:hAnsi="Times New Roman" w:cs="Times New Roman"/>
        </w:rPr>
        <w:t xml:space="preserve"> in </w:t>
      </w:r>
      <w:r w:rsidR="00581FAC">
        <w:rPr>
          <w:rFonts w:ascii="Times New Roman" w:hAnsi="Times New Roman" w:cs="Times New Roman"/>
        </w:rPr>
        <w:t xml:space="preserve">chronic </w:t>
      </w:r>
      <w:r w:rsidR="006A3EDF">
        <w:rPr>
          <w:rFonts w:ascii="Times New Roman" w:hAnsi="Times New Roman" w:cs="Times New Roman"/>
        </w:rPr>
        <w:t>cocaine users</w:t>
      </w:r>
      <w:r w:rsidR="0096788B">
        <w:rPr>
          <w:rFonts w:ascii="Times New Roman" w:hAnsi="Times New Roman" w:cs="Times New Roman"/>
        </w:rPr>
        <w:t xml:space="preserve">. </w:t>
      </w:r>
    </w:p>
    <w:p w14:paraId="02ACD492" w14:textId="77777777" w:rsidR="000B7DB7" w:rsidRDefault="000B7DB7">
      <w:pPr>
        <w:rPr>
          <w:rFonts w:ascii="Times New Roman" w:hAnsi="Times New Roman" w:cs="Times New Roman"/>
          <w:b/>
          <w:sz w:val="24"/>
          <w:szCs w:val="24"/>
        </w:rPr>
      </w:pPr>
      <w:r>
        <w:br w:type="page"/>
      </w:r>
    </w:p>
    <w:p w14:paraId="114CE7BB" w14:textId="434D2C64" w:rsidR="006A1AA6" w:rsidRPr="004E1CFF" w:rsidRDefault="0001514F" w:rsidP="000B7DB7">
      <w:pPr>
        <w:pStyle w:val="Heading1"/>
      </w:pPr>
      <w:r w:rsidRPr="004E1CFF">
        <w:lastRenderedPageBreak/>
        <w:t>References</w:t>
      </w:r>
    </w:p>
    <w:p w14:paraId="629BC99D" w14:textId="5192B1F0" w:rsidR="00C30855" w:rsidRPr="00C30855" w:rsidRDefault="00A82349"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4E1CFF">
        <w:rPr>
          <w:rFonts w:ascii="Times New Roman" w:hAnsi="Times New Roman" w:cs="Times New Roman"/>
          <w:b/>
          <w:bCs/>
        </w:rPr>
        <w:fldChar w:fldCharType="begin" w:fldLock="1"/>
      </w:r>
      <w:r w:rsidRPr="004E1CFF">
        <w:rPr>
          <w:rFonts w:ascii="Times New Roman" w:hAnsi="Times New Roman" w:cs="Times New Roman"/>
          <w:b/>
          <w:bCs/>
        </w:rPr>
        <w:instrText xml:space="preserve">ADDIN Mendeley Bibliography CSL_BIBLIOGRAPHY </w:instrText>
      </w:r>
      <w:r w:rsidRPr="004E1CFF">
        <w:rPr>
          <w:rFonts w:ascii="Times New Roman" w:hAnsi="Times New Roman" w:cs="Times New Roman"/>
          <w:b/>
          <w:bCs/>
        </w:rPr>
        <w:fldChar w:fldCharType="separate"/>
      </w:r>
      <w:r w:rsidR="00C30855" w:rsidRPr="00C30855">
        <w:rPr>
          <w:rFonts w:ascii="Times New Roman" w:hAnsi="Times New Roman" w:cs="Times New Roman"/>
          <w:noProof/>
          <w:szCs w:val="24"/>
        </w:rPr>
        <w:t xml:space="preserve">1. Zilverstand A, Huang AS, Alia-Klein N, Goldstein RZ (2018): Neuroimaging Impaired Response Inhibition and Salience Attribution in Human Drug Addiction: A Systematic Review. </w:t>
      </w:r>
      <w:r w:rsidR="00C30855" w:rsidRPr="00C30855">
        <w:rPr>
          <w:rFonts w:ascii="Times New Roman" w:hAnsi="Times New Roman" w:cs="Times New Roman"/>
          <w:i/>
          <w:iCs/>
          <w:noProof/>
          <w:szCs w:val="24"/>
        </w:rPr>
        <w:t>Neuron</w:t>
      </w:r>
      <w:r w:rsidR="00C30855" w:rsidRPr="00C30855">
        <w:rPr>
          <w:rFonts w:ascii="Times New Roman" w:hAnsi="Times New Roman" w:cs="Times New Roman"/>
          <w:noProof/>
          <w:szCs w:val="24"/>
        </w:rPr>
        <w:t xml:space="preserve"> 98: 886–903.</w:t>
      </w:r>
    </w:p>
    <w:p w14:paraId="0D9272EA"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2. Groman SM, James AS, Jentsch JD (2009): Poor response inhibition: At the nexus between substance abuse and attention deficit/hyperactivity disorder. </w:t>
      </w:r>
      <w:r w:rsidRPr="00C30855">
        <w:rPr>
          <w:rFonts w:ascii="Times New Roman" w:hAnsi="Times New Roman" w:cs="Times New Roman"/>
          <w:i/>
          <w:iCs/>
          <w:noProof/>
          <w:szCs w:val="24"/>
        </w:rPr>
        <w:t>Neurosci Biobehav Rev</w:t>
      </w:r>
      <w:r w:rsidRPr="00C30855">
        <w:rPr>
          <w:rFonts w:ascii="Times New Roman" w:hAnsi="Times New Roman" w:cs="Times New Roman"/>
          <w:noProof/>
          <w:szCs w:val="24"/>
        </w:rPr>
        <w:t xml:space="preserve"> 33: 690–698.</w:t>
      </w:r>
    </w:p>
    <w:p w14:paraId="464F3D8B"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3. Morein-Zamir S, Robbins TW (2015): Fronto-striatal circuits in response-inhibition: Relevance to addiction. </w:t>
      </w:r>
      <w:r w:rsidRPr="00C30855">
        <w:rPr>
          <w:rFonts w:ascii="Times New Roman" w:hAnsi="Times New Roman" w:cs="Times New Roman"/>
          <w:i/>
          <w:iCs/>
          <w:noProof/>
          <w:szCs w:val="24"/>
        </w:rPr>
        <w:t>Brain Res</w:t>
      </w:r>
      <w:r w:rsidRPr="00C30855">
        <w:rPr>
          <w:rFonts w:ascii="Times New Roman" w:hAnsi="Times New Roman" w:cs="Times New Roman"/>
          <w:noProof/>
          <w:szCs w:val="24"/>
        </w:rPr>
        <w:t xml:space="preserve"> 1628: 117–129.</w:t>
      </w:r>
    </w:p>
    <w:p w14:paraId="68F8E2B9"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4. Ersche KD, Barnes A, Simon Jones P, Morein-Zamir S, Robbins TW, Bullmore ET (2011): Abnormal structure of frontostriatal brain systems is associated with aspects of impulsivity and compulsivity in cocaine dependence. </w:t>
      </w:r>
      <w:r w:rsidRPr="00C30855">
        <w:rPr>
          <w:rFonts w:ascii="Times New Roman" w:hAnsi="Times New Roman" w:cs="Times New Roman"/>
          <w:i/>
          <w:iCs/>
          <w:noProof/>
          <w:szCs w:val="24"/>
        </w:rPr>
        <w:t>Brain</w:t>
      </w:r>
      <w:r w:rsidRPr="00C30855">
        <w:rPr>
          <w:rFonts w:ascii="Times New Roman" w:hAnsi="Times New Roman" w:cs="Times New Roman"/>
          <w:noProof/>
          <w:szCs w:val="24"/>
        </w:rPr>
        <w:t xml:space="preserve"> 134: 2013–2024.</w:t>
      </w:r>
    </w:p>
    <w:p w14:paraId="2F1EBC42"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5. Ersche KD, Jones PS, Williams GB, Turton AJ, Robbins TW, Bullmore ET (2012): Abnormal Brain Structure Implicated in Stimulant Drug Addiction. </w:t>
      </w:r>
      <w:r w:rsidRPr="00C30855">
        <w:rPr>
          <w:rFonts w:ascii="Times New Roman" w:hAnsi="Times New Roman" w:cs="Times New Roman"/>
          <w:i/>
          <w:iCs/>
          <w:noProof/>
          <w:szCs w:val="24"/>
        </w:rPr>
        <w:t>Science (80- )</w:t>
      </w:r>
      <w:r w:rsidRPr="00C30855">
        <w:rPr>
          <w:rFonts w:ascii="Times New Roman" w:hAnsi="Times New Roman" w:cs="Times New Roman"/>
          <w:noProof/>
          <w:szCs w:val="24"/>
        </w:rPr>
        <w:t xml:space="preserve"> 335: 601–604.</w:t>
      </w:r>
    </w:p>
    <w:p w14:paraId="4928FCC7"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 Morein-Zamir S, Simon Jones P, Bullmore ET, Robbins TW, Ersche KD (2013): Prefrontal hypoactivity associated with impaired inhibition in stimulant-dependent individuals but evidence for hyperactivation in their unaffected siblings. </w:t>
      </w:r>
      <w:r w:rsidRPr="00C30855">
        <w:rPr>
          <w:rFonts w:ascii="Times New Roman" w:hAnsi="Times New Roman" w:cs="Times New Roman"/>
          <w:i/>
          <w:iCs/>
          <w:noProof/>
          <w:szCs w:val="24"/>
        </w:rPr>
        <w:t>Neuropsychopharmacology</w:t>
      </w:r>
      <w:r w:rsidRPr="00C30855">
        <w:rPr>
          <w:rFonts w:ascii="Times New Roman" w:hAnsi="Times New Roman" w:cs="Times New Roman"/>
          <w:noProof/>
          <w:szCs w:val="24"/>
        </w:rPr>
        <w:t xml:space="preserve"> 38: 1945–1953.</w:t>
      </w:r>
    </w:p>
    <w:p w14:paraId="44763F1A"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 Goldstein RZ, Volkow ND (2011): Dysfunction of the prefrontal cortex in addiction: Neuroimaging findings and clinical implications. </w:t>
      </w:r>
      <w:r w:rsidRPr="00C30855">
        <w:rPr>
          <w:rFonts w:ascii="Times New Roman" w:hAnsi="Times New Roman" w:cs="Times New Roman"/>
          <w:i/>
          <w:iCs/>
          <w:noProof/>
          <w:szCs w:val="24"/>
        </w:rPr>
        <w:t>Nat Rev Neurosci</w:t>
      </w:r>
      <w:r w:rsidRPr="00C30855">
        <w:rPr>
          <w:rFonts w:ascii="Times New Roman" w:hAnsi="Times New Roman" w:cs="Times New Roman"/>
          <w:noProof/>
          <w:szCs w:val="24"/>
        </w:rPr>
        <w:t xml:space="preserve"> 12: 652–669.</w:t>
      </w:r>
    </w:p>
    <w:p w14:paraId="075F9600"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8. Aron AR, Poldrack RA (2006): Cortical and subcortical contributions to stop signal response inhibition: Role of the subthalamic nucleus. </w:t>
      </w:r>
      <w:r w:rsidRPr="00C30855">
        <w:rPr>
          <w:rFonts w:ascii="Times New Roman" w:hAnsi="Times New Roman" w:cs="Times New Roman"/>
          <w:i/>
          <w:iCs/>
          <w:noProof/>
          <w:szCs w:val="24"/>
        </w:rPr>
        <w:t>J Neurosci</w:t>
      </w:r>
      <w:r w:rsidRPr="00C30855">
        <w:rPr>
          <w:rFonts w:ascii="Times New Roman" w:hAnsi="Times New Roman" w:cs="Times New Roman"/>
          <w:noProof/>
          <w:szCs w:val="24"/>
        </w:rPr>
        <w:t xml:space="preserve"> 26: 2424–2433.</w:t>
      </w:r>
    </w:p>
    <w:p w14:paraId="790A3166" w14:textId="77777777" w:rsidR="00C30855" w:rsidRPr="00722339"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lang w:val="de-DE"/>
        </w:rPr>
      </w:pPr>
      <w:r w:rsidRPr="00C30855">
        <w:rPr>
          <w:rFonts w:ascii="Times New Roman" w:hAnsi="Times New Roman" w:cs="Times New Roman"/>
          <w:noProof/>
          <w:szCs w:val="24"/>
        </w:rPr>
        <w:t xml:space="preserve">9. Rae CL, Hughes LE, Anderson MC, Rowe JB (2015): The prefrontal cortex achieves inhibitory control by facilitating subcortical motor pathway connectivity. </w:t>
      </w:r>
      <w:r w:rsidRPr="00722339">
        <w:rPr>
          <w:rFonts w:ascii="Times New Roman" w:hAnsi="Times New Roman" w:cs="Times New Roman"/>
          <w:i/>
          <w:iCs/>
          <w:noProof/>
          <w:szCs w:val="24"/>
          <w:lang w:val="de-DE"/>
        </w:rPr>
        <w:t>J Neurosci</w:t>
      </w:r>
      <w:r w:rsidRPr="00722339">
        <w:rPr>
          <w:rFonts w:ascii="Times New Roman" w:hAnsi="Times New Roman" w:cs="Times New Roman"/>
          <w:noProof/>
          <w:szCs w:val="24"/>
          <w:lang w:val="de-DE"/>
        </w:rPr>
        <w:t xml:space="preserve"> 35: 786–94.</w:t>
      </w:r>
    </w:p>
    <w:p w14:paraId="17160720"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722339">
        <w:rPr>
          <w:rFonts w:ascii="Times New Roman" w:hAnsi="Times New Roman" w:cs="Times New Roman"/>
          <w:noProof/>
          <w:szCs w:val="24"/>
          <w:lang w:val="de-DE"/>
        </w:rPr>
        <w:t xml:space="preserve">10. Chen W, de Hemptinne C, Miller AM, Leibbrand M, Little SJ, Lim DA, </w:t>
      </w:r>
      <w:r w:rsidRPr="00722339">
        <w:rPr>
          <w:rFonts w:ascii="Times New Roman" w:hAnsi="Times New Roman" w:cs="Times New Roman"/>
          <w:i/>
          <w:iCs/>
          <w:noProof/>
          <w:szCs w:val="24"/>
          <w:lang w:val="de-DE"/>
        </w:rPr>
        <w:t>et al.</w:t>
      </w:r>
      <w:r w:rsidRPr="00722339">
        <w:rPr>
          <w:rFonts w:ascii="Times New Roman" w:hAnsi="Times New Roman" w:cs="Times New Roman"/>
          <w:noProof/>
          <w:szCs w:val="24"/>
          <w:lang w:val="de-DE"/>
        </w:rPr>
        <w:t xml:space="preserve"> </w:t>
      </w:r>
      <w:r w:rsidRPr="00C30855">
        <w:rPr>
          <w:rFonts w:ascii="Times New Roman" w:hAnsi="Times New Roman" w:cs="Times New Roman"/>
          <w:noProof/>
          <w:szCs w:val="24"/>
        </w:rPr>
        <w:t xml:space="preserve">(2020): Prefrontal-Subthalamic Hyperdirect Pathway Modulates Movement Inhibition in Humans. </w:t>
      </w:r>
      <w:r w:rsidRPr="00C30855">
        <w:rPr>
          <w:rFonts w:ascii="Times New Roman" w:hAnsi="Times New Roman" w:cs="Times New Roman"/>
          <w:i/>
          <w:iCs/>
          <w:noProof/>
          <w:szCs w:val="24"/>
        </w:rPr>
        <w:t>Neuron</w:t>
      </w:r>
      <w:r w:rsidRPr="00C30855">
        <w:rPr>
          <w:rFonts w:ascii="Times New Roman" w:hAnsi="Times New Roman" w:cs="Times New Roman"/>
          <w:noProof/>
          <w:szCs w:val="24"/>
        </w:rPr>
        <w:t xml:space="preserve"> 106: 579-588.e3.</w:t>
      </w:r>
    </w:p>
    <w:p w14:paraId="431C0DD9"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11. Aron AR, Fletcher PC, Bullmore ET, Sahakian BJ, Robbins TW (2003): Stop-signal inhibition disrupted by damage to right inferior frontal gyrus in humans. </w:t>
      </w:r>
      <w:r w:rsidRPr="00C30855">
        <w:rPr>
          <w:rFonts w:ascii="Times New Roman" w:hAnsi="Times New Roman" w:cs="Times New Roman"/>
          <w:i/>
          <w:iCs/>
          <w:noProof/>
          <w:szCs w:val="24"/>
        </w:rPr>
        <w:t>Nat Neurosci</w:t>
      </w:r>
      <w:r w:rsidRPr="00C30855">
        <w:rPr>
          <w:rFonts w:ascii="Times New Roman" w:hAnsi="Times New Roman" w:cs="Times New Roman"/>
          <w:noProof/>
          <w:szCs w:val="24"/>
        </w:rPr>
        <w:t xml:space="preserve"> 6: 115–116.</w:t>
      </w:r>
    </w:p>
    <w:p w14:paraId="264C12A7"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12. Bari A, Mar AC, Theobald DE, Elands SA, Oganya KCNA, Eagle DM, Robbins TW (2011): Prefrontal and Monoaminergic Contributions to Stop-Signal Task Performance in Rats. </w:t>
      </w:r>
      <w:r w:rsidRPr="00C30855">
        <w:rPr>
          <w:rFonts w:ascii="Times New Roman" w:hAnsi="Times New Roman" w:cs="Times New Roman"/>
          <w:i/>
          <w:iCs/>
          <w:noProof/>
          <w:szCs w:val="24"/>
        </w:rPr>
        <w:t>J Neurosci</w:t>
      </w:r>
      <w:r w:rsidRPr="00C30855">
        <w:rPr>
          <w:rFonts w:ascii="Times New Roman" w:hAnsi="Times New Roman" w:cs="Times New Roman"/>
          <w:noProof/>
          <w:szCs w:val="24"/>
        </w:rPr>
        <w:t xml:space="preserve"> 31: 9254–9263.</w:t>
      </w:r>
    </w:p>
    <w:p w14:paraId="4F745BD2"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lastRenderedPageBreak/>
        <w:t xml:space="preserve">13. Robbins TW, Arnsten AFT (2009): The Neuropsychopharmacology of Fronto-Executive Function: Monoaminergic Modulation. </w:t>
      </w:r>
      <w:r w:rsidRPr="00C30855">
        <w:rPr>
          <w:rFonts w:ascii="Times New Roman" w:hAnsi="Times New Roman" w:cs="Times New Roman"/>
          <w:i/>
          <w:iCs/>
          <w:noProof/>
          <w:szCs w:val="24"/>
        </w:rPr>
        <w:t>Annu Rev Neurosci</w:t>
      </w:r>
      <w:r w:rsidRPr="00C30855">
        <w:rPr>
          <w:rFonts w:ascii="Times New Roman" w:hAnsi="Times New Roman" w:cs="Times New Roman"/>
          <w:noProof/>
          <w:szCs w:val="24"/>
        </w:rPr>
        <w:t xml:space="preserve"> 32: 267–287.</w:t>
      </w:r>
    </w:p>
    <w:p w14:paraId="3DF3683F"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14. Chamberlain SR, Mueller U, Blackwell AD, Clark L, Robbins TW, Sahakian BJ (2006): Neurochemical Modulation of Response Inhibition and Probabilistic Learning in Humans. </w:t>
      </w:r>
      <w:r w:rsidRPr="00C30855">
        <w:rPr>
          <w:rFonts w:ascii="Times New Roman" w:hAnsi="Times New Roman" w:cs="Times New Roman"/>
          <w:i/>
          <w:iCs/>
          <w:noProof/>
          <w:szCs w:val="24"/>
        </w:rPr>
        <w:t>Science (80- )</w:t>
      </w:r>
      <w:r w:rsidRPr="00C30855">
        <w:rPr>
          <w:rFonts w:ascii="Times New Roman" w:hAnsi="Times New Roman" w:cs="Times New Roman"/>
          <w:noProof/>
          <w:szCs w:val="24"/>
        </w:rPr>
        <w:t xml:space="preserve"> 311: 861–863.</w:t>
      </w:r>
    </w:p>
    <w:p w14:paraId="3DF31460"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15. Sofuoglu M, Sewell RA (2009): Norepinephrine and stimulant addiction. </w:t>
      </w:r>
      <w:r w:rsidRPr="00C30855">
        <w:rPr>
          <w:rFonts w:ascii="Times New Roman" w:hAnsi="Times New Roman" w:cs="Times New Roman"/>
          <w:i/>
          <w:iCs/>
          <w:noProof/>
          <w:szCs w:val="24"/>
        </w:rPr>
        <w:t>Addict Biol</w:t>
      </w:r>
      <w:r w:rsidRPr="00C30855">
        <w:rPr>
          <w:rFonts w:ascii="Times New Roman" w:hAnsi="Times New Roman" w:cs="Times New Roman"/>
          <w:noProof/>
          <w:szCs w:val="24"/>
        </w:rPr>
        <w:t xml:space="preserve"> 14: 119–129.</w:t>
      </w:r>
    </w:p>
    <w:p w14:paraId="31617866"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16. Sofuoglu M, Devito EE, Waters AJ, Carroll KM (2013): Cognitive enhancement as a treatment for drug addictions. </w:t>
      </w:r>
      <w:r w:rsidRPr="00C30855">
        <w:rPr>
          <w:rFonts w:ascii="Times New Roman" w:hAnsi="Times New Roman" w:cs="Times New Roman"/>
          <w:i/>
          <w:iCs/>
          <w:noProof/>
          <w:szCs w:val="24"/>
        </w:rPr>
        <w:t>Neuropharmacology</w:t>
      </w:r>
      <w:r w:rsidRPr="00C30855">
        <w:rPr>
          <w:rFonts w:ascii="Times New Roman" w:hAnsi="Times New Roman" w:cs="Times New Roman"/>
          <w:noProof/>
          <w:szCs w:val="24"/>
        </w:rPr>
        <w:t xml:space="preserve"> 64: 452–463.</w:t>
      </w:r>
    </w:p>
    <w:p w14:paraId="0354AC83"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17. Quednow BB, Herdener M (2016): Human pharmacology for addiction medicine: From evidence to clinical recommendations. </w:t>
      </w:r>
      <w:r w:rsidRPr="00C30855">
        <w:rPr>
          <w:rFonts w:ascii="Times New Roman" w:hAnsi="Times New Roman" w:cs="Times New Roman"/>
          <w:i/>
          <w:iCs/>
          <w:noProof/>
          <w:szCs w:val="24"/>
        </w:rPr>
        <w:t>Progress in Brain Research</w:t>
      </w:r>
      <w:r w:rsidRPr="00C30855">
        <w:rPr>
          <w:rFonts w:ascii="Times New Roman" w:hAnsi="Times New Roman" w:cs="Times New Roman"/>
          <w:noProof/>
          <w:szCs w:val="24"/>
        </w:rPr>
        <w:t>, 1st ed., vol. 224. Elsevier B.V. https://doi.org/10.1016/bs.pbr.2015.07.017</w:t>
      </w:r>
    </w:p>
    <w:p w14:paraId="626ACDB1"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18. Swanson CJ, Perry KW, Koch-Krueger S, Katner J, Svensson KA, Bymaster FP (2006): Effect of the attention deficit/hyperactivity disorder drug atomoxetine on extracellular concentrations of norepinephrine and dopamine in several brain regions of the rat. </w:t>
      </w:r>
      <w:r w:rsidRPr="00C30855">
        <w:rPr>
          <w:rFonts w:ascii="Times New Roman" w:hAnsi="Times New Roman" w:cs="Times New Roman"/>
          <w:i/>
          <w:iCs/>
          <w:noProof/>
          <w:szCs w:val="24"/>
        </w:rPr>
        <w:t>Neuropharmacology</w:t>
      </w:r>
      <w:r w:rsidRPr="00C30855">
        <w:rPr>
          <w:rFonts w:ascii="Times New Roman" w:hAnsi="Times New Roman" w:cs="Times New Roman"/>
          <w:noProof/>
          <w:szCs w:val="24"/>
        </w:rPr>
        <w:t xml:space="preserve"> 50: 755–60.</w:t>
      </w:r>
    </w:p>
    <w:p w14:paraId="3661F0AC"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19. Upadhyaya HP, Desaiah D, Schuh KJ, Bymaster FP, Kallman MJ, Clarke DO,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(2013): A review of the abuse potential assessment of atomoxetine: A nonstimulant medication for attention-deficit/hyperactivity disorder. </w:t>
      </w:r>
      <w:r w:rsidRPr="00C30855">
        <w:rPr>
          <w:rFonts w:ascii="Times New Roman" w:hAnsi="Times New Roman" w:cs="Times New Roman"/>
          <w:i/>
          <w:iCs/>
          <w:noProof/>
          <w:szCs w:val="24"/>
        </w:rPr>
        <w:t>Psychopharmacology (Berl)</w:t>
      </w:r>
      <w:r w:rsidRPr="00C30855">
        <w:rPr>
          <w:rFonts w:ascii="Times New Roman" w:hAnsi="Times New Roman" w:cs="Times New Roman"/>
          <w:noProof/>
          <w:szCs w:val="24"/>
        </w:rPr>
        <w:t xml:space="preserve"> 226: 189–200.</w:t>
      </w:r>
    </w:p>
    <w:p w14:paraId="665ABA25"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20. Bymaster FP, Katner JS, Nelson DL, Hemrick-Luecke SK, Threlkeld PG, Heiligenstein JH,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(2002): Atomoxetine increases extracellular levels of norepinephrine and dopamine in prefrontal cortex of rat. </w:t>
      </w:r>
      <w:r w:rsidRPr="00C30855">
        <w:rPr>
          <w:rFonts w:ascii="Times New Roman" w:hAnsi="Times New Roman" w:cs="Times New Roman"/>
          <w:i/>
          <w:iCs/>
          <w:noProof/>
          <w:szCs w:val="24"/>
        </w:rPr>
        <w:t>Neuropsychopharmacology</w:t>
      </w:r>
      <w:r w:rsidRPr="00C30855">
        <w:rPr>
          <w:rFonts w:ascii="Times New Roman" w:hAnsi="Times New Roman" w:cs="Times New Roman"/>
          <w:noProof/>
          <w:szCs w:val="24"/>
        </w:rPr>
        <w:t>.</w:t>
      </w:r>
    </w:p>
    <w:p w14:paraId="41A3F81B"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21. Faraone S V., Asherson P, Banaschewski T, Biederman J, Buitelaar JK, Ramos-Quiroga JA,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(2015): Attention-deficit/hyperactivity disorder. </w:t>
      </w:r>
      <w:r w:rsidRPr="00C30855">
        <w:rPr>
          <w:rFonts w:ascii="Times New Roman" w:hAnsi="Times New Roman" w:cs="Times New Roman"/>
          <w:i/>
          <w:iCs/>
          <w:noProof/>
          <w:szCs w:val="24"/>
        </w:rPr>
        <w:t>Nat Rev Dis Prim Vol</w:t>
      </w:r>
      <w:r w:rsidRPr="00C30855">
        <w:rPr>
          <w:rFonts w:ascii="Times New Roman" w:hAnsi="Times New Roman" w:cs="Times New Roman"/>
          <w:noProof/>
          <w:szCs w:val="24"/>
        </w:rPr>
        <w:t xml:space="preserve"> 1.</w:t>
      </w:r>
    </w:p>
    <w:p w14:paraId="4A71F568"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22. Chamberlain SR, del Campo N, Dowson J, Müller U, Clark L, Robbins TW, Sahakian BJ (2007): Atomoxetine Improved Response Inhibition in Adults with Attention Deficit/Hyperactivity Disorder. </w:t>
      </w:r>
      <w:r w:rsidRPr="00C30855">
        <w:rPr>
          <w:rFonts w:ascii="Times New Roman" w:hAnsi="Times New Roman" w:cs="Times New Roman"/>
          <w:i/>
          <w:iCs/>
          <w:noProof/>
          <w:szCs w:val="24"/>
        </w:rPr>
        <w:t>Biol Psychiatry</w:t>
      </w:r>
      <w:r w:rsidRPr="00C30855">
        <w:rPr>
          <w:rFonts w:ascii="Times New Roman" w:hAnsi="Times New Roman" w:cs="Times New Roman"/>
          <w:noProof/>
          <w:szCs w:val="24"/>
        </w:rPr>
        <w:t xml:space="preserve"> 62: 977–984.</w:t>
      </w:r>
    </w:p>
    <w:p w14:paraId="10E06935"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23. Faraone S V., Biederman J, Spencer T, Michelson D, Adler L, Reimherr F, Seidman L (2005): Atomoxetine and stroop task performance in adult attention-deficit/ hyperactivity disorder. </w:t>
      </w:r>
      <w:r w:rsidRPr="00C30855">
        <w:rPr>
          <w:rFonts w:ascii="Times New Roman" w:hAnsi="Times New Roman" w:cs="Times New Roman"/>
          <w:i/>
          <w:iCs/>
          <w:noProof/>
          <w:szCs w:val="24"/>
        </w:rPr>
        <w:t>J Child Adolesc Psychopharmacol</w:t>
      </w:r>
      <w:r w:rsidRPr="00C30855">
        <w:rPr>
          <w:rFonts w:ascii="Times New Roman" w:hAnsi="Times New Roman" w:cs="Times New Roman"/>
          <w:noProof/>
          <w:szCs w:val="24"/>
        </w:rPr>
        <w:t xml:space="preserve"> 15: 664–670.</w:t>
      </w:r>
    </w:p>
    <w:p w14:paraId="0C30C23E"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24. Chamberlain SR, Hampshire A, Müller U, Rubia K, del Campo N, Craig K,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(2009): Atomoxetine Modulates Right Inferior Frontal Activation During Inhibitory Control: A </w:t>
      </w:r>
      <w:r w:rsidRPr="00C30855">
        <w:rPr>
          <w:rFonts w:ascii="Times New Roman" w:hAnsi="Times New Roman" w:cs="Times New Roman"/>
          <w:noProof/>
          <w:szCs w:val="24"/>
        </w:rPr>
        <w:lastRenderedPageBreak/>
        <w:t xml:space="preserve">Pharmacological Functional Magnetic Resonance Imaging Study. </w:t>
      </w:r>
      <w:r w:rsidRPr="00C30855">
        <w:rPr>
          <w:rFonts w:ascii="Times New Roman" w:hAnsi="Times New Roman" w:cs="Times New Roman"/>
          <w:i/>
          <w:iCs/>
          <w:noProof/>
          <w:szCs w:val="24"/>
        </w:rPr>
        <w:t>Biol Psychiatry</w:t>
      </w:r>
      <w:r w:rsidRPr="00C30855">
        <w:rPr>
          <w:rFonts w:ascii="Times New Roman" w:hAnsi="Times New Roman" w:cs="Times New Roman"/>
          <w:noProof/>
          <w:szCs w:val="24"/>
        </w:rPr>
        <w:t xml:space="preserve"> 65: 550–555.</w:t>
      </w:r>
    </w:p>
    <w:p w14:paraId="4598698A"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25. Passamonti L, Luijten M, Ziauddeen H, Coyle-Gilchrist ITS, Rittman T, Brain SAE,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(2017): Atomoxetine effects on attentional bias to drug-related cues in cocaine dependent individuals. </w:t>
      </w:r>
      <w:r w:rsidRPr="00C30855">
        <w:rPr>
          <w:rFonts w:ascii="Times New Roman" w:hAnsi="Times New Roman" w:cs="Times New Roman"/>
          <w:i/>
          <w:iCs/>
          <w:noProof/>
          <w:szCs w:val="24"/>
        </w:rPr>
        <w:t>Psychopharmacology (Berl)</w:t>
      </w:r>
      <w:r w:rsidRPr="00C30855">
        <w:rPr>
          <w:rFonts w:ascii="Times New Roman" w:hAnsi="Times New Roman" w:cs="Times New Roman"/>
          <w:noProof/>
          <w:szCs w:val="24"/>
        </w:rPr>
        <w:t xml:space="preserve"> 234: 2289–2297.</w:t>
      </w:r>
    </w:p>
    <w:p w14:paraId="0315A2A3"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26. Nandam LS, Hester R, Wagner J, Cummins TDR, Garner K, Dean AJ,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(2011): Methylphenidate but not atomoxetine or citalopram modulates inhibitory control and response time variability. </w:t>
      </w:r>
      <w:r w:rsidRPr="00C30855">
        <w:rPr>
          <w:rFonts w:ascii="Times New Roman" w:hAnsi="Times New Roman" w:cs="Times New Roman"/>
          <w:i/>
          <w:iCs/>
          <w:noProof/>
          <w:szCs w:val="24"/>
        </w:rPr>
        <w:t>Biol Psychiatry</w:t>
      </w:r>
      <w:r w:rsidRPr="00C30855">
        <w:rPr>
          <w:rFonts w:ascii="Times New Roman" w:hAnsi="Times New Roman" w:cs="Times New Roman"/>
          <w:noProof/>
          <w:szCs w:val="24"/>
        </w:rPr>
        <w:t xml:space="preserve"> 69: 902–904.</w:t>
      </w:r>
    </w:p>
    <w:p w14:paraId="700CEFF9"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27. Kasparbauer AM, Petrovsky N, Schmidt PM, Trautner P, Weber B, Sträter B, Ettinger U (2019): Effects of nicotine and atomoxetine on brain function during response inhibition. </w:t>
      </w:r>
      <w:r w:rsidRPr="00C30855">
        <w:rPr>
          <w:rFonts w:ascii="Times New Roman" w:hAnsi="Times New Roman" w:cs="Times New Roman"/>
          <w:i/>
          <w:iCs/>
          <w:noProof/>
          <w:szCs w:val="24"/>
        </w:rPr>
        <w:t>Eur Neuropsychopharmacol</w:t>
      </w:r>
      <w:r w:rsidRPr="00C30855">
        <w:rPr>
          <w:rFonts w:ascii="Times New Roman" w:hAnsi="Times New Roman" w:cs="Times New Roman"/>
          <w:noProof/>
          <w:szCs w:val="24"/>
        </w:rPr>
        <w:t xml:space="preserve"> 29: 235–246.</w:t>
      </w:r>
    </w:p>
    <w:p w14:paraId="3B5F1C78"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28. Cubillo A, Smith AB, Barrett N, Giampietro V, Brammer MJ, Simmons A, Rubia K (2014): Shared and Drug-Specific Effects of Atomoxetine and Methylphenidate on Inhibitory Brain Dysfunction in Medication-Naive ADHD Boys. </w:t>
      </w:r>
      <w:r w:rsidRPr="00C30855">
        <w:rPr>
          <w:rFonts w:ascii="Times New Roman" w:hAnsi="Times New Roman" w:cs="Times New Roman"/>
          <w:i/>
          <w:iCs/>
          <w:noProof/>
          <w:szCs w:val="24"/>
        </w:rPr>
        <w:t>Cereb Cortex</w:t>
      </w:r>
      <w:r w:rsidRPr="00C30855">
        <w:rPr>
          <w:rFonts w:ascii="Times New Roman" w:hAnsi="Times New Roman" w:cs="Times New Roman"/>
          <w:noProof/>
          <w:szCs w:val="24"/>
        </w:rPr>
        <w:t xml:space="preserve"> 24: 174–185.</w:t>
      </w:r>
    </w:p>
    <w:p w14:paraId="4AD3FF7C" w14:textId="77777777" w:rsidR="00C30855" w:rsidRPr="00722339"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lang w:val="de-DE"/>
        </w:rPr>
      </w:pPr>
      <w:r w:rsidRPr="00C30855">
        <w:rPr>
          <w:rFonts w:ascii="Times New Roman" w:hAnsi="Times New Roman" w:cs="Times New Roman"/>
          <w:noProof/>
          <w:szCs w:val="24"/>
        </w:rPr>
        <w:t xml:space="preserve">29. DeVito EE, Herman AI, Konkus NS, Zhang H, Sofuoglu M (2017): Atomoxetine in abstinent cocaine users: Cognitive, subjective and cardiovascular effects. </w:t>
      </w:r>
      <w:r w:rsidRPr="00722339">
        <w:rPr>
          <w:rFonts w:ascii="Times New Roman" w:hAnsi="Times New Roman" w:cs="Times New Roman"/>
          <w:i/>
          <w:iCs/>
          <w:noProof/>
          <w:szCs w:val="24"/>
          <w:lang w:val="de-DE"/>
        </w:rPr>
        <w:t>Pharmacol Biochem Behav</w:t>
      </w:r>
      <w:r w:rsidRPr="00722339">
        <w:rPr>
          <w:rFonts w:ascii="Times New Roman" w:hAnsi="Times New Roman" w:cs="Times New Roman"/>
          <w:noProof/>
          <w:szCs w:val="24"/>
          <w:lang w:val="de-DE"/>
        </w:rPr>
        <w:t xml:space="preserve"> 159: 55–61.</w:t>
      </w:r>
    </w:p>
    <w:p w14:paraId="41FD145C"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722339">
        <w:rPr>
          <w:rFonts w:ascii="Times New Roman" w:hAnsi="Times New Roman" w:cs="Times New Roman"/>
          <w:noProof/>
          <w:szCs w:val="24"/>
          <w:lang w:val="de-DE"/>
        </w:rPr>
        <w:t xml:space="preserve">30. Ye Z, Altena E, Nombela C, Housden CR, Maxwell H, Rittman T, </w:t>
      </w:r>
      <w:r w:rsidRPr="00722339">
        <w:rPr>
          <w:rFonts w:ascii="Times New Roman" w:hAnsi="Times New Roman" w:cs="Times New Roman"/>
          <w:i/>
          <w:iCs/>
          <w:noProof/>
          <w:szCs w:val="24"/>
          <w:lang w:val="de-DE"/>
        </w:rPr>
        <w:t>et al.</w:t>
      </w:r>
      <w:r w:rsidRPr="00722339">
        <w:rPr>
          <w:rFonts w:ascii="Times New Roman" w:hAnsi="Times New Roman" w:cs="Times New Roman"/>
          <w:noProof/>
          <w:szCs w:val="24"/>
          <w:lang w:val="de-DE"/>
        </w:rPr>
        <w:t xml:space="preserve"> </w:t>
      </w:r>
      <w:r w:rsidRPr="00C30855">
        <w:rPr>
          <w:rFonts w:ascii="Times New Roman" w:hAnsi="Times New Roman" w:cs="Times New Roman"/>
          <w:noProof/>
          <w:szCs w:val="24"/>
        </w:rPr>
        <w:t xml:space="preserve">(2015): Improving response inhibition in Parkinson’s disease with atomoxetine. </w:t>
      </w:r>
      <w:r w:rsidRPr="00C30855">
        <w:rPr>
          <w:rFonts w:ascii="Times New Roman" w:hAnsi="Times New Roman" w:cs="Times New Roman"/>
          <w:i/>
          <w:iCs/>
          <w:noProof/>
          <w:szCs w:val="24"/>
        </w:rPr>
        <w:t>Biol Psychiatry</w:t>
      </w:r>
      <w:r w:rsidRPr="00C30855">
        <w:rPr>
          <w:rFonts w:ascii="Times New Roman" w:hAnsi="Times New Roman" w:cs="Times New Roman"/>
          <w:noProof/>
          <w:szCs w:val="24"/>
        </w:rPr>
        <w:t xml:space="preserve"> 77: 740–748.</w:t>
      </w:r>
    </w:p>
    <w:p w14:paraId="2502DEDF"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31. Rae CL, Nombela C, Rodríguez PV, Ye Z, Hughes LE, Jones PS,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(2016): Atomoxetine restores the response inhibition network in Parkinson’s disease. </w:t>
      </w:r>
      <w:r w:rsidRPr="00C30855">
        <w:rPr>
          <w:rFonts w:ascii="Times New Roman" w:hAnsi="Times New Roman" w:cs="Times New Roman"/>
          <w:i/>
          <w:iCs/>
          <w:noProof/>
          <w:szCs w:val="24"/>
        </w:rPr>
        <w:t>Brain</w:t>
      </w:r>
      <w:r w:rsidRPr="00C30855">
        <w:rPr>
          <w:rFonts w:ascii="Times New Roman" w:hAnsi="Times New Roman" w:cs="Times New Roman"/>
          <w:noProof/>
          <w:szCs w:val="24"/>
        </w:rPr>
        <w:t xml:space="preserve"> 139: 2235–2248.</w:t>
      </w:r>
    </w:p>
    <w:p w14:paraId="7A2CD57E"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32. Verbruggen F, Aron AR, Band GP, Beste C, Bissett PG, Brockett AT,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(2019): A consensus guide to capturing the ability to inhibit actions and impulsive behaviors in the stop-signal task. </w:t>
      </w:r>
      <w:r w:rsidRPr="00C30855">
        <w:rPr>
          <w:rFonts w:ascii="Times New Roman" w:hAnsi="Times New Roman" w:cs="Times New Roman"/>
          <w:i/>
          <w:iCs/>
          <w:noProof/>
          <w:szCs w:val="24"/>
        </w:rPr>
        <w:t>Elife</w:t>
      </w:r>
      <w:r w:rsidRPr="00C30855">
        <w:rPr>
          <w:rFonts w:ascii="Times New Roman" w:hAnsi="Times New Roman" w:cs="Times New Roman"/>
          <w:noProof/>
          <w:szCs w:val="24"/>
        </w:rPr>
        <w:t xml:space="preserve"> 8: 1–26.</w:t>
      </w:r>
    </w:p>
    <w:p w14:paraId="250743BA"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33. APA (2000): </w:t>
      </w:r>
      <w:r w:rsidRPr="00C30855">
        <w:rPr>
          <w:rFonts w:ascii="Times New Roman" w:hAnsi="Times New Roman" w:cs="Times New Roman"/>
          <w:i/>
          <w:iCs/>
          <w:noProof/>
          <w:szCs w:val="24"/>
        </w:rPr>
        <w:t>American Psychiatric Association: Diagnostic and Statistical Manual of Mental Disorders</w:t>
      </w:r>
      <w:r w:rsidRPr="00C30855">
        <w:rPr>
          <w:rFonts w:ascii="Times New Roman" w:hAnsi="Times New Roman" w:cs="Times New Roman"/>
          <w:noProof/>
          <w:szCs w:val="24"/>
        </w:rPr>
        <w:t>.</w:t>
      </w:r>
    </w:p>
    <w:p w14:paraId="22BE0147"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34. Sheehan D, Lecrubier Y, Sheehan K, Amorim P, Janavs J, Weiller E,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(1998): The Mini-International Neuropsychiatric Interview (M.I.N.I.): The Development and Validation of a Structured Diagnostic Psychiatric Interview for DSM-IV and ICD-10. </w:t>
      </w:r>
      <w:r w:rsidRPr="00C30855">
        <w:rPr>
          <w:rFonts w:ascii="Times New Roman" w:hAnsi="Times New Roman" w:cs="Times New Roman"/>
          <w:i/>
          <w:iCs/>
          <w:noProof/>
          <w:szCs w:val="24"/>
        </w:rPr>
        <w:t>22 J Clin Psychiatry</w:t>
      </w:r>
      <w:r w:rsidRPr="00C30855">
        <w:rPr>
          <w:rFonts w:ascii="Times New Roman" w:hAnsi="Times New Roman" w:cs="Times New Roman"/>
          <w:noProof/>
          <w:szCs w:val="24"/>
        </w:rPr>
        <w:t xml:space="preserve"> 59: 22–33.</w:t>
      </w:r>
    </w:p>
    <w:p w14:paraId="6E43B7F0"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35. First MB (2002): The DSM series and experience with DSM-IV. </w:t>
      </w:r>
      <w:r w:rsidRPr="00C30855">
        <w:rPr>
          <w:rFonts w:ascii="Times New Roman" w:hAnsi="Times New Roman" w:cs="Times New Roman"/>
          <w:i/>
          <w:iCs/>
          <w:noProof/>
          <w:szCs w:val="24"/>
        </w:rPr>
        <w:t>Psychopathology</w:t>
      </w:r>
      <w:r w:rsidRPr="00C30855">
        <w:rPr>
          <w:rFonts w:ascii="Times New Roman" w:hAnsi="Times New Roman" w:cs="Times New Roman"/>
          <w:noProof/>
          <w:szCs w:val="24"/>
        </w:rPr>
        <w:t xml:space="preserve"> 35: 67–71.</w:t>
      </w:r>
    </w:p>
    <w:p w14:paraId="36F46667"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36. Sauer JM, Ring BJ, Witcher JW (2005): Clinical pharmacokinetics of atomoxetine. </w:t>
      </w:r>
      <w:r w:rsidRPr="00C30855">
        <w:rPr>
          <w:rFonts w:ascii="Times New Roman" w:hAnsi="Times New Roman" w:cs="Times New Roman"/>
          <w:i/>
          <w:iCs/>
          <w:noProof/>
          <w:szCs w:val="24"/>
        </w:rPr>
        <w:t>Clin Pharmacokinet</w:t>
      </w:r>
      <w:r w:rsidRPr="00C30855">
        <w:rPr>
          <w:rFonts w:ascii="Times New Roman" w:hAnsi="Times New Roman" w:cs="Times New Roman"/>
          <w:noProof/>
          <w:szCs w:val="24"/>
        </w:rPr>
        <w:t xml:space="preserve"> 44: 571–590.</w:t>
      </w:r>
    </w:p>
    <w:p w14:paraId="59094CC4"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lastRenderedPageBreak/>
        <w:t xml:space="preserve">37. Teichert J, Rowe JB, Ersche KD, Skandali N, Sacher J, Aigner A, Regenthal R (2020): Determination of atomoxetine or escitalopram in human plasma by HPLC: Applications in neuroscience research studies. </w:t>
      </w:r>
      <w:r w:rsidRPr="00C30855">
        <w:rPr>
          <w:rFonts w:ascii="Times New Roman" w:hAnsi="Times New Roman" w:cs="Times New Roman"/>
          <w:i/>
          <w:iCs/>
          <w:noProof/>
          <w:szCs w:val="24"/>
        </w:rPr>
        <w:t>Int J Clin Pharmacol Ther</w:t>
      </w:r>
      <w:r w:rsidRPr="00C30855">
        <w:rPr>
          <w:rFonts w:ascii="Times New Roman" w:hAnsi="Times New Roman" w:cs="Times New Roman"/>
          <w:noProof/>
          <w:szCs w:val="24"/>
        </w:rPr>
        <w:t xml:space="preserve"> 58: 426–438.</w:t>
      </w:r>
    </w:p>
    <w:p w14:paraId="54D2E2C1"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38. Logan GD, Schachar RJ, Tannock R (1997): Impulsivity and inhibitory control. </w:t>
      </w:r>
      <w:r w:rsidRPr="00C30855">
        <w:rPr>
          <w:rFonts w:ascii="Times New Roman" w:hAnsi="Times New Roman" w:cs="Times New Roman"/>
          <w:i/>
          <w:iCs/>
          <w:noProof/>
          <w:szCs w:val="24"/>
        </w:rPr>
        <w:t>Psychol Sci</w:t>
      </w:r>
      <w:r w:rsidRPr="00C30855">
        <w:rPr>
          <w:rFonts w:ascii="Times New Roman" w:hAnsi="Times New Roman" w:cs="Times New Roman"/>
          <w:noProof/>
          <w:szCs w:val="24"/>
        </w:rPr>
        <w:t xml:space="preserve"> 8: 60–64.</w:t>
      </w:r>
    </w:p>
    <w:p w14:paraId="3951E101"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39. Whelan R, Conrod PJ, Poline J-B, Lourdusamy A, Banaschewski T, Barker GJ,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(2012): Adolescent impulsivity phenotypes characterized by distinct brain networks. </w:t>
      </w:r>
      <w:r w:rsidRPr="00C30855">
        <w:rPr>
          <w:rFonts w:ascii="Times New Roman" w:hAnsi="Times New Roman" w:cs="Times New Roman"/>
          <w:i/>
          <w:iCs/>
          <w:noProof/>
          <w:szCs w:val="24"/>
        </w:rPr>
        <w:t>Nat Neurosci</w:t>
      </w:r>
      <w:r w:rsidRPr="00C30855">
        <w:rPr>
          <w:rFonts w:ascii="Times New Roman" w:hAnsi="Times New Roman" w:cs="Times New Roman"/>
          <w:noProof/>
          <w:szCs w:val="24"/>
        </w:rPr>
        <w:t xml:space="preserve"> 15: 920–925.</w:t>
      </w:r>
    </w:p>
    <w:p w14:paraId="1531A381"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40. Patton JH, Stanford MS, Barratt ES (1995): Factor structure of the barratt impulsiveness scale. </w:t>
      </w:r>
      <w:r w:rsidRPr="00C30855">
        <w:rPr>
          <w:rFonts w:ascii="Times New Roman" w:hAnsi="Times New Roman" w:cs="Times New Roman"/>
          <w:i/>
          <w:iCs/>
          <w:noProof/>
          <w:szCs w:val="24"/>
        </w:rPr>
        <w:t>J Clin Psychol</w:t>
      </w:r>
      <w:r w:rsidRPr="00C30855">
        <w:rPr>
          <w:rFonts w:ascii="Times New Roman" w:hAnsi="Times New Roman" w:cs="Times New Roman"/>
          <w:noProof/>
          <w:szCs w:val="24"/>
        </w:rPr>
        <w:t xml:space="preserve"> 51: 768–774.</w:t>
      </w:r>
    </w:p>
    <w:p w14:paraId="2C5A51EC"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41. Saunders JB, Aasland OG, Babor TF, De La Fuente JR, Grant M (1993): Development of the Alcohol Use Disorders Identification Test (AUDIT). </w:t>
      </w:r>
      <w:r w:rsidRPr="00C30855">
        <w:rPr>
          <w:rFonts w:ascii="Times New Roman" w:hAnsi="Times New Roman" w:cs="Times New Roman"/>
          <w:i/>
          <w:iCs/>
          <w:noProof/>
          <w:szCs w:val="24"/>
        </w:rPr>
        <w:t>Addiction</w:t>
      </w:r>
      <w:r w:rsidRPr="00C30855">
        <w:rPr>
          <w:rFonts w:ascii="Times New Roman" w:hAnsi="Times New Roman" w:cs="Times New Roman"/>
          <w:noProof/>
          <w:szCs w:val="24"/>
        </w:rPr>
        <w:t xml:space="preserve"> 88: 791–804.</w:t>
      </w:r>
    </w:p>
    <w:p w14:paraId="20059E35"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42. Dozois DJA, Dobson KS, Ahnberg JL (1998): A psychometric evaluation of the Beck Depression Inventory-II. </w:t>
      </w:r>
      <w:r w:rsidRPr="00C30855">
        <w:rPr>
          <w:rFonts w:ascii="Times New Roman" w:hAnsi="Times New Roman" w:cs="Times New Roman"/>
          <w:i/>
          <w:iCs/>
          <w:noProof/>
          <w:szCs w:val="24"/>
        </w:rPr>
        <w:t>Psychol Assess</w:t>
      </w:r>
      <w:r w:rsidRPr="00C30855">
        <w:rPr>
          <w:rFonts w:ascii="Times New Roman" w:hAnsi="Times New Roman" w:cs="Times New Roman"/>
          <w:noProof/>
          <w:szCs w:val="24"/>
        </w:rPr>
        <w:t xml:space="preserve"> 10: 83–89.</w:t>
      </w:r>
    </w:p>
    <w:p w14:paraId="12931812"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43. Franken IHA, Hendriks VM, van den Brink W (2002): Initial validation of two opiate craving questionnaires: The Obsessive Compulsive Drug Use Scale and the Desires for Drug Questionnaire. </w:t>
      </w:r>
      <w:r w:rsidRPr="00C30855">
        <w:rPr>
          <w:rFonts w:ascii="Times New Roman" w:hAnsi="Times New Roman" w:cs="Times New Roman"/>
          <w:i/>
          <w:iCs/>
          <w:noProof/>
          <w:szCs w:val="24"/>
        </w:rPr>
        <w:t>Addict Behav</w:t>
      </w:r>
      <w:r w:rsidRPr="00C30855">
        <w:rPr>
          <w:rFonts w:ascii="Times New Roman" w:hAnsi="Times New Roman" w:cs="Times New Roman"/>
          <w:noProof/>
          <w:szCs w:val="24"/>
        </w:rPr>
        <w:t xml:space="preserve"> 27: 675–685.</w:t>
      </w:r>
    </w:p>
    <w:p w14:paraId="300F2296"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44. Nelson HE (1982): The National Adult Reading Test (NART): Test Manual. </w:t>
      </w:r>
      <w:r w:rsidRPr="00C30855">
        <w:rPr>
          <w:rFonts w:ascii="Times New Roman" w:hAnsi="Times New Roman" w:cs="Times New Roman"/>
          <w:i/>
          <w:iCs/>
          <w:noProof/>
          <w:szCs w:val="24"/>
        </w:rPr>
        <w:t>Wind UK NFER-Nelson</w:t>
      </w:r>
      <w:r w:rsidRPr="00C30855">
        <w:rPr>
          <w:rFonts w:ascii="Times New Roman" w:hAnsi="Times New Roman" w:cs="Times New Roman"/>
          <w:noProof/>
          <w:szCs w:val="24"/>
        </w:rPr>
        <w:t xml:space="preserve"> 124: 0–25.</w:t>
      </w:r>
    </w:p>
    <w:p w14:paraId="4FAEA93C"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45. Beck A., Steer R., Brown GK (1996): </w:t>
      </w:r>
      <w:r w:rsidRPr="00C30855">
        <w:rPr>
          <w:rFonts w:ascii="Times New Roman" w:hAnsi="Times New Roman" w:cs="Times New Roman"/>
          <w:i/>
          <w:iCs/>
          <w:noProof/>
          <w:szCs w:val="24"/>
        </w:rPr>
        <w:t>Manual for the Beck Depression Inventory-II.</w:t>
      </w:r>
    </w:p>
    <w:p w14:paraId="7A9F4D57"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46. Jenkinson M, Beckmann CF, Behrens TEJ, Woolrich MW, Smith SM (2012): Fsl. </w:t>
      </w:r>
      <w:r w:rsidRPr="00C30855">
        <w:rPr>
          <w:rFonts w:ascii="Times New Roman" w:hAnsi="Times New Roman" w:cs="Times New Roman"/>
          <w:i/>
          <w:iCs/>
          <w:noProof/>
          <w:szCs w:val="24"/>
        </w:rPr>
        <w:t>Neuroimage</w:t>
      </w:r>
      <w:r w:rsidRPr="00C30855">
        <w:rPr>
          <w:rFonts w:ascii="Times New Roman" w:hAnsi="Times New Roman" w:cs="Times New Roman"/>
          <w:noProof/>
          <w:szCs w:val="24"/>
        </w:rPr>
        <w:t xml:space="preserve"> 62: 782–790.</w:t>
      </w:r>
    </w:p>
    <w:p w14:paraId="4C670E0C"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47. Jenkinson M, Bannister P, Brady M, Smith S (2002): Improved optimization for the robust and accurate linear registration and motion correction of brain images. </w:t>
      </w:r>
      <w:r w:rsidRPr="00C30855">
        <w:rPr>
          <w:rFonts w:ascii="Times New Roman" w:hAnsi="Times New Roman" w:cs="Times New Roman"/>
          <w:i/>
          <w:iCs/>
          <w:noProof/>
          <w:szCs w:val="24"/>
        </w:rPr>
        <w:t>Neuroimage</w:t>
      </w:r>
      <w:r w:rsidRPr="00C30855">
        <w:rPr>
          <w:rFonts w:ascii="Times New Roman" w:hAnsi="Times New Roman" w:cs="Times New Roman"/>
          <w:noProof/>
          <w:szCs w:val="24"/>
        </w:rPr>
        <w:t xml:space="preserve"> 17: 825–41.</w:t>
      </w:r>
    </w:p>
    <w:p w14:paraId="2892BD8D"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48. Smith SM, Jenkinson M, Woolrich MW, Beckmann CF, Behrens TEJ, Johansen-Berg H,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(2004): Advances in functional and structural MR image analysis and implementation as FSL. </w:t>
      </w:r>
      <w:r w:rsidRPr="00C30855">
        <w:rPr>
          <w:rFonts w:ascii="Times New Roman" w:hAnsi="Times New Roman" w:cs="Times New Roman"/>
          <w:i/>
          <w:iCs/>
          <w:noProof/>
          <w:szCs w:val="24"/>
        </w:rPr>
        <w:t>Neuroimage</w:t>
      </w:r>
      <w:r w:rsidRPr="00C30855">
        <w:rPr>
          <w:rFonts w:ascii="Times New Roman" w:hAnsi="Times New Roman" w:cs="Times New Roman"/>
          <w:noProof/>
          <w:szCs w:val="24"/>
        </w:rPr>
        <w:t xml:space="preserve"> 23: 208–219.</w:t>
      </w:r>
    </w:p>
    <w:p w14:paraId="207E7FE0"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49. Andersson JLR, Jenkinson M, Smith SM (2007): Non-linear optimisation. FMRIB technical report TR07JA1. https://doi.org/10.1109/EMOBILITY.2010.5668100</w:t>
      </w:r>
    </w:p>
    <w:p w14:paraId="2FFC69F3"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50. Andersson JLR, Jenkinson M, Smith S (2007): Non-linear registration, aka spatial normalization (FMRIB technical report TR07JA2).</w:t>
      </w:r>
    </w:p>
    <w:p w14:paraId="01796440"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lastRenderedPageBreak/>
        <w:t xml:space="preserve">51. Smith SM (2002): Fast robust automated brain extraction. </w:t>
      </w:r>
      <w:r w:rsidRPr="00C30855">
        <w:rPr>
          <w:rFonts w:ascii="Times New Roman" w:hAnsi="Times New Roman" w:cs="Times New Roman"/>
          <w:i/>
          <w:iCs/>
          <w:noProof/>
          <w:szCs w:val="24"/>
        </w:rPr>
        <w:t>Hum Brain Mapp</w:t>
      </w:r>
      <w:r w:rsidRPr="00C30855">
        <w:rPr>
          <w:rFonts w:ascii="Times New Roman" w:hAnsi="Times New Roman" w:cs="Times New Roman"/>
          <w:noProof/>
          <w:szCs w:val="24"/>
        </w:rPr>
        <w:t xml:space="preserve"> 17: 143–55.</w:t>
      </w:r>
    </w:p>
    <w:p w14:paraId="29079DFA"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52. Woolrich MW, Ripley BD, Brady M, Smith SM (2001): Temporal autocorrelation in univariate linear modeling of FMRI data. </w:t>
      </w:r>
      <w:r w:rsidRPr="00C30855">
        <w:rPr>
          <w:rFonts w:ascii="Times New Roman" w:hAnsi="Times New Roman" w:cs="Times New Roman"/>
          <w:i/>
          <w:iCs/>
          <w:noProof/>
          <w:szCs w:val="24"/>
        </w:rPr>
        <w:t>Neuroimage</w:t>
      </w:r>
      <w:r w:rsidRPr="00C30855">
        <w:rPr>
          <w:rFonts w:ascii="Times New Roman" w:hAnsi="Times New Roman" w:cs="Times New Roman"/>
          <w:noProof/>
          <w:szCs w:val="24"/>
        </w:rPr>
        <w:t xml:space="preserve"> 14: 1370–1386.</w:t>
      </w:r>
    </w:p>
    <w:p w14:paraId="2444588A"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53. Woolrich MW, Behrens TEJ, Beckmann CF, Jenkinson M, Smith SM (2004): Multilevel linear modelling for FMRI group analysis using Bayesian inference. </w:t>
      </w:r>
      <w:r w:rsidRPr="00C30855">
        <w:rPr>
          <w:rFonts w:ascii="Times New Roman" w:hAnsi="Times New Roman" w:cs="Times New Roman"/>
          <w:i/>
          <w:iCs/>
          <w:noProof/>
          <w:szCs w:val="24"/>
        </w:rPr>
        <w:t>Neuroimage</w:t>
      </w:r>
      <w:r w:rsidRPr="00C30855">
        <w:rPr>
          <w:rFonts w:ascii="Times New Roman" w:hAnsi="Times New Roman" w:cs="Times New Roman"/>
          <w:noProof/>
          <w:szCs w:val="24"/>
        </w:rPr>
        <w:t xml:space="preserve"> 21: 1732–1747.</w:t>
      </w:r>
    </w:p>
    <w:p w14:paraId="6D056781"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54. Beeler JA, Petzinger G, Jakowec MW (2013): The enemy within: Propagation of aberrant corticostriatal learning to cortical function in Parkinson’s disease. </w:t>
      </w:r>
      <w:r w:rsidRPr="00C30855">
        <w:rPr>
          <w:rFonts w:ascii="Times New Roman" w:hAnsi="Times New Roman" w:cs="Times New Roman"/>
          <w:i/>
          <w:iCs/>
          <w:noProof/>
          <w:szCs w:val="24"/>
        </w:rPr>
        <w:t>Front Neurol</w:t>
      </w:r>
      <w:r w:rsidRPr="00C30855">
        <w:rPr>
          <w:rFonts w:ascii="Times New Roman" w:hAnsi="Times New Roman" w:cs="Times New Roman"/>
          <w:noProof/>
          <w:szCs w:val="24"/>
        </w:rPr>
        <w:t xml:space="preserve"> 4 SEP: 1–7.</w:t>
      </w:r>
    </w:p>
    <w:p w14:paraId="0360BF5C"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55. Schroll H, Hamker FH (2013): Computational models of basal-ganglia pathway functions: focus on functional neuroanatomy. </w:t>
      </w:r>
      <w:r w:rsidRPr="00C30855">
        <w:rPr>
          <w:rFonts w:ascii="Times New Roman" w:hAnsi="Times New Roman" w:cs="Times New Roman"/>
          <w:i/>
          <w:iCs/>
          <w:noProof/>
          <w:szCs w:val="24"/>
        </w:rPr>
        <w:t>Front Syst Neurosci</w:t>
      </w:r>
      <w:r w:rsidRPr="00C30855">
        <w:rPr>
          <w:rFonts w:ascii="Times New Roman" w:hAnsi="Times New Roman" w:cs="Times New Roman"/>
          <w:noProof/>
          <w:szCs w:val="24"/>
        </w:rPr>
        <w:t xml:space="preserve"> 7. https://doi.org/10.3389/fnsys.2013.00122</w:t>
      </w:r>
    </w:p>
    <w:p w14:paraId="3199CF1D"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56. Shipp S (2017): The functional logic of corticostriatal connections. </w:t>
      </w:r>
      <w:r w:rsidRPr="00C30855">
        <w:rPr>
          <w:rFonts w:ascii="Times New Roman" w:hAnsi="Times New Roman" w:cs="Times New Roman"/>
          <w:i/>
          <w:iCs/>
          <w:noProof/>
          <w:szCs w:val="24"/>
        </w:rPr>
        <w:t>Brain Struct Funct</w:t>
      </w:r>
      <w:r w:rsidRPr="00C30855">
        <w:rPr>
          <w:rFonts w:ascii="Times New Roman" w:hAnsi="Times New Roman" w:cs="Times New Roman"/>
          <w:noProof/>
          <w:szCs w:val="24"/>
        </w:rPr>
        <w:t xml:space="preserve"> 222: 669–706.</w:t>
      </w:r>
    </w:p>
    <w:p w14:paraId="74AB6931"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57. Stephan KE, Penny WD, Moran RJ, den Ouden HEM, Daunizeau J, Friston KJ (2010): Ten simple rules for dynamic causal modeling. </w:t>
      </w:r>
      <w:r w:rsidRPr="00C30855">
        <w:rPr>
          <w:rFonts w:ascii="Times New Roman" w:hAnsi="Times New Roman" w:cs="Times New Roman"/>
          <w:i/>
          <w:iCs/>
          <w:noProof/>
          <w:szCs w:val="24"/>
        </w:rPr>
        <w:t>Neuroimage</w:t>
      </w:r>
      <w:r w:rsidRPr="00C30855">
        <w:rPr>
          <w:rFonts w:ascii="Times New Roman" w:hAnsi="Times New Roman" w:cs="Times New Roman"/>
          <w:noProof/>
          <w:szCs w:val="24"/>
        </w:rPr>
        <w:t xml:space="preserve"> 49: 3099–3109.</w:t>
      </w:r>
    </w:p>
    <w:p w14:paraId="6EEF7EF3"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58. Clark KL, Noudoost B (2014): The role of prefrontal catecholamines in attention and working memory. </w:t>
      </w:r>
      <w:r w:rsidRPr="00C30855">
        <w:rPr>
          <w:rFonts w:ascii="Times New Roman" w:hAnsi="Times New Roman" w:cs="Times New Roman"/>
          <w:i/>
          <w:iCs/>
          <w:noProof/>
          <w:szCs w:val="24"/>
        </w:rPr>
        <w:t>Front Neural Circuits</w:t>
      </w:r>
      <w:r w:rsidRPr="00C30855">
        <w:rPr>
          <w:rFonts w:ascii="Times New Roman" w:hAnsi="Times New Roman" w:cs="Times New Roman"/>
          <w:noProof/>
          <w:szCs w:val="24"/>
        </w:rPr>
        <w:t xml:space="preserve"> 8: 1–19.</w:t>
      </w:r>
    </w:p>
    <w:p w14:paraId="74E61DBF"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59. Aston-Jones G, Cohen JD (2005): An integrative theory of locus coeruleus-norepinephrine function: adaptive gain and optimal performance. </w:t>
      </w:r>
      <w:r w:rsidRPr="00C30855">
        <w:rPr>
          <w:rFonts w:ascii="Times New Roman" w:hAnsi="Times New Roman" w:cs="Times New Roman"/>
          <w:i/>
          <w:iCs/>
          <w:noProof/>
          <w:szCs w:val="24"/>
        </w:rPr>
        <w:t>Annu Rev Neurosci</w:t>
      </w:r>
      <w:r w:rsidRPr="00C30855">
        <w:rPr>
          <w:rFonts w:ascii="Times New Roman" w:hAnsi="Times New Roman" w:cs="Times New Roman"/>
          <w:noProof/>
          <w:szCs w:val="24"/>
        </w:rPr>
        <w:t xml:space="preserve"> 28: 403–50.</w:t>
      </w:r>
    </w:p>
    <w:p w14:paraId="3B1010C3"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60. Gamo NJ, Wang M, Arnsten AFT (2010): Methylphenidate and atomoxetine enhance prefrontal function through α2-adrenergic and dopamine D1 receptors. </w:t>
      </w:r>
      <w:r w:rsidRPr="00C30855">
        <w:rPr>
          <w:rFonts w:ascii="Times New Roman" w:hAnsi="Times New Roman" w:cs="Times New Roman"/>
          <w:i/>
          <w:iCs/>
          <w:noProof/>
          <w:szCs w:val="24"/>
        </w:rPr>
        <w:t>J Am Acad Child Adolesc Psychiatry</w:t>
      </w:r>
      <w:r w:rsidRPr="00C30855">
        <w:rPr>
          <w:rFonts w:ascii="Times New Roman" w:hAnsi="Times New Roman" w:cs="Times New Roman"/>
          <w:noProof/>
          <w:szCs w:val="24"/>
        </w:rPr>
        <w:t xml:space="preserve"> 49: 1011–1023.</w:t>
      </w:r>
    </w:p>
    <w:p w14:paraId="725FE3BA"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61. Del Campo N, Fryer TD, Hong YT, Smith R, Brichard L, Acosta-Cabronero J,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(2013): A positron emission tomography study of nigro-striatal dopaminergic mechanisms underlying attention: Implications for ADHD and its treatment. </w:t>
      </w:r>
      <w:r w:rsidRPr="00C30855">
        <w:rPr>
          <w:rFonts w:ascii="Times New Roman" w:hAnsi="Times New Roman" w:cs="Times New Roman"/>
          <w:i/>
          <w:iCs/>
          <w:noProof/>
          <w:szCs w:val="24"/>
        </w:rPr>
        <w:t>Brain</w:t>
      </w:r>
      <w:r w:rsidRPr="00C30855">
        <w:rPr>
          <w:rFonts w:ascii="Times New Roman" w:hAnsi="Times New Roman" w:cs="Times New Roman"/>
          <w:noProof/>
          <w:szCs w:val="24"/>
        </w:rPr>
        <w:t xml:space="preserve"> 136: 3252–3270.</w:t>
      </w:r>
    </w:p>
    <w:p w14:paraId="63B03D12"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62. Eagle DM, Tufft MRA, Goodchild HL, Robbins TW (2007): Differential effects of modafinil and methylphenidate on stop-signal reaction time task performance in the rat, and interactions with the dopamine receptor antagonist cis-flupenthixol. </w:t>
      </w:r>
      <w:r w:rsidRPr="00C30855">
        <w:rPr>
          <w:rFonts w:ascii="Times New Roman" w:hAnsi="Times New Roman" w:cs="Times New Roman"/>
          <w:i/>
          <w:iCs/>
          <w:noProof/>
          <w:szCs w:val="24"/>
        </w:rPr>
        <w:t>Psychopharmacology (Berl)</w:t>
      </w:r>
      <w:r w:rsidRPr="00C30855">
        <w:rPr>
          <w:rFonts w:ascii="Times New Roman" w:hAnsi="Times New Roman" w:cs="Times New Roman"/>
          <w:noProof/>
          <w:szCs w:val="24"/>
        </w:rPr>
        <w:t xml:space="preserve"> 192: 193–206.</w:t>
      </w:r>
    </w:p>
    <w:p w14:paraId="7B23C7F5"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63. Arnsten A, Pliszka S (2011): Catecholamine Influences on Prefrontal Cortical Function: Relevance to Treatment of Attention Deficit Hyperactivity Disorder and Related Disorders. </w:t>
      </w:r>
      <w:r w:rsidRPr="00C30855">
        <w:rPr>
          <w:rFonts w:ascii="Times New Roman" w:hAnsi="Times New Roman" w:cs="Times New Roman"/>
          <w:i/>
          <w:iCs/>
          <w:noProof/>
          <w:szCs w:val="24"/>
        </w:rPr>
        <w:t>Pharmacol Biochem Behav</w:t>
      </w:r>
      <w:r w:rsidRPr="00C30855">
        <w:rPr>
          <w:rFonts w:ascii="Times New Roman" w:hAnsi="Times New Roman" w:cs="Times New Roman"/>
          <w:noProof/>
          <w:szCs w:val="24"/>
        </w:rPr>
        <w:t xml:space="preserve"> 99: 211–216.</w:t>
      </w:r>
    </w:p>
    <w:p w14:paraId="26BAFBD7"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64. Nagashima M, Monden Y, Dan I, Dan H, Tsuzuki D, Mizutani T,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(2014): Acute neuropharmacological effects of atomoxetine on inhibitory control in ADHD children: A fNIRS </w:t>
      </w:r>
      <w:r w:rsidRPr="00C30855">
        <w:rPr>
          <w:rFonts w:ascii="Times New Roman" w:hAnsi="Times New Roman" w:cs="Times New Roman"/>
          <w:noProof/>
          <w:szCs w:val="24"/>
        </w:rPr>
        <w:lastRenderedPageBreak/>
        <w:t xml:space="preserve">study. </w:t>
      </w:r>
      <w:r w:rsidRPr="00C30855">
        <w:rPr>
          <w:rFonts w:ascii="Times New Roman" w:hAnsi="Times New Roman" w:cs="Times New Roman"/>
          <w:i/>
          <w:iCs/>
          <w:noProof/>
          <w:szCs w:val="24"/>
        </w:rPr>
        <w:t>NeuroImage Clin</w:t>
      </w:r>
      <w:r w:rsidRPr="00C30855">
        <w:rPr>
          <w:rFonts w:ascii="Times New Roman" w:hAnsi="Times New Roman" w:cs="Times New Roman"/>
          <w:noProof/>
          <w:szCs w:val="24"/>
        </w:rPr>
        <w:t xml:space="preserve"> 6: 192–201.</w:t>
      </w:r>
    </w:p>
    <w:p w14:paraId="6E5C2811"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65. Smith Y, Bevan MD, Shink E, Bolam JP (1998): Microcircuitry of the direct and indirect pathways of the basal ganglia. </w:t>
      </w:r>
      <w:r w:rsidRPr="00C30855">
        <w:rPr>
          <w:rFonts w:ascii="Times New Roman" w:hAnsi="Times New Roman" w:cs="Times New Roman"/>
          <w:i/>
          <w:iCs/>
          <w:noProof/>
          <w:szCs w:val="24"/>
        </w:rPr>
        <w:t>Neuroscience</w:t>
      </w:r>
      <w:r w:rsidRPr="00C30855">
        <w:rPr>
          <w:rFonts w:ascii="Times New Roman" w:hAnsi="Times New Roman" w:cs="Times New Roman"/>
          <w:noProof/>
          <w:szCs w:val="24"/>
        </w:rPr>
        <w:t xml:space="preserve"> 86: 353–387.</w:t>
      </w:r>
    </w:p>
    <w:p w14:paraId="607A0085"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66. Williams BR, Ponesse JS, Schachar RJ, Logan GD, Tannock R (1999): Inhibitory Control Across Lifespan. </w:t>
      </w:r>
      <w:r w:rsidRPr="00C30855">
        <w:rPr>
          <w:rFonts w:ascii="Times New Roman" w:hAnsi="Times New Roman" w:cs="Times New Roman"/>
          <w:i/>
          <w:iCs/>
          <w:noProof/>
          <w:szCs w:val="24"/>
        </w:rPr>
        <w:t>Dev Psychol</w:t>
      </w:r>
      <w:r w:rsidRPr="00C30855">
        <w:rPr>
          <w:rFonts w:ascii="Times New Roman" w:hAnsi="Times New Roman" w:cs="Times New Roman"/>
          <w:noProof/>
          <w:szCs w:val="24"/>
        </w:rPr>
        <w:t xml:space="preserve"> 35: 205–213.</w:t>
      </w:r>
    </w:p>
    <w:p w14:paraId="4372E155"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67. Rey-Mermet A, Gade M (2018): Inhibition in aging: What is preserved? What declines? A meta-analysis. </w:t>
      </w:r>
      <w:r w:rsidRPr="00C30855">
        <w:rPr>
          <w:rFonts w:ascii="Times New Roman" w:hAnsi="Times New Roman" w:cs="Times New Roman"/>
          <w:i/>
          <w:iCs/>
          <w:noProof/>
          <w:szCs w:val="24"/>
        </w:rPr>
        <w:t>Psychon Bull Rev</w:t>
      </w:r>
      <w:r w:rsidRPr="00C30855">
        <w:rPr>
          <w:rFonts w:ascii="Times New Roman" w:hAnsi="Times New Roman" w:cs="Times New Roman"/>
          <w:noProof/>
          <w:szCs w:val="24"/>
        </w:rPr>
        <w:t xml:space="preserve"> 25: 1695–1716.</w:t>
      </w:r>
    </w:p>
    <w:p w14:paraId="293B4CC0"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68. Calabresi P, Picconi B, Tozzi A, Ghiglieri V, Di Filippo M (2014): Direct and indirect pathways of basal ganglia: A critical reappraisal. </w:t>
      </w:r>
      <w:r w:rsidRPr="00C30855">
        <w:rPr>
          <w:rFonts w:ascii="Times New Roman" w:hAnsi="Times New Roman" w:cs="Times New Roman"/>
          <w:i/>
          <w:iCs/>
          <w:noProof/>
          <w:szCs w:val="24"/>
        </w:rPr>
        <w:t>Nat Neurosci</w:t>
      </w:r>
      <w:r w:rsidRPr="00C30855">
        <w:rPr>
          <w:rFonts w:ascii="Times New Roman" w:hAnsi="Times New Roman" w:cs="Times New Roman"/>
          <w:noProof/>
          <w:szCs w:val="24"/>
        </w:rPr>
        <w:t xml:space="preserve"> 17: 1022–1030.</w:t>
      </w:r>
    </w:p>
    <w:p w14:paraId="62FC378B"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69. Dalley JW, Robbins TW (2017): Fractionating impulsivity: neuropsychiatric implications. </w:t>
      </w:r>
      <w:r w:rsidRPr="00C30855">
        <w:rPr>
          <w:rFonts w:ascii="Times New Roman" w:hAnsi="Times New Roman" w:cs="Times New Roman"/>
          <w:i/>
          <w:iCs/>
          <w:noProof/>
          <w:szCs w:val="24"/>
        </w:rPr>
        <w:t>Nat Rev Neurosci</w:t>
      </w:r>
      <w:r w:rsidRPr="00C30855">
        <w:rPr>
          <w:rFonts w:ascii="Times New Roman" w:hAnsi="Times New Roman" w:cs="Times New Roman"/>
          <w:noProof/>
          <w:szCs w:val="24"/>
        </w:rPr>
        <w:t xml:space="preserve"> 18: 158–171.</w:t>
      </w:r>
    </w:p>
    <w:p w14:paraId="00EBA884"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70. Li C shan R, Milivojevic V, Kemp K, Hong K, Sinha R (2006): Performance monitoring and stop signal inhibition in abstinent patients with cocaine dependence. </w:t>
      </w:r>
      <w:r w:rsidRPr="00C30855">
        <w:rPr>
          <w:rFonts w:ascii="Times New Roman" w:hAnsi="Times New Roman" w:cs="Times New Roman"/>
          <w:i/>
          <w:iCs/>
          <w:noProof/>
          <w:szCs w:val="24"/>
        </w:rPr>
        <w:t>Drug Alcohol Depend</w:t>
      </w:r>
      <w:r w:rsidRPr="00C30855">
        <w:rPr>
          <w:rFonts w:ascii="Times New Roman" w:hAnsi="Times New Roman" w:cs="Times New Roman"/>
          <w:noProof/>
          <w:szCs w:val="24"/>
        </w:rPr>
        <w:t xml:space="preserve"> 85: 205–212.</w:t>
      </w:r>
    </w:p>
    <w:p w14:paraId="6BAC7B56"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71. Zhang Y, Zhang S, Ide JS, Hu S, Zhornitsky S, Wang W,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(2018): Dynamic network dysfunction in cocaine dependence: Graph theoretical metrics and stop signal reaction time. </w:t>
      </w:r>
      <w:r w:rsidRPr="00C30855">
        <w:rPr>
          <w:rFonts w:ascii="Times New Roman" w:hAnsi="Times New Roman" w:cs="Times New Roman"/>
          <w:i/>
          <w:iCs/>
          <w:noProof/>
          <w:szCs w:val="24"/>
        </w:rPr>
        <w:t>NeuroImage Clin</w:t>
      </w:r>
      <w:r w:rsidRPr="00C30855">
        <w:rPr>
          <w:rFonts w:ascii="Times New Roman" w:hAnsi="Times New Roman" w:cs="Times New Roman"/>
          <w:noProof/>
          <w:szCs w:val="24"/>
        </w:rPr>
        <w:t xml:space="preserve"> 18: 793–801.</w:t>
      </w:r>
    </w:p>
    <w:p w14:paraId="5304729A"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72. Aron AR (2011): From reactive to proactive and selective control: Developing a richer model for stopping inappropriate responses. </w:t>
      </w:r>
      <w:r w:rsidRPr="00C30855">
        <w:rPr>
          <w:rFonts w:ascii="Times New Roman" w:hAnsi="Times New Roman" w:cs="Times New Roman"/>
          <w:i/>
          <w:iCs/>
          <w:noProof/>
          <w:szCs w:val="24"/>
        </w:rPr>
        <w:t>Biol Psychiatry</w:t>
      </w:r>
      <w:r w:rsidRPr="00C30855">
        <w:rPr>
          <w:rFonts w:ascii="Times New Roman" w:hAnsi="Times New Roman" w:cs="Times New Roman"/>
          <w:noProof/>
          <w:szCs w:val="24"/>
        </w:rPr>
        <w:t xml:space="preserve"> 69: e55–e68.</w:t>
      </w:r>
    </w:p>
    <w:p w14:paraId="6CAD5396"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73. Zhukovsky P, Morein-Zamir S, Meng C, Dalley JW, Ersche KD (2020): Network failures: When incentives trigger impulsive responses. </w:t>
      </w:r>
      <w:r w:rsidRPr="00C30855">
        <w:rPr>
          <w:rFonts w:ascii="Times New Roman" w:hAnsi="Times New Roman" w:cs="Times New Roman"/>
          <w:i/>
          <w:iCs/>
          <w:noProof/>
          <w:szCs w:val="24"/>
        </w:rPr>
        <w:t>Hum Brain Mapp</w:t>
      </w:r>
      <w:r w:rsidRPr="00C30855">
        <w:rPr>
          <w:rFonts w:ascii="Times New Roman" w:hAnsi="Times New Roman" w:cs="Times New Roman"/>
          <w:noProof/>
          <w:szCs w:val="24"/>
        </w:rPr>
        <w:t xml:space="preserve"> 1–13.</w:t>
      </w:r>
    </w:p>
    <w:p w14:paraId="506C92EF"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74. Fillmore MT, Rush CR (2002): Impaired inhibitory control of behavior in chronic cocaine users. </w:t>
      </w:r>
      <w:r w:rsidRPr="00C30855">
        <w:rPr>
          <w:rFonts w:ascii="Times New Roman" w:hAnsi="Times New Roman" w:cs="Times New Roman"/>
          <w:i/>
          <w:iCs/>
          <w:noProof/>
          <w:szCs w:val="24"/>
        </w:rPr>
        <w:t>Drug Alcohol Depend</w:t>
      </w:r>
      <w:r w:rsidRPr="00C30855">
        <w:rPr>
          <w:rFonts w:ascii="Times New Roman" w:hAnsi="Times New Roman" w:cs="Times New Roman"/>
          <w:noProof/>
          <w:szCs w:val="24"/>
        </w:rPr>
        <w:t xml:space="preserve"> 66: 265–273.</w:t>
      </w:r>
    </w:p>
    <w:p w14:paraId="704DB4F6"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75. Weafer J, Mitchell SH, de Wit H (2014): Recent Translational Findings on Impulsivity in Relation to Drug Abuse. </w:t>
      </w:r>
      <w:r w:rsidRPr="00C30855">
        <w:rPr>
          <w:rFonts w:ascii="Times New Roman" w:hAnsi="Times New Roman" w:cs="Times New Roman"/>
          <w:i/>
          <w:iCs/>
          <w:noProof/>
          <w:szCs w:val="24"/>
        </w:rPr>
        <w:t>Curr Addict Reports</w:t>
      </w:r>
      <w:r w:rsidRPr="00C30855">
        <w:rPr>
          <w:rFonts w:ascii="Times New Roman" w:hAnsi="Times New Roman" w:cs="Times New Roman"/>
          <w:noProof/>
          <w:szCs w:val="24"/>
        </w:rPr>
        <w:t xml:space="preserve"> 1: 289–300.</w:t>
      </w:r>
    </w:p>
    <w:p w14:paraId="70242EE9"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76. Fillmore MT, Rush CR, Hays L (2006): Acute effects of cocaine in two models of inhibitory control: Implications of non-linear dose effects. </w:t>
      </w:r>
      <w:r w:rsidRPr="00C30855">
        <w:rPr>
          <w:rFonts w:ascii="Times New Roman" w:hAnsi="Times New Roman" w:cs="Times New Roman"/>
          <w:i/>
          <w:iCs/>
          <w:noProof/>
          <w:szCs w:val="24"/>
        </w:rPr>
        <w:t>Addiction</w:t>
      </w:r>
      <w:r w:rsidRPr="00C30855">
        <w:rPr>
          <w:rFonts w:ascii="Times New Roman" w:hAnsi="Times New Roman" w:cs="Times New Roman"/>
          <w:noProof/>
          <w:szCs w:val="24"/>
        </w:rPr>
        <w:t xml:space="preserve"> 101: 1323–1332.</w:t>
      </w:r>
    </w:p>
    <w:p w14:paraId="37289010"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77. Garavan H, Kaufman JN, Hester R (2008): Acute effects of cocaine on the neurobiology of cognitive control. </w:t>
      </w:r>
      <w:r w:rsidRPr="00C30855">
        <w:rPr>
          <w:rFonts w:ascii="Times New Roman" w:hAnsi="Times New Roman" w:cs="Times New Roman"/>
          <w:i/>
          <w:iCs/>
          <w:noProof/>
          <w:szCs w:val="24"/>
        </w:rPr>
        <w:t>Philos Trans R Soc B Biol Sci</w:t>
      </w:r>
      <w:r w:rsidRPr="00C30855">
        <w:rPr>
          <w:rFonts w:ascii="Times New Roman" w:hAnsi="Times New Roman" w:cs="Times New Roman"/>
          <w:noProof/>
          <w:szCs w:val="24"/>
        </w:rPr>
        <w:t xml:space="preserve"> 363: 3267–3276.</w:t>
      </w:r>
    </w:p>
    <w:p w14:paraId="2A2B938D"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78. Li CSR, Huang C, Yan P, Bhagwagar Z, Milivojevic V, Sinha R (2008): Neural correlates of impulse control during stop signal inhibition in cocaine-dependent men. </w:t>
      </w:r>
      <w:r w:rsidRPr="00C30855">
        <w:rPr>
          <w:rFonts w:ascii="Times New Roman" w:hAnsi="Times New Roman" w:cs="Times New Roman"/>
          <w:i/>
          <w:iCs/>
          <w:noProof/>
          <w:szCs w:val="24"/>
        </w:rPr>
        <w:lastRenderedPageBreak/>
        <w:t>Neuropsychopharmacology</w:t>
      </w:r>
      <w:r w:rsidRPr="00C30855">
        <w:rPr>
          <w:rFonts w:ascii="Times New Roman" w:hAnsi="Times New Roman" w:cs="Times New Roman"/>
          <w:noProof/>
          <w:szCs w:val="24"/>
        </w:rPr>
        <w:t xml:space="preserve"> 33: 1798–1806.</w:t>
      </w:r>
    </w:p>
    <w:p w14:paraId="64C8449D"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79. Ide JS, Hu S, Zhang S, Yu AJ, Li CSR (2015): Impaired Bayesian learning for cognitive control in cocaine dependence. </w:t>
      </w:r>
      <w:r w:rsidRPr="00C30855">
        <w:rPr>
          <w:rFonts w:ascii="Times New Roman" w:hAnsi="Times New Roman" w:cs="Times New Roman"/>
          <w:i/>
          <w:iCs/>
          <w:noProof/>
          <w:szCs w:val="24"/>
        </w:rPr>
        <w:t>Drug Alcohol Depend</w:t>
      </w:r>
      <w:r w:rsidRPr="00C30855">
        <w:rPr>
          <w:rFonts w:ascii="Times New Roman" w:hAnsi="Times New Roman" w:cs="Times New Roman"/>
          <w:noProof/>
          <w:szCs w:val="24"/>
        </w:rPr>
        <w:t xml:space="preserve"> 151: 220–227.</w:t>
      </w:r>
    </w:p>
    <w:p w14:paraId="71FD244F"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80. Elton A, Young J, Smitherman S, Gross RE, Mletzko T, Kilts CD (2014): Neural network activation during a stop-signal task discriminates cocaine-dependent from non-drug-abusing men. </w:t>
      </w:r>
      <w:r w:rsidRPr="00C30855">
        <w:rPr>
          <w:rFonts w:ascii="Times New Roman" w:hAnsi="Times New Roman" w:cs="Times New Roman"/>
          <w:i/>
          <w:iCs/>
          <w:noProof/>
          <w:szCs w:val="24"/>
        </w:rPr>
        <w:t>Addict Biol</w:t>
      </w:r>
      <w:r w:rsidRPr="00C30855">
        <w:rPr>
          <w:rFonts w:ascii="Times New Roman" w:hAnsi="Times New Roman" w:cs="Times New Roman"/>
          <w:noProof/>
          <w:szCs w:val="24"/>
        </w:rPr>
        <w:t xml:space="preserve"> 19: 427–438.</w:t>
      </w:r>
    </w:p>
    <w:p w14:paraId="1766CC69"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81. Vonmoos M, Hulka LM, Preller KH, Jenni D, Schulz C, Baumgartner MR, Quednow BB (2013): Differences in self-reported and behavioral measures of impulsivity in recreational and dependent cocaine users. </w:t>
      </w:r>
      <w:r w:rsidRPr="00C30855">
        <w:rPr>
          <w:rFonts w:ascii="Times New Roman" w:hAnsi="Times New Roman" w:cs="Times New Roman"/>
          <w:i/>
          <w:iCs/>
          <w:noProof/>
          <w:szCs w:val="24"/>
        </w:rPr>
        <w:t>Drug Alcohol Depend</w:t>
      </w:r>
      <w:r w:rsidRPr="00C30855">
        <w:rPr>
          <w:rFonts w:ascii="Times New Roman" w:hAnsi="Times New Roman" w:cs="Times New Roman"/>
          <w:noProof/>
          <w:szCs w:val="24"/>
        </w:rPr>
        <w:t xml:space="preserve"> 133: 61–70.</w:t>
      </w:r>
    </w:p>
    <w:p w14:paraId="5DBC8639"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szCs w:val="24"/>
        </w:rPr>
      </w:pPr>
      <w:r w:rsidRPr="00C30855">
        <w:rPr>
          <w:rFonts w:ascii="Times New Roman" w:hAnsi="Times New Roman" w:cs="Times New Roman"/>
          <w:noProof/>
          <w:szCs w:val="24"/>
        </w:rPr>
        <w:t xml:space="preserve">82. Marquand AF, O’Daly OG, De Simoni S, Alsop DC, Maguire RP, Williams SCR,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(2012): Dissociable effects of methylphenidate, atomoxetine and placebo on regional cerebral blood flow in healthy volunteers at rest: A multi-class pattern recognition approach. </w:t>
      </w:r>
      <w:r w:rsidRPr="00C30855">
        <w:rPr>
          <w:rFonts w:ascii="Times New Roman" w:hAnsi="Times New Roman" w:cs="Times New Roman"/>
          <w:i/>
          <w:iCs/>
          <w:noProof/>
          <w:szCs w:val="24"/>
        </w:rPr>
        <w:t>Neuroimage</w:t>
      </w:r>
      <w:r w:rsidRPr="00C30855">
        <w:rPr>
          <w:rFonts w:ascii="Times New Roman" w:hAnsi="Times New Roman" w:cs="Times New Roman"/>
          <w:noProof/>
          <w:szCs w:val="24"/>
        </w:rPr>
        <w:t xml:space="preserve"> 60: 1015–1024.</w:t>
      </w:r>
    </w:p>
    <w:p w14:paraId="24762DBF" w14:textId="77777777" w:rsidR="00C30855" w:rsidRPr="00C30855" w:rsidRDefault="00C30855" w:rsidP="00C30855">
      <w:pPr>
        <w:widowControl w:val="0"/>
        <w:autoSpaceDE w:val="0"/>
        <w:autoSpaceDN w:val="0"/>
        <w:adjustRightInd w:val="0"/>
        <w:spacing w:line="360" w:lineRule="auto"/>
        <w:ind w:left="480" w:hanging="480"/>
        <w:rPr>
          <w:rFonts w:ascii="Times New Roman" w:hAnsi="Times New Roman" w:cs="Times New Roman"/>
          <w:noProof/>
        </w:rPr>
      </w:pPr>
      <w:r w:rsidRPr="00C30855">
        <w:rPr>
          <w:rFonts w:ascii="Times New Roman" w:hAnsi="Times New Roman" w:cs="Times New Roman"/>
          <w:noProof/>
          <w:szCs w:val="24"/>
        </w:rPr>
        <w:t xml:space="preserve">83. Robinson ESJ, Eagle DM, Mar AC, Bari A, Banerjee G, Jiang X, </w:t>
      </w:r>
      <w:r w:rsidRPr="00C30855">
        <w:rPr>
          <w:rFonts w:ascii="Times New Roman" w:hAnsi="Times New Roman" w:cs="Times New Roman"/>
          <w:i/>
          <w:iCs/>
          <w:noProof/>
          <w:szCs w:val="24"/>
        </w:rPr>
        <w:t>et al.</w:t>
      </w:r>
      <w:r w:rsidRPr="00C30855">
        <w:rPr>
          <w:rFonts w:ascii="Times New Roman" w:hAnsi="Times New Roman" w:cs="Times New Roman"/>
          <w:noProof/>
          <w:szCs w:val="24"/>
        </w:rPr>
        <w:t xml:space="preserve"> (2008): Similar effects of the selective noradrenaline reuptake inhibitor atomoxetine on three distinct forms of impulsivity in the rat. </w:t>
      </w:r>
      <w:r w:rsidRPr="00C30855">
        <w:rPr>
          <w:rFonts w:ascii="Times New Roman" w:hAnsi="Times New Roman" w:cs="Times New Roman"/>
          <w:i/>
          <w:iCs/>
          <w:noProof/>
          <w:szCs w:val="24"/>
        </w:rPr>
        <w:t>Neuropsychopharmacology</w:t>
      </w:r>
      <w:r w:rsidRPr="00C30855">
        <w:rPr>
          <w:rFonts w:ascii="Times New Roman" w:hAnsi="Times New Roman" w:cs="Times New Roman"/>
          <w:noProof/>
          <w:szCs w:val="24"/>
        </w:rPr>
        <w:t xml:space="preserve"> 33: 1028–1037.</w:t>
      </w:r>
    </w:p>
    <w:p w14:paraId="4B80851B" w14:textId="27199681" w:rsidR="00F57D22" w:rsidRDefault="00A82349" w:rsidP="00BF7E9E">
      <w:pPr>
        <w:spacing w:line="360" w:lineRule="auto"/>
        <w:rPr>
          <w:rFonts w:asciiTheme="majorBidi" w:hAnsiTheme="majorBidi" w:cstheme="majorBidi"/>
          <w:b/>
          <w:bCs/>
          <w:sz w:val="24"/>
          <w:szCs w:val="24"/>
        </w:rPr>
      </w:pPr>
      <w:r w:rsidRPr="004E1CFF">
        <w:rPr>
          <w:rFonts w:ascii="Times New Roman" w:hAnsi="Times New Roman" w:cs="Times New Roman"/>
          <w:b/>
          <w:bCs/>
        </w:rPr>
        <w:fldChar w:fldCharType="end"/>
      </w:r>
    </w:p>
    <w:p w14:paraId="3BD7DA34" w14:textId="77777777" w:rsidR="000B7DB7" w:rsidRDefault="000B7DB7">
      <w:pPr>
        <w:rPr>
          <w:rFonts w:asciiTheme="majorBidi" w:hAnsiTheme="majorBidi" w:cstheme="majorBidi"/>
          <w:b/>
          <w:bCs/>
          <w:sz w:val="24"/>
          <w:szCs w:val="24"/>
        </w:rPr>
      </w:pPr>
      <w:r>
        <w:rPr>
          <w:rFonts w:asciiTheme="majorBidi" w:hAnsiTheme="majorBidi" w:cstheme="majorBidi"/>
          <w:b/>
          <w:bCs/>
          <w:sz w:val="24"/>
          <w:szCs w:val="24"/>
        </w:rPr>
        <w:br w:type="page"/>
      </w:r>
    </w:p>
    <w:p w14:paraId="2CB0B264" w14:textId="1BAFA19E" w:rsidR="009F62FD" w:rsidRPr="00A320B9" w:rsidRDefault="009F62FD" w:rsidP="000B7DB7">
      <w:pPr>
        <w:pStyle w:val="Heading1"/>
      </w:pPr>
      <w:r w:rsidRPr="001C0B24">
        <w:lastRenderedPageBreak/>
        <w:t xml:space="preserve">Acknowledgments </w:t>
      </w:r>
      <w:r>
        <w:t>and Conflicts of Interest</w:t>
      </w:r>
    </w:p>
    <w:p w14:paraId="11B88172" w14:textId="37AD7FA9" w:rsidR="009F62FD" w:rsidRDefault="005A13E5" w:rsidP="00BF7E9E">
      <w:pPr>
        <w:spacing w:line="360" w:lineRule="auto"/>
        <w:rPr>
          <w:rFonts w:asciiTheme="majorBidi" w:hAnsiTheme="majorBidi" w:cstheme="majorBidi"/>
          <w:sz w:val="24"/>
          <w:szCs w:val="24"/>
        </w:rPr>
      </w:pPr>
      <w:r w:rsidRPr="005A13E5">
        <w:rPr>
          <w:rFonts w:asciiTheme="majorBidi" w:hAnsiTheme="majorBidi" w:cstheme="majorBidi"/>
          <w:sz w:val="24"/>
          <w:szCs w:val="24"/>
        </w:rPr>
        <w:t>This work was funded by a grant of the Medical Research Council (MR/J012084/1 to TWR, KDE, BJS, ETB) and financially supported by the NIHR Cambridge Biomedical Research Centre and conducted within the Behavioural and Clinical Neuroscience Institute (BCNI).</w:t>
      </w:r>
    </w:p>
    <w:p w14:paraId="4761E684" w14:textId="31C10767" w:rsidR="00D0765B" w:rsidRDefault="00D0765B" w:rsidP="00BF7E9E">
      <w:pPr>
        <w:spacing w:line="360" w:lineRule="auto"/>
        <w:rPr>
          <w:rFonts w:asciiTheme="majorBidi" w:hAnsiTheme="majorBidi" w:cstheme="majorBidi"/>
          <w:sz w:val="24"/>
          <w:szCs w:val="24"/>
        </w:rPr>
      </w:pPr>
      <w:r w:rsidRPr="00D0765B">
        <w:rPr>
          <w:rFonts w:asciiTheme="majorBidi" w:hAnsiTheme="majorBidi" w:cstheme="majorBidi"/>
          <w:sz w:val="24"/>
          <w:szCs w:val="24"/>
        </w:rPr>
        <w:t xml:space="preserve">BJS consults for Cambridge Cognition, Greenfield </w:t>
      </w:r>
      <w:proofErr w:type="spellStart"/>
      <w:proofErr w:type="gramStart"/>
      <w:r w:rsidRPr="00D0765B">
        <w:rPr>
          <w:rFonts w:asciiTheme="majorBidi" w:hAnsiTheme="majorBidi" w:cstheme="majorBidi"/>
          <w:sz w:val="24"/>
          <w:szCs w:val="24"/>
        </w:rPr>
        <w:t>BioVentures</w:t>
      </w:r>
      <w:proofErr w:type="spellEnd"/>
      <w:proofErr w:type="gramEnd"/>
      <w:r w:rsidRPr="00D0765B">
        <w:rPr>
          <w:rFonts w:asciiTheme="majorBidi" w:hAnsiTheme="majorBidi" w:cstheme="majorBidi"/>
          <w:sz w:val="24"/>
          <w:szCs w:val="24"/>
        </w:rPr>
        <w:t xml:space="preserve"> and Cassava</w:t>
      </w:r>
      <w:r>
        <w:rPr>
          <w:rFonts w:asciiTheme="majorBidi" w:hAnsiTheme="majorBidi" w:cstheme="majorBidi"/>
          <w:sz w:val="24"/>
          <w:szCs w:val="24"/>
        </w:rPr>
        <w:t xml:space="preserve"> </w:t>
      </w:r>
      <w:r w:rsidRPr="00D0765B">
        <w:rPr>
          <w:rFonts w:asciiTheme="majorBidi" w:hAnsiTheme="majorBidi" w:cstheme="majorBidi"/>
          <w:sz w:val="24"/>
          <w:szCs w:val="24"/>
        </w:rPr>
        <w:t>Sciences.</w:t>
      </w:r>
      <w:r>
        <w:rPr>
          <w:rFonts w:asciiTheme="majorBidi" w:hAnsiTheme="majorBidi" w:cstheme="majorBidi"/>
          <w:sz w:val="24"/>
          <w:szCs w:val="24"/>
        </w:rPr>
        <w:t xml:space="preserve"> </w:t>
      </w:r>
      <w:r w:rsidRPr="00D0765B">
        <w:rPr>
          <w:rFonts w:asciiTheme="majorBidi" w:hAnsiTheme="majorBidi" w:cstheme="majorBidi"/>
          <w:sz w:val="24"/>
          <w:szCs w:val="24"/>
        </w:rPr>
        <w:t xml:space="preserve">BJS received funding from the </w:t>
      </w:r>
      <w:proofErr w:type="spellStart"/>
      <w:r w:rsidRPr="00D0765B">
        <w:rPr>
          <w:rFonts w:asciiTheme="majorBidi" w:hAnsiTheme="majorBidi" w:cstheme="majorBidi"/>
          <w:sz w:val="24"/>
          <w:szCs w:val="24"/>
        </w:rPr>
        <w:t>Wallitt</w:t>
      </w:r>
      <w:proofErr w:type="spellEnd"/>
      <w:r w:rsidRPr="00D0765B">
        <w:rPr>
          <w:rFonts w:asciiTheme="majorBidi" w:hAnsiTheme="majorBidi" w:cstheme="majorBidi"/>
          <w:sz w:val="24"/>
          <w:szCs w:val="24"/>
        </w:rPr>
        <w:t xml:space="preserve"> Foundation and Eton College and her</w:t>
      </w:r>
      <w:r>
        <w:rPr>
          <w:rFonts w:asciiTheme="majorBidi" w:hAnsiTheme="majorBidi" w:cstheme="majorBidi"/>
          <w:sz w:val="24"/>
          <w:szCs w:val="24"/>
        </w:rPr>
        <w:t xml:space="preserve"> </w:t>
      </w:r>
      <w:r w:rsidRPr="00D0765B">
        <w:rPr>
          <w:rFonts w:asciiTheme="majorBidi" w:hAnsiTheme="majorBidi" w:cstheme="majorBidi"/>
          <w:sz w:val="24"/>
          <w:szCs w:val="24"/>
        </w:rPr>
        <w:t>research is conducted within the NIHR Cambridge Biomedical Research Centre</w:t>
      </w:r>
      <w:r>
        <w:rPr>
          <w:rFonts w:asciiTheme="majorBidi" w:hAnsiTheme="majorBidi" w:cstheme="majorBidi"/>
          <w:sz w:val="24"/>
          <w:szCs w:val="24"/>
        </w:rPr>
        <w:t xml:space="preserve"> </w:t>
      </w:r>
      <w:r w:rsidRPr="00D0765B">
        <w:rPr>
          <w:rFonts w:asciiTheme="majorBidi" w:hAnsiTheme="majorBidi" w:cstheme="majorBidi"/>
          <w:sz w:val="24"/>
          <w:szCs w:val="24"/>
        </w:rPr>
        <w:t>(BRC) Mental Health and Neurodegeneration Themes and the NIHR MedTech and</w:t>
      </w:r>
      <w:r>
        <w:rPr>
          <w:rFonts w:asciiTheme="majorBidi" w:hAnsiTheme="majorBidi" w:cstheme="majorBidi"/>
          <w:sz w:val="24"/>
          <w:szCs w:val="24"/>
        </w:rPr>
        <w:t xml:space="preserve"> </w:t>
      </w:r>
      <w:r w:rsidRPr="00D0765B">
        <w:rPr>
          <w:rFonts w:asciiTheme="majorBidi" w:hAnsiTheme="majorBidi" w:cstheme="majorBidi"/>
          <w:sz w:val="24"/>
          <w:szCs w:val="24"/>
        </w:rPr>
        <w:t>in vitro diagnostic Co-operative (MIC), Cambridge.</w:t>
      </w:r>
    </w:p>
    <w:p w14:paraId="5545C8A4" w14:textId="7F7DAD78" w:rsidR="006F2FCB" w:rsidRDefault="006F2FCB" w:rsidP="00BF7E9E">
      <w:pPr>
        <w:spacing w:line="360" w:lineRule="auto"/>
        <w:rPr>
          <w:rFonts w:asciiTheme="majorBidi" w:hAnsiTheme="majorBidi" w:cstheme="majorBidi"/>
          <w:sz w:val="24"/>
          <w:szCs w:val="24"/>
        </w:rPr>
      </w:pPr>
      <w:r>
        <w:rPr>
          <w:rFonts w:asciiTheme="majorBidi" w:hAnsiTheme="majorBidi" w:cstheme="majorBidi"/>
          <w:sz w:val="24"/>
          <w:szCs w:val="24"/>
        </w:rPr>
        <w:t xml:space="preserve">TWR consults for Cambridge Cognition, and recently for Greenfield </w:t>
      </w:r>
      <w:proofErr w:type="spellStart"/>
      <w:r>
        <w:rPr>
          <w:rFonts w:asciiTheme="majorBidi" w:hAnsiTheme="majorBidi" w:cstheme="majorBidi"/>
          <w:sz w:val="24"/>
          <w:szCs w:val="24"/>
        </w:rPr>
        <w:t>Bioventures</w:t>
      </w:r>
      <w:proofErr w:type="spellEnd"/>
      <w:r>
        <w:rPr>
          <w:rFonts w:asciiTheme="majorBidi" w:hAnsiTheme="majorBidi" w:cstheme="majorBidi"/>
          <w:sz w:val="24"/>
          <w:szCs w:val="24"/>
        </w:rPr>
        <w:t xml:space="preserve">, Cassava Sciences, Arcadia, Merck, </w:t>
      </w:r>
      <w:proofErr w:type="gramStart"/>
      <w:r>
        <w:rPr>
          <w:rFonts w:asciiTheme="majorBidi" w:hAnsiTheme="majorBidi" w:cstheme="majorBidi"/>
          <w:sz w:val="24"/>
          <w:szCs w:val="24"/>
        </w:rPr>
        <w:t>Sharpe</w:t>
      </w:r>
      <w:proofErr w:type="gramEnd"/>
      <w:r>
        <w:rPr>
          <w:rFonts w:asciiTheme="majorBidi" w:hAnsiTheme="majorBidi" w:cstheme="majorBidi"/>
          <w:sz w:val="24"/>
          <w:szCs w:val="24"/>
        </w:rPr>
        <w:t xml:space="preserve"> and Dohme, and Lundbeck. He currently receives research grants from Shionogi and GlaxoSmithKline. </w:t>
      </w:r>
    </w:p>
    <w:p w14:paraId="2F068B90" w14:textId="772D6FEC" w:rsidR="00655492" w:rsidRPr="00841775" w:rsidRDefault="009F62FD" w:rsidP="00564795">
      <w:pPr>
        <w:spacing w:line="360" w:lineRule="auto"/>
        <w:rPr>
          <w:rFonts w:asciiTheme="majorBidi" w:hAnsiTheme="majorBidi" w:cstheme="majorBidi"/>
          <w:sz w:val="24"/>
          <w:szCs w:val="24"/>
        </w:rPr>
      </w:pPr>
      <w:r w:rsidRPr="00F60648">
        <w:rPr>
          <w:rFonts w:asciiTheme="majorBidi" w:hAnsiTheme="majorBidi" w:cstheme="majorBidi"/>
          <w:sz w:val="24"/>
          <w:szCs w:val="24"/>
        </w:rPr>
        <w:t xml:space="preserve">CM </w:t>
      </w:r>
      <w:r w:rsidR="00271363">
        <w:rPr>
          <w:rFonts w:asciiTheme="majorBidi" w:hAnsiTheme="majorBidi" w:cstheme="majorBidi"/>
          <w:sz w:val="24"/>
          <w:szCs w:val="24"/>
        </w:rPr>
        <w:t>was</w:t>
      </w:r>
      <w:r w:rsidR="00271363" w:rsidRPr="00F60648">
        <w:rPr>
          <w:rFonts w:asciiTheme="majorBidi" w:hAnsiTheme="majorBidi" w:cstheme="majorBidi"/>
          <w:sz w:val="24"/>
          <w:szCs w:val="24"/>
        </w:rPr>
        <w:t xml:space="preserve"> </w:t>
      </w:r>
      <w:r w:rsidRPr="00F60648">
        <w:rPr>
          <w:rFonts w:asciiTheme="majorBidi" w:hAnsiTheme="majorBidi" w:cstheme="majorBidi"/>
          <w:sz w:val="24"/>
          <w:szCs w:val="24"/>
        </w:rPr>
        <w:t xml:space="preserve">supported by </w:t>
      </w:r>
      <w:r w:rsidR="00250D71">
        <w:rPr>
          <w:rFonts w:asciiTheme="majorBidi" w:hAnsiTheme="majorBidi" w:cstheme="majorBidi"/>
          <w:sz w:val="24"/>
          <w:szCs w:val="24"/>
        </w:rPr>
        <w:t xml:space="preserve">a </w:t>
      </w:r>
      <w:proofErr w:type="spellStart"/>
      <w:r w:rsidRPr="00F60648">
        <w:rPr>
          <w:rFonts w:asciiTheme="majorBidi" w:hAnsiTheme="majorBidi" w:cstheme="majorBidi"/>
          <w:sz w:val="24"/>
          <w:szCs w:val="24"/>
        </w:rPr>
        <w:t>Wellcome</w:t>
      </w:r>
      <w:proofErr w:type="spellEnd"/>
      <w:r w:rsidRPr="00F60648">
        <w:rPr>
          <w:rFonts w:asciiTheme="majorBidi" w:hAnsiTheme="majorBidi" w:cstheme="majorBidi"/>
          <w:sz w:val="24"/>
          <w:szCs w:val="24"/>
        </w:rPr>
        <w:t xml:space="preserve"> Trust </w:t>
      </w:r>
      <w:r w:rsidR="00250D71">
        <w:rPr>
          <w:rFonts w:asciiTheme="majorBidi" w:hAnsiTheme="majorBidi" w:cstheme="majorBidi"/>
          <w:sz w:val="24"/>
          <w:szCs w:val="24"/>
        </w:rPr>
        <w:t xml:space="preserve">grant to KDE </w:t>
      </w:r>
      <w:r w:rsidRPr="00F60648">
        <w:rPr>
          <w:rFonts w:asciiTheme="majorBidi" w:hAnsiTheme="majorBidi" w:cstheme="majorBidi"/>
          <w:sz w:val="24"/>
          <w:szCs w:val="24"/>
        </w:rPr>
        <w:t>(105602/Z/14/Z) and the NIHR Cambridge Biomedical Research Centre.</w:t>
      </w:r>
      <w:r>
        <w:rPr>
          <w:rFonts w:asciiTheme="majorBidi" w:hAnsiTheme="majorBidi" w:cstheme="majorBidi"/>
          <w:sz w:val="24"/>
          <w:szCs w:val="24"/>
        </w:rPr>
        <w:t xml:space="preserve"> PZ was supported by the Pinsent Darwin studentship from the Department of Physiology, Development and Neuroscience, University of Cambridge. The remaining authors declare no conflict of interests.</w:t>
      </w:r>
      <w:r w:rsidR="00271363" w:rsidRPr="00271363">
        <w:rPr>
          <w:rFonts w:ascii="Times New Roman" w:eastAsia="Times New Roman" w:hAnsi="Times New Roman" w:cs="Times New Roman"/>
          <w:sz w:val="24"/>
          <w:szCs w:val="24"/>
          <w:lang w:val="en-US"/>
        </w:rPr>
        <w:t xml:space="preserve"> KDE was supported by an Alexander von Humboldt Fellowship for senior researchers (GBR 1202805 HFST-E),</w:t>
      </w:r>
      <w:r w:rsidR="00A2166F">
        <w:rPr>
          <w:rFonts w:ascii="Times New Roman" w:eastAsia="Times New Roman" w:hAnsi="Times New Roman" w:cs="Times New Roman"/>
          <w:sz w:val="24"/>
          <w:szCs w:val="24"/>
          <w:lang w:val="en-US"/>
        </w:rPr>
        <w:t xml:space="preserve"> </w:t>
      </w:r>
      <w:r w:rsidR="00564795" w:rsidRPr="00564795">
        <w:rPr>
          <w:rFonts w:asciiTheme="majorBidi" w:hAnsiTheme="majorBidi" w:cstheme="majorBidi"/>
          <w:sz w:val="24"/>
          <w:szCs w:val="24"/>
        </w:rPr>
        <w:t>JWD currently receives research grants with Boehringer Ingelheim and</w:t>
      </w:r>
      <w:r w:rsidR="000D5F1E">
        <w:rPr>
          <w:rFonts w:asciiTheme="majorBidi" w:hAnsiTheme="majorBidi" w:cstheme="majorBidi"/>
          <w:sz w:val="24"/>
          <w:szCs w:val="24"/>
        </w:rPr>
        <w:t xml:space="preserve"> </w:t>
      </w:r>
      <w:r w:rsidR="00564795" w:rsidRPr="00564795">
        <w:rPr>
          <w:rFonts w:asciiTheme="majorBidi" w:hAnsiTheme="majorBidi" w:cstheme="majorBidi"/>
          <w:sz w:val="24"/>
          <w:szCs w:val="24"/>
        </w:rPr>
        <w:t>GlaxoSmithKline</w:t>
      </w:r>
      <w:r w:rsidR="006A37A5">
        <w:rPr>
          <w:rFonts w:asciiTheme="majorBidi" w:hAnsiTheme="majorBidi" w:cstheme="majorBidi"/>
          <w:sz w:val="24"/>
          <w:szCs w:val="24"/>
        </w:rPr>
        <w:t>.</w:t>
      </w:r>
    </w:p>
    <w:p w14:paraId="66A7A90E" w14:textId="4642E6C9" w:rsidR="00255DB6" w:rsidRPr="00386149" w:rsidRDefault="009F62FD" w:rsidP="00BF7E9E">
      <w:pPr>
        <w:spacing w:line="360" w:lineRule="auto"/>
        <w:rPr>
          <w:rFonts w:ascii="Times New Roman" w:hAnsi="Times New Roman" w:cs="Times New Roman"/>
          <w:bCs/>
        </w:rPr>
      </w:pPr>
      <w:r>
        <w:rPr>
          <w:rFonts w:asciiTheme="majorBidi" w:hAnsiTheme="majorBidi" w:cstheme="majorBidi"/>
          <w:sz w:val="24"/>
          <w:szCs w:val="24"/>
        </w:rPr>
        <w:t>We thank all the participants for their contributions to this study, the clinical study officers of the Mental Health Research Network for their help with participant referrals, staff at the NIHR Cambridge Clinical Research Facility and the Wolfson Brain Imaging Centre for their dedicated support throughout this study.</w:t>
      </w:r>
      <w:r w:rsidR="00386149">
        <w:rPr>
          <w:rFonts w:asciiTheme="majorBidi" w:hAnsiTheme="majorBidi" w:cstheme="majorBidi"/>
          <w:sz w:val="24"/>
          <w:szCs w:val="24"/>
        </w:rPr>
        <w:t xml:space="preserve"> We also thank </w:t>
      </w:r>
      <w:r w:rsidR="00386149" w:rsidRPr="00386149">
        <w:rPr>
          <w:rFonts w:ascii="Times New Roman" w:hAnsi="Times New Roman" w:cs="Times New Roman"/>
          <w:sz w:val="24"/>
          <w:szCs w:val="24"/>
        </w:rPr>
        <w:t xml:space="preserve">Jean </w:t>
      </w:r>
      <w:proofErr w:type="spellStart"/>
      <w:r w:rsidR="00386149" w:rsidRPr="00386149">
        <w:rPr>
          <w:rFonts w:ascii="Times New Roman" w:hAnsi="Times New Roman" w:cs="Times New Roman"/>
          <w:sz w:val="24"/>
          <w:szCs w:val="24"/>
        </w:rPr>
        <w:t>Alrt</w:t>
      </w:r>
      <w:proofErr w:type="spellEnd"/>
      <w:r w:rsidR="00386149" w:rsidRPr="00386149">
        <w:rPr>
          <w:rFonts w:ascii="Times New Roman" w:hAnsi="Times New Roman" w:cs="Times New Roman"/>
          <w:sz w:val="24"/>
          <w:szCs w:val="24"/>
        </w:rPr>
        <w:t xml:space="preserve"> for support with the study set up, </w:t>
      </w:r>
      <w:r w:rsidR="00AB51F4">
        <w:rPr>
          <w:rFonts w:ascii="Times New Roman" w:hAnsi="Times New Roman" w:cs="Times New Roman"/>
          <w:sz w:val="24"/>
          <w:szCs w:val="24"/>
        </w:rPr>
        <w:t xml:space="preserve">Sanja Abbott for the programming of the paradigm, </w:t>
      </w:r>
      <w:r w:rsidR="00386149" w:rsidRPr="00386149">
        <w:rPr>
          <w:rFonts w:ascii="Times New Roman" w:hAnsi="Times New Roman" w:cs="Times New Roman"/>
          <w:sz w:val="24"/>
          <w:szCs w:val="24"/>
        </w:rPr>
        <w:t xml:space="preserve">Claire </w:t>
      </w:r>
      <w:proofErr w:type="spellStart"/>
      <w:r w:rsidR="00386149" w:rsidRPr="00386149">
        <w:rPr>
          <w:rFonts w:ascii="Times New Roman" w:hAnsi="Times New Roman" w:cs="Times New Roman"/>
          <w:sz w:val="24"/>
          <w:szCs w:val="24"/>
        </w:rPr>
        <w:t>Whitelock</w:t>
      </w:r>
      <w:proofErr w:type="spellEnd"/>
      <w:r w:rsidR="00386149" w:rsidRPr="00386149">
        <w:rPr>
          <w:rFonts w:ascii="Times New Roman" w:hAnsi="Times New Roman" w:cs="Times New Roman"/>
          <w:sz w:val="24"/>
          <w:szCs w:val="24"/>
        </w:rPr>
        <w:t xml:space="preserve">, Ilse </w:t>
      </w:r>
      <w:proofErr w:type="gramStart"/>
      <w:r w:rsidR="00386149" w:rsidRPr="00386149">
        <w:rPr>
          <w:rFonts w:ascii="Times New Roman" w:hAnsi="Times New Roman" w:cs="Times New Roman"/>
          <w:sz w:val="24"/>
          <w:szCs w:val="24"/>
        </w:rPr>
        <w:t>Lee</w:t>
      </w:r>
      <w:proofErr w:type="gramEnd"/>
      <w:r w:rsidR="00386149" w:rsidRPr="00386149">
        <w:rPr>
          <w:rFonts w:ascii="Times New Roman" w:hAnsi="Times New Roman" w:cs="Times New Roman"/>
          <w:sz w:val="24"/>
          <w:szCs w:val="24"/>
        </w:rPr>
        <w:t xml:space="preserve"> and Miriam Pollard for assistance with data collection.</w:t>
      </w:r>
    </w:p>
    <w:p w14:paraId="4C3BF303" w14:textId="77777777" w:rsidR="00E8311C" w:rsidRDefault="00E8311C">
      <w:pPr>
        <w:rPr>
          <w:rFonts w:ascii="Times New Roman" w:hAnsi="Times New Roman" w:cs="Times New Roman"/>
        </w:rPr>
      </w:pPr>
      <w:r>
        <w:rPr>
          <w:rFonts w:ascii="Times New Roman" w:hAnsi="Times New Roman" w:cs="Times New Roman"/>
        </w:rPr>
        <w:br w:type="page"/>
      </w:r>
    </w:p>
    <w:p w14:paraId="42597252" w14:textId="308DD548" w:rsidR="00E8311C" w:rsidRPr="00E8311C" w:rsidRDefault="00E8311C" w:rsidP="000B7DB7">
      <w:pPr>
        <w:pStyle w:val="Heading1"/>
      </w:pPr>
      <w:r w:rsidRPr="00E8311C">
        <w:lastRenderedPageBreak/>
        <w:t>Authors’ contributions:</w:t>
      </w:r>
    </w:p>
    <w:p w14:paraId="7C838ED3" w14:textId="77777777" w:rsidR="00E8311C" w:rsidRPr="00E8311C" w:rsidRDefault="00E8311C" w:rsidP="00E8311C">
      <w:pPr>
        <w:spacing w:line="360" w:lineRule="auto"/>
        <w:rPr>
          <w:rFonts w:ascii="Times New Roman" w:hAnsi="Times New Roman" w:cs="Times New Roman"/>
          <w:sz w:val="24"/>
          <w:szCs w:val="24"/>
        </w:rPr>
      </w:pPr>
      <w:r w:rsidRPr="00E8311C">
        <w:rPr>
          <w:rFonts w:ascii="Times New Roman" w:hAnsi="Times New Roman" w:cs="Times New Roman"/>
          <w:sz w:val="24"/>
          <w:szCs w:val="24"/>
        </w:rPr>
        <w:t>Conception, design: KDE, TWR</w:t>
      </w:r>
    </w:p>
    <w:p w14:paraId="5E0B2917" w14:textId="77777777" w:rsidR="00E8311C" w:rsidRPr="00E8311C" w:rsidRDefault="00E8311C" w:rsidP="00E8311C">
      <w:pPr>
        <w:spacing w:line="360" w:lineRule="auto"/>
        <w:rPr>
          <w:rFonts w:ascii="Times New Roman" w:hAnsi="Times New Roman" w:cs="Times New Roman"/>
          <w:sz w:val="24"/>
          <w:szCs w:val="24"/>
        </w:rPr>
      </w:pPr>
      <w:r w:rsidRPr="00E8311C">
        <w:rPr>
          <w:rFonts w:ascii="Times New Roman" w:hAnsi="Times New Roman" w:cs="Times New Roman"/>
          <w:sz w:val="24"/>
          <w:szCs w:val="24"/>
        </w:rPr>
        <w:t>Funding: TWR, KDE, BJS, ETB</w:t>
      </w:r>
    </w:p>
    <w:p w14:paraId="6D343BAF" w14:textId="77777777" w:rsidR="00E8311C" w:rsidRPr="00E8311C" w:rsidRDefault="00E8311C" w:rsidP="00E8311C">
      <w:pPr>
        <w:spacing w:line="360" w:lineRule="auto"/>
        <w:rPr>
          <w:rFonts w:ascii="Times New Roman" w:hAnsi="Times New Roman" w:cs="Times New Roman"/>
          <w:sz w:val="24"/>
          <w:szCs w:val="24"/>
        </w:rPr>
      </w:pPr>
      <w:r w:rsidRPr="00E8311C">
        <w:rPr>
          <w:rFonts w:ascii="Times New Roman" w:hAnsi="Times New Roman" w:cs="Times New Roman"/>
          <w:sz w:val="24"/>
          <w:szCs w:val="24"/>
        </w:rPr>
        <w:t>Data acquisition: KDE</w:t>
      </w:r>
    </w:p>
    <w:p w14:paraId="07E28ABC" w14:textId="77777777" w:rsidR="00E8311C" w:rsidRPr="00E8311C" w:rsidRDefault="00E8311C" w:rsidP="00E8311C">
      <w:pPr>
        <w:spacing w:line="360" w:lineRule="auto"/>
        <w:rPr>
          <w:rFonts w:ascii="Times New Roman" w:hAnsi="Times New Roman" w:cs="Times New Roman"/>
          <w:sz w:val="24"/>
          <w:szCs w:val="24"/>
        </w:rPr>
      </w:pPr>
      <w:r w:rsidRPr="00E8311C">
        <w:rPr>
          <w:rFonts w:ascii="Times New Roman" w:hAnsi="Times New Roman" w:cs="Times New Roman"/>
          <w:sz w:val="24"/>
          <w:szCs w:val="24"/>
        </w:rPr>
        <w:t>Medial cover and patient care: HZ, EFE</w:t>
      </w:r>
    </w:p>
    <w:p w14:paraId="18F0FFFA" w14:textId="77777777" w:rsidR="00E8311C" w:rsidRPr="00E8311C" w:rsidRDefault="00E8311C" w:rsidP="00E8311C">
      <w:pPr>
        <w:spacing w:line="360" w:lineRule="auto"/>
        <w:rPr>
          <w:rFonts w:ascii="Times New Roman" w:hAnsi="Times New Roman" w:cs="Times New Roman"/>
          <w:sz w:val="24"/>
          <w:szCs w:val="24"/>
        </w:rPr>
      </w:pPr>
      <w:r w:rsidRPr="00E8311C">
        <w:rPr>
          <w:rFonts w:ascii="Times New Roman" w:hAnsi="Times New Roman" w:cs="Times New Roman"/>
          <w:sz w:val="24"/>
          <w:szCs w:val="24"/>
        </w:rPr>
        <w:t>Pharmacokinetics: RR</w:t>
      </w:r>
    </w:p>
    <w:p w14:paraId="7098DDB4" w14:textId="77777777" w:rsidR="00E8311C" w:rsidRPr="00E8311C" w:rsidRDefault="00E8311C" w:rsidP="00E8311C">
      <w:pPr>
        <w:spacing w:line="360" w:lineRule="auto"/>
        <w:rPr>
          <w:rFonts w:ascii="Times New Roman" w:hAnsi="Times New Roman" w:cs="Times New Roman"/>
          <w:sz w:val="24"/>
          <w:szCs w:val="24"/>
        </w:rPr>
      </w:pPr>
      <w:r w:rsidRPr="00E8311C">
        <w:rPr>
          <w:rFonts w:ascii="Times New Roman" w:hAnsi="Times New Roman" w:cs="Times New Roman"/>
          <w:sz w:val="24"/>
          <w:szCs w:val="24"/>
        </w:rPr>
        <w:t>Data analysis: PZ, SMZ</w:t>
      </w:r>
    </w:p>
    <w:p w14:paraId="337E31F6" w14:textId="77777777" w:rsidR="00E8311C" w:rsidRPr="00E8311C" w:rsidRDefault="00E8311C" w:rsidP="00E8311C">
      <w:pPr>
        <w:spacing w:line="360" w:lineRule="auto"/>
        <w:rPr>
          <w:rFonts w:ascii="Times New Roman" w:hAnsi="Times New Roman" w:cs="Times New Roman"/>
          <w:sz w:val="24"/>
          <w:szCs w:val="24"/>
        </w:rPr>
      </w:pPr>
      <w:r w:rsidRPr="00E8311C">
        <w:rPr>
          <w:rFonts w:ascii="Times New Roman" w:hAnsi="Times New Roman" w:cs="Times New Roman"/>
          <w:sz w:val="24"/>
          <w:szCs w:val="24"/>
        </w:rPr>
        <w:t>Interpretation of the data: all authors</w:t>
      </w:r>
    </w:p>
    <w:p w14:paraId="0B4F6FAE" w14:textId="77777777" w:rsidR="00E8311C" w:rsidRPr="00E8311C" w:rsidRDefault="00E8311C" w:rsidP="00E8311C">
      <w:pPr>
        <w:spacing w:line="360" w:lineRule="auto"/>
        <w:rPr>
          <w:rFonts w:ascii="Times New Roman" w:hAnsi="Times New Roman" w:cs="Times New Roman"/>
          <w:sz w:val="24"/>
          <w:szCs w:val="24"/>
        </w:rPr>
      </w:pPr>
      <w:r w:rsidRPr="00E8311C">
        <w:rPr>
          <w:rFonts w:ascii="Times New Roman" w:hAnsi="Times New Roman" w:cs="Times New Roman"/>
          <w:sz w:val="24"/>
          <w:szCs w:val="24"/>
        </w:rPr>
        <w:t>Drafting of the article: PZ, SMZ</w:t>
      </w:r>
    </w:p>
    <w:p w14:paraId="017C1A5D" w14:textId="77777777" w:rsidR="00E8311C" w:rsidRPr="00E8311C" w:rsidRDefault="00E8311C" w:rsidP="00E8311C">
      <w:pPr>
        <w:spacing w:line="360" w:lineRule="auto"/>
        <w:rPr>
          <w:rFonts w:ascii="Times New Roman" w:hAnsi="Times New Roman" w:cs="Times New Roman"/>
          <w:sz w:val="24"/>
          <w:szCs w:val="24"/>
        </w:rPr>
      </w:pPr>
      <w:r w:rsidRPr="00E8311C">
        <w:rPr>
          <w:rFonts w:ascii="Times New Roman" w:hAnsi="Times New Roman" w:cs="Times New Roman"/>
          <w:sz w:val="24"/>
          <w:szCs w:val="24"/>
        </w:rPr>
        <w:t>Critical revision for important intellectual content: all authors</w:t>
      </w:r>
    </w:p>
    <w:p w14:paraId="110C2573" w14:textId="77777777" w:rsidR="00E8311C" w:rsidRPr="00E8311C" w:rsidRDefault="00E8311C" w:rsidP="00E8311C">
      <w:pPr>
        <w:spacing w:line="360" w:lineRule="auto"/>
        <w:rPr>
          <w:rFonts w:ascii="Times New Roman" w:hAnsi="Times New Roman" w:cs="Times New Roman"/>
          <w:sz w:val="24"/>
          <w:szCs w:val="24"/>
        </w:rPr>
      </w:pPr>
      <w:r w:rsidRPr="00E8311C">
        <w:rPr>
          <w:rFonts w:ascii="Times New Roman" w:hAnsi="Times New Roman" w:cs="Times New Roman"/>
          <w:sz w:val="24"/>
          <w:szCs w:val="24"/>
        </w:rPr>
        <w:t>Final approval of the version to be submitted: all authors</w:t>
      </w:r>
    </w:p>
    <w:p w14:paraId="1A91650D" w14:textId="53ED1352" w:rsidR="00C86114" w:rsidRDefault="00E8311C" w:rsidP="00E8311C">
      <w:pPr>
        <w:spacing w:line="360" w:lineRule="auto"/>
        <w:rPr>
          <w:rFonts w:ascii="Times New Roman" w:hAnsi="Times New Roman" w:cs="Times New Roman"/>
        </w:rPr>
      </w:pPr>
      <w:r w:rsidRPr="00E8311C">
        <w:rPr>
          <w:rFonts w:ascii="Times New Roman" w:hAnsi="Times New Roman" w:cs="Times New Roman"/>
          <w:sz w:val="24"/>
          <w:szCs w:val="24"/>
        </w:rPr>
        <w:t>Agreement to be accountable for all aspects of the work in ensuring that</w:t>
      </w:r>
      <w:r>
        <w:rPr>
          <w:rFonts w:ascii="Times New Roman" w:hAnsi="Times New Roman" w:cs="Times New Roman"/>
          <w:sz w:val="24"/>
          <w:szCs w:val="24"/>
        </w:rPr>
        <w:t xml:space="preserve"> </w:t>
      </w:r>
      <w:r w:rsidRPr="00E8311C">
        <w:rPr>
          <w:rFonts w:ascii="Times New Roman" w:hAnsi="Times New Roman" w:cs="Times New Roman"/>
          <w:sz w:val="24"/>
          <w:szCs w:val="24"/>
        </w:rPr>
        <w:t>questions related to the accuracy or integrity of any part of the work are</w:t>
      </w:r>
      <w:r>
        <w:rPr>
          <w:rFonts w:ascii="Times New Roman" w:hAnsi="Times New Roman" w:cs="Times New Roman"/>
          <w:sz w:val="24"/>
          <w:szCs w:val="24"/>
        </w:rPr>
        <w:t xml:space="preserve"> </w:t>
      </w:r>
      <w:r w:rsidRPr="00E8311C">
        <w:rPr>
          <w:rFonts w:ascii="Times New Roman" w:hAnsi="Times New Roman" w:cs="Times New Roman"/>
          <w:sz w:val="24"/>
          <w:szCs w:val="24"/>
        </w:rPr>
        <w:t>appropriately investigated and resolved: PZ, SMZ, JWD, KDE</w:t>
      </w:r>
      <w:r w:rsidR="00C86114">
        <w:rPr>
          <w:rFonts w:ascii="Times New Roman" w:hAnsi="Times New Roman" w:cs="Times New Roman"/>
        </w:rPr>
        <w:br w:type="page"/>
      </w:r>
    </w:p>
    <w:p w14:paraId="17DA9C83" w14:textId="77777777" w:rsidR="000B7DB7" w:rsidRDefault="000B7DB7" w:rsidP="000B7DB7">
      <w:pPr>
        <w:pStyle w:val="Heading1"/>
      </w:pPr>
      <w:r>
        <w:lastRenderedPageBreak/>
        <w:t>Tables and Figures</w:t>
      </w:r>
    </w:p>
    <w:p w14:paraId="5A6EABA0" w14:textId="578EAEF4" w:rsidR="00644982" w:rsidRDefault="00F05148" w:rsidP="00BF7E9E">
      <w:pPr>
        <w:spacing w:line="360" w:lineRule="auto"/>
        <w:rPr>
          <w:rFonts w:ascii="Times New Roman" w:hAnsi="Times New Roman" w:cs="Times New Roman"/>
        </w:rPr>
      </w:pPr>
      <w:r>
        <w:rPr>
          <w:rFonts w:ascii="Times New Roman" w:hAnsi="Times New Roman" w:cs="Times New Roman"/>
        </w:rPr>
        <w:t>Table 1. Demographic and psychological assessment data for final Control and CUD groups. Data shown are means (standard deviation)</w:t>
      </w:r>
      <w:r w:rsidR="004F0121">
        <w:rPr>
          <w:rFonts w:ascii="Times New Roman" w:hAnsi="Times New Roman" w:cs="Times New Roman"/>
        </w:rPr>
        <w:t>.</w:t>
      </w:r>
    </w:p>
    <w:tbl>
      <w:tblPr>
        <w:tblW w:w="7440" w:type="dxa"/>
        <w:tblLook w:val="04A0" w:firstRow="1" w:lastRow="0" w:firstColumn="1" w:lastColumn="0" w:noHBand="0" w:noVBand="1"/>
      </w:tblPr>
      <w:tblGrid>
        <w:gridCol w:w="2940"/>
        <w:gridCol w:w="1440"/>
        <w:gridCol w:w="1420"/>
        <w:gridCol w:w="1640"/>
      </w:tblGrid>
      <w:tr w:rsidR="004F0121" w:rsidRPr="003B6CC0" w14:paraId="0FEB00C2" w14:textId="77777777" w:rsidTr="004F0121">
        <w:trPr>
          <w:trHeight w:val="396"/>
        </w:trPr>
        <w:tc>
          <w:tcPr>
            <w:tcW w:w="2940" w:type="dxa"/>
            <w:tcBorders>
              <w:top w:val="single" w:sz="8" w:space="0" w:color="auto"/>
              <w:left w:val="nil"/>
              <w:bottom w:val="single" w:sz="4" w:space="0" w:color="auto"/>
              <w:right w:val="nil"/>
            </w:tcBorders>
            <w:noWrap/>
            <w:vAlign w:val="bottom"/>
            <w:hideMark/>
          </w:tcPr>
          <w:p w14:paraId="62BB1222" w14:textId="77777777" w:rsidR="004F0121" w:rsidRPr="003B6CC0" w:rsidRDefault="004F0121" w:rsidP="00BF7E9E">
            <w:pPr>
              <w:spacing w:after="0" w:line="360" w:lineRule="auto"/>
              <w:rPr>
                <w:rFonts w:ascii="Times New Roman" w:eastAsia="Times New Roman" w:hAnsi="Times New Roman" w:cs="Times New Roman"/>
                <w:b/>
                <w:color w:val="000000"/>
                <w:lang w:eastAsia="en-GB"/>
              </w:rPr>
            </w:pPr>
            <w:r w:rsidRPr="003B6CC0">
              <w:rPr>
                <w:rFonts w:ascii="Times New Roman" w:eastAsia="Times New Roman" w:hAnsi="Times New Roman" w:cs="Times New Roman"/>
                <w:b/>
                <w:color w:val="000000"/>
                <w:lang w:eastAsia="en-GB"/>
              </w:rPr>
              <w:t> </w:t>
            </w:r>
          </w:p>
        </w:tc>
        <w:tc>
          <w:tcPr>
            <w:tcW w:w="1440" w:type="dxa"/>
            <w:tcBorders>
              <w:top w:val="single" w:sz="8" w:space="0" w:color="auto"/>
              <w:left w:val="nil"/>
              <w:bottom w:val="single" w:sz="4" w:space="0" w:color="auto"/>
              <w:right w:val="nil"/>
            </w:tcBorders>
            <w:noWrap/>
            <w:vAlign w:val="bottom"/>
            <w:hideMark/>
          </w:tcPr>
          <w:p w14:paraId="3DB3899A" w14:textId="77777777" w:rsidR="004F0121" w:rsidRPr="003B6CC0" w:rsidRDefault="004F0121" w:rsidP="00BF7E9E">
            <w:pPr>
              <w:spacing w:after="0" w:line="360" w:lineRule="auto"/>
              <w:jc w:val="center"/>
              <w:rPr>
                <w:rFonts w:ascii="Times New Roman" w:eastAsia="Times New Roman" w:hAnsi="Times New Roman" w:cs="Times New Roman"/>
                <w:b/>
                <w:color w:val="000000"/>
                <w:lang w:eastAsia="en-GB"/>
              </w:rPr>
            </w:pPr>
            <w:r w:rsidRPr="003B6CC0">
              <w:rPr>
                <w:rFonts w:ascii="Times New Roman" w:eastAsia="Times New Roman" w:hAnsi="Times New Roman" w:cs="Times New Roman"/>
                <w:b/>
                <w:color w:val="000000"/>
                <w:lang w:eastAsia="en-GB"/>
              </w:rPr>
              <w:t>Control</w:t>
            </w:r>
          </w:p>
        </w:tc>
        <w:tc>
          <w:tcPr>
            <w:tcW w:w="1420" w:type="dxa"/>
            <w:tcBorders>
              <w:top w:val="single" w:sz="8" w:space="0" w:color="auto"/>
              <w:left w:val="nil"/>
              <w:bottom w:val="single" w:sz="4" w:space="0" w:color="auto"/>
              <w:right w:val="nil"/>
            </w:tcBorders>
            <w:noWrap/>
            <w:vAlign w:val="bottom"/>
            <w:hideMark/>
          </w:tcPr>
          <w:p w14:paraId="2BB2BE53" w14:textId="77777777" w:rsidR="004F0121" w:rsidRPr="003B6CC0" w:rsidRDefault="004F0121" w:rsidP="00BF7E9E">
            <w:pPr>
              <w:spacing w:after="0" w:line="360" w:lineRule="auto"/>
              <w:jc w:val="center"/>
              <w:rPr>
                <w:rFonts w:ascii="Times New Roman" w:eastAsia="Times New Roman" w:hAnsi="Times New Roman" w:cs="Times New Roman"/>
                <w:b/>
                <w:color w:val="000000"/>
                <w:lang w:eastAsia="en-GB"/>
              </w:rPr>
            </w:pPr>
            <w:r w:rsidRPr="003B6CC0">
              <w:rPr>
                <w:rFonts w:ascii="Times New Roman" w:eastAsia="Times New Roman" w:hAnsi="Times New Roman" w:cs="Times New Roman"/>
                <w:b/>
                <w:color w:val="000000"/>
                <w:lang w:eastAsia="en-GB"/>
              </w:rPr>
              <w:t>CUD</w:t>
            </w:r>
          </w:p>
        </w:tc>
        <w:tc>
          <w:tcPr>
            <w:tcW w:w="1640" w:type="dxa"/>
            <w:tcBorders>
              <w:top w:val="single" w:sz="8" w:space="0" w:color="auto"/>
              <w:left w:val="nil"/>
              <w:bottom w:val="single" w:sz="4" w:space="0" w:color="auto"/>
              <w:right w:val="nil"/>
            </w:tcBorders>
            <w:noWrap/>
            <w:vAlign w:val="bottom"/>
            <w:hideMark/>
          </w:tcPr>
          <w:p w14:paraId="033C46C7" w14:textId="7CF62AEF" w:rsidR="004F0121" w:rsidRPr="003B6CC0" w:rsidRDefault="004F0121" w:rsidP="00BF7E9E">
            <w:pPr>
              <w:spacing w:after="0" w:line="360" w:lineRule="auto"/>
              <w:jc w:val="center"/>
              <w:rPr>
                <w:rFonts w:ascii="Times New Roman" w:eastAsia="Times New Roman" w:hAnsi="Times New Roman" w:cs="Times New Roman"/>
                <w:b/>
                <w:color w:val="000000"/>
                <w:lang w:eastAsia="en-GB"/>
              </w:rPr>
            </w:pPr>
            <w:r w:rsidRPr="003B6CC0">
              <w:rPr>
                <w:rFonts w:ascii="Times New Roman" w:eastAsia="Times New Roman" w:hAnsi="Times New Roman" w:cs="Times New Roman"/>
                <w:b/>
                <w:color w:val="000000"/>
                <w:lang w:eastAsia="en-GB"/>
              </w:rPr>
              <w:t xml:space="preserve">Group </w:t>
            </w:r>
            <w:r w:rsidR="00044A03" w:rsidRPr="003B6CC0">
              <w:rPr>
                <w:rFonts w:ascii="Times New Roman" w:eastAsia="Times New Roman" w:hAnsi="Times New Roman" w:cs="Times New Roman"/>
                <w:b/>
                <w:color w:val="000000"/>
                <w:lang w:eastAsia="en-GB"/>
              </w:rPr>
              <w:t>statistic (</w:t>
            </w:r>
            <w:r w:rsidR="00AF6257" w:rsidRPr="003B6CC0">
              <w:rPr>
                <w:rFonts w:ascii="Times New Roman" w:eastAsia="Times New Roman" w:hAnsi="Times New Roman" w:cs="Times New Roman"/>
                <w:b/>
                <w:color w:val="000000"/>
                <w:lang w:eastAsia="en-GB"/>
              </w:rPr>
              <w:t>T</w:t>
            </w:r>
            <w:r w:rsidR="00044A03" w:rsidRPr="003B6CC0">
              <w:rPr>
                <w:rFonts w:ascii="Times New Roman" w:eastAsia="Times New Roman" w:hAnsi="Times New Roman" w:cs="Times New Roman"/>
                <w:b/>
                <w:color w:val="000000"/>
                <w:lang w:eastAsia="en-GB"/>
              </w:rPr>
              <w:t>-</w:t>
            </w:r>
            <w:r w:rsidR="00AF6257" w:rsidRPr="003B6CC0">
              <w:rPr>
                <w:rFonts w:ascii="Times New Roman" w:eastAsia="Times New Roman" w:hAnsi="Times New Roman" w:cs="Times New Roman"/>
                <w:b/>
                <w:color w:val="000000"/>
                <w:lang w:eastAsia="en-GB"/>
              </w:rPr>
              <w:t>value</w:t>
            </w:r>
            <w:r w:rsidR="00044A03" w:rsidRPr="003B6CC0">
              <w:rPr>
                <w:rFonts w:ascii="Times New Roman" w:eastAsia="Times New Roman" w:hAnsi="Times New Roman" w:cs="Times New Roman"/>
                <w:b/>
                <w:color w:val="000000"/>
                <w:lang w:eastAsia="en-GB"/>
              </w:rPr>
              <w:t>)</w:t>
            </w:r>
          </w:p>
        </w:tc>
      </w:tr>
      <w:tr w:rsidR="004F0121" w:rsidRPr="003B6CC0" w14:paraId="09C8162F" w14:textId="77777777" w:rsidTr="004F0121">
        <w:trPr>
          <w:trHeight w:val="288"/>
        </w:trPr>
        <w:tc>
          <w:tcPr>
            <w:tcW w:w="2940" w:type="dxa"/>
            <w:noWrap/>
            <w:vAlign w:val="bottom"/>
            <w:hideMark/>
          </w:tcPr>
          <w:p w14:paraId="4588C9A0" w14:textId="77777777" w:rsidR="004F0121" w:rsidRPr="003B6CC0" w:rsidRDefault="004F0121" w:rsidP="00BF7E9E">
            <w:pPr>
              <w:spacing w:after="0" w:line="360" w:lineRule="auto"/>
              <w:rPr>
                <w:rFonts w:ascii="Times New Roman" w:eastAsia="Times New Roman" w:hAnsi="Times New Roman" w:cs="Times New Roman"/>
                <w:color w:val="000000"/>
                <w:lang w:eastAsia="en-GB"/>
              </w:rPr>
            </w:pPr>
            <w:proofErr w:type="spellStart"/>
            <w:proofErr w:type="gramStart"/>
            <w:r w:rsidRPr="003B6CC0">
              <w:rPr>
                <w:rFonts w:ascii="Times New Roman" w:eastAsia="Times New Roman" w:hAnsi="Times New Roman" w:cs="Times New Roman"/>
                <w:color w:val="000000"/>
                <w:lang w:eastAsia="en-GB"/>
              </w:rPr>
              <w:t>Male:Female</w:t>
            </w:r>
            <w:proofErr w:type="spellEnd"/>
            <w:proofErr w:type="gramEnd"/>
          </w:p>
        </w:tc>
        <w:tc>
          <w:tcPr>
            <w:tcW w:w="1440" w:type="dxa"/>
            <w:noWrap/>
            <w:vAlign w:val="bottom"/>
            <w:hideMark/>
          </w:tcPr>
          <w:p w14:paraId="2BABCCFA"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27:1</w:t>
            </w:r>
          </w:p>
        </w:tc>
        <w:tc>
          <w:tcPr>
            <w:tcW w:w="1420" w:type="dxa"/>
            <w:noWrap/>
            <w:vAlign w:val="bottom"/>
            <w:hideMark/>
          </w:tcPr>
          <w:p w14:paraId="78E36217"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18:0</w:t>
            </w:r>
          </w:p>
        </w:tc>
        <w:tc>
          <w:tcPr>
            <w:tcW w:w="1640" w:type="dxa"/>
            <w:noWrap/>
            <w:vAlign w:val="bottom"/>
            <w:hideMark/>
          </w:tcPr>
          <w:p w14:paraId="4637134D" w14:textId="5E00AD7F" w:rsidR="004F0121" w:rsidRPr="007441BF" w:rsidRDefault="00AF6257" w:rsidP="00BF7E9E">
            <w:pPr>
              <w:spacing w:after="0" w:line="360" w:lineRule="auto"/>
              <w:jc w:val="center"/>
              <w:rPr>
                <w:rFonts w:ascii="Times New Roman" w:eastAsia="Times New Roman" w:hAnsi="Times New Roman" w:cs="Times New Roman"/>
                <w:color w:val="000000"/>
                <w:lang w:eastAsia="en-GB"/>
              </w:rPr>
            </w:pPr>
            <w:r w:rsidRPr="007441BF">
              <w:rPr>
                <w:rFonts w:ascii="Times New Roman" w:eastAsia="Times New Roman" w:hAnsi="Times New Roman" w:cs="Times New Roman"/>
                <w:color w:val="000000"/>
                <w:lang w:eastAsia="en-GB"/>
              </w:rPr>
              <w:t>-</w:t>
            </w:r>
          </w:p>
        </w:tc>
      </w:tr>
      <w:tr w:rsidR="004F0121" w:rsidRPr="003B6CC0" w14:paraId="13B1C917" w14:textId="77777777" w:rsidTr="004F0121">
        <w:trPr>
          <w:trHeight w:val="288"/>
        </w:trPr>
        <w:tc>
          <w:tcPr>
            <w:tcW w:w="2940" w:type="dxa"/>
            <w:noWrap/>
            <w:vAlign w:val="bottom"/>
            <w:hideMark/>
          </w:tcPr>
          <w:p w14:paraId="5C07CE88" w14:textId="77777777" w:rsidR="004F0121" w:rsidRPr="003B6CC0" w:rsidRDefault="004F0121" w:rsidP="00BF7E9E">
            <w:pPr>
              <w:spacing w:after="0" w:line="360" w:lineRule="auto"/>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Age (Years)</w:t>
            </w:r>
          </w:p>
        </w:tc>
        <w:tc>
          <w:tcPr>
            <w:tcW w:w="1440" w:type="dxa"/>
            <w:noWrap/>
            <w:vAlign w:val="bottom"/>
            <w:hideMark/>
          </w:tcPr>
          <w:p w14:paraId="328B1FDC"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44.7 (7.4)</w:t>
            </w:r>
          </w:p>
        </w:tc>
        <w:tc>
          <w:tcPr>
            <w:tcW w:w="1420" w:type="dxa"/>
            <w:noWrap/>
            <w:vAlign w:val="bottom"/>
            <w:hideMark/>
          </w:tcPr>
          <w:p w14:paraId="1E51F658"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38.8 (6.5)</w:t>
            </w:r>
          </w:p>
        </w:tc>
        <w:tc>
          <w:tcPr>
            <w:tcW w:w="1640" w:type="dxa"/>
            <w:noWrap/>
            <w:vAlign w:val="bottom"/>
            <w:hideMark/>
          </w:tcPr>
          <w:p w14:paraId="49644305" w14:textId="05814F43" w:rsidR="004F0121" w:rsidRPr="007441BF" w:rsidRDefault="00E97CB0" w:rsidP="00BF7E9E">
            <w:pPr>
              <w:spacing w:after="0" w:line="360" w:lineRule="auto"/>
              <w:jc w:val="center"/>
              <w:rPr>
                <w:rFonts w:ascii="Times New Roman" w:eastAsia="Times New Roman" w:hAnsi="Times New Roman" w:cs="Times New Roman"/>
                <w:color w:val="000000"/>
                <w:lang w:eastAsia="en-GB"/>
              </w:rPr>
            </w:pPr>
            <w:r w:rsidRPr="007441BF">
              <w:rPr>
                <w:rFonts w:ascii="Times New Roman" w:hAnsi="Times New Roman" w:cs="Times New Roman"/>
              </w:rPr>
              <w:t>*2.</w:t>
            </w:r>
            <w:r w:rsidR="002A5C30" w:rsidRPr="007441BF">
              <w:rPr>
                <w:rFonts w:ascii="Times New Roman" w:hAnsi="Times New Roman" w:cs="Times New Roman"/>
              </w:rPr>
              <w:t>80</w:t>
            </w:r>
          </w:p>
        </w:tc>
      </w:tr>
      <w:tr w:rsidR="004F0121" w:rsidRPr="003B6CC0" w14:paraId="3B90F6E0" w14:textId="77777777" w:rsidTr="004F0121">
        <w:trPr>
          <w:trHeight w:val="288"/>
        </w:trPr>
        <w:tc>
          <w:tcPr>
            <w:tcW w:w="2940" w:type="dxa"/>
            <w:noWrap/>
            <w:vAlign w:val="bottom"/>
            <w:hideMark/>
          </w:tcPr>
          <w:p w14:paraId="267C2716" w14:textId="77777777" w:rsidR="004F0121" w:rsidRPr="003B6CC0" w:rsidRDefault="004F0121" w:rsidP="00BF7E9E">
            <w:pPr>
              <w:spacing w:after="0" w:line="360" w:lineRule="auto"/>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Education (Years)</w:t>
            </w:r>
          </w:p>
        </w:tc>
        <w:tc>
          <w:tcPr>
            <w:tcW w:w="1440" w:type="dxa"/>
            <w:noWrap/>
            <w:vAlign w:val="bottom"/>
            <w:hideMark/>
          </w:tcPr>
          <w:p w14:paraId="03F44585"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12.8 (2.8)</w:t>
            </w:r>
          </w:p>
        </w:tc>
        <w:tc>
          <w:tcPr>
            <w:tcW w:w="1420" w:type="dxa"/>
            <w:noWrap/>
            <w:vAlign w:val="bottom"/>
            <w:hideMark/>
          </w:tcPr>
          <w:p w14:paraId="4D1BC094"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11.7 (2.2)</w:t>
            </w:r>
          </w:p>
        </w:tc>
        <w:tc>
          <w:tcPr>
            <w:tcW w:w="1640" w:type="dxa"/>
            <w:noWrap/>
            <w:vAlign w:val="bottom"/>
            <w:hideMark/>
          </w:tcPr>
          <w:p w14:paraId="3CB7CF9F" w14:textId="533FFB9E" w:rsidR="004F0121" w:rsidRPr="007441BF" w:rsidRDefault="000071E7" w:rsidP="00BF7E9E">
            <w:pPr>
              <w:spacing w:after="0" w:line="360" w:lineRule="auto"/>
              <w:jc w:val="center"/>
              <w:rPr>
                <w:rFonts w:ascii="Times New Roman" w:eastAsia="Times New Roman" w:hAnsi="Times New Roman" w:cs="Times New Roman"/>
                <w:color w:val="000000"/>
                <w:lang w:eastAsia="en-GB"/>
              </w:rPr>
            </w:pPr>
            <w:r w:rsidRPr="007441BF">
              <w:rPr>
                <w:rFonts w:ascii="Times New Roman" w:hAnsi="Times New Roman" w:cs="Times New Roman"/>
              </w:rPr>
              <w:t>1</w:t>
            </w:r>
            <w:r w:rsidR="00086DED" w:rsidRPr="007441BF">
              <w:rPr>
                <w:rFonts w:ascii="Times New Roman" w:hAnsi="Times New Roman" w:cs="Times New Roman"/>
              </w:rPr>
              <w:t>.</w:t>
            </w:r>
            <w:r w:rsidRPr="007441BF">
              <w:rPr>
                <w:rFonts w:ascii="Times New Roman" w:hAnsi="Times New Roman" w:cs="Times New Roman"/>
              </w:rPr>
              <w:t>4</w:t>
            </w:r>
            <w:r w:rsidR="007C46D3" w:rsidRPr="007441BF">
              <w:rPr>
                <w:rFonts w:ascii="Times New Roman" w:hAnsi="Times New Roman" w:cs="Times New Roman"/>
              </w:rPr>
              <w:t>6</w:t>
            </w:r>
          </w:p>
        </w:tc>
      </w:tr>
      <w:tr w:rsidR="004F0121" w:rsidRPr="003B6CC0" w14:paraId="06C12147" w14:textId="77777777" w:rsidTr="004F0121">
        <w:trPr>
          <w:trHeight w:val="288"/>
        </w:trPr>
        <w:tc>
          <w:tcPr>
            <w:tcW w:w="2940" w:type="dxa"/>
            <w:noWrap/>
            <w:vAlign w:val="bottom"/>
            <w:hideMark/>
          </w:tcPr>
          <w:p w14:paraId="435BBF53" w14:textId="33F15E27" w:rsidR="004F0121" w:rsidRPr="003B6CC0" w:rsidRDefault="00FB723F" w:rsidP="00BF7E9E">
            <w:pPr>
              <w:spacing w:after="0" w:line="360" w:lineRule="auto"/>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Verbal intelligence</w:t>
            </w:r>
            <w:r w:rsidR="004F0121" w:rsidRPr="003B6CC0">
              <w:rPr>
                <w:rFonts w:ascii="Times New Roman" w:eastAsia="Times New Roman" w:hAnsi="Times New Roman" w:cs="Times New Roman"/>
                <w:color w:val="000000"/>
                <w:lang w:eastAsia="en-GB"/>
              </w:rPr>
              <w:t xml:space="preserve"> (NART)</w:t>
            </w:r>
          </w:p>
        </w:tc>
        <w:tc>
          <w:tcPr>
            <w:tcW w:w="1440" w:type="dxa"/>
            <w:noWrap/>
            <w:vAlign w:val="bottom"/>
            <w:hideMark/>
          </w:tcPr>
          <w:p w14:paraId="31C7A5B9"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115.3 (6.7)</w:t>
            </w:r>
          </w:p>
        </w:tc>
        <w:tc>
          <w:tcPr>
            <w:tcW w:w="1420" w:type="dxa"/>
            <w:noWrap/>
            <w:vAlign w:val="bottom"/>
            <w:hideMark/>
          </w:tcPr>
          <w:p w14:paraId="532D8A7D"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104.4 (8.8)</w:t>
            </w:r>
          </w:p>
        </w:tc>
        <w:tc>
          <w:tcPr>
            <w:tcW w:w="1640" w:type="dxa"/>
            <w:noWrap/>
            <w:vAlign w:val="bottom"/>
            <w:hideMark/>
          </w:tcPr>
          <w:p w14:paraId="1526C6EA" w14:textId="52D7CF87" w:rsidR="004F0121" w:rsidRPr="007441BF" w:rsidRDefault="00402C27" w:rsidP="00BF7E9E">
            <w:pPr>
              <w:spacing w:after="0" w:line="360" w:lineRule="auto"/>
              <w:jc w:val="center"/>
              <w:rPr>
                <w:rFonts w:ascii="Times New Roman" w:eastAsia="Times New Roman" w:hAnsi="Times New Roman" w:cs="Times New Roman"/>
                <w:color w:val="000000"/>
                <w:lang w:eastAsia="en-GB"/>
              </w:rPr>
            </w:pPr>
            <w:r w:rsidRPr="007441BF">
              <w:rPr>
                <w:rFonts w:ascii="Times New Roman" w:eastAsia="Times New Roman" w:hAnsi="Times New Roman" w:cs="Times New Roman"/>
                <w:color w:val="000000"/>
                <w:lang w:eastAsia="en-GB"/>
              </w:rPr>
              <w:t>**</w:t>
            </w:r>
            <w:r w:rsidR="00895A88" w:rsidRPr="007441BF">
              <w:rPr>
                <w:rFonts w:ascii="Times New Roman" w:hAnsi="Times New Roman" w:cs="Times New Roman"/>
              </w:rPr>
              <w:t>4.44</w:t>
            </w:r>
          </w:p>
        </w:tc>
      </w:tr>
      <w:tr w:rsidR="004F0121" w:rsidRPr="003B6CC0" w14:paraId="3F199F6C" w14:textId="77777777" w:rsidTr="004F0121">
        <w:trPr>
          <w:trHeight w:val="288"/>
        </w:trPr>
        <w:tc>
          <w:tcPr>
            <w:tcW w:w="2940" w:type="dxa"/>
            <w:noWrap/>
            <w:vAlign w:val="bottom"/>
            <w:hideMark/>
          </w:tcPr>
          <w:p w14:paraId="3A264A3B" w14:textId="77777777" w:rsidR="004F0121" w:rsidRPr="003B6CC0" w:rsidRDefault="004F0121" w:rsidP="00BF7E9E">
            <w:pPr>
              <w:spacing w:after="0" w:line="360" w:lineRule="auto"/>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Impulsivity (BIS-11 Total)</w:t>
            </w:r>
          </w:p>
        </w:tc>
        <w:tc>
          <w:tcPr>
            <w:tcW w:w="1440" w:type="dxa"/>
            <w:noWrap/>
            <w:vAlign w:val="bottom"/>
            <w:hideMark/>
          </w:tcPr>
          <w:p w14:paraId="69FA7E11"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58.4 (6.8)</w:t>
            </w:r>
          </w:p>
        </w:tc>
        <w:tc>
          <w:tcPr>
            <w:tcW w:w="1420" w:type="dxa"/>
            <w:noWrap/>
            <w:vAlign w:val="bottom"/>
            <w:hideMark/>
          </w:tcPr>
          <w:p w14:paraId="49C33AB3"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74.3 (7.9)</w:t>
            </w:r>
          </w:p>
        </w:tc>
        <w:tc>
          <w:tcPr>
            <w:tcW w:w="1640" w:type="dxa"/>
            <w:noWrap/>
            <w:vAlign w:val="bottom"/>
            <w:hideMark/>
          </w:tcPr>
          <w:p w14:paraId="61AFCDC6" w14:textId="0DEFBA94" w:rsidR="004F0121" w:rsidRPr="007441BF" w:rsidRDefault="00402C27" w:rsidP="00BF7E9E">
            <w:pPr>
              <w:spacing w:after="0" w:line="360" w:lineRule="auto"/>
              <w:jc w:val="center"/>
              <w:rPr>
                <w:rFonts w:ascii="Times New Roman" w:eastAsia="Times New Roman" w:hAnsi="Times New Roman" w:cs="Times New Roman"/>
                <w:color w:val="000000"/>
                <w:lang w:eastAsia="en-GB"/>
              </w:rPr>
            </w:pPr>
            <w:r w:rsidRPr="007441BF">
              <w:rPr>
                <w:rFonts w:ascii="Times New Roman" w:eastAsia="Times New Roman" w:hAnsi="Times New Roman" w:cs="Times New Roman"/>
                <w:color w:val="000000"/>
                <w:lang w:eastAsia="en-GB"/>
              </w:rPr>
              <w:t>**</w:t>
            </w:r>
            <w:r w:rsidR="007931CF" w:rsidRPr="007441BF">
              <w:rPr>
                <w:rFonts w:ascii="Times New Roman" w:hAnsi="Times New Roman" w:cs="Times New Roman"/>
              </w:rPr>
              <w:t>-6.94</w:t>
            </w:r>
          </w:p>
        </w:tc>
      </w:tr>
      <w:tr w:rsidR="004F0121" w:rsidRPr="003B6CC0" w14:paraId="5401BFCF" w14:textId="77777777" w:rsidTr="004F0121">
        <w:trPr>
          <w:trHeight w:val="288"/>
        </w:trPr>
        <w:tc>
          <w:tcPr>
            <w:tcW w:w="2940" w:type="dxa"/>
            <w:noWrap/>
            <w:vAlign w:val="bottom"/>
            <w:hideMark/>
          </w:tcPr>
          <w:p w14:paraId="5505BE49" w14:textId="77777777" w:rsidR="004F0121" w:rsidRPr="003B6CC0" w:rsidRDefault="004F0121" w:rsidP="00BF7E9E">
            <w:pPr>
              <w:spacing w:after="0" w:line="360" w:lineRule="auto"/>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Depression (BDI-II Total)</w:t>
            </w:r>
          </w:p>
        </w:tc>
        <w:tc>
          <w:tcPr>
            <w:tcW w:w="1440" w:type="dxa"/>
            <w:noWrap/>
            <w:vAlign w:val="bottom"/>
            <w:hideMark/>
          </w:tcPr>
          <w:p w14:paraId="5861DE5E"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3.0 (4.4)</w:t>
            </w:r>
          </w:p>
        </w:tc>
        <w:tc>
          <w:tcPr>
            <w:tcW w:w="1420" w:type="dxa"/>
            <w:noWrap/>
            <w:vAlign w:val="bottom"/>
            <w:hideMark/>
          </w:tcPr>
          <w:p w14:paraId="3D9CB2E9"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16.9 (8.6)</w:t>
            </w:r>
          </w:p>
        </w:tc>
        <w:tc>
          <w:tcPr>
            <w:tcW w:w="1640" w:type="dxa"/>
            <w:noWrap/>
            <w:vAlign w:val="bottom"/>
            <w:hideMark/>
          </w:tcPr>
          <w:p w14:paraId="3F886AAA" w14:textId="446B94FC" w:rsidR="004F0121" w:rsidRPr="007441BF" w:rsidRDefault="00402C27" w:rsidP="00BF7E9E">
            <w:pPr>
              <w:spacing w:after="0" w:line="360" w:lineRule="auto"/>
              <w:jc w:val="center"/>
              <w:rPr>
                <w:rFonts w:ascii="Times New Roman" w:eastAsia="Times New Roman" w:hAnsi="Times New Roman" w:cs="Times New Roman"/>
                <w:color w:val="000000"/>
                <w:lang w:eastAsia="en-GB"/>
              </w:rPr>
            </w:pPr>
            <w:r w:rsidRPr="007441BF">
              <w:rPr>
                <w:rFonts w:ascii="Times New Roman" w:eastAsia="Times New Roman" w:hAnsi="Times New Roman" w:cs="Times New Roman"/>
                <w:color w:val="000000"/>
                <w:lang w:eastAsia="en-GB"/>
              </w:rPr>
              <w:t>**</w:t>
            </w:r>
            <w:r w:rsidR="008F2C0B" w:rsidRPr="007441BF">
              <w:rPr>
                <w:rFonts w:ascii="Times New Roman" w:hAnsi="Times New Roman" w:cs="Times New Roman"/>
              </w:rPr>
              <w:t>-6.31</w:t>
            </w:r>
          </w:p>
        </w:tc>
      </w:tr>
      <w:tr w:rsidR="004F0121" w:rsidRPr="003B6CC0" w14:paraId="23779E9C" w14:textId="77777777" w:rsidTr="004F0121">
        <w:trPr>
          <w:trHeight w:val="288"/>
        </w:trPr>
        <w:tc>
          <w:tcPr>
            <w:tcW w:w="2940" w:type="dxa"/>
            <w:noWrap/>
            <w:vAlign w:val="bottom"/>
            <w:hideMark/>
          </w:tcPr>
          <w:p w14:paraId="622849D4" w14:textId="77777777" w:rsidR="004F0121" w:rsidRPr="003B6CC0" w:rsidRDefault="004F0121" w:rsidP="00BF7E9E">
            <w:pPr>
              <w:spacing w:after="0" w:line="360" w:lineRule="auto"/>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Alcohol use (AUDIT)</w:t>
            </w:r>
          </w:p>
        </w:tc>
        <w:tc>
          <w:tcPr>
            <w:tcW w:w="1440" w:type="dxa"/>
            <w:noWrap/>
            <w:vAlign w:val="bottom"/>
            <w:hideMark/>
          </w:tcPr>
          <w:p w14:paraId="3EA53DDB"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3.9 (2.1)</w:t>
            </w:r>
          </w:p>
        </w:tc>
        <w:tc>
          <w:tcPr>
            <w:tcW w:w="1420" w:type="dxa"/>
            <w:noWrap/>
            <w:vAlign w:val="bottom"/>
            <w:hideMark/>
          </w:tcPr>
          <w:p w14:paraId="6442CD5A"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5.6 (6.5)</w:t>
            </w:r>
          </w:p>
        </w:tc>
        <w:tc>
          <w:tcPr>
            <w:tcW w:w="1640" w:type="dxa"/>
            <w:noWrap/>
            <w:vAlign w:val="bottom"/>
            <w:hideMark/>
          </w:tcPr>
          <w:p w14:paraId="71CCEAE1" w14:textId="3661B02D" w:rsidR="004F0121" w:rsidRPr="007441BF" w:rsidRDefault="000B2CCE" w:rsidP="00BF7E9E">
            <w:pPr>
              <w:spacing w:after="0" w:line="360" w:lineRule="auto"/>
              <w:jc w:val="center"/>
              <w:rPr>
                <w:rFonts w:ascii="Times New Roman" w:eastAsia="Times New Roman" w:hAnsi="Times New Roman" w:cs="Times New Roman"/>
                <w:color w:val="000000"/>
                <w:lang w:eastAsia="en-GB"/>
              </w:rPr>
            </w:pPr>
            <w:r w:rsidRPr="007441BF">
              <w:rPr>
                <w:rFonts w:ascii="Times New Roman" w:eastAsia="Times New Roman" w:hAnsi="Times New Roman" w:cs="Times New Roman"/>
                <w:color w:val="000000"/>
                <w:lang w:eastAsia="en-GB"/>
              </w:rPr>
              <w:t>-1.07</w:t>
            </w:r>
          </w:p>
        </w:tc>
      </w:tr>
      <w:tr w:rsidR="004F0121" w:rsidRPr="003B6CC0" w14:paraId="2C9AC7DD" w14:textId="77777777" w:rsidTr="004F0121">
        <w:trPr>
          <w:trHeight w:val="288"/>
        </w:trPr>
        <w:tc>
          <w:tcPr>
            <w:tcW w:w="2940" w:type="dxa"/>
            <w:noWrap/>
            <w:vAlign w:val="bottom"/>
            <w:hideMark/>
          </w:tcPr>
          <w:p w14:paraId="586E3904" w14:textId="77777777" w:rsidR="004F0121" w:rsidRPr="003B6CC0" w:rsidRDefault="004F0121" w:rsidP="00BF7E9E">
            <w:pPr>
              <w:spacing w:after="0" w:line="360" w:lineRule="auto"/>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Compulsive drug use (OCDUS)</w:t>
            </w:r>
          </w:p>
        </w:tc>
        <w:tc>
          <w:tcPr>
            <w:tcW w:w="1440" w:type="dxa"/>
            <w:noWrap/>
            <w:vAlign w:val="bottom"/>
            <w:hideMark/>
          </w:tcPr>
          <w:p w14:paraId="178E4212"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w:t>
            </w:r>
          </w:p>
        </w:tc>
        <w:tc>
          <w:tcPr>
            <w:tcW w:w="1420" w:type="dxa"/>
            <w:noWrap/>
            <w:vAlign w:val="bottom"/>
            <w:hideMark/>
          </w:tcPr>
          <w:p w14:paraId="47896A6E"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24.4 (8.6)</w:t>
            </w:r>
          </w:p>
        </w:tc>
        <w:tc>
          <w:tcPr>
            <w:tcW w:w="1640" w:type="dxa"/>
            <w:noWrap/>
            <w:vAlign w:val="bottom"/>
            <w:hideMark/>
          </w:tcPr>
          <w:p w14:paraId="7DC4D925" w14:textId="77777777" w:rsidR="004F0121" w:rsidRPr="007441BF" w:rsidRDefault="004F0121" w:rsidP="00BF7E9E">
            <w:pPr>
              <w:spacing w:after="0" w:line="360" w:lineRule="auto"/>
              <w:jc w:val="center"/>
              <w:rPr>
                <w:rFonts w:ascii="Times New Roman" w:eastAsia="Times New Roman" w:hAnsi="Times New Roman" w:cs="Times New Roman"/>
                <w:color w:val="000000"/>
                <w:lang w:eastAsia="en-GB"/>
              </w:rPr>
            </w:pPr>
            <w:r w:rsidRPr="007441BF">
              <w:rPr>
                <w:rFonts w:ascii="Times New Roman" w:eastAsia="Times New Roman" w:hAnsi="Times New Roman" w:cs="Times New Roman"/>
                <w:color w:val="000000"/>
                <w:lang w:eastAsia="en-GB"/>
              </w:rPr>
              <w:t>-</w:t>
            </w:r>
          </w:p>
        </w:tc>
      </w:tr>
      <w:tr w:rsidR="004F0121" w:rsidRPr="003B6CC0" w14:paraId="2CB89CB6" w14:textId="77777777" w:rsidTr="004F0121">
        <w:trPr>
          <w:trHeight w:val="288"/>
        </w:trPr>
        <w:tc>
          <w:tcPr>
            <w:tcW w:w="2940" w:type="dxa"/>
            <w:noWrap/>
            <w:vAlign w:val="bottom"/>
            <w:hideMark/>
          </w:tcPr>
          <w:p w14:paraId="48F23E41" w14:textId="43F891BE" w:rsidR="004F0121" w:rsidRPr="003B6CC0" w:rsidRDefault="00FB723F" w:rsidP="00BF7E9E">
            <w:pPr>
              <w:spacing w:after="0" w:line="360" w:lineRule="auto"/>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Duration of cocaine use (</w:t>
            </w:r>
            <w:r w:rsidR="004F0121" w:rsidRPr="003B6CC0">
              <w:rPr>
                <w:rFonts w:ascii="Times New Roman" w:eastAsia="Times New Roman" w:hAnsi="Times New Roman" w:cs="Times New Roman"/>
                <w:color w:val="000000"/>
                <w:lang w:eastAsia="en-GB"/>
              </w:rPr>
              <w:t>Years</w:t>
            </w:r>
            <w:r>
              <w:rPr>
                <w:rFonts w:ascii="Times New Roman" w:eastAsia="Times New Roman" w:hAnsi="Times New Roman" w:cs="Times New Roman"/>
                <w:color w:val="000000"/>
                <w:lang w:eastAsia="en-GB"/>
              </w:rPr>
              <w:t>)</w:t>
            </w:r>
            <w:r w:rsidR="004F0121" w:rsidRPr="003B6CC0">
              <w:rPr>
                <w:rFonts w:ascii="Times New Roman" w:eastAsia="Times New Roman" w:hAnsi="Times New Roman" w:cs="Times New Roman"/>
                <w:color w:val="000000"/>
                <w:lang w:eastAsia="en-GB"/>
              </w:rPr>
              <w:t xml:space="preserve"> </w:t>
            </w:r>
          </w:p>
        </w:tc>
        <w:tc>
          <w:tcPr>
            <w:tcW w:w="1440" w:type="dxa"/>
            <w:noWrap/>
            <w:vAlign w:val="bottom"/>
            <w:hideMark/>
          </w:tcPr>
          <w:p w14:paraId="104B1CB5"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w:t>
            </w:r>
          </w:p>
        </w:tc>
        <w:tc>
          <w:tcPr>
            <w:tcW w:w="1420" w:type="dxa"/>
            <w:noWrap/>
            <w:vAlign w:val="bottom"/>
            <w:hideMark/>
          </w:tcPr>
          <w:p w14:paraId="2C98FE1B" w14:textId="77777777" w:rsidR="004F0121" w:rsidRPr="003B6CC0" w:rsidRDefault="004F0121" w:rsidP="00BF7E9E">
            <w:pPr>
              <w:spacing w:after="0" w:line="360" w:lineRule="auto"/>
              <w:jc w:val="center"/>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16.0 (5.6)</w:t>
            </w:r>
          </w:p>
        </w:tc>
        <w:tc>
          <w:tcPr>
            <w:tcW w:w="1640" w:type="dxa"/>
            <w:noWrap/>
            <w:vAlign w:val="bottom"/>
            <w:hideMark/>
          </w:tcPr>
          <w:p w14:paraId="04592E0D" w14:textId="77777777" w:rsidR="004F0121" w:rsidRPr="007441BF" w:rsidRDefault="004F0121" w:rsidP="00BF7E9E">
            <w:pPr>
              <w:spacing w:after="0" w:line="360" w:lineRule="auto"/>
              <w:jc w:val="center"/>
              <w:rPr>
                <w:rFonts w:ascii="Times New Roman" w:eastAsia="Times New Roman" w:hAnsi="Times New Roman" w:cs="Times New Roman"/>
                <w:color w:val="000000"/>
                <w:lang w:eastAsia="en-GB"/>
              </w:rPr>
            </w:pPr>
            <w:r w:rsidRPr="007441BF">
              <w:rPr>
                <w:rFonts w:ascii="Times New Roman" w:eastAsia="Times New Roman" w:hAnsi="Times New Roman" w:cs="Times New Roman"/>
                <w:color w:val="000000"/>
                <w:lang w:eastAsia="en-GB"/>
              </w:rPr>
              <w:t>-</w:t>
            </w:r>
          </w:p>
        </w:tc>
      </w:tr>
      <w:tr w:rsidR="004F0121" w:rsidRPr="003B6CC0" w14:paraId="24EBC2EA" w14:textId="77777777" w:rsidTr="00BC2F9A">
        <w:trPr>
          <w:trHeight w:val="288"/>
        </w:trPr>
        <w:tc>
          <w:tcPr>
            <w:tcW w:w="2940" w:type="dxa"/>
            <w:tcBorders>
              <w:bottom w:val="single" w:sz="4" w:space="0" w:color="auto"/>
            </w:tcBorders>
            <w:noWrap/>
            <w:vAlign w:val="bottom"/>
            <w:hideMark/>
          </w:tcPr>
          <w:p w14:paraId="48C38419" w14:textId="77777777" w:rsidR="004F0121" w:rsidRPr="003B6CC0" w:rsidRDefault="004F0121" w:rsidP="00BF7E9E">
            <w:pPr>
              <w:spacing w:after="0" w:line="360" w:lineRule="auto"/>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Plasma atomoxetine ng/ml</w:t>
            </w:r>
          </w:p>
        </w:tc>
        <w:tc>
          <w:tcPr>
            <w:tcW w:w="1440" w:type="dxa"/>
            <w:tcBorders>
              <w:bottom w:val="single" w:sz="4" w:space="0" w:color="auto"/>
            </w:tcBorders>
            <w:noWrap/>
            <w:vAlign w:val="bottom"/>
            <w:hideMark/>
          </w:tcPr>
          <w:p w14:paraId="0FAF910C" w14:textId="77777777" w:rsidR="004F0121" w:rsidRPr="003B6CC0" w:rsidRDefault="004F0121" w:rsidP="00BF7E9E">
            <w:pPr>
              <w:spacing w:after="0" w:line="360" w:lineRule="auto"/>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293.5 (191.8)</w:t>
            </w:r>
          </w:p>
        </w:tc>
        <w:tc>
          <w:tcPr>
            <w:tcW w:w="1420" w:type="dxa"/>
            <w:tcBorders>
              <w:bottom w:val="single" w:sz="4" w:space="0" w:color="auto"/>
            </w:tcBorders>
            <w:noWrap/>
            <w:vAlign w:val="bottom"/>
            <w:hideMark/>
          </w:tcPr>
          <w:p w14:paraId="5D5C3B4B" w14:textId="77777777" w:rsidR="004F0121" w:rsidRPr="003B6CC0" w:rsidRDefault="004F0121" w:rsidP="00BF7E9E">
            <w:pPr>
              <w:spacing w:after="0" w:line="360" w:lineRule="auto"/>
              <w:rPr>
                <w:rFonts w:ascii="Times New Roman" w:eastAsia="Times New Roman" w:hAnsi="Times New Roman" w:cs="Times New Roman"/>
                <w:color w:val="000000"/>
                <w:lang w:eastAsia="en-GB"/>
              </w:rPr>
            </w:pPr>
            <w:r w:rsidRPr="003B6CC0">
              <w:rPr>
                <w:rFonts w:ascii="Times New Roman" w:eastAsia="Times New Roman" w:hAnsi="Times New Roman" w:cs="Times New Roman"/>
                <w:color w:val="000000"/>
                <w:lang w:eastAsia="en-GB"/>
              </w:rPr>
              <w:t>478.4 (159.4)</w:t>
            </w:r>
          </w:p>
        </w:tc>
        <w:tc>
          <w:tcPr>
            <w:tcW w:w="1640" w:type="dxa"/>
            <w:tcBorders>
              <w:bottom w:val="single" w:sz="4" w:space="0" w:color="auto"/>
            </w:tcBorders>
            <w:noWrap/>
            <w:vAlign w:val="bottom"/>
            <w:hideMark/>
          </w:tcPr>
          <w:p w14:paraId="365BA674" w14:textId="2D4E3BB4" w:rsidR="004F0121" w:rsidRPr="007441BF" w:rsidRDefault="00402C27" w:rsidP="00BF7E9E">
            <w:pPr>
              <w:spacing w:after="0" w:line="360" w:lineRule="auto"/>
              <w:jc w:val="center"/>
              <w:rPr>
                <w:rFonts w:ascii="Times New Roman" w:eastAsia="Times New Roman" w:hAnsi="Times New Roman" w:cs="Times New Roman"/>
                <w:color w:val="000000"/>
                <w:lang w:eastAsia="en-GB"/>
              </w:rPr>
            </w:pPr>
            <w:r w:rsidRPr="007441BF">
              <w:rPr>
                <w:rFonts w:ascii="Times New Roman" w:eastAsia="Times New Roman" w:hAnsi="Times New Roman" w:cs="Times New Roman"/>
                <w:color w:val="000000"/>
                <w:lang w:eastAsia="en-GB"/>
              </w:rPr>
              <w:t>**</w:t>
            </w:r>
            <w:r w:rsidR="000A2F1B">
              <w:rPr>
                <w:rFonts w:ascii="Times New Roman" w:eastAsia="Times New Roman" w:hAnsi="Times New Roman" w:cs="Times New Roman"/>
                <w:color w:val="000000"/>
                <w:lang w:eastAsia="en-GB"/>
              </w:rPr>
              <w:t>-3.48</w:t>
            </w:r>
          </w:p>
        </w:tc>
      </w:tr>
    </w:tbl>
    <w:p w14:paraId="68C1E650" w14:textId="04B4040A" w:rsidR="00F05148" w:rsidRDefault="00F05148" w:rsidP="00BF7E9E">
      <w:pPr>
        <w:spacing w:line="360" w:lineRule="auto"/>
        <w:rPr>
          <w:rFonts w:ascii="Times New Roman" w:hAnsi="Times New Roman" w:cs="Times New Roman"/>
        </w:rPr>
      </w:pPr>
      <w:r>
        <w:rPr>
          <w:rFonts w:ascii="Times New Roman" w:hAnsi="Times New Roman" w:cs="Times New Roman"/>
        </w:rPr>
        <w:t>* p&lt;.0</w:t>
      </w:r>
      <w:r w:rsidR="009624AB">
        <w:rPr>
          <w:rFonts w:ascii="Times New Roman" w:hAnsi="Times New Roman" w:cs="Times New Roman"/>
        </w:rPr>
        <w:t>1</w:t>
      </w:r>
      <w:r>
        <w:rPr>
          <w:rFonts w:ascii="Times New Roman" w:hAnsi="Times New Roman" w:cs="Times New Roman"/>
        </w:rPr>
        <w:t>; ** p&lt;.0</w:t>
      </w:r>
      <w:r w:rsidR="00703CFD">
        <w:rPr>
          <w:rFonts w:ascii="Times New Roman" w:hAnsi="Times New Roman" w:cs="Times New Roman"/>
        </w:rPr>
        <w:t>0</w:t>
      </w:r>
      <w:r w:rsidR="0051436F">
        <w:rPr>
          <w:rFonts w:ascii="Times New Roman" w:hAnsi="Times New Roman" w:cs="Times New Roman"/>
        </w:rPr>
        <w:t>1</w:t>
      </w:r>
      <w:r w:rsidR="004D4095">
        <w:rPr>
          <w:rFonts w:ascii="Times New Roman" w:hAnsi="Times New Roman" w:cs="Times New Roman"/>
        </w:rPr>
        <w:t>, Control vs CUD independent samples t-statistics</w:t>
      </w:r>
      <w:r w:rsidR="004B2978">
        <w:rPr>
          <w:rFonts w:ascii="Times New Roman" w:hAnsi="Times New Roman" w:cs="Times New Roman"/>
        </w:rPr>
        <w:t xml:space="preserve"> are shown. </w:t>
      </w:r>
    </w:p>
    <w:p w14:paraId="52FA87FA" w14:textId="7ABC4703" w:rsidR="00ED7ECA" w:rsidRDefault="00ED7ECA" w:rsidP="00BF7E9E">
      <w:pPr>
        <w:spacing w:line="360" w:lineRule="auto"/>
        <w:rPr>
          <w:rFonts w:ascii="Times New Roman" w:hAnsi="Times New Roman" w:cs="Times New Roman"/>
          <w:bCs/>
        </w:rPr>
      </w:pPr>
    </w:p>
    <w:p w14:paraId="40E1C0F1" w14:textId="31F6D382" w:rsidR="00683C3C" w:rsidRPr="00B10B0B" w:rsidRDefault="00683C3C" w:rsidP="00BF7E9E">
      <w:pPr>
        <w:spacing w:line="360" w:lineRule="auto"/>
        <w:rPr>
          <w:rFonts w:ascii="Times New Roman" w:hAnsi="Times New Roman" w:cs="Times New Roman"/>
          <w:bCs/>
        </w:rPr>
      </w:pPr>
      <w:r>
        <w:rPr>
          <w:rFonts w:ascii="Times New Roman" w:hAnsi="Times New Roman" w:cs="Times New Roman"/>
        </w:rPr>
        <w:t>Table 2. Performance indices on the Stop Signal Task for final Control and CUD groups. Data shown are means (standard deviation</w:t>
      </w:r>
      <w:r w:rsidR="00143A18">
        <w:rPr>
          <w:rFonts w:ascii="Times New Roman" w:hAnsi="Times New Roman" w:cs="Times New Roman"/>
        </w:rPr>
        <w:t>s</w:t>
      </w:r>
      <w:r>
        <w:rPr>
          <w:rFonts w:ascii="Times New Roman" w:hAnsi="Times New Roman" w:cs="Times New Roman"/>
        </w:rPr>
        <w:t>).</w:t>
      </w:r>
    </w:p>
    <w:tbl>
      <w:tblPr>
        <w:tblW w:w="8780" w:type="dxa"/>
        <w:tblLook w:val="04A0" w:firstRow="1" w:lastRow="0" w:firstColumn="1" w:lastColumn="0" w:noHBand="0" w:noVBand="1"/>
      </w:tblPr>
      <w:tblGrid>
        <w:gridCol w:w="2127"/>
        <w:gridCol w:w="992"/>
        <w:gridCol w:w="992"/>
        <w:gridCol w:w="992"/>
        <w:gridCol w:w="1223"/>
        <w:gridCol w:w="1040"/>
        <w:gridCol w:w="1414"/>
      </w:tblGrid>
      <w:tr w:rsidR="00D65F86" w:rsidRPr="00703CFD" w14:paraId="58D45DF0" w14:textId="77777777" w:rsidTr="00D65F86">
        <w:trPr>
          <w:trHeight w:val="564"/>
        </w:trPr>
        <w:tc>
          <w:tcPr>
            <w:tcW w:w="2127" w:type="dxa"/>
            <w:tcBorders>
              <w:top w:val="nil"/>
              <w:left w:val="nil"/>
              <w:bottom w:val="single" w:sz="4" w:space="0" w:color="auto"/>
              <w:right w:val="nil"/>
            </w:tcBorders>
            <w:shd w:val="clear" w:color="auto" w:fill="auto"/>
            <w:noWrap/>
            <w:vAlign w:val="bottom"/>
            <w:hideMark/>
          </w:tcPr>
          <w:p w14:paraId="2276CCD5" w14:textId="77777777" w:rsidR="00D65F86" w:rsidRPr="00703CFD" w:rsidRDefault="00D65F86" w:rsidP="00BF7E9E">
            <w:pPr>
              <w:spacing w:after="0" w:line="360" w:lineRule="auto"/>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 </w:t>
            </w:r>
          </w:p>
        </w:tc>
        <w:tc>
          <w:tcPr>
            <w:tcW w:w="1984" w:type="dxa"/>
            <w:gridSpan w:val="2"/>
            <w:tcBorders>
              <w:top w:val="nil"/>
              <w:left w:val="nil"/>
              <w:bottom w:val="single" w:sz="4" w:space="0" w:color="auto"/>
              <w:right w:val="nil"/>
            </w:tcBorders>
            <w:shd w:val="clear" w:color="auto" w:fill="auto"/>
            <w:noWrap/>
            <w:vAlign w:val="bottom"/>
            <w:hideMark/>
          </w:tcPr>
          <w:p w14:paraId="04B576D5" w14:textId="77777777" w:rsidR="00D65F86" w:rsidRPr="00703CFD" w:rsidRDefault="00D65F86" w:rsidP="00BF7E9E">
            <w:pPr>
              <w:spacing w:after="0" w:line="360" w:lineRule="auto"/>
              <w:jc w:val="center"/>
              <w:rPr>
                <w:rFonts w:ascii="Times New Roman" w:eastAsia="Times New Roman" w:hAnsi="Times New Roman" w:cs="Times New Roman"/>
                <w:b/>
                <w:bCs/>
                <w:color w:val="000000"/>
                <w:lang w:eastAsia="en-GB"/>
              </w:rPr>
            </w:pPr>
            <w:r w:rsidRPr="00703CFD">
              <w:rPr>
                <w:rFonts w:ascii="Times New Roman" w:eastAsia="Times New Roman" w:hAnsi="Times New Roman" w:cs="Times New Roman"/>
                <w:b/>
                <w:bCs/>
                <w:color w:val="000000"/>
                <w:lang w:eastAsia="en-GB"/>
              </w:rPr>
              <w:t>Control</w:t>
            </w:r>
          </w:p>
          <w:p w14:paraId="14821529" w14:textId="409C7D87" w:rsidR="00D65F86" w:rsidRPr="00703CFD" w:rsidRDefault="00D65F86" w:rsidP="00BF7E9E">
            <w:pPr>
              <w:spacing w:after="0" w:line="360" w:lineRule="auto"/>
              <w:jc w:val="center"/>
              <w:rPr>
                <w:rFonts w:ascii="Times New Roman" w:eastAsia="Times New Roman" w:hAnsi="Times New Roman" w:cs="Times New Roman"/>
                <w:b/>
                <w:bCs/>
                <w:color w:val="000000"/>
                <w:lang w:eastAsia="en-GB"/>
              </w:rPr>
            </w:pPr>
          </w:p>
        </w:tc>
        <w:tc>
          <w:tcPr>
            <w:tcW w:w="2215" w:type="dxa"/>
            <w:gridSpan w:val="2"/>
            <w:tcBorders>
              <w:top w:val="nil"/>
              <w:left w:val="nil"/>
              <w:bottom w:val="single" w:sz="4" w:space="0" w:color="auto"/>
              <w:right w:val="nil"/>
            </w:tcBorders>
            <w:shd w:val="clear" w:color="auto" w:fill="auto"/>
            <w:noWrap/>
            <w:vAlign w:val="bottom"/>
            <w:hideMark/>
          </w:tcPr>
          <w:p w14:paraId="019F8BDD" w14:textId="77777777" w:rsidR="00D65F86" w:rsidRPr="00703CFD" w:rsidRDefault="00D65F86" w:rsidP="00BF7E9E">
            <w:pPr>
              <w:spacing w:after="0" w:line="360" w:lineRule="auto"/>
              <w:jc w:val="center"/>
              <w:rPr>
                <w:rFonts w:ascii="Times New Roman" w:eastAsia="Times New Roman" w:hAnsi="Times New Roman" w:cs="Times New Roman"/>
                <w:b/>
                <w:bCs/>
                <w:color w:val="000000"/>
                <w:lang w:eastAsia="en-GB"/>
              </w:rPr>
            </w:pPr>
            <w:r w:rsidRPr="00703CFD">
              <w:rPr>
                <w:rFonts w:ascii="Times New Roman" w:eastAsia="Times New Roman" w:hAnsi="Times New Roman" w:cs="Times New Roman"/>
                <w:b/>
                <w:bCs/>
                <w:color w:val="000000"/>
                <w:lang w:eastAsia="en-GB"/>
              </w:rPr>
              <w:t>CUD</w:t>
            </w:r>
          </w:p>
          <w:p w14:paraId="0DA6AC2B" w14:textId="60C5479E" w:rsidR="00D65F86" w:rsidRPr="00703CFD" w:rsidRDefault="00D65F86" w:rsidP="00BF7E9E">
            <w:pPr>
              <w:spacing w:after="0" w:line="360" w:lineRule="auto"/>
              <w:jc w:val="center"/>
              <w:rPr>
                <w:rFonts w:ascii="Times New Roman" w:eastAsia="Times New Roman" w:hAnsi="Times New Roman" w:cs="Times New Roman"/>
                <w:b/>
                <w:bCs/>
                <w:color w:val="000000"/>
                <w:lang w:eastAsia="en-GB"/>
              </w:rPr>
            </w:pPr>
          </w:p>
        </w:tc>
        <w:tc>
          <w:tcPr>
            <w:tcW w:w="1040" w:type="dxa"/>
            <w:tcBorders>
              <w:top w:val="nil"/>
              <w:left w:val="nil"/>
              <w:bottom w:val="single" w:sz="4" w:space="0" w:color="auto"/>
              <w:right w:val="nil"/>
            </w:tcBorders>
            <w:shd w:val="clear" w:color="auto" w:fill="auto"/>
            <w:vAlign w:val="bottom"/>
            <w:hideMark/>
          </w:tcPr>
          <w:p w14:paraId="4E279C00" w14:textId="77777777" w:rsidR="00D65F86" w:rsidRPr="00703CFD" w:rsidRDefault="00D65F86" w:rsidP="00BF7E9E">
            <w:pPr>
              <w:spacing w:after="0" w:line="360" w:lineRule="auto"/>
              <w:jc w:val="center"/>
              <w:rPr>
                <w:rFonts w:ascii="Times New Roman" w:eastAsia="Times New Roman" w:hAnsi="Times New Roman" w:cs="Times New Roman"/>
                <w:b/>
                <w:bCs/>
                <w:color w:val="000000"/>
                <w:lang w:eastAsia="en-GB"/>
              </w:rPr>
            </w:pPr>
            <w:r w:rsidRPr="00703CFD">
              <w:rPr>
                <w:rFonts w:ascii="Times New Roman" w:eastAsia="Times New Roman" w:hAnsi="Times New Roman" w:cs="Times New Roman"/>
                <w:b/>
                <w:bCs/>
                <w:color w:val="000000"/>
                <w:lang w:eastAsia="en-GB"/>
              </w:rPr>
              <w:t>Group Effect</w:t>
            </w:r>
          </w:p>
        </w:tc>
        <w:tc>
          <w:tcPr>
            <w:tcW w:w="1414" w:type="dxa"/>
            <w:tcBorders>
              <w:top w:val="nil"/>
              <w:left w:val="nil"/>
              <w:bottom w:val="single" w:sz="4" w:space="0" w:color="auto"/>
              <w:right w:val="nil"/>
            </w:tcBorders>
            <w:shd w:val="clear" w:color="auto" w:fill="auto"/>
            <w:vAlign w:val="bottom"/>
            <w:hideMark/>
          </w:tcPr>
          <w:p w14:paraId="6098968C" w14:textId="77777777" w:rsidR="00D65F86" w:rsidRPr="00703CFD" w:rsidRDefault="00D65F86" w:rsidP="00BF7E9E">
            <w:pPr>
              <w:spacing w:after="0" w:line="360" w:lineRule="auto"/>
              <w:jc w:val="center"/>
              <w:rPr>
                <w:rFonts w:ascii="Times New Roman" w:eastAsia="Times New Roman" w:hAnsi="Times New Roman" w:cs="Times New Roman"/>
                <w:b/>
                <w:bCs/>
                <w:color w:val="000000"/>
                <w:lang w:eastAsia="en-GB"/>
              </w:rPr>
            </w:pPr>
            <w:r w:rsidRPr="00703CFD">
              <w:rPr>
                <w:rFonts w:ascii="Times New Roman" w:eastAsia="Times New Roman" w:hAnsi="Times New Roman" w:cs="Times New Roman"/>
                <w:b/>
                <w:bCs/>
                <w:color w:val="000000"/>
                <w:lang w:eastAsia="en-GB"/>
              </w:rPr>
              <w:t>Atomoxetine Effect</w:t>
            </w:r>
          </w:p>
        </w:tc>
      </w:tr>
      <w:tr w:rsidR="00703CFD" w:rsidRPr="00703CFD" w14:paraId="16962EC5" w14:textId="77777777" w:rsidTr="00703CFD">
        <w:trPr>
          <w:trHeight w:val="288"/>
        </w:trPr>
        <w:tc>
          <w:tcPr>
            <w:tcW w:w="2127" w:type="dxa"/>
            <w:tcBorders>
              <w:top w:val="nil"/>
              <w:left w:val="nil"/>
              <w:bottom w:val="single" w:sz="4" w:space="0" w:color="auto"/>
              <w:right w:val="nil"/>
            </w:tcBorders>
            <w:shd w:val="clear" w:color="auto" w:fill="auto"/>
            <w:noWrap/>
            <w:vAlign w:val="bottom"/>
            <w:hideMark/>
          </w:tcPr>
          <w:p w14:paraId="66249B4C" w14:textId="77777777" w:rsidR="00703CFD" w:rsidRPr="00703CFD" w:rsidRDefault="00703CFD" w:rsidP="00BF7E9E">
            <w:pPr>
              <w:spacing w:after="0" w:line="360" w:lineRule="auto"/>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 </w:t>
            </w:r>
          </w:p>
        </w:tc>
        <w:tc>
          <w:tcPr>
            <w:tcW w:w="992" w:type="dxa"/>
            <w:tcBorders>
              <w:top w:val="nil"/>
              <w:left w:val="nil"/>
              <w:bottom w:val="single" w:sz="4" w:space="0" w:color="auto"/>
              <w:right w:val="nil"/>
            </w:tcBorders>
            <w:shd w:val="clear" w:color="auto" w:fill="auto"/>
            <w:noWrap/>
            <w:vAlign w:val="center"/>
            <w:hideMark/>
          </w:tcPr>
          <w:p w14:paraId="2566AE05" w14:textId="77777777" w:rsidR="00703CFD" w:rsidRPr="00703CFD" w:rsidRDefault="00703CFD" w:rsidP="00BF7E9E">
            <w:pPr>
              <w:spacing w:after="0" w:line="360" w:lineRule="auto"/>
              <w:jc w:val="center"/>
              <w:rPr>
                <w:rFonts w:ascii="Times New Roman" w:eastAsia="Times New Roman" w:hAnsi="Times New Roman" w:cs="Times New Roman"/>
                <w:b/>
                <w:bCs/>
                <w:color w:val="000000"/>
                <w:lang w:eastAsia="en-GB"/>
              </w:rPr>
            </w:pPr>
            <w:r w:rsidRPr="00703CFD">
              <w:rPr>
                <w:rFonts w:ascii="Times New Roman" w:eastAsia="Times New Roman" w:hAnsi="Times New Roman" w:cs="Times New Roman"/>
                <w:b/>
                <w:bCs/>
                <w:color w:val="000000"/>
                <w:lang w:eastAsia="en-GB"/>
              </w:rPr>
              <w:t>Plc</w:t>
            </w:r>
          </w:p>
        </w:tc>
        <w:tc>
          <w:tcPr>
            <w:tcW w:w="992" w:type="dxa"/>
            <w:tcBorders>
              <w:top w:val="nil"/>
              <w:left w:val="nil"/>
              <w:bottom w:val="single" w:sz="4" w:space="0" w:color="auto"/>
              <w:right w:val="nil"/>
            </w:tcBorders>
            <w:shd w:val="clear" w:color="auto" w:fill="auto"/>
            <w:noWrap/>
            <w:vAlign w:val="center"/>
            <w:hideMark/>
          </w:tcPr>
          <w:p w14:paraId="6F2EAF82" w14:textId="77777777" w:rsidR="00703CFD" w:rsidRPr="00703CFD" w:rsidRDefault="00703CFD" w:rsidP="00BF7E9E">
            <w:pPr>
              <w:spacing w:after="0" w:line="360" w:lineRule="auto"/>
              <w:jc w:val="center"/>
              <w:rPr>
                <w:rFonts w:ascii="Times New Roman" w:eastAsia="Times New Roman" w:hAnsi="Times New Roman" w:cs="Times New Roman"/>
                <w:b/>
                <w:bCs/>
                <w:color w:val="000000"/>
                <w:lang w:eastAsia="en-GB"/>
              </w:rPr>
            </w:pPr>
            <w:proofErr w:type="spellStart"/>
            <w:r w:rsidRPr="00703CFD">
              <w:rPr>
                <w:rFonts w:ascii="Times New Roman" w:eastAsia="Times New Roman" w:hAnsi="Times New Roman" w:cs="Times New Roman"/>
                <w:b/>
                <w:bCs/>
                <w:color w:val="000000"/>
                <w:lang w:eastAsia="en-GB"/>
              </w:rPr>
              <w:t>Atx</w:t>
            </w:r>
            <w:proofErr w:type="spellEnd"/>
          </w:p>
        </w:tc>
        <w:tc>
          <w:tcPr>
            <w:tcW w:w="992" w:type="dxa"/>
            <w:tcBorders>
              <w:top w:val="nil"/>
              <w:left w:val="nil"/>
              <w:bottom w:val="single" w:sz="4" w:space="0" w:color="auto"/>
              <w:right w:val="nil"/>
            </w:tcBorders>
            <w:shd w:val="clear" w:color="auto" w:fill="auto"/>
            <w:noWrap/>
            <w:vAlign w:val="center"/>
            <w:hideMark/>
          </w:tcPr>
          <w:p w14:paraId="6D10092E" w14:textId="77777777" w:rsidR="00703CFD" w:rsidRPr="00703CFD" w:rsidRDefault="00703CFD" w:rsidP="00BF7E9E">
            <w:pPr>
              <w:spacing w:after="0" w:line="360" w:lineRule="auto"/>
              <w:jc w:val="center"/>
              <w:rPr>
                <w:rFonts w:ascii="Times New Roman" w:eastAsia="Times New Roman" w:hAnsi="Times New Roman" w:cs="Times New Roman"/>
                <w:b/>
                <w:bCs/>
                <w:color w:val="000000"/>
                <w:lang w:eastAsia="en-GB"/>
              </w:rPr>
            </w:pPr>
            <w:r w:rsidRPr="00703CFD">
              <w:rPr>
                <w:rFonts w:ascii="Times New Roman" w:eastAsia="Times New Roman" w:hAnsi="Times New Roman" w:cs="Times New Roman"/>
                <w:b/>
                <w:bCs/>
                <w:color w:val="000000"/>
                <w:lang w:eastAsia="en-GB"/>
              </w:rPr>
              <w:t>Plc</w:t>
            </w:r>
          </w:p>
        </w:tc>
        <w:tc>
          <w:tcPr>
            <w:tcW w:w="1223" w:type="dxa"/>
            <w:tcBorders>
              <w:top w:val="nil"/>
              <w:left w:val="nil"/>
              <w:bottom w:val="single" w:sz="4" w:space="0" w:color="auto"/>
              <w:right w:val="nil"/>
            </w:tcBorders>
            <w:shd w:val="clear" w:color="auto" w:fill="auto"/>
            <w:noWrap/>
            <w:vAlign w:val="center"/>
            <w:hideMark/>
          </w:tcPr>
          <w:p w14:paraId="1B3D2CC3" w14:textId="77777777" w:rsidR="00703CFD" w:rsidRPr="00703CFD" w:rsidRDefault="00703CFD" w:rsidP="00BF7E9E">
            <w:pPr>
              <w:spacing w:after="0" w:line="360" w:lineRule="auto"/>
              <w:jc w:val="center"/>
              <w:rPr>
                <w:rFonts w:ascii="Times New Roman" w:eastAsia="Times New Roman" w:hAnsi="Times New Roman" w:cs="Times New Roman"/>
                <w:b/>
                <w:bCs/>
                <w:color w:val="000000"/>
                <w:lang w:eastAsia="en-GB"/>
              </w:rPr>
            </w:pPr>
            <w:proofErr w:type="spellStart"/>
            <w:r w:rsidRPr="00703CFD">
              <w:rPr>
                <w:rFonts w:ascii="Times New Roman" w:eastAsia="Times New Roman" w:hAnsi="Times New Roman" w:cs="Times New Roman"/>
                <w:b/>
                <w:bCs/>
                <w:color w:val="000000"/>
                <w:lang w:eastAsia="en-GB"/>
              </w:rPr>
              <w:t>Atx</w:t>
            </w:r>
            <w:proofErr w:type="spellEnd"/>
          </w:p>
        </w:tc>
        <w:tc>
          <w:tcPr>
            <w:tcW w:w="1040" w:type="dxa"/>
            <w:tcBorders>
              <w:top w:val="nil"/>
              <w:left w:val="nil"/>
              <w:bottom w:val="single" w:sz="4" w:space="0" w:color="auto"/>
              <w:right w:val="nil"/>
            </w:tcBorders>
            <w:shd w:val="clear" w:color="auto" w:fill="auto"/>
            <w:noWrap/>
            <w:vAlign w:val="bottom"/>
            <w:hideMark/>
          </w:tcPr>
          <w:p w14:paraId="14EB02D8" w14:textId="77777777" w:rsidR="00703CFD" w:rsidRPr="00703CFD" w:rsidRDefault="00703CFD" w:rsidP="00BF7E9E">
            <w:pPr>
              <w:spacing w:after="0" w:line="360" w:lineRule="auto"/>
              <w:jc w:val="right"/>
              <w:rPr>
                <w:rFonts w:ascii="Times New Roman" w:eastAsia="Times New Roman" w:hAnsi="Times New Roman" w:cs="Times New Roman"/>
                <w:b/>
                <w:bCs/>
                <w:color w:val="000000"/>
                <w:lang w:eastAsia="en-GB"/>
              </w:rPr>
            </w:pPr>
            <w:r w:rsidRPr="00703CFD">
              <w:rPr>
                <w:rFonts w:ascii="Times New Roman" w:eastAsia="Times New Roman" w:hAnsi="Times New Roman" w:cs="Times New Roman"/>
                <w:b/>
                <w:bCs/>
                <w:color w:val="000000"/>
                <w:lang w:eastAsia="en-GB"/>
              </w:rPr>
              <w:t>F</w:t>
            </w:r>
            <w:r w:rsidRPr="00703CFD">
              <w:rPr>
                <w:rFonts w:ascii="Times New Roman" w:eastAsia="Times New Roman" w:hAnsi="Times New Roman" w:cs="Times New Roman"/>
                <w:b/>
                <w:bCs/>
                <w:color w:val="000000"/>
                <w:vertAlign w:val="subscript"/>
                <w:lang w:eastAsia="en-GB"/>
              </w:rPr>
              <w:t>1,44</w:t>
            </w:r>
          </w:p>
        </w:tc>
        <w:tc>
          <w:tcPr>
            <w:tcW w:w="1414" w:type="dxa"/>
            <w:tcBorders>
              <w:top w:val="nil"/>
              <w:left w:val="nil"/>
              <w:bottom w:val="single" w:sz="4" w:space="0" w:color="auto"/>
              <w:right w:val="nil"/>
            </w:tcBorders>
            <w:shd w:val="clear" w:color="auto" w:fill="auto"/>
            <w:noWrap/>
            <w:vAlign w:val="bottom"/>
            <w:hideMark/>
          </w:tcPr>
          <w:p w14:paraId="16D8CF52" w14:textId="77777777" w:rsidR="00703CFD" w:rsidRPr="00703CFD" w:rsidRDefault="00703CFD" w:rsidP="00BF7E9E">
            <w:pPr>
              <w:spacing w:after="0" w:line="360" w:lineRule="auto"/>
              <w:jc w:val="right"/>
              <w:rPr>
                <w:rFonts w:ascii="Times New Roman" w:eastAsia="Times New Roman" w:hAnsi="Times New Roman" w:cs="Times New Roman"/>
                <w:b/>
                <w:bCs/>
                <w:color w:val="000000"/>
                <w:lang w:eastAsia="en-GB"/>
              </w:rPr>
            </w:pPr>
            <w:r w:rsidRPr="00703CFD">
              <w:rPr>
                <w:rFonts w:ascii="Times New Roman" w:eastAsia="Times New Roman" w:hAnsi="Times New Roman" w:cs="Times New Roman"/>
                <w:b/>
                <w:bCs/>
                <w:color w:val="000000"/>
                <w:lang w:eastAsia="en-GB"/>
              </w:rPr>
              <w:t>F</w:t>
            </w:r>
            <w:r w:rsidRPr="00703CFD">
              <w:rPr>
                <w:rFonts w:ascii="Times New Roman" w:eastAsia="Times New Roman" w:hAnsi="Times New Roman" w:cs="Times New Roman"/>
                <w:b/>
                <w:bCs/>
                <w:color w:val="000000"/>
                <w:vertAlign w:val="subscript"/>
                <w:lang w:eastAsia="en-GB"/>
              </w:rPr>
              <w:t>1,44</w:t>
            </w:r>
          </w:p>
        </w:tc>
      </w:tr>
      <w:tr w:rsidR="00703CFD" w:rsidRPr="00703CFD" w14:paraId="779D6B1A" w14:textId="77777777" w:rsidTr="00703CFD">
        <w:trPr>
          <w:trHeight w:val="288"/>
        </w:trPr>
        <w:tc>
          <w:tcPr>
            <w:tcW w:w="2127" w:type="dxa"/>
            <w:tcBorders>
              <w:top w:val="nil"/>
              <w:left w:val="nil"/>
              <w:bottom w:val="nil"/>
              <w:right w:val="nil"/>
            </w:tcBorders>
            <w:shd w:val="clear" w:color="auto" w:fill="auto"/>
            <w:noWrap/>
            <w:vAlign w:val="bottom"/>
            <w:hideMark/>
          </w:tcPr>
          <w:p w14:paraId="1A8CF4F7" w14:textId="77777777" w:rsidR="00703CFD" w:rsidRPr="00703CFD" w:rsidRDefault="00703CFD" w:rsidP="00BF7E9E">
            <w:pPr>
              <w:spacing w:after="0" w:line="360" w:lineRule="auto"/>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SSRT (msec)</w:t>
            </w:r>
          </w:p>
        </w:tc>
        <w:tc>
          <w:tcPr>
            <w:tcW w:w="992" w:type="dxa"/>
            <w:tcBorders>
              <w:top w:val="nil"/>
              <w:left w:val="nil"/>
              <w:bottom w:val="nil"/>
              <w:right w:val="nil"/>
            </w:tcBorders>
            <w:shd w:val="clear" w:color="auto" w:fill="auto"/>
            <w:noWrap/>
            <w:vAlign w:val="bottom"/>
            <w:hideMark/>
          </w:tcPr>
          <w:p w14:paraId="2C9E6074"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218 (46)</w:t>
            </w:r>
          </w:p>
        </w:tc>
        <w:tc>
          <w:tcPr>
            <w:tcW w:w="992" w:type="dxa"/>
            <w:tcBorders>
              <w:top w:val="nil"/>
              <w:left w:val="nil"/>
              <w:bottom w:val="nil"/>
              <w:right w:val="nil"/>
            </w:tcBorders>
            <w:shd w:val="clear" w:color="auto" w:fill="auto"/>
            <w:noWrap/>
            <w:vAlign w:val="bottom"/>
            <w:hideMark/>
          </w:tcPr>
          <w:p w14:paraId="52E708DF"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222 (43)</w:t>
            </w:r>
          </w:p>
        </w:tc>
        <w:tc>
          <w:tcPr>
            <w:tcW w:w="992" w:type="dxa"/>
            <w:tcBorders>
              <w:top w:val="nil"/>
              <w:left w:val="nil"/>
              <w:bottom w:val="nil"/>
              <w:right w:val="nil"/>
            </w:tcBorders>
            <w:shd w:val="clear" w:color="auto" w:fill="auto"/>
            <w:noWrap/>
            <w:vAlign w:val="bottom"/>
            <w:hideMark/>
          </w:tcPr>
          <w:p w14:paraId="044C3ED6"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224 (47)</w:t>
            </w:r>
          </w:p>
        </w:tc>
        <w:tc>
          <w:tcPr>
            <w:tcW w:w="1223" w:type="dxa"/>
            <w:tcBorders>
              <w:top w:val="nil"/>
              <w:left w:val="nil"/>
              <w:bottom w:val="nil"/>
              <w:right w:val="nil"/>
            </w:tcBorders>
            <w:shd w:val="clear" w:color="auto" w:fill="auto"/>
            <w:noWrap/>
            <w:vAlign w:val="bottom"/>
            <w:hideMark/>
          </w:tcPr>
          <w:p w14:paraId="7C1359D3"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211 (39)</w:t>
            </w:r>
          </w:p>
        </w:tc>
        <w:tc>
          <w:tcPr>
            <w:tcW w:w="1040" w:type="dxa"/>
            <w:tcBorders>
              <w:top w:val="nil"/>
              <w:left w:val="nil"/>
              <w:bottom w:val="nil"/>
              <w:right w:val="nil"/>
            </w:tcBorders>
            <w:shd w:val="clear" w:color="auto" w:fill="auto"/>
            <w:noWrap/>
            <w:vAlign w:val="bottom"/>
            <w:hideMark/>
          </w:tcPr>
          <w:p w14:paraId="0D69FBCD" w14:textId="77777777" w:rsidR="00703CFD" w:rsidRPr="00703CFD" w:rsidRDefault="00703CFD" w:rsidP="00BF7E9E">
            <w:pPr>
              <w:spacing w:after="0" w:line="360" w:lineRule="auto"/>
              <w:jc w:val="right"/>
              <w:rPr>
                <w:rFonts w:ascii="Times New Roman" w:eastAsia="Times New Roman" w:hAnsi="Times New Roman" w:cs="Times New Roman"/>
                <w:lang w:eastAsia="en-GB"/>
              </w:rPr>
            </w:pPr>
            <w:r w:rsidRPr="00703CFD">
              <w:rPr>
                <w:rFonts w:ascii="Times New Roman" w:eastAsia="Times New Roman" w:hAnsi="Times New Roman" w:cs="Times New Roman"/>
                <w:lang w:eastAsia="en-GB"/>
              </w:rPr>
              <w:t>0.03</w:t>
            </w:r>
          </w:p>
        </w:tc>
        <w:tc>
          <w:tcPr>
            <w:tcW w:w="1414" w:type="dxa"/>
            <w:tcBorders>
              <w:top w:val="nil"/>
              <w:left w:val="nil"/>
              <w:bottom w:val="nil"/>
              <w:right w:val="nil"/>
            </w:tcBorders>
            <w:shd w:val="clear" w:color="auto" w:fill="auto"/>
            <w:noWrap/>
            <w:vAlign w:val="bottom"/>
            <w:hideMark/>
          </w:tcPr>
          <w:p w14:paraId="35ED9C99" w14:textId="77777777" w:rsidR="00703CFD" w:rsidRPr="00703CFD" w:rsidRDefault="00703CFD" w:rsidP="00BF7E9E">
            <w:pPr>
              <w:spacing w:after="0" w:line="360" w:lineRule="auto"/>
              <w:jc w:val="right"/>
              <w:rPr>
                <w:rFonts w:ascii="Times New Roman" w:eastAsia="Times New Roman" w:hAnsi="Times New Roman" w:cs="Times New Roman"/>
                <w:lang w:eastAsia="en-GB"/>
              </w:rPr>
            </w:pPr>
            <w:r w:rsidRPr="00703CFD">
              <w:rPr>
                <w:rFonts w:ascii="Times New Roman" w:eastAsia="Times New Roman" w:hAnsi="Times New Roman" w:cs="Times New Roman"/>
                <w:lang w:eastAsia="en-GB"/>
              </w:rPr>
              <w:t>0.43</w:t>
            </w:r>
          </w:p>
        </w:tc>
      </w:tr>
      <w:tr w:rsidR="00703CFD" w:rsidRPr="00703CFD" w14:paraId="5E11E54B" w14:textId="77777777" w:rsidTr="00703CFD">
        <w:trPr>
          <w:trHeight w:val="288"/>
        </w:trPr>
        <w:tc>
          <w:tcPr>
            <w:tcW w:w="2127" w:type="dxa"/>
            <w:tcBorders>
              <w:top w:val="nil"/>
              <w:left w:val="nil"/>
              <w:bottom w:val="nil"/>
              <w:right w:val="nil"/>
            </w:tcBorders>
            <w:shd w:val="clear" w:color="auto" w:fill="auto"/>
            <w:noWrap/>
            <w:vAlign w:val="bottom"/>
            <w:hideMark/>
          </w:tcPr>
          <w:p w14:paraId="6D22B642" w14:textId="77777777" w:rsidR="00703CFD" w:rsidRPr="00703CFD" w:rsidRDefault="00703CFD" w:rsidP="00BF7E9E">
            <w:pPr>
              <w:spacing w:after="0" w:line="360" w:lineRule="auto"/>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Go RT (msec)</w:t>
            </w:r>
          </w:p>
        </w:tc>
        <w:tc>
          <w:tcPr>
            <w:tcW w:w="992" w:type="dxa"/>
            <w:tcBorders>
              <w:top w:val="nil"/>
              <w:left w:val="nil"/>
              <w:bottom w:val="nil"/>
              <w:right w:val="nil"/>
            </w:tcBorders>
            <w:shd w:val="clear" w:color="auto" w:fill="auto"/>
            <w:noWrap/>
            <w:vAlign w:val="bottom"/>
            <w:hideMark/>
          </w:tcPr>
          <w:p w14:paraId="67B6FEE1"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414 (57)</w:t>
            </w:r>
          </w:p>
        </w:tc>
        <w:tc>
          <w:tcPr>
            <w:tcW w:w="992" w:type="dxa"/>
            <w:tcBorders>
              <w:top w:val="nil"/>
              <w:left w:val="nil"/>
              <w:bottom w:val="nil"/>
              <w:right w:val="nil"/>
            </w:tcBorders>
            <w:shd w:val="clear" w:color="auto" w:fill="auto"/>
            <w:noWrap/>
            <w:vAlign w:val="bottom"/>
            <w:hideMark/>
          </w:tcPr>
          <w:p w14:paraId="725CF625"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403 (55)</w:t>
            </w:r>
          </w:p>
        </w:tc>
        <w:tc>
          <w:tcPr>
            <w:tcW w:w="992" w:type="dxa"/>
            <w:tcBorders>
              <w:top w:val="nil"/>
              <w:left w:val="nil"/>
              <w:bottom w:val="nil"/>
              <w:right w:val="nil"/>
            </w:tcBorders>
            <w:shd w:val="clear" w:color="auto" w:fill="auto"/>
            <w:noWrap/>
            <w:vAlign w:val="bottom"/>
            <w:hideMark/>
          </w:tcPr>
          <w:p w14:paraId="735BE5AB"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449 (63)</w:t>
            </w:r>
          </w:p>
        </w:tc>
        <w:tc>
          <w:tcPr>
            <w:tcW w:w="1223" w:type="dxa"/>
            <w:tcBorders>
              <w:top w:val="nil"/>
              <w:left w:val="nil"/>
              <w:bottom w:val="nil"/>
              <w:right w:val="nil"/>
            </w:tcBorders>
            <w:shd w:val="clear" w:color="auto" w:fill="auto"/>
            <w:noWrap/>
            <w:vAlign w:val="bottom"/>
            <w:hideMark/>
          </w:tcPr>
          <w:p w14:paraId="2786D79F"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420 (52)</w:t>
            </w:r>
          </w:p>
        </w:tc>
        <w:tc>
          <w:tcPr>
            <w:tcW w:w="1040" w:type="dxa"/>
            <w:tcBorders>
              <w:top w:val="nil"/>
              <w:left w:val="nil"/>
              <w:bottom w:val="nil"/>
              <w:right w:val="nil"/>
            </w:tcBorders>
            <w:shd w:val="clear" w:color="auto" w:fill="auto"/>
            <w:noWrap/>
            <w:vAlign w:val="bottom"/>
            <w:hideMark/>
          </w:tcPr>
          <w:p w14:paraId="7B0AA408" w14:textId="77777777" w:rsidR="00703CFD" w:rsidRPr="00703CFD" w:rsidRDefault="00703CFD" w:rsidP="00BF7E9E">
            <w:pPr>
              <w:spacing w:after="0" w:line="360" w:lineRule="auto"/>
              <w:jc w:val="right"/>
              <w:rPr>
                <w:rFonts w:ascii="Times New Roman" w:eastAsia="Times New Roman" w:hAnsi="Times New Roman" w:cs="Times New Roman"/>
                <w:lang w:eastAsia="en-GB"/>
              </w:rPr>
            </w:pPr>
            <w:r w:rsidRPr="00703CFD">
              <w:rPr>
                <w:rFonts w:ascii="Times New Roman" w:eastAsia="Times New Roman" w:hAnsi="Times New Roman" w:cs="Times New Roman"/>
                <w:lang w:eastAsia="en-GB"/>
              </w:rPr>
              <w:t>2.73</w:t>
            </w:r>
          </w:p>
        </w:tc>
        <w:tc>
          <w:tcPr>
            <w:tcW w:w="1414" w:type="dxa"/>
            <w:tcBorders>
              <w:top w:val="nil"/>
              <w:left w:val="nil"/>
              <w:bottom w:val="nil"/>
              <w:right w:val="nil"/>
            </w:tcBorders>
            <w:shd w:val="clear" w:color="auto" w:fill="auto"/>
            <w:noWrap/>
            <w:vAlign w:val="bottom"/>
            <w:hideMark/>
          </w:tcPr>
          <w:p w14:paraId="6243CCBA" w14:textId="77777777" w:rsidR="00703CFD" w:rsidRPr="0016354A" w:rsidRDefault="00703CFD" w:rsidP="00BF7E9E">
            <w:pPr>
              <w:spacing w:after="0" w:line="360" w:lineRule="auto"/>
              <w:jc w:val="right"/>
              <w:rPr>
                <w:rFonts w:ascii="Times New Roman" w:eastAsia="Times New Roman" w:hAnsi="Times New Roman" w:cs="Times New Roman"/>
                <w:lang w:eastAsia="en-GB"/>
              </w:rPr>
            </w:pPr>
            <w:r w:rsidRPr="0016354A">
              <w:rPr>
                <w:rFonts w:ascii="Times New Roman" w:eastAsia="Times New Roman" w:hAnsi="Times New Roman" w:cs="Times New Roman"/>
                <w:lang w:eastAsia="en-GB"/>
              </w:rPr>
              <w:t>**7.85</w:t>
            </w:r>
          </w:p>
        </w:tc>
      </w:tr>
      <w:tr w:rsidR="00703CFD" w:rsidRPr="00703CFD" w14:paraId="07C8FAE1" w14:textId="77777777" w:rsidTr="00703CFD">
        <w:trPr>
          <w:trHeight w:val="288"/>
        </w:trPr>
        <w:tc>
          <w:tcPr>
            <w:tcW w:w="2127" w:type="dxa"/>
            <w:tcBorders>
              <w:top w:val="nil"/>
              <w:left w:val="nil"/>
              <w:bottom w:val="nil"/>
              <w:right w:val="nil"/>
            </w:tcBorders>
            <w:shd w:val="clear" w:color="auto" w:fill="auto"/>
            <w:noWrap/>
            <w:vAlign w:val="bottom"/>
            <w:hideMark/>
          </w:tcPr>
          <w:p w14:paraId="6F965366" w14:textId="77777777" w:rsidR="00703CFD" w:rsidRPr="00703CFD" w:rsidRDefault="00703CFD" w:rsidP="00BF7E9E">
            <w:pPr>
              <w:spacing w:after="0" w:line="360" w:lineRule="auto"/>
              <w:rPr>
                <w:rFonts w:ascii="Times New Roman" w:eastAsia="Times New Roman" w:hAnsi="Times New Roman" w:cs="Times New Roman"/>
                <w:color w:val="000000"/>
                <w:lang w:eastAsia="en-GB"/>
              </w:rPr>
            </w:pPr>
            <w:proofErr w:type="gramStart"/>
            <w:r w:rsidRPr="00703CFD">
              <w:rPr>
                <w:rFonts w:ascii="Times New Roman" w:eastAsia="Times New Roman" w:hAnsi="Times New Roman" w:cs="Times New Roman"/>
                <w:color w:val="000000"/>
                <w:lang w:eastAsia="en-GB"/>
              </w:rPr>
              <w:t>P(</w:t>
            </w:r>
            <w:proofErr w:type="gramEnd"/>
            <w:r w:rsidRPr="00703CFD">
              <w:rPr>
                <w:rFonts w:ascii="Times New Roman" w:eastAsia="Times New Roman" w:hAnsi="Times New Roman" w:cs="Times New Roman"/>
                <w:color w:val="000000"/>
                <w:lang w:eastAsia="en-GB"/>
              </w:rPr>
              <w:t xml:space="preserve">Go </w:t>
            </w:r>
            <w:proofErr w:type="spellStart"/>
            <w:r w:rsidRPr="00703CFD">
              <w:rPr>
                <w:rFonts w:ascii="Times New Roman" w:eastAsia="Times New Roman" w:hAnsi="Times New Roman" w:cs="Times New Roman"/>
                <w:color w:val="000000"/>
                <w:lang w:eastAsia="en-GB"/>
              </w:rPr>
              <w:t>response|stop</w:t>
            </w:r>
            <w:proofErr w:type="spellEnd"/>
            <w:r w:rsidRPr="00703CFD">
              <w:rPr>
                <w:rFonts w:ascii="Times New Roman" w:eastAsia="Times New Roman" w:hAnsi="Times New Roman" w:cs="Times New Roman"/>
                <w:color w:val="000000"/>
                <w:lang w:eastAsia="en-GB"/>
              </w:rPr>
              <w:t>)</w:t>
            </w:r>
          </w:p>
        </w:tc>
        <w:tc>
          <w:tcPr>
            <w:tcW w:w="992" w:type="dxa"/>
            <w:tcBorders>
              <w:top w:val="nil"/>
              <w:left w:val="nil"/>
              <w:bottom w:val="nil"/>
              <w:right w:val="nil"/>
            </w:tcBorders>
            <w:shd w:val="clear" w:color="auto" w:fill="auto"/>
            <w:noWrap/>
            <w:vAlign w:val="bottom"/>
            <w:hideMark/>
          </w:tcPr>
          <w:p w14:paraId="750A5222"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0.486</w:t>
            </w:r>
          </w:p>
        </w:tc>
        <w:tc>
          <w:tcPr>
            <w:tcW w:w="992" w:type="dxa"/>
            <w:tcBorders>
              <w:top w:val="nil"/>
              <w:left w:val="nil"/>
              <w:bottom w:val="nil"/>
              <w:right w:val="nil"/>
            </w:tcBorders>
            <w:shd w:val="clear" w:color="auto" w:fill="auto"/>
            <w:noWrap/>
            <w:vAlign w:val="bottom"/>
            <w:hideMark/>
          </w:tcPr>
          <w:p w14:paraId="27FDD9B7"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0.492</w:t>
            </w:r>
          </w:p>
        </w:tc>
        <w:tc>
          <w:tcPr>
            <w:tcW w:w="992" w:type="dxa"/>
            <w:tcBorders>
              <w:top w:val="nil"/>
              <w:left w:val="nil"/>
              <w:bottom w:val="nil"/>
              <w:right w:val="nil"/>
            </w:tcBorders>
            <w:shd w:val="clear" w:color="auto" w:fill="auto"/>
            <w:noWrap/>
            <w:vAlign w:val="bottom"/>
            <w:hideMark/>
          </w:tcPr>
          <w:p w14:paraId="50960298"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0.466</w:t>
            </w:r>
          </w:p>
        </w:tc>
        <w:tc>
          <w:tcPr>
            <w:tcW w:w="1223" w:type="dxa"/>
            <w:tcBorders>
              <w:top w:val="nil"/>
              <w:left w:val="nil"/>
              <w:bottom w:val="nil"/>
              <w:right w:val="nil"/>
            </w:tcBorders>
            <w:shd w:val="clear" w:color="auto" w:fill="auto"/>
            <w:noWrap/>
            <w:vAlign w:val="bottom"/>
            <w:hideMark/>
          </w:tcPr>
          <w:p w14:paraId="25EE5524"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0.478</w:t>
            </w:r>
          </w:p>
        </w:tc>
        <w:tc>
          <w:tcPr>
            <w:tcW w:w="1040" w:type="dxa"/>
            <w:tcBorders>
              <w:top w:val="nil"/>
              <w:left w:val="nil"/>
              <w:bottom w:val="nil"/>
              <w:right w:val="nil"/>
            </w:tcBorders>
            <w:shd w:val="clear" w:color="auto" w:fill="auto"/>
            <w:noWrap/>
            <w:vAlign w:val="bottom"/>
            <w:hideMark/>
          </w:tcPr>
          <w:p w14:paraId="43450A57" w14:textId="77777777" w:rsidR="00703CFD" w:rsidRPr="00703CFD" w:rsidRDefault="00703CFD" w:rsidP="00BF7E9E">
            <w:pPr>
              <w:spacing w:after="0" w:line="360" w:lineRule="auto"/>
              <w:jc w:val="right"/>
              <w:rPr>
                <w:rFonts w:ascii="Times New Roman" w:eastAsia="Times New Roman" w:hAnsi="Times New Roman" w:cs="Times New Roman"/>
                <w:lang w:eastAsia="en-GB"/>
              </w:rPr>
            </w:pPr>
            <w:r w:rsidRPr="00703CFD">
              <w:rPr>
                <w:rFonts w:ascii="Times New Roman" w:eastAsia="Times New Roman" w:hAnsi="Times New Roman" w:cs="Times New Roman"/>
                <w:lang w:eastAsia="en-GB"/>
              </w:rPr>
              <w:t>2.65</w:t>
            </w:r>
          </w:p>
        </w:tc>
        <w:tc>
          <w:tcPr>
            <w:tcW w:w="1414" w:type="dxa"/>
            <w:tcBorders>
              <w:top w:val="nil"/>
              <w:left w:val="nil"/>
              <w:bottom w:val="nil"/>
              <w:right w:val="nil"/>
            </w:tcBorders>
            <w:shd w:val="clear" w:color="auto" w:fill="auto"/>
            <w:noWrap/>
            <w:vAlign w:val="bottom"/>
            <w:hideMark/>
          </w:tcPr>
          <w:p w14:paraId="4AAA714A" w14:textId="77777777" w:rsidR="00703CFD" w:rsidRPr="00703CFD" w:rsidRDefault="00703CFD" w:rsidP="00BF7E9E">
            <w:pPr>
              <w:spacing w:after="0" w:line="360" w:lineRule="auto"/>
              <w:jc w:val="right"/>
              <w:rPr>
                <w:rFonts w:ascii="Times New Roman" w:eastAsia="Times New Roman" w:hAnsi="Times New Roman" w:cs="Times New Roman"/>
                <w:lang w:eastAsia="en-GB"/>
              </w:rPr>
            </w:pPr>
            <w:r w:rsidRPr="00703CFD">
              <w:rPr>
                <w:rFonts w:ascii="Times New Roman" w:eastAsia="Times New Roman" w:hAnsi="Times New Roman" w:cs="Times New Roman"/>
                <w:lang w:eastAsia="en-GB"/>
              </w:rPr>
              <w:t>1.30</w:t>
            </w:r>
          </w:p>
        </w:tc>
      </w:tr>
      <w:tr w:rsidR="00703CFD" w:rsidRPr="00703CFD" w14:paraId="680D5174" w14:textId="77777777" w:rsidTr="00703CFD">
        <w:trPr>
          <w:trHeight w:val="288"/>
        </w:trPr>
        <w:tc>
          <w:tcPr>
            <w:tcW w:w="2127" w:type="dxa"/>
            <w:tcBorders>
              <w:top w:val="nil"/>
              <w:left w:val="nil"/>
              <w:bottom w:val="nil"/>
              <w:right w:val="nil"/>
            </w:tcBorders>
            <w:shd w:val="clear" w:color="auto" w:fill="auto"/>
            <w:noWrap/>
            <w:vAlign w:val="bottom"/>
            <w:hideMark/>
          </w:tcPr>
          <w:p w14:paraId="444D38CB" w14:textId="77777777" w:rsidR="00703CFD" w:rsidRPr="00703CFD" w:rsidRDefault="00703CFD" w:rsidP="00BF7E9E">
            <w:pPr>
              <w:spacing w:after="0" w:line="360" w:lineRule="auto"/>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SSD</w:t>
            </w:r>
          </w:p>
        </w:tc>
        <w:tc>
          <w:tcPr>
            <w:tcW w:w="992" w:type="dxa"/>
            <w:tcBorders>
              <w:top w:val="nil"/>
              <w:left w:val="nil"/>
              <w:bottom w:val="nil"/>
              <w:right w:val="nil"/>
            </w:tcBorders>
            <w:shd w:val="clear" w:color="auto" w:fill="auto"/>
            <w:noWrap/>
            <w:vAlign w:val="bottom"/>
            <w:hideMark/>
          </w:tcPr>
          <w:p w14:paraId="6188A048"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171.4</w:t>
            </w:r>
          </w:p>
        </w:tc>
        <w:tc>
          <w:tcPr>
            <w:tcW w:w="992" w:type="dxa"/>
            <w:tcBorders>
              <w:top w:val="nil"/>
              <w:left w:val="nil"/>
              <w:bottom w:val="nil"/>
              <w:right w:val="nil"/>
            </w:tcBorders>
            <w:shd w:val="clear" w:color="auto" w:fill="auto"/>
            <w:noWrap/>
            <w:vAlign w:val="bottom"/>
            <w:hideMark/>
          </w:tcPr>
          <w:p w14:paraId="5179D082"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192.7</w:t>
            </w:r>
          </w:p>
        </w:tc>
        <w:tc>
          <w:tcPr>
            <w:tcW w:w="992" w:type="dxa"/>
            <w:tcBorders>
              <w:top w:val="nil"/>
              <w:left w:val="nil"/>
              <w:bottom w:val="nil"/>
              <w:right w:val="nil"/>
            </w:tcBorders>
            <w:shd w:val="clear" w:color="auto" w:fill="auto"/>
            <w:noWrap/>
            <w:vAlign w:val="bottom"/>
            <w:hideMark/>
          </w:tcPr>
          <w:p w14:paraId="4940E9B6"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159.9</w:t>
            </w:r>
          </w:p>
        </w:tc>
        <w:tc>
          <w:tcPr>
            <w:tcW w:w="1223" w:type="dxa"/>
            <w:tcBorders>
              <w:top w:val="nil"/>
              <w:left w:val="nil"/>
              <w:bottom w:val="nil"/>
              <w:right w:val="nil"/>
            </w:tcBorders>
            <w:shd w:val="clear" w:color="auto" w:fill="auto"/>
            <w:noWrap/>
            <w:vAlign w:val="bottom"/>
            <w:hideMark/>
          </w:tcPr>
          <w:p w14:paraId="5A52C6D4"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183.1</w:t>
            </w:r>
          </w:p>
        </w:tc>
        <w:tc>
          <w:tcPr>
            <w:tcW w:w="1040" w:type="dxa"/>
            <w:tcBorders>
              <w:top w:val="nil"/>
              <w:left w:val="nil"/>
              <w:bottom w:val="nil"/>
              <w:right w:val="nil"/>
            </w:tcBorders>
            <w:shd w:val="clear" w:color="auto" w:fill="auto"/>
            <w:noWrap/>
            <w:vAlign w:val="bottom"/>
            <w:hideMark/>
          </w:tcPr>
          <w:p w14:paraId="34A29972" w14:textId="77777777" w:rsidR="00703CFD" w:rsidRPr="00703CFD" w:rsidRDefault="00703CFD" w:rsidP="00BF7E9E">
            <w:pPr>
              <w:spacing w:after="0" w:line="360" w:lineRule="auto"/>
              <w:jc w:val="right"/>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1.19</w:t>
            </w:r>
          </w:p>
        </w:tc>
        <w:tc>
          <w:tcPr>
            <w:tcW w:w="1414" w:type="dxa"/>
            <w:tcBorders>
              <w:top w:val="nil"/>
              <w:left w:val="nil"/>
              <w:bottom w:val="nil"/>
              <w:right w:val="nil"/>
            </w:tcBorders>
            <w:shd w:val="clear" w:color="auto" w:fill="auto"/>
            <w:noWrap/>
            <w:vAlign w:val="bottom"/>
            <w:hideMark/>
          </w:tcPr>
          <w:p w14:paraId="5CE56981" w14:textId="77777777" w:rsidR="00703CFD" w:rsidRPr="00703CFD" w:rsidRDefault="00703CFD" w:rsidP="00BF7E9E">
            <w:pPr>
              <w:spacing w:after="0" w:line="360" w:lineRule="auto"/>
              <w:jc w:val="right"/>
              <w:rPr>
                <w:rFonts w:ascii="Times New Roman" w:eastAsia="Times New Roman" w:hAnsi="Times New Roman" w:cs="Times New Roman"/>
                <w:lang w:eastAsia="en-GB"/>
              </w:rPr>
            </w:pPr>
            <w:r w:rsidRPr="00703CFD">
              <w:rPr>
                <w:rFonts w:ascii="Times New Roman" w:eastAsia="Times New Roman" w:hAnsi="Times New Roman" w:cs="Times New Roman"/>
                <w:lang w:eastAsia="en-GB"/>
              </w:rPr>
              <w:t>1.234</w:t>
            </w:r>
          </w:p>
        </w:tc>
      </w:tr>
      <w:tr w:rsidR="00703CFD" w:rsidRPr="00703CFD" w14:paraId="27BD5AB2" w14:textId="77777777" w:rsidTr="00703CFD">
        <w:trPr>
          <w:trHeight w:val="288"/>
        </w:trPr>
        <w:tc>
          <w:tcPr>
            <w:tcW w:w="2127" w:type="dxa"/>
            <w:tcBorders>
              <w:top w:val="nil"/>
              <w:left w:val="nil"/>
              <w:bottom w:val="nil"/>
              <w:right w:val="nil"/>
            </w:tcBorders>
            <w:shd w:val="clear" w:color="auto" w:fill="auto"/>
            <w:noWrap/>
            <w:vAlign w:val="bottom"/>
            <w:hideMark/>
          </w:tcPr>
          <w:p w14:paraId="61FAB5F1" w14:textId="77777777" w:rsidR="00703CFD" w:rsidRPr="00703CFD" w:rsidRDefault="00703CFD" w:rsidP="00BF7E9E">
            <w:pPr>
              <w:spacing w:after="0" w:line="360" w:lineRule="auto"/>
              <w:rPr>
                <w:rFonts w:ascii="Times New Roman" w:eastAsia="Times New Roman" w:hAnsi="Times New Roman" w:cs="Times New Roman"/>
                <w:color w:val="000000"/>
                <w:lang w:eastAsia="en-GB"/>
              </w:rPr>
            </w:pPr>
            <w:proofErr w:type="gramStart"/>
            <w:r w:rsidRPr="00703CFD">
              <w:rPr>
                <w:rFonts w:ascii="Times New Roman" w:eastAsia="Times New Roman" w:hAnsi="Times New Roman" w:cs="Times New Roman"/>
                <w:color w:val="000000"/>
                <w:lang w:eastAsia="en-GB"/>
              </w:rPr>
              <w:t>P(</w:t>
            </w:r>
            <w:proofErr w:type="gramEnd"/>
            <w:r w:rsidRPr="00703CFD">
              <w:rPr>
                <w:rFonts w:ascii="Times New Roman" w:eastAsia="Times New Roman" w:hAnsi="Times New Roman" w:cs="Times New Roman"/>
                <w:color w:val="000000"/>
                <w:lang w:eastAsia="en-GB"/>
              </w:rPr>
              <w:t>Go Omissions)</w:t>
            </w:r>
          </w:p>
        </w:tc>
        <w:tc>
          <w:tcPr>
            <w:tcW w:w="992" w:type="dxa"/>
            <w:tcBorders>
              <w:top w:val="nil"/>
              <w:left w:val="nil"/>
              <w:bottom w:val="nil"/>
              <w:right w:val="nil"/>
            </w:tcBorders>
            <w:shd w:val="clear" w:color="auto" w:fill="auto"/>
            <w:noWrap/>
            <w:vAlign w:val="bottom"/>
            <w:hideMark/>
          </w:tcPr>
          <w:p w14:paraId="6A22C07B"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0.009</w:t>
            </w:r>
          </w:p>
        </w:tc>
        <w:tc>
          <w:tcPr>
            <w:tcW w:w="992" w:type="dxa"/>
            <w:tcBorders>
              <w:top w:val="nil"/>
              <w:left w:val="nil"/>
              <w:bottom w:val="nil"/>
              <w:right w:val="nil"/>
            </w:tcBorders>
            <w:shd w:val="clear" w:color="auto" w:fill="auto"/>
            <w:noWrap/>
            <w:vAlign w:val="bottom"/>
            <w:hideMark/>
          </w:tcPr>
          <w:p w14:paraId="523F1808"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0.007</w:t>
            </w:r>
          </w:p>
        </w:tc>
        <w:tc>
          <w:tcPr>
            <w:tcW w:w="992" w:type="dxa"/>
            <w:tcBorders>
              <w:top w:val="nil"/>
              <w:left w:val="nil"/>
              <w:bottom w:val="nil"/>
              <w:right w:val="nil"/>
            </w:tcBorders>
            <w:shd w:val="clear" w:color="auto" w:fill="auto"/>
            <w:noWrap/>
            <w:vAlign w:val="bottom"/>
            <w:hideMark/>
          </w:tcPr>
          <w:p w14:paraId="5989D394"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0.05</w:t>
            </w:r>
          </w:p>
        </w:tc>
        <w:tc>
          <w:tcPr>
            <w:tcW w:w="1223" w:type="dxa"/>
            <w:tcBorders>
              <w:top w:val="nil"/>
              <w:left w:val="nil"/>
              <w:bottom w:val="nil"/>
              <w:right w:val="nil"/>
            </w:tcBorders>
            <w:shd w:val="clear" w:color="auto" w:fill="auto"/>
            <w:noWrap/>
            <w:vAlign w:val="bottom"/>
            <w:hideMark/>
          </w:tcPr>
          <w:p w14:paraId="1786CB74"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0.05</w:t>
            </w:r>
          </w:p>
        </w:tc>
        <w:tc>
          <w:tcPr>
            <w:tcW w:w="1040" w:type="dxa"/>
            <w:tcBorders>
              <w:top w:val="nil"/>
              <w:left w:val="nil"/>
              <w:bottom w:val="nil"/>
              <w:right w:val="nil"/>
            </w:tcBorders>
            <w:shd w:val="clear" w:color="auto" w:fill="auto"/>
            <w:noWrap/>
            <w:vAlign w:val="bottom"/>
            <w:hideMark/>
          </w:tcPr>
          <w:p w14:paraId="2937F031" w14:textId="77777777" w:rsidR="00703CFD" w:rsidRPr="0016354A" w:rsidRDefault="00703CFD" w:rsidP="00BF7E9E">
            <w:pPr>
              <w:spacing w:after="0" w:line="360" w:lineRule="auto"/>
              <w:jc w:val="right"/>
              <w:rPr>
                <w:rFonts w:ascii="Times New Roman" w:eastAsia="Times New Roman" w:hAnsi="Times New Roman" w:cs="Times New Roman"/>
                <w:lang w:eastAsia="en-GB"/>
              </w:rPr>
            </w:pPr>
            <w:r w:rsidRPr="0016354A">
              <w:rPr>
                <w:rFonts w:ascii="Times New Roman" w:eastAsia="Times New Roman" w:hAnsi="Times New Roman" w:cs="Times New Roman"/>
                <w:lang w:eastAsia="en-GB"/>
              </w:rPr>
              <w:t>**11.14</w:t>
            </w:r>
          </w:p>
        </w:tc>
        <w:tc>
          <w:tcPr>
            <w:tcW w:w="1414" w:type="dxa"/>
            <w:tcBorders>
              <w:top w:val="nil"/>
              <w:left w:val="nil"/>
              <w:bottom w:val="nil"/>
              <w:right w:val="nil"/>
            </w:tcBorders>
            <w:shd w:val="clear" w:color="auto" w:fill="auto"/>
            <w:noWrap/>
            <w:vAlign w:val="bottom"/>
            <w:hideMark/>
          </w:tcPr>
          <w:p w14:paraId="6206537A" w14:textId="77777777" w:rsidR="00703CFD" w:rsidRPr="00703CFD" w:rsidRDefault="00703CFD" w:rsidP="00BF7E9E">
            <w:pPr>
              <w:spacing w:after="0" w:line="360" w:lineRule="auto"/>
              <w:jc w:val="right"/>
              <w:rPr>
                <w:rFonts w:ascii="Times New Roman" w:eastAsia="Times New Roman" w:hAnsi="Times New Roman" w:cs="Times New Roman"/>
                <w:lang w:eastAsia="en-GB"/>
              </w:rPr>
            </w:pPr>
            <w:r w:rsidRPr="00703CFD">
              <w:rPr>
                <w:rFonts w:ascii="Times New Roman" w:eastAsia="Times New Roman" w:hAnsi="Times New Roman" w:cs="Times New Roman"/>
                <w:lang w:eastAsia="en-GB"/>
              </w:rPr>
              <w:t>0.09</w:t>
            </w:r>
          </w:p>
        </w:tc>
      </w:tr>
      <w:tr w:rsidR="00703CFD" w:rsidRPr="00703CFD" w14:paraId="5A3FFA82" w14:textId="77777777" w:rsidTr="00C66BD9">
        <w:trPr>
          <w:trHeight w:val="288"/>
        </w:trPr>
        <w:tc>
          <w:tcPr>
            <w:tcW w:w="2127" w:type="dxa"/>
            <w:tcBorders>
              <w:top w:val="nil"/>
              <w:left w:val="nil"/>
              <w:right w:val="nil"/>
            </w:tcBorders>
            <w:shd w:val="clear" w:color="auto" w:fill="auto"/>
            <w:noWrap/>
            <w:vAlign w:val="bottom"/>
            <w:hideMark/>
          </w:tcPr>
          <w:p w14:paraId="264D1D4E" w14:textId="77777777" w:rsidR="00703CFD" w:rsidRPr="00703CFD" w:rsidRDefault="00703CFD" w:rsidP="00BF7E9E">
            <w:pPr>
              <w:spacing w:after="0" w:line="360" w:lineRule="auto"/>
              <w:rPr>
                <w:rFonts w:ascii="Times New Roman" w:eastAsia="Times New Roman" w:hAnsi="Times New Roman" w:cs="Times New Roman"/>
                <w:color w:val="000000"/>
                <w:lang w:eastAsia="en-GB"/>
              </w:rPr>
            </w:pPr>
            <w:proofErr w:type="gramStart"/>
            <w:r w:rsidRPr="00703CFD">
              <w:rPr>
                <w:rFonts w:ascii="Times New Roman" w:eastAsia="Times New Roman" w:hAnsi="Times New Roman" w:cs="Times New Roman"/>
                <w:color w:val="000000"/>
                <w:lang w:eastAsia="en-GB"/>
              </w:rPr>
              <w:t>P(</w:t>
            </w:r>
            <w:proofErr w:type="gramEnd"/>
            <w:r w:rsidRPr="00703CFD">
              <w:rPr>
                <w:rFonts w:ascii="Times New Roman" w:eastAsia="Times New Roman" w:hAnsi="Times New Roman" w:cs="Times New Roman"/>
                <w:color w:val="000000"/>
                <w:lang w:eastAsia="en-GB"/>
              </w:rPr>
              <w:t>Go Errors)</w:t>
            </w:r>
          </w:p>
        </w:tc>
        <w:tc>
          <w:tcPr>
            <w:tcW w:w="992" w:type="dxa"/>
            <w:tcBorders>
              <w:top w:val="nil"/>
              <w:left w:val="nil"/>
              <w:right w:val="nil"/>
            </w:tcBorders>
            <w:shd w:val="clear" w:color="auto" w:fill="auto"/>
            <w:noWrap/>
            <w:vAlign w:val="bottom"/>
            <w:hideMark/>
          </w:tcPr>
          <w:p w14:paraId="776A0D7A"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0.029</w:t>
            </w:r>
          </w:p>
        </w:tc>
        <w:tc>
          <w:tcPr>
            <w:tcW w:w="992" w:type="dxa"/>
            <w:tcBorders>
              <w:top w:val="nil"/>
              <w:left w:val="nil"/>
              <w:right w:val="nil"/>
            </w:tcBorders>
            <w:shd w:val="clear" w:color="auto" w:fill="auto"/>
            <w:noWrap/>
            <w:vAlign w:val="bottom"/>
            <w:hideMark/>
          </w:tcPr>
          <w:p w14:paraId="3A9400D9"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0.032</w:t>
            </w:r>
          </w:p>
        </w:tc>
        <w:tc>
          <w:tcPr>
            <w:tcW w:w="992" w:type="dxa"/>
            <w:tcBorders>
              <w:top w:val="nil"/>
              <w:left w:val="nil"/>
              <w:right w:val="nil"/>
            </w:tcBorders>
            <w:shd w:val="clear" w:color="auto" w:fill="auto"/>
            <w:noWrap/>
            <w:vAlign w:val="bottom"/>
            <w:hideMark/>
          </w:tcPr>
          <w:p w14:paraId="5AF164AA"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0.05</w:t>
            </w:r>
          </w:p>
        </w:tc>
        <w:tc>
          <w:tcPr>
            <w:tcW w:w="1223" w:type="dxa"/>
            <w:tcBorders>
              <w:top w:val="nil"/>
              <w:left w:val="nil"/>
              <w:right w:val="nil"/>
            </w:tcBorders>
            <w:shd w:val="clear" w:color="auto" w:fill="auto"/>
            <w:noWrap/>
            <w:vAlign w:val="bottom"/>
            <w:hideMark/>
          </w:tcPr>
          <w:p w14:paraId="79AFB3CF"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0.05</w:t>
            </w:r>
          </w:p>
        </w:tc>
        <w:tc>
          <w:tcPr>
            <w:tcW w:w="1040" w:type="dxa"/>
            <w:tcBorders>
              <w:top w:val="nil"/>
              <w:left w:val="nil"/>
              <w:right w:val="nil"/>
            </w:tcBorders>
            <w:shd w:val="clear" w:color="auto" w:fill="auto"/>
            <w:noWrap/>
            <w:vAlign w:val="bottom"/>
            <w:hideMark/>
          </w:tcPr>
          <w:p w14:paraId="6491F52C" w14:textId="77777777" w:rsidR="00703CFD" w:rsidRPr="0016354A" w:rsidRDefault="00703CFD" w:rsidP="00BF7E9E">
            <w:pPr>
              <w:spacing w:after="0" w:line="360" w:lineRule="auto"/>
              <w:jc w:val="right"/>
              <w:rPr>
                <w:rFonts w:ascii="Times New Roman" w:eastAsia="Times New Roman" w:hAnsi="Times New Roman" w:cs="Times New Roman"/>
                <w:lang w:eastAsia="en-GB"/>
              </w:rPr>
            </w:pPr>
            <w:r w:rsidRPr="0016354A">
              <w:rPr>
                <w:rFonts w:ascii="Times New Roman" w:eastAsia="Times New Roman" w:hAnsi="Times New Roman" w:cs="Times New Roman"/>
                <w:lang w:eastAsia="en-GB"/>
              </w:rPr>
              <w:t>*5.34</w:t>
            </w:r>
          </w:p>
        </w:tc>
        <w:tc>
          <w:tcPr>
            <w:tcW w:w="1414" w:type="dxa"/>
            <w:tcBorders>
              <w:top w:val="nil"/>
              <w:left w:val="nil"/>
              <w:right w:val="nil"/>
            </w:tcBorders>
            <w:shd w:val="clear" w:color="auto" w:fill="auto"/>
            <w:noWrap/>
            <w:vAlign w:val="bottom"/>
            <w:hideMark/>
          </w:tcPr>
          <w:p w14:paraId="4E778541" w14:textId="77777777" w:rsidR="00703CFD" w:rsidRPr="00703CFD" w:rsidRDefault="00703CFD" w:rsidP="00BF7E9E">
            <w:pPr>
              <w:spacing w:after="0" w:line="360" w:lineRule="auto"/>
              <w:jc w:val="right"/>
              <w:rPr>
                <w:rFonts w:ascii="Times New Roman" w:eastAsia="Times New Roman" w:hAnsi="Times New Roman" w:cs="Times New Roman"/>
                <w:lang w:eastAsia="en-GB"/>
              </w:rPr>
            </w:pPr>
            <w:r w:rsidRPr="00703CFD">
              <w:rPr>
                <w:rFonts w:ascii="Times New Roman" w:eastAsia="Times New Roman" w:hAnsi="Times New Roman" w:cs="Times New Roman"/>
                <w:lang w:eastAsia="en-GB"/>
              </w:rPr>
              <w:t>0.13</w:t>
            </w:r>
          </w:p>
        </w:tc>
      </w:tr>
      <w:tr w:rsidR="00703CFD" w:rsidRPr="00703CFD" w14:paraId="566F747D" w14:textId="77777777" w:rsidTr="00C66BD9">
        <w:trPr>
          <w:trHeight w:val="288"/>
        </w:trPr>
        <w:tc>
          <w:tcPr>
            <w:tcW w:w="2127" w:type="dxa"/>
            <w:tcBorders>
              <w:top w:val="nil"/>
              <w:left w:val="nil"/>
              <w:bottom w:val="single" w:sz="4" w:space="0" w:color="auto"/>
              <w:right w:val="nil"/>
            </w:tcBorders>
            <w:shd w:val="clear" w:color="auto" w:fill="auto"/>
            <w:noWrap/>
            <w:vAlign w:val="bottom"/>
            <w:hideMark/>
          </w:tcPr>
          <w:p w14:paraId="637A3CA5" w14:textId="77777777" w:rsidR="00703CFD" w:rsidRPr="00703CFD" w:rsidRDefault="00703CFD" w:rsidP="00BF7E9E">
            <w:pPr>
              <w:spacing w:after="0" w:line="360" w:lineRule="auto"/>
              <w:rPr>
                <w:rFonts w:ascii="Times New Roman" w:eastAsia="Times New Roman" w:hAnsi="Times New Roman" w:cs="Times New Roman"/>
                <w:color w:val="000000"/>
                <w:lang w:eastAsia="en-GB"/>
              </w:rPr>
            </w:pPr>
            <w:proofErr w:type="spellStart"/>
            <w:proofErr w:type="gramStart"/>
            <w:r w:rsidRPr="00703CFD">
              <w:rPr>
                <w:rFonts w:ascii="Times New Roman" w:eastAsia="Times New Roman" w:hAnsi="Times New Roman" w:cs="Times New Roman"/>
                <w:color w:val="000000"/>
                <w:lang w:eastAsia="en-GB"/>
              </w:rPr>
              <w:t>GoRT</w:t>
            </w:r>
            <w:proofErr w:type="spellEnd"/>
            <w:r w:rsidRPr="00703CFD">
              <w:rPr>
                <w:rFonts w:ascii="Times New Roman" w:eastAsia="Times New Roman" w:hAnsi="Times New Roman" w:cs="Times New Roman"/>
                <w:color w:val="000000"/>
                <w:lang w:eastAsia="en-GB"/>
              </w:rPr>
              <w:t>(</w:t>
            </w:r>
            <w:proofErr w:type="gramEnd"/>
            <w:r w:rsidRPr="00703CFD">
              <w:rPr>
                <w:rFonts w:ascii="Times New Roman" w:eastAsia="Times New Roman" w:hAnsi="Times New Roman" w:cs="Times New Roman"/>
                <w:color w:val="000000"/>
                <w:lang w:eastAsia="en-GB"/>
              </w:rPr>
              <w:t>failed stop)</w:t>
            </w:r>
          </w:p>
        </w:tc>
        <w:tc>
          <w:tcPr>
            <w:tcW w:w="992" w:type="dxa"/>
            <w:tcBorders>
              <w:top w:val="nil"/>
              <w:left w:val="nil"/>
              <w:bottom w:val="single" w:sz="4" w:space="0" w:color="auto"/>
              <w:right w:val="nil"/>
            </w:tcBorders>
            <w:shd w:val="clear" w:color="auto" w:fill="auto"/>
            <w:noWrap/>
            <w:vAlign w:val="bottom"/>
            <w:hideMark/>
          </w:tcPr>
          <w:p w14:paraId="6375639A"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371.4</w:t>
            </w:r>
          </w:p>
        </w:tc>
        <w:tc>
          <w:tcPr>
            <w:tcW w:w="992" w:type="dxa"/>
            <w:tcBorders>
              <w:top w:val="nil"/>
              <w:left w:val="nil"/>
              <w:bottom w:val="single" w:sz="4" w:space="0" w:color="auto"/>
              <w:right w:val="nil"/>
            </w:tcBorders>
            <w:shd w:val="clear" w:color="auto" w:fill="auto"/>
            <w:noWrap/>
            <w:vAlign w:val="bottom"/>
            <w:hideMark/>
          </w:tcPr>
          <w:p w14:paraId="297AE6BC"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363.9</w:t>
            </w:r>
          </w:p>
        </w:tc>
        <w:tc>
          <w:tcPr>
            <w:tcW w:w="992" w:type="dxa"/>
            <w:tcBorders>
              <w:top w:val="nil"/>
              <w:left w:val="nil"/>
              <w:bottom w:val="single" w:sz="4" w:space="0" w:color="auto"/>
              <w:right w:val="nil"/>
            </w:tcBorders>
            <w:shd w:val="clear" w:color="auto" w:fill="auto"/>
            <w:noWrap/>
            <w:vAlign w:val="bottom"/>
            <w:hideMark/>
          </w:tcPr>
          <w:p w14:paraId="6AF28154"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388.5</w:t>
            </w:r>
          </w:p>
        </w:tc>
        <w:tc>
          <w:tcPr>
            <w:tcW w:w="1223" w:type="dxa"/>
            <w:tcBorders>
              <w:top w:val="nil"/>
              <w:left w:val="nil"/>
              <w:bottom w:val="single" w:sz="4" w:space="0" w:color="auto"/>
              <w:right w:val="nil"/>
            </w:tcBorders>
            <w:shd w:val="clear" w:color="auto" w:fill="auto"/>
            <w:noWrap/>
            <w:vAlign w:val="bottom"/>
            <w:hideMark/>
          </w:tcPr>
          <w:p w14:paraId="745854D8" w14:textId="77777777" w:rsidR="00703CFD" w:rsidRPr="00703CFD" w:rsidRDefault="00703CFD" w:rsidP="00BF7E9E">
            <w:pPr>
              <w:spacing w:after="0" w:line="360" w:lineRule="auto"/>
              <w:jc w:val="center"/>
              <w:rPr>
                <w:rFonts w:ascii="Times New Roman" w:eastAsia="Times New Roman" w:hAnsi="Times New Roman" w:cs="Times New Roman"/>
                <w:color w:val="000000"/>
                <w:lang w:eastAsia="en-GB"/>
              </w:rPr>
            </w:pPr>
            <w:r w:rsidRPr="00703CFD">
              <w:rPr>
                <w:rFonts w:ascii="Times New Roman" w:eastAsia="Times New Roman" w:hAnsi="Times New Roman" w:cs="Times New Roman"/>
                <w:color w:val="000000"/>
                <w:lang w:eastAsia="en-GB"/>
              </w:rPr>
              <w:t>366.8</w:t>
            </w:r>
          </w:p>
        </w:tc>
        <w:tc>
          <w:tcPr>
            <w:tcW w:w="1040" w:type="dxa"/>
            <w:tcBorders>
              <w:top w:val="nil"/>
              <w:left w:val="nil"/>
              <w:bottom w:val="single" w:sz="4" w:space="0" w:color="auto"/>
              <w:right w:val="nil"/>
            </w:tcBorders>
            <w:shd w:val="clear" w:color="auto" w:fill="auto"/>
            <w:noWrap/>
            <w:vAlign w:val="bottom"/>
            <w:hideMark/>
          </w:tcPr>
          <w:p w14:paraId="7BBBE0DF" w14:textId="77777777" w:rsidR="00703CFD" w:rsidRPr="00703CFD" w:rsidRDefault="00703CFD" w:rsidP="00BF7E9E">
            <w:pPr>
              <w:spacing w:after="0" w:line="360" w:lineRule="auto"/>
              <w:jc w:val="right"/>
              <w:rPr>
                <w:rFonts w:ascii="Times New Roman" w:eastAsia="Times New Roman" w:hAnsi="Times New Roman" w:cs="Times New Roman"/>
                <w:lang w:eastAsia="en-GB"/>
              </w:rPr>
            </w:pPr>
            <w:r w:rsidRPr="00703CFD">
              <w:rPr>
                <w:rFonts w:ascii="Times New Roman" w:eastAsia="Times New Roman" w:hAnsi="Times New Roman" w:cs="Times New Roman"/>
                <w:lang w:eastAsia="en-GB"/>
              </w:rPr>
              <w:t>0.41</w:t>
            </w:r>
          </w:p>
        </w:tc>
        <w:tc>
          <w:tcPr>
            <w:tcW w:w="1414" w:type="dxa"/>
            <w:tcBorders>
              <w:top w:val="nil"/>
              <w:left w:val="nil"/>
              <w:bottom w:val="single" w:sz="4" w:space="0" w:color="auto"/>
              <w:right w:val="nil"/>
            </w:tcBorders>
            <w:shd w:val="clear" w:color="auto" w:fill="auto"/>
            <w:noWrap/>
            <w:vAlign w:val="bottom"/>
            <w:hideMark/>
          </w:tcPr>
          <w:p w14:paraId="71AEB555" w14:textId="77777777" w:rsidR="00703CFD" w:rsidRPr="00703CFD" w:rsidRDefault="00703CFD" w:rsidP="00BF7E9E">
            <w:pPr>
              <w:spacing w:after="0" w:line="360" w:lineRule="auto"/>
              <w:jc w:val="right"/>
              <w:rPr>
                <w:rFonts w:ascii="Times New Roman" w:eastAsia="Times New Roman" w:hAnsi="Times New Roman" w:cs="Times New Roman"/>
                <w:lang w:eastAsia="en-GB"/>
              </w:rPr>
            </w:pPr>
            <w:r w:rsidRPr="00703CFD">
              <w:rPr>
                <w:rFonts w:ascii="Times New Roman" w:eastAsia="Times New Roman" w:hAnsi="Times New Roman" w:cs="Times New Roman"/>
                <w:lang w:eastAsia="en-GB"/>
              </w:rPr>
              <w:t>3.61</w:t>
            </w:r>
          </w:p>
        </w:tc>
      </w:tr>
    </w:tbl>
    <w:p w14:paraId="4D8347D6" w14:textId="0CFD931B" w:rsidR="006E38CB" w:rsidRDefault="00F05148" w:rsidP="00BF7E9E">
      <w:pPr>
        <w:spacing w:line="360" w:lineRule="auto"/>
        <w:rPr>
          <w:rFonts w:ascii="Times New Roman" w:hAnsi="Times New Roman" w:cs="Times New Roman"/>
        </w:rPr>
      </w:pPr>
      <w:r>
        <w:rPr>
          <w:rFonts w:ascii="Times New Roman" w:hAnsi="Times New Roman" w:cs="Times New Roman"/>
        </w:rPr>
        <w:t xml:space="preserve">Plc – placebo, </w:t>
      </w:r>
      <w:proofErr w:type="spellStart"/>
      <w:r>
        <w:rPr>
          <w:rFonts w:ascii="Times New Roman" w:hAnsi="Times New Roman" w:cs="Times New Roman"/>
        </w:rPr>
        <w:t>Atx</w:t>
      </w:r>
      <w:proofErr w:type="spellEnd"/>
      <w:r>
        <w:rPr>
          <w:rFonts w:ascii="Times New Roman" w:hAnsi="Times New Roman" w:cs="Times New Roman"/>
        </w:rPr>
        <w:t xml:space="preserve"> – atomoxetine,</w:t>
      </w:r>
      <w:r w:rsidR="00304E56">
        <w:rPr>
          <w:rFonts w:ascii="Times New Roman" w:hAnsi="Times New Roman" w:cs="Times New Roman"/>
        </w:rPr>
        <w:t xml:space="preserve"> </w:t>
      </w:r>
      <w:r w:rsidR="00703CFD">
        <w:rPr>
          <w:rFonts w:ascii="Times New Roman" w:hAnsi="Times New Roman" w:cs="Times New Roman"/>
        </w:rPr>
        <w:t>* p&lt;.05; ** p&lt;.01</w:t>
      </w:r>
    </w:p>
    <w:p w14:paraId="770134E4" w14:textId="77777777" w:rsidR="006E38CB" w:rsidRDefault="006E38CB" w:rsidP="00BF7E9E">
      <w:pPr>
        <w:spacing w:line="360" w:lineRule="auto"/>
        <w:rPr>
          <w:rFonts w:ascii="Times New Roman" w:hAnsi="Times New Roman" w:cs="Times New Roman"/>
        </w:rPr>
      </w:pPr>
      <w:r>
        <w:rPr>
          <w:rFonts w:ascii="Times New Roman" w:hAnsi="Times New Roman" w:cs="Times New Roman"/>
        </w:rPr>
        <w:br w:type="page"/>
      </w:r>
    </w:p>
    <w:p w14:paraId="765A746A" w14:textId="64A620E0" w:rsidR="005E7E5F" w:rsidRDefault="005E7E5F" w:rsidP="00BF7E9E">
      <w:pPr>
        <w:spacing w:line="360" w:lineRule="auto"/>
        <w:rPr>
          <w:rFonts w:ascii="Times New Roman" w:hAnsi="Times New Roman" w:cs="Times New Roman"/>
          <w:sz w:val="24"/>
          <w:szCs w:val="24"/>
        </w:rPr>
      </w:pPr>
      <w:r w:rsidRPr="005E7E5F">
        <w:rPr>
          <w:rFonts w:ascii="Times New Roman" w:hAnsi="Times New Roman" w:cs="Times New Roman"/>
          <w:sz w:val="24"/>
          <w:szCs w:val="24"/>
        </w:rPr>
        <w:lastRenderedPageBreak/>
        <w:t>Figure 1. Mean group activation overlap between healthy control and cocaine use disorder (CUD) groups in the placebo and atomoxetine conditions. Overlap maps between the cocaine and control groups were generated in a conjunction analysis of group mean maps using whole-brain cluster-forming threshold of z=2.3, p&lt;0.05.</w:t>
      </w:r>
      <w:r w:rsidR="002E700F" w:rsidRPr="002E700F">
        <w:rPr>
          <w:rFonts w:eastAsiaTheme="minorEastAsia" w:hAnsi="Calibri"/>
          <w:color w:val="000000" w:themeColor="text1"/>
          <w:kern w:val="24"/>
        </w:rPr>
        <w:t xml:space="preserve"> </w:t>
      </w:r>
      <w:r w:rsidR="002E700F" w:rsidRPr="002E700F">
        <w:rPr>
          <w:rFonts w:ascii="Times New Roman" w:hAnsi="Times New Roman" w:cs="Times New Roman"/>
          <w:sz w:val="24"/>
          <w:szCs w:val="24"/>
        </w:rPr>
        <w:t>MNI Z-coordinates are shown below the image slices.</w:t>
      </w:r>
    </w:p>
    <w:p w14:paraId="6F130900" w14:textId="51F70386" w:rsidR="006D59C7" w:rsidRPr="006D59C7" w:rsidRDefault="006D59C7" w:rsidP="00BF7E9E">
      <w:pPr>
        <w:spacing w:line="360" w:lineRule="auto"/>
        <w:rPr>
          <w:rFonts w:ascii="Times New Roman" w:hAnsi="Times New Roman" w:cs="Times New Roman"/>
          <w:sz w:val="24"/>
          <w:szCs w:val="24"/>
        </w:rPr>
      </w:pPr>
      <w:r w:rsidRPr="006D59C7">
        <w:rPr>
          <w:rFonts w:ascii="Times New Roman" w:hAnsi="Times New Roman" w:cs="Times New Roman"/>
          <w:sz w:val="24"/>
          <w:szCs w:val="24"/>
        </w:rPr>
        <w:t xml:space="preserve">Figure 2. Improved stopping efficiency (stop signal reaction time, SSRT) on atomoxetine is associated with changes in </w:t>
      </w:r>
      <w:proofErr w:type="spellStart"/>
      <w:r w:rsidRPr="006D59C7">
        <w:rPr>
          <w:rFonts w:ascii="Times New Roman" w:hAnsi="Times New Roman" w:cs="Times New Roman"/>
          <w:sz w:val="24"/>
          <w:szCs w:val="24"/>
        </w:rPr>
        <w:t>rIFG</w:t>
      </w:r>
      <w:proofErr w:type="spellEnd"/>
      <w:r w:rsidRPr="006D59C7">
        <w:rPr>
          <w:rFonts w:ascii="Times New Roman" w:hAnsi="Times New Roman" w:cs="Times New Roman"/>
          <w:sz w:val="24"/>
          <w:szCs w:val="24"/>
        </w:rPr>
        <w:t>/</w:t>
      </w:r>
      <w:proofErr w:type="spellStart"/>
      <w:r w:rsidRPr="006D59C7">
        <w:rPr>
          <w:rFonts w:ascii="Times New Roman" w:hAnsi="Times New Roman" w:cs="Times New Roman"/>
          <w:sz w:val="24"/>
          <w:szCs w:val="24"/>
        </w:rPr>
        <w:t>rOFC</w:t>
      </w:r>
      <w:proofErr w:type="spellEnd"/>
      <w:r w:rsidRPr="006D59C7">
        <w:rPr>
          <w:rFonts w:ascii="Times New Roman" w:hAnsi="Times New Roman" w:cs="Times New Roman"/>
          <w:sz w:val="24"/>
          <w:szCs w:val="24"/>
        </w:rPr>
        <w:t xml:space="preserve"> activation (A, B). A bilateral IFG mask</w:t>
      </w:r>
      <w:r w:rsidR="003872B4">
        <w:rPr>
          <w:rFonts w:ascii="Times New Roman" w:hAnsi="Times New Roman" w:cs="Times New Roman"/>
          <w:sz w:val="24"/>
          <w:szCs w:val="24"/>
        </w:rPr>
        <w:t xml:space="preserve"> (Harvard-Oxford atlas)</w:t>
      </w:r>
      <w:r w:rsidRPr="006D59C7">
        <w:rPr>
          <w:rFonts w:ascii="Times New Roman" w:hAnsi="Times New Roman" w:cs="Times New Roman"/>
          <w:sz w:val="24"/>
          <w:szCs w:val="24"/>
        </w:rPr>
        <w:t xml:space="preserve"> was used as a region of interest (slices shown at MNI X=50, Z=-12). Improved response execution (reaction times on Go trials, </w:t>
      </w:r>
      <w:proofErr w:type="spellStart"/>
      <w:r w:rsidRPr="006D59C7">
        <w:rPr>
          <w:rFonts w:ascii="Times New Roman" w:hAnsi="Times New Roman" w:cs="Times New Roman"/>
          <w:sz w:val="24"/>
          <w:szCs w:val="24"/>
        </w:rPr>
        <w:t>GoRT</w:t>
      </w:r>
      <w:proofErr w:type="spellEnd"/>
      <w:r w:rsidRPr="006D59C7">
        <w:rPr>
          <w:rFonts w:ascii="Times New Roman" w:hAnsi="Times New Roman" w:cs="Times New Roman"/>
          <w:sz w:val="24"/>
          <w:szCs w:val="24"/>
        </w:rPr>
        <w:t xml:space="preserve">) on atomoxetine was predicted by changes in primary motor cortex (M1) activity in both groups combined (C, D). A bilateral primary motor cortex mask </w:t>
      </w:r>
      <w:r w:rsidR="00C62FCD">
        <w:rPr>
          <w:rFonts w:ascii="Times New Roman" w:hAnsi="Times New Roman" w:cs="Times New Roman"/>
          <w:sz w:val="24"/>
          <w:szCs w:val="24"/>
        </w:rPr>
        <w:t xml:space="preserve">(Harvard Oxford Atlas) </w:t>
      </w:r>
      <w:r w:rsidRPr="006D59C7">
        <w:rPr>
          <w:rFonts w:ascii="Times New Roman" w:hAnsi="Times New Roman" w:cs="Times New Roman"/>
          <w:sz w:val="24"/>
          <w:szCs w:val="24"/>
        </w:rPr>
        <w:t xml:space="preserve">was used as a region of interest (slices shown at MNI X=29, Z=60). T-statistic maps </w:t>
      </w:r>
      <w:proofErr w:type="spellStart"/>
      <w:r w:rsidRPr="006D59C7">
        <w:rPr>
          <w:rFonts w:ascii="Times New Roman" w:hAnsi="Times New Roman" w:cs="Times New Roman"/>
          <w:sz w:val="24"/>
          <w:szCs w:val="24"/>
        </w:rPr>
        <w:t>thresholded</w:t>
      </w:r>
      <w:proofErr w:type="spellEnd"/>
      <w:r w:rsidRPr="006D59C7">
        <w:rPr>
          <w:rFonts w:ascii="Times New Roman" w:hAnsi="Times New Roman" w:cs="Times New Roman"/>
          <w:sz w:val="24"/>
          <w:szCs w:val="24"/>
        </w:rPr>
        <w:t xml:space="preserve"> with threshold-free cluster enhancement (</w:t>
      </w:r>
      <w:proofErr w:type="spellStart"/>
      <w:r w:rsidRPr="006D59C7">
        <w:rPr>
          <w:rFonts w:ascii="Times New Roman" w:hAnsi="Times New Roman" w:cs="Times New Roman"/>
          <w:sz w:val="24"/>
          <w:szCs w:val="24"/>
        </w:rPr>
        <w:t>tfce</w:t>
      </w:r>
      <w:proofErr w:type="spellEnd"/>
      <w:r w:rsidRPr="006D59C7">
        <w:rPr>
          <w:rFonts w:ascii="Times New Roman" w:hAnsi="Times New Roman" w:cs="Times New Roman"/>
          <w:sz w:val="24"/>
          <w:szCs w:val="24"/>
        </w:rPr>
        <w:t>)-corrected p&lt;0.05 are shown.</w:t>
      </w:r>
      <w:r w:rsidR="008A7F49" w:rsidRPr="008A7F49">
        <w:rPr>
          <w:rFonts w:ascii="Arial" w:eastAsiaTheme="minorEastAsia" w:hAnsi="Arial" w:cs="Arial"/>
          <w:color w:val="000000" w:themeColor="text1"/>
          <w:kern w:val="24"/>
          <w:lang w:val="el-GR"/>
        </w:rPr>
        <w:t xml:space="preserve"> </w:t>
      </w:r>
      <w:r w:rsidR="008A7F49" w:rsidRPr="008A7F49">
        <w:rPr>
          <w:rFonts w:ascii="Times New Roman" w:hAnsi="Times New Roman" w:cs="Times New Roman"/>
          <w:sz w:val="24"/>
          <w:szCs w:val="24"/>
          <w:lang w:val="el-GR"/>
        </w:rPr>
        <w:t>Δ</w:t>
      </w:r>
      <w:proofErr w:type="spellStart"/>
      <w:r w:rsidR="008A7F49" w:rsidRPr="008A7F49">
        <w:rPr>
          <w:rFonts w:ascii="Times New Roman" w:hAnsi="Times New Roman" w:cs="Times New Roman"/>
          <w:sz w:val="24"/>
          <w:szCs w:val="24"/>
        </w:rPr>
        <w:t>rIFG</w:t>
      </w:r>
      <w:proofErr w:type="spellEnd"/>
      <w:r w:rsidR="008A7F49" w:rsidRPr="008A7F49">
        <w:rPr>
          <w:rFonts w:ascii="Times New Roman" w:hAnsi="Times New Roman" w:cs="Times New Roman"/>
          <w:sz w:val="24"/>
          <w:szCs w:val="24"/>
        </w:rPr>
        <w:t xml:space="preserve"> and </w:t>
      </w:r>
      <w:r w:rsidR="008A7F49" w:rsidRPr="008A7F49">
        <w:rPr>
          <w:rFonts w:ascii="Times New Roman" w:hAnsi="Times New Roman" w:cs="Times New Roman"/>
          <w:sz w:val="24"/>
          <w:szCs w:val="24"/>
          <w:lang w:val="el-GR"/>
        </w:rPr>
        <w:t>Δ</w:t>
      </w:r>
      <w:r w:rsidR="008A7F49" w:rsidRPr="008A7F49">
        <w:rPr>
          <w:rFonts w:ascii="Times New Roman" w:hAnsi="Times New Roman" w:cs="Times New Roman"/>
          <w:sz w:val="24"/>
          <w:szCs w:val="24"/>
        </w:rPr>
        <w:t xml:space="preserve">M1 activations were calculated </w:t>
      </w:r>
      <w:r w:rsidR="00252CF8">
        <w:rPr>
          <w:rFonts w:ascii="Times New Roman" w:hAnsi="Times New Roman" w:cs="Times New Roman"/>
          <w:sz w:val="24"/>
          <w:szCs w:val="24"/>
        </w:rPr>
        <w:t xml:space="preserve">as the </w:t>
      </w:r>
      <w:r w:rsidR="0037750C">
        <w:rPr>
          <w:rFonts w:ascii="Times New Roman" w:hAnsi="Times New Roman" w:cs="Times New Roman"/>
          <w:sz w:val="24"/>
          <w:szCs w:val="24"/>
        </w:rPr>
        <w:t xml:space="preserve">atomoxetine-placebo </w:t>
      </w:r>
      <w:r w:rsidR="00252CF8">
        <w:rPr>
          <w:rFonts w:ascii="Times New Roman" w:hAnsi="Times New Roman" w:cs="Times New Roman"/>
          <w:sz w:val="24"/>
          <w:szCs w:val="24"/>
        </w:rPr>
        <w:t xml:space="preserve">difference </w:t>
      </w:r>
      <w:r w:rsidR="00FD423B">
        <w:rPr>
          <w:rFonts w:ascii="Times New Roman" w:hAnsi="Times New Roman" w:cs="Times New Roman"/>
          <w:sz w:val="24"/>
          <w:szCs w:val="24"/>
        </w:rPr>
        <w:t xml:space="preserve">between </w:t>
      </w:r>
      <w:r w:rsidR="008A7F49" w:rsidRPr="008A7F49">
        <w:rPr>
          <w:rFonts w:ascii="Times New Roman" w:hAnsi="Times New Roman" w:cs="Times New Roman"/>
          <w:sz w:val="24"/>
          <w:szCs w:val="24"/>
        </w:rPr>
        <w:t xml:space="preserve">the </w:t>
      </w:r>
      <w:r w:rsidR="00660C1C">
        <w:rPr>
          <w:rFonts w:ascii="Times New Roman" w:hAnsi="Times New Roman" w:cs="Times New Roman"/>
          <w:sz w:val="24"/>
          <w:szCs w:val="24"/>
        </w:rPr>
        <w:t>average activation</w:t>
      </w:r>
      <w:r w:rsidR="00861F1A">
        <w:rPr>
          <w:rFonts w:ascii="Times New Roman" w:hAnsi="Times New Roman" w:cs="Times New Roman"/>
          <w:sz w:val="24"/>
          <w:szCs w:val="24"/>
        </w:rPr>
        <w:t>s</w:t>
      </w:r>
      <w:r w:rsidR="00660C1C">
        <w:rPr>
          <w:rFonts w:ascii="Times New Roman" w:hAnsi="Times New Roman" w:cs="Times New Roman"/>
          <w:sz w:val="24"/>
          <w:szCs w:val="24"/>
        </w:rPr>
        <w:t xml:space="preserve"> (</w:t>
      </w:r>
      <w:r w:rsidR="008A7F49" w:rsidRPr="008A7F49">
        <w:rPr>
          <w:rFonts w:ascii="Times New Roman" w:hAnsi="Times New Roman" w:cs="Times New Roman"/>
          <w:sz w:val="24"/>
          <w:szCs w:val="24"/>
        </w:rPr>
        <w:t>z-maps from first-level GLM analyses</w:t>
      </w:r>
      <w:r w:rsidR="00660C1C">
        <w:rPr>
          <w:rFonts w:ascii="Times New Roman" w:hAnsi="Times New Roman" w:cs="Times New Roman"/>
          <w:sz w:val="24"/>
          <w:szCs w:val="24"/>
        </w:rPr>
        <w:t>)</w:t>
      </w:r>
      <w:r w:rsidR="006834AE">
        <w:rPr>
          <w:rFonts w:ascii="Times New Roman" w:hAnsi="Times New Roman" w:cs="Times New Roman"/>
          <w:sz w:val="24"/>
          <w:szCs w:val="24"/>
        </w:rPr>
        <w:t xml:space="preserve"> within </w:t>
      </w:r>
      <w:r w:rsidR="008A7F49" w:rsidRPr="008A7F49">
        <w:rPr>
          <w:rFonts w:ascii="Times New Roman" w:hAnsi="Times New Roman" w:cs="Times New Roman"/>
          <w:sz w:val="24"/>
          <w:szCs w:val="24"/>
        </w:rPr>
        <w:t>the region</w:t>
      </w:r>
      <w:r w:rsidR="005A7AEF">
        <w:rPr>
          <w:rFonts w:ascii="Times New Roman" w:hAnsi="Times New Roman" w:cs="Times New Roman"/>
          <w:sz w:val="24"/>
          <w:szCs w:val="24"/>
        </w:rPr>
        <w:t>s</w:t>
      </w:r>
      <w:r w:rsidR="008A7F49" w:rsidRPr="008A7F49">
        <w:rPr>
          <w:rFonts w:ascii="Times New Roman" w:hAnsi="Times New Roman" w:cs="Times New Roman"/>
          <w:sz w:val="24"/>
          <w:szCs w:val="24"/>
        </w:rPr>
        <w:t xml:space="preserve"> shown in (A) and </w:t>
      </w:r>
      <w:r w:rsidR="00EC60C2">
        <w:rPr>
          <w:rFonts w:ascii="Times New Roman" w:hAnsi="Times New Roman" w:cs="Times New Roman"/>
          <w:sz w:val="24"/>
          <w:szCs w:val="24"/>
        </w:rPr>
        <w:t>(C)</w:t>
      </w:r>
      <w:r w:rsidR="008A7F49" w:rsidRPr="008A7F49">
        <w:rPr>
          <w:rFonts w:ascii="Times New Roman" w:hAnsi="Times New Roman" w:cs="Times New Roman"/>
          <w:sz w:val="24"/>
          <w:szCs w:val="24"/>
        </w:rPr>
        <w:t>, respectively.</w:t>
      </w:r>
    </w:p>
    <w:p w14:paraId="14AF08C9" w14:textId="3350BC41" w:rsidR="000057B7" w:rsidRPr="000057B7" w:rsidRDefault="000057B7" w:rsidP="00BF7E9E">
      <w:pPr>
        <w:spacing w:line="360" w:lineRule="auto"/>
        <w:rPr>
          <w:rFonts w:ascii="Times New Roman" w:hAnsi="Times New Roman" w:cs="Times New Roman"/>
          <w:sz w:val="24"/>
          <w:szCs w:val="24"/>
        </w:rPr>
      </w:pPr>
      <w:r w:rsidRPr="000057B7">
        <w:rPr>
          <w:rFonts w:ascii="Times New Roman" w:hAnsi="Times New Roman" w:cs="Times New Roman"/>
          <w:sz w:val="24"/>
          <w:szCs w:val="24"/>
        </w:rPr>
        <w:t xml:space="preserve">Figure 3. (A) Fixed connections and driving inputs of dynamic causal models comprising the model space. Six linear models and five nonlinear models were initially defined. The modulatory effects of stopping at 1. IFG, 2. </w:t>
      </w:r>
      <w:proofErr w:type="spellStart"/>
      <w:r w:rsidRPr="000057B7">
        <w:rPr>
          <w:rFonts w:ascii="Times New Roman" w:hAnsi="Times New Roman" w:cs="Times New Roman"/>
          <w:sz w:val="24"/>
          <w:szCs w:val="24"/>
        </w:rPr>
        <w:t>dACC</w:t>
      </w:r>
      <w:proofErr w:type="spellEnd"/>
      <w:r w:rsidRPr="000057B7">
        <w:rPr>
          <w:rFonts w:ascii="Times New Roman" w:hAnsi="Times New Roman" w:cs="Times New Roman"/>
          <w:sz w:val="24"/>
          <w:szCs w:val="24"/>
        </w:rPr>
        <w:t xml:space="preserve">, 3. PUT, resulted in 3x11=33 models. The winning models as revealed by BMS are highlighted for the CUD group (in red) and for the control group (in blue). IFG, inferior frontal gyrus; </w:t>
      </w:r>
      <w:proofErr w:type="spellStart"/>
      <w:r w:rsidRPr="000057B7">
        <w:rPr>
          <w:rFonts w:ascii="Times New Roman" w:hAnsi="Times New Roman" w:cs="Times New Roman"/>
          <w:sz w:val="24"/>
          <w:szCs w:val="24"/>
        </w:rPr>
        <w:t>dACC</w:t>
      </w:r>
      <w:proofErr w:type="spellEnd"/>
      <w:r w:rsidRPr="000057B7">
        <w:rPr>
          <w:rFonts w:ascii="Times New Roman" w:hAnsi="Times New Roman" w:cs="Times New Roman"/>
          <w:sz w:val="24"/>
          <w:szCs w:val="24"/>
        </w:rPr>
        <w:t xml:space="preserve">, </w:t>
      </w:r>
      <w:proofErr w:type="spellStart"/>
      <w:r w:rsidRPr="000057B7">
        <w:rPr>
          <w:rFonts w:ascii="Times New Roman" w:hAnsi="Times New Roman" w:cs="Times New Roman"/>
          <w:sz w:val="24"/>
          <w:szCs w:val="24"/>
        </w:rPr>
        <w:t>dACC</w:t>
      </w:r>
      <w:proofErr w:type="spellEnd"/>
      <w:r w:rsidRPr="000057B7">
        <w:rPr>
          <w:rFonts w:ascii="Times New Roman" w:hAnsi="Times New Roman" w:cs="Times New Roman"/>
          <w:sz w:val="24"/>
          <w:szCs w:val="24"/>
        </w:rPr>
        <w:t xml:space="preserve"> dorsal anterior cingulate; STN, subthalamic nucleus; M1, motor cortex; PUT, putamen. </w:t>
      </w:r>
      <w:r w:rsidR="001F364B">
        <w:rPr>
          <w:rFonts w:ascii="Times New Roman" w:hAnsi="Times New Roman" w:cs="Times New Roman"/>
          <w:sz w:val="24"/>
          <w:szCs w:val="24"/>
        </w:rPr>
        <w:t xml:space="preserve">Black arrows show </w:t>
      </w:r>
      <w:r w:rsidR="00372B3C">
        <w:rPr>
          <w:rFonts w:ascii="Times New Roman" w:hAnsi="Times New Roman" w:cs="Times New Roman"/>
          <w:sz w:val="24"/>
          <w:szCs w:val="24"/>
        </w:rPr>
        <w:t>driving inputs</w:t>
      </w:r>
      <w:r w:rsidR="00351223">
        <w:rPr>
          <w:rFonts w:ascii="Times New Roman" w:hAnsi="Times New Roman" w:cs="Times New Roman"/>
          <w:sz w:val="24"/>
          <w:szCs w:val="24"/>
        </w:rPr>
        <w:t xml:space="preserve"> to the </w:t>
      </w:r>
      <w:proofErr w:type="spellStart"/>
      <w:r w:rsidR="00E5045A">
        <w:rPr>
          <w:rFonts w:ascii="Times New Roman" w:hAnsi="Times New Roman" w:cs="Times New Roman"/>
          <w:sz w:val="24"/>
          <w:szCs w:val="24"/>
        </w:rPr>
        <w:t>dACC</w:t>
      </w:r>
      <w:proofErr w:type="spellEnd"/>
      <w:r w:rsidR="00E5045A">
        <w:rPr>
          <w:rFonts w:ascii="Times New Roman" w:hAnsi="Times New Roman" w:cs="Times New Roman"/>
          <w:sz w:val="24"/>
          <w:szCs w:val="24"/>
        </w:rPr>
        <w:t xml:space="preserve"> and IFG</w:t>
      </w:r>
      <w:r w:rsidR="00372B3C">
        <w:rPr>
          <w:rFonts w:ascii="Times New Roman" w:hAnsi="Times New Roman" w:cs="Times New Roman"/>
          <w:sz w:val="24"/>
          <w:szCs w:val="24"/>
        </w:rPr>
        <w:t xml:space="preserve">. </w:t>
      </w:r>
      <w:r w:rsidR="00CF526B">
        <w:rPr>
          <w:rFonts w:ascii="Times New Roman" w:hAnsi="Times New Roman" w:cs="Times New Roman"/>
          <w:sz w:val="24"/>
          <w:szCs w:val="24"/>
        </w:rPr>
        <w:t xml:space="preserve">Modulatory </w:t>
      </w:r>
      <w:r w:rsidR="00491F2B">
        <w:rPr>
          <w:rFonts w:ascii="Times New Roman" w:hAnsi="Times New Roman" w:cs="Times New Roman"/>
          <w:sz w:val="24"/>
          <w:szCs w:val="24"/>
        </w:rPr>
        <w:t>inputs varied in their location</w:t>
      </w:r>
      <w:r w:rsidR="00E670E1">
        <w:rPr>
          <w:rFonts w:ascii="Times New Roman" w:hAnsi="Times New Roman" w:cs="Times New Roman"/>
          <w:sz w:val="24"/>
          <w:szCs w:val="24"/>
        </w:rPr>
        <w:t xml:space="preserve">. </w:t>
      </w:r>
    </w:p>
    <w:p w14:paraId="4E3D8A10" w14:textId="3ED3081A" w:rsidR="000057B7" w:rsidRDefault="000057B7" w:rsidP="00BF7E9E">
      <w:pPr>
        <w:spacing w:line="360" w:lineRule="auto"/>
        <w:rPr>
          <w:rFonts w:ascii="Times New Roman" w:hAnsi="Times New Roman" w:cs="Times New Roman"/>
          <w:sz w:val="24"/>
          <w:szCs w:val="24"/>
        </w:rPr>
      </w:pPr>
      <w:r w:rsidRPr="000057B7">
        <w:rPr>
          <w:rFonts w:ascii="Times New Roman" w:hAnsi="Times New Roman" w:cs="Times New Roman"/>
          <w:sz w:val="24"/>
          <w:szCs w:val="24"/>
        </w:rPr>
        <w:t xml:space="preserve">Figure 3 (B). Results of Bayesian Model Averaging for control and CUD groups on placebo and atomoxetine. Average parameter estimates for the control and cocaine groups in placebo and atomoxetine conditions in winning DCM model (nonlinear model D on placebo and linear model C on atomoxetine). Bolded connections were significantly different from 0 (one-sample t-tests, uncorrected for multiple comparisons). Autoinhibitory and auto-excitatory connections for IFG, PUT, STN and M1 are not shown. Task modulation locations are highlighted </w:t>
      </w:r>
      <w:r w:rsidR="00FE3BDB">
        <w:rPr>
          <w:rFonts w:ascii="Times New Roman" w:hAnsi="Times New Roman" w:cs="Times New Roman"/>
          <w:sz w:val="24"/>
          <w:szCs w:val="24"/>
        </w:rPr>
        <w:t xml:space="preserve">using </w:t>
      </w:r>
      <w:r w:rsidR="00C52708">
        <w:rPr>
          <w:rFonts w:ascii="Times New Roman" w:hAnsi="Times New Roman" w:cs="Times New Roman"/>
          <w:sz w:val="24"/>
          <w:szCs w:val="24"/>
        </w:rPr>
        <w:t xml:space="preserve">dotted </w:t>
      </w:r>
      <w:r w:rsidRPr="000057B7">
        <w:rPr>
          <w:rFonts w:ascii="Times New Roman" w:hAnsi="Times New Roman" w:cs="Times New Roman"/>
          <w:sz w:val="24"/>
          <w:szCs w:val="24"/>
        </w:rPr>
        <w:t>red</w:t>
      </w:r>
      <w:r w:rsidR="00EE6634">
        <w:rPr>
          <w:rFonts w:ascii="Times New Roman" w:hAnsi="Times New Roman" w:cs="Times New Roman"/>
          <w:sz w:val="24"/>
          <w:szCs w:val="24"/>
        </w:rPr>
        <w:t xml:space="preserve"> </w:t>
      </w:r>
      <w:r w:rsidR="00252B2F">
        <w:rPr>
          <w:rFonts w:ascii="Times New Roman" w:hAnsi="Times New Roman" w:cs="Times New Roman"/>
          <w:sz w:val="24"/>
          <w:szCs w:val="24"/>
        </w:rPr>
        <w:t xml:space="preserve">arrows </w:t>
      </w:r>
      <w:r w:rsidR="00EE6634">
        <w:rPr>
          <w:rFonts w:ascii="Times New Roman" w:hAnsi="Times New Roman" w:cs="Times New Roman"/>
          <w:sz w:val="24"/>
          <w:szCs w:val="24"/>
        </w:rPr>
        <w:t xml:space="preserve">and driving inputs to the </w:t>
      </w:r>
      <w:proofErr w:type="spellStart"/>
      <w:r w:rsidR="00EE6634">
        <w:rPr>
          <w:rFonts w:ascii="Times New Roman" w:hAnsi="Times New Roman" w:cs="Times New Roman"/>
          <w:sz w:val="24"/>
          <w:szCs w:val="24"/>
        </w:rPr>
        <w:t>dACC</w:t>
      </w:r>
      <w:proofErr w:type="spellEnd"/>
      <w:r w:rsidR="00EE6634">
        <w:rPr>
          <w:rFonts w:ascii="Times New Roman" w:hAnsi="Times New Roman" w:cs="Times New Roman"/>
          <w:sz w:val="24"/>
          <w:szCs w:val="24"/>
        </w:rPr>
        <w:t xml:space="preserve"> and IFG</w:t>
      </w:r>
      <w:r w:rsidR="002D2EB0">
        <w:rPr>
          <w:rFonts w:ascii="Times New Roman" w:hAnsi="Times New Roman" w:cs="Times New Roman"/>
          <w:sz w:val="24"/>
          <w:szCs w:val="24"/>
        </w:rPr>
        <w:t xml:space="preserve"> are shown in black arrows</w:t>
      </w:r>
      <w:r w:rsidRPr="000057B7">
        <w:rPr>
          <w:rFonts w:ascii="Times New Roman" w:hAnsi="Times New Roman" w:cs="Times New Roman"/>
          <w:sz w:val="24"/>
          <w:szCs w:val="24"/>
        </w:rPr>
        <w:t xml:space="preserve">. (B). IFG, inferior frontal gyrus; </w:t>
      </w:r>
      <w:proofErr w:type="spellStart"/>
      <w:r w:rsidRPr="000057B7">
        <w:rPr>
          <w:rFonts w:ascii="Times New Roman" w:hAnsi="Times New Roman" w:cs="Times New Roman"/>
          <w:sz w:val="24"/>
          <w:szCs w:val="24"/>
        </w:rPr>
        <w:t>dACC</w:t>
      </w:r>
      <w:proofErr w:type="spellEnd"/>
      <w:r w:rsidRPr="000057B7">
        <w:rPr>
          <w:rFonts w:ascii="Times New Roman" w:hAnsi="Times New Roman" w:cs="Times New Roman"/>
          <w:sz w:val="24"/>
          <w:szCs w:val="24"/>
        </w:rPr>
        <w:t>, STN, M1, primary motor cortex; PUT, putamen</w:t>
      </w:r>
    </w:p>
    <w:p w14:paraId="40EA9A52" w14:textId="032F2392" w:rsidR="0057276F" w:rsidRDefault="0057276F" w:rsidP="00BF7E9E">
      <w:pPr>
        <w:spacing w:line="360" w:lineRule="auto"/>
        <w:rPr>
          <w:rFonts w:ascii="Times New Roman" w:hAnsi="Times New Roman" w:cs="Times New Roman"/>
          <w:sz w:val="24"/>
          <w:szCs w:val="24"/>
        </w:rPr>
      </w:pPr>
    </w:p>
    <w:p w14:paraId="42743B1B" w14:textId="000C54F4" w:rsidR="0057276F" w:rsidRDefault="0057276F" w:rsidP="00BF7E9E">
      <w:pPr>
        <w:spacing w:line="360" w:lineRule="auto"/>
        <w:rPr>
          <w:rFonts w:ascii="Times New Roman" w:hAnsi="Times New Roman" w:cs="Times New Roman"/>
          <w:sz w:val="24"/>
          <w:szCs w:val="24"/>
        </w:rPr>
      </w:pPr>
    </w:p>
    <w:p w14:paraId="554EABEB" w14:textId="77777777" w:rsidR="00C05D6D" w:rsidRDefault="00C05D6D" w:rsidP="00BF7E9E">
      <w:pPr>
        <w:spacing w:line="360" w:lineRule="auto"/>
        <w:rPr>
          <w:rFonts w:ascii="Times New Roman" w:hAnsi="Times New Roman" w:cs="Times New Roman"/>
          <w:sz w:val="24"/>
          <w:szCs w:val="24"/>
        </w:rPr>
      </w:pPr>
    </w:p>
    <w:p w14:paraId="40E686DE" w14:textId="77777777" w:rsidR="00C05D6D" w:rsidRDefault="00C05D6D" w:rsidP="00BF7E9E">
      <w:pPr>
        <w:spacing w:line="360" w:lineRule="auto"/>
        <w:rPr>
          <w:rFonts w:ascii="Times New Roman" w:hAnsi="Times New Roman" w:cs="Times New Roman"/>
          <w:sz w:val="24"/>
          <w:szCs w:val="24"/>
        </w:rPr>
      </w:pPr>
    </w:p>
    <w:p w14:paraId="7423CC76" w14:textId="59088043" w:rsidR="0057276F" w:rsidRDefault="00C05D6D" w:rsidP="00BF7E9E">
      <w:pPr>
        <w:spacing w:line="36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79B4F2B" wp14:editId="2D4DD2DE">
            <wp:extent cx="5722620" cy="4267200"/>
            <wp:effectExtent l="0" t="0" r="0" b="0"/>
            <wp:docPr id="1" name="Picture 1" descr="Figure 1 - Brain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Figure 1 - Brain image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22620" cy="4267200"/>
                    </a:xfrm>
                    <a:prstGeom prst="rect">
                      <a:avLst/>
                    </a:prstGeom>
                    <a:noFill/>
                    <a:ln>
                      <a:noFill/>
                    </a:ln>
                  </pic:spPr>
                </pic:pic>
              </a:graphicData>
            </a:graphic>
          </wp:inline>
        </w:drawing>
      </w:r>
    </w:p>
    <w:p w14:paraId="362D7E1B" w14:textId="0A4B9DA4" w:rsidR="00C05D6D" w:rsidRDefault="00C05D6D" w:rsidP="00BF7E9E">
      <w:pPr>
        <w:spacing w:line="360" w:lineRule="auto"/>
        <w:rPr>
          <w:rFonts w:ascii="Times New Roman" w:hAnsi="Times New Roman" w:cs="Times New Roman"/>
          <w:sz w:val="24"/>
          <w:szCs w:val="24"/>
        </w:rPr>
      </w:pPr>
    </w:p>
    <w:p w14:paraId="11EB492A" w14:textId="0A6286A9" w:rsidR="00C05D6D" w:rsidRDefault="00C05D6D" w:rsidP="00BF7E9E">
      <w:pPr>
        <w:spacing w:line="360" w:lineRule="auto"/>
        <w:rPr>
          <w:rFonts w:ascii="Times New Roman" w:hAnsi="Times New Roman" w:cs="Times New Roman"/>
          <w:sz w:val="24"/>
          <w:szCs w:val="24"/>
        </w:rPr>
      </w:pPr>
    </w:p>
    <w:p w14:paraId="00D4AFEE" w14:textId="7A6DE937" w:rsidR="00C05D6D" w:rsidRDefault="00C05D6D" w:rsidP="00BF7E9E">
      <w:pPr>
        <w:spacing w:line="360" w:lineRule="auto"/>
        <w:rPr>
          <w:rFonts w:ascii="Times New Roman" w:hAnsi="Times New Roman" w:cs="Times New Roman"/>
          <w:sz w:val="24"/>
          <w:szCs w:val="24"/>
        </w:rPr>
      </w:pPr>
    </w:p>
    <w:p w14:paraId="6598E62E" w14:textId="1CF71018" w:rsidR="00C05D6D" w:rsidRPr="000057B7" w:rsidRDefault="00C05D6D" w:rsidP="00BF7E9E">
      <w:pPr>
        <w:spacing w:line="36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27E00DC" wp14:editId="6347044F">
            <wp:extent cx="5722620" cy="4023360"/>
            <wp:effectExtent l="0" t="0" r="0" b="0"/>
            <wp:docPr id="3" name="Picture 3" descr="Figure 2 - Brain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Figure 2 - Brain image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2620" cy="4023360"/>
                    </a:xfrm>
                    <a:prstGeom prst="rect">
                      <a:avLst/>
                    </a:prstGeom>
                    <a:noFill/>
                    <a:ln>
                      <a:noFill/>
                    </a:ln>
                  </pic:spPr>
                </pic:pic>
              </a:graphicData>
            </a:graphic>
          </wp:inline>
        </w:drawing>
      </w:r>
    </w:p>
    <w:p w14:paraId="2A013FE9" w14:textId="4D31258F" w:rsidR="00ED7ECA" w:rsidRDefault="00ED7ECA" w:rsidP="00BF7E9E">
      <w:pPr>
        <w:spacing w:line="360" w:lineRule="auto"/>
        <w:rPr>
          <w:rFonts w:ascii="Times New Roman" w:hAnsi="Times New Roman" w:cs="Times New Roman"/>
          <w:sz w:val="24"/>
          <w:szCs w:val="24"/>
        </w:rPr>
      </w:pPr>
    </w:p>
    <w:p w14:paraId="717ACBAB" w14:textId="0EE44E78" w:rsidR="00C05D6D" w:rsidRDefault="00C05D6D" w:rsidP="00BF7E9E">
      <w:pPr>
        <w:spacing w:line="360" w:lineRule="auto"/>
        <w:rPr>
          <w:rFonts w:ascii="Times New Roman" w:hAnsi="Times New Roman" w:cs="Times New Roman"/>
          <w:sz w:val="24"/>
          <w:szCs w:val="24"/>
        </w:rPr>
      </w:pPr>
    </w:p>
    <w:p w14:paraId="67A30212" w14:textId="73935A62" w:rsidR="00C05D6D" w:rsidRDefault="00C05D6D" w:rsidP="00BF7E9E">
      <w:pPr>
        <w:spacing w:line="360" w:lineRule="auto"/>
        <w:rPr>
          <w:rFonts w:ascii="Times New Roman" w:hAnsi="Times New Roman" w:cs="Times New Roman"/>
          <w:sz w:val="24"/>
          <w:szCs w:val="24"/>
        </w:rPr>
      </w:pPr>
    </w:p>
    <w:p w14:paraId="76FF4661" w14:textId="3A3BDCEB" w:rsidR="00C05D6D" w:rsidRDefault="00C05D6D" w:rsidP="00BF7E9E">
      <w:pPr>
        <w:spacing w:line="360" w:lineRule="auto"/>
        <w:rPr>
          <w:rFonts w:ascii="Times New Roman" w:hAnsi="Times New Roman" w:cs="Times New Roman"/>
          <w:sz w:val="24"/>
          <w:szCs w:val="24"/>
        </w:rPr>
      </w:pPr>
    </w:p>
    <w:p w14:paraId="2596E995" w14:textId="298BB42D" w:rsidR="00C05D6D" w:rsidRDefault="00C05D6D" w:rsidP="00BF7E9E">
      <w:pPr>
        <w:spacing w:line="360" w:lineRule="auto"/>
        <w:rPr>
          <w:rFonts w:ascii="Times New Roman" w:hAnsi="Times New Roman" w:cs="Times New Roman"/>
          <w:sz w:val="24"/>
          <w:szCs w:val="24"/>
        </w:rPr>
      </w:pPr>
    </w:p>
    <w:p w14:paraId="6F8BDAEA" w14:textId="021C6E9B" w:rsidR="00C05D6D" w:rsidRDefault="00C05D6D" w:rsidP="00BF7E9E">
      <w:pPr>
        <w:spacing w:line="36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7FABCDD4" wp14:editId="515B6750">
            <wp:extent cx="5730240" cy="3764280"/>
            <wp:effectExtent l="0" t="0" r="3810" b="7620"/>
            <wp:docPr id="4" name="Picture 4" descr="Figure 3 -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Figure 3 - Diagra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0240" cy="3764280"/>
                    </a:xfrm>
                    <a:prstGeom prst="rect">
                      <a:avLst/>
                    </a:prstGeom>
                    <a:noFill/>
                    <a:ln>
                      <a:noFill/>
                    </a:ln>
                  </pic:spPr>
                </pic:pic>
              </a:graphicData>
            </a:graphic>
          </wp:inline>
        </w:drawing>
      </w:r>
    </w:p>
    <w:p w14:paraId="17CBD600" w14:textId="46E56C56" w:rsidR="00C05D6D" w:rsidRDefault="00C05D6D" w:rsidP="00BF7E9E">
      <w:pPr>
        <w:spacing w:line="360" w:lineRule="auto"/>
        <w:rPr>
          <w:rFonts w:ascii="Times New Roman" w:hAnsi="Times New Roman" w:cs="Times New Roman"/>
          <w:sz w:val="24"/>
          <w:szCs w:val="24"/>
        </w:rPr>
      </w:pPr>
    </w:p>
    <w:p w14:paraId="6A7A01D8" w14:textId="65A5BD2B" w:rsidR="00C05D6D" w:rsidRDefault="00C05D6D" w:rsidP="00BF7E9E">
      <w:pPr>
        <w:spacing w:line="360" w:lineRule="auto"/>
        <w:rPr>
          <w:rFonts w:ascii="Times New Roman" w:hAnsi="Times New Roman" w:cs="Times New Roman"/>
          <w:sz w:val="24"/>
          <w:szCs w:val="24"/>
        </w:rPr>
      </w:pPr>
    </w:p>
    <w:p w14:paraId="22570492" w14:textId="7F5728BB" w:rsidR="00C05D6D" w:rsidRDefault="00C05D6D" w:rsidP="00BF7E9E">
      <w:pPr>
        <w:spacing w:line="360" w:lineRule="auto"/>
        <w:rPr>
          <w:rFonts w:ascii="Times New Roman" w:hAnsi="Times New Roman" w:cs="Times New Roman"/>
          <w:sz w:val="24"/>
          <w:szCs w:val="24"/>
        </w:rPr>
      </w:pPr>
    </w:p>
    <w:p w14:paraId="4DC28A04" w14:textId="484A8FA6" w:rsidR="0020610C" w:rsidRDefault="0020610C">
      <w:pPr>
        <w:rPr>
          <w:rFonts w:ascii="Times New Roman" w:hAnsi="Times New Roman" w:cs="Times New Roman"/>
          <w:sz w:val="24"/>
          <w:szCs w:val="24"/>
        </w:rPr>
      </w:pPr>
      <w:r>
        <w:rPr>
          <w:rFonts w:ascii="Times New Roman" w:hAnsi="Times New Roman" w:cs="Times New Roman"/>
          <w:sz w:val="24"/>
          <w:szCs w:val="24"/>
        </w:rPr>
        <w:br w:type="page"/>
      </w:r>
    </w:p>
    <w:p w14:paraId="4728703E" w14:textId="05F63990" w:rsidR="000B7DB7" w:rsidRDefault="0020610C" w:rsidP="0020610C">
      <w:pPr>
        <w:pStyle w:val="paragraph"/>
        <w:spacing w:before="0" w:beforeAutospacing="0" w:after="0" w:afterAutospacing="0" w:line="360" w:lineRule="auto"/>
        <w:textAlignment w:val="baseline"/>
        <w:rPr>
          <w:rStyle w:val="normaltextrun"/>
          <w:rFonts w:asciiTheme="majorBidi" w:hAnsiTheme="majorBidi" w:cstheme="majorBidi"/>
          <w:sz w:val="28"/>
          <w:szCs w:val="28"/>
        </w:rPr>
      </w:pPr>
      <w:r w:rsidRPr="001D1816">
        <w:rPr>
          <w:rStyle w:val="normaltextrun"/>
          <w:rFonts w:asciiTheme="majorBidi" w:hAnsiTheme="majorBidi" w:cstheme="majorBidi"/>
          <w:sz w:val="28"/>
          <w:szCs w:val="28"/>
        </w:rPr>
        <w:lastRenderedPageBreak/>
        <w:t xml:space="preserve">Prefrontal cortex activation </w:t>
      </w:r>
      <w:r>
        <w:rPr>
          <w:rStyle w:val="normaltextrun"/>
          <w:rFonts w:asciiTheme="majorBidi" w:hAnsiTheme="majorBidi" w:cstheme="majorBidi"/>
          <w:sz w:val="28"/>
          <w:szCs w:val="28"/>
        </w:rPr>
        <w:t xml:space="preserve">and stopping performance </w:t>
      </w:r>
      <w:r w:rsidRPr="001D1816">
        <w:rPr>
          <w:rStyle w:val="normaltextrun"/>
          <w:rFonts w:asciiTheme="majorBidi" w:hAnsiTheme="majorBidi" w:cstheme="majorBidi"/>
          <w:sz w:val="28"/>
          <w:szCs w:val="28"/>
        </w:rPr>
        <w:t xml:space="preserve">underlie </w:t>
      </w:r>
      <w:r>
        <w:rPr>
          <w:rStyle w:val="normaltextrun"/>
          <w:rFonts w:asciiTheme="majorBidi" w:hAnsiTheme="majorBidi" w:cstheme="majorBidi"/>
          <w:sz w:val="28"/>
          <w:szCs w:val="28"/>
        </w:rPr>
        <w:t xml:space="preserve">the </w:t>
      </w:r>
      <w:r w:rsidRPr="001D1816">
        <w:rPr>
          <w:rStyle w:val="normaltextrun"/>
          <w:rFonts w:asciiTheme="majorBidi" w:hAnsiTheme="majorBidi" w:cstheme="majorBidi"/>
          <w:sz w:val="28"/>
          <w:szCs w:val="28"/>
        </w:rPr>
        <w:t xml:space="preserve">beneficial effects of atomoxetine on response inhibition in healthy and cocaine </w:t>
      </w:r>
      <w:r>
        <w:rPr>
          <w:rStyle w:val="normaltextrun"/>
          <w:rFonts w:asciiTheme="majorBidi" w:hAnsiTheme="majorBidi" w:cstheme="majorBidi"/>
          <w:sz w:val="28"/>
          <w:szCs w:val="28"/>
        </w:rPr>
        <w:t>use disorder</w:t>
      </w:r>
      <w:r w:rsidRPr="001D1816">
        <w:rPr>
          <w:rStyle w:val="normaltextrun"/>
          <w:rFonts w:asciiTheme="majorBidi" w:hAnsiTheme="majorBidi" w:cstheme="majorBidi"/>
          <w:sz w:val="28"/>
          <w:szCs w:val="28"/>
        </w:rPr>
        <w:t xml:space="preserve"> </w:t>
      </w:r>
      <w:r>
        <w:rPr>
          <w:rStyle w:val="normaltextrun"/>
          <w:rFonts w:asciiTheme="majorBidi" w:hAnsiTheme="majorBidi" w:cstheme="majorBidi"/>
          <w:sz w:val="28"/>
          <w:szCs w:val="28"/>
        </w:rPr>
        <w:t xml:space="preserve">volunteers </w:t>
      </w:r>
      <w:r w:rsidR="000B7DB7">
        <w:rPr>
          <w:rStyle w:val="normaltextrun"/>
          <w:rFonts w:asciiTheme="majorBidi" w:hAnsiTheme="majorBidi" w:cstheme="majorBidi"/>
          <w:sz w:val="28"/>
          <w:szCs w:val="28"/>
        </w:rPr>
        <w:t>–</w:t>
      </w:r>
      <w:r>
        <w:rPr>
          <w:rStyle w:val="normaltextrun"/>
          <w:rFonts w:asciiTheme="majorBidi" w:hAnsiTheme="majorBidi" w:cstheme="majorBidi"/>
          <w:sz w:val="28"/>
          <w:szCs w:val="28"/>
        </w:rPr>
        <w:t xml:space="preserve"> </w:t>
      </w:r>
    </w:p>
    <w:p w14:paraId="0F3E449A" w14:textId="38B30736" w:rsidR="0020610C" w:rsidRDefault="0020610C" w:rsidP="000B7DB7">
      <w:pPr>
        <w:pStyle w:val="Heading1"/>
        <w:rPr>
          <w:rStyle w:val="normaltextrun"/>
          <w:rFonts w:asciiTheme="majorBidi" w:hAnsiTheme="majorBidi" w:cstheme="majorBidi"/>
          <w:color w:val="FF0000"/>
          <w:sz w:val="28"/>
          <w:szCs w:val="28"/>
        </w:rPr>
      </w:pPr>
      <w:r w:rsidRPr="0020610C">
        <w:rPr>
          <w:rStyle w:val="normaltextrun"/>
          <w:rFonts w:asciiTheme="majorBidi" w:hAnsiTheme="majorBidi" w:cstheme="majorBidi"/>
          <w:bCs/>
          <w:sz w:val="28"/>
          <w:szCs w:val="28"/>
        </w:rPr>
        <w:t>Supplementary Information</w:t>
      </w:r>
    </w:p>
    <w:p w14:paraId="62DA7C52" w14:textId="77777777" w:rsidR="0020610C" w:rsidRPr="005D3CD3" w:rsidRDefault="0020610C" w:rsidP="0020610C">
      <w:pPr>
        <w:pStyle w:val="paragraph"/>
        <w:spacing w:before="0" w:beforeAutospacing="0" w:after="0" w:afterAutospacing="0" w:line="360" w:lineRule="auto"/>
        <w:textAlignment w:val="baseline"/>
        <w:rPr>
          <w:sz w:val="28"/>
          <w:szCs w:val="28"/>
        </w:rPr>
      </w:pPr>
    </w:p>
    <w:p w14:paraId="72E02E5A" w14:textId="77777777" w:rsidR="0020610C" w:rsidRPr="000A54C4" w:rsidRDefault="0020610C" w:rsidP="0020610C">
      <w:pPr>
        <w:pStyle w:val="paragraph"/>
        <w:spacing w:before="0" w:beforeAutospacing="0" w:after="0" w:afterAutospacing="0" w:line="360" w:lineRule="auto"/>
        <w:textAlignment w:val="baseline"/>
        <w:rPr>
          <w:rFonts w:asciiTheme="majorBidi" w:hAnsiTheme="majorBidi" w:cstheme="majorBidi"/>
        </w:rPr>
      </w:pPr>
      <w:r w:rsidRPr="00EA5287">
        <w:rPr>
          <w:rStyle w:val="normaltextrun"/>
          <w:rFonts w:asciiTheme="majorBidi" w:hAnsiTheme="majorBidi" w:cstheme="majorBidi"/>
        </w:rPr>
        <w:t>Peter </w:t>
      </w:r>
      <w:proofErr w:type="spellStart"/>
      <w:r w:rsidRPr="00EA5287">
        <w:rPr>
          <w:rStyle w:val="spellingerror"/>
          <w:rFonts w:asciiTheme="majorBidi" w:hAnsiTheme="majorBidi" w:cstheme="majorBidi"/>
        </w:rPr>
        <w:t>Zhukovsky</w:t>
      </w:r>
      <w:proofErr w:type="spellEnd"/>
      <w:r w:rsidRPr="00EA5287">
        <w:rPr>
          <w:rStyle w:val="spellingerror"/>
          <w:rFonts w:asciiTheme="majorBidi" w:hAnsiTheme="majorBidi" w:cstheme="majorBidi"/>
          <w:vertAlign w:val="superscript"/>
        </w:rPr>
        <w:t xml:space="preserve"> 1</w:t>
      </w:r>
      <w:r>
        <w:rPr>
          <w:rStyle w:val="spellingerror"/>
          <w:rFonts w:asciiTheme="majorBidi" w:hAnsiTheme="majorBidi" w:cstheme="majorBidi"/>
          <w:vertAlign w:val="superscript"/>
        </w:rPr>
        <w:t>,2</w:t>
      </w:r>
      <w:r w:rsidRPr="00EA5287">
        <w:rPr>
          <w:rStyle w:val="normaltextrun"/>
          <w:rFonts w:asciiTheme="majorBidi" w:hAnsiTheme="majorBidi" w:cstheme="majorBidi"/>
        </w:rPr>
        <w:t>*, Sharon </w:t>
      </w:r>
      <w:r w:rsidRPr="00EA5287">
        <w:rPr>
          <w:rStyle w:val="spellingerror"/>
          <w:rFonts w:asciiTheme="majorBidi" w:hAnsiTheme="majorBidi" w:cstheme="majorBidi"/>
        </w:rPr>
        <w:t>Morein-Zamir</w:t>
      </w:r>
      <w:r>
        <w:rPr>
          <w:rStyle w:val="spellingerror"/>
          <w:rFonts w:asciiTheme="majorBidi" w:hAnsiTheme="majorBidi" w:cstheme="majorBidi"/>
          <w:vertAlign w:val="superscript"/>
        </w:rPr>
        <w:t>3</w:t>
      </w:r>
      <w:r w:rsidRPr="000A54C4">
        <w:rPr>
          <w:rStyle w:val="normaltextrun"/>
          <w:rFonts w:asciiTheme="majorBidi" w:hAnsiTheme="majorBidi" w:cstheme="majorBidi"/>
        </w:rPr>
        <w:t>*, Hisham Ziauddeen</w:t>
      </w:r>
      <w:r w:rsidRPr="00F737E4">
        <w:rPr>
          <w:rStyle w:val="normaltextrun"/>
          <w:rFonts w:asciiTheme="majorBidi" w:hAnsiTheme="majorBidi" w:cstheme="majorBidi"/>
          <w:vertAlign w:val="superscript"/>
        </w:rPr>
        <w:t>1</w:t>
      </w:r>
      <w:r>
        <w:rPr>
          <w:rStyle w:val="normaltextrun"/>
          <w:rFonts w:asciiTheme="majorBidi" w:hAnsiTheme="majorBidi" w:cstheme="majorBidi"/>
          <w:vertAlign w:val="superscript"/>
        </w:rPr>
        <w:t>,4</w:t>
      </w:r>
      <w:r w:rsidRPr="000A54C4">
        <w:rPr>
          <w:rStyle w:val="normaltextrun"/>
          <w:rFonts w:asciiTheme="majorBidi" w:hAnsiTheme="majorBidi" w:cstheme="majorBidi"/>
        </w:rPr>
        <w:t>, Emilio Fernandez-Egea</w:t>
      </w:r>
      <w:r w:rsidRPr="00BB3099">
        <w:rPr>
          <w:rStyle w:val="normaltextrun"/>
          <w:rFonts w:asciiTheme="majorBidi" w:hAnsiTheme="majorBidi" w:cstheme="majorBidi"/>
          <w:vertAlign w:val="superscript"/>
        </w:rPr>
        <w:t>1</w:t>
      </w:r>
      <w:r>
        <w:rPr>
          <w:rStyle w:val="normaltextrun"/>
          <w:rFonts w:asciiTheme="majorBidi" w:hAnsiTheme="majorBidi" w:cstheme="majorBidi"/>
          <w:vertAlign w:val="superscript"/>
        </w:rPr>
        <w:t>,4</w:t>
      </w:r>
      <w:r w:rsidRPr="000A54C4">
        <w:rPr>
          <w:rStyle w:val="normaltextrun"/>
          <w:rFonts w:asciiTheme="majorBidi" w:hAnsiTheme="majorBidi" w:cstheme="majorBidi"/>
        </w:rPr>
        <w:t>, Chun Meng</w:t>
      </w:r>
      <w:r w:rsidRPr="000A54C4">
        <w:rPr>
          <w:rStyle w:val="normaltextrun"/>
          <w:rFonts w:asciiTheme="majorBidi" w:hAnsiTheme="majorBidi" w:cstheme="majorBidi"/>
          <w:vertAlign w:val="superscript"/>
        </w:rPr>
        <w:t>1,</w:t>
      </w:r>
      <w:r>
        <w:rPr>
          <w:rStyle w:val="normaltextrun"/>
          <w:rFonts w:asciiTheme="majorBidi" w:hAnsiTheme="majorBidi" w:cstheme="majorBidi"/>
          <w:vertAlign w:val="superscript"/>
        </w:rPr>
        <w:t>5</w:t>
      </w:r>
      <w:r w:rsidRPr="000A54C4">
        <w:rPr>
          <w:rStyle w:val="normaltextrun"/>
          <w:rFonts w:asciiTheme="majorBidi" w:hAnsiTheme="majorBidi" w:cstheme="majorBidi"/>
        </w:rPr>
        <w:t>, Ralf Regenthal</w:t>
      </w:r>
      <w:r>
        <w:rPr>
          <w:rFonts w:asciiTheme="majorBidi" w:hAnsiTheme="majorBidi" w:cstheme="majorBidi"/>
          <w:vertAlign w:val="superscript"/>
        </w:rPr>
        <w:t>6,7</w:t>
      </w:r>
      <w:r w:rsidRPr="000A54C4">
        <w:rPr>
          <w:rStyle w:val="normaltextrun"/>
          <w:rFonts w:asciiTheme="majorBidi" w:hAnsiTheme="majorBidi" w:cstheme="majorBidi"/>
        </w:rPr>
        <w:t>, Barbara J Sahakian</w:t>
      </w:r>
      <w:r w:rsidRPr="00846767">
        <w:rPr>
          <w:rStyle w:val="normaltextrun"/>
          <w:rFonts w:asciiTheme="majorBidi" w:hAnsiTheme="majorBidi" w:cstheme="majorBidi"/>
          <w:vertAlign w:val="superscript"/>
        </w:rPr>
        <w:t>1</w:t>
      </w:r>
      <w:r>
        <w:rPr>
          <w:rStyle w:val="normaltextrun"/>
          <w:rFonts w:asciiTheme="majorBidi" w:hAnsiTheme="majorBidi" w:cstheme="majorBidi"/>
          <w:vertAlign w:val="superscript"/>
        </w:rPr>
        <w:t>,5</w:t>
      </w:r>
      <w:r w:rsidRPr="000A54C4">
        <w:rPr>
          <w:rStyle w:val="normaltextrun"/>
          <w:rFonts w:asciiTheme="majorBidi" w:hAnsiTheme="majorBidi" w:cstheme="majorBidi"/>
        </w:rPr>
        <w:t>, Edward T Bullmore</w:t>
      </w:r>
      <w:r w:rsidRPr="00E14D8C">
        <w:rPr>
          <w:rStyle w:val="normaltextrun"/>
          <w:rFonts w:asciiTheme="majorBidi" w:hAnsiTheme="majorBidi" w:cstheme="majorBidi"/>
          <w:vertAlign w:val="superscript"/>
        </w:rPr>
        <w:t>1</w:t>
      </w:r>
      <w:r>
        <w:rPr>
          <w:rStyle w:val="normaltextrun"/>
          <w:rFonts w:asciiTheme="majorBidi" w:hAnsiTheme="majorBidi" w:cstheme="majorBidi"/>
          <w:vertAlign w:val="superscript"/>
        </w:rPr>
        <w:t>,4,8</w:t>
      </w:r>
      <w:r w:rsidRPr="000A54C4">
        <w:rPr>
          <w:rStyle w:val="normaltextrun"/>
          <w:rFonts w:asciiTheme="majorBidi" w:hAnsiTheme="majorBidi" w:cstheme="majorBidi"/>
        </w:rPr>
        <w:t>, Trevor W Robbins</w:t>
      </w:r>
      <w:r w:rsidRPr="00E14D8C">
        <w:rPr>
          <w:rStyle w:val="normaltextrun"/>
          <w:rFonts w:asciiTheme="majorBidi" w:hAnsiTheme="majorBidi" w:cstheme="majorBidi"/>
          <w:vertAlign w:val="superscript"/>
        </w:rPr>
        <w:t>2</w:t>
      </w:r>
      <w:r>
        <w:rPr>
          <w:rStyle w:val="normaltextrun"/>
          <w:rFonts w:asciiTheme="majorBidi" w:hAnsiTheme="majorBidi" w:cstheme="majorBidi"/>
          <w:vertAlign w:val="superscript"/>
        </w:rPr>
        <w:t>,5</w:t>
      </w:r>
      <w:r w:rsidRPr="000A54C4">
        <w:rPr>
          <w:rStyle w:val="normaltextrun"/>
          <w:rFonts w:asciiTheme="majorBidi" w:hAnsiTheme="majorBidi" w:cstheme="majorBidi"/>
        </w:rPr>
        <w:t>, Jeffrey W </w:t>
      </w:r>
      <w:r w:rsidRPr="000A54C4">
        <w:rPr>
          <w:rStyle w:val="spellingerror"/>
          <w:rFonts w:asciiTheme="majorBidi" w:hAnsiTheme="majorBidi" w:cstheme="majorBidi"/>
        </w:rPr>
        <w:t>Dalley</w:t>
      </w:r>
      <w:r w:rsidRPr="000A54C4">
        <w:rPr>
          <w:rStyle w:val="spellingerror"/>
          <w:rFonts w:asciiTheme="majorBidi" w:hAnsiTheme="majorBidi" w:cstheme="majorBidi"/>
          <w:vertAlign w:val="superscript"/>
        </w:rPr>
        <w:t>1,2</w:t>
      </w:r>
      <w:r>
        <w:rPr>
          <w:rStyle w:val="spellingerror"/>
          <w:rFonts w:asciiTheme="majorBidi" w:hAnsiTheme="majorBidi" w:cstheme="majorBidi"/>
          <w:vertAlign w:val="superscript"/>
        </w:rPr>
        <w:t>,5</w:t>
      </w:r>
      <w:r w:rsidRPr="000A54C4">
        <w:rPr>
          <w:rStyle w:val="normaltextrun"/>
          <w:rFonts w:asciiTheme="majorBidi" w:hAnsiTheme="majorBidi" w:cstheme="majorBidi"/>
        </w:rPr>
        <w:t>, Karen D </w:t>
      </w:r>
      <w:r w:rsidRPr="000A54C4">
        <w:rPr>
          <w:rStyle w:val="spellingerror"/>
          <w:rFonts w:asciiTheme="majorBidi" w:hAnsiTheme="majorBidi" w:cstheme="majorBidi"/>
        </w:rPr>
        <w:t>Ersche</w:t>
      </w:r>
      <w:r w:rsidRPr="000A54C4">
        <w:rPr>
          <w:rStyle w:val="spellingerror"/>
          <w:rFonts w:asciiTheme="majorBidi" w:hAnsiTheme="majorBidi" w:cstheme="majorBidi"/>
          <w:vertAlign w:val="superscript"/>
        </w:rPr>
        <w:t>1,</w:t>
      </w:r>
      <w:r>
        <w:rPr>
          <w:rStyle w:val="spellingerror"/>
          <w:rFonts w:asciiTheme="majorBidi" w:hAnsiTheme="majorBidi" w:cstheme="majorBidi"/>
          <w:vertAlign w:val="superscript"/>
        </w:rPr>
        <w:t>2,5,9†</w:t>
      </w:r>
      <w:r w:rsidRPr="000A54C4">
        <w:rPr>
          <w:rStyle w:val="eop"/>
          <w:rFonts w:asciiTheme="majorBidi" w:hAnsiTheme="majorBidi" w:cstheme="majorBidi"/>
        </w:rPr>
        <w:t> </w:t>
      </w:r>
    </w:p>
    <w:p w14:paraId="1D5F275C" w14:textId="77777777" w:rsidR="0020610C" w:rsidRDefault="0020610C" w:rsidP="0020610C">
      <w:pPr>
        <w:pStyle w:val="paragraph"/>
        <w:spacing w:before="0" w:beforeAutospacing="0" w:after="0" w:afterAutospacing="0" w:line="360" w:lineRule="auto"/>
        <w:textAlignment w:val="baseline"/>
        <w:rPr>
          <w:b/>
          <w:bCs/>
        </w:rPr>
      </w:pPr>
      <w:r w:rsidRPr="00A320B9">
        <w:rPr>
          <w:rStyle w:val="normaltextrun"/>
          <w:rFonts w:asciiTheme="majorBidi" w:hAnsiTheme="majorBidi" w:cstheme="majorBidi"/>
        </w:rPr>
        <w:t>*These authors equally contributed to this manuscript</w:t>
      </w:r>
      <w:r w:rsidRPr="00A320B9">
        <w:rPr>
          <w:rStyle w:val="eop"/>
          <w:rFonts w:asciiTheme="majorBidi" w:hAnsiTheme="majorBidi" w:cstheme="majorBidi"/>
        </w:rPr>
        <w:t> </w:t>
      </w:r>
    </w:p>
    <w:p w14:paraId="6675C737" w14:textId="77777777" w:rsidR="0020610C" w:rsidRDefault="0020610C" w:rsidP="0020610C">
      <w:pPr>
        <w:spacing w:line="480" w:lineRule="auto"/>
        <w:rPr>
          <w:rFonts w:ascii="Times New Roman" w:hAnsi="Times New Roman" w:cs="Times New Roman"/>
          <w:b/>
          <w:bCs/>
          <w:sz w:val="28"/>
          <w:szCs w:val="28"/>
        </w:rPr>
      </w:pPr>
    </w:p>
    <w:p w14:paraId="4F687E2B" w14:textId="77777777" w:rsidR="0020610C" w:rsidRDefault="0020610C" w:rsidP="000B7DB7">
      <w:pPr>
        <w:pStyle w:val="Heading2"/>
      </w:pPr>
      <w:r>
        <w:t>Methods</w:t>
      </w:r>
    </w:p>
    <w:p w14:paraId="76BD14C1" w14:textId="77777777" w:rsidR="0020610C" w:rsidRDefault="0020610C" w:rsidP="0020610C">
      <w:pPr>
        <w:spacing w:line="240" w:lineRule="auto"/>
        <w:rPr>
          <w:rFonts w:ascii="Times New Roman" w:hAnsi="Times New Roman" w:cs="Times New Roman"/>
          <w:i/>
        </w:rPr>
      </w:pPr>
      <w:r w:rsidRPr="004E1CFF">
        <w:rPr>
          <w:rFonts w:ascii="Times New Roman" w:hAnsi="Times New Roman" w:cs="Times New Roman"/>
          <w:i/>
        </w:rPr>
        <w:t>D</w:t>
      </w:r>
      <w:r>
        <w:rPr>
          <w:rFonts w:ascii="Times New Roman" w:hAnsi="Times New Roman" w:cs="Times New Roman"/>
          <w:i/>
        </w:rPr>
        <w:t xml:space="preserve">ynamic </w:t>
      </w:r>
      <w:r w:rsidRPr="004E1CFF">
        <w:rPr>
          <w:rFonts w:ascii="Times New Roman" w:hAnsi="Times New Roman" w:cs="Times New Roman"/>
          <w:i/>
        </w:rPr>
        <w:t>C</w:t>
      </w:r>
      <w:r>
        <w:rPr>
          <w:rFonts w:ascii="Times New Roman" w:hAnsi="Times New Roman" w:cs="Times New Roman"/>
          <w:i/>
        </w:rPr>
        <w:t xml:space="preserve">ausal </w:t>
      </w:r>
      <w:r w:rsidRPr="004E1CFF">
        <w:rPr>
          <w:rFonts w:ascii="Times New Roman" w:hAnsi="Times New Roman" w:cs="Times New Roman"/>
          <w:i/>
        </w:rPr>
        <w:t>M</w:t>
      </w:r>
      <w:r>
        <w:rPr>
          <w:rFonts w:ascii="Times New Roman" w:hAnsi="Times New Roman" w:cs="Times New Roman"/>
          <w:i/>
        </w:rPr>
        <w:t>odelling (DCM) Analyses</w:t>
      </w:r>
      <w:r w:rsidRPr="004E1CFF">
        <w:rPr>
          <w:rFonts w:ascii="Times New Roman" w:hAnsi="Times New Roman" w:cs="Times New Roman"/>
          <w:i/>
        </w:rPr>
        <w:t xml:space="preserve">. </w:t>
      </w:r>
    </w:p>
    <w:p w14:paraId="4ED227D9" w14:textId="77777777" w:rsidR="0020610C" w:rsidRDefault="0020610C" w:rsidP="0020610C">
      <w:pPr>
        <w:spacing w:line="240" w:lineRule="auto"/>
        <w:rPr>
          <w:rFonts w:ascii="Times New Roman" w:hAnsi="Times New Roman" w:cs="Times New Roman"/>
        </w:rPr>
      </w:pPr>
      <w:r>
        <w:rPr>
          <w:rFonts w:ascii="Times New Roman" w:hAnsi="Times New Roman" w:cs="Times New Roman"/>
        </w:rPr>
        <w:t>DCM</w:t>
      </w:r>
      <w:r w:rsidRPr="004E1CFF">
        <w:rPr>
          <w:rFonts w:ascii="Times New Roman" w:hAnsi="Times New Roman" w:cs="Times New Roman"/>
        </w:rPr>
        <w:t xml:space="preserve"> allow</w:t>
      </w:r>
      <w:r>
        <w:rPr>
          <w:rFonts w:ascii="Times New Roman" w:hAnsi="Times New Roman" w:cs="Times New Roman"/>
        </w:rPr>
        <w:t>s</w:t>
      </w:r>
      <w:r w:rsidRPr="004E1CFF">
        <w:rPr>
          <w:rFonts w:ascii="Times New Roman" w:hAnsi="Times New Roman" w:cs="Times New Roman"/>
        </w:rPr>
        <w:t xml:space="preserve"> us to estimate generative models of brain connectivity between a set of regions of interest</w:t>
      </w:r>
      <w:r>
        <w:rPr>
          <w:rFonts w:ascii="Times New Roman" w:hAnsi="Times New Roman" w:cs="Times New Roman"/>
        </w:rPr>
        <w:t xml:space="preserve"> (ROIs)</w:t>
      </w:r>
      <w:r w:rsidRPr="004E1CFF">
        <w:rPr>
          <w:rFonts w:ascii="Times New Roman" w:hAnsi="Times New Roman" w:cs="Times New Roman"/>
        </w:rPr>
        <w:t xml:space="preserve">, which can then be compared in terms of their posterior probability given the BOLD timeseries data </w:t>
      </w:r>
      <w:r w:rsidRPr="004E1CFF">
        <w:rPr>
          <w:rFonts w:ascii="Times New Roman" w:hAnsi="Times New Roman" w:cs="Times New Roman"/>
        </w:rPr>
        <w:fldChar w:fldCharType="begin" w:fldLock="1"/>
      </w:r>
      <w:r>
        <w:rPr>
          <w:rFonts w:ascii="Times New Roman" w:hAnsi="Times New Roman" w:cs="Times New Roman"/>
        </w:rPr>
        <w:instrText>ADDIN CSL_CITATION {"citationItems":[{"id":"ITEM-1","itemData":{"DOI":"10.1016/j.neuroimage.2009.11.015","ISBN":"1095-9572 (Electronic)\\n1053-8119 (Linking)","ISSN":"10538119","PMID":"19914382","abstract":"Dynamic causal modeling (DCM) is a generic Bayesian framework for inferring hidden neuronal states from measurements of brain activity. It provides posterior estimates of neurobiologically interpretable quantities such as the effective strength of synaptic connections among neuronal populations and their context-dependent modulation. DCM is increasingly used in the analysis of a wide range of neuroimaging and electrophysiological data. Given the relative complexity of DCM, compared to conventional analysis techniques, a good knowledge of its theoretical foundations is needed to avoid pitfalls in its application and interpretation of results. By providing good practice recommendations for DCM, in the form of ten simple rules, we hope that this article serves as a helpful tutorial for the growing community of DCM users. © 2009 Elsevier Inc. All rights reserved.","author":[{"dropping-particle":"","family":"Stephan","given":"K. E.","non-dropping-particle":"","parse-names":false,"suffix":""},{"dropping-particle":"","family":"Penny","given":"W. D.","non-dropping-particle":"","parse-names":false,"suffix":""},{"dropping-particle":"","family":"Moran","given":"R. J.","non-dropping-particle":"","parse-names":false,"suffix":""},{"dropping-particle":"","family":"Ouden","given":"H. E M","non-dropping-particle":"den","parse-names":false,"suffix":""},{"dropping-particle":"","family":"Daunizeau","given":"J.","non-dropping-particle":"","parse-names":false,"suffix":""},{"dropping-particle":"","family":"Friston","given":"K. J.","non-dropping-particle":"","parse-names":false,"suffix":""}],"container-title":"NeuroImage","id":"ITEM-1","issue":"4","issued":{"date-parts":[["2010"]]},"page":"3099-3109","publisher":"Elsevier Inc.","title":"Ten simple rules for dynamic causal modeling","type":"article-journal","volume":"49"},"uris":["http://www.mendeley.com/documents/?uuid=1afbe62d-aff1-4033-a0be-8d42ac5071d8"]}],"mendeley":{"formattedCitation":"(1)","plainTextFormattedCitation":"(1)","previouslyFormattedCitation":"(Stephan &lt;i&gt;et al&lt;/i&gt;, 2010)"},"properties":{"noteIndex":0},"schema":"https://github.com/citation-style-language/schema/raw/master/csl-citation.json"}</w:instrText>
      </w:r>
      <w:r w:rsidRPr="004E1CFF">
        <w:rPr>
          <w:rFonts w:ascii="Times New Roman" w:hAnsi="Times New Roman" w:cs="Times New Roman"/>
        </w:rPr>
        <w:fldChar w:fldCharType="separate"/>
      </w:r>
      <w:r w:rsidRPr="00382F4F">
        <w:rPr>
          <w:rFonts w:ascii="Times New Roman" w:hAnsi="Times New Roman" w:cs="Times New Roman"/>
          <w:noProof/>
        </w:rPr>
        <w:t>(1)</w:t>
      </w:r>
      <w:r w:rsidRPr="004E1CFF">
        <w:rPr>
          <w:rFonts w:ascii="Times New Roman" w:hAnsi="Times New Roman" w:cs="Times New Roman"/>
        </w:rPr>
        <w:fldChar w:fldCharType="end"/>
      </w:r>
      <w:r w:rsidRPr="004E1CFF">
        <w:rPr>
          <w:rFonts w:ascii="Times New Roman" w:hAnsi="Times New Roman" w:cs="Times New Roman"/>
        </w:rPr>
        <w:t xml:space="preserve">. </w:t>
      </w:r>
      <w:r>
        <w:rPr>
          <w:rFonts w:ascii="Times New Roman" w:hAnsi="Times New Roman" w:cs="Times New Roman"/>
        </w:rPr>
        <w:t>W</w:t>
      </w:r>
      <w:r w:rsidRPr="004E1CFF">
        <w:rPr>
          <w:rFonts w:ascii="Times New Roman" w:hAnsi="Times New Roman" w:cs="Times New Roman"/>
        </w:rPr>
        <w:t>e examine</w:t>
      </w:r>
      <w:r>
        <w:rPr>
          <w:rFonts w:ascii="Times New Roman" w:hAnsi="Times New Roman" w:cs="Times New Roman"/>
        </w:rPr>
        <w:t>d</w:t>
      </w:r>
      <w:r w:rsidRPr="004E1CFF">
        <w:rPr>
          <w:rFonts w:ascii="Times New Roman" w:hAnsi="Times New Roman" w:cs="Times New Roman"/>
        </w:rPr>
        <w:t xml:space="preserve"> the </w:t>
      </w:r>
      <w:r>
        <w:rPr>
          <w:rFonts w:ascii="Times New Roman" w:hAnsi="Times New Roman" w:cs="Times New Roman"/>
        </w:rPr>
        <w:t>effective connectivity</w:t>
      </w:r>
      <w:r w:rsidRPr="004E1CFF">
        <w:rPr>
          <w:rFonts w:ascii="Times New Roman" w:hAnsi="Times New Roman" w:cs="Times New Roman"/>
        </w:rPr>
        <w:t xml:space="preserve"> between well-known nodes of the stopping network that included the </w:t>
      </w:r>
      <w:r>
        <w:rPr>
          <w:rFonts w:ascii="Times New Roman" w:hAnsi="Times New Roman" w:cs="Times New Roman"/>
        </w:rPr>
        <w:t>inferior frontal gyrus (</w:t>
      </w:r>
      <w:r w:rsidRPr="004E1CFF">
        <w:rPr>
          <w:rFonts w:ascii="Times New Roman" w:hAnsi="Times New Roman" w:cs="Times New Roman"/>
        </w:rPr>
        <w:t>IFG</w:t>
      </w:r>
      <w:r>
        <w:rPr>
          <w:rFonts w:ascii="Times New Roman" w:hAnsi="Times New Roman" w:cs="Times New Roman"/>
        </w:rPr>
        <w:t>)</w:t>
      </w:r>
      <w:r w:rsidRPr="004E1CFF">
        <w:rPr>
          <w:rFonts w:ascii="Times New Roman" w:hAnsi="Times New Roman" w:cs="Times New Roman"/>
        </w:rPr>
        <w:t>, d</w:t>
      </w:r>
      <w:r>
        <w:rPr>
          <w:rFonts w:ascii="Times New Roman" w:hAnsi="Times New Roman" w:cs="Times New Roman"/>
        </w:rPr>
        <w:t>orsal anterior cingulate (</w:t>
      </w:r>
      <w:r w:rsidRPr="004E1CFF">
        <w:rPr>
          <w:rFonts w:ascii="Times New Roman" w:hAnsi="Times New Roman" w:cs="Times New Roman"/>
        </w:rPr>
        <w:t>ACC</w:t>
      </w:r>
      <w:r>
        <w:rPr>
          <w:rFonts w:ascii="Times New Roman" w:hAnsi="Times New Roman" w:cs="Times New Roman"/>
        </w:rPr>
        <w:t>)</w:t>
      </w:r>
      <w:r w:rsidRPr="004E1CFF">
        <w:rPr>
          <w:rFonts w:ascii="Times New Roman" w:hAnsi="Times New Roman" w:cs="Times New Roman"/>
        </w:rPr>
        <w:t>,</w:t>
      </w:r>
      <w:r>
        <w:rPr>
          <w:rFonts w:ascii="Times New Roman" w:hAnsi="Times New Roman" w:cs="Times New Roman"/>
        </w:rPr>
        <w:t xml:space="preserve"> primary motor cortex (</w:t>
      </w:r>
      <w:r w:rsidRPr="004E1CFF">
        <w:rPr>
          <w:rFonts w:ascii="Times New Roman" w:hAnsi="Times New Roman" w:cs="Times New Roman"/>
        </w:rPr>
        <w:t>M1</w:t>
      </w:r>
      <w:r>
        <w:rPr>
          <w:rFonts w:ascii="Times New Roman" w:hAnsi="Times New Roman" w:cs="Times New Roman"/>
        </w:rPr>
        <w:t>)</w:t>
      </w:r>
      <w:r w:rsidRPr="004E1CFF">
        <w:rPr>
          <w:rFonts w:ascii="Times New Roman" w:hAnsi="Times New Roman" w:cs="Times New Roman"/>
        </w:rPr>
        <w:t xml:space="preserve">, </w:t>
      </w:r>
      <w:r>
        <w:rPr>
          <w:rFonts w:ascii="Times New Roman" w:hAnsi="Times New Roman" w:cs="Times New Roman"/>
        </w:rPr>
        <w:t>and the subthalamic nucleus (</w:t>
      </w:r>
      <w:r w:rsidRPr="004E1CFF">
        <w:rPr>
          <w:rFonts w:ascii="Times New Roman" w:hAnsi="Times New Roman" w:cs="Times New Roman"/>
        </w:rPr>
        <w:t>STN</w:t>
      </w:r>
      <w:r>
        <w:rPr>
          <w:rFonts w:ascii="Times New Roman" w:hAnsi="Times New Roman" w:cs="Times New Roman"/>
        </w:rPr>
        <w:t>), b</w:t>
      </w:r>
      <w:r w:rsidRPr="004E1CFF">
        <w:rPr>
          <w:rFonts w:ascii="Times New Roman" w:hAnsi="Times New Roman" w:cs="Times New Roman"/>
        </w:rPr>
        <w:t xml:space="preserve">uilding on previous evidence </w:t>
      </w:r>
      <w:r>
        <w:rPr>
          <w:rFonts w:ascii="Times New Roman" w:hAnsi="Times New Roman" w:cs="Times New Roman"/>
        </w:rPr>
        <w:fldChar w:fldCharType="begin" w:fldLock="1"/>
      </w:r>
      <w:r>
        <w:rPr>
          <w:rFonts w:ascii="Times New Roman" w:hAnsi="Times New Roman" w:cs="Times New Roman"/>
        </w:rPr>
        <w:instrText>ADDIN CSL_CITATION {"citationItems":[{"id":"ITEM-1","itemData":{"DOI":"10.1038/nn1203-1329a","ISSN":"1097-6256","abstract":"The precise localization of executive functions such as response inhibition within the prefrontal cortex (PFC), although theoretically crucial, has proven to be controversial and difficult1. Functional neuroimaging has contributed importantly to this debate1, 2, 3, 4, 5, 6, 7, but as human cortical lesions are seldom discrete, the literature still lacks definitive neuropsychological evidence that a specific region is necessary for task performance. We overcame this limitation by using a new observer-independent method to relate the degree of damage within a specific prefrontal region to performance on a stop-signal task that is sensitive to the neurodevelopmental aspects of stopping behavior2 and to attention-deficit/hyperactivity disorder (ADHD) as well as its amelioration by methylphenidate5, 8.","author":[{"dropping-particle":"","family":"Aron","given":"Adam R","non-dropping-particle":"","parse-names":false,"suffix":""},{"dropping-particle":"","family":"Fletcher","given":"Paul C","non-dropping-particle":"","parse-names":false,"suffix":""},{"dropping-particle":"","family":"Bullmore","given":"Ed T","non-dropping-particle":"","parse-names":false,"suffix":""},{"dropping-particle":"","family":"Sahakian","given":"Barbara J","non-dropping-particle":"","parse-names":false,"suffix":""},{"dropping-particle":"","family":"Robbins","given":"Trevor W","non-dropping-particle":"","parse-names":false,"suffix":""}],"container-title":"Nature Neuroscience","id":"ITEM-1","issue":"12","issued":{"date-parts":[["2003"]]},"page":"1329-1329","title":"Erratum: Stop-signal inhibition disrupted by damage to right inferior frontal gyrus in humans","type":"article-journal","volume":"6"},"uris":["http://www.mendeley.com/documents/?uuid=5c581440-2db1-4680-804b-856af7891c11"]},{"id":"ITEM-2","itemData":{"DOI":"10.1162/jocn.2006.18.11.1843","ISSN":"0898929X","PMID":"17069475","abstract":"Inhibitory control is an essential part of behavior. Comprehensive knowledge of the neural underpinnings will shed light on complex behavior, its breakdown in neurological and psychological disorders, and current and future techniques for the pharmacological or structural remediation of disinhibition. This study investigated the neural mechanisms involved in rapid response inhibition. The stop signal task was used to estimate inhibitory speed in a group of neurologically normal control subjects and patients with discrete frontal lobe lesions. Task procedures were controlled to rule out probable confounds related to strategic changes in task effort. The findings indicate that the frontal lobes are necessary for inhibitory control and, furthermore, that the integrity of the right superior medial frontal region is key for rapid inhibitory control under conditions controlling for strategically slow responses, forcing reliance more on a rapid, \"kill-switch\" inhibitory system. These results are interpreted within an anatomical framework of corticospinal motor control. © 2006 Massachusetts Institute of Technology.","author":[{"dropping-particle":"","family":"Floden","given":"Darlene","non-dropping-particle":"","parse-names":false,"suffix":""},{"dropping-particle":"","family":"Stuss","given":"Donald T.","non-dropping-particle":"","parse-names":false,"suffix":""}],"container-title":"Journal of Cognitive Neuroscience","id":"ITEM-2","issue":"11","issued":{"date-parts":[["2006"]]},"page":"1843-1849","title":"Inhibitory control is slowed in patients with right superior medial frontal damage","type":"article-journal","volume":"18"},"uris":["http://www.mendeley.com/documents/?uuid=380dbefc-bf24-453d-ba7a-9e7d92c46bb8"]},{"id":"ITEM-3","itemData":{"DOI":"10.1016/j.neuroimage.2007.03.034","ISSN":"10538119","abstract":"Although regions within the medial frontal cortex are known to be active during voluntary movements their precise role remains unclear. Here we combine functional imaging localisation with psychophysics to demonstrate a strikingly selective contralesional impairment in the ability to inhibit ongoing movement plans in a patient with a rare lesion involving the right pre-supplementary motor area (pre-SMA), but sparing the supplementary motor area (SMA). We find no corresponding delay in simple reaction times, and show that the inhibitory deficit is sensitive to the presence of competition between responses. The findings demonstrate that the pre-SMA plays a critical role in exerting control over voluntary actions in situations of response conflict. We discuss these findings in the context of a unified framework of pre-SMA function, and explore the degree to which extant data on this region can be explained by this function alone. © 2007 Elsevier Inc. All rights reserved.","author":[{"dropping-particle":"","family":"Nachev","given":"Parashkev","non-dropping-particle":"","parse-names":false,"suffix":""},{"dropping-particle":"","family":"Wydell","given":"Henrietta","non-dropping-particle":"","parse-names":false,"suffix":""},{"dropping-particle":"","family":"O'Neill","given":"Kevin","non-dropping-particle":"","parse-names":false,"suffix":""},{"dropping-particle":"","family":"Husain","given":"Masud","non-dropping-particle":"","parse-names":false,"suffix":""},{"dropping-particle":"","family":"Kennard","given":"Christopher","non-dropping-particle":"","parse-names":false,"suffix":""}],"container-title":"NeuroImage","id":"ITEM-3","issue":"SUPPL. 2","issued":{"date-parts":[["2007"]]},"page":"155-163","title":"The role of the pre-supplementary motor area in the control of action","type":"article-journal","volume":"36"},"uris":["http://www.mendeley.com/documents/?uuid=b7f3ab78-c852-44eb-a0b3-9a9e5d92a685"]},{"id":"ITEM-4","itemData":{"DOI":"10.1093/cercor/bhv027","ISSN":"14602199","abstract":"Stopping is a critical aspect of brain function. Like other voluntary actions, it is defined by its context as much as by its execution. Its neural substrate must therefore reflect both. Here, we distinguish those elements of the underlying brain circuit that preferentially reflect contextual aspects of stopping from those related to its execution. Contextual complexity of stopping was modulated using a novel \"Stop/Change-signal\" task, which also allowed us to parameterize the duration of the stopping process. Human magnetoencephalographic activity and behavioral responses were simultaneously recorded. Whereas theta/alpha frequency activity in the right inferior frontal gyrus was most closely associated with the duration of the stopping process, earlier gamma frequency activity in the pre-supplementary motor area was unique in showing contextual modulation. These results differentiate the roles of 2 key frontal regions involved in stopping, a crucial aspect of behavioral control.","author":[{"dropping-particle":"","family":"Jha","given":"Ashwani","non-dropping-particle":"","parse-names":false,"suffix":""},{"dropping-particle":"","family":"Nachev","given":"Parashkev","non-dropping-particle":"","parse-names":false,"suffix":""},{"dropping-particle":"","family":"Barnes","given":"Gareth","non-dropping-particle":"","parse-names":false,"suffix":""},{"dropping-particle":"","family":"Husain","given":"Masud","non-dropping-particle":"","parse-names":false,"suffix":""},{"dropping-particle":"","family":"Brown","given":"Peter","non-dropping-particle":"","parse-names":false,"suffix":""},{"dropping-particle":"","family":"Litvak","given":"Vladimir","non-dropping-particle":"","parse-names":false,"suffix":""}],"container-title":"Cerebral Cortex","id":"ITEM-4","issue":"11","issued":{"date-parts":[["2015"]]},"page":"4392-4406","title":"The frontal control of stopping","type":"article-journal","volume":"25"},"uris":["http://www.mendeley.com/documents/?uuid=bce045af-c219-44b9-bf8d-da02d02ed951"]},{"id":"ITEM-5","itemData":{"DOI":"10.1152/jn.00132.2012","ISSN":"00223077","abstract":"Rapidly stopping action engages a network in the brain including the right presupplementary motor area (preSMA), the right inferior frontal gyrus, and the basal ganglia. Yet the functional role of these different regions within the overall network still remains unclear. Here we focused on the role of the right preSMA in behavioral stopping. We hypothesized that the underlying neurocognitive function of this region is one or more of setting up a stopping rule in advance, modulating response tendencies (e.g., slowing down in anticipation of stopping), and implementing stopping when the stop signal occurs. We performed two experiments with magnetic resonance imaging (MRI)-guided, event-related, transcranial magnetic stimulation(TMS), during the performance of variants of the stop signal task. In experiment 1 we show that stimulation of the right preSMA versus vertex (control site) slowed the implementation of stopping (measured via stop signal reaction time) but had no influence on modulation of response tendencies. In experiment 2, we showed that stimulation of the right preSMA slowed implementation of stopping in a mechanistically selective form of stopping but had no influence on setting up stopping rules. The results go beyond the replication of prior findings by showing that TMS of the right preSMA impairs stopping behavior (including a behaviorally selective form of stopping) through a specific disruption of the implementation of stopping. Future studies are required to establish whether this was due to stimulation of the right preSMA itself or because of remote effects on the wider stopping network. © 2012 the American Physiological Society.","author":[{"dropping-particle":"","family":"Cai","given":"Weidong","non-dropping-particle":"","parse-names":false,"suffix":""},{"dropping-particle":"","family":"George","given":"Jobi S.","non-dropping-particle":"","parse-names":false,"suffix":""},{"dropping-particle":"","family":"Verbruggen","given":"Frederick","non-dropping-particle":"","parse-names":false,"suffix":""},{"dropping-particle":"","family":"Chambers","given":"Christopher D.","non-dropping-particle":"","parse-names":false,"suffix":""},{"dropping-particle":"","family":"Aron","given":"Adam R.","non-dropping-particle":"","parse-names":false,"suffix":""}],"container-title":"Journal of Neurophysiology","id":"ITEM-5","issue":"2","issued":{"date-parts":[["2012"]]},"page":"380-389","title":"The role of the right presupplementary motor area in stopping action: Two studies with event-related transcranial magnetic stimulation","type":"article-journal","volume":"108"},"uris":["http://www.mendeley.com/documents/?uuid=7a4268ad-efe3-4b53-bc12-72625e7823ce"]},{"id":"ITEM-6","itemData":{"DOI":"10.1016/j.neuroimage.2011.09.049","ISSN":"10538119","abstract":"Both the pre-supplementary motor area (preSMA) and the right inferior frontal gyrus (rIFG) are important for stopping action outright. These regions are also engaged when preparing to stop. We aimed to elucidate the roles of these regions by harnessing the high spatio-temporal resolution of electrocorticography (ECoG), and by using a task that engages both preparing to stop and stopping outright. First, we validated the task using fMRI in 16 healthy control participants to confirm that both the preSMA and the rIFG were active. Next, we studied a rare patient with intracranial grid coverage of both these regions, using macrostimulation, diffusion tractography, cortico-cortical evoked potentials (CCEPs) and task-based ECoG. Macrostimulation of the preSMA induced behavioral motor arrest. Diffusion tractography revealed a structural connection between the preSMA and rIFG. CCEP analysis showed that stimulation of the preSMA evoked strong local field potentials within 30. ms in rIFG. During the task, when preparing to stop, there was increased high gamma amplitude (~. 70-250. Hz) in both regions, with preSMA preceding rIFG by ~. 750. ms. For outright stopping there was also a high gamma amplitude increase in both regions, again with preSMA preceding rIFG. Further, at the time of stopping, there was an increase in beta band activity (~. 16. Hz) in both regions, with significantly stronger inter-regional coherence for successful vs. unsuccessful stop trials. The results complement earlier reports of a structural/functional action control network between the preSMA and rIFG. They go further by revealing between-region timing differences in the high gamma band when preparing to stop and stopping outright. They also reveal strong between-region coherence in the beta band when stopping is successful. Implications for theories of action control are discussed. © 2011 Elsevier Inc.","author":[{"dropping-particle":"","family":"Swann","given":"Nicole C.","non-dropping-particle":"","parse-names":false,"suffix":""},{"dropping-particle":"","family":"Cai","given":"Weidong","non-dropping-particle":"","parse-names":false,"suffix":""},{"dropping-particle":"","family":"Conner","given":"Christopher R.","non-dropping-particle":"","parse-names":false,"suffix":""},{"dropping-particle":"","family":"Pieters","given":"Thomas A.","non-dropping-particle":"","parse-names":false,"suffix":""},{"dropping-particle":"","family":"Claffey","given":"Michael P.","non-dropping-particle":"","parse-names":false,"suffix":""},{"dropping-particle":"","family":"George","given":"Jobi S.","non-dropping-particle":"","parse-names":false,"suffix":""},{"dropping-particle":"","family":"Aron","given":"Adam R.","non-dropping-particle":"","parse-names":false,"suffix":""},{"dropping-particle":"","family":"Tandon","given":"Nitin","non-dropping-particle":"","parse-names":false,"suffix":""}],"container-title":"NeuroImage","id":"ITEM-6","issue":"3","issued":{"date-parts":[["2012"]]},"page":"2860-2870","publisher":"Elsevier Inc.","title":"Roles for the pre-supplementary motor area and the right inferior frontal gyrus in stopping action: Electrophysiological responses and functional and structural connectivity","type":"article-journal","volume":"59"},"uris":["http://www.mendeley.com/documents/?uuid=bf4e28d2-55ba-40e8-8e97-4905920a72f6"]},{"id":"ITEM-7","itemData":{"DOI":"10.1523/JNEUROSCI.3093-13.2015","ISBN":"1529-2401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Neuroscience","id":"ITEM-7","issue":"2","issued":{"date-parts":[["2015"]]},"page":"786-94","title":"The prefrontal cortex achieves inhibitory control by facilitating subcortical motor pathway connectivity.","type":"article-journal","volume":"35"},"uris":["http://www.mendeley.com/documents/?uuid=e1cd2b52-4b20-423b-8c98-36004beeeda5"]}],"mendeley":{"formattedCitation":"(2–8)","plainTextFormattedCitation":"(2–8)","previouslyFormattedCitation":"(Aron &lt;i&gt;et al&lt;/i&gt;, 2003; Cai &lt;i&gt;et al&lt;/i&gt;, 2012; Floden and Stuss, 2006; Jha &lt;i&gt;et al&lt;/i&gt;, 2015; Nachev &lt;i&gt;et al&lt;/i&gt;, 2007; Rae &lt;i&gt;et al&lt;/i&gt;, 2015; Swann &lt;i&gt;et al&lt;/i&gt;, 2012)"},"properties":{"noteIndex":0},"schema":"https://github.com/citation-style-language/schema/raw/master/csl-citation.json"}</w:instrText>
      </w:r>
      <w:r>
        <w:rPr>
          <w:rFonts w:ascii="Times New Roman" w:hAnsi="Times New Roman" w:cs="Times New Roman"/>
        </w:rPr>
        <w:fldChar w:fldCharType="separate"/>
      </w:r>
      <w:r w:rsidRPr="00382F4F">
        <w:rPr>
          <w:rFonts w:ascii="Times New Roman" w:hAnsi="Times New Roman" w:cs="Times New Roman"/>
          <w:noProof/>
        </w:rPr>
        <w:t>(2–8)</w:t>
      </w:r>
      <w:r>
        <w:rPr>
          <w:rFonts w:ascii="Times New Roman" w:hAnsi="Times New Roman" w:cs="Times New Roman"/>
        </w:rPr>
        <w:fldChar w:fldCharType="end"/>
      </w:r>
      <w:r w:rsidRPr="004E1CFF">
        <w:rPr>
          <w:rFonts w:ascii="Times New Roman" w:hAnsi="Times New Roman" w:cs="Times New Roman"/>
        </w:rPr>
        <w:t xml:space="preserve">. </w:t>
      </w:r>
    </w:p>
    <w:p w14:paraId="6F4F93DC" w14:textId="77777777" w:rsidR="0020610C" w:rsidRDefault="0020610C" w:rsidP="0020610C">
      <w:pPr>
        <w:spacing w:line="240" w:lineRule="auto"/>
        <w:rPr>
          <w:rFonts w:ascii="Times New Roman" w:hAnsi="Times New Roman" w:cs="Times New Roman"/>
        </w:rPr>
      </w:pPr>
      <w:r w:rsidRPr="004E1CFF">
        <w:rPr>
          <w:rFonts w:ascii="Times New Roman" w:hAnsi="Times New Roman" w:cs="Times New Roman"/>
        </w:rPr>
        <w:t xml:space="preserve">We </w:t>
      </w:r>
      <w:r>
        <w:rPr>
          <w:rFonts w:ascii="Times New Roman" w:hAnsi="Times New Roman" w:cs="Times New Roman"/>
        </w:rPr>
        <w:t xml:space="preserve">extended the network </w:t>
      </w:r>
      <w:r w:rsidRPr="004E1CFF">
        <w:rPr>
          <w:rFonts w:ascii="Times New Roman" w:hAnsi="Times New Roman" w:cs="Times New Roman"/>
        </w:rPr>
        <w:t xml:space="preserve">by adding the putamen, a key component of the direct and indirect cortico-basal ganglia pathways </w:t>
      </w:r>
      <w:r w:rsidRPr="004E1CFF">
        <w:rPr>
          <w:rFonts w:ascii="Times New Roman" w:hAnsi="Times New Roman" w:cs="Times New Roman"/>
        </w:rPr>
        <w:fldChar w:fldCharType="begin" w:fldLock="1"/>
      </w:r>
      <w:r>
        <w:rPr>
          <w:rFonts w:ascii="Times New Roman" w:hAnsi="Times New Roman" w:cs="Times New Roman"/>
        </w:rPr>
        <w:instrText>ADDIN CSL_CITATION {"citationItems":[{"id":"ITEM-1","itemData":{"DOI":"10.3389/fneur.2013.00134","ISSN":"16642295","abstract":"Motor dysfunction in Parkinson's disease is believed to arise primarily from pathophysiology in the dorsal striatum and its related corticostriatal and thalamostriatal circuits during progressive dopamine denervation. One function of these circuits is to provide a filter that selectively facilitates or inhibits cortical activity to optimize cortical processing, making motor responses rapid and efficient. Corticostriatal synaptic plasticity mediates the learning that underlies this performance-optimizing filter. Under dopamine denervation, corticostriatal plasticity is altered, resulting in aberrant learning that induces inappropriate basal ganglia filtering that impedes rather than optimizes cortical processing. Human imaging suggests that increased cortical activity may compensate for striatal dysfunction in PD patients. In this Perspective article, we consider how aberrant learning at corticostriatal synapses may impair cortical processing and learning and undermine potential cortical compensatory mechanisms. Blocking or remediating aberrant corticostriatal plasticity may protect cortical function and support cortical compensatory mechanisms mitigating the functional decline associated with progressive dopamine denervation.","author":[{"dropping-particle":"","family":"Beeler","given":"JeffA A.","non-dropping-particle":"","parse-names":false,"suffix":""},{"dropping-particle":"","family":"Petzinger","given":"Giselle","non-dropping-particle":"","parse-names":false,"suffix":""},{"dropping-particle":"","family":"Jakowec","given":"Michael W.","non-dropping-particle":"","parse-names":false,"suffix":""}],"container-title":"Frontiers in Neurology","id":"ITEM-1","issue":"September","issued":{"date-parts":[["2013"]]},"page":"1-7","title":"The enemy within: Propagation of aberrant corticostriatal learning to cortical function in Parkinson's disease","type":"article-journal","volume":"4 SEP"},"uris":["http://www.mendeley.com/documents/?uuid=ab9a1957-3e6f-4fba-acbd-a906fdfe2732"]},{"id":"ITEM-2","itemData":{"DOI":"10.3389/fnsys.2013.00122","abstract":"Over the past 15 years, computational models have had a considerable impact on basal-ganglia research. Most of these models implement multiple distinct basal-ganglia pathways and assume them to fulfill different functions. As there is now a multitude of different models, it has become complex to keep track of their various, sometimes just marginally different assumptions on pathway functions. Moreover, it has become a challenge to oversee to what extent individual assumptions are corroborated or challenged by empirical data. Focusing on computational, but also considering non-computational models, we review influential concepts of pathway functions and show to what extent they are compatible with or contradict each other. Moreover, we outline how empirical evidence favors or challenges specific model assumptions and propose experiments that allow testing assumptions against each other.","author":[{"dropping-particle":"","family":"Schroll","given":"Henning","non-dropping-particle":"","parse-names":false,"suffix":""},{"dropping-particle":"","family":"Hamker","given":"Fred H.","non-dropping-particle":"","parse-names":false,"suffix":""}],"container-title":"Frontiers in Systems Neuroscience","id":"ITEM-2","issue":"December","issued":{"date-parts":[["2013"]]},"title":"Computational models of basal-ganglia pathway functions: focus on functional neuroanatomy","type":"article-journal","volume":"7"},"uris":["http://www.mendeley.com/documents/?uuid=c6e0e813-6b85-4cfc-8c84-4ffae0e13b96"]}],"mendeley":{"formattedCitation":"(9,10)","plainTextFormattedCitation":"(9,10)","previouslyFormattedCitation":"(Beeler &lt;i&gt;et al&lt;/i&gt;, 2013; Schroll and Hamker, 2013)"},"properties":{"noteIndex":0},"schema":"https://github.com/citation-style-language/schema/raw/master/csl-citation.json"}</w:instrText>
      </w:r>
      <w:r w:rsidRPr="004E1CFF">
        <w:rPr>
          <w:rFonts w:ascii="Times New Roman" w:hAnsi="Times New Roman" w:cs="Times New Roman"/>
        </w:rPr>
        <w:fldChar w:fldCharType="separate"/>
      </w:r>
      <w:r w:rsidRPr="00382F4F">
        <w:rPr>
          <w:rFonts w:ascii="Times New Roman" w:hAnsi="Times New Roman" w:cs="Times New Roman"/>
          <w:noProof/>
        </w:rPr>
        <w:t>(9,10)</w:t>
      </w:r>
      <w:r w:rsidRPr="004E1CFF">
        <w:rPr>
          <w:rFonts w:ascii="Times New Roman" w:hAnsi="Times New Roman" w:cs="Times New Roman"/>
        </w:rPr>
        <w:fldChar w:fldCharType="end"/>
      </w:r>
      <w:r w:rsidRPr="004E1CFF">
        <w:rPr>
          <w:rFonts w:ascii="Times New Roman" w:hAnsi="Times New Roman" w:cs="Times New Roman"/>
        </w:rPr>
        <w:t xml:space="preserve"> underlying action initiation and response inhibition. </w:t>
      </w:r>
    </w:p>
    <w:p w14:paraId="5AE84B91" w14:textId="77777777" w:rsidR="0020610C" w:rsidRPr="00591F8D" w:rsidRDefault="0020610C" w:rsidP="0020610C">
      <w:pPr>
        <w:spacing w:line="240" w:lineRule="auto"/>
        <w:rPr>
          <w:rFonts w:ascii="Times New Roman" w:hAnsi="Times New Roman" w:cs="Times New Roman"/>
          <w:color w:val="A6A6A6" w:themeColor="background1" w:themeShade="A6"/>
        </w:rPr>
      </w:pPr>
      <w:r>
        <w:rPr>
          <w:rFonts w:ascii="Times New Roman" w:hAnsi="Times New Roman" w:cs="Times New Roman"/>
        </w:rPr>
        <w:t xml:space="preserve">The </w:t>
      </w:r>
      <w:r w:rsidRPr="004E1CFF">
        <w:rPr>
          <w:rFonts w:ascii="Times New Roman" w:hAnsi="Times New Roman" w:cs="Times New Roman"/>
        </w:rPr>
        <w:t>DCMs allow</w:t>
      </w:r>
      <w:r>
        <w:rPr>
          <w:rFonts w:ascii="Times New Roman" w:hAnsi="Times New Roman" w:cs="Times New Roman"/>
        </w:rPr>
        <w:t>ed</w:t>
      </w:r>
      <w:r w:rsidRPr="004E1CFF">
        <w:rPr>
          <w:rFonts w:ascii="Times New Roman" w:hAnsi="Times New Roman" w:cs="Times New Roman"/>
        </w:rPr>
        <w:t xml:space="preserve"> us to </w:t>
      </w:r>
      <w:proofErr w:type="gramStart"/>
      <w:r>
        <w:rPr>
          <w:rFonts w:ascii="Times New Roman" w:hAnsi="Times New Roman" w:cs="Times New Roman"/>
        </w:rPr>
        <w:t>assess:</w:t>
      </w:r>
      <w:proofErr w:type="gramEnd"/>
      <w:r w:rsidRPr="004E1CFF">
        <w:rPr>
          <w:rFonts w:ascii="Times New Roman" w:hAnsi="Times New Roman" w:cs="Times New Roman"/>
        </w:rPr>
        <w:t xml:space="preserve"> a) fixed connections between these </w:t>
      </w:r>
      <w:r>
        <w:rPr>
          <w:rFonts w:ascii="Times New Roman" w:hAnsi="Times New Roman" w:cs="Times New Roman"/>
        </w:rPr>
        <w:t>nodes</w:t>
      </w:r>
      <w:r w:rsidRPr="004E1CFF">
        <w:rPr>
          <w:rFonts w:ascii="Times New Roman" w:hAnsi="Times New Roman" w:cs="Times New Roman"/>
        </w:rPr>
        <w:t xml:space="preserve"> (</w:t>
      </w:r>
      <w:proofErr w:type="spellStart"/>
      <w:r w:rsidRPr="004E1CFF">
        <w:rPr>
          <w:rFonts w:ascii="Times New Roman" w:hAnsi="Times New Roman" w:cs="Times New Roman"/>
        </w:rPr>
        <w:t>DCM.a</w:t>
      </w:r>
      <w:proofErr w:type="spellEnd"/>
      <w:r w:rsidRPr="004E1CFF">
        <w:rPr>
          <w:rFonts w:ascii="Times New Roman" w:hAnsi="Times New Roman" w:cs="Times New Roman"/>
        </w:rPr>
        <w:t>), b) modulatory effects of the task (successful stop &gt; go contrast) on these connections (</w:t>
      </w:r>
      <w:proofErr w:type="spellStart"/>
      <w:r w:rsidRPr="004E1CFF">
        <w:rPr>
          <w:rFonts w:ascii="Times New Roman" w:hAnsi="Times New Roman" w:cs="Times New Roman"/>
        </w:rPr>
        <w:t>DCM.b</w:t>
      </w:r>
      <w:proofErr w:type="spellEnd"/>
      <w:r w:rsidRPr="004E1CFF">
        <w:rPr>
          <w:rFonts w:ascii="Times New Roman" w:hAnsi="Times New Roman" w:cs="Times New Roman"/>
        </w:rPr>
        <w:t>), c) inputs that drive network activity (all trials, regardless of trial type or outcome) and d) nonlinear modulatory effects of one ROI on connectivity between other ROIs (</w:t>
      </w:r>
      <w:proofErr w:type="spellStart"/>
      <w:r w:rsidRPr="004E1CFF">
        <w:rPr>
          <w:rFonts w:ascii="Times New Roman" w:hAnsi="Times New Roman" w:cs="Times New Roman"/>
        </w:rPr>
        <w:t>DCM.d</w:t>
      </w:r>
      <w:proofErr w:type="spellEnd"/>
      <w:r w:rsidRPr="004E1CFF">
        <w:rPr>
          <w:rFonts w:ascii="Times New Roman" w:hAnsi="Times New Roman" w:cs="Times New Roman"/>
        </w:rPr>
        <w:t xml:space="preserve">). A set of </w:t>
      </w:r>
      <w:r>
        <w:rPr>
          <w:rFonts w:ascii="Times New Roman" w:hAnsi="Times New Roman" w:cs="Times New Roman"/>
        </w:rPr>
        <w:t xml:space="preserve">33 </w:t>
      </w:r>
      <w:r w:rsidRPr="004E1CFF">
        <w:rPr>
          <w:rFonts w:ascii="Times New Roman" w:hAnsi="Times New Roman" w:cs="Times New Roman"/>
        </w:rPr>
        <w:t xml:space="preserve">models guided by </w:t>
      </w:r>
      <w:r w:rsidRPr="004E1CFF">
        <w:rPr>
          <w:rFonts w:ascii="Times New Roman" w:hAnsi="Times New Roman" w:cs="Times New Roman"/>
          <w:i/>
        </w:rPr>
        <w:t xml:space="preserve">a priori </w:t>
      </w:r>
      <w:r w:rsidRPr="004E1CFF">
        <w:rPr>
          <w:rFonts w:ascii="Times New Roman" w:hAnsi="Times New Roman" w:cs="Times New Roman"/>
        </w:rPr>
        <w:t xml:space="preserve">hypotheses </w:t>
      </w:r>
      <w:r>
        <w:rPr>
          <w:rFonts w:ascii="Times New Roman" w:hAnsi="Times New Roman" w:cs="Times New Roman"/>
        </w:rPr>
        <w:t>was</w:t>
      </w:r>
      <w:r w:rsidRPr="004E1CFF">
        <w:rPr>
          <w:rFonts w:ascii="Times New Roman" w:hAnsi="Times New Roman" w:cs="Times New Roman"/>
        </w:rPr>
        <w:t xml:space="preserve"> compared using Bayesian model selection based on the free-energy bound F, adjusted for model complexity. Further, subject-specific connectivity values can be extracted for the most likely model </w:t>
      </w:r>
      <w:r>
        <w:rPr>
          <w:rFonts w:ascii="Times New Roman" w:hAnsi="Times New Roman" w:cs="Times New Roman"/>
        </w:rPr>
        <w:t xml:space="preserve">for each group by drug condition </w:t>
      </w:r>
      <w:r w:rsidRPr="004E1CFF">
        <w:rPr>
          <w:rFonts w:ascii="Times New Roman" w:hAnsi="Times New Roman" w:cs="Times New Roman"/>
        </w:rPr>
        <w:t xml:space="preserve">using Bayesian Model Averaging. </w:t>
      </w:r>
    </w:p>
    <w:p w14:paraId="1CA7E234" w14:textId="77777777" w:rsidR="0020610C" w:rsidRPr="004E1CFF" w:rsidRDefault="0020610C" w:rsidP="0020610C">
      <w:pPr>
        <w:spacing w:line="240" w:lineRule="auto"/>
        <w:rPr>
          <w:rFonts w:ascii="Times New Roman" w:hAnsi="Times New Roman" w:cs="Times New Roman"/>
        </w:rPr>
      </w:pPr>
      <w:r w:rsidRPr="004E1CFF">
        <w:rPr>
          <w:rFonts w:ascii="Times New Roman" w:hAnsi="Times New Roman" w:cs="Times New Roman"/>
        </w:rPr>
        <w:t>Model sp</w:t>
      </w:r>
      <w:r>
        <w:rPr>
          <w:rFonts w:ascii="Times New Roman" w:hAnsi="Times New Roman" w:cs="Times New Roman"/>
        </w:rPr>
        <w:t>ace included 33 models (Figure 3A</w:t>
      </w:r>
      <w:r w:rsidRPr="004E1CFF">
        <w:rPr>
          <w:rFonts w:ascii="Times New Roman" w:hAnsi="Times New Roman" w:cs="Times New Roman"/>
        </w:rPr>
        <w:t>), systematically varying in the location of fixed connections (</w:t>
      </w:r>
      <w:proofErr w:type="spellStart"/>
      <w:r w:rsidRPr="004E1CFF">
        <w:rPr>
          <w:rFonts w:ascii="Times New Roman" w:hAnsi="Times New Roman" w:cs="Times New Roman"/>
        </w:rPr>
        <w:t>DCM.a</w:t>
      </w:r>
      <w:proofErr w:type="spellEnd"/>
      <w:r w:rsidRPr="004E1CFF">
        <w:rPr>
          <w:rFonts w:ascii="Times New Roman" w:hAnsi="Times New Roman" w:cs="Times New Roman"/>
        </w:rPr>
        <w:t>), nonlinear modulatory connections (</w:t>
      </w:r>
      <w:proofErr w:type="spellStart"/>
      <w:r w:rsidRPr="004E1CFF">
        <w:rPr>
          <w:rFonts w:ascii="Times New Roman" w:hAnsi="Times New Roman" w:cs="Times New Roman"/>
        </w:rPr>
        <w:t>DCM.d</w:t>
      </w:r>
      <w:proofErr w:type="spellEnd"/>
      <w:r w:rsidRPr="004E1CFF">
        <w:rPr>
          <w:rFonts w:ascii="Times New Roman" w:hAnsi="Times New Roman" w:cs="Times New Roman"/>
        </w:rPr>
        <w:t>) and location of task modulation effects (</w:t>
      </w:r>
      <w:proofErr w:type="spellStart"/>
      <w:r w:rsidRPr="004E1CFF">
        <w:rPr>
          <w:rFonts w:ascii="Times New Roman" w:hAnsi="Times New Roman" w:cs="Times New Roman"/>
        </w:rPr>
        <w:t>DCM.b</w:t>
      </w:r>
      <w:proofErr w:type="spellEnd"/>
      <w:r w:rsidRPr="004E1CFF">
        <w:rPr>
          <w:rFonts w:ascii="Times New Roman" w:hAnsi="Times New Roman" w:cs="Times New Roman"/>
        </w:rPr>
        <w:t xml:space="preserve">). Fixed connections in linear models tested for systematic differences in the connectivity between the IFG and putamen (linear models A-F). Linear models A-C aimed to test whether ACC-Putamen-STN pathway could replace the </w:t>
      </w:r>
      <w:proofErr w:type="spellStart"/>
      <w:r w:rsidRPr="004E1CFF">
        <w:rPr>
          <w:rFonts w:ascii="Times New Roman" w:hAnsi="Times New Roman" w:cs="Times New Roman"/>
        </w:rPr>
        <w:t>hyperdirect</w:t>
      </w:r>
      <w:proofErr w:type="spellEnd"/>
      <w:r w:rsidRPr="004E1CFF">
        <w:rPr>
          <w:rFonts w:ascii="Times New Roman" w:hAnsi="Times New Roman" w:cs="Times New Roman"/>
        </w:rPr>
        <w:t xml:space="preserve"> pathway (</w:t>
      </w:r>
      <w:proofErr w:type="spellStart"/>
      <w:r>
        <w:rPr>
          <w:rFonts w:ascii="Times New Roman" w:hAnsi="Times New Roman" w:cs="Times New Roman"/>
        </w:rPr>
        <w:t>d</w:t>
      </w:r>
      <w:r w:rsidRPr="004E1CFF">
        <w:rPr>
          <w:rFonts w:ascii="Times New Roman" w:hAnsi="Times New Roman" w:cs="Times New Roman"/>
        </w:rPr>
        <w:t>ACC</w:t>
      </w:r>
      <w:proofErr w:type="spellEnd"/>
      <w:r w:rsidRPr="004E1CFF">
        <w:rPr>
          <w:rFonts w:ascii="Times New Roman" w:hAnsi="Times New Roman" w:cs="Times New Roman"/>
        </w:rPr>
        <w:t xml:space="preserve">-STN) in stopping; models D-F tested for the role of the IFG given the presence of the </w:t>
      </w:r>
      <w:proofErr w:type="spellStart"/>
      <w:r w:rsidRPr="004E1CFF">
        <w:rPr>
          <w:rFonts w:ascii="Times New Roman" w:hAnsi="Times New Roman" w:cs="Times New Roman"/>
        </w:rPr>
        <w:t>hyperdirect</w:t>
      </w:r>
      <w:proofErr w:type="spellEnd"/>
      <w:r w:rsidRPr="004E1CFF">
        <w:rPr>
          <w:rFonts w:ascii="Times New Roman" w:hAnsi="Times New Roman" w:cs="Times New Roman"/>
        </w:rPr>
        <w:t xml:space="preserve"> pathway and a parallel pathway from the </w:t>
      </w:r>
      <w:proofErr w:type="spellStart"/>
      <w:r>
        <w:rPr>
          <w:rFonts w:ascii="Times New Roman" w:hAnsi="Times New Roman" w:cs="Times New Roman"/>
        </w:rPr>
        <w:t>d</w:t>
      </w:r>
      <w:r w:rsidRPr="004E1CFF">
        <w:rPr>
          <w:rFonts w:ascii="Times New Roman" w:hAnsi="Times New Roman" w:cs="Times New Roman"/>
        </w:rPr>
        <w:t>ACC</w:t>
      </w:r>
      <w:proofErr w:type="spellEnd"/>
      <w:r w:rsidRPr="004E1CFF">
        <w:rPr>
          <w:rFonts w:ascii="Times New Roman" w:hAnsi="Times New Roman" w:cs="Times New Roman"/>
        </w:rPr>
        <w:t xml:space="preserve"> to the STN via the putamen. </w:t>
      </w:r>
      <w:proofErr w:type="gramStart"/>
      <w:r w:rsidRPr="004E1CFF">
        <w:rPr>
          <w:rFonts w:ascii="Times New Roman" w:hAnsi="Times New Roman" w:cs="Times New Roman"/>
        </w:rPr>
        <w:t>In particular, we</w:t>
      </w:r>
      <w:proofErr w:type="gramEnd"/>
      <w:r w:rsidRPr="004E1CFF">
        <w:rPr>
          <w:rFonts w:ascii="Times New Roman" w:hAnsi="Times New Roman" w:cs="Times New Roman"/>
        </w:rPr>
        <w:t xml:space="preserve"> tested whether the IFG-putamen connection was likely</w:t>
      </w:r>
      <w:r>
        <w:rPr>
          <w:rFonts w:ascii="Times New Roman" w:hAnsi="Times New Roman" w:cs="Times New Roman"/>
        </w:rPr>
        <w:t>,</w:t>
      </w:r>
      <w:r w:rsidRPr="004E1CFF">
        <w:rPr>
          <w:rFonts w:ascii="Times New Roman" w:hAnsi="Times New Roman" w:cs="Times New Roman"/>
        </w:rPr>
        <w:t xml:space="preserve"> given the data (model D vs model F) and whether an additional projection from the IFG to STN was likely (model E). Nonlinear models examined the addition of nonlinear modulation of the ACC-STN or the ACC-Putamen-STN pathway by the IFG (models A-C). Nonlinear models D and E tested whether putamen may be modulating projections from the ACC to M1 or from the STN to M1. Each of the 11 models had three versions, with task demands (successful stop vs go) modulating the IFG, ACC or Putamen in each model. This resulted in 33 models, though three models failed to converge and were excluded. In each model, all ROIs also had an </w:t>
      </w:r>
      <w:r w:rsidRPr="004E1CFF">
        <w:rPr>
          <w:rFonts w:ascii="Times New Roman" w:hAnsi="Times New Roman" w:cs="Times New Roman"/>
        </w:rPr>
        <w:lastRenderedPageBreak/>
        <w:t xml:space="preserve">autoinhibitory or an </w:t>
      </w:r>
      <w:proofErr w:type="spellStart"/>
      <w:r w:rsidRPr="004E1CFF">
        <w:rPr>
          <w:rFonts w:ascii="Times New Roman" w:hAnsi="Times New Roman" w:cs="Times New Roman"/>
        </w:rPr>
        <w:t>autoexcitatory</w:t>
      </w:r>
      <w:proofErr w:type="spellEnd"/>
      <w:r w:rsidRPr="004E1CFF">
        <w:rPr>
          <w:rFonts w:ascii="Times New Roman" w:hAnsi="Times New Roman" w:cs="Times New Roman"/>
        </w:rPr>
        <w:t xml:space="preserve"> self-connection and all trials provided driving inputs (</w:t>
      </w:r>
      <w:proofErr w:type="spellStart"/>
      <w:r w:rsidRPr="004E1CFF">
        <w:rPr>
          <w:rFonts w:ascii="Times New Roman" w:hAnsi="Times New Roman" w:cs="Times New Roman"/>
        </w:rPr>
        <w:t>DCM.c</w:t>
      </w:r>
      <w:proofErr w:type="spellEnd"/>
      <w:r w:rsidRPr="004E1CFF">
        <w:rPr>
          <w:rFonts w:ascii="Times New Roman" w:hAnsi="Times New Roman" w:cs="Times New Roman"/>
        </w:rPr>
        <w:t xml:space="preserve">) to the </w:t>
      </w:r>
      <w:proofErr w:type="spellStart"/>
      <w:r w:rsidRPr="004E1CFF">
        <w:rPr>
          <w:rFonts w:ascii="Times New Roman" w:hAnsi="Times New Roman" w:cs="Times New Roman"/>
        </w:rPr>
        <w:t>dACC</w:t>
      </w:r>
      <w:proofErr w:type="spellEnd"/>
      <w:r w:rsidRPr="004E1CFF">
        <w:rPr>
          <w:rFonts w:ascii="Times New Roman" w:hAnsi="Times New Roman" w:cs="Times New Roman"/>
        </w:rPr>
        <w:t xml:space="preserve"> and the IFG following previous definitions of stopping DCMs </w:t>
      </w:r>
      <w:r w:rsidRPr="004E1CFF">
        <w:rPr>
          <w:rFonts w:ascii="Times New Roman" w:hAnsi="Times New Roman" w:cs="Times New Roman"/>
        </w:rPr>
        <w:fldChar w:fldCharType="begin" w:fldLock="1"/>
      </w:r>
      <w:r>
        <w:rPr>
          <w:rFonts w:ascii="Times New Roman" w:hAnsi="Times New Roman" w:cs="Times New Roman"/>
        </w:rPr>
        <w:instrText>ADDIN CSL_CITATION {"citationItems":[{"id":"ITEM-1","itemData":{"DOI":"10.1523/JNEUROSCI.3093-13.2015","ISBN":"1529-2401 (Electronic)\\r0270-6474 (Linking)","ISSN":"1529-2401","PMID":"25589771","abstract":"Communication between the prefrontal cortex and subcortical nuclei underpins the control and inhibition of behavior. However, the interactions in such pathways remain controversial. Using a stop-signal response inhibition task and functional imaging with analysis of effective connectivity, we show that the lateral prefrontal cortex influences the strength of communication between regions in the frontostriatal motor system. We compared 20 generative models that represented alternative interactions between the inferior frontal gyrus, presupplementary motor area (preSMA), subthalamic nucleus (STN), and primary motor cortex during response inhibition. Bayesian model selection revealed that during successful response inhibition, the inferior frontal gyrus modulates an excitatory influence of the preSMA on the STN, thereby amplifying the downstream polysynaptic inhibition from the STN to the motor cortex. Critically, the strength of the interaction between preSMA and STN, and the degree of modulation by the inferior frontal gyrus, predicted individual differences in participants' stopping performance (stop-signal reaction time). We then used diffusion-weighted imaging with tractography to assess white matter structure in the pathways connecting these three regions. The mean diffusivity in tracts between preSMA and the STN, and between the inferior frontal gyrus and STN, also predicted individual differences in stopping efficiency. Finally, we found that white matter structure in the tract between preSMA and STN correlated with effective connectivity of the same pathway, providing important cross-modal validation of the effective connectivity measures. Together, the results demonstrate the network dynamics and modulatory role of the prefrontal cortex that underpin individual differences in inhibitory control.","author":[{"dropping-particle":"","family":"Rae","given":"Charlotte L","non-dropping-particle":"","parse-names":false,"suffix":""},{"dropping-particle":"","family":"Hughes","given":"Laura E","non-dropping-particle":"","parse-names":false,"suffix":""},{"dropping-particle":"","family":"Anderson","given":"Michael C","non-dropping-particle":"","parse-names":false,"suffix":""},{"dropping-particle":"","family":"Rowe","given":"James B","non-dropping-particle":"","parse-names":false,"suffix":""}],"container-title":"The Journal of neuroscience : the official journal of the Society for Neuroscience","id":"ITEM-1","issue":"2","issued":{"date-parts":[["2015"]]},"page":"786-94","title":"The prefrontal cortex achieves inhibitory control by facilitating subcortical motor pathway connectivity.","type":"article-journal","volume":"35"},"uris":["http://www.mendeley.com/documents/?uuid=e1cd2b52-4b20-423b-8c98-36004beeeda5"]}],"mendeley":{"formattedCitation":"(8)","plainTextFormattedCitation":"(8)","previouslyFormattedCitation":"(Rae &lt;i&gt;et al&lt;/i&gt;, 2015)"},"properties":{"noteIndex":0},"schema":"https://github.com/citation-style-language/schema/raw/master/csl-citation.json"}</w:instrText>
      </w:r>
      <w:r w:rsidRPr="004E1CFF">
        <w:rPr>
          <w:rFonts w:ascii="Times New Roman" w:hAnsi="Times New Roman" w:cs="Times New Roman"/>
        </w:rPr>
        <w:fldChar w:fldCharType="separate"/>
      </w:r>
      <w:r w:rsidRPr="00382F4F">
        <w:rPr>
          <w:rFonts w:ascii="Times New Roman" w:hAnsi="Times New Roman" w:cs="Times New Roman"/>
          <w:noProof/>
        </w:rPr>
        <w:t>(8)</w:t>
      </w:r>
      <w:r w:rsidRPr="004E1CFF">
        <w:rPr>
          <w:rFonts w:ascii="Times New Roman" w:hAnsi="Times New Roman" w:cs="Times New Roman"/>
        </w:rPr>
        <w:fldChar w:fldCharType="end"/>
      </w:r>
      <w:r w:rsidRPr="004E1CFF">
        <w:rPr>
          <w:rFonts w:ascii="Times New Roman" w:hAnsi="Times New Roman" w:cs="Times New Roman"/>
        </w:rPr>
        <w:t xml:space="preserve">. </w:t>
      </w:r>
    </w:p>
    <w:p w14:paraId="6F9DA746" w14:textId="77777777" w:rsidR="0020610C" w:rsidRDefault="0020610C" w:rsidP="0020610C">
      <w:pPr>
        <w:spacing w:line="240" w:lineRule="auto"/>
        <w:rPr>
          <w:rFonts w:ascii="Times New Roman" w:hAnsi="Times New Roman" w:cs="Times New Roman"/>
        </w:rPr>
      </w:pPr>
      <w:r>
        <w:rPr>
          <w:rFonts w:ascii="Times New Roman" w:hAnsi="Times New Roman" w:cs="Times New Roman"/>
        </w:rPr>
        <w:t xml:space="preserve">Node activations were calculated for each participant. </w:t>
      </w:r>
      <w:r w:rsidRPr="004E1CFF">
        <w:rPr>
          <w:rFonts w:ascii="Times New Roman" w:hAnsi="Times New Roman" w:cs="Times New Roman"/>
        </w:rPr>
        <w:t xml:space="preserve">The first </w:t>
      </w:r>
      <w:proofErr w:type="spellStart"/>
      <w:r>
        <w:rPr>
          <w:rFonts w:ascii="Times New Roman" w:hAnsi="Times New Roman" w:cs="Times New Roman"/>
        </w:rPr>
        <w:t>E</w:t>
      </w:r>
      <w:r w:rsidRPr="004E1CFF">
        <w:rPr>
          <w:rFonts w:ascii="Times New Roman" w:hAnsi="Times New Roman" w:cs="Times New Roman"/>
        </w:rPr>
        <w:t>igenvariate</w:t>
      </w:r>
      <w:proofErr w:type="spellEnd"/>
      <w:r w:rsidRPr="004E1CFF">
        <w:rPr>
          <w:rFonts w:ascii="Times New Roman" w:hAnsi="Times New Roman" w:cs="Times New Roman"/>
        </w:rPr>
        <w:t xml:space="preserve"> of the BOLD timeseries was extracted from the 1</w:t>
      </w:r>
      <w:r w:rsidRPr="004E1CFF">
        <w:rPr>
          <w:rFonts w:ascii="Times New Roman" w:hAnsi="Times New Roman" w:cs="Times New Roman"/>
          <w:vertAlign w:val="superscript"/>
        </w:rPr>
        <w:t>st</w:t>
      </w:r>
      <w:r w:rsidRPr="004E1CFF">
        <w:rPr>
          <w:rFonts w:ascii="Times New Roman" w:hAnsi="Times New Roman" w:cs="Times New Roman"/>
        </w:rPr>
        <w:t xml:space="preserve"> level analysis. </w:t>
      </w:r>
      <w:r>
        <w:rPr>
          <w:rFonts w:ascii="Times New Roman" w:hAnsi="Times New Roman" w:cs="Times New Roman"/>
        </w:rPr>
        <w:t xml:space="preserve">All anatomical masks were taken from the Harvard Oxford cortical and subcortical atlases </w:t>
      </w:r>
      <w:r w:rsidRPr="004E1CFF">
        <w:rPr>
          <w:rFonts w:ascii="Times New Roman" w:hAnsi="Times New Roman" w:cs="Times New Roman"/>
        </w:rPr>
        <w:fldChar w:fldCharType="begin" w:fldLock="1"/>
      </w:r>
      <w:r>
        <w:rPr>
          <w:rFonts w:ascii="Times New Roman" w:hAnsi="Times New Roman" w:cs="Times New Roman"/>
        </w:rPr>
        <w:instrText>ADDIN CSL_CITATION {"citationItems":[{"id":"ITEM-1","itemData":{"DOI":"10.1016/j.biopsych.2006.06.027","ISSN":"00063223","abstract":"Background: This is a unique hypothalamic magnetic resonance imaging (MRI) study in schizophrenia, an important region in the limbic system. We hypothesized abnormal volumetric increases, with greater severity in multiplex families (more than one ill member) compared with simplex families (one ill). We tested the hypothesis that normal hypothalamic sexual dimorphism is disrupted in schizophrenia. Methods: Eighty-eight DSM-III-R schizophrenia cases (40 simplex and 48 multiplex), 43 first-degree nonpsychotic relatives, and 48 normal comparisons systematically were compared. A 1.5-Tesla General Electric scanner was used to acquire structural MRI scans, and contiguous 3.1-mm slices were used to segment anterior and posterior hypothalamus. General linear model for correlated data and generalized estimating equations were used to compare cases, relatives, and controls on right and left hypothalamus, controlled for age, sex, and total cerebral volume. Spearman's correlations of hypothalamic volumes with anxiety were calculated to begin to examine arousal correlates with structural abnormalities. Results: Findings demonstrated significantly increased hypothalamic volume in cases and nonpsychotic relatives, particularly in regions of paraventricular and mammillary body nuclei, respectively. This increase was linear from simplex to multiplex cases, was positively correlated with anxiety, and had a greater propensity in women. Conclusions: Findings suggest important implications for understanding genetic vulnerability of schizophrenia and the high rate of endocrine abnormalities. © 2007 Society of Biological Psychiatry.","author":[{"dropping-particle":"","family":"Goldstein","given":"Jill M.","non-dropping-particle":"","parse-names":false,"suffix":""},{"dropping-particle":"","family":"Seidman","given":"Larry J.","non-dropping-particle":"","parse-names":false,"suffix":""},{"dropping-particle":"","family":"Makris","given":"Nikos","non-dropping-particle":"","parse-names":false,"suffix":""},{"dropping-particle":"","family":"Ahern","given":"Todd","non-dropping-particle":"","parse-names":false,"suffix":""},{"dropping-particle":"","family":"O'Brien","given":"Liam M.","non-dropping-particle":"","parse-names":false,"suffix":""},{"dropping-particle":"","family":"Caviness","given":"Verne S.","non-dropping-particle":"","parse-names":false,"suffix":""},{"dropping-particle":"","family":"Kennedy","given":"David N.","non-dropping-particle":"","parse-names":false,"suffix":""},{"dropping-particle":"V.","family":"Faraone","given":"Stephen","non-dropping-particle":"","parse-names":false,"suffix":""},{"dropping-particle":"","family":"Tsuang","given":"Ming T.","non-dropping-particle":"","parse-names":false,"suffix":""}],"container-title":"Biological Psychiatry","id":"ITEM-1","issue":"8","issued":{"date-parts":[["2007"]]},"page":"935-945","title":"Hypothalamic Abnormalities in Schizophrenia: Sex Effects and Genetic Vulnerability","type":"article-journal","volume":"61"},"uris":["http://www.mendeley.com/documents/?uuid=c1124a83-e75b-4dea-a992-bc68d603990d"]},{"id":"ITEM-2","itemData":{"DOI":"10.1016/j.neuroimage.2006.01.021","ISSN":"10538119","abstract":"In this study, we have assessed the validity and reliability of an automated labeling system that we have developed for subdividing the human cerebral cortex on magnetic resonance images into gyral based regions of interest (ROIs). Using a dataset of 40 MRI scans we manually identified 34 cortical ROIs in each of the individual hemispheres. This information was then encoded in the form of an atlas that was utilized to automatically label ROIs. To examine the validity, as well as the intra- and inter-rater reliability of the automated system, we used both intraclass correlation coefficients (ICC), and a new method known as mean distance maps, to assess the degree of mismatch between the manual and the automated sets of ROIs. When compared with the manual ROIs, the automated ROIs were highly accurate, with an average ICC of 0.835 across all of the ROIs, and a mean distance error of less than 1 mm. Intra- and inter-rater comparisons yielded little to no difference between the sets of ROIs. These findings suggest that the automated method we have developed for subdividing the human cerebral cortex into standard gyral-based neuroanatomical regions is both anatomically valid and reliable. This method may be useful for both morphometric and functional studies of the cerebral cortex as well as for clinical investigations aimed at tracking the evolution of disease-induced changes over time, including clinical trials in which MRI-based measures are used to examine response to treatment. © 2006 Elsevier Inc. All rights reserved.","author":[{"dropping-particle":"","family":"Desikan","given":"Rahul S.","non-dropping-particle":"","parse-names":false,"suffix":""},{"dropping-particle":"","family":"Ségonne","given":"Florent","non-dropping-particle":"","parse-names":false,"suffix":""},{"dropping-particle":"","family":"Fischl","given":"Bruce","non-dropping-particle":"","parse-names":false,"suffix":""},{"dropping-particle":"","family":"Quinn","given":"Brian T.","non-dropping-particle":"","parse-names":false,"suffix":""},{"dropping-particle":"","family":"Dickerson","given":"Bradford C.","non-dropping-particle":"","parse-names":false,"suffix":""},{"dropping-particle":"","family":"Blacker","given":"Deborah","non-dropping-particle":"","parse-names":false,"suffix":""},{"dropping-particle":"","family":"Buckner","given":"Randy L.","non-dropping-particle":"","parse-names":false,"suffix":""},{"dropping-particle":"","family":"Dale","given":"Anders M.","non-dropping-particle":"","parse-names":false,"suffix":""},{"dropping-particle":"","family":"Maguire","given":"R. Paul","non-dropping-particle":"","parse-names":false,"suffix":""},{"dropping-particle":"","family":"Hyman","given":"Bradley T.","non-dropping-particle":"","parse-names":false,"suffix":""},{"dropping-particle":"","family":"Albert","given":"Marilyn S.","non-dropping-particle":"","parse-names":false,"suffix":""},{"dropping-particle":"","family":"Killiany","given":"Ronald J.","non-dropping-particle":"","parse-names":false,"suffix":""}],"container-title":"NeuroImage","id":"ITEM-2","issue":"3","issued":{"date-parts":[["2006"]]},"page":"968-980","title":"An automated labeling system for subdividing the human cerebral cortex on MRI scans into gyral based regions of interest","type":"article-journal","volume":"31"},"uris":["http://www.mendeley.com/documents/?uuid=8838efdb-8715-4942-9f71-e0170597ce08"]},{"id":"ITEM-3","itemData":{"DOI":"10.1016/j.schres.2005.11.020","ISSN":"09209964","abstract":"The insula is anatomically situated to be critically involved in many bio-behavioral functions impaired in schizophrenia. Furthermore, its total volume has been shown to be reduced in schizophrenia. In the present study, we tested the hypothesis that in schizophrenia it is the anterior insular lobule (aINSlbl) rather than the posterior insular lobule (pINSlbl) that is smaller, given that limbic system abnormalities are central in schizophrenia and that the affiliations of the limbic system are principally with the anterior insular lobule. We used T1-weighted high resolution magnetic resonance imaging (MRI) to measure the cortical volume of the left and right anterior and posterior insular subdivisions. The subjects included a sample of healthy community controls (N = 40) and chronic patients with DSM-III-R schizophrenia (N = 41). We correlated insula volumes with positive and negative symptoms. We found that the total aINSlbl, and the left aINSlbl in particular, were significantly volumetrically smaller in schizophrenia compared to controls, and significantly correlated with bizarre behavior. Given that the anterior insular lobule offers anatomic features that allow for MRI-based morphometric analysis, namely its central and circular sulci, this brain structure provides a useful model to test hypotheses regarding genotype-phenotype relationships in schizophrenia using the anterior insular lobule as a candidate endophenotype. © 2005 Elsevier B.V. All rights reserved.","author":[{"dropping-particle":"","family":"Makris","given":"Nikos","non-dropping-particle":"","parse-names":false,"suffix":""},{"dropping-particle":"","family":"Goldstein","given":"Jill M.","non-dropping-particle":"","parse-names":false,"suffix":""},{"dropping-particle":"","family":"Kennedy","given":"David","non-dropping-particle":"","parse-names":false,"suffix":""},{"dropping-particle":"","family":"Hodge","given":"Steven M.","non-dropping-particle":"","parse-names":false,"suffix":""},{"dropping-particle":"","family":"Caviness","given":"Verne S.","non-dropping-particle":"","parse-names":false,"suffix":""},{"dropping-particle":"V.","family":"Faraone","given":"Stephen","non-dropping-particle":"","parse-names":false,"suffix":""},{"dropping-particle":"","family":"Tsuang","given":"Ming T.","non-dropping-particle":"","parse-names":false,"suffix":""},{"dropping-particle":"","family":"Seidman","given":"Larry J.","non-dropping-particle":"","parse-names":false,"suffix":""}],"container-title":"Schizophrenia Research","id":"ITEM-3","issue":"2-3","issued":{"date-parts":[["2006"]]},"page":"155-171","title":"Decreased volume of left and total anterior insular lobule in schizophrenia","type":"article-journal","volume":"83"},"uris":["http://www.mendeley.com/documents/?uuid=a1ec9f8c-7f49-462d-88d9-2625bbd5a1ec"]},{"id":"ITEM-4","itemData":{"DOI":"10.1176/appi.ajp.162.7.1256","ISSN":"0002953X","abstract":"BACKGROUND: Youths with bipolar disorder are ideal for studying illness pathophysiology given their early presentation, lack of extended treatment, and high genetic loading. Adult bipolar disorder MRI studies have focused increasingly on limbic structures and the thalamus because of their role in mood and cognition. On the basis of adult studies, the authors hypothesized a priori that youths with bipolar disorder would have amygdalar, hippocampal, and thalamic volume abnormalities. METHOD: Forty-three youths 6-16 years of age with DSM-IV bipolar disorder (23 male, 20 female) and 20 healthy comparison subjects (12 male, eight female) similar in age and sex underwent structured and clinical interviews, neurological examination, and cognitive testing. Differences in limbic and thalamic brain volumes, on the logarithmic scale, were tested using a two-way (diagnosis and sex) univariate analysis of variance, with total cerebral volume and age controlled. RESULTS: The subjects with bipolar disorder had smaller hippocampal volumes. Further analysis revealed that this effect was driven predominantly by the female bipolar disorder subjects. In addition, both male and female youths with bipolar disorder had significantly smaller cerebral volumes. No significant hemispheric effects were seen. CONCLUSIONS: These findings support the hypothesis that the limbic system, in particular the hippocampus, may be involved in the pathophysiology of pediatric bipolar disorder. While this report may represent the largest MRI study of pediatric bipolar disorder to date, more work is needed to confirm these findings and to determine if they are unique to pediatric bipolar disorder.","author":[{"dropping-particle":"","family":"Frazier","given":"Jean A.","non-dropping-particle":"","parse-names":false,"suffix":""},{"dropping-particle":"","family":"Chiu","given":"Sufen","non-dropping-particle":"","parse-names":false,"suffix":""},{"dropping-particle":"","family":"Breeze","given":"Janis L.","non-dropping-particle":"","parse-names":false,"suffix":""},{"dropping-particle":"","family":"Makris","given":"Nikos","non-dropping-particle":"","parse-names":false,"suffix":""},{"dropping-particle":"","family":"Lange","given":"Nicholas","non-dropping-particle":"","parse-names":false,"suffix":""},{"dropping-particle":"","family":"Kennedy","given":"David N.","non-dropping-particle":"","parse-names":false,"suffix":""},{"dropping-particle":"","family":"Herbert","given":"Martha R.","non-dropping-particle":"","parse-names":false,"suffix":""},{"dropping-particle":"","family":"Bent","given":"Eileen K.","non-dropping-particle":"","parse-names":false,"suffix":""},{"dropping-particle":"","family":"Koneru","given":"Vamsi K.","non-dropping-particle":"","parse-names":false,"suffix":""},{"dropping-particle":"","family":"Dieterich","given":"Megan E.","non-dropping-particle":"","parse-names":false,"suffix":""},{"dropping-particle":"","family":"Hodge","given":"Steven M.","non-dropping-particle":"","parse-names":false,"suffix":""},{"dropping-particle":"","family":"Rauch","given":"Scott L.","non-dropping-particle":"","parse-names":false,"suffix":""},{"dropping-particle":"","family":"Grant","given":"P. Ellen","non-dropping-particle":"","parse-names":false,"suffix":""},{"dropping-particle":"","family":"Cohen","given":"Bruce M.","non-dropping-particle":"","parse-names":false,"suffix":""},{"dropping-particle":"","family":"Seidman","given":"Larry J.","non-dropping-particle":"","parse-names":false,"suffix":""},{"dropping-particle":"","family":"Caviness","given":"Verne S.","non-dropping-particle":"","parse-names":false,"suffix":""},{"dropping-particle":"","family":"Biederman","given":"Joseph","non-dropping-particle":"","parse-names":false,"suffix":""}],"container-title":"American Journal of Psychiatry","id":"ITEM-4","issue":"7","issued":{"date-parts":[["2005"]]},"page":"1256-1265","title":"Structural brain magnetic resonance imaging of limbic and thalamic volumes in pediatric bipolar disorder","type":"article-journal","volume":"162"},"uris":["http://www.mendeley.com/documents/?uuid=37966b33-abdf-4597-89ca-6f92e129a759"]}],"mendeley":{"formattedCitation":"(11–14)","plainTextFormattedCitation":"(11–14)","previouslyFormattedCitation":"(Desikan &lt;i&gt;et al&lt;/i&gt;, 2006; Frazier &lt;i&gt;et al&lt;/i&gt;, 2005; Goldstein &lt;i&gt;et al&lt;/i&gt;, 2007; Makris &lt;i&gt;et al&lt;/i&gt;, 2006)"},"properties":{"noteIndex":0},"schema":"https://github.com/citation-style-language/schema/raw/master/csl-citation.json"}</w:instrText>
      </w:r>
      <w:r w:rsidRPr="004E1CFF">
        <w:rPr>
          <w:rFonts w:ascii="Times New Roman" w:hAnsi="Times New Roman" w:cs="Times New Roman"/>
        </w:rPr>
        <w:fldChar w:fldCharType="separate"/>
      </w:r>
      <w:r w:rsidRPr="00382F4F">
        <w:rPr>
          <w:rFonts w:ascii="Times New Roman" w:hAnsi="Times New Roman" w:cs="Times New Roman"/>
          <w:noProof/>
          <w:lang w:val="de-DE"/>
        </w:rPr>
        <w:t>(11–14)</w:t>
      </w:r>
      <w:r w:rsidRPr="004E1CFF">
        <w:rPr>
          <w:rFonts w:ascii="Times New Roman" w:hAnsi="Times New Roman" w:cs="Times New Roman"/>
        </w:rPr>
        <w:fldChar w:fldCharType="end"/>
      </w:r>
      <w:r w:rsidRPr="004E1CFF">
        <w:rPr>
          <w:rFonts w:ascii="Times New Roman" w:hAnsi="Times New Roman" w:cs="Times New Roman"/>
          <w:lang w:val="de-DE"/>
        </w:rPr>
        <w:t xml:space="preserve">. </w:t>
      </w:r>
      <w:r w:rsidRPr="004E1CFF">
        <w:rPr>
          <w:rFonts w:ascii="Times New Roman" w:hAnsi="Times New Roman" w:cs="Times New Roman"/>
        </w:rPr>
        <w:t xml:space="preserve">The dorsal ACC and IFG spheres </w:t>
      </w:r>
      <w:r>
        <w:rPr>
          <w:rFonts w:ascii="Times New Roman" w:hAnsi="Times New Roman" w:cs="Times New Roman"/>
        </w:rPr>
        <w:t>were</w:t>
      </w:r>
      <w:r w:rsidRPr="004E1CFF">
        <w:rPr>
          <w:rFonts w:ascii="Times New Roman" w:hAnsi="Times New Roman" w:cs="Times New Roman"/>
        </w:rPr>
        <w:t xml:space="preserve"> determined as follows: a search region was </w:t>
      </w:r>
      <w:r>
        <w:rPr>
          <w:rFonts w:ascii="Times New Roman" w:hAnsi="Times New Roman" w:cs="Times New Roman"/>
        </w:rPr>
        <w:t xml:space="preserve">first </w:t>
      </w:r>
      <w:r w:rsidRPr="004E1CFF">
        <w:rPr>
          <w:rFonts w:ascii="Times New Roman" w:hAnsi="Times New Roman" w:cs="Times New Roman"/>
        </w:rPr>
        <w:t xml:space="preserve">created from the intersection of the significant group mean activation for the successful stop </w:t>
      </w:r>
      <w:r>
        <w:rPr>
          <w:rFonts w:ascii="Times New Roman" w:hAnsi="Times New Roman" w:cs="Times New Roman"/>
        </w:rPr>
        <w:t>vs</w:t>
      </w:r>
      <w:r w:rsidRPr="004E1CFF">
        <w:rPr>
          <w:rFonts w:ascii="Times New Roman" w:hAnsi="Times New Roman" w:cs="Times New Roman"/>
        </w:rPr>
        <w:t xml:space="preserve"> go contrast and the </w:t>
      </w:r>
      <w:r w:rsidRPr="00271170">
        <w:rPr>
          <w:rFonts w:ascii="Times New Roman" w:hAnsi="Times New Roman" w:cs="Times New Roman"/>
        </w:rPr>
        <w:t>anatomical masks of ACC</w:t>
      </w:r>
      <w:r w:rsidRPr="004E1CFF">
        <w:rPr>
          <w:rFonts w:ascii="Times New Roman" w:hAnsi="Times New Roman" w:cs="Times New Roman"/>
        </w:rPr>
        <w:t xml:space="preserve"> and bilateral IFG (pars </w:t>
      </w:r>
      <w:proofErr w:type="spellStart"/>
      <w:r w:rsidRPr="004E1CFF">
        <w:rPr>
          <w:rFonts w:ascii="Times New Roman" w:hAnsi="Times New Roman" w:cs="Times New Roman"/>
        </w:rPr>
        <w:t>opercularis</w:t>
      </w:r>
      <w:proofErr w:type="spellEnd"/>
      <w:r w:rsidRPr="004E1CFF">
        <w:rPr>
          <w:rFonts w:ascii="Times New Roman" w:hAnsi="Times New Roman" w:cs="Times New Roman"/>
        </w:rPr>
        <w:t xml:space="preserve"> and pars triangularis)</w:t>
      </w:r>
      <w:r>
        <w:rPr>
          <w:rFonts w:ascii="Times New Roman" w:hAnsi="Times New Roman" w:cs="Times New Roman"/>
        </w:rPr>
        <w:t xml:space="preserve">. This was then masked by a sphere (5 mm radius) of the peak activation from </w:t>
      </w:r>
      <w:r w:rsidRPr="004E1CFF">
        <w:rPr>
          <w:rFonts w:ascii="Times New Roman" w:hAnsi="Times New Roman" w:cs="Times New Roman"/>
        </w:rPr>
        <w:t xml:space="preserve">each participant’s parameter estimate map for the successful stop vs go contrast. </w:t>
      </w:r>
      <w:r>
        <w:rPr>
          <w:rFonts w:ascii="Times New Roman" w:hAnsi="Times New Roman" w:cs="Times New Roman"/>
        </w:rPr>
        <w:t>The b</w:t>
      </w:r>
      <w:r w:rsidRPr="004E1CFF">
        <w:rPr>
          <w:rFonts w:ascii="Times New Roman" w:hAnsi="Times New Roman" w:cs="Times New Roman"/>
        </w:rPr>
        <w:t>ilateral motor cortex search region was created from the intersection of the</w:t>
      </w:r>
      <w:r>
        <w:rPr>
          <w:rFonts w:ascii="Times New Roman" w:hAnsi="Times New Roman" w:cs="Times New Roman"/>
        </w:rPr>
        <w:t xml:space="preserve"> primary</w:t>
      </w:r>
      <w:r w:rsidRPr="004E1CFF">
        <w:rPr>
          <w:rFonts w:ascii="Times New Roman" w:hAnsi="Times New Roman" w:cs="Times New Roman"/>
        </w:rPr>
        <w:t xml:space="preserve"> </w:t>
      </w:r>
      <w:r>
        <w:rPr>
          <w:rFonts w:ascii="Times New Roman" w:hAnsi="Times New Roman" w:cs="Times New Roman"/>
        </w:rPr>
        <w:t xml:space="preserve">motor cortex anatomical mask and </w:t>
      </w:r>
      <w:r w:rsidRPr="004E1CFF">
        <w:rPr>
          <w:rFonts w:ascii="Times New Roman" w:hAnsi="Times New Roman" w:cs="Times New Roman"/>
        </w:rPr>
        <w:t xml:space="preserve">significant mean activation for successful go vs stop. </w:t>
      </w:r>
      <w:r>
        <w:rPr>
          <w:rFonts w:ascii="Times New Roman" w:hAnsi="Times New Roman" w:cs="Times New Roman"/>
        </w:rPr>
        <w:t>Individual</w:t>
      </w:r>
      <w:r w:rsidRPr="004E1CFF">
        <w:rPr>
          <w:rFonts w:ascii="Times New Roman" w:hAnsi="Times New Roman" w:cs="Times New Roman"/>
        </w:rPr>
        <w:t>-specific spheres (5mm radius) were placed at peak activation for the go</w:t>
      </w:r>
      <w:r>
        <w:rPr>
          <w:rFonts w:ascii="Times New Roman" w:hAnsi="Times New Roman" w:cs="Times New Roman"/>
        </w:rPr>
        <w:t xml:space="preserve"> </w:t>
      </w:r>
      <w:r w:rsidRPr="003B74D7">
        <w:rPr>
          <w:rFonts w:ascii="Times New Roman" w:hAnsi="Times New Roman" w:cs="Times New Roman"/>
        </w:rPr>
        <w:t>vs</w:t>
      </w:r>
      <w:r>
        <w:rPr>
          <w:rFonts w:ascii="Times New Roman" w:hAnsi="Times New Roman" w:cs="Times New Roman"/>
        </w:rPr>
        <w:t xml:space="preserve"> </w:t>
      </w:r>
      <w:r w:rsidRPr="004E1CFF">
        <w:rPr>
          <w:rFonts w:ascii="Times New Roman" w:hAnsi="Times New Roman" w:cs="Times New Roman"/>
        </w:rPr>
        <w:t xml:space="preserve">stop contrast in the search ROI. The putamen sphere (3mm radius) was placed at the subject-specific peak activation in the putamen anatomical region. Finally, </w:t>
      </w:r>
      <w:r>
        <w:rPr>
          <w:rFonts w:ascii="Times New Roman" w:hAnsi="Times New Roman" w:cs="Times New Roman"/>
        </w:rPr>
        <w:t>STN</w:t>
      </w:r>
      <w:r w:rsidRPr="004E1CFF">
        <w:rPr>
          <w:rFonts w:ascii="Times New Roman" w:hAnsi="Times New Roman" w:cs="Times New Roman"/>
        </w:rPr>
        <w:t xml:space="preserve"> sphere</w:t>
      </w:r>
      <w:r>
        <w:rPr>
          <w:rFonts w:ascii="Times New Roman" w:hAnsi="Times New Roman" w:cs="Times New Roman"/>
        </w:rPr>
        <w:t>s</w:t>
      </w:r>
      <w:r w:rsidRPr="004E1CFF">
        <w:rPr>
          <w:rFonts w:ascii="Times New Roman" w:hAnsi="Times New Roman" w:cs="Times New Roman"/>
        </w:rPr>
        <w:t xml:space="preserve"> </w:t>
      </w:r>
      <w:r>
        <w:rPr>
          <w:rFonts w:ascii="Times New Roman" w:hAnsi="Times New Roman" w:cs="Times New Roman"/>
        </w:rPr>
        <w:t>were</w:t>
      </w:r>
      <w:r w:rsidRPr="004E1CFF">
        <w:rPr>
          <w:rFonts w:ascii="Times New Roman" w:hAnsi="Times New Roman" w:cs="Times New Roman"/>
        </w:rPr>
        <w:t xml:space="preserve"> created as in Rae </w:t>
      </w:r>
      <w:r w:rsidRPr="00B25116">
        <w:rPr>
          <w:rFonts w:ascii="Times New Roman" w:hAnsi="Times New Roman" w:cs="Times New Roman"/>
          <w:i/>
          <w:iCs/>
        </w:rPr>
        <w:t>et al.</w:t>
      </w:r>
      <w:r w:rsidRPr="004E1CFF">
        <w:rPr>
          <w:rFonts w:ascii="Times New Roman" w:hAnsi="Times New Roman" w:cs="Times New Roman"/>
        </w:rPr>
        <w:t xml:space="preserve"> 2015 </w:t>
      </w:r>
      <w:r>
        <w:rPr>
          <w:rFonts w:ascii="Times New Roman" w:hAnsi="Times New Roman" w:cs="Times New Roman"/>
        </w:rPr>
        <w:t xml:space="preserve">by placing spheres of </w:t>
      </w:r>
      <w:r w:rsidRPr="004E1CFF">
        <w:rPr>
          <w:rFonts w:ascii="Times New Roman" w:hAnsi="Times New Roman" w:cs="Times New Roman"/>
        </w:rPr>
        <w:t>5mm radius</w:t>
      </w:r>
      <w:r>
        <w:rPr>
          <w:rFonts w:ascii="Times New Roman" w:hAnsi="Times New Roman" w:cs="Times New Roman"/>
        </w:rPr>
        <w:t xml:space="preserve"> at the specified coordinates (</w:t>
      </w:r>
      <w:proofErr w:type="spellStart"/>
      <w:r>
        <w:rPr>
          <w:rFonts w:ascii="Times New Roman" w:hAnsi="Times New Roman" w:cs="Times New Roman"/>
        </w:rPr>
        <w:fldChar w:fldCharType="begin" w:fldLock="1"/>
      </w:r>
      <w:r>
        <w:rPr>
          <w:rFonts w:ascii="Times New Roman" w:hAnsi="Times New Roman" w:cs="Times New Roman"/>
        </w:rPr>
        <w:instrText>ADDIN CSL_CITATION {"citationItems":[{"id":"ITEM-1","itemData":{"DOI":"10.1016/j.neuroimage.2011.12.044","ISSN":"10538119","abstract":"The subthalamic nucleus (STN) is a small but vitally important structure in the basal ganglia. Because of its small volume, and its localization in the basal ganglia, the STN can best be visualized using ultra-high resolution 7 Tesla (T) magnetic resonance imaging (MRI). In the present study, first we individually segmented 7T MRI STN masks to generate atlas probability maps. Secondly, the individually segmented STN masks and the probability maps were used to derive cortico-subthalamic white matter tract strength. Tract strength measures were then taken to test two functional STN hypotheses which account for the efficiency in stopping a motor response: the right inferior fronto-subthalamic (rIFC-STN) hypothesis and the posterior medial frontal cortex-subthalamic (pMFC-STN) hypothesis. Results of two independent experiments show that increased white matter tract strength between the pMFC and STN results in better stopping behaviour. © 2011 Elsevier Inc.","author":[{"dropping-particle":"","family":"Forstmann","given":"Birte U.","non-dropping-particle":"","parse-names":false,"suffix":""},{"dropping-particle":"","family":"Keuken","given":"Max C.","non-dropping-particle":"","parse-names":false,"suffix":""},{"dropping-particle":"","family":"Jahfari","given":"Sara","non-dropping-particle":"","parse-names":false,"suffix":""},{"dropping-particle":"","family":"Bazin","given":"Pierre Louis","non-dropping-particle":"","parse-names":false,"suffix":""},{"dropping-particle":"","family":"Neumann","given":"Jane","non-dropping-particle":"","parse-names":false,"suffix":""},{"dropping-particle":"","family":"Schäfer","given":"Andreas","non-dropping-particle":"","parse-names":false,"suffix":""},{"dropping-particle":"","family":"Anwander","given":"Alfred","non-dropping-particle":"","parse-names":false,"suffix":""},{"dropping-particle":"","family":"Turner","given":"Robert","non-dropping-particle":"","parse-names":false,"suffix":""}],"container-title":"NeuroImage","id":"ITEM-1","issue":"1","issued":{"date-parts":[["2012"]]},"page":"370-375","publisher":"Elsevier Inc.","title":"Cortico-subthalamic white matter tract strength predicts interindividual efficacy in stopping a motor response","type":"article-journal","volume":"60"},"uris":["http://www.mendeley.com/documents/?uuid=c565b35d-01b8-479a-b7ab-1de85cfe040a"]}],"mendeley":{"formattedCitation":"(15)","manualFormatting":"Forstmann et al, 2012)","plainTextFormattedCitation":"(15)","previouslyFormattedCitation":"(Forstmann &lt;i&gt;et al&lt;/i&gt;, 2012)"},"properties":{"noteIndex":0},"schema":"https://github.com/citation-style-language/schema/raw/master/csl-citation.json"}</w:instrText>
      </w:r>
      <w:r>
        <w:rPr>
          <w:rFonts w:ascii="Times New Roman" w:hAnsi="Times New Roman" w:cs="Times New Roman"/>
        </w:rPr>
        <w:fldChar w:fldCharType="separate"/>
      </w:r>
      <w:r w:rsidRPr="00431757">
        <w:rPr>
          <w:rFonts w:ascii="Times New Roman" w:hAnsi="Times New Roman" w:cs="Times New Roman"/>
          <w:noProof/>
        </w:rPr>
        <w:t>Forstmann</w:t>
      </w:r>
      <w:proofErr w:type="spellEnd"/>
      <w:r w:rsidRPr="00431757">
        <w:rPr>
          <w:rFonts w:ascii="Times New Roman" w:hAnsi="Times New Roman" w:cs="Times New Roman"/>
          <w:noProof/>
        </w:rPr>
        <w:t xml:space="preserve"> </w:t>
      </w:r>
      <w:r w:rsidRPr="00431757">
        <w:rPr>
          <w:rFonts w:ascii="Times New Roman" w:hAnsi="Times New Roman" w:cs="Times New Roman"/>
          <w:i/>
          <w:noProof/>
        </w:rPr>
        <w:t>et al</w:t>
      </w:r>
      <w:r w:rsidRPr="00431757">
        <w:rPr>
          <w:rFonts w:ascii="Times New Roman" w:hAnsi="Times New Roman" w:cs="Times New Roman"/>
          <w:noProof/>
        </w:rPr>
        <w:t>, 2012)</w:t>
      </w:r>
      <w:r>
        <w:rPr>
          <w:rFonts w:ascii="Times New Roman" w:hAnsi="Times New Roman" w:cs="Times New Roman"/>
        </w:rPr>
        <w:fldChar w:fldCharType="end"/>
      </w:r>
      <w:r w:rsidRPr="004E1CFF">
        <w:rPr>
          <w:rFonts w:ascii="Times New Roman" w:hAnsi="Times New Roman" w:cs="Times New Roman"/>
        </w:rPr>
        <w:t xml:space="preserve">. Twenty-four extended motion parameters generated in the first level analyses were regressed out of the extracted timeseries and the remaining variability in the BOLD signal was then used to estimate </w:t>
      </w:r>
      <w:r>
        <w:rPr>
          <w:rFonts w:ascii="Times New Roman" w:hAnsi="Times New Roman" w:cs="Times New Roman"/>
        </w:rPr>
        <w:t>DCMs</w:t>
      </w:r>
      <w:r w:rsidRPr="004E1CFF">
        <w:rPr>
          <w:rFonts w:ascii="Times New Roman" w:hAnsi="Times New Roman" w:cs="Times New Roman"/>
        </w:rPr>
        <w:t xml:space="preserve">. Bayesian model selection (BMS, Stephan et al 2009) was used to compare models and model families in each group in each condition by evaluating model posterior probability in a fixed effects analysis. </w:t>
      </w:r>
      <w:r>
        <w:rPr>
          <w:rFonts w:ascii="Times New Roman" w:hAnsi="Times New Roman" w:cs="Times New Roman"/>
        </w:rPr>
        <w:t xml:space="preserve">Bayesian model averaging was then used to extract subject-specific connectivity values from the DCM.A and DCM.B matrices for the most likely model for each group in each respective drug condition. These connectivity values were subsequently used in subject-level random effects analyses to examine potential effects of group, drug condition and interaction between group and drug condition. To correct for the number of multiple comparisons, we used the Bonferroni method (p&lt;0.004, </w:t>
      </w:r>
      <w:proofErr w:type="gramStart"/>
      <w:r>
        <w:rPr>
          <w:rFonts w:ascii="Times New Roman" w:hAnsi="Times New Roman" w:cs="Times New Roman"/>
        </w:rPr>
        <w:t>i.e.</w:t>
      </w:r>
      <w:proofErr w:type="gramEnd"/>
      <w:r>
        <w:rPr>
          <w:rFonts w:ascii="Times New Roman" w:hAnsi="Times New Roman" w:cs="Times New Roman"/>
        </w:rPr>
        <w:t xml:space="preserve"> 0.05 divided by 12 fixed connections common to all winning models, Figure 3B). </w:t>
      </w:r>
    </w:p>
    <w:p w14:paraId="0E272616" w14:textId="77777777" w:rsidR="0020610C" w:rsidRDefault="0020610C" w:rsidP="0020610C">
      <w:pPr>
        <w:spacing w:line="240" w:lineRule="auto"/>
        <w:rPr>
          <w:rFonts w:ascii="Times New Roman" w:hAnsi="Times New Roman" w:cs="Times New Roman"/>
          <w:b/>
        </w:rPr>
      </w:pPr>
    </w:p>
    <w:p w14:paraId="0EECE500" w14:textId="77777777" w:rsidR="0020610C" w:rsidRPr="004E1CFF" w:rsidRDefault="0020610C" w:rsidP="000B7DB7">
      <w:pPr>
        <w:pStyle w:val="Heading2"/>
      </w:pPr>
      <w:r w:rsidRPr="004E1CFF">
        <w:t>DCM</w:t>
      </w:r>
      <w:r>
        <w:t xml:space="preserve"> Results and Discussion</w:t>
      </w:r>
    </w:p>
    <w:p w14:paraId="3119DDA9" w14:textId="77777777" w:rsidR="0020610C" w:rsidRPr="00CF7747" w:rsidRDefault="0020610C" w:rsidP="0020610C">
      <w:pPr>
        <w:spacing w:line="240" w:lineRule="auto"/>
        <w:rPr>
          <w:rFonts w:ascii="Times New Roman" w:hAnsi="Times New Roman" w:cs="Times New Roman"/>
        </w:rPr>
      </w:pPr>
      <w:r w:rsidRPr="004E1CFF">
        <w:rPr>
          <w:rFonts w:ascii="Times New Roman" w:hAnsi="Times New Roman" w:cs="Times New Roman"/>
        </w:rPr>
        <w:t xml:space="preserve">Figure </w:t>
      </w:r>
      <w:r>
        <w:rPr>
          <w:rFonts w:ascii="Times New Roman" w:hAnsi="Times New Roman" w:cs="Times New Roman"/>
        </w:rPr>
        <w:t>S1</w:t>
      </w:r>
      <w:r w:rsidRPr="004E1CFF">
        <w:rPr>
          <w:rFonts w:ascii="Times New Roman" w:hAnsi="Times New Roman" w:cs="Times New Roman"/>
        </w:rPr>
        <w:t xml:space="preserve"> summarizes the results of </w:t>
      </w:r>
      <w:r>
        <w:rPr>
          <w:rFonts w:ascii="Times New Roman" w:hAnsi="Times New Roman" w:cs="Times New Roman"/>
        </w:rPr>
        <w:t>the model selection</w:t>
      </w:r>
      <w:r w:rsidRPr="004E1CFF">
        <w:rPr>
          <w:rFonts w:ascii="Times New Roman" w:hAnsi="Times New Roman" w:cs="Times New Roman"/>
        </w:rPr>
        <w:t xml:space="preserve"> between thirty DCMs representing competing hypotheses regarding the causal interactions between prefrontal cortical regions and the subcortica</w:t>
      </w:r>
      <w:r>
        <w:rPr>
          <w:rFonts w:ascii="Times New Roman" w:hAnsi="Times New Roman" w:cs="Times New Roman"/>
        </w:rPr>
        <w:t>l response inhibition pathways</w:t>
      </w:r>
      <w:r w:rsidRPr="004E1CFF">
        <w:rPr>
          <w:rFonts w:ascii="Times New Roman" w:hAnsi="Times New Roman" w:cs="Times New Roman"/>
        </w:rPr>
        <w:t>. The winning models in both groups in both conditions did not differ in terms of fixed connections between ROI pairs (</w:t>
      </w:r>
      <w:proofErr w:type="spellStart"/>
      <w:r w:rsidRPr="004E1CFF">
        <w:rPr>
          <w:rFonts w:ascii="Times New Roman" w:hAnsi="Times New Roman" w:cs="Times New Roman"/>
        </w:rPr>
        <w:t>DCM.a</w:t>
      </w:r>
      <w:proofErr w:type="spellEnd"/>
      <w:r w:rsidRPr="004E1CFF">
        <w:rPr>
          <w:rFonts w:ascii="Times New Roman" w:hAnsi="Times New Roman" w:cs="Times New Roman"/>
        </w:rPr>
        <w:t>).</w:t>
      </w:r>
      <w:r>
        <w:rPr>
          <w:rFonts w:ascii="Times New Roman" w:hAnsi="Times New Roman" w:cs="Times New Roman"/>
        </w:rPr>
        <w:t xml:space="preserve"> O</w:t>
      </w:r>
      <w:r w:rsidRPr="004E1CFF">
        <w:rPr>
          <w:rFonts w:ascii="Times New Roman" w:hAnsi="Times New Roman" w:cs="Times New Roman"/>
        </w:rPr>
        <w:t>n placebo</w:t>
      </w:r>
      <w:r>
        <w:rPr>
          <w:rFonts w:ascii="Times New Roman" w:hAnsi="Times New Roman" w:cs="Times New Roman"/>
        </w:rPr>
        <w:t>, but</w:t>
      </w:r>
      <w:r w:rsidRPr="004E1CFF">
        <w:rPr>
          <w:rFonts w:ascii="Times New Roman" w:hAnsi="Times New Roman" w:cs="Times New Roman"/>
        </w:rPr>
        <w:t xml:space="preserve"> not on atomoxetine</w:t>
      </w:r>
      <w:r>
        <w:rPr>
          <w:rFonts w:ascii="Times New Roman" w:hAnsi="Times New Roman" w:cs="Times New Roman"/>
        </w:rPr>
        <w:t>,</w:t>
      </w:r>
      <w:r w:rsidRPr="004E1CFF">
        <w:rPr>
          <w:rFonts w:ascii="Times New Roman" w:hAnsi="Times New Roman" w:cs="Times New Roman"/>
        </w:rPr>
        <w:t xml:space="preserve"> the winning model in both groups included nonlinear modulation of the </w:t>
      </w:r>
      <w:proofErr w:type="spellStart"/>
      <w:r w:rsidRPr="004E1CFF">
        <w:rPr>
          <w:rFonts w:ascii="Times New Roman" w:hAnsi="Times New Roman" w:cs="Times New Roman"/>
        </w:rPr>
        <w:t>hyperdirect</w:t>
      </w:r>
      <w:proofErr w:type="spellEnd"/>
      <w:r w:rsidRPr="004E1CFF">
        <w:rPr>
          <w:rFonts w:ascii="Times New Roman" w:hAnsi="Times New Roman" w:cs="Times New Roman"/>
        </w:rPr>
        <w:t xml:space="preserve"> pathway (ACC to STN) by the IFG (</w:t>
      </w:r>
      <w:proofErr w:type="spellStart"/>
      <w:r w:rsidRPr="004E1CFF">
        <w:rPr>
          <w:rFonts w:ascii="Times New Roman" w:hAnsi="Times New Roman" w:cs="Times New Roman"/>
        </w:rPr>
        <w:t>DCM.d</w:t>
      </w:r>
      <w:proofErr w:type="spellEnd"/>
      <w:r w:rsidRPr="004E1CFF">
        <w:rPr>
          <w:rFonts w:ascii="Times New Roman" w:hAnsi="Times New Roman" w:cs="Times New Roman"/>
        </w:rPr>
        <w:t xml:space="preserve">). Further, stopping modulated the IFG in the control group in the placebo condition, but the location of stopping modulation changed to the putamen when healthy participants were given atomoxetine. In </w:t>
      </w:r>
      <w:r>
        <w:rPr>
          <w:rFonts w:ascii="Times New Roman" w:hAnsi="Times New Roman" w:cs="Times New Roman"/>
        </w:rPr>
        <w:t>the Cocaine User Dependent (CUD) group</w:t>
      </w:r>
      <w:r w:rsidRPr="004E1CFF">
        <w:rPr>
          <w:rFonts w:ascii="Times New Roman" w:hAnsi="Times New Roman" w:cs="Times New Roman"/>
        </w:rPr>
        <w:t xml:space="preserve">, stopping modulated the putamen activity regardless of drug condition. </w:t>
      </w:r>
    </w:p>
    <w:p w14:paraId="485959C3" w14:textId="77777777" w:rsidR="0020610C" w:rsidRPr="004E1CFF" w:rsidRDefault="0020610C" w:rsidP="0020610C">
      <w:pPr>
        <w:spacing w:line="240" w:lineRule="auto"/>
        <w:rPr>
          <w:rFonts w:ascii="Times New Roman" w:hAnsi="Times New Roman" w:cs="Times New Roman"/>
        </w:rPr>
      </w:pPr>
      <w:r w:rsidRPr="004E1CFF">
        <w:rPr>
          <w:rFonts w:ascii="Times New Roman" w:hAnsi="Times New Roman" w:cs="Times New Roman"/>
        </w:rPr>
        <w:t>Having clarified the presence or absence of connections and modulatory effects, we investigated the connectivity strength within the winning model identified by BMS. Estimating connectivity strength of fixed connections (</w:t>
      </w:r>
      <w:proofErr w:type="spellStart"/>
      <w:r w:rsidRPr="004E1CFF">
        <w:rPr>
          <w:rFonts w:ascii="Times New Roman" w:hAnsi="Times New Roman" w:cs="Times New Roman"/>
        </w:rPr>
        <w:t>DCM.a</w:t>
      </w:r>
      <w:proofErr w:type="spellEnd"/>
      <w:r w:rsidRPr="004E1CFF">
        <w:rPr>
          <w:rFonts w:ascii="Times New Roman" w:hAnsi="Times New Roman" w:cs="Times New Roman"/>
        </w:rPr>
        <w:t>) allows us to assess whether a region is providing excitatory or inhibitory inputs to another region, while nonlinear modulations inform us about increase or reduction in connectivity between two regions by a third modulatory ROI.</w:t>
      </w:r>
    </w:p>
    <w:p w14:paraId="26D55E9D" w14:textId="77777777" w:rsidR="0020610C" w:rsidRPr="004E1CFF" w:rsidRDefault="0020610C" w:rsidP="0020610C">
      <w:pPr>
        <w:spacing w:line="240" w:lineRule="auto"/>
        <w:rPr>
          <w:rFonts w:ascii="Times New Roman" w:hAnsi="Times New Roman" w:cs="Times New Roman"/>
        </w:rPr>
      </w:pPr>
      <w:r w:rsidRPr="004E1CFF">
        <w:rPr>
          <w:rFonts w:ascii="Times New Roman" w:hAnsi="Times New Roman" w:cs="Times New Roman"/>
        </w:rPr>
        <w:t xml:space="preserve">The analysis revealed striking similarities to the network architecture previously identified in humans and animals. In particular, the </w:t>
      </w:r>
      <w:proofErr w:type="spellStart"/>
      <w:r w:rsidRPr="004E1CFF">
        <w:rPr>
          <w:rFonts w:ascii="Times New Roman" w:hAnsi="Times New Roman" w:cs="Times New Roman"/>
        </w:rPr>
        <w:t>hyperdirect</w:t>
      </w:r>
      <w:proofErr w:type="spellEnd"/>
      <w:r w:rsidRPr="004E1CFF">
        <w:rPr>
          <w:rFonts w:ascii="Times New Roman" w:hAnsi="Times New Roman" w:cs="Times New Roman"/>
        </w:rPr>
        <w:t xml:space="preserve"> pathway (</w:t>
      </w:r>
      <w:proofErr w:type="spellStart"/>
      <w:r w:rsidRPr="004E1CFF">
        <w:rPr>
          <w:rFonts w:ascii="Times New Roman" w:hAnsi="Times New Roman" w:cs="Times New Roman"/>
        </w:rPr>
        <w:t>dACC</w:t>
      </w:r>
      <w:proofErr w:type="spellEnd"/>
      <w:r w:rsidRPr="004E1CFF">
        <w:rPr>
          <w:rFonts w:ascii="Times New Roman" w:hAnsi="Times New Roman" w:cs="Times New Roman"/>
        </w:rPr>
        <w:t xml:space="preserve"> to STN) as well as the nonlinear modulatory influence of the IFG on the </w:t>
      </w:r>
      <w:proofErr w:type="spellStart"/>
      <w:r w:rsidRPr="004E1CFF">
        <w:rPr>
          <w:rFonts w:ascii="Times New Roman" w:hAnsi="Times New Roman" w:cs="Times New Roman"/>
        </w:rPr>
        <w:t>hyperdirect</w:t>
      </w:r>
      <w:proofErr w:type="spellEnd"/>
      <w:r w:rsidRPr="004E1CFF">
        <w:rPr>
          <w:rFonts w:ascii="Times New Roman" w:hAnsi="Times New Roman" w:cs="Times New Roman"/>
        </w:rPr>
        <w:t xml:space="preserve"> pathway were excitatory. This finding is consistent with a role for the IFG in increasing the excitatory connectivity in the </w:t>
      </w:r>
      <w:proofErr w:type="spellStart"/>
      <w:r w:rsidRPr="004E1CFF">
        <w:rPr>
          <w:rFonts w:ascii="Times New Roman" w:hAnsi="Times New Roman" w:cs="Times New Roman"/>
        </w:rPr>
        <w:t>hyperdirect</w:t>
      </w:r>
      <w:proofErr w:type="spellEnd"/>
      <w:r w:rsidRPr="004E1CFF">
        <w:rPr>
          <w:rFonts w:ascii="Times New Roman" w:hAnsi="Times New Roman" w:cs="Times New Roman"/>
        </w:rPr>
        <w:t xml:space="preserve"> pathway when participants successfully stop a motor response and allowing ACC to activate the STN more strongly. The STN exerts inhibitory control over motor cortex (Redgrave et al 2010) and can thus relay the stopping command it received from the ACC to successfully inhibit the initiated response in the motor cortex. </w:t>
      </w:r>
    </w:p>
    <w:p w14:paraId="629B7F88" w14:textId="77777777" w:rsidR="0020610C" w:rsidRDefault="0020610C" w:rsidP="0020610C">
      <w:pPr>
        <w:spacing w:line="240" w:lineRule="auto"/>
        <w:rPr>
          <w:rFonts w:ascii="Times New Roman" w:hAnsi="Times New Roman" w:cs="Times New Roman"/>
        </w:rPr>
      </w:pPr>
      <w:r w:rsidRPr="004E1CFF">
        <w:rPr>
          <w:rFonts w:ascii="Times New Roman" w:hAnsi="Times New Roman" w:cs="Times New Roman"/>
        </w:rPr>
        <w:lastRenderedPageBreak/>
        <w:t xml:space="preserve">The </w:t>
      </w:r>
      <w:proofErr w:type="spellStart"/>
      <w:r w:rsidRPr="004E1CFF">
        <w:rPr>
          <w:rFonts w:ascii="Times New Roman" w:hAnsi="Times New Roman" w:cs="Times New Roman"/>
        </w:rPr>
        <w:t>dACC</w:t>
      </w:r>
      <w:proofErr w:type="spellEnd"/>
      <w:r w:rsidRPr="004E1CFF">
        <w:rPr>
          <w:rFonts w:ascii="Times New Roman" w:hAnsi="Times New Roman" w:cs="Times New Roman"/>
        </w:rPr>
        <w:t xml:space="preserve"> provides excitatory inputs to M1, likely facilitating motor action initiation on Go trials, as Go RT performance was related to the dACC-M1 connectivity. Finally, cortical projections to the putamen were excitatory, consistent with models of the direct and indirect pathway </w:t>
      </w:r>
      <w:r w:rsidRPr="004E1CFF">
        <w:rPr>
          <w:rFonts w:ascii="Times New Roman" w:hAnsi="Times New Roman" w:cs="Times New Roman"/>
        </w:rPr>
        <w:fldChar w:fldCharType="begin" w:fldLock="1"/>
      </w:r>
      <w:r>
        <w:rPr>
          <w:rFonts w:ascii="Times New Roman" w:hAnsi="Times New Roman" w:cs="Times New Roman"/>
        </w:rPr>
        <w:instrText>ADDIN CSL_CITATION {"citationItems":[{"id":"ITEM-1","itemData":{"DOI":"10.3389/fnsys.2013.00122","abstract":"Over the past 15 years, computational models have had a considerable impact on basal-ganglia research. Most of these models implement multiple distinct basal-ganglia pathways and assume them to fulfill different functions. As there is now a multitude of different models, it has become complex to keep track of their various, sometimes just marginally different assumptions on pathway functions. Moreover, it has become a challenge to oversee to what extent individual assumptions are corroborated or challenged by empirical data. Focusing on computational, but also considering non-computational models, we review influential concepts of pathway functions and show to what extent they are compatible with or contradict each other. Moreover, we outline how empirical evidence favors or challenges specific model assumptions and propose experiments that allow testing assumptions against each other.","author":[{"dropping-particle":"","family":"Schroll","given":"Henning","non-dropping-particle":"","parse-names":false,"suffix":""},{"dropping-particle":"","family":"Hamker","given":"Fred H.","non-dropping-particle":"","parse-names":false,"suffix":""}],"container-title":"Frontiers in Systems Neuroscience","id":"ITEM-1","issue":"December","issued":{"date-parts":[["2013"]]},"title":"Computational models of basal-ganglia pathway functions: focus on functional neuroanatomy","type":"article-journal","volume":"7"},"uris":["http://www.mendeley.com/documents/?uuid=c6e0e813-6b85-4cfc-8c84-4ffae0e13b96"]}],"mendeley":{"formattedCitation":"(10)","plainTextFormattedCitation":"(10)","previouslyFormattedCitation":"(Schroll and Hamker, 2013)"},"properties":{"noteIndex":0},"schema":"https://github.com/citation-style-language/schema/raw/master/csl-citation.json"}</w:instrText>
      </w:r>
      <w:r w:rsidRPr="004E1CFF">
        <w:rPr>
          <w:rFonts w:ascii="Times New Roman" w:hAnsi="Times New Roman" w:cs="Times New Roman"/>
        </w:rPr>
        <w:fldChar w:fldCharType="separate"/>
      </w:r>
      <w:r w:rsidRPr="00382F4F">
        <w:rPr>
          <w:rFonts w:ascii="Times New Roman" w:hAnsi="Times New Roman" w:cs="Times New Roman"/>
          <w:noProof/>
        </w:rPr>
        <w:t>(10)</w:t>
      </w:r>
      <w:r w:rsidRPr="004E1CFF">
        <w:rPr>
          <w:rFonts w:ascii="Times New Roman" w:hAnsi="Times New Roman" w:cs="Times New Roman"/>
        </w:rPr>
        <w:fldChar w:fldCharType="end"/>
      </w:r>
      <w:r w:rsidRPr="004E1CFF">
        <w:rPr>
          <w:rFonts w:ascii="Times New Roman" w:hAnsi="Times New Roman" w:cs="Times New Roman"/>
        </w:rPr>
        <w:t xml:space="preserve">. The putamen itself provided inhibitory inputs to the STN. It is possible that due to fMRI resolution, the putamen mask included some of the Globus pallidus external, which is thought to have inhibitory projections to the STN. </w:t>
      </w:r>
    </w:p>
    <w:p w14:paraId="02785DBA" w14:textId="77777777" w:rsidR="0020610C" w:rsidRPr="004E1CFF" w:rsidRDefault="0020610C" w:rsidP="0020610C">
      <w:pPr>
        <w:spacing w:line="240" w:lineRule="auto"/>
        <w:rPr>
          <w:rFonts w:ascii="Times New Roman" w:eastAsia="Times New Roman" w:hAnsi="Times New Roman" w:cs="Times New Roman"/>
          <w:lang w:eastAsia="en-GB"/>
        </w:rPr>
      </w:pPr>
      <w:r>
        <w:rPr>
          <w:rFonts w:ascii="Times New Roman" w:hAnsi="Times New Roman" w:cs="Times New Roman"/>
        </w:rPr>
        <w:t xml:space="preserve">There were twelve connections (5 autoinhibitory or </w:t>
      </w:r>
      <w:proofErr w:type="spellStart"/>
      <w:r>
        <w:rPr>
          <w:rFonts w:ascii="Times New Roman" w:hAnsi="Times New Roman" w:cs="Times New Roman"/>
        </w:rPr>
        <w:t>autoexcitatory</w:t>
      </w:r>
      <w:proofErr w:type="spellEnd"/>
      <w:r>
        <w:rPr>
          <w:rFonts w:ascii="Times New Roman" w:hAnsi="Times New Roman" w:cs="Times New Roman"/>
        </w:rPr>
        <w:t xml:space="preserve"> connections and 7 fixed or modulatory connections between regions of interest), resulting in twelve mixed models </w:t>
      </w:r>
      <w:r w:rsidRPr="004E1CFF">
        <w:rPr>
          <w:rFonts w:ascii="Times New Roman" w:hAnsi="Times New Roman" w:cs="Times New Roman"/>
        </w:rPr>
        <w:t>with age and plasma atomoxetine concentration as covariates and subject-level random effects (</w:t>
      </w:r>
      <w:proofErr w:type="spellStart"/>
      <w:r w:rsidRPr="004E1CFF">
        <w:rPr>
          <w:rFonts w:ascii="Times New Roman" w:hAnsi="Times New Roman" w:cs="Times New Roman"/>
          <w:i/>
        </w:rPr>
        <w:t>nlme</w:t>
      </w:r>
      <w:proofErr w:type="spellEnd"/>
      <w:r>
        <w:rPr>
          <w:rFonts w:ascii="Times New Roman" w:hAnsi="Times New Roman" w:cs="Times New Roman"/>
          <w:i/>
        </w:rPr>
        <w:t xml:space="preserve"> </w:t>
      </w:r>
      <w:r w:rsidRPr="00C47DD2">
        <w:rPr>
          <w:rFonts w:ascii="Times New Roman" w:hAnsi="Times New Roman" w:cs="Times New Roman"/>
          <w:iCs/>
        </w:rPr>
        <w:t>package in R</w:t>
      </w:r>
      <w:r w:rsidRPr="004E1CFF">
        <w:rPr>
          <w:rFonts w:ascii="Times New Roman" w:hAnsi="Times New Roman" w:cs="Times New Roman"/>
        </w:rPr>
        <w:t>)</w:t>
      </w:r>
      <w:r>
        <w:rPr>
          <w:rFonts w:ascii="Times New Roman" w:hAnsi="Times New Roman" w:cs="Times New Roman"/>
        </w:rPr>
        <w:t xml:space="preserve">. None of the main or interactive effects were significant at Bonferroni-corrected level, p&lt;0.004 (0.05/12). </w:t>
      </w:r>
      <w:r w:rsidRPr="004E1CFF">
        <w:rPr>
          <w:rFonts w:ascii="Times New Roman" w:hAnsi="Times New Roman" w:cs="Times New Roman"/>
        </w:rPr>
        <w:t>We found a</w:t>
      </w:r>
      <w:r>
        <w:rPr>
          <w:rFonts w:ascii="Times New Roman" w:hAnsi="Times New Roman" w:cs="Times New Roman"/>
        </w:rPr>
        <w:t xml:space="preserve"> trend </w:t>
      </w:r>
      <w:r w:rsidRPr="004E1CFF">
        <w:rPr>
          <w:rFonts w:ascii="Times New Roman" w:hAnsi="Times New Roman" w:cs="Times New Roman"/>
        </w:rPr>
        <w:t xml:space="preserve">interaction between group (cocaine vs control) and drug (atomoxetine vs placebo) on the connectivity between </w:t>
      </w:r>
      <w:r w:rsidRPr="00CF7747">
        <w:rPr>
          <w:rFonts w:ascii="Times New Roman" w:hAnsi="Times New Roman" w:cs="Times New Roman"/>
        </w:rPr>
        <w:t xml:space="preserve">IFG and </w:t>
      </w:r>
      <w:proofErr w:type="spellStart"/>
      <w:r w:rsidRPr="00CF7747">
        <w:rPr>
          <w:rFonts w:ascii="Times New Roman" w:hAnsi="Times New Roman" w:cs="Times New Roman"/>
        </w:rPr>
        <w:t>dACC</w:t>
      </w:r>
      <w:proofErr w:type="spellEnd"/>
      <w:r w:rsidRPr="00CF7747">
        <w:rPr>
          <w:rFonts w:ascii="Times New Roman" w:hAnsi="Times New Roman" w:cs="Times New Roman"/>
        </w:rPr>
        <w:t xml:space="preserve"> </w:t>
      </w:r>
      <w:r w:rsidRPr="004E1CFF">
        <w:rPr>
          <w:rFonts w:ascii="Times New Roman" w:hAnsi="Times New Roman" w:cs="Times New Roman"/>
        </w:rPr>
        <w:t>(β=0.24, SE=0.12, t</w:t>
      </w:r>
      <w:r w:rsidRPr="004E1CFF">
        <w:rPr>
          <w:rFonts w:ascii="Times New Roman" w:hAnsi="Times New Roman" w:cs="Times New Roman"/>
          <w:vertAlign w:val="subscript"/>
        </w:rPr>
        <w:t>44</w:t>
      </w:r>
      <w:r w:rsidRPr="004E1CFF">
        <w:rPr>
          <w:rFonts w:ascii="Times New Roman" w:hAnsi="Times New Roman" w:cs="Times New Roman"/>
        </w:rPr>
        <w:t xml:space="preserve">=2.0, p=0.049), and between </w:t>
      </w:r>
      <w:proofErr w:type="spellStart"/>
      <w:r w:rsidRPr="00CF7747">
        <w:rPr>
          <w:rFonts w:ascii="Times New Roman" w:hAnsi="Times New Roman" w:cs="Times New Roman"/>
        </w:rPr>
        <w:t>dACC</w:t>
      </w:r>
      <w:proofErr w:type="spellEnd"/>
      <w:r w:rsidRPr="00CF7747">
        <w:rPr>
          <w:rFonts w:ascii="Times New Roman" w:hAnsi="Times New Roman" w:cs="Times New Roman"/>
        </w:rPr>
        <w:t xml:space="preserve"> and M1 </w:t>
      </w:r>
      <w:r w:rsidRPr="004E1CFF">
        <w:rPr>
          <w:rFonts w:ascii="Times New Roman" w:hAnsi="Times New Roman" w:cs="Times New Roman"/>
        </w:rPr>
        <w:t>(β=0.18, SE=0.09, t</w:t>
      </w:r>
      <w:r w:rsidRPr="004E1CFF">
        <w:rPr>
          <w:rFonts w:ascii="Times New Roman" w:hAnsi="Times New Roman" w:cs="Times New Roman"/>
          <w:vertAlign w:val="subscript"/>
        </w:rPr>
        <w:t>44</w:t>
      </w:r>
      <w:r w:rsidRPr="004E1CFF">
        <w:rPr>
          <w:rFonts w:ascii="Times New Roman" w:hAnsi="Times New Roman" w:cs="Times New Roman"/>
        </w:rPr>
        <w:t xml:space="preserve">=2.1, p=0.042). </w:t>
      </w:r>
      <w:r>
        <w:rPr>
          <w:rFonts w:ascii="Times New Roman" w:hAnsi="Times New Roman" w:cs="Times New Roman"/>
        </w:rPr>
        <w:t>P</w:t>
      </w:r>
      <w:r w:rsidRPr="004E1CFF">
        <w:rPr>
          <w:rFonts w:ascii="Times New Roman" w:hAnsi="Times New Roman" w:cs="Times New Roman"/>
        </w:rPr>
        <w:t xml:space="preserve">ost-hoc tests with FDR correction revealed that the connectivity between IFG and </w:t>
      </w:r>
      <w:proofErr w:type="spellStart"/>
      <w:r w:rsidRPr="004E1CFF">
        <w:rPr>
          <w:rFonts w:ascii="Times New Roman" w:hAnsi="Times New Roman" w:cs="Times New Roman"/>
        </w:rPr>
        <w:t>dACC</w:t>
      </w:r>
      <w:proofErr w:type="spellEnd"/>
      <w:r w:rsidRPr="004E1CFF">
        <w:rPr>
          <w:rFonts w:ascii="Times New Roman" w:hAnsi="Times New Roman" w:cs="Times New Roman"/>
        </w:rPr>
        <w:t xml:space="preserve"> was significantly lower in cocaine dependent participants than in control participants on placebo (p=</w:t>
      </w:r>
      <w:r w:rsidRPr="004E1CFF">
        <w:rPr>
          <w:rFonts w:ascii="Times New Roman" w:hAnsi="Times New Roman" w:cs="Times New Roman"/>
          <w:lang w:eastAsia="en-GB"/>
        </w:rPr>
        <w:t>0.016</w:t>
      </w:r>
      <w:r w:rsidRPr="004E1CFF">
        <w:rPr>
          <w:rFonts w:ascii="Times New Roman" w:hAnsi="Times New Roman" w:cs="Times New Roman"/>
        </w:rPr>
        <w:t>) and decreased in controls (p=</w:t>
      </w:r>
      <w:r w:rsidRPr="004E1CFF">
        <w:rPr>
          <w:rFonts w:ascii="Times New Roman" w:hAnsi="Times New Roman" w:cs="Times New Roman"/>
          <w:lang w:eastAsia="en-GB"/>
        </w:rPr>
        <w:t>0.006</w:t>
      </w:r>
      <w:r w:rsidRPr="004E1CFF">
        <w:rPr>
          <w:rFonts w:ascii="Times New Roman" w:hAnsi="Times New Roman" w:cs="Times New Roman"/>
        </w:rPr>
        <w:t xml:space="preserve">) but not in cocaine users when they were given atomoxetine. </w:t>
      </w:r>
      <w:r>
        <w:rPr>
          <w:rFonts w:ascii="Times New Roman" w:hAnsi="Times New Roman" w:cs="Times New Roman"/>
        </w:rPr>
        <w:t>N</w:t>
      </w:r>
      <w:r w:rsidRPr="004E1CFF">
        <w:rPr>
          <w:rFonts w:ascii="Times New Roman" w:hAnsi="Times New Roman" w:cs="Times New Roman"/>
        </w:rPr>
        <w:t>o FDR</w:t>
      </w:r>
      <w:r>
        <w:rPr>
          <w:rFonts w:ascii="Times New Roman" w:hAnsi="Times New Roman" w:cs="Times New Roman"/>
        </w:rPr>
        <w:t>-</w:t>
      </w:r>
      <w:r w:rsidRPr="004E1CFF">
        <w:rPr>
          <w:rFonts w:ascii="Times New Roman" w:hAnsi="Times New Roman" w:cs="Times New Roman"/>
        </w:rPr>
        <w:t xml:space="preserve">corrected </w:t>
      </w:r>
      <w:r w:rsidRPr="004E1CFF">
        <w:rPr>
          <w:rFonts w:ascii="Times New Roman" w:eastAsia="Times New Roman" w:hAnsi="Times New Roman" w:cs="Times New Roman"/>
          <w:lang w:eastAsia="en-GB"/>
        </w:rPr>
        <w:t xml:space="preserve">differences in connectivity between </w:t>
      </w:r>
      <w:proofErr w:type="spellStart"/>
      <w:r w:rsidRPr="004E1CFF">
        <w:rPr>
          <w:rFonts w:ascii="Times New Roman" w:eastAsia="Times New Roman" w:hAnsi="Times New Roman" w:cs="Times New Roman"/>
          <w:lang w:eastAsia="en-GB"/>
        </w:rPr>
        <w:t>dACC</w:t>
      </w:r>
      <w:proofErr w:type="spellEnd"/>
      <w:r w:rsidRPr="004E1CFF">
        <w:rPr>
          <w:rFonts w:ascii="Times New Roman" w:eastAsia="Times New Roman" w:hAnsi="Times New Roman" w:cs="Times New Roman"/>
          <w:lang w:eastAsia="en-GB"/>
        </w:rPr>
        <w:t xml:space="preserve"> and M1 were found</w:t>
      </w:r>
      <w:r>
        <w:rPr>
          <w:rFonts w:ascii="Times New Roman" w:eastAsia="Times New Roman" w:hAnsi="Times New Roman" w:cs="Times New Roman"/>
          <w:lang w:eastAsia="en-GB"/>
        </w:rPr>
        <w:t xml:space="preserve">. </w:t>
      </w:r>
      <w:r w:rsidRPr="004E1CFF">
        <w:rPr>
          <w:rFonts w:ascii="Times New Roman" w:eastAsia="Times New Roman" w:hAnsi="Times New Roman" w:cs="Times New Roman"/>
          <w:lang w:eastAsia="en-GB"/>
        </w:rPr>
        <w:t xml:space="preserve"> </w:t>
      </w:r>
    </w:p>
    <w:p w14:paraId="5EB04976" w14:textId="77777777" w:rsidR="0020610C" w:rsidRDefault="0020610C" w:rsidP="0020610C">
      <w:pPr>
        <w:rPr>
          <w:rFonts w:ascii="Times New Roman" w:hAnsi="Times New Roman" w:cs="Times New Roman"/>
        </w:rPr>
      </w:pPr>
    </w:p>
    <w:p w14:paraId="2BFF2A1C" w14:textId="77777777" w:rsidR="0020610C" w:rsidRDefault="0020610C" w:rsidP="0020610C">
      <w:pPr>
        <w:rPr>
          <w:rFonts w:ascii="Times New Roman" w:eastAsia="Times New Roman" w:hAnsi="Times New Roman" w:cs="Times New Roman"/>
          <w:color w:val="000000"/>
          <w:lang w:eastAsia="en-GB"/>
        </w:rPr>
      </w:pPr>
      <w:r w:rsidRPr="002E5FA1">
        <w:rPr>
          <w:rFonts w:ascii="Times New Roman" w:eastAsia="Times New Roman" w:hAnsi="Times New Roman" w:cs="Times New Roman"/>
          <w:b/>
          <w:bCs/>
          <w:color w:val="000000"/>
          <w:lang w:eastAsia="en-GB"/>
        </w:rPr>
        <w:t>Table S</w:t>
      </w:r>
      <w:r>
        <w:rPr>
          <w:rFonts w:ascii="Times New Roman" w:eastAsia="Times New Roman" w:hAnsi="Times New Roman" w:cs="Times New Roman"/>
          <w:b/>
          <w:bCs/>
          <w:color w:val="000000"/>
          <w:lang w:eastAsia="en-GB"/>
        </w:rPr>
        <w:t>1</w:t>
      </w:r>
      <w:r>
        <w:rPr>
          <w:rFonts w:ascii="Times New Roman" w:eastAsia="Times New Roman" w:hAnsi="Times New Roman" w:cs="Times New Roman"/>
          <w:color w:val="000000"/>
          <w:lang w:eastAsia="en-GB"/>
        </w:rPr>
        <w:t xml:space="preserve">. </w:t>
      </w:r>
      <w:r>
        <w:rPr>
          <w:rFonts w:ascii="Times New Roman" w:hAnsi="Times New Roman" w:cs="Times New Roman"/>
        </w:rPr>
        <w:t>Sample size and participant exclusions. Twenty-eight healthy controls were tested on the stop signal task. Twenty-six cocaine dependent active users completed the stop signal task whilst in the scanner. Of these 26 participants, two different subsets of 21 participants were included in the 2</w:t>
      </w:r>
      <w:r>
        <w:rPr>
          <w:rFonts w:ascii="Times New Roman" w:hAnsi="Times New Roman" w:cs="Times New Roman"/>
          <w:vertAlign w:val="superscript"/>
        </w:rPr>
        <w:t>nd</w:t>
      </w:r>
      <w:r>
        <w:rPr>
          <w:rFonts w:ascii="Times New Roman" w:hAnsi="Times New Roman" w:cs="Times New Roman"/>
        </w:rPr>
        <w:t xml:space="preserve"> level comparisons of the group mean activations for the atomoxetine and the placebo conditions. In the placebo condition, five participants were excluded. Exclusion criteria were adopted from </w:t>
      </w:r>
      <w:r>
        <w:rPr>
          <w:rFonts w:ascii="Times New Roman" w:hAnsi="Times New Roman" w:cs="Times New Roman"/>
        </w:rPr>
        <w:fldChar w:fldCharType="begin" w:fldLock="1"/>
      </w:r>
      <w:r>
        <w:rPr>
          <w:rFonts w:ascii="Times New Roman" w:hAnsi="Times New Roman" w:cs="Times New Roman"/>
        </w:rPr>
        <w:instrText>ADDIN CSL_CITATION {"citationItems":[{"id":"ITEM-1","itemData":{"DOI":"10.1038/npp.2013.90","ISSN":"0893133X","abstract":"A neurocognitive endophenotype has been proposed for stimulant dependence, based on behavioral measures of inhibitory response control associated with white matter changes in the frontal cortex. This study investigated the functional neuroimaging correlates of inhibitory response control, as functional activity serves as a more dynamic measure than brain structure, allowing refinement of the suggested endophenotype. Stimulant-dependent individuals (SDIs), their unaffected siblings (SIBs), and healthy controls (CTs) performed the stop-signal task, including stop-signal reaction time (SSRT) as a measure of response inhibition, while undergoing functional magnetic resonance imaging. SDIs had impaired response inhibition accompanied by hypoactivation in the ventrolateral prefrontal cortex (PFC). In addition, they demonstrated hypoactivation in the anterior cingulate when failing to stop. In contrast, no hypoactivations were noted in their unaffected SIBs. Rather, they exhibited increased activation in the dorsomedial PFC relative to controls, together with inhibitory performance that was intermediate between that of the stimulant group and the healthy CT group. Such hyperactivations within the neurocircuitry underlying response inhibition and control are suggestive of compensatory mechanisms that could be protective in nature or could reflect coping with a pre-existing vulnerability, thus expressing potential aspects of resilience. The functional activation associated with response inhibition and error monitoring showed differential patterns of results between SDIs and their unaffected first-degree relatives, suggesting that the proposed endophenotype does not generalize to functional brain activity.","author":[{"dropping-particle":"","family":"Morein-Zamir","given":"Sharon","non-dropping-particle":"","parse-names":false,"suffix":""},{"dropping-particle":"","family":"Simon Jones","given":"P.","non-dropping-particle":"","parse-names":false,"suffix":""},{"dropping-particle":"","family":"Bullmore","given":"Edward T.","non-dropping-particle":"","parse-names":false,"suffix":""},{"dropping-particle":"","family":"Robbins","given":"Trevor W.","non-dropping-particle":"","parse-names":false,"suffix":""},{"dropping-particle":"","family":"Ersche","given":"Karen D.","non-dropping-particle":"","parse-names":false,"suffix":""}],"container-title":"Neuropsychopharmacology","id":"ITEM-1","issue":"10","issued":{"date-parts":[["2013"]]},"page":"1945-1953","publisher":"Nature Publishing Group","title":"Prefrontal hypoactivity associated with impaired inhibition in stimulant-dependent individuals but evidence for hyperactivation in their unaffected siblings","type":"article-journal","volume":"38"},"uris":["http://www.mendeley.com/documents/?uuid=e0ee51a8-ba2c-487c-b05b-858bc6dbe6dd"]}],"mendeley":{"formattedCitation":"(16)","plainTextFormattedCitation":"(16)","previouslyFormattedCitation":"(Morein-Zamir &lt;i&gt;et al&lt;/i&gt;, 2013)"},"properties":{"noteIndex":0},"schema":"https://github.com/citation-style-language/schema/raw/master/csl-citation.json"}</w:instrText>
      </w:r>
      <w:r>
        <w:rPr>
          <w:rFonts w:ascii="Times New Roman" w:hAnsi="Times New Roman" w:cs="Times New Roman"/>
        </w:rPr>
        <w:fldChar w:fldCharType="separate"/>
      </w:r>
      <w:r w:rsidRPr="00382F4F">
        <w:rPr>
          <w:rFonts w:ascii="Times New Roman" w:hAnsi="Times New Roman" w:cs="Times New Roman"/>
          <w:noProof/>
        </w:rPr>
        <w:t>(16)</w:t>
      </w:r>
      <w:r>
        <w:rPr>
          <w:rFonts w:ascii="Times New Roman" w:hAnsi="Times New Roman" w:cs="Times New Roman"/>
        </w:rPr>
        <w:fldChar w:fldCharType="end"/>
      </w:r>
      <w:r>
        <w:rPr>
          <w:rFonts w:ascii="Times New Roman" w:hAnsi="Times New Roman" w:cs="Times New Roman"/>
        </w:rPr>
        <w:t>. In the atomoxetine condition, five participants were also excluded, two of which were the same participants as those who were excluded in the placebo condition. When comparing group mean activations in each condition separately, the maximum number of participants available, namely 21 were used. However, for the interaction analyses between group and condition, only those 18 participants who had fulfilled the task criteria on both the placebo and atomoxetine sessions were included.</w:t>
      </w:r>
    </w:p>
    <w:p w14:paraId="76FF3069" w14:textId="77777777" w:rsidR="0020610C" w:rsidRDefault="0020610C" w:rsidP="0020610C">
      <w:pPr>
        <w:spacing w:line="240" w:lineRule="auto"/>
        <w:rPr>
          <w:rFonts w:ascii="Times New Roman" w:hAnsi="Times New Roman" w:cs="Times New Roman"/>
          <w:sz w:val="24"/>
          <w:szCs w:val="24"/>
        </w:rPr>
      </w:pPr>
    </w:p>
    <w:tbl>
      <w:tblPr>
        <w:tblW w:w="5191" w:type="dxa"/>
        <w:tblLook w:val="04A0" w:firstRow="1" w:lastRow="0" w:firstColumn="1" w:lastColumn="0" w:noHBand="0" w:noVBand="1"/>
      </w:tblPr>
      <w:tblGrid>
        <w:gridCol w:w="2977"/>
        <w:gridCol w:w="992"/>
        <w:gridCol w:w="693"/>
        <w:gridCol w:w="639"/>
      </w:tblGrid>
      <w:tr w:rsidR="0020610C" w14:paraId="1B8E7605" w14:textId="77777777" w:rsidTr="001F5D9D">
        <w:trPr>
          <w:trHeight w:val="288"/>
        </w:trPr>
        <w:tc>
          <w:tcPr>
            <w:tcW w:w="2977" w:type="dxa"/>
            <w:noWrap/>
            <w:vAlign w:val="bottom"/>
            <w:hideMark/>
          </w:tcPr>
          <w:p w14:paraId="36F12DD9" w14:textId="77777777" w:rsidR="0020610C" w:rsidRDefault="0020610C" w:rsidP="001F5D9D">
            <w:pPr>
              <w:rPr>
                <w:rFonts w:ascii="Times New Roman" w:hAnsi="Times New Roman" w:cs="Times New Roman"/>
                <w:sz w:val="24"/>
                <w:szCs w:val="24"/>
              </w:rPr>
            </w:pPr>
          </w:p>
        </w:tc>
        <w:tc>
          <w:tcPr>
            <w:tcW w:w="992" w:type="dxa"/>
            <w:noWrap/>
            <w:vAlign w:val="bottom"/>
            <w:hideMark/>
          </w:tcPr>
          <w:p w14:paraId="5D78A17E" w14:textId="77777777" w:rsidR="0020610C" w:rsidRDefault="0020610C" w:rsidP="001F5D9D">
            <w:pPr>
              <w:spacing w:after="0" w:line="240" w:lineRule="auto"/>
              <w:rPr>
                <w:rFonts w:ascii="Times New Roman" w:eastAsia="Times New Roman" w:hAnsi="Times New Roman" w:cs="Times New Roman"/>
                <w:b/>
                <w:bCs/>
                <w:color w:val="000000"/>
                <w:lang w:eastAsia="en-GB"/>
              </w:rPr>
            </w:pPr>
            <w:r>
              <w:rPr>
                <w:rFonts w:ascii="Times New Roman" w:eastAsia="Times New Roman" w:hAnsi="Times New Roman" w:cs="Times New Roman"/>
                <w:b/>
                <w:bCs/>
                <w:color w:val="000000"/>
                <w:lang w:eastAsia="en-GB"/>
              </w:rPr>
              <w:t>HC</w:t>
            </w:r>
          </w:p>
        </w:tc>
        <w:tc>
          <w:tcPr>
            <w:tcW w:w="583" w:type="dxa"/>
            <w:noWrap/>
            <w:vAlign w:val="bottom"/>
            <w:hideMark/>
          </w:tcPr>
          <w:p w14:paraId="77D8396F" w14:textId="77777777" w:rsidR="0020610C" w:rsidRPr="00956648" w:rsidRDefault="0020610C" w:rsidP="001F5D9D">
            <w:pPr>
              <w:spacing w:after="0" w:line="240" w:lineRule="auto"/>
              <w:rPr>
                <w:rFonts w:ascii="Times New Roman" w:eastAsia="Times New Roman" w:hAnsi="Times New Roman" w:cs="Times New Roman"/>
                <w:b/>
                <w:bCs/>
                <w:color w:val="000000"/>
                <w:lang w:eastAsia="en-GB"/>
              </w:rPr>
            </w:pPr>
            <w:r w:rsidRPr="00956648">
              <w:rPr>
                <w:rFonts w:ascii="Times New Roman" w:hAnsi="Times New Roman" w:cs="Times New Roman"/>
                <w:b/>
                <w:bCs/>
              </w:rPr>
              <w:t>CUD</w:t>
            </w:r>
          </w:p>
        </w:tc>
        <w:tc>
          <w:tcPr>
            <w:tcW w:w="639" w:type="dxa"/>
            <w:noWrap/>
            <w:vAlign w:val="bottom"/>
            <w:hideMark/>
          </w:tcPr>
          <w:p w14:paraId="3D204F49" w14:textId="77777777" w:rsidR="0020610C" w:rsidRDefault="0020610C" w:rsidP="001F5D9D">
            <w:pPr>
              <w:rPr>
                <w:rFonts w:ascii="Times New Roman" w:eastAsia="Times New Roman" w:hAnsi="Times New Roman" w:cs="Times New Roman"/>
                <w:b/>
                <w:bCs/>
                <w:color w:val="000000"/>
                <w:lang w:eastAsia="en-GB"/>
              </w:rPr>
            </w:pPr>
          </w:p>
        </w:tc>
      </w:tr>
      <w:tr w:rsidR="0020610C" w14:paraId="5DB7F658" w14:textId="77777777" w:rsidTr="001F5D9D">
        <w:trPr>
          <w:trHeight w:val="288"/>
        </w:trPr>
        <w:tc>
          <w:tcPr>
            <w:tcW w:w="2977" w:type="dxa"/>
            <w:tcBorders>
              <w:top w:val="nil"/>
              <w:left w:val="nil"/>
              <w:bottom w:val="single" w:sz="4" w:space="0" w:color="auto"/>
              <w:right w:val="nil"/>
            </w:tcBorders>
            <w:noWrap/>
            <w:vAlign w:val="bottom"/>
            <w:hideMark/>
          </w:tcPr>
          <w:p w14:paraId="435250C5" w14:textId="77777777" w:rsidR="0020610C" w:rsidRDefault="0020610C" w:rsidP="001F5D9D">
            <w:pPr>
              <w:spacing w:after="0" w:line="240" w:lineRule="auto"/>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 </w:t>
            </w:r>
          </w:p>
        </w:tc>
        <w:tc>
          <w:tcPr>
            <w:tcW w:w="992" w:type="dxa"/>
            <w:tcBorders>
              <w:top w:val="nil"/>
              <w:left w:val="nil"/>
              <w:bottom w:val="single" w:sz="4" w:space="0" w:color="auto"/>
              <w:right w:val="nil"/>
            </w:tcBorders>
            <w:noWrap/>
            <w:vAlign w:val="bottom"/>
            <w:hideMark/>
          </w:tcPr>
          <w:p w14:paraId="47F15CD3" w14:textId="77777777" w:rsidR="0020610C" w:rsidRDefault="0020610C" w:rsidP="001F5D9D">
            <w:pPr>
              <w:spacing w:after="0" w:line="240" w:lineRule="auto"/>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 xml:space="preserve">Plc, </w:t>
            </w:r>
            <w:proofErr w:type="spellStart"/>
            <w:r>
              <w:rPr>
                <w:rFonts w:ascii="Times New Roman" w:eastAsia="Times New Roman" w:hAnsi="Times New Roman" w:cs="Times New Roman"/>
                <w:color w:val="000000"/>
                <w:lang w:eastAsia="en-GB"/>
              </w:rPr>
              <w:t>Atx</w:t>
            </w:r>
            <w:proofErr w:type="spellEnd"/>
          </w:p>
        </w:tc>
        <w:tc>
          <w:tcPr>
            <w:tcW w:w="583" w:type="dxa"/>
            <w:tcBorders>
              <w:top w:val="nil"/>
              <w:left w:val="nil"/>
              <w:bottom w:val="single" w:sz="4" w:space="0" w:color="auto"/>
              <w:right w:val="nil"/>
            </w:tcBorders>
            <w:noWrap/>
            <w:vAlign w:val="bottom"/>
            <w:hideMark/>
          </w:tcPr>
          <w:p w14:paraId="1182DA87" w14:textId="77777777" w:rsidR="0020610C" w:rsidRDefault="0020610C" w:rsidP="001F5D9D">
            <w:pPr>
              <w:spacing w:after="0" w:line="240" w:lineRule="auto"/>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Plc</w:t>
            </w:r>
          </w:p>
        </w:tc>
        <w:tc>
          <w:tcPr>
            <w:tcW w:w="639" w:type="dxa"/>
            <w:tcBorders>
              <w:top w:val="nil"/>
              <w:left w:val="nil"/>
              <w:bottom w:val="single" w:sz="4" w:space="0" w:color="auto"/>
              <w:right w:val="nil"/>
            </w:tcBorders>
            <w:noWrap/>
            <w:vAlign w:val="bottom"/>
            <w:hideMark/>
          </w:tcPr>
          <w:p w14:paraId="640638A5" w14:textId="77777777" w:rsidR="0020610C" w:rsidRDefault="0020610C" w:rsidP="001F5D9D">
            <w:pPr>
              <w:spacing w:after="0" w:line="240" w:lineRule="auto"/>
              <w:rPr>
                <w:rFonts w:ascii="Times New Roman" w:eastAsia="Times New Roman" w:hAnsi="Times New Roman" w:cs="Times New Roman"/>
                <w:color w:val="000000"/>
                <w:lang w:eastAsia="en-GB"/>
              </w:rPr>
            </w:pPr>
            <w:proofErr w:type="spellStart"/>
            <w:r>
              <w:rPr>
                <w:rFonts w:ascii="Times New Roman" w:eastAsia="Times New Roman" w:hAnsi="Times New Roman" w:cs="Times New Roman"/>
                <w:color w:val="000000"/>
                <w:lang w:eastAsia="en-GB"/>
              </w:rPr>
              <w:t>Atx</w:t>
            </w:r>
            <w:proofErr w:type="spellEnd"/>
          </w:p>
        </w:tc>
      </w:tr>
      <w:tr w:rsidR="0020610C" w14:paraId="7897CABF" w14:textId="77777777" w:rsidTr="001F5D9D">
        <w:trPr>
          <w:trHeight w:val="288"/>
        </w:trPr>
        <w:tc>
          <w:tcPr>
            <w:tcW w:w="2977" w:type="dxa"/>
            <w:noWrap/>
            <w:vAlign w:val="bottom"/>
            <w:hideMark/>
          </w:tcPr>
          <w:p w14:paraId="75727717" w14:textId="77777777" w:rsidR="0020610C" w:rsidRDefault="0020610C" w:rsidP="001F5D9D">
            <w:pPr>
              <w:spacing w:after="0" w:line="240" w:lineRule="auto"/>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Recruited and tested</w:t>
            </w:r>
          </w:p>
        </w:tc>
        <w:tc>
          <w:tcPr>
            <w:tcW w:w="992" w:type="dxa"/>
            <w:noWrap/>
            <w:vAlign w:val="bottom"/>
            <w:hideMark/>
          </w:tcPr>
          <w:p w14:paraId="434FA77D"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28</w:t>
            </w:r>
          </w:p>
        </w:tc>
        <w:tc>
          <w:tcPr>
            <w:tcW w:w="583" w:type="dxa"/>
            <w:noWrap/>
            <w:vAlign w:val="bottom"/>
            <w:hideMark/>
          </w:tcPr>
          <w:p w14:paraId="61D9433F"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26</w:t>
            </w:r>
          </w:p>
        </w:tc>
        <w:tc>
          <w:tcPr>
            <w:tcW w:w="639" w:type="dxa"/>
            <w:noWrap/>
            <w:vAlign w:val="bottom"/>
            <w:hideMark/>
          </w:tcPr>
          <w:p w14:paraId="66F5A3BF"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26</w:t>
            </w:r>
          </w:p>
        </w:tc>
      </w:tr>
      <w:tr w:rsidR="0020610C" w14:paraId="744FA178" w14:textId="77777777" w:rsidTr="001F5D9D">
        <w:trPr>
          <w:trHeight w:val="288"/>
        </w:trPr>
        <w:tc>
          <w:tcPr>
            <w:tcW w:w="2977" w:type="dxa"/>
            <w:noWrap/>
            <w:vAlign w:val="bottom"/>
            <w:hideMark/>
          </w:tcPr>
          <w:p w14:paraId="724A04F5" w14:textId="77777777" w:rsidR="0020610C" w:rsidRDefault="0020610C" w:rsidP="001F5D9D">
            <w:pPr>
              <w:spacing w:after="0" w:line="240" w:lineRule="auto"/>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fMRI mean group comparison</w:t>
            </w:r>
          </w:p>
        </w:tc>
        <w:tc>
          <w:tcPr>
            <w:tcW w:w="992" w:type="dxa"/>
            <w:noWrap/>
            <w:vAlign w:val="bottom"/>
            <w:hideMark/>
          </w:tcPr>
          <w:p w14:paraId="1CAD29B6"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28</w:t>
            </w:r>
          </w:p>
        </w:tc>
        <w:tc>
          <w:tcPr>
            <w:tcW w:w="583" w:type="dxa"/>
            <w:noWrap/>
            <w:vAlign w:val="bottom"/>
            <w:hideMark/>
          </w:tcPr>
          <w:p w14:paraId="3A25E496"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21</w:t>
            </w:r>
          </w:p>
        </w:tc>
        <w:tc>
          <w:tcPr>
            <w:tcW w:w="639" w:type="dxa"/>
            <w:noWrap/>
            <w:vAlign w:val="bottom"/>
            <w:hideMark/>
          </w:tcPr>
          <w:p w14:paraId="5ABF348B"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21</w:t>
            </w:r>
          </w:p>
        </w:tc>
      </w:tr>
      <w:tr w:rsidR="0020610C" w14:paraId="67A261B9" w14:textId="77777777" w:rsidTr="001F5D9D">
        <w:trPr>
          <w:trHeight w:val="288"/>
        </w:trPr>
        <w:tc>
          <w:tcPr>
            <w:tcW w:w="2977" w:type="dxa"/>
            <w:noWrap/>
            <w:vAlign w:val="bottom"/>
            <w:hideMark/>
          </w:tcPr>
          <w:p w14:paraId="2DF264CB" w14:textId="77777777" w:rsidR="0020610C" w:rsidRDefault="0020610C" w:rsidP="001F5D9D">
            <w:pPr>
              <w:spacing w:after="0" w:line="240" w:lineRule="auto"/>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fMRI Group X Condition</w:t>
            </w:r>
          </w:p>
        </w:tc>
        <w:tc>
          <w:tcPr>
            <w:tcW w:w="992" w:type="dxa"/>
            <w:noWrap/>
            <w:vAlign w:val="bottom"/>
            <w:hideMark/>
          </w:tcPr>
          <w:p w14:paraId="47117E50"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28</w:t>
            </w:r>
          </w:p>
        </w:tc>
        <w:tc>
          <w:tcPr>
            <w:tcW w:w="583" w:type="dxa"/>
            <w:noWrap/>
            <w:vAlign w:val="bottom"/>
            <w:hideMark/>
          </w:tcPr>
          <w:p w14:paraId="0527903E"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18</w:t>
            </w:r>
          </w:p>
        </w:tc>
        <w:tc>
          <w:tcPr>
            <w:tcW w:w="639" w:type="dxa"/>
            <w:noWrap/>
            <w:vAlign w:val="bottom"/>
            <w:hideMark/>
          </w:tcPr>
          <w:p w14:paraId="59D55172"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18</w:t>
            </w:r>
          </w:p>
        </w:tc>
      </w:tr>
      <w:tr w:rsidR="0020610C" w14:paraId="64C22D59" w14:textId="77777777" w:rsidTr="001F5D9D">
        <w:trPr>
          <w:trHeight w:val="288"/>
        </w:trPr>
        <w:tc>
          <w:tcPr>
            <w:tcW w:w="2977" w:type="dxa"/>
            <w:noWrap/>
            <w:vAlign w:val="bottom"/>
            <w:hideMark/>
          </w:tcPr>
          <w:p w14:paraId="5B8BD1D8" w14:textId="77777777" w:rsidR="0020610C" w:rsidRDefault="0020610C" w:rsidP="001F5D9D">
            <w:pPr>
              <w:spacing w:after="0" w:line="240" w:lineRule="auto"/>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DCM</w:t>
            </w:r>
          </w:p>
        </w:tc>
        <w:tc>
          <w:tcPr>
            <w:tcW w:w="992" w:type="dxa"/>
            <w:noWrap/>
            <w:vAlign w:val="bottom"/>
            <w:hideMark/>
          </w:tcPr>
          <w:p w14:paraId="1DFE2AEE"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28</w:t>
            </w:r>
          </w:p>
        </w:tc>
        <w:tc>
          <w:tcPr>
            <w:tcW w:w="583" w:type="dxa"/>
            <w:noWrap/>
            <w:vAlign w:val="bottom"/>
            <w:hideMark/>
          </w:tcPr>
          <w:p w14:paraId="3AC1AFAC"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18</w:t>
            </w:r>
          </w:p>
        </w:tc>
        <w:tc>
          <w:tcPr>
            <w:tcW w:w="639" w:type="dxa"/>
            <w:noWrap/>
            <w:vAlign w:val="bottom"/>
            <w:hideMark/>
          </w:tcPr>
          <w:p w14:paraId="337D30B4"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18</w:t>
            </w:r>
          </w:p>
        </w:tc>
      </w:tr>
      <w:tr w:rsidR="0020610C" w14:paraId="67093605" w14:textId="77777777" w:rsidTr="001F5D9D">
        <w:trPr>
          <w:trHeight w:val="288"/>
        </w:trPr>
        <w:tc>
          <w:tcPr>
            <w:tcW w:w="2977" w:type="dxa"/>
            <w:tcBorders>
              <w:top w:val="nil"/>
              <w:left w:val="nil"/>
              <w:bottom w:val="single" w:sz="4" w:space="0" w:color="auto"/>
              <w:right w:val="nil"/>
            </w:tcBorders>
            <w:noWrap/>
            <w:vAlign w:val="bottom"/>
            <w:hideMark/>
          </w:tcPr>
          <w:p w14:paraId="0852A5DF" w14:textId="77777777" w:rsidR="0020610C" w:rsidRDefault="0020610C" w:rsidP="001F5D9D">
            <w:pPr>
              <w:spacing w:after="0" w:line="240" w:lineRule="auto"/>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Behavioural analysis</w:t>
            </w:r>
          </w:p>
        </w:tc>
        <w:tc>
          <w:tcPr>
            <w:tcW w:w="992" w:type="dxa"/>
            <w:tcBorders>
              <w:top w:val="nil"/>
              <w:left w:val="nil"/>
              <w:bottom w:val="single" w:sz="4" w:space="0" w:color="auto"/>
              <w:right w:val="nil"/>
            </w:tcBorders>
            <w:noWrap/>
            <w:vAlign w:val="bottom"/>
            <w:hideMark/>
          </w:tcPr>
          <w:p w14:paraId="65B21D1F"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28</w:t>
            </w:r>
          </w:p>
        </w:tc>
        <w:tc>
          <w:tcPr>
            <w:tcW w:w="583" w:type="dxa"/>
            <w:tcBorders>
              <w:top w:val="nil"/>
              <w:left w:val="nil"/>
              <w:bottom w:val="single" w:sz="4" w:space="0" w:color="auto"/>
              <w:right w:val="nil"/>
            </w:tcBorders>
            <w:noWrap/>
            <w:vAlign w:val="bottom"/>
            <w:hideMark/>
          </w:tcPr>
          <w:p w14:paraId="7D14288B"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18</w:t>
            </w:r>
          </w:p>
        </w:tc>
        <w:tc>
          <w:tcPr>
            <w:tcW w:w="639" w:type="dxa"/>
            <w:tcBorders>
              <w:top w:val="nil"/>
              <w:left w:val="nil"/>
              <w:bottom w:val="single" w:sz="4" w:space="0" w:color="auto"/>
              <w:right w:val="nil"/>
            </w:tcBorders>
            <w:noWrap/>
            <w:vAlign w:val="bottom"/>
            <w:hideMark/>
          </w:tcPr>
          <w:p w14:paraId="0964471F" w14:textId="77777777" w:rsidR="0020610C" w:rsidRDefault="0020610C" w:rsidP="001F5D9D">
            <w:pPr>
              <w:spacing w:after="0" w:line="240" w:lineRule="auto"/>
              <w:jc w:val="right"/>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18</w:t>
            </w:r>
          </w:p>
        </w:tc>
      </w:tr>
    </w:tbl>
    <w:p w14:paraId="676A3BC6" w14:textId="77777777" w:rsidR="0020610C" w:rsidRDefault="0020610C" w:rsidP="0020610C">
      <w:pPr>
        <w:rPr>
          <w:rFonts w:ascii="Times New Roman" w:hAnsi="Times New Roman" w:cs="Times New Roman"/>
        </w:rPr>
      </w:pPr>
      <w:r>
        <w:rPr>
          <w:rFonts w:ascii="Times New Roman" w:hAnsi="Times New Roman" w:cs="Times New Roman"/>
        </w:rPr>
        <w:br w:type="page"/>
      </w:r>
    </w:p>
    <w:p w14:paraId="71841296" w14:textId="77777777" w:rsidR="0020610C" w:rsidRDefault="0020610C" w:rsidP="0020610C">
      <w:pPr>
        <w:rPr>
          <w:rFonts w:ascii="Times New Roman" w:hAnsi="Times New Roman" w:cs="Times New Roman"/>
        </w:rPr>
      </w:pPr>
      <w:r w:rsidRPr="003F4BD5">
        <w:rPr>
          <w:rFonts w:ascii="Times New Roman" w:hAnsi="Times New Roman" w:cs="Times New Roman"/>
          <w:noProof/>
        </w:rPr>
        <w:lastRenderedPageBreak/>
        <w:drawing>
          <wp:inline distT="0" distB="0" distL="0" distR="0" wp14:anchorId="64AC3ECC" wp14:editId="3EC87595">
            <wp:extent cx="5731510" cy="4239260"/>
            <wp:effectExtent l="0" t="0" r="0" b="0"/>
            <wp:docPr id="33" name="Picture 32" descr="Figure S1 - Brain images">
              <a:extLst xmlns:a="http://schemas.openxmlformats.org/drawingml/2006/main">
                <a:ext uri="{FF2B5EF4-FFF2-40B4-BE49-F238E27FC236}">
                  <a16:creationId xmlns:a16="http://schemas.microsoft.com/office/drawing/2014/main" id="{BD5DAD31-71F8-42E9-9BA2-270E792F979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descr="Figure S1 - Brain images">
                      <a:extLst>
                        <a:ext uri="{FF2B5EF4-FFF2-40B4-BE49-F238E27FC236}">
                          <a16:creationId xmlns:a16="http://schemas.microsoft.com/office/drawing/2014/main" id="{BD5DAD31-71F8-42E9-9BA2-270E792F9791}"/>
                        </a:ext>
                      </a:extLst>
                    </pic:cNvPr>
                    <pic:cNvPicPr>
                      <a:picLocks noChangeAspect="1"/>
                    </pic:cNvPicPr>
                  </pic:nvPicPr>
                  <pic:blipFill>
                    <a:blip r:embed="rId16"/>
                    <a:stretch>
                      <a:fillRect/>
                    </a:stretch>
                  </pic:blipFill>
                  <pic:spPr>
                    <a:xfrm>
                      <a:off x="0" y="0"/>
                      <a:ext cx="5731510" cy="4239260"/>
                    </a:xfrm>
                    <a:prstGeom prst="rect">
                      <a:avLst/>
                    </a:prstGeom>
                  </pic:spPr>
                </pic:pic>
              </a:graphicData>
            </a:graphic>
          </wp:inline>
        </w:drawing>
      </w:r>
    </w:p>
    <w:p w14:paraId="72CA07C4" w14:textId="77777777" w:rsidR="0020610C" w:rsidRPr="0002023B" w:rsidRDefault="0020610C" w:rsidP="0020610C">
      <w:pPr>
        <w:spacing w:line="240" w:lineRule="auto"/>
        <w:rPr>
          <w:rFonts w:ascii="Times New Roman" w:hAnsi="Times New Roman" w:cs="Times New Roman"/>
        </w:rPr>
      </w:pPr>
    </w:p>
    <w:p w14:paraId="4B98CD08" w14:textId="77777777" w:rsidR="0020610C" w:rsidRPr="00B1382D" w:rsidRDefault="0020610C" w:rsidP="0020610C">
      <w:pPr>
        <w:spacing w:line="240" w:lineRule="auto"/>
        <w:rPr>
          <w:rFonts w:ascii="Times New Roman" w:hAnsi="Times New Roman" w:cs="Times New Roman"/>
        </w:rPr>
      </w:pPr>
    </w:p>
    <w:p w14:paraId="3FFE9C39" w14:textId="77777777" w:rsidR="0020610C" w:rsidRPr="00DC4E63" w:rsidRDefault="0020610C" w:rsidP="0020610C">
      <w:pPr>
        <w:spacing w:line="240" w:lineRule="auto"/>
        <w:rPr>
          <w:rFonts w:ascii="Times New Roman" w:hAnsi="Times New Roman" w:cs="Times New Roman"/>
        </w:rPr>
      </w:pPr>
      <w:r w:rsidRPr="00DC4E63">
        <w:rPr>
          <w:rFonts w:ascii="Times New Roman" w:hAnsi="Times New Roman" w:cs="Times New Roman"/>
        </w:rPr>
        <w:t xml:space="preserve">Figure S1. Significant activation maps for the [Successful Go&gt;Successful Stop] contrast showcase the motor cortex activation – precentral/postcentral gyrus. Shown is the conjunction between control and </w:t>
      </w:r>
      <w:r>
        <w:rPr>
          <w:rFonts w:ascii="Times New Roman" w:hAnsi="Times New Roman" w:cs="Times New Roman"/>
        </w:rPr>
        <w:t xml:space="preserve">CUD </w:t>
      </w:r>
      <w:r w:rsidRPr="00DC4E63">
        <w:rPr>
          <w:rFonts w:ascii="Times New Roman" w:hAnsi="Times New Roman" w:cs="Times New Roman"/>
        </w:rPr>
        <w:t xml:space="preserve">group, cluster corrected with the cluster forming threshold of z&gt;2.3 and p&lt;0.05. </w:t>
      </w:r>
    </w:p>
    <w:p w14:paraId="25BC1B43" w14:textId="77777777" w:rsidR="0020610C" w:rsidRPr="004E1CFF" w:rsidRDefault="0020610C" w:rsidP="0020610C">
      <w:pPr>
        <w:spacing w:line="240" w:lineRule="auto"/>
        <w:rPr>
          <w:rFonts w:ascii="Times New Roman" w:hAnsi="Times New Roman" w:cs="Times New Roman"/>
        </w:rPr>
      </w:pPr>
    </w:p>
    <w:p w14:paraId="3C6EAA0A" w14:textId="77777777" w:rsidR="0020610C" w:rsidRPr="004E1CFF" w:rsidRDefault="0020610C" w:rsidP="0020610C">
      <w:pPr>
        <w:spacing w:line="240" w:lineRule="auto"/>
        <w:rPr>
          <w:rFonts w:ascii="Times New Roman" w:hAnsi="Times New Roman" w:cs="Times New Roman"/>
        </w:rPr>
      </w:pPr>
      <w:r w:rsidRPr="004E1CFF">
        <w:rPr>
          <w:rFonts w:ascii="Times New Roman" w:hAnsi="Times New Roman" w:cs="Times New Roman"/>
          <w:noProof/>
          <w:lang w:eastAsia="en-GB" w:bidi="he-IL"/>
        </w:rPr>
        <w:lastRenderedPageBreak/>
        <w:drawing>
          <wp:inline distT="0" distB="0" distL="0" distR="0" wp14:anchorId="671A5810" wp14:editId="436D4D0B">
            <wp:extent cx="5731510" cy="4872355"/>
            <wp:effectExtent l="0" t="0" r="2540" b="4445"/>
            <wp:docPr id="37" name="Picture 36" descr="Figure S2 - Bar Graphs">
              <a:extLst xmlns:a="http://schemas.openxmlformats.org/drawingml/2006/main">
                <a:ext uri="{FF2B5EF4-FFF2-40B4-BE49-F238E27FC236}">
                  <a16:creationId xmlns:a16="http://schemas.microsoft.com/office/drawing/2014/main" id="{61BFDB9A-C825-4E3C-8F03-AC6E876D0E2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6" descr="Figure S2 - Bar Graphs">
                      <a:extLst>
                        <a:ext uri="{FF2B5EF4-FFF2-40B4-BE49-F238E27FC236}">
                          <a16:creationId xmlns:a16="http://schemas.microsoft.com/office/drawing/2014/main" id="{61BFDB9A-C825-4E3C-8F03-AC6E876D0E21}"/>
                        </a:ext>
                      </a:extLst>
                    </pic:cNvPr>
                    <pic:cNvPicPr>
                      <a:picLocks noChangeAspect="1"/>
                    </pic:cNvPicPr>
                  </pic:nvPicPr>
                  <pic:blipFill>
                    <a:blip r:embed="rId17"/>
                    <a:stretch>
                      <a:fillRect/>
                    </a:stretch>
                  </pic:blipFill>
                  <pic:spPr>
                    <a:xfrm>
                      <a:off x="0" y="0"/>
                      <a:ext cx="5731510" cy="4872355"/>
                    </a:xfrm>
                    <a:prstGeom prst="rect">
                      <a:avLst/>
                    </a:prstGeom>
                  </pic:spPr>
                </pic:pic>
              </a:graphicData>
            </a:graphic>
          </wp:inline>
        </w:drawing>
      </w:r>
    </w:p>
    <w:p w14:paraId="7C7E0D28" w14:textId="77777777" w:rsidR="0020610C" w:rsidRPr="00C61F3B" w:rsidRDefault="0020610C" w:rsidP="0020610C">
      <w:pPr>
        <w:spacing w:line="240" w:lineRule="auto"/>
        <w:rPr>
          <w:rFonts w:ascii="Times New Roman" w:hAnsi="Times New Roman" w:cs="Times New Roman"/>
        </w:rPr>
      </w:pPr>
      <w:r w:rsidRPr="00C61F3B">
        <w:rPr>
          <w:rFonts w:ascii="Times New Roman" w:hAnsi="Times New Roman" w:cs="Times New Roman"/>
        </w:rPr>
        <w:t xml:space="preserve">Figure S2. Relative log evidence for each of the thirty models included in the Bayesian model comparison and selection. Models 1-10 are nonlinear models A, B, C, D, E and linear models A, B, C, D, E, F with task modulation of the IFG; models 11-20 are the nonlinear models A, B, C, D, E and linear models A, B, C, D, E, F with task modulation of the ACC; models 21-30 are nonlinear models A, B, C, D, E and linear models A, B, C, D, E, F with task modulation of the putamen. Three models were excluded since they failed to converge for several subjects: nonlinear model D with IFG modulation, nonlinear model E with ACC modulation and nonlinear model E with putamen modulation. The winning models and are highlighted in red. In the placebo condition, nonlinear model C provided the best fit to data from both control and cocaine groups, although stopping modulated the IFG in the controls and the putamen in the cocaine group. In the atomoxetine condition, linear model D with task modulation of the putamen gathered the most evidence in both control and cocaine groups. </w:t>
      </w:r>
    </w:p>
    <w:p w14:paraId="0ACBBB55" w14:textId="77777777" w:rsidR="0020610C" w:rsidRDefault="0020610C" w:rsidP="0020610C">
      <w:pPr>
        <w:spacing w:line="240" w:lineRule="auto"/>
        <w:rPr>
          <w:rFonts w:ascii="Times New Roman" w:hAnsi="Times New Roman" w:cs="Times New Roman"/>
          <w:sz w:val="24"/>
          <w:szCs w:val="24"/>
        </w:rPr>
      </w:pPr>
    </w:p>
    <w:p w14:paraId="44DE72D6" w14:textId="77777777" w:rsidR="0020610C" w:rsidRDefault="0020610C" w:rsidP="0020610C">
      <w:pPr>
        <w:rPr>
          <w:rFonts w:ascii="Times New Roman" w:hAnsi="Times New Roman" w:cs="Times New Roman"/>
        </w:rPr>
      </w:pPr>
      <w:r>
        <w:rPr>
          <w:rFonts w:ascii="Times New Roman" w:hAnsi="Times New Roman" w:cs="Times New Roman"/>
        </w:rPr>
        <w:br w:type="page"/>
      </w:r>
    </w:p>
    <w:p w14:paraId="24E8561C" w14:textId="77777777" w:rsidR="0020610C" w:rsidRDefault="0020610C" w:rsidP="000B7DB7">
      <w:pPr>
        <w:pStyle w:val="Heading2"/>
      </w:pPr>
      <w:r>
        <w:lastRenderedPageBreak/>
        <w:t>Group differences in Go Omissions</w:t>
      </w:r>
    </w:p>
    <w:p w14:paraId="003C25E6" w14:textId="77777777" w:rsidR="0020610C" w:rsidRDefault="0020610C" w:rsidP="0020610C">
      <w:pPr>
        <w:rPr>
          <w:rFonts w:ascii="Times New Roman" w:hAnsi="Times New Roman" w:cs="Times New Roman"/>
        </w:rPr>
      </w:pPr>
      <w:r>
        <w:rPr>
          <w:rFonts w:ascii="Times New Roman" w:hAnsi="Times New Roman" w:cs="Times New Roman"/>
        </w:rPr>
        <w:t xml:space="preserve">In addition to the results reported in Table 1, we show the </w:t>
      </w:r>
      <w:r w:rsidRPr="00AB0CD4">
        <w:rPr>
          <w:rFonts w:ascii="Times New Roman" w:hAnsi="Times New Roman" w:cs="Times New Roman"/>
        </w:rPr>
        <w:t xml:space="preserve">distribution of the Go omissions </w:t>
      </w:r>
      <w:r>
        <w:rPr>
          <w:rFonts w:ascii="Times New Roman" w:hAnsi="Times New Roman" w:cs="Times New Roman"/>
        </w:rPr>
        <w:t xml:space="preserve">in Figure S3. Although a robust, significant difference between CUD patients and controls was found (with increased probability of Go Omissions in CUD), the distribution was heavily </w:t>
      </w:r>
      <w:r w:rsidRPr="00AB0CD4">
        <w:rPr>
          <w:rFonts w:ascii="Times New Roman" w:hAnsi="Times New Roman" w:cs="Times New Roman"/>
        </w:rPr>
        <w:t xml:space="preserve">skewed towards zero (as shown in Figure </w:t>
      </w:r>
      <w:r>
        <w:rPr>
          <w:rFonts w:ascii="Times New Roman" w:hAnsi="Times New Roman" w:cs="Times New Roman"/>
        </w:rPr>
        <w:t>S3</w:t>
      </w:r>
      <w:r w:rsidRPr="00AB0CD4">
        <w:rPr>
          <w:rFonts w:ascii="Times New Roman" w:hAnsi="Times New Roman" w:cs="Times New Roman"/>
        </w:rPr>
        <w:t xml:space="preserve">) and we therefore refrain from testing for linear associations </w:t>
      </w:r>
      <w:r>
        <w:rPr>
          <w:rFonts w:ascii="Times New Roman" w:hAnsi="Times New Roman" w:cs="Times New Roman"/>
        </w:rPr>
        <w:t xml:space="preserve">between Go Omissions </w:t>
      </w:r>
      <w:r w:rsidRPr="00AB0CD4">
        <w:rPr>
          <w:rFonts w:ascii="Times New Roman" w:hAnsi="Times New Roman" w:cs="Times New Roman"/>
        </w:rPr>
        <w:t>with task-based stop-signal fMRI data</w:t>
      </w:r>
      <w:r>
        <w:rPr>
          <w:rFonts w:ascii="Times New Roman" w:hAnsi="Times New Roman" w:cs="Times New Roman"/>
        </w:rPr>
        <w:t>.</w:t>
      </w:r>
    </w:p>
    <w:p w14:paraId="1E86A519" w14:textId="77777777" w:rsidR="0020610C" w:rsidRPr="00394D19" w:rsidRDefault="0020610C" w:rsidP="0020610C">
      <w:pPr>
        <w:rPr>
          <w:rFonts w:ascii="Times New Roman" w:hAnsi="Times New Roman" w:cs="Times New Roman"/>
        </w:rPr>
      </w:pPr>
      <w:r>
        <w:rPr>
          <w:noProof/>
          <w:lang w:val="de-DE" w:eastAsia="de-DE"/>
        </w:rPr>
        <w:drawing>
          <wp:inline distT="0" distB="0" distL="0" distR="0" wp14:anchorId="43E439FE" wp14:editId="20FD7C5A">
            <wp:extent cx="2506980" cy="1879541"/>
            <wp:effectExtent l="0" t="0" r="7620" b="6985"/>
            <wp:docPr id="2" name="Picture 2" descr="Figure S3 -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Figure S3 - Char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19711" cy="1889086"/>
                    </a:xfrm>
                    <a:prstGeom prst="rect">
                      <a:avLst/>
                    </a:prstGeom>
                    <a:noFill/>
                    <a:ln>
                      <a:noFill/>
                    </a:ln>
                  </pic:spPr>
                </pic:pic>
              </a:graphicData>
            </a:graphic>
          </wp:inline>
        </w:drawing>
      </w:r>
    </w:p>
    <w:p w14:paraId="2E7880EF" w14:textId="77777777" w:rsidR="0020610C" w:rsidRDefault="0020610C" w:rsidP="0020610C">
      <w:pPr>
        <w:rPr>
          <w:rFonts w:ascii="Times New Roman" w:hAnsi="Times New Roman" w:cs="Times New Roman"/>
        </w:rPr>
      </w:pPr>
      <w:r w:rsidRPr="00394D19">
        <w:rPr>
          <w:rFonts w:ascii="Times New Roman" w:hAnsi="Times New Roman" w:cs="Times New Roman"/>
        </w:rPr>
        <w:t xml:space="preserve">Figure </w:t>
      </w:r>
      <w:r>
        <w:rPr>
          <w:rFonts w:ascii="Times New Roman" w:hAnsi="Times New Roman" w:cs="Times New Roman"/>
        </w:rPr>
        <w:t>S3</w:t>
      </w:r>
      <w:r w:rsidRPr="00394D19">
        <w:rPr>
          <w:rFonts w:ascii="Times New Roman" w:hAnsi="Times New Roman" w:cs="Times New Roman"/>
        </w:rPr>
        <w:t>. Go omission distribution in healthy controls and CUD patients.</w:t>
      </w:r>
    </w:p>
    <w:p w14:paraId="5FF7124F" w14:textId="77777777" w:rsidR="0020610C" w:rsidRDefault="0020610C" w:rsidP="0020610C">
      <w:pPr>
        <w:rPr>
          <w:rFonts w:ascii="Times New Roman" w:hAnsi="Times New Roman" w:cs="Times New Roman"/>
        </w:rPr>
      </w:pPr>
    </w:p>
    <w:p w14:paraId="24865776"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Pr>
          <w:rFonts w:ascii="Times New Roman" w:hAnsi="Times New Roman" w:cs="Times New Roman"/>
        </w:rPr>
        <w:fldChar w:fldCharType="begin" w:fldLock="1"/>
      </w:r>
      <w:r>
        <w:rPr>
          <w:rFonts w:ascii="Times New Roman" w:hAnsi="Times New Roman" w:cs="Times New Roman"/>
        </w:rPr>
        <w:instrText xml:space="preserve">ADDIN Mendeley Bibliography CSL_BIBLIOGRAPHY </w:instrText>
      </w:r>
      <w:r>
        <w:rPr>
          <w:rFonts w:ascii="Times New Roman" w:hAnsi="Times New Roman" w:cs="Times New Roman"/>
        </w:rPr>
        <w:fldChar w:fldCharType="separate"/>
      </w:r>
      <w:r w:rsidRPr="00382F4F">
        <w:rPr>
          <w:rFonts w:ascii="Times New Roman" w:hAnsi="Times New Roman" w:cs="Times New Roman"/>
          <w:noProof/>
          <w:szCs w:val="24"/>
        </w:rPr>
        <w:t xml:space="preserve">1. Stephan KE, Penny WD, Moran RJ, den Ouden HEM, Daunizeau J, Friston KJ (2010): Ten simple rules for dynamic causal modeling. </w:t>
      </w:r>
      <w:r w:rsidRPr="00382F4F">
        <w:rPr>
          <w:rFonts w:ascii="Times New Roman" w:hAnsi="Times New Roman" w:cs="Times New Roman"/>
          <w:i/>
          <w:iCs/>
          <w:noProof/>
          <w:szCs w:val="24"/>
        </w:rPr>
        <w:t>Neuroimage</w:t>
      </w:r>
      <w:r w:rsidRPr="00382F4F">
        <w:rPr>
          <w:rFonts w:ascii="Times New Roman" w:hAnsi="Times New Roman" w:cs="Times New Roman"/>
          <w:noProof/>
          <w:szCs w:val="24"/>
        </w:rPr>
        <w:t xml:space="preserve"> 49: 3099–3109.</w:t>
      </w:r>
    </w:p>
    <w:p w14:paraId="50D61FE2"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2. Aron AR, Fletcher PC, Bullmore ET, Sahakian BJ, Robbins TW (2003): Erratum: Stop-signal inhibition disrupted by damage to right inferior frontal gyrus in humans. </w:t>
      </w:r>
      <w:r w:rsidRPr="00382F4F">
        <w:rPr>
          <w:rFonts w:ascii="Times New Roman" w:hAnsi="Times New Roman" w:cs="Times New Roman"/>
          <w:i/>
          <w:iCs/>
          <w:noProof/>
          <w:szCs w:val="24"/>
        </w:rPr>
        <w:t>Nat Neurosci</w:t>
      </w:r>
      <w:r w:rsidRPr="00382F4F">
        <w:rPr>
          <w:rFonts w:ascii="Times New Roman" w:hAnsi="Times New Roman" w:cs="Times New Roman"/>
          <w:noProof/>
          <w:szCs w:val="24"/>
        </w:rPr>
        <w:t xml:space="preserve"> 6: 1329–1329.</w:t>
      </w:r>
    </w:p>
    <w:p w14:paraId="41920F06"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3. Floden D, Stuss DT (2006): Inhibitory control is slowed in patients with right superior medial frontal damage. </w:t>
      </w:r>
      <w:r w:rsidRPr="00382F4F">
        <w:rPr>
          <w:rFonts w:ascii="Times New Roman" w:hAnsi="Times New Roman" w:cs="Times New Roman"/>
          <w:i/>
          <w:iCs/>
          <w:noProof/>
          <w:szCs w:val="24"/>
        </w:rPr>
        <w:t>J Cogn Neurosci</w:t>
      </w:r>
      <w:r w:rsidRPr="00382F4F">
        <w:rPr>
          <w:rFonts w:ascii="Times New Roman" w:hAnsi="Times New Roman" w:cs="Times New Roman"/>
          <w:noProof/>
          <w:szCs w:val="24"/>
        </w:rPr>
        <w:t xml:space="preserve"> 18: 1843–1849.</w:t>
      </w:r>
    </w:p>
    <w:p w14:paraId="1B571E91"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4. Nachev P, Wydell H, O’Neill K, Husain M, Kennard C (2007): The role of the pre-supplementary motor area in the control of action. </w:t>
      </w:r>
      <w:r w:rsidRPr="00382F4F">
        <w:rPr>
          <w:rFonts w:ascii="Times New Roman" w:hAnsi="Times New Roman" w:cs="Times New Roman"/>
          <w:i/>
          <w:iCs/>
          <w:noProof/>
          <w:szCs w:val="24"/>
        </w:rPr>
        <w:t>Neuroimage</w:t>
      </w:r>
      <w:r w:rsidRPr="00382F4F">
        <w:rPr>
          <w:rFonts w:ascii="Times New Roman" w:hAnsi="Times New Roman" w:cs="Times New Roman"/>
          <w:noProof/>
          <w:szCs w:val="24"/>
        </w:rPr>
        <w:t xml:space="preserve"> 36: 155–163.</w:t>
      </w:r>
    </w:p>
    <w:p w14:paraId="783C5BCB"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5. Jha A, Nachev P, Barnes G, Husain M, Brown P, Litvak V (2015): The frontal control of stopping. </w:t>
      </w:r>
      <w:r w:rsidRPr="00382F4F">
        <w:rPr>
          <w:rFonts w:ascii="Times New Roman" w:hAnsi="Times New Roman" w:cs="Times New Roman"/>
          <w:i/>
          <w:iCs/>
          <w:noProof/>
          <w:szCs w:val="24"/>
        </w:rPr>
        <w:t>Cereb Cortex</w:t>
      </w:r>
      <w:r w:rsidRPr="00382F4F">
        <w:rPr>
          <w:rFonts w:ascii="Times New Roman" w:hAnsi="Times New Roman" w:cs="Times New Roman"/>
          <w:noProof/>
          <w:szCs w:val="24"/>
        </w:rPr>
        <w:t xml:space="preserve"> 25: 4392–4406.</w:t>
      </w:r>
    </w:p>
    <w:p w14:paraId="3E9A60A6"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6. Cai W, George JS, Verbruggen F, Chambers CD, Aron AR (2012): The role of the right presupplementary motor area in stopping action: Two studies with event-related transcranial magnetic stimulation. </w:t>
      </w:r>
      <w:r w:rsidRPr="00382F4F">
        <w:rPr>
          <w:rFonts w:ascii="Times New Roman" w:hAnsi="Times New Roman" w:cs="Times New Roman"/>
          <w:i/>
          <w:iCs/>
          <w:noProof/>
          <w:szCs w:val="24"/>
        </w:rPr>
        <w:t>J Neurophysiol</w:t>
      </w:r>
      <w:r w:rsidRPr="00382F4F">
        <w:rPr>
          <w:rFonts w:ascii="Times New Roman" w:hAnsi="Times New Roman" w:cs="Times New Roman"/>
          <w:noProof/>
          <w:szCs w:val="24"/>
        </w:rPr>
        <w:t xml:space="preserve"> 108: 380–389.</w:t>
      </w:r>
    </w:p>
    <w:p w14:paraId="437A9B58"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7. Swann NC, Cai W, Conner CR, Pieters TA, Claffey MP, George JS, </w:t>
      </w:r>
      <w:r w:rsidRPr="00382F4F">
        <w:rPr>
          <w:rFonts w:ascii="Times New Roman" w:hAnsi="Times New Roman" w:cs="Times New Roman"/>
          <w:i/>
          <w:iCs/>
          <w:noProof/>
          <w:szCs w:val="24"/>
        </w:rPr>
        <w:t>et al.</w:t>
      </w:r>
      <w:r w:rsidRPr="00382F4F">
        <w:rPr>
          <w:rFonts w:ascii="Times New Roman" w:hAnsi="Times New Roman" w:cs="Times New Roman"/>
          <w:noProof/>
          <w:szCs w:val="24"/>
        </w:rPr>
        <w:t xml:space="preserve"> (2012): Roles for the pre-supplementary motor area and the right inferior frontal gyrus in stopping action: Electrophysiological responses and functional and structural connectivity. </w:t>
      </w:r>
      <w:r w:rsidRPr="00382F4F">
        <w:rPr>
          <w:rFonts w:ascii="Times New Roman" w:hAnsi="Times New Roman" w:cs="Times New Roman"/>
          <w:i/>
          <w:iCs/>
          <w:noProof/>
          <w:szCs w:val="24"/>
        </w:rPr>
        <w:t>Neuroimage</w:t>
      </w:r>
      <w:r w:rsidRPr="00382F4F">
        <w:rPr>
          <w:rFonts w:ascii="Times New Roman" w:hAnsi="Times New Roman" w:cs="Times New Roman"/>
          <w:noProof/>
          <w:szCs w:val="24"/>
        </w:rPr>
        <w:t xml:space="preserve"> 59: 2860–2870.</w:t>
      </w:r>
    </w:p>
    <w:p w14:paraId="51A64D0B"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8. Rae CL, Hughes LE, Anderson MC, Rowe JB (2015): The prefrontal cortex achieves inhibitory control by facilitating subcortical motor pathway connectivity. </w:t>
      </w:r>
      <w:r w:rsidRPr="00382F4F">
        <w:rPr>
          <w:rFonts w:ascii="Times New Roman" w:hAnsi="Times New Roman" w:cs="Times New Roman"/>
          <w:i/>
          <w:iCs/>
          <w:noProof/>
          <w:szCs w:val="24"/>
        </w:rPr>
        <w:t>J Neurosci</w:t>
      </w:r>
      <w:r w:rsidRPr="00382F4F">
        <w:rPr>
          <w:rFonts w:ascii="Times New Roman" w:hAnsi="Times New Roman" w:cs="Times New Roman"/>
          <w:noProof/>
          <w:szCs w:val="24"/>
        </w:rPr>
        <w:t xml:space="preserve"> 35: 786–94.</w:t>
      </w:r>
    </w:p>
    <w:p w14:paraId="73E6832C"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9. Beeler JA, Petzinger G, Jakowec MW (2013): The enemy within: Propagation of aberrant corticostriatal learning to cortical function in Parkinson’s disease. </w:t>
      </w:r>
      <w:r w:rsidRPr="00382F4F">
        <w:rPr>
          <w:rFonts w:ascii="Times New Roman" w:hAnsi="Times New Roman" w:cs="Times New Roman"/>
          <w:i/>
          <w:iCs/>
          <w:noProof/>
          <w:szCs w:val="24"/>
        </w:rPr>
        <w:t>Front Neurol</w:t>
      </w:r>
      <w:r w:rsidRPr="00382F4F">
        <w:rPr>
          <w:rFonts w:ascii="Times New Roman" w:hAnsi="Times New Roman" w:cs="Times New Roman"/>
          <w:noProof/>
          <w:szCs w:val="24"/>
        </w:rPr>
        <w:t xml:space="preserve"> 4 SEP: 1–7.</w:t>
      </w:r>
    </w:p>
    <w:p w14:paraId="6D432991"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10. Schroll H, Hamker FH (2013): Computational models of basal-ganglia pathway functions: focus on functional neuroanatomy. </w:t>
      </w:r>
      <w:r w:rsidRPr="00382F4F">
        <w:rPr>
          <w:rFonts w:ascii="Times New Roman" w:hAnsi="Times New Roman" w:cs="Times New Roman"/>
          <w:i/>
          <w:iCs/>
          <w:noProof/>
          <w:szCs w:val="24"/>
        </w:rPr>
        <w:t>Front Syst Neurosci</w:t>
      </w:r>
      <w:r w:rsidRPr="00382F4F">
        <w:rPr>
          <w:rFonts w:ascii="Times New Roman" w:hAnsi="Times New Roman" w:cs="Times New Roman"/>
          <w:noProof/>
          <w:szCs w:val="24"/>
        </w:rPr>
        <w:t xml:space="preserve"> 7. https://doi.org/10.3389/fnsys.2013.00122</w:t>
      </w:r>
    </w:p>
    <w:p w14:paraId="449E7FCF"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lastRenderedPageBreak/>
        <w:t xml:space="preserve">11. Goldstein JM, Seidman LJ, Makris N, Ahern T, O’Brien LM, Caviness VS, </w:t>
      </w:r>
      <w:r w:rsidRPr="00382F4F">
        <w:rPr>
          <w:rFonts w:ascii="Times New Roman" w:hAnsi="Times New Roman" w:cs="Times New Roman"/>
          <w:i/>
          <w:iCs/>
          <w:noProof/>
          <w:szCs w:val="24"/>
        </w:rPr>
        <w:t>et al.</w:t>
      </w:r>
      <w:r w:rsidRPr="00382F4F">
        <w:rPr>
          <w:rFonts w:ascii="Times New Roman" w:hAnsi="Times New Roman" w:cs="Times New Roman"/>
          <w:noProof/>
          <w:szCs w:val="24"/>
        </w:rPr>
        <w:t xml:space="preserve"> (2007): Hypothalamic Abnormalities in Schizophrenia: Sex Effects and Genetic Vulnerability. </w:t>
      </w:r>
      <w:r w:rsidRPr="00382F4F">
        <w:rPr>
          <w:rFonts w:ascii="Times New Roman" w:hAnsi="Times New Roman" w:cs="Times New Roman"/>
          <w:i/>
          <w:iCs/>
          <w:noProof/>
          <w:szCs w:val="24"/>
        </w:rPr>
        <w:t>Biol Psychiatry</w:t>
      </w:r>
      <w:r w:rsidRPr="00382F4F">
        <w:rPr>
          <w:rFonts w:ascii="Times New Roman" w:hAnsi="Times New Roman" w:cs="Times New Roman"/>
          <w:noProof/>
          <w:szCs w:val="24"/>
        </w:rPr>
        <w:t xml:space="preserve"> 61: 935–945.</w:t>
      </w:r>
    </w:p>
    <w:p w14:paraId="0F9A03D7"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12. Desikan RS, Ségonne F, Fischl B, Quinn BT, Dickerson BC, Blacker D, </w:t>
      </w:r>
      <w:r w:rsidRPr="00382F4F">
        <w:rPr>
          <w:rFonts w:ascii="Times New Roman" w:hAnsi="Times New Roman" w:cs="Times New Roman"/>
          <w:i/>
          <w:iCs/>
          <w:noProof/>
          <w:szCs w:val="24"/>
        </w:rPr>
        <w:t>et al.</w:t>
      </w:r>
      <w:r w:rsidRPr="00382F4F">
        <w:rPr>
          <w:rFonts w:ascii="Times New Roman" w:hAnsi="Times New Roman" w:cs="Times New Roman"/>
          <w:noProof/>
          <w:szCs w:val="24"/>
        </w:rPr>
        <w:t xml:space="preserve"> (2006): An automated labeling system for subdividing the human cerebral cortex on MRI scans into gyral based regions of interest. </w:t>
      </w:r>
      <w:r w:rsidRPr="00382F4F">
        <w:rPr>
          <w:rFonts w:ascii="Times New Roman" w:hAnsi="Times New Roman" w:cs="Times New Roman"/>
          <w:i/>
          <w:iCs/>
          <w:noProof/>
          <w:szCs w:val="24"/>
        </w:rPr>
        <w:t>Neuroimage</w:t>
      </w:r>
      <w:r w:rsidRPr="00382F4F">
        <w:rPr>
          <w:rFonts w:ascii="Times New Roman" w:hAnsi="Times New Roman" w:cs="Times New Roman"/>
          <w:noProof/>
          <w:szCs w:val="24"/>
        </w:rPr>
        <w:t xml:space="preserve"> 31: 968–980.</w:t>
      </w:r>
    </w:p>
    <w:p w14:paraId="22920834"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13. Makris N, Goldstein JM, Kennedy D, Hodge SM, Caviness VS, Faraone S V., </w:t>
      </w:r>
      <w:r w:rsidRPr="00382F4F">
        <w:rPr>
          <w:rFonts w:ascii="Times New Roman" w:hAnsi="Times New Roman" w:cs="Times New Roman"/>
          <w:i/>
          <w:iCs/>
          <w:noProof/>
          <w:szCs w:val="24"/>
        </w:rPr>
        <w:t>et al.</w:t>
      </w:r>
      <w:r w:rsidRPr="00382F4F">
        <w:rPr>
          <w:rFonts w:ascii="Times New Roman" w:hAnsi="Times New Roman" w:cs="Times New Roman"/>
          <w:noProof/>
          <w:szCs w:val="24"/>
        </w:rPr>
        <w:t xml:space="preserve"> (2006): Decreased volume of left and total anterior insular lobule in schizophrenia. </w:t>
      </w:r>
      <w:r w:rsidRPr="00382F4F">
        <w:rPr>
          <w:rFonts w:ascii="Times New Roman" w:hAnsi="Times New Roman" w:cs="Times New Roman"/>
          <w:i/>
          <w:iCs/>
          <w:noProof/>
          <w:szCs w:val="24"/>
        </w:rPr>
        <w:t>Schizophr Res</w:t>
      </w:r>
      <w:r w:rsidRPr="00382F4F">
        <w:rPr>
          <w:rFonts w:ascii="Times New Roman" w:hAnsi="Times New Roman" w:cs="Times New Roman"/>
          <w:noProof/>
          <w:szCs w:val="24"/>
        </w:rPr>
        <w:t xml:space="preserve"> 83: 155–171.</w:t>
      </w:r>
    </w:p>
    <w:p w14:paraId="5751761A"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14. Frazier JA, Chiu S, Breeze JL, Makris N, Lange N, Kennedy DN, </w:t>
      </w:r>
      <w:r w:rsidRPr="00382F4F">
        <w:rPr>
          <w:rFonts w:ascii="Times New Roman" w:hAnsi="Times New Roman" w:cs="Times New Roman"/>
          <w:i/>
          <w:iCs/>
          <w:noProof/>
          <w:szCs w:val="24"/>
        </w:rPr>
        <w:t>et al.</w:t>
      </w:r>
      <w:r w:rsidRPr="00382F4F">
        <w:rPr>
          <w:rFonts w:ascii="Times New Roman" w:hAnsi="Times New Roman" w:cs="Times New Roman"/>
          <w:noProof/>
          <w:szCs w:val="24"/>
        </w:rPr>
        <w:t xml:space="preserve"> (2005): Structural brain magnetic resonance imaging of limbic and thalamic volumes in pediatric bipolar disorder. </w:t>
      </w:r>
      <w:r w:rsidRPr="00382F4F">
        <w:rPr>
          <w:rFonts w:ascii="Times New Roman" w:hAnsi="Times New Roman" w:cs="Times New Roman"/>
          <w:i/>
          <w:iCs/>
          <w:noProof/>
          <w:szCs w:val="24"/>
        </w:rPr>
        <w:t>Am J Psychiatry</w:t>
      </w:r>
      <w:r w:rsidRPr="00382F4F">
        <w:rPr>
          <w:rFonts w:ascii="Times New Roman" w:hAnsi="Times New Roman" w:cs="Times New Roman"/>
          <w:noProof/>
          <w:szCs w:val="24"/>
        </w:rPr>
        <w:t xml:space="preserve"> 162: 1256–1265.</w:t>
      </w:r>
    </w:p>
    <w:p w14:paraId="6B2C9AA9"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szCs w:val="24"/>
        </w:rPr>
      </w:pPr>
      <w:r w:rsidRPr="00382F4F">
        <w:rPr>
          <w:rFonts w:ascii="Times New Roman" w:hAnsi="Times New Roman" w:cs="Times New Roman"/>
          <w:noProof/>
          <w:szCs w:val="24"/>
        </w:rPr>
        <w:t xml:space="preserve">15. Forstmann BU, Keuken MC, Jahfari S, Bazin PL, Neumann J, Schäfer A, </w:t>
      </w:r>
      <w:r w:rsidRPr="00382F4F">
        <w:rPr>
          <w:rFonts w:ascii="Times New Roman" w:hAnsi="Times New Roman" w:cs="Times New Roman"/>
          <w:i/>
          <w:iCs/>
          <w:noProof/>
          <w:szCs w:val="24"/>
        </w:rPr>
        <w:t>et al.</w:t>
      </w:r>
      <w:r w:rsidRPr="00382F4F">
        <w:rPr>
          <w:rFonts w:ascii="Times New Roman" w:hAnsi="Times New Roman" w:cs="Times New Roman"/>
          <w:noProof/>
          <w:szCs w:val="24"/>
        </w:rPr>
        <w:t xml:space="preserve"> (2012): Cortico-subthalamic white matter tract strength predicts interindividual efficacy in stopping a motor response. </w:t>
      </w:r>
      <w:r w:rsidRPr="00382F4F">
        <w:rPr>
          <w:rFonts w:ascii="Times New Roman" w:hAnsi="Times New Roman" w:cs="Times New Roman"/>
          <w:i/>
          <w:iCs/>
          <w:noProof/>
          <w:szCs w:val="24"/>
        </w:rPr>
        <w:t>Neuroimage</w:t>
      </w:r>
      <w:r w:rsidRPr="00382F4F">
        <w:rPr>
          <w:rFonts w:ascii="Times New Roman" w:hAnsi="Times New Roman" w:cs="Times New Roman"/>
          <w:noProof/>
          <w:szCs w:val="24"/>
        </w:rPr>
        <w:t xml:space="preserve"> 60: 370–375.</w:t>
      </w:r>
    </w:p>
    <w:p w14:paraId="29362FB8" w14:textId="77777777" w:rsidR="0020610C" w:rsidRPr="00382F4F" w:rsidRDefault="0020610C" w:rsidP="0020610C">
      <w:pPr>
        <w:widowControl w:val="0"/>
        <w:autoSpaceDE w:val="0"/>
        <w:autoSpaceDN w:val="0"/>
        <w:adjustRightInd w:val="0"/>
        <w:spacing w:line="240" w:lineRule="auto"/>
        <w:ind w:left="480" w:hanging="480"/>
        <w:rPr>
          <w:rFonts w:ascii="Times New Roman" w:hAnsi="Times New Roman" w:cs="Times New Roman"/>
          <w:noProof/>
        </w:rPr>
      </w:pPr>
      <w:r w:rsidRPr="00382F4F">
        <w:rPr>
          <w:rFonts w:ascii="Times New Roman" w:hAnsi="Times New Roman" w:cs="Times New Roman"/>
          <w:noProof/>
          <w:szCs w:val="24"/>
        </w:rPr>
        <w:t xml:space="preserve">16. Morein-Zamir S, Simon Jones P, Bullmore ET, Robbins TW, Ersche KD (2013): Prefrontal hypoactivity associated with impaired inhibition in stimulant-dependent individuals but evidence for hyperactivation in their unaffected siblings. </w:t>
      </w:r>
      <w:r w:rsidRPr="00382F4F">
        <w:rPr>
          <w:rFonts w:ascii="Times New Roman" w:hAnsi="Times New Roman" w:cs="Times New Roman"/>
          <w:i/>
          <w:iCs/>
          <w:noProof/>
          <w:szCs w:val="24"/>
        </w:rPr>
        <w:t>Neuropsychopharmacology</w:t>
      </w:r>
      <w:r w:rsidRPr="00382F4F">
        <w:rPr>
          <w:rFonts w:ascii="Times New Roman" w:hAnsi="Times New Roman" w:cs="Times New Roman"/>
          <w:noProof/>
          <w:szCs w:val="24"/>
        </w:rPr>
        <w:t xml:space="preserve"> 38: 1945–1953.</w:t>
      </w:r>
    </w:p>
    <w:p w14:paraId="1ED17618" w14:textId="77777777" w:rsidR="0020610C" w:rsidRPr="00964A3B" w:rsidRDefault="0020610C" w:rsidP="0020610C">
      <w:pPr>
        <w:rPr>
          <w:rFonts w:ascii="Times New Roman" w:hAnsi="Times New Roman" w:cs="Times New Roman"/>
        </w:rPr>
      </w:pPr>
      <w:r>
        <w:rPr>
          <w:rFonts w:ascii="Times New Roman" w:hAnsi="Times New Roman" w:cs="Times New Roman"/>
        </w:rPr>
        <w:fldChar w:fldCharType="end"/>
      </w:r>
    </w:p>
    <w:p w14:paraId="6F75A4C0" w14:textId="77777777" w:rsidR="00C05D6D" w:rsidRPr="0082274F" w:rsidRDefault="00C05D6D" w:rsidP="00BF7E9E">
      <w:pPr>
        <w:spacing w:line="360" w:lineRule="auto"/>
        <w:rPr>
          <w:rFonts w:ascii="Times New Roman" w:hAnsi="Times New Roman" w:cs="Times New Roman"/>
          <w:sz w:val="24"/>
          <w:szCs w:val="24"/>
        </w:rPr>
      </w:pPr>
    </w:p>
    <w:sectPr w:rsidR="00C05D6D" w:rsidRPr="0082274F">
      <w:footerReference w:type="default" r:id="rId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F22525" w14:textId="77777777" w:rsidR="00102297" w:rsidRDefault="00102297" w:rsidP="00D55169">
      <w:pPr>
        <w:spacing w:after="0" w:line="240" w:lineRule="auto"/>
      </w:pPr>
      <w:r>
        <w:separator/>
      </w:r>
    </w:p>
  </w:endnote>
  <w:endnote w:type="continuationSeparator" w:id="0">
    <w:p w14:paraId="2E30F76E" w14:textId="77777777" w:rsidR="00102297" w:rsidRDefault="00102297" w:rsidP="00D551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E887E" w14:textId="37E15D84" w:rsidR="0036692F" w:rsidRDefault="0036692F">
    <w:pPr>
      <w:pStyle w:val="Footer"/>
      <w:jc w:val="center"/>
      <w:rPr>
        <w:caps/>
        <w:noProof/>
        <w:color w:val="4472C4" w:themeColor="accent1"/>
      </w:rPr>
    </w:pPr>
    <w:r>
      <w:rPr>
        <w:caps/>
        <w:color w:val="4472C4" w:themeColor="accent1"/>
      </w:rPr>
      <w:fldChar w:fldCharType="begin"/>
    </w:r>
    <w:r>
      <w:rPr>
        <w:caps/>
        <w:color w:val="4472C4" w:themeColor="accent1"/>
      </w:rPr>
      <w:instrText xml:space="preserve"> PAGE   \* MERGEFORMAT </w:instrText>
    </w:r>
    <w:r>
      <w:rPr>
        <w:caps/>
        <w:color w:val="4472C4" w:themeColor="accent1"/>
      </w:rPr>
      <w:fldChar w:fldCharType="separate"/>
    </w:r>
    <w:r w:rsidR="001D5C20">
      <w:rPr>
        <w:caps/>
        <w:noProof/>
        <w:color w:val="4472C4" w:themeColor="accent1"/>
      </w:rPr>
      <w:t>22</w:t>
    </w:r>
    <w:r>
      <w:rPr>
        <w:caps/>
        <w:noProof/>
        <w:color w:val="4472C4" w:themeColor="accent1"/>
      </w:rPr>
      <w:fldChar w:fldCharType="end"/>
    </w:r>
  </w:p>
  <w:p w14:paraId="42179B77" w14:textId="77777777" w:rsidR="0036692F" w:rsidRDefault="0036692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4A082E" w14:textId="77777777" w:rsidR="00102297" w:rsidRDefault="00102297" w:rsidP="00D55169">
      <w:pPr>
        <w:spacing w:after="0" w:line="240" w:lineRule="auto"/>
      </w:pPr>
      <w:r>
        <w:separator/>
      </w:r>
    </w:p>
  </w:footnote>
  <w:footnote w:type="continuationSeparator" w:id="0">
    <w:p w14:paraId="57B2AA98" w14:textId="77777777" w:rsidR="00102297" w:rsidRDefault="00102297" w:rsidP="00D5516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D7C82"/>
    <w:multiLevelType w:val="hybridMultilevel"/>
    <w:tmpl w:val="9F60CE54"/>
    <w:lvl w:ilvl="0" w:tplc="F208DD68">
      <w:start w:val="2"/>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040032"/>
    <w:multiLevelType w:val="hybridMultilevel"/>
    <w:tmpl w:val="860624DC"/>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9C20422"/>
    <w:multiLevelType w:val="hybridMultilevel"/>
    <w:tmpl w:val="98C0AAF0"/>
    <w:lvl w:ilvl="0" w:tplc="A51A585E">
      <w:numFmt w:val="bullet"/>
      <w:lvlText w:val=""/>
      <w:lvlJc w:val="left"/>
      <w:pPr>
        <w:ind w:left="360" w:hanging="360"/>
      </w:pPr>
      <w:rPr>
        <w:rFonts w:ascii="Wingdings" w:eastAsiaTheme="minorHAnsi" w:hAnsi="Wingdings" w:cstheme="minorBid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CB957C8"/>
    <w:multiLevelType w:val="hybridMultilevel"/>
    <w:tmpl w:val="47527C68"/>
    <w:lvl w:ilvl="0" w:tplc="EB909330">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68D5EC7"/>
    <w:multiLevelType w:val="hybridMultilevel"/>
    <w:tmpl w:val="BFFE2354"/>
    <w:lvl w:ilvl="0" w:tplc="4392B434">
      <w:numFmt w:val="bullet"/>
      <w:lvlText w:val="-"/>
      <w:lvlJc w:val="left"/>
      <w:pPr>
        <w:ind w:left="360" w:hanging="360"/>
      </w:pPr>
      <w:rPr>
        <w:rFonts w:ascii="Calibri" w:eastAsiaTheme="minorHAnsi" w:hAnsi="Calibri" w:cstheme="minorBid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24A16841"/>
    <w:multiLevelType w:val="hybridMultilevel"/>
    <w:tmpl w:val="074095C4"/>
    <w:lvl w:ilvl="0" w:tplc="BD526AA0">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87F051E"/>
    <w:multiLevelType w:val="hybridMultilevel"/>
    <w:tmpl w:val="D568AF3A"/>
    <w:lvl w:ilvl="0" w:tplc="FC468F46">
      <w:numFmt w:val="bullet"/>
      <w:lvlText w:val=""/>
      <w:lvlJc w:val="left"/>
      <w:pPr>
        <w:ind w:left="720" w:hanging="360"/>
      </w:pPr>
      <w:rPr>
        <w:rFonts w:ascii="Wingdings" w:eastAsiaTheme="minorHAnsi"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BAF3E72"/>
    <w:multiLevelType w:val="hybridMultilevel"/>
    <w:tmpl w:val="D93214A2"/>
    <w:lvl w:ilvl="0" w:tplc="0809000F">
      <w:start w:val="1"/>
      <w:numFmt w:val="decimal"/>
      <w:lvlText w:val="%1."/>
      <w:lvlJc w:val="left"/>
      <w:pPr>
        <w:ind w:left="360" w:hanging="360"/>
      </w:p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num w:numId="1">
    <w:abstractNumId w:val="6"/>
  </w:num>
  <w:num w:numId="2">
    <w:abstractNumId w:val="7"/>
    <w:lvlOverride w:ilvl="0">
      <w:startOverride w:val="1"/>
    </w:lvlOverride>
    <w:lvlOverride w:ilvl="1"/>
    <w:lvlOverride w:ilvl="2"/>
    <w:lvlOverride w:ilvl="3"/>
    <w:lvlOverride w:ilvl="4"/>
    <w:lvlOverride w:ilvl="5"/>
    <w:lvlOverride w:ilvl="6"/>
    <w:lvlOverride w:ilvl="7"/>
    <w:lvlOverride w:ilvl="8"/>
  </w:num>
  <w:num w:numId="3">
    <w:abstractNumId w:val="3"/>
  </w:num>
  <w:num w:numId="4">
    <w:abstractNumId w:val="2"/>
  </w:num>
  <w:num w:numId="5">
    <w:abstractNumId w:val="4"/>
  </w:num>
  <w:num w:numId="6">
    <w:abstractNumId w:val="1"/>
  </w:num>
  <w:num w:numId="7">
    <w:abstractNumId w:val="5"/>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6993"/>
    <w:rsid w:val="0000000B"/>
    <w:rsid w:val="0000023F"/>
    <w:rsid w:val="000008BA"/>
    <w:rsid w:val="00000BD7"/>
    <w:rsid w:val="00000E0F"/>
    <w:rsid w:val="00000FC4"/>
    <w:rsid w:val="00001D5B"/>
    <w:rsid w:val="00001DC9"/>
    <w:rsid w:val="0000220F"/>
    <w:rsid w:val="0000241B"/>
    <w:rsid w:val="00002E70"/>
    <w:rsid w:val="000033A8"/>
    <w:rsid w:val="000034D6"/>
    <w:rsid w:val="00003634"/>
    <w:rsid w:val="00003F9E"/>
    <w:rsid w:val="000041B6"/>
    <w:rsid w:val="0000433E"/>
    <w:rsid w:val="000049E9"/>
    <w:rsid w:val="00004CDD"/>
    <w:rsid w:val="00004DDC"/>
    <w:rsid w:val="00004DFB"/>
    <w:rsid w:val="0000519F"/>
    <w:rsid w:val="000054C0"/>
    <w:rsid w:val="00005602"/>
    <w:rsid w:val="0000560B"/>
    <w:rsid w:val="00005610"/>
    <w:rsid w:val="000057B7"/>
    <w:rsid w:val="00005ACD"/>
    <w:rsid w:val="00005F24"/>
    <w:rsid w:val="000061D2"/>
    <w:rsid w:val="000063F6"/>
    <w:rsid w:val="0000651C"/>
    <w:rsid w:val="000067F6"/>
    <w:rsid w:val="0000697C"/>
    <w:rsid w:val="00006CAA"/>
    <w:rsid w:val="000071AC"/>
    <w:rsid w:val="000071E7"/>
    <w:rsid w:val="00007CA3"/>
    <w:rsid w:val="00007D25"/>
    <w:rsid w:val="0001014F"/>
    <w:rsid w:val="000102C1"/>
    <w:rsid w:val="0001131E"/>
    <w:rsid w:val="00011429"/>
    <w:rsid w:val="00011D8F"/>
    <w:rsid w:val="00012120"/>
    <w:rsid w:val="000124E6"/>
    <w:rsid w:val="00012558"/>
    <w:rsid w:val="000127F7"/>
    <w:rsid w:val="000128EB"/>
    <w:rsid w:val="0001299C"/>
    <w:rsid w:val="00012D93"/>
    <w:rsid w:val="00012F0B"/>
    <w:rsid w:val="00013D4D"/>
    <w:rsid w:val="00013D85"/>
    <w:rsid w:val="00014055"/>
    <w:rsid w:val="000140F6"/>
    <w:rsid w:val="0001446E"/>
    <w:rsid w:val="00014875"/>
    <w:rsid w:val="00014B2B"/>
    <w:rsid w:val="0001514F"/>
    <w:rsid w:val="0001521D"/>
    <w:rsid w:val="00015332"/>
    <w:rsid w:val="000154B0"/>
    <w:rsid w:val="000156F5"/>
    <w:rsid w:val="000156F9"/>
    <w:rsid w:val="000157CD"/>
    <w:rsid w:val="00015984"/>
    <w:rsid w:val="00015B04"/>
    <w:rsid w:val="00015C5B"/>
    <w:rsid w:val="00015F2C"/>
    <w:rsid w:val="00015F94"/>
    <w:rsid w:val="0001609B"/>
    <w:rsid w:val="000165E0"/>
    <w:rsid w:val="00016F38"/>
    <w:rsid w:val="00017122"/>
    <w:rsid w:val="0001738E"/>
    <w:rsid w:val="00017415"/>
    <w:rsid w:val="00020292"/>
    <w:rsid w:val="0002056E"/>
    <w:rsid w:val="000207AE"/>
    <w:rsid w:val="00020B44"/>
    <w:rsid w:val="000223AF"/>
    <w:rsid w:val="00022A4D"/>
    <w:rsid w:val="00022EAF"/>
    <w:rsid w:val="0002387F"/>
    <w:rsid w:val="000238D5"/>
    <w:rsid w:val="000239EA"/>
    <w:rsid w:val="00023BA8"/>
    <w:rsid w:val="00023DF0"/>
    <w:rsid w:val="00024092"/>
    <w:rsid w:val="0002441C"/>
    <w:rsid w:val="00024B5F"/>
    <w:rsid w:val="00024C0F"/>
    <w:rsid w:val="00024C41"/>
    <w:rsid w:val="00025705"/>
    <w:rsid w:val="00025D33"/>
    <w:rsid w:val="000262A6"/>
    <w:rsid w:val="0002648F"/>
    <w:rsid w:val="000264B3"/>
    <w:rsid w:val="0002653E"/>
    <w:rsid w:val="00026A60"/>
    <w:rsid w:val="00026BEA"/>
    <w:rsid w:val="00026CB0"/>
    <w:rsid w:val="00026D12"/>
    <w:rsid w:val="00027076"/>
    <w:rsid w:val="0002750D"/>
    <w:rsid w:val="0002752C"/>
    <w:rsid w:val="00027A9C"/>
    <w:rsid w:val="0003027C"/>
    <w:rsid w:val="00030F56"/>
    <w:rsid w:val="0003102C"/>
    <w:rsid w:val="000313F8"/>
    <w:rsid w:val="000317EE"/>
    <w:rsid w:val="00031987"/>
    <w:rsid w:val="00031FFA"/>
    <w:rsid w:val="000320B1"/>
    <w:rsid w:val="0003244F"/>
    <w:rsid w:val="000325A6"/>
    <w:rsid w:val="00032C99"/>
    <w:rsid w:val="00032E44"/>
    <w:rsid w:val="00033293"/>
    <w:rsid w:val="000334DD"/>
    <w:rsid w:val="00033B8B"/>
    <w:rsid w:val="00033C5B"/>
    <w:rsid w:val="0003421C"/>
    <w:rsid w:val="000348E0"/>
    <w:rsid w:val="00034A12"/>
    <w:rsid w:val="00034D2A"/>
    <w:rsid w:val="000357F2"/>
    <w:rsid w:val="000359DB"/>
    <w:rsid w:val="00035DE8"/>
    <w:rsid w:val="0003617D"/>
    <w:rsid w:val="00036242"/>
    <w:rsid w:val="0003646E"/>
    <w:rsid w:val="00036475"/>
    <w:rsid w:val="00036E6C"/>
    <w:rsid w:val="00036FE7"/>
    <w:rsid w:val="00037046"/>
    <w:rsid w:val="00037129"/>
    <w:rsid w:val="00037247"/>
    <w:rsid w:val="000374C4"/>
    <w:rsid w:val="0003768E"/>
    <w:rsid w:val="00037A62"/>
    <w:rsid w:val="00037EA5"/>
    <w:rsid w:val="00040584"/>
    <w:rsid w:val="00040723"/>
    <w:rsid w:val="00040DB0"/>
    <w:rsid w:val="00041440"/>
    <w:rsid w:val="00041592"/>
    <w:rsid w:val="000417F6"/>
    <w:rsid w:val="00041E32"/>
    <w:rsid w:val="00042224"/>
    <w:rsid w:val="000422AB"/>
    <w:rsid w:val="0004232C"/>
    <w:rsid w:val="00042B00"/>
    <w:rsid w:val="000431DF"/>
    <w:rsid w:val="00043313"/>
    <w:rsid w:val="0004348A"/>
    <w:rsid w:val="00043ABB"/>
    <w:rsid w:val="00043CAD"/>
    <w:rsid w:val="00043CC0"/>
    <w:rsid w:val="00043F0C"/>
    <w:rsid w:val="00044148"/>
    <w:rsid w:val="000445D5"/>
    <w:rsid w:val="00044A03"/>
    <w:rsid w:val="000450F9"/>
    <w:rsid w:val="000457BF"/>
    <w:rsid w:val="00045D45"/>
    <w:rsid w:val="00045DD8"/>
    <w:rsid w:val="00046438"/>
    <w:rsid w:val="00046E4F"/>
    <w:rsid w:val="0004747C"/>
    <w:rsid w:val="0004790C"/>
    <w:rsid w:val="00047C70"/>
    <w:rsid w:val="000502EA"/>
    <w:rsid w:val="000502F4"/>
    <w:rsid w:val="00050371"/>
    <w:rsid w:val="000505DB"/>
    <w:rsid w:val="0005060C"/>
    <w:rsid w:val="00050614"/>
    <w:rsid w:val="00050CDF"/>
    <w:rsid w:val="0005111D"/>
    <w:rsid w:val="00051129"/>
    <w:rsid w:val="0005119F"/>
    <w:rsid w:val="00051237"/>
    <w:rsid w:val="0005184D"/>
    <w:rsid w:val="00051A3D"/>
    <w:rsid w:val="00051EC5"/>
    <w:rsid w:val="000520D3"/>
    <w:rsid w:val="000521B6"/>
    <w:rsid w:val="000524C4"/>
    <w:rsid w:val="00052BA7"/>
    <w:rsid w:val="00052DD9"/>
    <w:rsid w:val="00052E4D"/>
    <w:rsid w:val="0005343D"/>
    <w:rsid w:val="00053697"/>
    <w:rsid w:val="00053837"/>
    <w:rsid w:val="00053E98"/>
    <w:rsid w:val="00054018"/>
    <w:rsid w:val="0005457F"/>
    <w:rsid w:val="0005478F"/>
    <w:rsid w:val="000547C6"/>
    <w:rsid w:val="00054E77"/>
    <w:rsid w:val="00055046"/>
    <w:rsid w:val="00055B5C"/>
    <w:rsid w:val="00055BED"/>
    <w:rsid w:val="00055C62"/>
    <w:rsid w:val="0005609C"/>
    <w:rsid w:val="00056888"/>
    <w:rsid w:val="00057847"/>
    <w:rsid w:val="00057A58"/>
    <w:rsid w:val="00057D4E"/>
    <w:rsid w:val="00057F11"/>
    <w:rsid w:val="0006046E"/>
    <w:rsid w:val="000605FE"/>
    <w:rsid w:val="00060C72"/>
    <w:rsid w:val="00061518"/>
    <w:rsid w:val="00061C5D"/>
    <w:rsid w:val="00061E01"/>
    <w:rsid w:val="00062485"/>
    <w:rsid w:val="000624DF"/>
    <w:rsid w:val="0006296B"/>
    <w:rsid w:val="00062A72"/>
    <w:rsid w:val="000635D0"/>
    <w:rsid w:val="0006393E"/>
    <w:rsid w:val="00063A4F"/>
    <w:rsid w:val="00063FEE"/>
    <w:rsid w:val="0006404C"/>
    <w:rsid w:val="000644F7"/>
    <w:rsid w:val="000645C7"/>
    <w:rsid w:val="000648EA"/>
    <w:rsid w:val="00064E3A"/>
    <w:rsid w:val="00064EED"/>
    <w:rsid w:val="0006580A"/>
    <w:rsid w:val="00065C84"/>
    <w:rsid w:val="00065E11"/>
    <w:rsid w:val="00065FF7"/>
    <w:rsid w:val="00066123"/>
    <w:rsid w:val="00066170"/>
    <w:rsid w:val="000663C5"/>
    <w:rsid w:val="00066404"/>
    <w:rsid w:val="00066696"/>
    <w:rsid w:val="00066832"/>
    <w:rsid w:val="0006696D"/>
    <w:rsid w:val="000669C4"/>
    <w:rsid w:val="00066BB4"/>
    <w:rsid w:val="00066C91"/>
    <w:rsid w:val="00066D3F"/>
    <w:rsid w:val="0006751D"/>
    <w:rsid w:val="00067528"/>
    <w:rsid w:val="000675A3"/>
    <w:rsid w:val="00067A55"/>
    <w:rsid w:val="00067BE3"/>
    <w:rsid w:val="0007056F"/>
    <w:rsid w:val="00070794"/>
    <w:rsid w:val="000707CB"/>
    <w:rsid w:val="000707F4"/>
    <w:rsid w:val="00070A95"/>
    <w:rsid w:val="00070B9B"/>
    <w:rsid w:val="00071151"/>
    <w:rsid w:val="00071681"/>
    <w:rsid w:val="0007187E"/>
    <w:rsid w:val="00071C43"/>
    <w:rsid w:val="00072732"/>
    <w:rsid w:val="0007277E"/>
    <w:rsid w:val="0007294C"/>
    <w:rsid w:val="00072A39"/>
    <w:rsid w:val="0007349E"/>
    <w:rsid w:val="0007407B"/>
    <w:rsid w:val="00074623"/>
    <w:rsid w:val="0007474B"/>
    <w:rsid w:val="000749CF"/>
    <w:rsid w:val="00074A13"/>
    <w:rsid w:val="00074E7C"/>
    <w:rsid w:val="000750E1"/>
    <w:rsid w:val="000753D7"/>
    <w:rsid w:val="000754C6"/>
    <w:rsid w:val="0007568C"/>
    <w:rsid w:val="00075AED"/>
    <w:rsid w:val="00075C09"/>
    <w:rsid w:val="00075ED9"/>
    <w:rsid w:val="0007689B"/>
    <w:rsid w:val="00076D08"/>
    <w:rsid w:val="000771DF"/>
    <w:rsid w:val="000774D2"/>
    <w:rsid w:val="000776D9"/>
    <w:rsid w:val="000777F8"/>
    <w:rsid w:val="00077C05"/>
    <w:rsid w:val="00077D84"/>
    <w:rsid w:val="00080337"/>
    <w:rsid w:val="000805FA"/>
    <w:rsid w:val="000809B5"/>
    <w:rsid w:val="00080C34"/>
    <w:rsid w:val="00080E38"/>
    <w:rsid w:val="00080E92"/>
    <w:rsid w:val="0008116F"/>
    <w:rsid w:val="00081297"/>
    <w:rsid w:val="0008151C"/>
    <w:rsid w:val="000818E3"/>
    <w:rsid w:val="00081966"/>
    <w:rsid w:val="00081CED"/>
    <w:rsid w:val="00081D39"/>
    <w:rsid w:val="00081E46"/>
    <w:rsid w:val="00081E72"/>
    <w:rsid w:val="0008211D"/>
    <w:rsid w:val="000832F2"/>
    <w:rsid w:val="00083467"/>
    <w:rsid w:val="00083AC5"/>
    <w:rsid w:val="00083C5B"/>
    <w:rsid w:val="00083F98"/>
    <w:rsid w:val="000840AC"/>
    <w:rsid w:val="0008487C"/>
    <w:rsid w:val="00084A71"/>
    <w:rsid w:val="00084E7B"/>
    <w:rsid w:val="00084F37"/>
    <w:rsid w:val="000853F2"/>
    <w:rsid w:val="000854B0"/>
    <w:rsid w:val="000861E0"/>
    <w:rsid w:val="000867FC"/>
    <w:rsid w:val="00086DED"/>
    <w:rsid w:val="00086E64"/>
    <w:rsid w:val="00086F86"/>
    <w:rsid w:val="00087868"/>
    <w:rsid w:val="000878AA"/>
    <w:rsid w:val="0008793E"/>
    <w:rsid w:val="00087DEB"/>
    <w:rsid w:val="00087E07"/>
    <w:rsid w:val="00087E67"/>
    <w:rsid w:val="00087E8B"/>
    <w:rsid w:val="00087F2C"/>
    <w:rsid w:val="0009097A"/>
    <w:rsid w:val="000909AB"/>
    <w:rsid w:val="00090B25"/>
    <w:rsid w:val="00090E29"/>
    <w:rsid w:val="00091163"/>
    <w:rsid w:val="0009194F"/>
    <w:rsid w:val="00091C09"/>
    <w:rsid w:val="0009241B"/>
    <w:rsid w:val="00093632"/>
    <w:rsid w:val="00093D21"/>
    <w:rsid w:val="000945F0"/>
    <w:rsid w:val="00094BEC"/>
    <w:rsid w:val="00094F1C"/>
    <w:rsid w:val="000950CE"/>
    <w:rsid w:val="000954E3"/>
    <w:rsid w:val="0009555E"/>
    <w:rsid w:val="000957F7"/>
    <w:rsid w:val="00095D60"/>
    <w:rsid w:val="000964FC"/>
    <w:rsid w:val="00096631"/>
    <w:rsid w:val="0009677D"/>
    <w:rsid w:val="000967CF"/>
    <w:rsid w:val="0009684D"/>
    <w:rsid w:val="0009693D"/>
    <w:rsid w:val="0009745B"/>
    <w:rsid w:val="000979DD"/>
    <w:rsid w:val="00097BE6"/>
    <w:rsid w:val="00097C28"/>
    <w:rsid w:val="00097CA1"/>
    <w:rsid w:val="00097D30"/>
    <w:rsid w:val="00097D3B"/>
    <w:rsid w:val="00097F49"/>
    <w:rsid w:val="000A0242"/>
    <w:rsid w:val="000A05A7"/>
    <w:rsid w:val="000A0BA9"/>
    <w:rsid w:val="000A137D"/>
    <w:rsid w:val="000A173D"/>
    <w:rsid w:val="000A1803"/>
    <w:rsid w:val="000A247A"/>
    <w:rsid w:val="000A26F2"/>
    <w:rsid w:val="000A2A0F"/>
    <w:rsid w:val="000A2B33"/>
    <w:rsid w:val="000A2D67"/>
    <w:rsid w:val="000A2F1B"/>
    <w:rsid w:val="000A2F38"/>
    <w:rsid w:val="000A341B"/>
    <w:rsid w:val="000A372D"/>
    <w:rsid w:val="000A3D19"/>
    <w:rsid w:val="000A3E19"/>
    <w:rsid w:val="000A3F11"/>
    <w:rsid w:val="000A3F2A"/>
    <w:rsid w:val="000A3FDE"/>
    <w:rsid w:val="000A4217"/>
    <w:rsid w:val="000A438C"/>
    <w:rsid w:val="000A45CE"/>
    <w:rsid w:val="000A4A8E"/>
    <w:rsid w:val="000A54C4"/>
    <w:rsid w:val="000A5544"/>
    <w:rsid w:val="000A5569"/>
    <w:rsid w:val="000A5643"/>
    <w:rsid w:val="000A574E"/>
    <w:rsid w:val="000A5AFF"/>
    <w:rsid w:val="000A5EA2"/>
    <w:rsid w:val="000A662D"/>
    <w:rsid w:val="000A67C4"/>
    <w:rsid w:val="000A6EDF"/>
    <w:rsid w:val="000A75C0"/>
    <w:rsid w:val="000B010B"/>
    <w:rsid w:val="000B0131"/>
    <w:rsid w:val="000B0356"/>
    <w:rsid w:val="000B044E"/>
    <w:rsid w:val="000B051E"/>
    <w:rsid w:val="000B06C3"/>
    <w:rsid w:val="000B0958"/>
    <w:rsid w:val="000B16C5"/>
    <w:rsid w:val="000B1CFF"/>
    <w:rsid w:val="000B266A"/>
    <w:rsid w:val="000B2A7B"/>
    <w:rsid w:val="000B2CCE"/>
    <w:rsid w:val="000B348D"/>
    <w:rsid w:val="000B3625"/>
    <w:rsid w:val="000B3C9F"/>
    <w:rsid w:val="000B4001"/>
    <w:rsid w:val="000B43CC"/>
    <w:rsid w:val="000B4551"/>
    <w:rsid w:val="000B4900"/>
    <w:rsid w:val="000B4B53"/>
    <w:rsid w:val="000B4BD1"/>
    <w:rsid w:val="000B51C5"/>
    <w:rsid w:val="000B5314"/>
    <w:rsid w:val="000B5874"/>
    <w:rsid w:val="000B58D9"/>
    <w:rsid w:val="000B5CB9"/>
    <w:rsid w:val="000B5EAA"/>
    <w:rsid w:val="000B60FE"/>
    <w:rsid w:val="000B6839"/>
    <w:rsid w:val="000B6AA3"/>
    <w:rsid w:val="000B7126"/>
    <w:rsid w:val="000B769E"/>
    <w:rsid w:val="000B7734"/>
    <w:rsid w:val="000B774A"/>
    <w:rsid w:val="000B7933"/>
    <w:rsid w:val="000B79DC"/>
    <w:rsid w:val="000B7D93"/>
    <w:rsid w:val="000B7DB7"/>
    <w:rsid w:val="000B7FE5"/>
    <w:rsid w:val="000C04FE"/>
    <w:rsid w:val="000C06AE"/>
    <w:rsid w:val="000C0729"/>
    <w:rsid w:val="000C0B6C"/>
    <w:rsid w:val="000C0F69"/>
    <w:rsid w:val="000C191A"/>
    <w:rsid w:val="000C1E7F"/>
    <w:rsid w:val="000C233A"/>
    <w:rsid w:val="000C3070"/>
    <w:rsid w:val="000C31C9"/>
    <w:rsid w:val="000C3203"/>
    <w:rsid w:val="000C379C"/>
    <w:rsid w:val="000C3911"/>
    <w:rsid w:val="000C3947"/>
    <w:rsid w:val="000C3F59"/>
    <w:rsid w:val="000C4547"/>
    <w:rsid w:val="000C4D58"/>
    <w:rsid w:val="000C518E"/>
    <w:rsid w:val="000C530E"/>
    <w:rsid w:val="000C54EB"/>
    <w:rsid w:val="000C58D7"/>
    <w:rsid w:val="000C5A7B"/>
    <w:rsid w:val="000C5CB7"/>
    <w:rsid w:val="000C5CB9"/>
    <w:rsid w:val="000C5F4D"/>
    <w:rsid w:val="000C5F77"/>
    <w:rsid w:val="000C61F8"/>
    <w:rsid w:val="000C698F"/>
    <w:rsid w:val="000C6B9D"/>
    <w:rsid w:val="000C6BBA"/>
    <w:rsid w:val="000C6BFA"/>
    <w:rsid w:val="000C6D5A"/>
    <w:rsid w:val="000C6E5E"/>
    <w:rsid w:val="000C70E8"/>
    <w:rsid w:val="000C766F"/>
    <w:rsid w:val="000C77B9"/>
    <w:rsid w:val="000D0702"/>
    <w:rsid w:val="000D0CCA"/>
    <w:rsid w:val="000D0DC8"/>
    <w:rsid w:val="000D0DFB"/>
    <w:rsid w:val="000D1082"/>
    <w:rsid w:val="000D10A9"/>
    <w:rsid w:val="000D1167"/>
    <w:rsid w:val="000D1222"/>
    <w:rsid w:val="000D1A74"/>
    <w:rsid w:val="000D1FF9"/>
    <w:rsid w:val="000D2165"/>
    <w:rsid w:val="000D2601"/>
    <w:rsid w:val="000D2719"/>
    <w:rsid w:val="000D2991"/>
    <w:rsid w:val="000D2BBF"/>
    <w:rsid w:val="000D2CBC"/>
    <w:rsid w:val="000D33F9"/>
    <w:rsid w:val="000D381F"/>
    <w:rsid w:val="000D39AA"/>
    <w:rsid w:val="000D3B36"/>
    <w:rsid w:val="000D3EA5"/>
    <w:rsid w:val="000D402D"/>
    <w:rsid w:val="000D509D"/>
    <w:rsid w:val="000D50F0"/>
    <w:rsid w:val="000D5110"/>
    <w:rsid w:val="000D51E0"/>
    <w:rsid w:val="000D5624"/>
    <w:rsid w:val="000D572A"/>
    <w:rsid w:val="000D5D96"/>
    <w:rsid w:val="000D5EC9"/>
    <w:rsid w:val="000D5F1E"/>
    <w:rsid w:val="000D6075"/>
    <w:rsid w:val="000D6143"/>
    <w:rsid w:val="000D62C7"/>
    <w:rsid w:val="000D6550"/>
    <w:rsid w:val="000D6DD9"/>
    <w:rsid w:val="000D76A4"/>
    <w:rsid w:val="000E07C4"/>
    <w:rsid w:val="000E0C5B"/>
    <w:rsid w:val="000E0D6C"/>
    <w:rsid w:val="000E0FFD"/>
    <w:rsid w:val="000E11D4"/>
    <w:rsid w:val="000E1917"/>
    <w:rsid w:val="000E19D7"/>
    <w:rsid w:val="000E1EC8"/>
    <w:rsid w:val="000E224F"/>
    <w:rsid w:val="000E2ED1"/>
    <w:rsid w:val="000E2F36"/>
    <w:rsid w:val="000E3033"/>
    <w:rsid w:val="000E3168"/>
    <w:rsid w:val="000E32A3"/>
    <w:rsid w:val="000E3639"/>
    <w:rsid w:val="000E3B81"/>
    <w:rsid w:val="000E3F72"/>
    <w:rsid w:val="000E4940"/>
    <w:rsid w:val="000E52F6"/>
    <w:rsid w:val="000E57F4"/>
    <w:rsid w:val="000E66CF"/>
    <w:rsid w:val="000E69DE"/>
    <w:rsid w:val="000E708F"/>
    <w:rsid w:val="000E71A7"/>
    <w:rsid w:val="000E77A1"/>
    <w:rsid w:val="000E7930"/>
    <w:rsid w:val="000E7A52"/>
    <w:rsid w:val="000E7D56"/>
    <w:rsid w:val="000E7E62"/>
    <w:rsid w:val="000F00CF"/>
    <w:rsid w:val="000F0191"/>
    <w:rsid w:val="000F06EA"/>
    <w:rsid w:val="000F0E0B"/>
    <w:rsid w:val="000F0F48"/>
    <w:rsid w:val="000F11EF"/>
    <w:rsid w:val="000F1AAC"/>
    <w:rsid w:val="000F1BC8"/>
    <w:rsid w:val="000F1C66"/>
    <w:rsid w:val="000F1C99"/>
    <w:rsid w:val="000F1DE6"/>
    <w:rsid w:val="000F1E37"/>
    <w:rsid w:val="000F24B5"/>
    <w:rsid w:val="000F24E3"/>
    <w:rsid w:val="000F28E8"/>
    <w:rsid w:val="000F2A81"/>
    <w:rsid w:val="000F2FAD"/>
    <w:rsid w:val="000F3919"/>
    <w:rsid w:val="000F39F1"/>
    <w:rsid w:val="000F4184"/>
    <w:rsid w:val="000F42CC"/>
    <w:rsid w:val="000F431E"/>
    <w:rsid w:val="000F4721"/>
    <w:rsid w:val="000F488C"/>
    <w:rsid w:val="000F4C5B"/>
    <w:rsid w:val="000F50F3"/>
    <w:rsid w:val="000F543D"/>
    <w:rsid w:val="000F60FD"/>
    <w:rsid w:val="000F6199"/>
    <w:rsid w:val="000F65F9"/>
    <w:rsid w:val="000F669F"/>
    <w:rsid w:val="000F66F4"/>
    <w:rsid w:val="000F751A"/>
    <w:rsid w:val="000F7632"/>
    <w:rsid w:val="000F7766"/>
    <w:rsid w:val="00100542"/>
    <w:rsid w:val="00100768"/>
    <w:rsid w:val="001008C8"/>
    <w:rsid w:val="001008D2"/>
    <w:rsid w:val="00100FD8"/>
    <w:rsid w:val="001019FA"/>
    <w:rsid w:val="00101DE7"/>
    <w:rsid w:val="00102297"/>
    <w:rsid w:val="0010283B"/>
    <w:rsid w:val="00102846"/>
    <w:rsid w:val="00102D9D"/>
    <w:rsid w:val="001031FB"/>
    <w:rsid w:val="001032F0"/>
    <w:rsid w:val="00103733"/>
    <w:rsid w:val="00103969"/>
    <w:rsid w:val="00103BD4"/>
    <w:rsid w:val="001043E9"/>
    <w:rsid w:val="00104C66"/>
    <w:rsid w:val="00104D1E"/>
    <w:rsid w:val="00105181"/>
    <w:rsid w:val="00105750"/>
    <w:rsid w:val="00105AC3"/>
    <w:rsid w:val="00105B23"/>
    <w:rsid w:val="00105B30"/>
    <w:rsid w:val="00105C6A"/>
    <w:rsid w:val="00105CCE"/>
    <w:rsid w:val="00106093"/>
    <w:rsid w:val="00106274"/>
    <w:rsid w:val="00106428"/>
    <w:rsid w:val="0010645D"/>
    <w:rsid w:val="00106A89"/>
    <w:rsid w:val="00106B89"/>
    <w:rsid w:val="001070CD"/>
    <w:rsid w:val="001076A7"/>
    <w:rsid w:val="001076CA"/>
    <w:rsid w:val="00107A34"/>
    <w:rsid w:val="00107D2D"/>
    <w:rsid w:val="001102D8"/>
    <w:rsid w:val="00110786"/>
    <w:rsid w:val="00110DE2"/>
    <w:rsid w:val="00110F8D"/>
    <w:rsid w:val="001114BC"/>
    <w:rsid w:val="00111A48"/>
    <w:rsid w:val="001129D2"/>
    <w:rsid w:val="00112D56"/>
    <w:rsid w:val="00112E3E"/>
    <w:rsid w:val="0011329D"/>
    <w:rsid w:val="00113688"/>
    <w:rsid w:val="001139A7"/>
    <w:rsid w:val="00113A74"/>
    <w:rsid w:val="00113E2B"/>
    <w:rsid w:val="001140A7"/>
    <w:rsid w:val="00114338"/>
    <w:rsid w:val="00114641"/>
    <w:rsid w:val="001149A0"/>
    <w:rsid w:val="00114A92"/>
    <w:rsid w:val="00114AF2"/>
    <w:rsid w:val="00114CA9"/>
    <w:rsid w:val="00114DF1"/>
    <w:rsid w:val="00115016"/>
    <w:rsid w:val="00115661"/>
    <w:rsid w:val="001156A7"/>
    <w:rsid w:val="001156F3"/>
    <w:rsid w:val="00115A3F"/>
    <w:rsid w:val="00115AB1"/>
    <w:rsid w:val="00115BB9"/>
    <w:rsid w:val="00115E44"/>
    <w:rsid w:val="00115E69"/>
    <w:rsid w:val="00115EC3"/>
    <w:rsid w:val="00116B0D"/>
    <w:rsid w:val="00116DE9"/>
    <w:rsid w:val="00117D1A"/>
    <w:rsid w:val="00117FCA"/>
    <w:rsid w:val="00117FD0"/>
    <w:rsid w:val="0012004C"/>
    <w:rsid w:val="001200D0"/>
    <w:rsid w:val="0012081E"/>
    <w:rsid w:val="00120897"/>
    <w:rsid w:val="001209D6"/>
    <w:rsid w:val="00120A44"/>
    <w:rsid w:val="0012110E"/>
    <w:rsid w:val="001218BA"/>
    <w:rsid w:val="00121C2D"/>
    <w:rsid w:val="00121F2E"/>
    <w:rsid w:val="00121FCB"/>
    <w:rsid w:val="00122146"/>
    <w:rsid w:val="001222C2"/>
    <w:rsid w:val="001223D5"/>
    <w:rsid w:val="00122774"/>
    <w:rsid w:val="001228E0"/>
    <w:rsid w:val="00122C28"/>
    <w:rsid w:val="00122C71"/>
    <w:rsid w:val="00122ED6"/>
    <w:rsid w:val="0012350F"/>
    <w:rsid w:val="0012358B"/>
    <w:rsid w:val="00123C5F"/>
    <w:rsid w:val="0012453A"/>
    <w:rsid w:val="001246A8"/>
    <w:rsid w:val="00124C0A"/>
    <w:rsid w:val="00124D17"/>
    <w:rsid w:val="001250E2"/>
    <w:rsid w:val="00125623"/>
    <w:rsid w:val="00126052"/>
    <w:rsid w:val="0012629D"/>
    <w:rsid w:val="001263D4"/>
    <w:rsid w:val="0012659D"/>
    <w:rsid w:val="00126A6D"/>
    <w:rsid w:val="00126B54"/>
    <w:rsid w:val="00126E62"/>
    <w:rsid w:val="001274E9"/>
    <w:rsid w:val="001275A4"/>
    <w:rsid w:val="001275E0"/>
    <w:rsid w:val="0012779A"/>
    <w:rsid w:val="00127BCA"/>
    <w:rsid w:val="001301FD"/>
    <w:rsid w:val="00130D1E"/>
    <w:rsid w:val="001311BB"/>
    <w:rsid w:val="00131753"/>
    <w:rsid w:val="001319E9"/>
    <w:rsid w:val="00131E83"/>
    <w:rsid w:val="00131FCE"/>
    <w:rsid w:val="001322A9"/>
    <w:rsid w:val="0013269B"/>
    <w:rsid w:val="001326A6"/>
    <w:rsid w:val="00132AB2"/>
    <w:rsid w:val="00132DB3"/>
    <w:rsid w:val="00132EB8"/>
    <w:rsid w:val="001330E0"/>
    <w:rsid w:val="00133295"/>
    <w:rsid w:val="00133416"/>
    <w:rsid w:val="001334E9"/>
    <w:rsid w:val="00133BF8"/>
    <w:rsid w:val="00133C8A"/>
    <w:rsid w:val="00133F4C"/>
    <w:rsid w:val="001340DA"/>
    <w:rsid w:val="0013446D"/>
    <w:rsid w:val="00134561"/>
    <w:rsid w:val="001347C3"/>
    <w:rsid w:val="00134C48"/>
    <w:rsid w:val="00134FC8"/>
    <w:rsid w:val="001352F6"/>
    <w:rsid w:val="001357E6"/>
    <w:rsid w:val="00135CE0"/>
    <w:rsid w:val="00135D09"/>
    <w:rsid w:val="00136143"/>
    <w:rsid w:val="001361E0"/>
    <w:rsid w:val="00136313"/>
    <w:rsid w:val="0013645D"/>
    <w:rsid w:val="0013647A"/>
    <w:rsid w:val="0013659C"/>
    <w:rsid w:val="00136843"/>
    <w:rsid w:val="00137164"/>
    <w:rsid w:val="001375B8"/>
    <w:rsid w:val="00137932"/>
    <w:rsid w:val="00137E4B"/>
    <w:rsid w:val="00140A31"/>
    <w:rsid w:val="00140D54"/>
    <w:rsid w:val="00140F2A"/>
    <w:rsid w:val="00140F6C"/>
    <w:rsid w:val="0014102F"/>
    <w:rsid w:val="00141607"/>
    <w:rsid w:val="00141699"/>
    <w:rsid w:val="00141868"/>
    <w:rsid w:val="0014189B"/>
    <w:rsid w:val="00141E6D"/>
    <w:rsid w:val="00141E9C"/>
    <w:rsid w:val="00142198"/>
    <w:rsid w:val="001428B0"/>
    <w:rsid w:val="00142DF2"/>
    <w:rsid w:val="00142F51"/>
    <w:rsid w:val="00143176"/>
    <w:rsid w:val="00143220"/>
    <w:rsid w:val="00143412"/>
    <w:rsid w:val="00143A18"/>
    <w:rsid w:val="00143B7D"/>
    <w:rsid w:val="00143BEC"/>
    <w:rsid w:val="001441CA"/>
    <w:rsid w:val="001444F8"/>
    <w:rsid w:val="001449DA"/>
    <w:rsid w:val="00145190"/>
    <w:rsid w:val="00145206"/>
    <w:rsid w:val="00145551"/>
    <w:rsid w:val="0014572C"/>
    <w:rsid w:val="00145F0B"/>
    <w:rsid w:val="001461A4"/>
    <w:rsid w:val="001462AA"/>
    <w:rsid w:val="001465F4"/>
    <w:rsid w:val="00146982"/>
    <w:rsid w:val="00146D4B"/>
    <w:rsid w:val="00146EEF"/>
    <w:rsid w:val="00146F33"/>
    <w:rsid w:val="001471E0"/>
    <w:rsid w:val="001472FF"/>
    <w:rsid w:val="001473C8"/>
    <w:rsid w:val="0014789A"/>
    <w:rsid w:val="001478A6"/>
    <w:rsid w:val="00147A00"/>
    <w:rsid w:val="00147B77"/>
    <w:rsid w:val="00147D12"/>
    <w:rsid w:val="00147E6D"/>
    <w:rsid w:val="0015016A"/>
    <w:rsid w:val="00150433"/>
    <w:rsid w:val="0015048A"/>
    <w:rsid w:val="00150D13"/>
    <w:rsid w:val="00151092"/>
    <w:rsid w:val="00151093"/>
    <w:rsid w:val="0015146B"/>
    <w:rsid w:val="001514F6"/>
    <w:rsid w:val="001519EF"/>
    <w:rsid w:val="00151DC0"/>
    <w:rsid w:val="0015244B"/>
    <w:rsid w:val="0015261D"/>
    <w:rsid w:val="001526AA"/>
    <w:rsid w:val="0015285F"/>
    <w:rsid w:val="001530AF"/>
    <w:rsid w:val="00154018"/>
    <w:rsid w:val="00154025"/>
    <w:rsid w:val="00154137"/>
    <w:rsid w:val="00154299"/>
    <w:rsid w:val="00154740"/>
    <w:rsid w:val="00154A4A"/>
    <w:rsid w:val="00155263"/>
    <w:rsid w:val="001553B5"/>
    <w:rsid w:val="00155426"/>
    <w:rsid w:val="001555BE"/>
    <w:rsid w:val="0015572C"/>
    <w:rsid w:val="00156685"/>
    <w:rsid w:val="0015697A"/>
    <w:rsid w:val="001570AD"/>
    <w:rsid w:val="00157154"/>
    <w:rsid w:val="001575CD"/>
    <w:rsid w:val="00157601"/>
    <w:rsid w:val="00157D7A"/>
    <w:rsid w:val="00157E06"/>
    <w:rsid w:val="00160106"/>
    <w:rsid w:val="0016014E"/>
    <w:rsid w:val="00160206"/>
    <w:rsid w:val="0016057C"/>
    <w:rsid w:val="001608A4"/>
    <w:rsid w:val="001608AD"/>
    <w:rsid w:val="00160951"/>
    <w:rsid w:val="001609B1"/>
    <w:rsid w:val="00160C08"/>
    <w:rsid w:val="00160C86"/>
    <w:rsid w:val="00160CCA"/>
    <w:rsid w:val="00160D25"/>
    <w:rsid w:val="00160D28"/>
    <w:rsid w:val="00160F4E"/>
    <w:rsid w:val="00161420"/>
    <w:rsid w:val="001614F4"/>
    <w:rsid w:val="00161689"/>
    <w:rsid w:val="00161847"/>
    <w:rsid w:val="00161C42"/>
    <w:rsid w:val="00162502"/>
    <w:rsid w:val="0016294F"/>
    <w:rsid w:val="00162D5C"/>
    <w:rsid w:val="001632DF"/>
    <w:rsid w:val="0016354A"/>
    <w:rsid w:val="00163603"/>
    <w:rsid w:val="00163DA7"/>
    <w:rsid w:val="00163F65"/>
    <w:rsid w:val="00163FDD"/>
    <w:rsid w:val="0016407F"/>
    <w:rsid w:val="00164A78"/>
    <w:rsid w:val="00164AD9"/>
    <w:rsid w:val="00164EFF"/>
    <w:rsid w:val="0016508E"/>
    <w:rsid w:val="001654E3"/>
    <w:rsid w:val="00165882"/>
    <w:rsid w:val="00165DD2"/>
    <w:rsid w:val="0016634A"/>
    <w:rsid w:val="0016648B"/>
    <w:rsid w:val="001667CF"/>
    <w:rsid w:val="00166DFA"/>
    <w:rsid w:val="00166F9D"/>
    <w:rsid w:val="00167153"/>
    <w:rsid w:val="00167447"/>
    <w:rsid w:val="00167475"/>
    <w:rsid w:val="001675D9"/>
    <w:rsid w:val="001679DF"/>
    <w:rsid w:val="00167B85"/>
    <w:rsid w:val="00170196"/>
    <w:rsid w:val="00170571"/>
    <w:rsid w:val="0017065F"/>
    <w:rsid w:val="0017083A"/>
    <w:rsid w:val="00170F27"/>
    <w:rsid w:val="00171107"/>
    <w:rsid w:val="00171532"/>
    <w:rsid w:val="00172262"/>
    <w:rsid w:val="0017256E"/>
    <w:rsid w:val="001729B8"/>
    <w:rsid w:val="00173760"/>
    <w:rsid w:val="00173A48"/>
    <w:rsid w:val="00173D4D"/>
    <w:rsid w:val="00173E06"/>
    <w:rsid w:val="00174310"/>
    <w:rsid w:val="00174684"/>
    <w:rsid w:val="00174B62"/>
    <w:rsid w:val="00174CF1"/>
    <w:rsid w:val="00174DA5"/>
    <w:rsid w:val="00174FCC"/>
    <w:rsid w:val="001751C4"/>
    <w:rsid w:val="00175BD8"/>
    <w:rsid w:val="00175C92"/>
    <w:rsid w:val="00176546"/>
    <w:rsid w:val="00176BD7"/>
    <w:rsid w:val="00176E53"/>
    <w:rsid w:val="00177021"/>
    <w:rsid w:val="00177BD8"/>
    <w:rsid w:val="00177E0D"/>
    <w:rsid w:val="001800FA"/>
    <w:rsid w:val="00180523"/>
    <w:rsid w:val="00180833"/>
    <w:rsid w:val="00180846"/>
    <w:rsid w:val="00180FDA"/>
    <w:rsid w:val="00181213"/>
    <w:rsid w:val="00181CFF"/>
    <w:rsid w:val="00182683"/>
    <w:rsid w:val="00182BA6"/>
    <w:rsid w:val="00182EBC"/>
    <w:rsid w:val="001840D2"/>
    <w:rsid w:val="00184FF8"/>
    <w:rsid w:val="0018620D"/>
    <w:rsid w:val="001864A0"/>
    <w:rsid w:val="00186601"/>
    <w:rsid w:val="00186718"/>
    <w:rsid w:val="00186853"/>
    <w:rsid w:val="00187ACB"/>
    <w:rsid w:val="00187EA7"/>
    <w:rsid w:val="0019001C"/>
    <w:rsid w:val="00190570"/>
    <w:rsid w:val="00190A83"/>
    <w:rsid w:val="00190D25"/>
    <w:rsid w:val="0019242F"/>
    <w:rsid w:val="00192B11"/>
    <w:rsid w:val="00193357"/>
    <w:rsid w:val="001934EB"/>
    <w:rsid w:val="00193640"/>
    <w:rsid w:val="001938FA"/>
    <w:rsid w:val="001939E9"/>
    <w:rsid w:val="00193D16"/>
    <w:rsid w:val="001945E4"/>
    <w:rsid w:val="00194D4B"/>
    <w:rsid w:val="00195C78"/>
    <w:rsid w:val="00196615"/>
    <w:rsid w:val="0019698C"/>
    <w:rsid w:val="00196AC6"/>
    <w:rsid w:val="00196B75"/>
    <w:rsid w:val="00196BBC"/>
    <w:rsid w:val="00196C36"/>
    <w:rsid w:val="0019706F"/>
    <w:rsid w:val="00197262"/>
    <w:rsid w:val="00197BBD"/>
    <w:rsid w:val="00197D2F"/>
    <w:rsid w:val="00197E57"/>
    <w:rsid w:val="001A00E7"/>
    <w:rsid w:val="001A06E9"/>
    <w:rsid w:val="001A0981"/>
    <w:rsid w:val="001A0FC4"/>
    <w:rsid w:val="001A10FA"/>
    <w:rsid w:val="001A11D9"/>
    <w:rsid w:val="001A133B"/>
    <w:rsid w:val="001A1696"/>
    <w:rsid w:val="001A1758"/>
    <w:rsid w:val="001A177E"/>
    <w:rsid w:val="001A1B88"/>
    <w:rsid w:val="001A1C57"/>
    <w:rsid w:val="001A24E0"/>
    <w:rsid w:val="001A2AA2"/>
    <w:rsid w:val="001A2DB8"/>
    <w:rsid w:val="001A2DB9"/>
    <w:rsid w:val="001A2EDA"/>
    <w:rsid w:val="001A32E9"/>
    <w:rsid w:val="001A36FC"/>
    <w:rsid w:val="001A3ED8"/>
    <w:rsid w:val="001A3F8F"/>
    <w:rsid w:val="001A40F0"/>
    <w:rsid w:val="001A4FBD"/>
    <w:rsid w:val="001A51DA"/>
    <w:rsid w:val="001A5631"/>
    <w:rsid w:val="001A5C2C"/>
    <w:rsid w:val="001A5D35"/>
    <w:rsid w:val="001A6218"/>
    <w:rsid w:val="001A6448"/>
    <w:rsid w:val="001A657A"/>
    <w:rsid w:val="001A668B"/>
    <w:rsid w:val="001A67FF"/>
    <w:rsid w:val="001A69F0"/>
    <w:rsid w:val="001A6D3A"/>
    <w:rsid w:val="001A7104"/>
    <w:rsid w:val="001A731E"/>
    <w:rsid w:val="001A7686"/>
    <w:rsid w:val="001A7EFE"/>
    <w:rsid w:val="001B00F5"/>
    <w:rsid w:val="001B018F"/>
    <w:rsid w:val="001B03BC"/>
    <w:rsid w:val="001B0A1F"/>
    <w:rsid w:val="001B0AFB"/>
    <w:rsid w:val="001B0B52"/>
    <w:rsid w:val="001B10F1"/>
    <w:rsid w:val="001B16EA"/>
    <w:rsid w:val="001B18A1"/>
    <w:rsid w:val="001B1E15"/>
    <w:rsid w:val="001B1E25"/>
    <w:rsid w:val="001B2167"/>
    <w:rsid w:val="001B238B"/>
    <w:rsid w:val="001B2641"/>
    <w:rsid w:val="001B2745"/>
    <w:rsid w:val="001B2A86"/>
    <w:rsid w:val="001B2AC8"/>
    <w:rsid w:val="001B2B3D"/>
    <w:rsid w:val="001B2B7B"/>
    <w:rsid w:val="001B3343"/>
    <w:rsid w:val="001B3386"/>
    <w:rsid w:val="001B36A0"/>
    <w:rsid w:val="001B393A"/>
    <w:rsid w:val="001B400B"/>
    <w:rsid w:val="001B48BC"/>
    <w:rsid w:val="001B49C8"/>
    <w:rsid w:val="001B4E63"/>
    <w:rsid w:val="001B50A1"/>
    <w:rsid w:val="001B51C3"/>
    <w:rsid w:val="001B5C69"/>
    <w:rsid w:val="001B5E5D"/>
    <w:rsid w:val="001B5FDD"/>
    <w:rsid w:val="001B6000"/>
    <w:rsid w:val="001B6259"/>
    <w:rsid w:val="001B62CF"/>
    <w:rsid w:val="001B6378"/>
    <w:rsid w:val="001B66AC"/>
    <w:rsid w:val="001B70FF"/>
    <w:rsid w:val="001B7B8F"/>
    <w:rsid w:val="001C0AD2"/>
    <w:rsid w:val="001C115F"/>
    <w:rsid w:val="001C1956"/>
    <w:rsid w:val="001C1A7F"/>
    <w:rsid w:val="001C1E18"/>
    <w:rsid w:val="001C205B"/>
    <w:rsid w:val="001C265A"/>
    <w:rsid w:val="001C2861"/>
    <w:rsid w:val="001C3186"/>
    <w:rsid w:val="001C3209"/>
    <w:rsid w:val="001C32BC"/>
    <w:rsid w:val="001C3758"/>
    <w:rsid w:val="001C3CF4"/>
    <w:rsid w:val="001C4231"/>
    <w:rsid w:val="001C46E8"/>
    <w:rsid w:val="001C4A05"/>
    <w:rsid w:val="001C4B7C"/>
    <w:rsid w:val="001C4FC4"/>
    <w:rsid w:val="001C531A"/>
    <w:rsid w:val="001C55A1"/>
    <w:rsid w:val="001C5C01"/>
    <w:rsid w:val="001C5C73"/>
    <w:rsid w:val="001C5FD5"/>
    <w:rsid w:val="001C6C11"/>
    <w:rsid w:val="001C6DD4"/>
    <w:rsid w:val="001C737F"/>
    <w:rsid w:val="001C73B7"/>
    <w:rsid w:val="001C7567"/>
    <w:rsid w:val="001D0260"/>
    <w:rsid w:val="001D03AE"/>
    <w:rsid w:val="001D0432"/>
    <w:rsid w:val="001D0E0B"/>
    <w:rsid w:val="001D1024"/>
    <w:rsid w:val="001D1174"/>
    <w:rsid w:val="001D16BC"/>
    <w:rsid w:val="001D1816"/>
    <w:rsid w:val="001D1B3F"/>
    <w:rsid w:val="001D1C74"/>
    <w:rsid w:val="001D2383"/>
    <w:rsid w:val="001D2589"/>
    <w:rsid w:val="001D2ED0"/>
    <w:rsid w:val="001D3881"/>
    <w:rsid w:val="001D3C4D"/>
    <w:rsid w:val="001D45F1"/>
    <w:rsid w:val="001D46CB"/>
    <w:rsid w:val="001D5102"/>
    <w:rsid w:val="001D5319"/>
    <w:rsid w:val="001D53CC"/>
    <w:rsid w:val="001D546D"/>
    <w:rsid w:val="001D582F"/>
    <w:rsid w:val="001D5C03"/>
    <w:rsid w:val="001D5C20"/>
    <w:rsid w:val="001D5D72"/>
    <w:rsid w:val="001D5EE4"/>
    <w:rsid w:val="001D5F2D"/>
    <w:rsid w:val="001D5F53"/>
    <w:rsid w:val="001D65BE"/>
    <w:rsid w:val="001D7150"/>
    <w:rsid w:val="001D772A"/>
    <w:rsid w:val="001D79A1"/>
    <w:rsid w:val="001D7AC7"/>
    <w:rsid w:val="001D7D94"/>
    <w:rsid w:val="001D7FB6"/>
    <w:rsid w:val="001E012D"/>
    <w:rsid w:val="001E018B"/>
    <w:rsid w:val="001E0325"/>
    <w:rsid w:val="001E0C35"/>
    <w:rsid w:val="001E0F40"/>
    <w:rsid w:val="001E0FC5"/>
    <w:rsid w:val="001E1132"/>
    <w:rsid w:val="001E1151"/>
    <w:rsid w:val="001E11B0"/>
    <w:rsid w:val="001E1353"/>
    <w:rsid w:val="001E1B65"/>
    <w:rsid w:val="001E1D85"/>
    <w:rsid w:val="001E1E79"/>
    <w:rsid w:val="001E1E98"/>
    <w:rsid w:val="001E25FD"/>
    <w:rsid w:val="001E267A"/>
    <w:rsid w:val="001E298F"/>
    <w:rsid w:val="001E2CCC"/>
    <w:rsid w:val="001E2FA0"/>
    <w:rsid w:val="001E3863"/>
    <w:rsid w:val="001E3C7C"/>
    <w:rsid w:val="001E4347"/>
    <w:rsid w:val="001E4F45"/>
    <w:rsid w:val="001E56AE"/>
    <w:rsid w:val="001E59A4"/>
    <w:rsid w:val="001E5C32"/>
    <w:rsid w:val="001E64C5"/>
    <w:rsid w:val="001E66C4"/>
    <w:rsid w:val="001E6A49"/>
    <w:rsid w:val="001E6C8D"/>
    <w:rsid w:val="001E6EAC"/>
    <w:rsid w:val="001E6F1A"/>
    <w:rsid w:val="001E73D4"/>
    <w:rsid w:val="001E755E"/>
    <w:rsid w:val="001E778B"/>
    <w:rsid w:val="001E7791"/>
    <w:rsid w:val="001E7960"/>
    <w:rsid w:val="001E7DBB"/>
    <w:rsid w:val="001E7DD7"/>
    <w:rsid w:val="001E7E9E"/>
    <w:rsid w:val="001E7F5A"/>
    <w:rsid w:val="001F01C7"/>
    <w:rsid w:val="001F0411"/>
    <w:rsid w:val="001F0568"/>
    <w:rsid w:val="001F0719"/>
    <w:rsid w:val="001F0E55"/>
    <w:rsid w:val="001F14DC"/>
    <w:rsid w:val="001F15AA"/>
    <w:rsid w:val="001F1778"/>
    <w:rsid w:val="001F1BCB"/>
    <w:rsid w:val="001F1D94"/>
    <w:rsid w:val="001F200D"/>
    <w:rsid w:val="001F2580"/>
    <w:rsid w:val="001F261E"/>
    <w:rsid w:val="001F2B8A"/>
    <w:rsid w:val="001F2DC5"/>
    <w:rsid w:val="001F2FFC"/>
    <w:rsid w:val="001F3294"/>
    <w:rsid w:val="001F33E0"/>
    <w:rsid w:val="001F340F"/>
    <w:rsid w:val="001F344B"/>
    <w:rsid w:val="001F364B"/>
    <w:rsid w:val="001F3974"/>
    <w:rsid w:val="001F3FC9"/>
    <w:rsid w:val="001F444F"/>
    <w:rsid w:val="001F473F"/>
    <w:rsid w:val="001F5599"/>
    <w:rsid w:val="001F57AD"/>
    <w:rsid w:val="001F5938"/>
    <w:rsid w:val="001F5D52"/>
    <w:rsid w:val="001F5DDE"/>
    <w:rsid w:val="001F6349"/>
    <w:rsid w:val="001F6A4A"/>
    <w:rsid w:val="001F6BB0"/>
    <w:rsid w:val="001F6FC2"/>
    <w:rsid w:val="001F73AC"/>
    <w:rsid w:val="001F74B7"/>
    <w:rsid w:val="0020049C"/>
    <w:rsid w:val="00200B4F"/>
    <w:rsid w:val="00200CEE"/>
    <w:rsid w:val="00200E9A"/>
    <w:rsid w:val="0020175B"/>
    <w:rsid w:val="00201C46"/>
    <w:rsid w:val="00201E1B"/>
    <w:rsid w:val="0020201C"/>
    <w:rsid w:val="00202137"/>
    <w:rsid w:val="002022A8"/>
    <w:rsid w:val="00202639"/>
    <w:rsid w:val="002029B6"/>
    <w:rsid w:val="00202BD4"/>
    <w:rsid w:val="00202CF9"/>
    <w:rsid w:val="0020306C"/>
    <w:rsid w:val="002030C4"/>
    <w:rsid w:val="00203343"/>
    <w:rsid w:val="00203502"/>
    <w:rsid w:val="002035EB"/>
    <w:rsid w:val="002039D7"/>
    <w:rsid w:val="00203E1F"/>
    <w:rsid w:val="00203E9C"/>
    <w:rsid w:val="00203F2B"/>
    <w:rsid w:val="0020404A"/>
    <w:rsid w:val="00204631"/>
    <w:rsid w:val="00204B4F"/>
    <w:rsid w:val="00204F8F"/>
    <w:rsid w:val="00205A1F"/>
    <w:rsid w:val="00205B4A"/>
    <w:rsid w:val="0020610C"/>
    <w:rsid w:val="00206128"/>
    <w:rsid w:val="00206F31"/>
    <w:rsid w:val="0020709D"/>
    <w:rsid w:val="0020750C"/>
    <w:rsid w:val="00207877"/>
    <w:rsid w:val="002078CC"/>
    <w:rsid w:val="00210512"/>
    <w:rsid w:val="0021053D"/>
    <w:rsid w:val="0021065A"/>
    <w:rsid w:val="002107AB"/>
    <w:rsid w:val="00210C1D"/>
    <w:rsid w:val="00210E78"/>
    <w:rsid w:val="002119CF"/>
    <w:rsid w:val="00211AA1"/>
    <w:rsid w:val="00211E74"/>
    <w:rsid w:val="00211EC8"/>
    <w:rsid w:val="0021219E"/>
    <w:rsid w:val="00212273"/>
    <w:rsid w:val="0021290B"/>
    <w:rsid w:val="00212F44"/>
    <w:rsid w:val="002133B6"/>
    <w:rsid w:val="0021381E"/>
    <w:rsid w:val="00213AAD"/>
    <w:rsid w:val="00213CCD"/>
    <w:rsid w:val="00213E48"/>
    <w:rsid w:val="00214545"/>
    <w:rsid w:val="00214856"/>
    <w:rsid w:val="00214876"/>
    <w:rsid w:val="00214C47"/>
    <w:rsid w:val="00215489"/>
    <w:rsid w:val="00215A37"/>
    <w:rsid w:val="00215C24"/>
    <w:rsid w:val="00215F2B"/>
    <w:rsid w:val="0021609B"/>
    <w:rsid w:val="002160E4"/>
    <w:rsid w:val="00216953"/>
    <w:rsid w:val="002171A9"/>
    <w:rsid w:val="00217488"/>
    <w:rsid w:val="002203F6"/>
    <w:rsid w:val="00220674"/>
    <w:rsid w:val="0022089E"/>
    <w:rsid w:val="002208C8"/>
    <w:rsid w:val="002209BD"/>
    <w:rsid w:val="00220DB6"/>
    <w:rsid w:val="00220E59"/>
    <w:rsid w:val="0022139B"/>
    <w:rsid w:val="00221FE1"/>
    <w:rsid w:val="0022291E"/>
    <w:rsid w:val="00222A41"/>
    <w:rsid w:val="00223221"/>
    <w:rsid w:val="0022387D"/>
    <w:rsid w:val="002239B3"/>
    <w:rsid w:val="00223A77"/>
    <w:rsid w:val="00223C20"/>
    <w:rsid w:val="00223E0A"/>
    <w:rsid w:val="00224712"/>
    <w:rsid w:val="002248E6"/>
    <w:rsid w:val="00224C48"/>
    <w:rsid w:val="00224E8A"/>
    <w:rsid w:val="00224EAD"/>
    <w:rsid w:val="002251DF"/>
    <w:rsid w:val="00225289"/>
    <w:rsid w:val="002258EF"/>
    <w:rsid w:val="00225B95"/>
    <w:rsid w:val="00226764"/>
    <w:rsid w:val="00226BA1"/>
    <w:rsid w:val="00226EF3"/>
    <w:rsid w:val="0022732B"/>
    <w:rsid w:val="00227CE0"/>
    <w:rsid w:val="00227D61"/>
    <w:rsid w:val="00227D6C"/>
    <w:rsid w:val="00227EDA"/>
    <w:rsid w:val="00230F01"/>
    <w:rsid w:val="00231288"/>
    <w:rsid w:val="00231B50"/>
    <w:rsid w:val="00231E29"/>
    <w:rsid w:val="00232ACB"/>
    <w:rsid w:val="00232BE8"/>
    <w:rsid w:val="00232FD6"/>
    <w:rsid w:val="0023328A"/>
    <w:rsid w:val="002332A2"/>
    <w:rsid w:val="0023383A"/>
    <w:rsid w:val="00233A73"/>
    <w:rsid w:val="00233B91"/>
    <w:rsid w:val="00234C64"/>
    <w:rsid w:val="002355D0"/>
    <w:rsid w:val="002359A7"/>
    <w:rsid w:val="00235B56"/>
    <w:rsid w:val="00235B72"/>
    <w:rsid w:val="00235E3A"/>
    <w:rsid w:val="0023656E"/>
    <w:rsid w:val="00236868"/>
    <w:rsid w:val="00237120"/>
    <w:rsid w:val="00237470"/>
    <w:rsid w:val="00237555"/>
    <w:rsid w:val="00237BC6"/>
    <w:rsid w:val="002402D1"/>
    <w:rsid w:val="00240CCD"/>
    <w:rsid w:val="00240D9B"/>
    <w:rsid w:val="00240E45"/>
    <w:rsid w:val="002411E3"/>
    <w:rsid w:val="00241853"/>
    <w:rsid w:val="0024192E"/>
    <w:rsid w:val="00241941"/>
    <w:rsid w:val="00241CB0"/>
    <w:rsid w:val="00241F9C"/>
    <w:rsid w:val="00242878"/>
    <w:rsid w:val="00242F16"/>
    <w:rsid w:val="00243698"/>
    <w:rsid w:val="002437E1"/>
    <w:rsid w:val="002438C2"/>
    <w:rsid w:val="00243CEB"/>
    <w:rsid w:val="00243DD2"/>
    <w:rsid w:val="00244E56"/>
    <w:rsid w:val="00244E8B"/>
    <w:rsid w:val="00244E92"/>
    <w:rsid w:val="00244EA2"/>
    <w:rsid w:val="00244FF4"/>
    <w:rsid w:val="00245594"/>
    <w:rsid w:val="002458A9"/>
    <w:rsid w:val="00245B7C"/>
    <w:rsid w:val="0024612A"/>
    <w:rsid w:val="00246467"/>
    <w:rsid w:val="00247376"/>
    <w:rsid w:val="0024749E"/>
    <w:rsid w:val="00247827"/>
    <w:rsid w:val="00247975"/>
    <w:rsid w:val="00250A1B"/>
    <w:rsid w:val="00250D71"/>
    <w:rsid w:val="0025132C"/>
    <w:rsid w:val="00251A0E"/>
    <w:rsid w:val="00251A23"/>
    <w:rsid w:val="00251A59"/>
    <w:rsid w:val="00251D4B"/>
    <w:rsid w:val="00251F19"/>
    <w:rsid w:val="00251F91"/>
    <w:rsid w:val="002520D2"/>
    <w:rsid w:val="002527D8"/>
    <w:rsid w:val="002528D9"/>
    <w:rsid w:val="0025297C"/>
    <w:rsid w:val="00252B2F"/>
    <w:rsid w:val="00252CF8"/>
    <w:rsid w:val="00252E48"/>
    <w:rsid w:val="00252EDA"/>
    <w:rsid w:val="00253098"/>
    <w:rsid w:val="0025354A"/>
    <w:rsid w:val="002537ED"/>
    <w:rsid w:val="00253DE5"/>
    <w:rsid w:val="00254191"/>
    <w:rsid w:val="002543B5"/>
    <w:rsid w:val="002545B4"/>
    <w:rsid w:val="002552E6"/>
    <w:rsid w:val="00255669"/>
    <w:rsid w:val="00255DB6"/>
    <w:rsid w:val="00256222"/>
    <w:rsid w:val="00256615"/>
    <w:rsid w:val="0025677A"/>
    <w:rsid w:val="0025727C"/>
    <w:rsid w:val="00257BF5"/>
    <w:rsid w:val="002601A0"/>
    <w:rsid w:val="002602DC"/>
    <w:rsid w:val="002607ED"/>
    <w:rsid w:val="00260859"/>
    <w:rsid w:val="002615AC"/>
    <w:rsid w:val="002619E6"/>
    <w:rsid w:val="00261ADF"/>
    <w:rsid w:val="00261D87"/>
    <w:rsid w:val="00261E36"/>
    <w:rsid w:val="00261F45"/>
    <w:rsid w:val="00262117"/>
    <w:rsid w:val="002622EC"/>
    <w:rsid w:val="00262AC8"/>
    <w:rsid w:val="002633DD"/>
    <w:rsid w:val="00263707"/>
    <w:rsid w:val="00263934"/>
    <w:rsid w:val="00263A94"/>
    <w:rsid w:val="00264010"/>
    <w:rsid w:val="0026403B"/>
    <w:rsid w:val="002653E9"/>
    <w:rsid w:val="00265847"/>
    <w:rsid w:val="00265C30"/>
    <w:rsid w:val="00265E9C"/>
    <w:rsid w:val="0026617D"/>
    <w:rsid w:val="0026620F"/>
    <w:rsid w:val="00266571"/>
    <w:rsid w:val="00266AD5"/>
    <w:rsid w:val="00266B23"/>
    <w:rsid w:val="00266B88"/>
    <w:rsid w:val="00266D77"/>
    <w:rsid w:val="00267210"/>
    <w:rsid w:val="00267663"/>
    <w:rsid w:val="002678B6"/>
    <w:rsid w:val="0027000A"/>
    <w:rsid w:val="00270EF4"/>
    <w:rsid w:val="00271196"/>
    <w:rsid w:val="00271363"/>
    <w:rsid w:val="0027148A"/>
    <w:rsid w:val="00271608"/>
    <w:rsid w:val="0027164D"/>
    <w:rsid w:val="002717F5"/>
    <w:rsid w:val="002718CC"/>
    <w:rsid w:val="00271A6D"/>
    <w:rsid w:val="00271CBA"/>
    <w:rsid w:val="00271FEB"/>
    <w:rsid w:val="0027203C"/>
    <w:rsid w:val="00272093"/>
    <w:rsid w:val="002721E6"/>
    <w:rsid w:val="0027239E"/>
    <w:rsid w:val="00272710"/>
    <w:rsid w:val="00272753"/>
    <w:rsid w:val="0027277C"/>
    <w:rsid w:val="00272E0D"/>
    <w:rsid w:val="00273117"/>
    <w:rsid w:val="00273D3E"/>
    <w:rsid w:val="00273F1F"/>
    <w:rsid w:val="0027474D"/>
    <w:rsid w:val="0027478E"/>
    <w:rsid w:val="0027490E"/>
    <w:rsid w:val="00275272"/>
    <w:rsid w:val="00275B6F"/>
    <w:rsid w:val="00275CC8"/>
    <w:rsid w:val="00275D91"/>
    <w:rsid w:val="00275F4D"/>
    <w:rsid w:val="002763CB"/>
    <w:rsid w:val="0027679F"/>
    <w:rsid w:val="002767FD"/>
    <w:rsid w:val="00276A3D"/>
    <w:rsid w:val="002770A3"/>
    <w:rsid w:val="00277299"/>
    <w:rsid w:val="002773E7"/>
    <w:rsid w:val="002775B9"/>
    <w:rsid w:val="002779D3"/>
    <w:rsid w:val="00277B4B"/>
    <w:rsid w:val="00280A6E"/>
    <w:rsid w:val="00280D88"/>
    <w:rsid w:val="00280E65"/>
    <w:rsid w:val="00280E8A"/>
    <w:rsid w:val="00280ED1"/>
    <w:rsid w:val="002814D6"/>
    <w:rsid w:val="002818D5"/>
    <w:rsid w:val="00281C2F"/>
    <w:rsid w:val="00282590"/>
    <w:rsid w:val="00282595"/>
    <w:rsid w:val="00282960"/>
    <w:rsid w:val="002830F5"/>
    <w:rsid w:val="00283422"/>
    <w:rsid w:val="002835DF"/>
    <w:rsid w:val="0028383A"/>
    <w:rsid w:val="00283D30"/>
    <w:rsid w:val="002842C5"/>
    <w:rsid w:val="00284334"/>
    <w:rsid w:val="002851B1"/>
    <w:rsid w:val="0028534D"/>
    <w:rsid w:val="002853B6"/>
    <w:rsid w:val="0028581E"/>
    <w:rsid w:val="00285984"/>
    <w:rsid w:val="002859CE"/>
    <w:rsid w:val="00285A08"/>
    <w:rsid w:val="00285A5E"/>
    <w:rsid w:val="00286624"/>
    <w:rsid w:val="002868ED"/>
    <w:rsid w:val="002869B2"/>
    <w:rsid w:val="00286C45"/>
    <w:rsid w:val="00286C7B"/>
    <w:rsid w:val="00287032"/>
    <w:rsid w:val="002870B1"/>
    <w:rsid w:val="00287163"/>
    <w:rsid w:val="00287310"/>
    <w:rsid w:val="00287500"/>
    <w:rsid w:val="00287A02"/>
    <w:rsid w:val="00290036"/>
    <w:rsid w:val="0029086A"/>
    <w:rsid w:val="00290AA1"/>
    <w:rsid w:val="00290B62"/>
    <w:rsid w:val="00291101"/>
    <w:rsid w:val="0029127F"/>
    <w:rsid w:val="0029181D"/>
    <w:rsid w:val="00291A16"/>
    <w:rsid w:val="00291D65"/>
    <w:rsid w:val="00292226"/>
    <w:rsid w:val="00292237"/>
    <w:rsid w:val="00292CE9"/>
    <w:rsid w:val="00292FB3"/>
    <w:rsid w:val="002932EB"/>
    <w:rsid w:val="002934F5"/>
    <w:rsid w:val="002938C3"/>
    <w:rsid w:val="0029393D"/>
    <w:rsid w:val="00293A8E"/>
    <w:rsid w:val="00293F00"/>
    <w:rsid w:val="002943A6"/>
    <w:rsid w:val="002947AE"/>
    <w:rsid w:val="00294A9C"/>
    <w:rsid w:val="00294C98"/>
    <w:rsid w:val="00295212"/>
    <w:rsid w:val="00295301"/>
    <w:rsid w:val="0029577E"/>
    <w:rsid w:val="002958CD"/>
    <w:rsid w:val="00295B52"/>
    <w:rsid w:val="00295B8C"/>
    <w:rsid w:val="00295C55"/>
    <w:rsid w:val="00296886"/>
    <w:rsid w:val="00296A97"/>
    <w:rsid w:val="00296CBC"/>
    <w:rsid w:val="00297224"/>
    <w:rsid w:val="00297362"/>
    <w:rsid w:val="0029761E"/>
    <w:rsid w:val="002977A7"/>
    <w:rsid w:val="00297E6D"/>
    <w:rsid w:val="002A00D9"/>
    <w:rsid w:val="002A03B6"/>
    <w:rsid w:val="002A06C6"/>
    <w:rsid w:val="002A084B"/>
    <w:rsid w:val="002A1353"/>
    <w:rsid w:val="002A13C0"/>
    <w:rsid w:val="002A17A5"/>
    <w:rsid w:val="002A1CA5"/>
    <w:rsid w:val="002A1D1D"/>
    <w:rsid w:val="002A1E9B"/>
    <w:rsid w:val="002A237B"/>
    <w:rsid w:val="002A28E1"/>
    <w:rsid w:val="002A2E50"/>
    <w:rsid w:val="002A2E73"/>
    <w:rsid w:val="002A2F13"/>
    <w:rsid w:val="002A380F"/>
    <w:rsid w:val="002A3EBC"/>
    <w:rsid w:val="002A3FBB"/>
    <w:rsid w:val="002A4048"/>
    <w:rsid w:val="002A45A6"/>
    <w:rsid w:val="002A4788"/>
    <w:rsid w:val="002A4B08"/>
    <w:rsid w:val="002A53A6"/>
    <w:rsid w:val="002A53A8"/>
    <w:rsid w:val="002A5BB1"/>
    <w:rsid w:val="002A5C30"/>
    <w:rsid w:val="002A5FB3"/>
    <w:rsid w:val="002A612B"/>
    <w:rsid w:val="002A6137"/>
    <w:rsid w:val="002A62AC"/>
    <w:rsid w:val="002A62E6"/>
    <w:rsid w:val="002A6444"/>
    <w:rsid w:val="002A69FE"/>
    <w:rsid w:val="002A79B5"/>
    <w:rsid w:val="002A7CC7"/>
    <w:rsid w:val="002A7FD5"/>
    <w:rsid w:val="002B0B58"/>
    <w:rsid w:val="002B0DAE"/>
    <w:rsid w:val="002B121B"/>
    <w:rsid w:val="002B1D5F"/>
    <w:rsid w:val="002B20A4"/>
    <w:rsid w:val="002B219C"/>
    <w:rsid w:val="002B21A0"/>
    <w:rsid w:val="002B2CE8"/>
    <w:rsid w:val="002B323B"/>
    <w:rsid w:val="002B360A"/>
    <w:rsid w:val="002B3970"/>
    <w:rsid w:val="002B3AC2"/>
    <w:rsid w:val="002B3C3E"/>
    <w:rsid w:val="002B3DC9"/>
    <w:rsid w:val="002B492D"/>
    <w:rsid w:val="002B4DBF"/>
    <w:rsid w:val="002B4EBF"/>
    <w:rsid w:val="002B551C"/>
    <w:rsid w:val="002B5B6C"/>
    <w:rsid w:val="002B5E83"/>
    <w:rsid w:val="002B5EAD"/>
    <w:rsid w:val="002B5EC8"/>
    <w:rsid w:val="002B5FBA"/>
    <w:rsid w:val="002B637D"/>
    <w:rsid w:val="002B680D"/>
    <w:rsid w:val="002B699C"/>
    <w:rsid w:val="002B73B9"/>
    <w:rsid w:val="002B774A"/>
    <w:rsid w:val="002B78A9"/>
    <w:rsid w:val="002B7943"/>
    <w:rsid w:val="002B7A78"/>
    <w:rsid w:val="002B7E90"/>
    <w:rsid w:val="002B7F7C"/>
    <w:rsid w:val="002C0098"/>
    <w:rsid w:val="002C02AB"/>
    <w:rsid w:val="002C05F9"/>
    <w:rsid w:val="002C0D3B"/>
    <w:rsid w:val="002C1A0F"/>
    <w:rsid w:val="002C2AD0"/>
    <w:rsid w:val="002C2F53"/>
    <w:rsid w:val="002C3004"/>
    <w:rsid w:val="002C334D"/>
    <w:rsid w:val="002C3C8C"/>
    <w:rsid w:val="002C426B"/>
    <w:rsid w:val="002C42D6"/>
    <w:rsid w:val="002C4639"/>
    <w:rsid w:val="002C4743"/>
    <w:rsid w:val="002C50DB"/>
    <w:rsid w:val="002C53C0"/>
    <w:rsid w:val="002C55FB"/>
    <w:rsid w:val="002C5FB5"/>
    <w:rsid w:val="002C602E"/>
    <w:rsid w:val="002C62C5"/>
    <w:rsid w:val="002C6D77"/>
    <w:rsid w:val="002C7297"/>
    <w:rsid w:val="002C73DB"/>
    <w:rsid w:val="002C755A"/>
    <w:rsid w:val="002C7A92"/>
    <w:rsid w:val="002D04B4"/>
    <w:rsid w:val="002D07D9"/>
    <w:rsid w:val="002D0921"/>
    <w:rsid w:val="002D1257"/>
    <w:rsid w:val="002D223C"/>
    <w:rsid w:val="002D2270"/>
    <w:rsid w:val="002D24EE"/>
    <w:rsid w:val="002D27B8"/>
    <w:rsid w:val="002D2DED"/>
    <w:rsid w:val="002D2EB0"/>
    <w:rsid w:val="002D30E5"/>
    <w:rsid w:val="002D3538"/>
    <w:rsid w:val="002D3894"/>
    <w:rsid w:val="002D3985"/>
    <w:rsid w:val="002D3D44"/>
    <w:rsid w:val="002D3DF9"/>
    <w:rsid w:val="002D45D4"/>
    <w:rsid w:val="002D466E"/>
    <w:rsid w:val="002D5046"/>
    <w:rsid w:val="002D5343"/>
    <w:rsid w:val="002D569C"/>
    <w:rsid w:val="002D66A0"/>
    <w:rsid w:val="002D6732"/>
    <w:rsid w:val="002D6828"/>
    <w:rsid w:val="002D6C78"/>
    <w:rsid w:val="002D7367"/>
    <w:rsid w:val="002D755D"/>
    <w:rsid w:val="002D7EC9"/>
    <w:rsid w:val="002D7ED6"/>
    <w:rsid w:val="002E0810"/>
    <w:rsid w:val="002E096C"/>
    <w:rsid w:val="002E0E62"/>
    <w:rsid w:val="002E0EFE"/>
    <w:rsid w:val="002E1289"/>
    <w:rsid w:val="002E23D9"/>
    <w:rsid w:val="002E27DE"/>
    <w:rsid w:val="002E2877"/>
    <w:rsid w:val="002E28D5"/>
    <w:rsid w:val="002E2A63"/>
    <w:rsid w:val="002E31E0"/>
    <w:rsid w:val="002E323C"/>
    <w:rsid w:val="002E34E9"/>
    <w:rsid w:val="002E3946"/>
    <w:rsid w:val="002E3ABC"/>
    <w:rsid w:val="002E3CB3"/>
    <w:rsid w:val="002E3EF5"/>
    <w:rsid w:val="002E45DA"/>
    <w:rsid w:val="002E460B"/>
    <w:rsid w:val="002E466E"/>
    <w:rsid w:val="002E46EE"/>
    <w:rsid w:val="002E4B2B"/>
    <w:rsid w:val="002E4E52"/>
    <w:rsid w:val="002E5492"/>
    <w:rsid w:val="002E5590"/>
    <w:rsid w:val="002E581B"/>
    <w:rsid w:val="002E58C6"/>
    <w:rsid w:val="002E5C07"/>
    <w:rsid w:val="002E5DCA"/>
    <w:rsid w:val="002E6041"/>
    <w:rsid w:val="002E6246"/>
    <w:rsid w:val="002E636E"/>
    <w:rsid w:val="002E6E06"/>
    <w:rsid w:val="002E6EED"/>
    <w:rsid w:val="002E700B"/>
    <w:rsid w:val="002E700F"/>
    <w:rsid w:val="002E7C0E"/>
    <w:rsid w:val="002F0112"/>
    <w:rsid w:val="002F05F0"/>
    <w:rsid w:val="002F097B"/>
    <w:rsid w:val="002F1198"/>
    <w:rsid w:val="002F14F1"/>
    <w:rsid w:val="002F1DB9"/>
    <w:rsid w:val="002F288C"/>
    <w:rsid w:val="002F2E60"/>
    <w:rsid w:val="002F2F01"/>
    <w:rsid w:val="002F2F18"/>
    <w:rsid w:val="002F3D69"/>
    <w:rsid w:val="002F3E1B"/>
    <w:rsid w:val="002F4492"/>
    <w:rsid w:val="002F4B34"/>
    <w:rsid w:val="002F50C6"/>
    <w:rsid w:val="002F53DF"/>
    <w:rsid w:val="002F5488"/>
    <w:rsid w:val="002F5BAD"/>
    <w:rsid w:val="002F5F23"/>
    <w:rsid w:val="002F6537"/>
    <w:rsid w:val="002F6634"/>
    <w:rsid w:val="002F695D"/>
    <w:rsid w:val="002F6965"/>
    <w:rsid w:val="002F6C2B"/>
    <w:rsid w:val="002F6CD4"/>
    <w:rsid w:val="002F79C5"/>
    <w:rsid w:val="002F7ACD"/>
    <w:rsid w:val="002F7F66"/>
    <w:rsid w:val="003005F4"/>
    <w:rsid w:val="00300814"/>
    <w:rsid w:val="00300FC4"/>
    <w:rsid w:val="00301112"/>
    <w:rsid w:val="00301B12"/>
    <w:rsid w:val="0030272D"/>
    <w:rsid w:val="0030285A"/>
    <w:rsid w:val="00302941"/>
    <w:rsid w:val="00302BE4"/>
    <w:rsid w:val="00302D2B"/>
    <w:rsid w:val="0030399C"/>
    <w:rsid w:val="00303D98"/>
    <w:rsid w:val="00304006"/>
    <w:rsid w:val="00304329"/>
    <w:rsid w:val="0030434C"/>
    <w:rsid w:val="00304C56"/>
    <w:rsid w:val="00304CC2"/>
    <w:rsid w:val="00304E3C"/>
    <w:rsid w:val="00304E56"/>
    <w:rsid w:val="00304EC0"/>
    <w:rsid w:val="003056C5"/>
    <w:rsid w:val="0030670E"/>
    <w:rsid w:val="00306A08"/>
    <w:rsid w:val="003074ED"/>
    <w:rsid w:val="00307856"/>
    <w:rsid w:val="00307D19"/>
    <w:rsid w:val="00310531"/>
    <w:rsid w:val="00310A37"/>
    <w:rsid w:val="00310EC5"/>
    <w:rsid w:val="00311092"/>
    <w:rsid w:val="003118C7"/>
    <w:rsid w:val="00311B24"/>
    <w:rsid w:val="00311C9B"/>
    <w:rsid w:val="00311D9F"/>
    <w:rsid w:val="00311DBE"/>
    <w:rsid w:val="0031242F"/>
    <w:rsid w:val="0031288A"/>
    <w:rsid w:val="00312895"/>
    <w:rsid w:val="003129D1"/>
    <w:rsid w:val="00312DDE"/>
    <w:rsid w:val="003134CC"/>
    <w:rsid w:val="00313A8C"/>
    <w:rsid w:val="00313CE2"/>
    <w:rsid w:val="00314074"/>
    <w:rsid w:val="003141AE"/>
    <w:rsid w:val="003142D5"/>
    <w:rsid w:val="0031430A"/>
    <w:rsid w:val="0031432E"/>
    <w:rsid w:val="003145B4"/>
    <w:rsid w:val="003145F7"/>
    <w:rsid w:val="00315045"/>
    <w:rsid w:val="00315089"/>
    <w:rsid w:val="003150FE"/>
    <w:rsid w:val="003153FD"/>
    <w:rsid w:val="0031559F"/>
    <w:rsid w:val="00315C01"/>
    <w:rsid w:val="00315E61"/>
    <w:rsid w:val="00315FE0"/>
    <w:rsid w:val="003160C2"/>
    <w:rsid w:val="00316475"/>
    <w:rsid w:val="00316523"/>
    <w:rsid w:val="003166E4"/>
    <w:rsid w:val="0031678D"/>
    <w:rsid w:val="00316FD2"/>
    <w:rsid w:val="00317047"/>
    <w:rsid w:val="003175A0"/>
    <w:rsid w:val="00317704"/>
    <w:rsid w:val="00317761"/>
    <w:rsid w:val="00317A44"/>
    <w:rsid w:val="00317F1B"/>
    <w:rsid w:val="00317F69"/>
    <w:rsid w:val="00320051"/>
    <w:rsid w:val="003206A4"/>
    <w:rsid w:val="003206B6"/>
    <w:rsid w:val="00320ABD"/>
    <w:rsid w:val="00320C3A"/>
    <w:rsid w:val="003212CA"/>
    <w:rsid w:val="003218AA"/>
    <w:rsid w:val="00322290"/>
    <w:rsid w:val="003222CC"/>
    <w:rsid w:val="0032255B"/>
    <w:rsid w:val="00322607"/>
    <w:rsid w:val="00322D03"/>
    <w:rsid w:val="00322E3D"/>
    <w:rsid w:val="00323005"/>
    <w:rsid w:val="003230D3"/>
    <w:rsid w:val="00323763"/>
    <w:rsid w:val="003244E2"/>
    <w:rsid w:val="00324855"/>
    <w:rsid w:val="00325382"/>
    <w:rsid w:val="00325E3C"/>
    <w:rsid w:val="003260F4"/>
    <w:rsid w:val="003263DE"/>
    <w:rsid w:val="003265C8"/>
    <w:rsid w:val="00326814"/>
    <w:rsid w:val="00326D95"/>
    <w:rsid w:val="0032744A"/>
    <w:rsid w:val="00327A62"/>
    <w:rsid w:val="00327B4D"/>
    <w:rsid w:val="00327D77"/>
    <w:rsid w:val="00327F44"/>
    <w:rsid w:val="00330372"/>
    <w:rsid w:val="0033043D"/>
    <w:rsid w:val="00330B2A"/>
    <w:rsid w:val="00330BBD"/>
    <w:rsid w:val="00330EBE"/>
    <w:rsid w:val="00330F13"/>
    <w:rsid w:val="003311FE"/>
    <w:rsid w:val="00331427"/>
    <w:rsid w:val="003315EC"/>
    <w:rsid w:val="0033221E"/>
    <w:rsid w:val="0033241A"/>
    <w:rsid w:val="00332449"/>
    <w:rsid w:val="0033278F"/>
    <w:rsid w:val="0033288E"/>
    <w:rsid w:val="00332A1F"/>
    <w:rsid w:val="00332A25"/>
    <w:rsid w:val="00332ABD"/>
    <w:rsid w:val="00333059"/>
    <w:rsid w:val="00333F08"/>
    <w:rsid w:val="0033413F"/>
    <w:rsid w:val="0033428B"/>
    <w:rsid w:val="00334A5B"/>
    <w:rsid w:val="003353A1"/>
    <w:rsid w:val="003354D9"/>
    <w:rsid w:val="0033568E"/>
    <w:rsid w:val="0033572D"/>
    <w:rsid w:val="00335860"/>
    <w:rsid w:val="00335F00"/>
    <w:rsid w:val="00336AEF"/>
    <w:rsid w:val="00336CF5"/>
    <w:rsid w:val="00337863"/>
    <w:rsid w:val="00337874"/>
    <w:rsid w:val="00337FC7"/>
    <w:rsid w:val="00340035"/>
    <w:rsid w:val="00340B04"/>
    <w:rsid w:val="00340B99"/>
    <w:rsid w:val="00340D31"/>
    <w:rsid w:val="00340DC3"/>
    <w:rsid w:val="00341205"/>
    <w:rsid w:val="00341802"/>
    <w:rsid w:val="003424E5"/>
    <w:rsid w:val="00342859"/>
    <w:rsid w:val="00342F4F"/>
    <w:rsid w:val="0034322F"/>
    <w:rsid w:val="00343798"/>
    <w:rsid w:val="00343DFC"/>
    <w:rsid w:val="00344369"/>
    <w:rsid w:val="0034439B"/>
    <w:rsid w:val="0034463E"/>
    <w:rsid w:val="0034475A"/>
    <w:rsid w:val="0034482B"/>
    <w:rsid w:val="00344A1A"/>
    <w:rsid w:val="00344FD6"/>
    <w:rsid w:val="00345853"/>
    <w:rsid w:val="00345CB5"/>
    <w:rsid w:val="00346002"/>
    <w:rsid w:val="003460FC"/>
    <w:rsid w:val="00346116"/>
    <w:rsid w:val="00346438"/>
    <w:rsid w:val="00346439"/>
    <w:rsid w:val="00346885"/>
    <w:rsid w:val="00346B81"/>
    <w:rsid w:val="00347B10"/>
    <w:rsid w:val="00347DCD"/>
    <w:rsid w:val="00350053"/>
    <w:rsid w:val="00350139"/>
    <w:rsid w:val="0035070B"/>
    <w:rsid w:val="00350AC1"/>
    <w:rsid w:val="00350AE7"/>
    <w:rsid w:val="00350CBF"/>
    <w:rsid w:val="00350D15"/>
    <w:rsid w:val="003510BC"/>
    <w:rsid w:val="0035111B"/>
    <w:rsid w:val="003511DE"/>
    <w:rsid w:val="003511EC"/>
    <w:rsid w:val="00351223"/>
    <w:rsid w:val="00351326"/>
    <w:rsid w:val="00351D57"/>
    <w:rsid w:val="003522ED"/>
    <w:rsid w:val="00352790"/>
    <w:rsid w:val="0035305E"/>
    <w:rsid w:val="00353213"/>
    <w:rsid w:val="003539B8"/>
    <w:rsid w:val="003542C3"/>
    <w:rsid w:val="00354591"/>
    <w:rsid w:val="00354FAB"/>
    <w:rsid w:val="003552E7"/>
    <w:rsid w:val="003555CB"/>
    <w:rsid w:val="00355727"/>
    <w:rsid w:val="00355AA2"/>
    <w:rsid w:val="00355C41"/>
    <w:rsid w:val="00355CAA"/>
    <w:rsid w:val="0035606B"/>
    <w:rsid w:val="003562CC"/>
    <w:rsid w:val="003562DA"/>
    <w:rsid w:val="00356722"/>
    <w:rsid w:val="0035765B"/>
    <w:rsid w:val="00360D9A"/>
    <w:rsid w:val="00361107"/>
    <w:rsid w:val="003615BD"/>
    <w:rsid w:val="003623C9"/>
    <w:rsid w:val="00362844"/>
    <w:rsid w:val="003629B1"/>
    <w:rsid w:val="0036301C"/>
    <w:rsid w:val="00363261"/>
    <w:rsid w:val="0036373B"/>
    <w:rsid w:val="00363B64"/>
    <w:rsid w:val="00363E68"/>
    <w:rsid w:val="00363FC8"/>
    <w:rsid w:val="0036414E"/>
    <w:rsid w:val="003647E2"/>
    <w:rsid w:val="00364E6E"/>
    <w:rsid w:val="00364FF8"/>
    <w:rsid w:val="003659A5"/>
    <w:rsid w:val="0036645A"/>
    <w:rsid w:val="0036692F"/>
    <w:rsid w:val="00366BFD"/>
    <w:rsid w:val="00366C1B"/>
    <w:rsid w:val="00366C2C"/>
    <w:rsid w:val="00366D90"/>
    <w:rsid w:val="003678DB"/>
    <w:rsid w:val="00367B4D"/>
    <w:rsid w:val="00367C0E"/>
    <w:rsid w:val="00367EEA"/>
    <w:rsid w:val="00370208"/>
    <w:rsid w:val="0037087A"/>
    <w:rsid w:val="00370DE5"/>
    <w:rsid w:val="003710D1"/>
    <w:rsid w:val="00371268"/>
    <w:rsid w:val="00371801"/>
    <w:rsid w:val="00371A80"/>
    <w:rsid w:val="00371AFF"/>
    <w:rsid w:val="00371D2B"/>
    <w:rsid w:val="00371D84"/>
    <w:rsid w:val="0037200B"/>
    <w:rsid w:val="0037202C"/>
    <w:rsid w:val="0037260D"/>
    <w:rsid w:val="00372B3C"/>
    <w:rsid w:val="00372C83"/>
    <w:rsid w:val="003731E9"/>
    <w:rsid w:val="00373271"/>
    <w:rsid w:val="0037375E"/>
    <w:rsid w:val="00373893"/>
    <w:rsid w:val="00373BCF"/>
    <w:rsid w:val="00373D97"/>
    <w:rsid w:val="00373E15"/>
    <w:rsid w:val="00374150"/>
    <w:rsid w:val="00374A9F"/>
    <w:rsid w:val="00374C73"/>
    <w:rsid w:val="00374CB7"/>
    <w:rsid w:val="0037504E"/>
    <w:rsid w:val="0037562F"/>
    <w:rsid w:val="003758D6"/>
    <w:rsid w:val="003768B1"/>
    <w:rsid w:val="003772B3"/>
    <w:rsid w:val="003773BB"/>
    <w:rsid w:val="0037750C"/>
    <w:rsid w:val="00377FA0"/>
    <w:rsid w:val="003801AE"/>
    <w:rsid w:val="003802CA"/>
    <w:rsid w:val="00380414"/>
    <w:rsid w:val="003807A2"/>
    <w:rsid w:val="003809AD"/>
    <w:rsid w:val="00380AC1"/>
    <w:rsid w:val="00380B51"/>
    <w:rsid w:val="00380BA3"/>
    <w:rsid w:val="00380C83"/>
    <w:rsid w:val="00381599"/>
    <w:rsid w:val="00381896"/>
    <w:rsid w:val="00382B9A"/>
    <w:rsid w:val="00382D4E"/>
    <w:rsid w:val="0038308B"/>
    <w:rsid w:val="003831D1"/>
    <w:rsid w:val="003832A1"/>
    <w:rsid w:val="003833C7"/>
    <w:rsid w:val="003835B5"/>
    <w:rsid w:val="003837A4"/>
    <w:rsid w:val="00383EC6"/>
    <w:rsid w:val="00383FE9"/>
    <w:rsid w:val="00384DA9"/>
    <w:rsid w:val="00384E6B"/>
    <w:rsid w:val="00384F72"/>
    <w:rsid w:val="0038519D"/>
    <w:rsid w:val="003851BB"/>
    <w:rsid w:val="00385428"/>
    <w:rsid w:val="00385982"/>
    <w:rsid w:val="00385B31"/>
    <w:rsid w:val="00385E9F"/>
    <w:rsid w:val="00385EC1"/>
    <w:rsid w:val="00386149"/>
    <w:rsid w:val="00386A84"/>
    <w:rsid w:val="00386FDC"/>
    <w:rsid w:val="003872B4"/>
    <w:rsid w:val="00387753"/>
    <w:rsid w:val="00387C87"/>
    <w:rsid w:val="00387D5C"/>
    <w:rsid w:val="00387D7A"/>
    <w:rsid w:val="0039011E"/>
    <w:rsid w:val="00390232"/>
    <w:rsid w:val="00390904"/>
    <w:rsid w:val="00390A0B"/>
    <w:rsid w:val="00390B3C"/>
    <w:rsid w:val="00390C01"/>
    <w:rsid w:val="00390D4A"/>
    <w:rsid w:val="00390DA6"/>
    <w:rsid w:val="003912C7"/>
    <w:rsid w:val="0039156E"/>
    <w:rsid w:val="00391778"/>
    <w:rsid w:val="00391AA7"/>
    <w:rsid w:val="00391B88"/>
    <w:rsid w:val="00391D1D"/>
    <w:rsid w:val="003920AA"/>
    <w:rsid w:val="00392547"/>
    <w:rsid w:val="0039256B"/>
    <w:rsid w:val="00392D32"/>
    <w:rsid w:val="00392E6C"/>
    <w:rsid w:val="003936B5"/>
    <w:rsid w:val="00393B77"/>
    <w:rsid w:val="00393BEA"/>
    <w:rsid w:val="00393C4F"/>
    <w:rsid w:val="00393F68"/>
    <w:rsid w:val="003940FB"/>
    <w:rsid w:val="0039437C"/>
    <w:rsid w:val="00394809"/>
    <w:rsid w:val="00394AAC"/>
    <w:rsid w:val="003955F2"/>
    <w:rsid w:val="00395607"/>
    <w:rsid w:val="00395833"/>
    <w:rsid w:val="00395B20"/>
    <w:rsid w:val="003962B8"/>
    <w:rsid w:val="003962BD"/>
    <w:rsid w:val="00396537"/>
    <w:rsid w:val="0039673F"/>
    <w:rsid w:val="00396796"/>
    <w:rsid w:val="0039767B"/>
    <w:rsid w:val="00397769"/>
    <w:rsid w:val="00397AF4"/>
    <w:rsid w:val="00397DDE"/>
    <w:rsid w:val="00397E27"/>
    <w:rsid w:val="003A0117"/>
    <w:rsid w:val="003A02B5"/>
    <w:rsid w:val="003A05A2"/>
    <w:rsid w:val="003A0A25"/>
    <w:rsid w:val="003A12EB"/>
    <w:rsid w:val="003A1565"/>
    <w:rsid w:val="003A1775"/>
    <w:rsid w:val="003A1852"/>
    <w:rsid w:val="003A192C"/>
    <w:rsid w:val="003A21D3"/>
    <w:rsid w:val="003A220A"/>
    <w:rsid w:val="003A234E"/>
    <w:rsid w:val="003A243F"/>
    <w:rsid w:val="003A2663"/>
    <w:rsid w:val="003A2DB8"/>
    <w:rsid w:val="003A2F34"/>
    <w:rsid w:val="003A30C8"/>
    <w:rsid w:val="003A3309"/>
    <w:rsid w:val="003A3382"/>
    <w:rsid w:val="003A348A"/>
    <w:rsid w:val="003A3542"/>
    <w:rsid w:val="003A3AF5"/>
    <w:rsid w:val="003A3B25"/>
    <w:rsid w:val="003A4119"/>
    <w:rsid w:val="003A439D"/>
    <w:rsid w:val="003A44C9"/>
    <w:rsid w:val="003A499B"/>
    <w:rsid w:val="003A4A1A"/>
    <w:rsid w:val="003A4C05"/>
    <w:rsid w:val="003A4D5F"/>
    <w:rsid w:val="003A542A"/>
    <w:rsid w:val="003A5925"/>
    <w:rsid w:val="003A59F9"/>
    <w:rsid w:val="003A5C70"/>
    <w:rsid w:val="003A663A"/>
    <w:rsid w:val="003A66B7"/>
    <w:rsid w:val="003A69F0"/>
    <w:rsid w:val="003A69F5"/>
    <w:rsid w:val="003A6B75"/>
    <w:rsid w:val="003A764A"/>
    <w:rsid w:val="003A76E7"/>
    <w:rsid w:val="003A7B56"/>
    <w:rsid w:val="003A7DBB"/>
    <w:rsid w:val="003B0106"/>
    <w:rsid w:val="003B061E"/>
    <w:rsid w:val="003B0FDA"/>
    <w:rsid w:val="003B12EE"/>
    <w:rsid w:val="003B1337"/>
    <w:rsid w:val="003B15D5"/>
    <w:rsid w:val="003B2519"/>
    <w:rsid w:val="003B26C0"/>
    <w:rsid w:val="003B27C6"/>
    <w:rsid w:val="003B3131"/>
    <w:rsid w:val="003B37CD"/>
    <w:rsid w:val="003B41FA"/>
    <w:rsid w:val="003B46E4"/>
    <w:rsid w:val="003B4834"/>
    <w:rsid w:val="003B4B3D"/>
    <w:rsid w:val="003B4D7F"/>
    <w:rsid w:val="003B5856"/>
    <w:rsid w:val="003B5D1B"/>
    <w:rsid w:val="003B5F1A"/>
    <w:rsid w:val="003B680E"/>
    <w:rsid w:val="003B6CC0"/>
    <w:rsid w:val="003B6F84"/>
    <w:rsid w:val="003B7186"/>
    <w:rsid w:val="003B748F"/>
    <w:rsid w:val="003B79E8"/>
    <w:rsid w:val="003B7B33"/>
    <w:rsid w:val="003C08E8"/>
    <w:rsid w:val="003C0C8A"/>
    <w:rsid w:val="003C0EFA"/>
    <w:rsid w:val="003C0F8D"/>
    <w:rsid w:val="003C135E"/>
    <w:rsid w:val="003C168B"/>
    <w:rsid w:val="003C19AE"/>
    <w:rsid w:val="003C1C33"/>
    <w:rsid w:val="003C233C"/>
    <w:rsid w:val="003C25F6"/>
    <w:rsid w:val="003C273B"/>
    <w:rsid w:val="003C29BA"/>
    <w:rsid w:val="003C2AE4"/>
    <w:rsid w:val="003C30BD"/>
    <w:rsid w:val="003C3507"/>
    <w:rsid w:val="003C3E04"/>
    <w:rsid w:val="003C4316"/>
    <w:rsid w:val="003C5153"/>
    <w:rsid w:val="003C558E"/>
    <w:rsid w:val="003C574F"/>
    <w:rsid w:val="003C5DB7"/>
    <w:rsid w:val="003C6833"/>
    <w:rsid w:val="003C6A9E"/>
    <w:rsid w:val="003C6F39"/>
    <w:rsid w:val="003C716C"/>
    <w:rsid w:val="003C7329"/>
    <w:rsid w:val="003C73DA"/>
    <w:rsid w:val="003C7607"/>
    <w:rsid w:val="003C77A5"/>
    <w:rsid w:val="003C78D1"/>
    <w:rsid w:val="003C7CF4"/>
    <w:rsid w:val="003C7E48"/>
    <w:rsid w:val="003C7E5A"/>
    <w:rsid w:val="003D0557"/>
    <w:rsid w:val="003D060C"/>
    <w:rsid w:val="003D07BE"/>
    <w:rsid w:val="003D0A0B"/>
    <w:rsid w:val="003D0C82"/>
    <w:rsid w:val="003D0F25"/>
    <w:rsid w:val="003D155D"/>
    <w:rsid w:val="003D1C1C"/>
    <w:rsid w:val="003D2039"/>
    <w:rsid w:val="003D27DA"/>
    <w:rsid w:val="003D2AA9"/>
    <w:rsid w:val="003D2D29"/>
    <w:rsid w:val="003D322A"/>
    <w:rsid w:val="003D3DD6"/>
    <w:rsid w:val="003D3E78"/>
    <w:rsid w:val="003D44DE"/>
    <w:rsid w:val="003D49A6"/>
    <w:rsid w:val="003D4BB5"/>
    <w:rsid w:val="003D4CDF"/>
    <w:rsid w:val="003D52BF"/>
    <w:rsid w:val="003D536B"/>
    <w:rsid w:val="003D584D"/>
    <w:rsid w:val="003D5B77"/>
    <w:rsid w:val="003D5F40"/>
    <w:rsid w:val="003D65E1"/>
    <w:rsid w:val="003D696A"/>
    <w:rsid w:val="003D6F17"/>
    <w:rsid w:val="003D6F82"/>
    <w:rsid w:val="003D7497"/>
    <w:rsid w:val="003D7768"/>
    <w:rsid w:val="003D7C5E"/>
    <w:rsid w:val="003E02B9"/>
    <w:rsid w:val="003E0817"/>
    <w:rsid w:val="003E0CEE"/>
    <w:rsid w:val="003E0DA2"/>
    <w:rsid w:val="003E143C"/>
    <w:rsid w:val="003E162E"/>
    <w:rsid w:val="003E27EB"/>
    <w:rsid w:val="003E2D83"/>
    <w:rsid w:val="003E3E7C"/>
    <w:rsid w:val="003E4608"/>
    <w:rsid w:val="003E4A5E"/>
    <w:rsid w:val="003E4BF5"/>
    <w:rsid w:val="003E4CEC"/>
    <w:rsid w:val="003E5136"/>
    <w:rsid w:val="003E5455"/>
    <w:rsid w:val="003E580D"/>
    <w:rsid w:val="003E67BC"/>
    <w:rsid w:val="003E6B54"/>
    <w:rsid w:val="003E6BF6"/>
    <w:rsid w:val="003E6E76"/>
    <w:rsid w:val="003E72BE"/>
    <w:rsid w:val="003E7554"/>
    <w:rsid w:val="003E7AB9"/>
    <w:rsid w:val="003F08C0"/>
    <w:rsid w:val="003F0A5E"/>
    <w:rsid w:val="003F1342"/>
    <w:rsid w:val="003F1A92"/>
    <w:rsid w:val="003F1BA7"/>
    <w:rsid w:val="003F1E32"/>
    <w:rsid w:val="003F2048"/>
    <w:rsid w:val="003F2314"/>
    <w:rsid w:val="003F27E7"/>
    <w:rsid w:val="003F2E39"/>
    <w:rsid w:val="003F31C3"/>
    <w:rsid w:val="003F3D95"/>
    <w:rsid w:val="003F40FB"/>
    <w:rsid w:val="003F436F"/>
    <w:rsid w:val="003F4A71"/>
    <w:rsid w:val="003F5288"/>
    <w:rsid w:val="003F55EB"/>
    <w:rsid w:val="003F5D84"/>
    <w:rsid w:val="003F63B0"/>
    <w:rsid w:val="003F65A5"/>
    <w:rsid w:val="003F6625"/>
    <w:rsid w:val="003F6DB9"/>
    <w:rsid w:val="003F70D7"/>
    <w:rsid w:val="003F7483"/>
    <w:rsid w:val="003F7B34"/>
    <w:rsid w:val="003F7C24"/>
    <w:rsid w:val="0040063D"/>
    <w:rsid w:val="004006E9"/>
    <w:rsid w:val="0040092D"/>
    <w:rsid w:val="004009C2"/>
    <w:rsid w:val="00400C5A"/>
    <w:rsid w:val="00400CA6"/>
    <w:rsid w:val="00401211"/>
    <w:rsid w:val="00401575"/>
    <w:rsid w:val="004019F5"/>
    <w:rsid w:val="00402553"/>
    <w:rsid w:val="004028BA"/>
    <w:rsid w:val="00402BCC"/>
    <w:rsid w:val="00402C27"/>
    <w:rsid w:val="00402F97"/>
    <w:rsid w:val="00402FA1"/>
    <w:rsid w:val="00403099"/>
    <w:rsid w:val="0040360C"/>
    <w:rsid w:val="00403AA4"/>
    <w:rsid w:val="00404C67"/>
    <w:rsid w:val="00404D60"/>
    <w:rsid w:val="00405669"/>
    <w:rsid w:val="00406314"/>
    <w:rsid w:val="00406666"/>
    <w:rsid w:val="004066AB"/>
    <w:rsid w:val="00406AF1"/>
    <w:rsid w:val="00406B6C"/>
    <w:rsid w:val="00406B93"/>
    <w:rsid w:val="00406F48"/>
    <w:rsid w:val="00407300"/>
    <w:rsid w:val="004076B4"/>
    <w:rsid w:val="00407B6F"/>
    <w:rsid w:val="00407E6E"/>
    <w:rsid w:val="004100BE"/>
    <w:rsid w:val="004105D1"/>
    <w:rsid w:val="004110DB"/>
    <w:rsid w:val="00411251"/>
    <w:rsid w:val="004117C3"/>
    <w:rsid w:val="00411F3C"/>
    <w:rsid w:val="00411F47"/>
    <w:rsid w:val="0041200F"/>
    <w:rsid w:val="004122B1"/>
    <w:rsid w:val="004122DF"/>
    <w:rsid w:val="00412459"/>
    <w:rsid w:val="004131B6"/>
    <w:rsid w:val="004139A4"/>
    <w:rsid w:val="004146D6"/>
    <w:rsid w:val="004146EF"/>
    <w:rsid w:val="0041481C"/>
    <w:rsid w:val="00414EE6"/>
    <w:rsid w:val="00415088"/>
    <w:rsid w:val="004150B3"/>
    <w:rsid w:val="004157F6"/>
    <w:rsid w:val="004160D5"/>
    <w:rsid w:val="00416107"/>
    <w:rsid w:val="0041729C"/>
    <w:rsid w:val="00417623"/>
    <w:rsid w:val="0041763A"/>
    <w:rsid w:val="00417B05"/>
    <w:rsid w:val="00420030"/>
    <w:rsid w:val="00420083"/>
    <w:rsid w:val="004201B9"/>
    <w:rsid w:val="00420368"/>
    <w:rsid w:val="004204DD"/>
    <w:rsid w:val="00420BDB"/>
    <w:rsid w:val="00420E09"/>
    <w:rsid w:val="00421155"/>
    <w:rsid w:val="004211DF"/>
    <w:rsid w:val="0042125F"/>
    <w:rsid w:val="0042131F"/>
    <w:rsid w:val="00421601"/>
    <w:rsid w:val="00421A1E"/>
    <w:rsid w:val="00422034"/>
    <w:rsid w:val="00422178"/>
    <w:rsid w:val="00422302"/>
    <w:rsid w:val="0042285C"/>
    <w:rsid w:val="00422A3E"/>
    <w:rsid w:val="00422A86"/>
    <w:rsid w:val="00422BFE"/>
    <w:rsid w:val="00422C06"/>
    <w:rsid w:val="00423361"/>
    <w:rsid w:val="00423870"/>
    <w:rsid w:val="00423A2B"/>
    <w:rsid w:val="00423CA4"/>
    <w:rsid w:val="00424103"/>
    <w:rsid w:val="004242A9"/>
    <w:rsid w:val="0042469B"/>
    <w:rsid w:val="00424A40"/>
    <w:rsid w:val="004250F3"/>
    <w:rsid w:val="00425512"/>
    <w:rsid w:val="00425AA0"/>
    <w:rsid w:val="00425C7F"/>
    <w:rsid w:val="00425FC9"/>
    <w:rsid w:val="00426181"/>
    <w:rsid w:val="00426224"/>
    <w:rsid w:val="004262D9"/>
    <w:rsid w:val="00426B53"/>
    <w:rsid w:val="00427A30"/>
    <w:rsid w:val="0043023C"/>
    <w:rsid w:val="00430289"/>
    <w:rsid w:val="00430602"/>
    <w:rsid w:val="004308CC"/>
    <w:rsid w:val="0043139F"/>
    <w:rsid w:val="00431583"/>
    <w:rsid w:val="004315D7"/>
    <w:rsid w:val="00431A66"/>
    <w:rsid w:val="00431FEB"/>
    <w:rsid w:val="00432122"/>
    <w:rsid w:val="00432462"/>
    <w:rsid w:val="0043254C"/>
    <w:rsid w:val="004326AF"/>
    <w:rsid w:val="0043272D"/>
    <w:rsid w:val="00432F55"/>
    <w:rsid w:val="00433565"/>
    <w:rsid w:val="00434002"/>
    <w:rsid w:val="004341B5"/>
    <w:rsid w:val="0043498D"/>
    <w:rsid w:val="00434A9A"/>
    <w:rsid w:val="00435017"/>
    <w:rsid w:val="004351E0"/>
    <w:rsid w:val="004353BA"/>
    <w:rsid w:val="004354B2"/>
    <w:rsid w:val="00435702"/>
    <w:rsid w:val="00435F63"/>
    <w:rsid w:val="0043617A"/>
    <w:rsid w:val="00436405"/>
    <w:rsid w:val="00436C0C"/>
    <w:rsid w:val="00436C20"/>
    <w:rsid w:val="00436CCF"/>
    <w:rsid w:val="00436F6C"/>
    <w:rsid w:val="00436FE4"/>
    <w:rsid w:val="004371E8"/>
    <w:rsid w:val="004378FC"/>
    <w:rsid w:val="00437A49"/>
    <w:rsid w:val="00437D8F"/>
    <w:rsid w:val="00440240"/>
    <w:rsid w:val="0044094B"/>
    <w:rsid w:val="0044097C"/>
    <w:rsid w:val="004409B9"/>
    <w:rsid w:val="00440A13"/>
    <w:rsid w:val="00440A54"/>
    <w:rsid w:val="00440B93"/>
    <w:rsid w:val="00440D6C"/>
    <w:rsid w:val="00440FC5"/>
    <w:rsid w:val="004419C4"/>
    <w:rsid w:val="00441D5E"/>
    <w:rsid w:val="004427DD"/>
    <w:rsid w:val="00442E3B"/>
    <w:rsid w:val="00443701"/>
    <w:rsid w:val="0044390E"/>
    <w:rsid w:val="00444042"/>
    <w:rsid w:val="00444059"/>
    <w:rsid w:val="00444606"/>
    <w:rsid w:val="004446AA"/>
    <w:rsid w:val="00444A4B"/>
    <w:rsid w:val="00444C44"/>
    <w:rsid w:val="00445000"/>
    <w:rsid w:val="004452D9"/>
    <w:rsid w:val="00445C6D"/>
    <w:rsid w:val="004461B4"/>
    <w:rsid w:val="00446727"/>
    <w:rsid w:val="004469CC"/>
    <w:rsid w:val="00446A73"/>
    <w:rsid w:val="00446D66"/>
    <w:rsid w:val="00447118"/>
    <w:rsid w:val="00447A65"/>
    <w:rsid w:val="00447AF4"/>
    <w:rsid w:val="004501C5"/>
    <w:rsid w:val="004501E9"/>
    <w:rsid w:val="004504C0"/>
    <w:rsid w:val="00450921"/>
    <w:rsid w:val="00450C39"/>
    <w:rsid w:val="00451171"/>
    <w:rsid w:val="004516B2"/>
    <w:rsid w:val="00451880"/>
    <w:rsid w:val="00451E9F"/>
    <w:rsid w:val="00452008"/>
    <w:rsid w:val="004520C1"/>
    <w:rsid w:val="004523D2"/>
    <w:rsid w:val="004524E8"/>
    <w:rsid w:val="004526F0"/>
    <w:rsid w:val="0045282A"/>
    <w:rsid w:val="00452AB9"/>
    <w:rsid w:val="00453030"/>
    <w:rsid w:val="00453118"/>
    <w:rsid w:val="00453131"/>
    <w:rsid w:val="004532C1"/>
    <w:rsid w:val="0045371B"/>
    <w:rsid w:val="00453A17"/>
    <w:rsid w:val="004542B1"/>
    <w:rsid w:val="004543F7"/>
    <w:rsid w:val="00454410"/>
    <w:rsid w:val="004548D2"/>
    <w:rsid w:val="00455252"/>
    <w:rsid w:val="00455282"/>
    <w:rsid w:val="00455F2C"/>
    <w:rsid w:val="0045652B"/>
    <w:rsid w:val="00456A0F"/>
    <w:rsid w:val="00456BAE"/>
    <w:rsid w:val="004573F6"/>
    <w:rsid w:val="00457A98"/>
    <w:rsid w:val="00457AA7"/>
    <w:rsid w:val="00457DB4"/>
    <w:rsid w:val="00460020"/>
    <w:rsid w:val="0046013E"/>
    <w:rsid w:val="0046034D"/>
    <w:rsid w:val="004609C3"/>
    <w:rsid w:val="00460A25"/>
    <w:rsid w:val="00460A6C"/>
    <w:rsid w:val="00460EBE"/>
    <w:rsid w:val="00460F9D"/>
    <w:rsid w:val="004613CD"/>
    <w:rsid w:val="00461468"/>
    <w:rsid w:val="00461597"/>
    <w:rsid w:val="0046178F"/>
    <w:rsid w:val="004617A1"/>
    <w:rsid w:val="004617BA"/>
    <w:rsid w:val="00462372"/>
    <w:rsid w:val="00462677"/>
    <w:rsid w:val="0046290E"/>
    <w:rsid w:val="00462CE9"/>
    <w:rsid w:val="004630F4"/>
    <w:rsid w:val="0046326C"/>
    <w:rsid w:val="0046365B"/>
    <w:rsid w:val="004638F8"/>
    <w:rsid w:val="00464505"/>
    <w:rsid w:val="00464C4C"/>
    <w:rsid w:val="00464D91"/>
    <w:rsid w:val="00464DB2"/>
    <w:rsid w:val="00465220"/>
    <w:rsid w:val="00465650"/>
    <w:rsid w:val="00465A21"/>
    <w:rsid w:val="00465BDA"/>
    <w:rsid w:val="00465EED"/>
    <w:rsid w:val="00466023"/>
    <w:rsid w:val="00466029"/>
    <w:rsid w:val="004663FD"/>
    <w:rsid w:val="00466951"/>
    <w:rsid w:val="00466CBE"/>
    <w:rsid w:val="00467168"/>
    <w:rsid w:val="004673CA"/>
    <w:rsid w:val="004674C6"/>
    <w:rsid w:val="0046756E"/>
    <w:rsid w:val="004675E2"/>
    <w:rsid w:val="004679A7"/>
    <w:rsid w:val="00467E78"/>
    <w:rsid w:val="004702F4"/>
    <w:rsid w:val="00470353"/>
    <w:rsid w:val="00470524"/>
    <w:rsid w:val="004709DC"/>
    <w:rsid w:val="00470A17"/>
    <w:rsid w:val="00470E2C"/>
    <w:rsid w:val="0047107D"/>
    <w:rsid w:val="004710A4"/>
    <w:rsid w:val="00471EF3"/>
    <w:rsid w:val="0047239B"/>
    <w:rsid w:val="00472BEE"/>
    <w:rsid w:val="00472D46"/>
    <w:rsid w:val="0047358C"/>
    <w:rsid w:val="00473603"/>
    <w:rsid w:val="00473711"/>
    <w:rsid w:val="00473CAA"/>
    <w:rsid w:val="004740C3"/>
    <w:rsid w:val="004745E1"/>
    <w:rsid w:val="00474780"/>
    <w:rsid w:val="00474ABB"/>
    <w:rsid w:val="00474FDB"/>
    <w:rsid w:val="004750FF"/>
    <w:rsid w:val="004751BE"/>
    <w:rsid w:val="004753A1"/>
    <w:rsid w:val="00475F7B"/>
    <w:rsid w:val="00476320"/>
    <w:rsid w:val="00476417"/>
    <w:rsid w:val="004769BD"/>
    <w:rsid w:val="00476A1F"/>
    <w:rsid w:val="00476C98"/>
    <w:rsid w:val="0047717E"/>
    <w:rsid w:val="004776E2"/>
    <w:rsid w:val="0047771A"/>
    <w:rsid w:val="004801C9"/>
    <w:rsid w:val="0048030D"/>
    <w:rsid w:val="004804D2"/>
    <w:rsid w:val="004806DF"/>
    <w:rsid w:val="00480944"/>
    <w:rsid w:val="004816AC"/>
    <w:rsid w:val="0048173D"/>
    <w:rsid w:val="00481E5A"/>
    <w:rsid w:val="00481E5C"/>
    <w:rsid w:val="00481EE3"/>
    <w:rsid w:val="00482099"/>
    <w:rsid w:val="004829D2"/>
    <w:rsid w:val="00482C6A"/>
    <w:rsid w:val="00482DCE"/>
    <w:rsid w:val="00482E1F"/>
    <w:rsid w:val="00483189"/>
    <w:rsid w:val="00483485"/>
    <w:rsid w:val="0048360D"/>
    <w:rsid w:val="00483D04"/>
    <w:rsid w:val="00483DA5"/>
    <w:rsid w:val="0048408C"/>
    <w:rsid w:val="004842C7"/>
    <w:rsid w:val="004843D0"/>
    <w:rsid w:val="00484614"/>
    <w:rsid w:val="0048466A"/>
    <w:rsid w:val="004849C2"/>
    <w:rsid w:val="00484B11"/>
    <w:rsid w:val="00484D40"/>
    <w:rsid w:val="00484D96"/>
    <w:rsid w:val="004854AF"/>
    <w:rsid w:val="00485901"/>
    <w:rsid w:val="00485BB2"/>
    <w:rsid w:val="00486242"/>
    <w:rsid w:val="00486312"/>
    <w:rsid w:val="004865E6"/>
    <w:rsid w:val="004867A4"/>
    <w:rsid w:val="004869D5"/>
    <w:rsid w:val="00486CE8"/>
    <w:rsid w:val="00487A73"/>
    <w:rsid w:val="00487C27"/>
    <w:rsid w:val="00490143"/>
    <w:rsid w:val="0049021C"/>
    <w:rsid w:val="0049077B"/>
    <w:rsid w:val="00490F2B"/>
    <w:rsid w:val="00491767"/>
    <w:rsid w:val="00491898"/>
    <w:rsid w:val="00491D08"/>
    <w:rsid w:val="00491DEB"/>
    <w:rsid w:val="00491F2B"/>
    <w:rsid w:val="00492D13"/>
    <w:rsid w:val="00492E09"/>
    <w:rsid w:val="00492FAF"/>
    <w:rsid w:val="004930A6"/>
    <w:rsid w:val="0049350F"/>
    <w:rsid w:val="0049371C"/>
    <w:rsid w:val="004939EE"/>
    <w:rsid w:val="00493A13"/>
    <w:rsid w:val="004940F7"/>
    <w:rsid w:val="004945C9"/>
    <w:rsid w:val="00494BB7"/>
    <w:rsid w:val="00494E14"/>
    <w:rsid w:val="00494FD2"/>
    <w:rsid w:val="00494FE3"/>
    <w:rsid w:val="00495011"/>
    <w:rsid w:val="004952D9"/>
    <w:rsid w:val="004958EE"/>
    <w:rsid w:val="00495A84"/>
    <w:rsid w:val="00495BE3"/>
    <w:rsid w:val="00495C19"/>
    <w:rsid w:val="00495C94"/>
    <w:rsid w:val="00495D11"/>
    <w:rsid w:val="00496262"/>
    <w:rsid w:val="004965C1"/>
    <w:rsid w:val="00496AE6"/>
    <w:rsid w:val="00496C76"/>
    <w:rsid w:val="00496CD5"/>
    <w:rsid w:val="00496F85"/>
    <w:rsid w:val="00497709"/>
    <w:rsid w:val="004A0461"/>
    <w:rsid w:val="004A0513"/>
    <w:rsid w:val="004A08C9"/>
    <w:rsid w:val="004A0B28"/>
    <w:rsid w:val="004A0C20"/>
    <w:rsid w:val="004A0C9E"/>
    <w:rsid w:val="004A0F1A"/>
    <w:rsid w:val="004A0F3A"/>
    <w:rsid w:val="004A178B"/>
    <w:rsid w:val="004A1A46"/>
    <w:rsid w:val="004A218C"/>
    <w:rsid w:val="004A27B8"/>
    <w:rsid w:val="004A3451"/>
    <w:rsid w:val="004A3BB2"/>
    <w:rsid w:val="004A415B"/>
    <w:rsid w:val="004A43AB"/>
    <w:rsid w:val="004A4431"/>
    <w:rsid w:val="004A4D21"/>
    <w:rsid w:val="004A53E6"/>
    <w:rsid w:val="004A58BB"/>
    <w:rsid w:val="004A5C36"/>
    <w:rsid w:val="004A5D0D"/>
    <w:rsid w:val="004A5FBB"/>
    <w:rsid w:val="004A65CD"/>
    <w:rsid w:val="004A68CD"/>
    <w:rsid w:val="004A6CC4"/>
    <w:rsid w:val="004A7183"/>
    <w:rsid w:val="004A7543"/>
    <w:rsid w:val="004A7C57"/>
    <w:rsid w:val="004B0457"/>
    <w:rsid w:val="004B0703"/>
    <w:rsid w:val="004B122E"/>
    <w:rsid w:val="004B1641"/>
    <w:rsid w:val="004B1ACA"/>
    <w:rsid w:val="004B1BFC"/>
    <w:rsid w:val="004B1C4B"/>
    <w:rsid w:val="004B22E6"/>
    <w:rsid w:val="004B2775"/>
    <w:rsid w:val="004B2978"/>
    <w:rsid w:val="004B2B0C"/>
    <w:rsid w:val="004B2BAB"/>
    <w:rsid w:val="004B2EDE"/>
    <w:rsid w:val="004B30A0"/>
    <w:rsid w:val="004B30D4"/>
    <w:rsid w:val="004B31C1"/>
    <w:rsid w:val="004B3713"/>
    <w:rsid w:val="004B3AA3"/>
    <w:rsid w:val="004B3E7A"/>
    <w:rsid w:val="004B479D"/>
    <w:rsid w:val="004B4B4A"/>
    <w:rsid w:val="004B54D7"/>
    <w:rsid w:val="004B56DF"/>
    <w:rsid w:val="004B58AD"/>
    <w:rsid w:val="004B5A04"/>
    <w:rsid w:val="004B5BBD"/>
    <w:rsid w:val="004B5E4C"/>
    <w:rsid w:val="004B61CD"/>
    <w:rsid w:val="004B65D7"/>
    <w:rsid w:val="004B6673"/>
    <w:rsid w:val="004B6C66"/>
    <w:rsid w:val="004B6F57"/>
    <w:rsid w:val="004B7554"/>
    <w:rsid w:val="004B7863"/>
    <w:rsid w:val="004B7B3B"/>
    <w:rsid w:val="004C010C"/>
    <w:rsid w:val="004C0764"/>
    <w:rsid w:val="004C0935"/>
    <w:rsid w:val="004C1660"/>
    <w:rsid w:val="004C1B5B"/>
    <w:rsid w:val="004C1C2D"/>
    <w:rsid w:val="004C20D1"/>
    <w:rsid w:val="004C214F"/>
    <w:rsid w:val="004C25B2"/>
    <w:rsid w:val="004C2813"/>
    <w:rsid w:val="004C30C3"/>
    <w:rsid w:val="004C3101"/>
    <w:rsid w:val="004C3123"/>
    <w:rsid w:val="004C36B0"/>
    <w:rsid w:val="004C388F"/>
    <w:rsid w:val="004C3BAA"/>
    <w:rsid w:val="004C3E50"/>
    <w:rsid w:val="004C3E5E"/>
    <w:rsid w:val="004C4746"/>
    <w:rsid w:val="004C4A8F"/>
    <w:rsid w:val="004C5129"/>
    <w:rsid w:val="004C5777"/>
    <w:rsid w:val="004C5A0A"/>
    <w:rsid w:val="004C5D96"/>
    <w:rsid w:val="004C6166"/>
    <w:rsid w:val="004C64A5"/>
    <w:rsid w:val="004C66F1"/>
    <w:rsid w:val="004C6A48"/>
    <w:rsid w:val="004C7028"/>
    <w:rsid w:val="004C7244"/>
    <w:rsid w:val="004C7606"/>
    <w:rsid w:val="004C7D4A"/>
    <w:rsid w:val="004C7E8C"/>
    <w:rsid w:val="004D0082"/>
    <w:rsid w:val="004D0660"/>
    <w:rsid w:val="004D101F"/>
    <w:rsid w:val="004D111B"/>
    <w:rsid w:val="004D12F4"/>
    <w:rsid w:val="004D179D"/>
    <w:rsid w:val="004D197A"/>
    <w:rsid w:val="004D19AB"/>
    <w:rsid w:val="004D1B32"/>
    <w:rsid w:val="004D1C55"/>
    <w:rsid w:val="004D1CCE"/>
    <w:rsid w:val="004D1DBD"/>
    <w:rsid w:val="004D1F08"/>
    <w:rsid w:val="004D21DD"/>
    <w:rsid w:val="004D22D8"/>
    <w:rsid w:val="004D28A5"/>
    <w:rsid w:val="004D29AD"/>
    <w:rsid w:val="004D2C61"/>
    <w:rsid w:val="004D3587"/>
    <w:rsid w:val="004D364E"/>
    <w:rsid w:val="004D38CD"/>
    <w:rsid w:val="004D3A51"/>
    <w:rsid w:val="004D3BAF"/>
    <w:rsid w:val="004D4095"/>
    <w:rsid w:val="004D47CB"/>
    <w:rsid w:val="004D4EF6"/>
    <w:rsid w:val="004D5038"/>
    <w:rsid w:val="004D50DB"/>
    <w:rsid w:val="004D5EA7"/>
    <w:rsid w:val="004D63B4"/>
    <w:rsid w:val="004D665D"/>
    <w:rsid w:val="004D666F"/>
    <w:rsid w:val="004D6CE9"/>
    <w:rsid w:val="004D6D22"/>
    <w:rsid w:val="004D6FD5"/>
    <w:rsid w:val="004D7329"/>
    <w:rsid w:val="004D7535"/>
    <w:rsid w:val="004D77D2"/>
    <w:rsid w:val="004D79F7"/>
    <w:rsid w:val="004D7D92"/>
    <w:rsid w:val="004E01D4"/>
    <w:rsid w:val="004E0460"/>
    <w:rsid w:val="004E0598"/>
    <w:rsid w:val="004E064B"/>
    <w:rsid w:val="004E06B6"/>
    <w:rsid w:val="004E088D"/>
    <w:rsid w:val="004E0D98"/>
    <w:rsid w:val="004E0FE7"/>
    <w:rsid w:val="004E1248"/>
    <w:rsid w:val="004E1CFF"/>
    <w:rsid w:val="004E2056"/>
    <w:rsid w:val="004E22F7"/>
    <w:rsid w:val="004E26B0"/>
    <w:rsid w:val="004E2F19"/>
    <w:rsid w:val="004E3367"/>
    <w:rsid w:val="004E338D"/>
    <w:rsid w:val="004E34B6"/>
    <w:rsid w:val="004E35C8"/>
    <w:rsid w:val="004E37C4"/>
    <w:rsid w:val="004E3D53"/>
    <w:rsid w:val="004E4684"/>
    <w:rsid w:val="004E4B35"/>
    <w:rsid w:val="004E4EBC"/>
    <w:rsid w:val="004E518E"/>
    <w:rsid w:val="004E55DF"/>
    <w:rsid w:val="004E57CD"/>
    <w:rsid w:val="004E58F9"/>
    <w:rsid w:val="004E5BE6"/>
    <w:rsid w:val="004E5CA8"/>
    <w:rsid w:val="004E5E79"/>
    <w:rsid w:val="004E6218"/>
    <w:rsid w:val="004E65FD"/>
    <w:rsid w:val="004E6DB9"/>
    <w:rsid w:val="004E7376"/>
    <w:rsid w:val="004E7744"/>
    <w:rsid w:val="004F0121"/>
    <w:rsid w:val="004F01F7"/>
    <w:rsid w:val="004F04C7"/>
    <w:rsid w:val="004F0613"/>
    <w:rsid w:val="004F0986"/>
    <w:rsid w:val="004F0B32"/>
    <w:rsid w:val="004F0C0D"/>
    <w:rsid w:val="004F0F2A"/>
    <w:rsid w:val="004F11AA"/>
    <w:rsid w:val="004F1721"/>
    <w:rsid w:val="004F1B37"/>
    <w:rsid w:val="004F1F77"/>
    <w:rsid w:val="004F2444"/>
    <w:rsid w:val="004F2B0A"/>
    <w:rsid w:val="004F30E5"/>
    <w:rsid w:val="004F34DE"/>
    <w:rsid w:val="004F3BCE"/>
    <w:rsid w:val="004F3DDD"/>
    <w:rsid w:val="004F41AA"/>
    <w:rsid w:val="004F452E"/>
    <w:rsid w:val="004F4633"/>
    <w:rsid w:val="004F51B0"/>
    <w:rsid w:val="004F53E3"/>
    <w:rsid w:val="004F54A6"/>
    <w:rsid w:val="004F5667"/>
    <w:rsid w:val="004F57D6"/>
    <w:rsid w:val="004F5890"/>
    <w:rsid w:val="004F59E8"/>
    <w:rsid w:val="004F695C"/>
    <w:rsid w:val="004F7C46"/>
    <w:rsid w:val="0050008D"/>
    <w:rsid w:val="005001E0"/>
    <w:rsid w:val="00500601"/>
    <w:rsid w:val="00500A17"/>
    <w:rsid w:val="00500E97"/>
    <w:rsid w:val="005010CE"/>
    <w:rsid w:val="00501565"/>
    <w:rsid w:val="00501567"/>
    <w:rsid w:val="0050173E"/>
    <w:rsid w:val="005017B3"/>
    <w:rsid w:val="0050199E"/>
    <w:rsid w:val="00501B94"/>
    <w:rsid w:val="00503133"/>
    <w:rsid w:val="0050331E"/>
    <w:rsid w:val="005037B4"/>
    <w:rsid w:val="00503D00"/>
    <w:rsid w:val="00504256"/>
    <w:rsid w:val="005042C8"/>
    <w:rsid w:val="00504DFA"/>
    <w:rsid w:val="00504FA3"/>
    <w:rsid w:val="0050584A"/>
    <w:rsid w:val="00505E5C"/>
    <w:rsid w:val="00506CA3"/>
    <w:rsid w:val="005070BA"/>
    <w:rsid w:val="00507137"/>
    <w:rsid w:val="0050720C"/>
    <w:rsid w:val="00507339"/>
    <w:rsid w:val="00507510"/>
    <w:rsid w:val="0050789D"/>
    <w:rsid w:val="00507A22"/>
    <w:rsid w:val="00507B1A"/>
    <w:rsid w:val="00510005"/>
    <w:rsid w:val="00510283"/>
    <w:rsid w:val="00510D37"/>
    <w:rsid w:val="00510E28"/>
    <w:rsid w:val="00510ECD"/>
    <w:rsid w:val="00511B17"/>
    <w:rsid w:val="00511C65"/>
    <w:rsid w:val="00511FBD"/>
    <w:rsid w:val="00512790"/>
    <w:rsid w:val="005128C1"/>
    <w:rsid w:val="00512D01"/>
    <w:rsid w:val="00512DE3"/>
    <w:rsid w:val="00512F6D"/>
    <w:rsid w:val="00512F8A"/>
    <w:rsid w:val="0051343D"/>
    <w:rsid w:val="0051375A"/>
    <w:rsid w:val="0051382A"/>
    <w:rsid w:val="005140B6"/>
    <w:rsid w:val="0051433A"/>
    <w:rsid w:val="0051436F"/>
    <w:rsid w:val="005143D3"/>
    <w:rsid w:val="00514A6A"/>
    <w:rsid w:val="00514B87"/>
    <w:rsid w:val="00514BDF"/>
    <w:rsid w:val="0051562F"/>
    <w:rsid w:val="005156EC"/>
    <w:rsid w:val="005157FE"/>
    <w:rsid w:val="0051582A"/>
    <w:rsid w:val="00516012"/>
    <w:rsid w:val="005175A1"/>
    <w:rsid w:val="005178CD"/>
    <w:rsid w:val="00517B2A"/>
    <w:rsid w:val="00517E1F"/>
    <w:rsid w:val="00520613"/>
    <w:rsid w:val="00520C7A"/>
    <w:rsid w:val="00520C7E"/>
    <w:rsid w:val="00520DC7"/>
    <w:rsid w:val="00520F74"/>
    <w:rsid w:val="00520F90"/>
    <w:rsid w:val="005211B2"/>
    <w:rsid w:val="0052123B"/>
    <w:rsid w:val="00521BBD"/>
    <w:rsid w:val="00522086"/>
    <w:rsid w:val="00522BCD"/>
    <w:rsid w:val="00522EF0"/>
    <w:rsid w:val="0052339E"/>
    <w:rsid w:val="00523D26"/>
    <w:rsid w:val="0052405C"/>
    <w:rsid w:val="00524571"/>
    <w:rsid w:val="005247D4"/>
    <w:rsid w:val="00524D54"/>
    <w:rsid w:val="00524D83"/>
    <w:rsid w:val="00525426"/>
    <w:rsid w:val="00525795"/>
    <w:rsid w:val="0052616C"/>
    <w:rsid w:val="005263C0"/>
    <w:rsid w:val="00526990"/>
    <w:rsid w:val="0052722F"/>
    <w:rsid w:val="005273A8"/>
    <w:rsid w:val="0052760E"/>
    <w:rsid w:val="00527683"/>
    <w:rsid w:val="005277CC"/>
    <w:rsid w:val="005279A6"/>
    <w:rsid w:val="005279BD"/>
    <w:rsid w:val="00527C56"/>
    <w:rsid w:val="00527DC9"/>
    <w:rsid w:val="00527E28"/>
    <w:rsid w:val="00527ECE"/>
    <w:rsid w:val="00530132"/>
    <w:rsid w:val="0053036A"/>
    <w:rsid w:val="005307BD"/>
    <w:rsid w:val="00531532"/>
    <w:rsid w:val="00531845"/>
    <w:rsid w:val="005319F0"/>
    <w:rsid w:val="005320BC"/>
    <w:rsid w:val="00532975"/>
    <w:rsid w:val="00533846"/>
    <w:rsid w:val="00533989"/>
    <w:rsid w:val="0053437C"/>
    <w:rsid w:val="005347BE"/>
    <w:rsid w:val="005347C8"/>
    <w:rsid w:val="00534844"/>
    <w:rsid w:val="00535503"/>
    <w:rsid w:val="00535BE1"/>
    <w:rsid w:val="00535D94"/>
    <w:rsid w:val="00536240"/>
    <w:rsid w:val="005362D9"/>
    <w:rsid w:val="00536423"/>
    <w:rsid w:val="005368A7"/>
    <w:rsid w:val="00536C7F"/>
    <w:rsid w:val="0053716D"/>
    <w:rsid w:val="005378AA"/>
    <w:rsid w:val="00537B76"/>
    <w:rsid w:val="00537B9E"/>
    <w:rsid w:val="005400B6"/>
    <w:rsid w:val="0054044E"/>
    <w:rsid w:val="0054072B"/>
    <w:rsid w:val="005408BC"/>
    <w:rsid w:val="00540B4A"/>
    <w:rsid w:val="00540D11"/>
    <w:rsid w:val="005417CC"/>
    <w:rsid w:val="005418A1"/>
    <w:rsid w:val="00541A54"/>
    <w:rsid w:val="00541BF1"/>
    <w:rsid w:val="00542005"/>
    <w:rsid w:val="005422A7"/>
    <w:rsid w:val="00542655"/>
    <w:rsid w:val="005427A8"/>
    <w:rsid w:val="0054314E"/>
    <w:rsid w:val="0054349A"/>
    <w:rsid w:val="005434A4"/>
    <w:rsid w:val="0054389B"/>
    <w:rsid w:val="00544585"/>
    <w:rsid w:val="005445C6"/>
    <w:rsid w:val="00544849"/>
    <w:rsid w:val="005448E8"/>
    <w:rsid w:val="005448ED"/>
    <w:rsid w:val="00544C0C"/>
    <w:rsid w:val="00544DFD"/>
    <w:rsid w:val="00545B6E"/>
    <w:rsid w:val="005461D4"/>
    <w:rsid w:val="00546B78"/>
    <w:rsid w:val="0054729E"/>
    <w:rsid w:val="005472F2"/>
    <w:rsid w:val="00547BCC"/>
    <w:rsid w:val="00547FF2"/>
    <w:rsid w:val="0055015F"/>
    <w:rsid w:val="00550499"/>
    <w:rsid w:val="00551433"/>
    <w:rsid w:val="00551A10"/>
    <w:rsid w:val="00551CF1"/>
    <w:rsid w:val="00551E34"/>
    <w:rsid w:val="00551EA8"/>
    <w:rsid w:val="00551F5B"/>
    <w:rsid w:val="005524B1"/>
    <w:rsid w:val="00552860"/>
    <w:rsid w:val="0055291F"/>
    <w:rsid w:val="00552A30"/>
    <w:rsid w:val="00552D49"/>
    <w:rsid w:val="00552E29"/>
    <w:rsid w:val="00553343"/>
    <w:rsid w:val="005533CB"/>
    <w:rsid w:val="00553571"/>
    <w:rsid w:val="0055364C"/>
    <w:rsid w:val="00553994"/>
    <w:rsid w:val="00553D64"/>
    <w:rsid w:val="00553E1E"/>
    <w:rsid w:val="00553F68"/>
    <w:rsid w:val="005540A0"/>
    <w:rsid w:val="00554B18"/>
    <w:rsid w:val="005551D8"/>
    <w:rsid w:val="00555284"/>
    <w:rsid w:val="0055597C"/>
    <w:rsid w:val="00555B06"/>
    <w:rsid w:val="0055626A"/>
    <w:rsid w:val="00556B18"/>
    <w:rsid w:val="00556B19"/>
    <w:rsid w:val="00557006"/>
    <w:rsid w:val="0055761D"/>
    <w:rsid w:val="00557744"/>
    <w:rsid w:val="00557F37"/>
    <w:rsid w:val="005605C1"/>
    <w:rsid w:val="0056064F"/>
    <w:rsid w:val="00560931"/>
    <w:rsid w:val="00560B6B"/>
    <w:rsid w:val="005613A7"/>
    <w:rsid w:val="005615E5"/>
    <w:rsid w:val="005618B9"/>
    <w:rsid w:val="005619D9"/>
    <w:rsid w:val="00561A07"/>
    <w:rsid w:val="00561A36"/>
    <w:rsid w:val="00561B04"/>
    <w:rsid w:val="00561DF4"/>
    <w:rsid w:val="00561F93"/>
    <w:rsid w:val="0056203E"/>
    <w:rsid w:val="0056216B"/>
    <w:rsid w:val="005623EF"/>
    <w:rsid w:val="005626D9"/>
    <w:rsid w:val="00562CB6"/>
    <w:rsid w:val="00562D12"/>
    <w:rsid w:val="00562D74"/>
    <w:rsid w:val="0056356F"/>
    <w:rsid w:val="00563836"/>
    <w:rsid w:val="00563DD9"/>
    <w:rsid w:val="00564795"/>
    <w:rsid w:val="005647E2"/>
    <w:rsid w:val="00564801"/>
    <w:rsid w:val="00564BD6"/>
    <w:rsid w:val="00564D45"/>
    <w:rsid w:val="005656C6"/>
    <w:rsid w:val="005656F9"/>
    <w:rsid w:val="00565747"/>
    <w:rsid w:val="00565CA5"/>
    <w:rsid w:val="0056636B"/>
    <w:rsid w:val="00566707"/>
    <w:rsid w:val="00566D46"/>
    <w:rsid w:val="00566FC3"/>
    <w:rsid w:val="005673EF"/>
    <w:rsid w:val="00567945"/>
    <w:rsid w:val="00567BE5"/>
    <w:rsid w:val="00567D5C"/>
    <w:rsid w:val="00570133"/>
    <w:rsid w:val="00570A9E"/>
    <w:rsid w:val="00570EC0"/>
    <w:rsid w:val="00570FDF"/>
    <w:rsid w:val="00570FFB"/>
    <w:rsid w:val="00571284"/>
    <w:rsid w:val="00571D42"/>
    <w:rsid w:val="005720F9"/>
    <w:rsid w:val="00572130"/>
    <w:rsid w:val="00572171"/>
    <w:rsid w:val="00572184"/>
    <w:rsid w:val="00572478"/>
    <w:rsid w:val="005725FD"/>
    <w:rsid w:val="0057276F"/>
    <w:rsid w:val="0057290B"/>
    <w:rsid w:val="00572F27"/>
    <w:rsid w:val="005739F7"/>
    <w:rsid w:val="005740B9"/>
    <w:rsid w:val="00574317"/>
    <w:rsid w:val="00574D1F"/>
    <w:rsid w:val="00575877"/>
    <w:rsid w:val="005764F7"/>
    <w:rsid w:val="00576629"/>
    <w:rsid w:val="005767A9"/>
    <w:rsid w:val="00576A17"/>
    <w:rsid w:val="00576B73"/>
    <w:rsid w:val="00576FB9"/>
    <w:rsid w:val="005770FB"/>
    <w:rsid w:val="0057718E"/>
    <w:rsid w:val="00577EE5"/>
    <w:rsid w:val="00577F5D"/>
    <w:rsid w:val="00580055"/>
    <w:rsid w:val="00580788"/>
    <w:rsid w:val="00580AAD"/>
    <w:rsid w:val="005810C3"/>
    <w:rsid w:val="005813F9"/>
    <w:rsid w:val="00581530"/>
    <w:rsid w:val="0058167F"/>
    <w:rsid w:val="00581FAC"/>
    <w:rsid w:val="00581FB6"/>
    <w:rsid w:val="005825A8"/>
    <w:rsid w:val="00582BAB"/>
    <w:rsid w:val="00582D9B"/>
    <w:rsid w:val="00582EC9"/>
    <w:rsid w:val="00582FC5"/>
    <w:rsid w:val="00583509"/>
    <w:rsid w:val="00583BDC"/>
    <w:rsid w:val="005841E7"/>
    <w:rsid w:val="005843D6"/>
    <w:rsid w:val="005844DD"/>
    <w:rsid w:val="005849D1"/>
    <w:rsid w:val="00584A26"/>
    <w:rsid w:val="00584BD8"/>
    <w:rsid w:val="00584D5C"/>
    <w:rsid w:val="00584D78"/>
    <w:rsid w:val="00584F1B"/>
    <w:rsid w:val="005851ED"/>
    <w:rsid w:val="00585240"/>
    <w:rsid w:val="005853B1"/>
    <w:rsid w:val="0058561C"/>
    <w:rsid w:val="00585676"/>
    <w:rsid w:val="0058594C"/>
    <w:rsid w:val="00585A8E"/>
    <w:rsid w:val="00585B6A"/>
    <w:rsid w:val="00585C85"/>
    <w:rsid w:val="00585D1F"/>
    <w:rsid w:val="005864F4"/>
    <w:rsid w:val="00586877"/>
    <w:rsid w:val="0058730D"/>
    <w:rsid w:val="00587BBE"/>
    <w:rsid w:val="005903BE"/>
    <w:rsid w:val="00590690"/>
    <w:rsid w:val="00590725"/>
    <w:rsid w:val="00590E6D"/>
    <w:rsid w:val="0059161A"/>
    <w:rsid w:val="005916BD"/>
    <w:rsid w:val="005919C7"/>
    <w:rsid w:val="00591F00"/>
    <w:rsid w:val="00591FDC"/>
    <w:rsid w:val="0059235F"/>
    <w:rsid w:val="0059294F"/>
    <w:rsid w:val="005929CE"/>
    <w:rsid w:val="00592CB4"/>
    <w:rsid w:val="00592E48"/>
    <w:rsid w:val="00592FC4"/>
    <w:rsid w:val="00593723"/>
    <w:rsid w:val="00593DBE"/>
    <w:rsid w:val="00594618"/>
    <w:rsid w:val="0059511E"/>
    <w:rsid w:val="00595265"/>
    <w:rsid w:val="00595304"/>
    <w:rsid w:val="005954DF"/>
    <w:rsid w:val="00595C0C"/>
    <w:rsid w:val="00595E43"/>
    <w:rsid w:val="005961ED"/>
    <w:rsid w:val="00596233"/>
    <w:rsid w:val="00596819"/>
    <w:rsid w:val="00596A7D"/>
    <w:rsid w:val="00596B8C"/>
    <w:rsid w:val="00596DFF"/>
    <w:rsid w:val="00596E11"/>
    <w:rsid w:val="00596EA1"/>
    <w:rsid w:val="00596F9B"/>
    <w:rsid w:val="00597149"/>
    <w:rsid w:val="00597269"/>
    <w:rsid w:val="0059746E"/>
    <w:rsid w:val="005976A0"/>
    <w:rsid w:val="005978C8"/>
    <w:rsid w:val="00597977"/>
    <w:rsid w:val="00597C4A"/>
    <w:rsid w:val="005A0303"/>
    <w:rsid w:val="005A040B"/>
    <w:rsid w:val="005A0A43"/>
    <w:rsid w:val="005A0AD7"/>
    <w:rsid w:val="005A0BF5"/>
    <w:rsid w:val="005A13E5"/>
    <w:rsid w:val="005A14C6"/>
    <w:rsid w:val="005A14D6"/>
    <w:rsid w:val="005A20A8"/>
    <w:rsid w:val="005A20EE"/>
    <w:rsid w:val="005A235C"/>
    <w:rsid w:val="005A27F7"/>
    <w:rsid w:val="005A28E6"/>
    <w:rsid w:val="005A308E"/>
    <w:rsid w:val="005A316E"/>
    <w:rsid w:val="005A3356"/>
    <w:rsid w:val="005A3429"/>
    <w:rsid w:val="005A37AC"/>
    <w:rsid w:val="005A435F"/>
    <w:rsid w:val="005A49E0"/>
    <w:rsid w:val="005A535F"/>
    <w:rsid w:val="005A5763"/>
    <w:rsid w:val="005A5FC1"/>
    <w:rsid w:val="005A6031"/>
    <w:rsid w:val="005A6152"/>
    <w:rsid w:val="005A6619"/>
    <w:rsid w:val="005A6AB7"/>
    <w:rsid w:val="005A7003"/>
    <w:rsid w:val="005A7351"/>
    <w:rsid w:val="005A75A1"/>
    <w:rsid w:val="005A799B"/>
    <w:rsid w:val="005A7A21"/>
    <w:rsid w:val="005A7AEF"/>
    <w:rsid w:val="005A7B03"/>
    <w:rsid w:val="005A7E18"/>
    <w:rsid w:val="005B027B"/>
    <w:rsid w:val="005B0316"/>
    <w:rsid w:val="005B09F5"/>
    <w:rsid w:val="005B09FE"/>
    <w:rsid w:val="005B0CB4"/>
    <w:rsid w:val="005B0D33"/>
    <w:rsid w:val="005B0EFD"/>
    <w:rsid w:val="005B1246"/>
    <w:rsid w:val="005B1290"/>
    <w:rsid w:val="005B1337"/>
    <w:rsid w:val="005B1617"/>
    <w:rsid w:val="005B17C0"/>
    <w:rsid w:val="005B180B"/>
    <w:rsid w:val="005B1BB7"/>
    <w:rsid w:val="005B2460"/>
    <w:rsid w:val="005B28DE"/>
    <w:rsid w:val="005B2919"/>
    <w:rsid w:val="005B2E15"/>
    <w:rsid w:val="005B34E7"/>
    <w:rsid w:val="005B37AE"/>
    <w:rsid w:val="005B39EC"/>
    <w:rsid w:val="005B3B48"/>
    <w:rsid w:val="005B4187"/>
    <w:rsid w:val="005B4621"/>
    <w:rsid w:val="005B4809"/>
    <w:rsid w:val="005B4B72"/>
    <w:rsid w:val="005B5976"/>
    <w:rsid w:val="005B5B66"/>
    <w:rsid w:val="005B5F51"/>
    <w:rsid w:val="005B6B40"/>
    <w:rsid w:val="005B6BE9"/>
    <w:rsid w:val="005B6E62"/>
    <w:rsid w:val="005B7233"/>
    <w:rsid w:val="005B7EDE"/>
    <w:rsid w:val="005B7FB1"/>
    <w:rsid w:val="005C03D3"/>
    <w:rsid w:val="005C0D59"/>
    <w:rsid w:val="005C1335"/>
    <w:rsid w:val="005C143B"/>
    <w:rsid w:val="005C16F8"/>
    <w:rsid w:val="005C17DD"/>
    <w:rsid w:val="005C1F03"/>
    <w:rsid w:val="005C1F83"/>
    <w:rsid w:val="005C2760"/>
    <w:rsid w:val="005C28A7"/>
    <w:rsid w:val="005C28BD"/>
    <w:rsid w:val="005C2CBB"/>
    <w:rsid w:val="005C2CC8"/>
    <w:rsid w:val="005C2FCA"/>
    <w:rsid w:val="005C30C8"/>
    <w:rsid w:val="005C329A"/>
    <w:rsid w:val="005C337F"/>
    <w:rsid w:val="005C404E"/>
    <w:rsid w:val="005C480C"/>
    <w:rsid w:val="005C4C02"/>
    <w:rsid w:val="005C4CFD"/>
    <w:rsid w:val="005C4E72"/>
    <w:rsid w:val="005C4F16"/>
    <w:rsid w:val="005C506E"/>
    <w:rsid w:val="005C50C9"/>
    <w:rsid w:val="005C51AE"/>
    <w:rsid w:val="005C5282"/>
    <w:rsid w:val="005C5628"/>
    <w:rsid w:val="005C5771"/>
    <w:rsid w:val="005C5EBE"/>
    <w:rsid w:val="005C6343"/>
    <w:rsid w:val="005C6986"/>
    <w:rsid w:val="005C6D38"/>
    <w:rsid w:val="005C6D4F"/>
    <w:rsid w:val="005C7687"/>
    <w:rsid w:val="005C7970"/>
    <w:rsid w:val="005C79B3"/>
    <w:rsid w:val="005D01B9"/>
    <w:rsid w:val="005D0D88"/>
    <w:rsid w:val="005D10ED"/>
    <w:rsid w:val="005D1165"/>
    <w:rsid w:val="005D1216"/>
    <w:rsid w:val="005D16B1"/>
    <w:rsid w:val="005D1943"/>
    <w:rsid w:val="005D22DA"/>
    <w:rsid w:val="005D2941"/>
    <w:rsid w:val="005D29AB"/>
    <w:rsid w:val="005D2B85"/>
    <w:rsid w:val="005D32BD"/>
    <w:rsid w:val="005D3CD3"/>
    <w:rsid w:val="005D3D3F"/>
    <w:rsid w:val="005D3D82"/>
    <w:rsid w:val="005D3EA1"/>
    <w:rsid w:val="005D4216"/>
    <w:rsid w:val="005D4404"/>
    <w:rsid w:val="005D44ED"/>
    <w:rsid w:val="005D5748"/>
    <w:rsid w:val="005D5788"/>
    <w:rsid w:val="005D5896"/>
    <w:rsid w:val="005D5B2A"/>
    <w:rsid w:val="005D5C83"/>
    <w:rsid w:val="005D6231"/>
    <w:rsid w:val="005D6871"/>
    <w:rsid w:val="005D69AD"/>
    <w:rsid w:val="005D6C9C"/>
    <w:rsid w:val="005D757E"/>
    <w:rsid w:val="005D7A44"/>
    <w:rsid w:val="005D7DBF"/>
    <w:rsid w:val="005D7DED"/>
    <w:rsid w:val="005E03B8"/>
    <w:rsid w:val="005E069C"/>
    <w:rsid w:val="005E0C06"/>
    <w:rsid w:val="005E18AA"/>
    <w:rsid w:val="005E19A8"/>
    <w:rsid w:val="005E19B6"/>
    <w:rsid w:val="005E19D2"/>
    <w:rsid w:val="005E1C30"/>
    <w:rsid w:val="005E1E3D"/>
    <w:rsid w:val="005E235B"/>
    <w:rsid w:val="005E24BB"/>
    <w:rsid w:val="005E2A4A"/>
    <w:rsid w:val="005E2CD0"/>
    <w:rsid w:val="005E2F83"/>
    <w:rsid w:val="005E3B02"/>
    <w:rsid w:val="005E3DB0"/>
    <w:rsid w:val="005E3E92"/>
    <w:rsid w:val="005E539B"/>
    <w:rsid w:val="005E554B"/>
    <w:rsid w:val="005E56B1"/>
    <w:rsid w:val="005E5C4D"/>
    <w:rsid w:val="005E5DF2"/>
    <w:rsid w:val="005E60C1"/>
    <w:rsid w:val="005E60EF"/>
    <w:rsid w:val="005E6273"/>
    <w:rsid w:val="005E64C0"/>
    <w:rsid w:val="005E6713"/>
    <w:rsid w:val="005E6F72"/>
    <w:rsid w:val="005E70D4"/>
    <w:rsid w:val="005E7566"/>
    <w:rsid w:val="005E7A47"/>
    <w:rsid w:val="005E7AF0"/>
    <w:rsid w:val="005E7E5F"/>
    <w:rsid w:val="005F11EA"/>
    <w:rsid w:val="005F16F4"/>
    <w:rsid w:val="005F184C"/>
    <w:rsid w:val="005F1A65"/>
    <w:rsid w:val="005F1B00"/>
    <w:rsid w:val="005F207B"/>
    <w:rsid w:val="005F25AA"/>
    <w:rsid w:val="005F25E6"/>
    <w:rsid w:val="005F3168"/>
    <w:rsid w:val="005F33F0"/>
    <w:rsid w:val="005F4505"/>
    <w:rsid w:val="005F4557"/>
    <w:rsid w:val="005F4622"/>
    <w:rsid w:val="005F494F"/>
    <w:rsid w:val="005F51D6"/>
    <w:rsid w:val="005F5233"/>
    <w:rsid w:val="005F56D7"/>
    <w:rsid w:val="005F5846"/>
    <w:rsid w:val="005F58FF"/>
    <w:rsid w:val="005F5A67"/>
    <w:rsid w:val="005F5C75"/>
    <w:rsid w:val="005F612D"/>
    <w:rsid w:val="005F651F"/>
    <w:rsid w:val="005F6CFE"/>
    <w:rsid w:val="005F6D89"/>
    <w:rsid w:val="005F6DEC"/>
    <w:rsid w:val="005F715E"/>
    <w:rsid w:val="005F7305"/>
    <w:rsid w:val="005F73C8"/>
    <w:rsid w:val="005F7675"/>
    <w:rsid w:val="005F7A6F"/>
    <w:rsid w:val="005F7AC7"/>
    <w:rsid w:val="005F7B31"/>
    <w:rsid w:val="005F7E46"/>
    <w:rsid w:val="00600112"/>
    <w:rsid w:val="00600617"/>
    <w:rsid w:val="006008D3"/>
    <w:rsid w:val="00600CEB"/>
    <w:rsid w:val="006010ED"/>
    <w:rsid w:val="006013B1"/>
    <w:rsid w:val="00601485"/>
    <w:rsid w:val="0060193D"/>
    <w:rsid w:val="00601AD1"/>
    <w:rsid w:val="00601C26"/>
    <w:rsid w:val="00602294"/>
    <w:rsid w:val="00602787"/>
    <w:rsid w:val="00602BD5"/>
    <w:rsid w:val="00603223"/>
    <w:rsid w:val="0060357D"/>
    <w:rsid w:val="00603976"/>
    <w:rsid w:val="00603A5B"/>
    <w:rsid w:val="00603F45"/>
    <w:rsid w:val="00604288"/>
    <w:rsid w:val="00604D1D"/>
    <w:rsid w:val="0060502E"/>
    <w:rsid w:val="00605221"/>
    <w:rsid w:val="00605431"/>
    <w:rsid w:val="00605491"/>
    <w:rsid w:val="00605531"/>
    <w:rsid w:val="0060566C"/>
    <w:rsid w:val="006063B5"/>
    <w:rsid w:val="0060698E"/>
    <w:rsid w:val="00606BCB"/>
    <w:rsid w:val="00606F2F"/>
    <w:rsid w:val="00607234"/>
    <w:rsid w:val="00607487"/>
    <w:rsid w:val="00607738"/>
    <w:rsid w:val="00607778"/>
    <w:rsid w:val="006077E7"/>
    <w:rsid w:val="00607AB6"/>
    <w:rsid w:val="00607BFB"/>
    <w:rsid w:val="00607C17"/>
    <w:rsid w:val="00607CD1"/>
    <w:rsid w:val="00607D20"/>
    <w:rsid w:val="006109A0"/>
    <w:rsid w:val="00610CE9"/>
    <w:rsid w:val="006110AB"/>
    <w:rsid w:val="006120D8"/>
    <w:rsid w:val="006121B0"/>
    <w:rsid w:val="00612C14"/>
    <w:rsid w:val="00612FDE"/>
    <w:rsid w:val="006131E5"/>
    <w:rsid w:val="00613686"/>
    <w:rsid w:val="00613B55"/>
    <w:rsid w:val="00613DDD"/>
    <w:rsid w:val="00613FBF"/>
    <w:rsid w:val="00614967"/>
    <w:rsid w:val="00614D41"/>
    <w:rsid w:val="0061505D"/>
    <w:rsid w:val="00615299"/>
    <w:rsid w:val="00615C36"/>
    <w:rsid w:val="0061602E"/>
    <w:rsid w:val="006160C6"/>
    <w:rsid w:val="00616221"/>
    <w:rsid w:val="00616420"/>
    <w:rsid w:val="0061647F"/>
    <w:rsid w:val="00616740"/>
    <w:rsid w:val="00616BEC"/>
    <w:rsid w:val="00616F01"/>
    <w:rsid w:val="00617121"/>
    <w:rsid w:val="00617473"/>
    <w:rsid w:val="00617542"/>
    <w:rsid w:val="00617B24"/>
    <w:rsid w:val="00620502"/>
    <w:rsid w:val="00621152"/>
    <w:rsid w:val="00621641"/>
    <w:rsid w:val="00621C98"/>
    <w:rsid w:val="00622391"/>
    <w:rsid w:val="00622BFD"/>
    <w:rsid w:val="00622FCA"/>
    <w:rsid w:val="0062301F"/>
    <w:rsid w:val="00623152"/>
    <w:rsid w:val="00623189"/>
    <w:rsid w:val="0062344C"/>
    <w:rsid w:val="006235EF"/>
    <w:rsid w:val="00623891"/>
    <w:rsid w:val="00623D14"/>
    <w:rsid w:val="00623E41"/>
    <w:rsid w:val="006241CF"/>
    <w:rsid w:val="00624269"/>
    <w:rsid w:val="006243B8"/>
    <w:rsid w:val="0062467B"/>
    <w:rsid w:val="00624697"/>
    <w:rsid w:val="00624CE5"/>
    <w:rsid w:val="0062530D"/>
    <w:rsid w:val="0062589F"/>
    <w:rsid w:val="00625A8D"/>
    <w:rsid w:val="00625C7A"/>
    <w:rsid w:val="00625C97"/>
    <w:rsid w:val="00625D7E"/>
    <w:rsid w:val="006267B2"/>
    <w:rsid w:val="00626897"/>
    <w:rsid w:val="00627144"/>
    <w:rsid w:val="0062731C"/>
    <w:rsid w:val="00627349"/>
    <w:rsid w:val="006273C3"/>
    <w:rsid w:val="006274A6"/>
    <w:rsid w:val="00627653"/>
    <w:rsid w:val="00627CF0"/>
    <w:rsid w:val="00630534"/>
    <w:rsid w:val="00630593"/>
    <w:rsid w:val="006305EE"/>
    <w:rsid w:val="00630E09"/>
    <w:rsid w:val="00631261"/>
    <w:rsid w:val="006313C6"/>
    <w:rsid w:val="00631762"/>
    <w:rsid w:val="00631ABA"/>
    <w:rsid w:val="00631BE8"/>
    <w:rsid w:val="00631C30"/>
    <w:rsid w:val="0063202B"/>
    <w:rsid w:val="0063287C"/>
    <w:rsid w:val="00632972"/>
    <w:rsid w:val="00632D0A"/>
    <w:rsid w:val="00632D0B"/>
    <w:rsid w:val="00633675"/>
    <w:rsid w:val="006337F2"/>
    <w:rsid w:val="0063397F"/>
    <w:rsid w:val="00633990"/>
    <w:rsid w:val="0063427E"/>
    <w:rsid w:val="006347FD"/>
    <w:rsid w:val="00634A68"/>
    <w:rsid w:val="00635095"/>
    <w:rsid w:val="0063509C"/>
    <w:rsid w:val="00635380"/>
    <w:rsid w:val="006353B6"/>
    <w:rsid w:val="0063546C"/>
    <w:rsid w:val="006359C2"/>
    <w:rsid w:val="006359CF"/>
    <w:rsid w:val="00635B8C"/>
    <w:rsid w:val="00635E78"/>
    <w:rsid w:val="006364DA"/>
    <w:rsid w:val="0063662A"/>
    <w:rsid w:val="006372A0"/>
    <w:rsid w:val="006374B1"/>
    <w:rsid w:val="00637828"/>
    <w:rsid w:val="006379B6"/>
    <w:rsid w:val="00637A66"/>
    <w:rsid w:val="00637AD0"/>
    <w:rsid w:val="00637EB7"/>
    <w:rsid w:val="0064019B"/>
    <w:rsid w:val="006407DA"/>
    <w:rsid w:val="00640970"/>
    <w:rsid w:val="00641262"/>
    <w:rsid w:val="0064165C"/>
    <w:rsid w:val="00641A0D"/>
    <w:rsid w:val="00641B62"/>
    <w:rsid w:val="00641C52"/>
    <w:rsid w:val="00642354"/>
    <w:rsid w:val="0064265B"/>
    <w:rsid w:val="00642757"/>
    <w:rsid w:val="0064295A"/>
    <w:rsid w:val="00642C7E"/>
    <w:rsid w:val="00643051"/>
    <w:rsid w:val="00643AE5"/>
    <w:rsid w:val="00643B48"/>
    <w:rsid w:val="00643F0A"/>
    <w:rsid w:val="00644218"/>
    <w:rsid w:val="00644309"/>
    <w:rsid w:val="006444FF"/>
    <w:rsid w:val="0064461B"/>
    <w:rsid w:val="00644982"/>
    <w:rsid w:val="006449EF"/>
    <w:rsid w:val="006453EC"/>
    <w:rsid w:val="00645625"/>
    <w:rsid w:val="00645AD8"/>
    <w:rsid w:val="00645EAA"/>
    <w:rsid w:val="00646928"/>
    <w:rsid w:val="00647A21"/>
    <w:rsid w:val="00647B83"/>
    <w:rsid w:val="00647F79"/>
    <w:rsid w:val="00650742"/>
    <w:rsid w:val="0065091A"/>
    <w:rsid w:val="00650AC9"/>
    <w:rsid w:val="00650D6F"/>
    <w:rsid w:val="0065146E"/>
    <w:rsid w:val="00651B13"/>
    <w:rsid w:val="00651DEF"/>
    <w:rsid w:val="00652199"/>
    <w:rsid w:val="0065220E"/>
    <w:rsid w:val="00652378"/>
    <w:rsid w:val="0065247E"/>
    <w:rsid w:val="00652D67"/>
    <w:rsid w:val="00653410"/>
    <w:rsid w:val="00653D3F"/>
    <w:rsid w:val="00653D48"/>
    <w:rsid w:val="00653D91"/>
    <w:rsid w:val="00654345"/>
    <w:rsid w:val="00654CE5"/>
    <w:rsid w:val="0065536A"/>
    <w:rsid w:val="00655492"/>
    <w:rsid w:val="006554C8"/>
    <w:rsid w:val="00655591"/>
    <w:rsid w:val="00655A88"/>
    <w:rsid w:val="00655BE8"/>
    <w:rsid w:val="00655E2E"/>
    <w:rsid w:val="00656287"/>
    <w:rsid w:val="00656531"/>
    <w:rsid w:val="00656D94"/>
    <w:rsid w:val="00656E68"/>
    <w:rsid w:val="00656EF6"/>
    <w:rsid w:val="00657065"/>
    <w:rsid w:val="00657905"/>
    <w:rsid w:val="006608BE"/>
    <w:rsid w:val="00660AFE"/>
    <w:rsid w:val="00660C1C"/>
    <w:rsid w:val="00660D01"/>
    <w:rsid w:val="00660D5B"/>
    <w:rsid w:val="00661014"/>
    <w:rsid w:val="00661ED0"/>
    <w:rsid w:val="00662208"/>
    <w:rsid w:val="00662EDD"/>
    <w:rsid w:val="0066305F"/>
    <w:rsid w:val="006630E8"/>
    <w:rsid w:val="0066313D"/>
    <w:rsid w:val="0066384E"/>
    <w:rsid w:val="0066399D"/>
    <w:rsid w:val="00663F1D"/>
    <w:rsid w:val="006643D6"/>
    <w:rsid w:val="0066450E"/>
    <w:rsid w:val="00664E7A"/>
    <w:rsid w:val="0066518E"/>
    <w:rsid w:val="006653AC"/>
    <w:rsid w:val="0066599E"/>
    <w:rsid w:val="00665CBC"/>
    <w:rsid w:val="00665D47"/>
    <w:rsid w:val="00665F8B"/>
    <w:rsid w:val="00666AC9"/>
    <w:rsid w:val="0066709D"/>
    <w:rsid w:val="006670BD"/>
    <w:rsid w:val="0067014B"/>
    <w:rsid w:val="00670485"/>
    <w:rsid w:val="006705F7"/>
    <w:rsid w:val="006707B8"/>
    <w:rsid w:val="00670BDA"/>
    <w:rsid w:val="00670BF1"/>
    <w:rsid w:val="006711B6"/>
    <w:rsid w:val="006711C2"/>
    <w:rsid w:val="006711DB"/>
    <w:rsid w:val="00671743"/>
    <w:rsid w:val="0067187A"/>
    <w:rsid w:val="00671971"/>
    <w:rsid w:val="00671A4F"/>
    <w:rsid w:val="00671C6F"/>
    <w:rsid w:val="00671D33"/>
    <w:rsid w:val="00671F24"/>
    <w:rsid w:val="00671FCE"/>
    <w:rsid w:val="00672019"/>
    <w:rsid w:val="00672051"/>
    <w:rsid w:val="006722EA"/>
    <w:rsid w:val="00672702"/>
    <w:rsid w:val="00672ECF"/>
    <w:rsid w:val="00672F4B"/>
    <w:rsid w:val="00672F56"/>
    <w:rsid w:val="006731DB"/>
    <w:rsid w:val="0067323B"/>
    <w:rsid w:val="006737B8"/>
    <w:rsid w:val="00674283"/>
    <w:rsid w:val="00674294"/>
    <w:rsid w:val="00674573"/>
    <w:rsid w:val="00674D68"/>
    <w:rsid w:val="006753DE"/>
    <w:rsid w:val="00675520"/>
    <w:rsid w:val="00675535"/>
    <w:rsid w:val="006756CB"/>
    <w:rsid w:val="00675B20"/>
    <w:rsid w:val="00675C39"/>
    <w:rsid w:val="00675D93"/>
    <w:rsid w:val="00676354"/>
    <w:rsid w:val="00676939"/>
    <w:rsid w:val="00676A67"/>
    <w:rsid w:val="00676C45"/>
    <w:rsid w:val="0067742F"/>
    <w:rsid w:val="00680343"/>
    <w:rsid w:val="00680480"/>
    <w:rsid w:val="006804DF"/>
    <w:rsid w:val="00680825"/>
    <w:rsid w:val="00680F09"/>
    <w:rsid w:val="006810BB"/>
    <w:rsid w:val="006813D7"/>
    <w:rsid w:val="006818CA"/>
    <w:rsid w:val="00682053"/>
    <w:rsid w:val="006824C9"/>
    <w:rsid w:val="006824D4"/>
    <w:rsid w:val="00682706"/>
    <w:rsid w:val="00682956"/>
    <w:rsid w:val="00682E6B"/>
    <w:rsid w:val="00682F5E"/>
    <w:rsid w:val="006831F5"/>
    <w:rsid w:val="006832A0"/>
    <w:rsid w:val="006834AE"/>
    <w:rsid w:val="00683C3C"/>
    <w:rsid w:val="0068426A"/>
    <w:rsid w:val="006843C8"/>
    <w:rsid w:val="006844E3"/>
    <w:rsid w:val="006845EE"/>
    <w:rsid w:val="0068477F"/>
    <w:rsid w:val="00684845"/>
    <w:rsid w:val="00684C6D"/>
    <w:rsid w:val="00685769"/>
    <w:rsid w:val="00685E6F"/>
    <w:rsid w:val="00686C30"/>
    <w:rsid w:val="0068737C"/>
    <w:rsid w:val="006873B1"/>
    <w:rsid w:val="0068780A"/>
    <w:rsid w:val="00687AAF"/>
    <w:rsid w:val="00687E79"/>
    <w:rsid w:val="00690396"/>
    <w:rsid w:val="006906D7"/>
    <w:rsid w:val="00690C0F"/>
    <w:rsid w:val="00690CDD"/>
    <w:rsid w:val="006911D0"/>
    <w:rsid w:val="00691585"/>
    <w:rsid w:val="006916A0"/>
    <w:rsid w:val="00691D28"/>
    <w:rsid w:val="0069226D"/>
    <w:rsid w:val="00692628"/>
    <w:rsid w:val="00692993"/>
    <w:rsid w:val="00692E23"/>
    <w:rsid w:val="006933FD"/>
    <w:rsid w:val="00693435"/>
    <w:rsid w:val="00693694"/>
    <w:rsid w:val="00693749"/>
    <w:rsid w:val="00693826"/>
    <w:rsid w:val="006938D8"/>
    <w:rsid w:val="00693986"/>
    <w:rsid w:val="00693F64"/>
    <w:rsid w:val="0069417B"/>
    <w:rsid w:val="0069445C"/>
    <w:rsid w:val="00694B25"/>
    <w:rsid w:val="00694E3C"/>
    <w:rsid w:val="006957F9"/>
    <w:rsid w:val="00695C3F"/>
    <w:rsid w:val="00695D55"/>
    <w:rsid w:val="00695F53"/>
    <w:rsid w:val="006961D4"/>
    <w:rsid w:val="006963B9"/>
    <w:rsid w:val="00696832"/>
    <w:rsid w:val="0069723F"/>
    <w:rsid w:val="006972A4"/>
    <w:rsid w:val="00697E1F"/>
    <w:rsid w:val="006A0761"/>
    <w:rsid w:val="006A0C3E"/>
    <w:rsid w:val="006A1155"/>
    <w:rsid w:val="006A18D0"/>
    <w:rsid w:val="006A1AA6"/>
    <w:rsid w:val="006A24DD"/>
    <w:rsid w:val="006A2CD0"/>
    <w:rsid w:val="006A37A5"/>
    <w:rsid w:val="006A38A0"/>
    <w:rsid w:val="006A3D69"/>
    <w:rsid w:val="006A3D83"/>
    <w:rsid w:val="006A3EDF"/>
    <w:rsid w:val="006A4432"/>
    <w:rsid w:val="006A46C9"/>
    <w:rsid w:val="006A4729"/>
    <w:rsid w:val="006A497F"/>
    <w:rsid w:val="006A4B65"/>
    <w:rsid w:val="006A5180"/>
    <w:rsid w:val="006A545F"/>
    <w:rsid w:val="006A5486"/>
    <w:rsid w:val="006A5C53"/>
    <w:rsid w:val="006A5D21"/>
    <w:rsid w:val="006A665D"/>
    <w:rsid w:val="006A6B9F"/>
    <w:rsid w:val="006A6D4B"/>
    <w:rsid w:val="006A7024"/>
    <w:rsid w:val="006A74C2"/>
    <w:rsid w:val="006A7534"/>
    <w:rsid w:val="006A7A6D"/>
    <w:rsid w:val="006A7CE0"/>
    <w:rsid w:val="006B0195"/>
    <w:rsid w:val="006B0678"/>
    <w:rsid w:val="006B0721"/>
    <w:rsid w:val="006B09C3"/>
    <w:rsid w:val="006B0C11"/>
    <w:rsid w:val="006B0C27"/>
    <w:rsid w:val="006B0FA0"/>
    <w:rsid w:val="006B14FF"/>
    <w:rsid w:val="006B1611"/>
    <w:rsid w:val="006B1636"/>
    <w:rsid w:val="006B1913"/>
    <w:rsid w:val="006B1A09"/>
    <w:rsid w:val="006B226C"/>
    <w:rsid w:val="006B22B1"/>
    <w:rsid w:val="006B3F4E"/>
    <w:rsid w:val="006B408F"/>
    <w:rsid w:val="006B46AF"/>
    <w:rsid w:val="006B470C"/>
    <w:rsid w:val="006B4B51"/>
    <w:rsid w:val="006B4BC2"/>
    <w:rsid w:val="006B5025"/>
    <w:rsid w:val="006B552A"/>
    <w:rsid w:val="006B55B2"/>
    <w:rsid w:val="006B5947"/>
    <w:rsid w:val="006B5DC7"/>
    <w:rsid w:val="006B5EE1"/>
    <w:rsid w:val="006B620A"/>
    <w:rsid w:val="006B622D"/>
    <w:rsid w:val="006B6385"/>
    <w:rsid w:val="006B69E9"/>
    <w:rsid w:val="006B6ABE"/>
    <w:rsid w:val="006B70CF"/>
    <w:rsid w:val="006B72A8"/>
    <w:rsid w:val="006B73B3"/>
    <w:rsid w:val="006B7452"/>
    <w:rsid w:val="006B74B7"/>
    <w:rsid w:val="006B7585"/>
    <w:rsid w:val="006B7B3A"/>
    <w:rsid w:val="006B7B5E"/>
    <w:rsid w:val="006C01C0"/>
    <w:rsid w:val="006C04B7"/>
    <w:rsid w:val="006C098C"/>
    <w:rsid w:val="006C0CE7"/>
    <w:rsid w:val="006C0F47"/>
    <w:rsid w:val="006C1464"/>
    <w:rsid w:val="006C1A88"/>
    <w:rsid w:val="006C1BA7"/>
    <w:rsid w:val="006C1C35"/>
    <w:rsid w:val="006C2141"/>
    <w:rsid w:val="006C2199"/>
    <w:rsid w:val="006C22A9"/>
    <w:rsid w:val="006C2450"/>
    <w:rsid w:val="006C27EC"/>
    <w:rsid w:val="006C28DB"/>
    <w:rsid w:val="006C3517"/>
    <w:rsid w:val="006C388F"/>
    <w:rsid w:val="006C3901"/>
    <w:rsid w:val="006C3CD1"/>
    <w:rsid w:val="006C3E4A"/>
    <w:rsid w:val="006C450F"/>
    <w:rsid w:val="006C4F40"/>
    <w:rsid w:val="006C5731"/>
    <w:rsid w:val="006C5744"/>
    <w:rsid w:val="006C5AB8"/>
    <w:rsid w:val="006C5CEA"/>
    <w:rsid w:val="006C5DAD"/>
    <w:rsid w:val="006C630B"/>
    <w:rsid w:val="006C67EE"/>
    <w:rsid w:val="006C68A7"/>
    <w:rsid w:val="006C69BB"/>
    <w:rsid w:val="006C72CF"/>
    <w:rsid w:val="006C7629"/>
    <w:rsid w:val="006C7E43"/>
    <w:rsid w:val="006D06E8"/>
    <w:rsid w:val="006D19DB"/>
    <w:rsid w:val="006D1A48"/>
    <w:rsid w:val="006D215B"/>
    <w:rsid w:val="006D2500"/>
    <w:rsid w:val="006D25EF"/>
    <w:rsid w:val="006D2922"/>
    <w:rsid w:val="006D2AD2"/>
    <w:rsid w:val="006D2F9B"/>
    <w:rsid w:val="006D37EA"/>
    <w:rsid w:val="006D39A5"/>
    <w:rsid w:val="006D3D32"/>
    <w:rsid w:val="006D4779"/>
    <w:rsid w:val="006D47F9"/>
    <w:rsid w:val="006D483A"/>
    <w:rsid w:val="006D48B3"/>
    <w:rsid w:val="006D4AE1"/>
    <w:rsid w:val="006D4BBA"/>
    <w:rsid w:val="006D4C22"/>
    <w:rsid w:val="006D55A3"/>
    <w:rsid w:val="006D5716"/>
    <w:rsid w:val="006D57CF"/>
    <w:rsid w:val="006D5979"/>
    <w:rsid w:val="006D59C7"/>
    <w:rsid w:val="006D5BBF"/>
    <w:rsid w:val="006D607E"/>
    <w:rsid w:val="006D68E7"/>
    <w:rsid w:val="006D6948"/>
    <w:rsid w:val="006D70BD"/>
    <w:rsid w:val="006D7238"/>
    <w:rsid w:val="006D7ACC"/>
    <w:rsid w:val="006D7B81"/>
    <w:rsid w:val="006D7C95"/>
    <w:rsid w:val="006D7FE2"/>
    <w:rsid w:val="006E0A41"/>
    <w:rsid w:val="006E19DF"/>
    <w:rsid w:val="006E1BC4"/>
    <w:rsid w:val="006E1F82"/>
    <w:rsid w:val="006E1FD9"/>
    <w:rsid w:val="006E25B5"/>
    <w:rsid w:val="006E2788"/>
    <w:rsid w:val="006E2949"/>
    <w:rsid w:val="006E35ED"/>
    <w:rsid w:val="006E38CB"/>
    <w:rsid w:val="006E3B2D"/>
    <w:rsid w:val="006E3CAC"/>
    <w:rsid w:val="006E4455"/>
    <w:rsid w:val="006E4A75"/>
    <w:rsid w:val="006E4C89"/>
    <w:rsid w:val="006E4D7C"/>
    <w:rsid w:val="006E4EF5"/>
    <w:rsid w:val="006E554B"/>
    <w:rsid w:val="006E56C6"/>
    <w:rsid w:val="006E5705"/>
    <w:rsid w:val="006E579D"/>
    <w:rsid w:val="006E5E5C"/>
    <w:rsid w:val="006E5EB6"/>
    <w:rsid w:val="006E62A6"/>
    <w:rsid w:val="006E6398"/>
    <w:rsid w:val="006E6762"/>
    <w:rsid w:val="006E6921"/>
    <w:rsid w:val="006E694C"/>
    <w:rsid w:val="006E69AD"/>
    <w:rsid w:val="006E6C8C"/>
    <w:rsid w:val="006E6FEC"/>
    <w:rsid w:val="006E721E"/>
    <w:rsid w:val="006E7460"/>
    <w:rsid w:val="006E7BAC"/>
    <w:rsid w:val="006E7C62"/>
    <w:rsid w:val="006F015C"/>
    <w:rsid w:val="006F0749"/>
    <w:rsid w:val="006F0CE1"/>
    <w:rsid w:val="006F144A"/>
    <w:rsid w:val="006F14F7"/>
    <w:rsid w:val="006F16B0"/>
    <w:rsid w:val="006F1855"/>
    <w:rsid w:val="006F2659"/>
    <w:rsid w:val="006F2735"/>
    <w:rsid w:val="006F2768"/>
    <w:rsid w:val="006F2DA5"/>
    <w:rsid w:val="006F2FCB"/>
    <w:rsid w:val="006F3760"/>
    <w:rsid w:val="006F4594"/>
    <w:rsid w:val="006F4BD4"/>
    <w:rsid w:val="006F5229"/>
    <w:rsid w:val="006F5476"/>
    <w:rsid w:val="006F54E5"/>
    <w:rsid w:val="006F5A06"/>
    <w:rsid w:val="006F5E4A"/>
    <w:rsid w:val="006F6395"/>
    <w:rsid w:val="006F682D"/>
    <w:rsid w:val="006F6989"/>
    <w:rsid w:val="006F6A7C"/>
    <w:rsid w:val="006F75B0"/>
    <w:rsid w:val="006F78DB"/>
    <w:rsid w:val="006F7C6F"/>
    <w:rsid w:val="0070006D"/>
    <w:rsid w:val="00700131"/>
    <w:rsid w:val="00700230"/>
    <w:rsid w:val="00700F23"/>
    <w:rsid w:val="00701125"/>
    <w:rsid w:val="00701258"/>
    <w:rsid w:val="00701559"/>
    <w:rsid w:val="00701804"/>
    <w:rsid w:val="0070200B"/>
    <w:rsid w:val="007020D5"/>
    <w:rsid w:val="0070274E"/>
    <w:rsid w:val="00702825"/>
    <w:rsid w:val="0070287F"/>
    <w:rsid w:val="007029C0"/>
    <w:rsid w:val="00702CA7"/>
    <w:rsid w:val="00703114"/>
    <w:rsid w:val="0070354B"/>
    <w:rsid w:val="0070358C"/>
    <w:rsid w:val="007035E9"/>
    <w:rsid w:val="00703813"/>
    <w:rsid w:val="00703AE8"/>
    <w:rsid w:val="00703CFD"/>
    <w:rsid w:val="00703FDE"/>
    <w:rsid w:val="00704158"/>
    <w:rsid w:val="00704744"/>
    <w:rsid w:val="00704E5B"/>
    <w:rsid w:val="00704E93"/>
    <w:rsid w:val="00704EAF"/>
    <w:rsid w:val="007051F7"/>
    <w:rsid w:val="007053DC"/>
    <w:rsid w:val="007059C0"/>
    <w:rsid w:val="00705B40"/>
    <w:rsid w:val="00705C98"/>
    <w:rsid w:val="00706752"/>
    <w:rsid w:val="00707249"/>
    <w:rsid w:val="0070772C"/>
    <w:rsid w:val="007077EB"/>
    <w:rsid w:val="00707D14"/>
    <w:rsid w:val="00707F5C"/>
    <w:rsid w:val="00707FDC"/>
    <w:rsid w:val="007101DF"/>
    <w:rsid w:val="00710825"/>
    <w:rsid w:val="00710C75"/>
    <w:rsid w:val="00710CB3"/>
    <w:rsid w:val="00710E71"/>
    <w:rsid w:val="00711351"/>
    <w:rsid w:val="00711A5F"/>
    <w:rsid w:val="00711A7C"/>
    <w:rsid w:val="00711BE6"/>
    <w:rsid w:val="00712F46"/>
    <w:rsid w:val="00713804"/>
    <w:rsid w:val="0071397E"/>
    <w:rsid w:val="00713A7C"/>
    <w:rsid w:val="00713BED"/>
    <w:rsid w:val="007143EC"/>
    <w:rsid w:val="0071465E"/>
    <w:rsid w:val="007149A1"/>
    <w:rsid w:val="00714D45"/>
    <w:rsid w:val="00714E4A"/>
    <w:rsid w:val="00715066"/>
    <w:rsid w:val="007151EA"/>
    <w:rsid w:val="007153BD"/>
    <w:rsid w:val="00715989"/>
    <w:rsid w:val="00715CF5"/>
    <w:rsid w:val="007161BB"/>
    <w:rsid w:val="0071656D"/>
    <w:rsid w:val="007167B6"/>
    <w:rsid w:val="00716884"/>
    <w:rsid w:val="00716B51"/>
    <w:rsid w:val="00716BC4"/>
    <w:rsid w:val="00716D1C"/>
    <w:rsid w:val="00716F7D"/>
    <w:rsid w:val="00717282"/>
    <w:rsid w:val="007173E4"/>
    <w:rsid w:val="0071742A"/>
    <w:rsid w:val="00717743"/>
    <w:rsid w:val="00717A4C"/>
    <w:rsid w:val="00720000"/>
    <w:rsid w:val="00720003"/>
    <w:rsid w:val="007208D8"/>
    <w:rsid w:val="00720BE8"/>
    <w:rsid w:val="00721265"/>
    <w:rsid w:val="0072140F"/>
    <w:rsid w:val="007218C8"/>
    <w:rsid w:val="00721B74"/>
    <w:rsid w:val="00721E07"/>
    <w:rsid w:val="007222AD"/>
    <w:rsid w:val="00722339"/>
    <w:rsid w:val="00722577"/>
    <w:rsid w:val="0072325A"/>
    <w:rsid w:val="007233F9"/>
    <w:rsid w:val="00723530"/>
    <w:rsid w:val="007238AB"/>
    <w:rsid w:val="00723C74"/>
    <w:rsid w:val="00724028"/>
    <w:rsid w:val="0072422B"/>
    <w:rsid w:val="0072468B"/>
    <w:rsid w:val="00724795"/>
    <w:rsid w:val="007249F8"/>
    <w:rsid w:val="00724CF9"/>
    <w:rsid w:val="00724EBB"/>
    <w:rsid w:val="007251EE"/>
    <w:rsid w:val="00725219"/>
    <w:rsid w:val="007253A7"/>
    <w:rsid w:val="00725731"/>
    <w:rsid w:val="00725B0C"/>
    <w:rsid w:val="00725CAC"/>
    <w:rsid w:val="00725CEF"/>
    <w:rsid w:val="00726643"/>
    <w:rsid w:val="0072667A"/>
    <w:rsid w:val="0072676D"/>
    <w:rsid w:val="007267DB"/>
    <w:rsid w:val="0072742C"/>
    <w:rsid w:val="007277E3"/>
    <w:rsid w:val="007279AA"/>
    <w:rsid w:val="00727F30"/>
    <w:rsid w:val="0073031E"/>
    <w:rsid w:val="00730E29"/>
    <w:rsid w:val="007310A2"/>
    <w:rsid w:val="0073127D"/>
    <w:rsid w:val="00731B2F"/>
    <w:rsid w:val="00731E80"/>
    <w:rsid w:val="00731FB9"/>
    <w:rsid w:val="007320EE"/>
    <w:rsid w:val="0073212E"/>
    <w:rsid w:val="007321D9"/>
    <w:rsid w:val="00732B28"/>
    <w:rsid w:val="00732B9E"/>
    <w:rsid w:val="00733289"/>
    <w:rsid w:val="0073371A"/>
    <w:rsid w:val="00733CEB"/>
    <w:rsid w:val="00733E1C"/>
    <w:rsid w:val="00734084"/>
    <w:rsid w:val="00734368"/>
    <w:rsid w:val="0073483C"/>
    <w:rsid w:val="00734915"/>
    <w:rsid w:val="00734CD4"/>
    <w:rsid w:val="007350AE"/>
    <w:rsid w:val="00735577"/>
    <w:rsid w:val="0073558E"/>
    <w:rsid w:val="00735591"/>
    <w:rsid w:val="00735669"/>
    <w:rsid w:val="00735F7A"/>
    <w:rsid w:val="007363D3"/>
    <w:rsid w:val="0073644F"/>
    <w:rsid w:val="00737500"/>
    <w:rsid w:val="007375A8"/>
    <w:rsid w:val="00737C75"/>
    <w:rsid w:val="00740509"/>
    <w:rsid w:val="00741024"/>
    <w:rsid w:val="00741FBA"/>
    <w:rsid w:val="00742057"/>
    <w:rsid w:val="00742576"/>
    <w:rsid w:val="00742589"/>
    <w:rsid w:val="00742C0A"/>
    <w:rsid w:val="00742D55"/>
    <w:rsid w:val="00742F09"/>
    <w:rsid w:val="00742F3F"/>
    <w:rsid w:val="00743680"/>
    <w:rsid w:val="007437B0"/>
    <w:rsid w:val="00743EDF"/>
    <w:rsid w:val="007441BF"/>
    <w:rsid w:val="0074440B"/>
    <w:rsid w:val="007444EB"/>
    <w:rsid w:val="007445B7"/>
    <w:rsid w:val="00744A4A"/>
    <w:rsid w:val="00744B07"/>
    <w:rsid w:val="00744BD0"/>
    <w:rsid w:val="00744F70"/>
    <w:rsid w:val="00745317"/>
    <w:rsid w:val="0074543B"/>
    <w:rsid w:val="0074557A"/>
    <w:rsid w:val="00745962"/>
    <w:rsid w:val="00745D2E"/>
    <w:rsid w:val="00746375"/>
    <w:rsid w:val="007464BD"/>
    <w:rsid w:val="00747135"/>
    <w:rsid w:val="00747377"/>
    <w:rsid w:val="007475A7"/>
    <w:rsid w:val="00747981"/>
    <w:rsid w:val="00747AFE"/>
    <w:rsid w:val="00747D11"/>
    <w:rsid w:val="00747EB7"/>
    <w:rsid w:val="00750035"/>
    <w:rsid w:val="0075039D"/>
    <w:rsid w:val="00750898"/>
    <w:rsid w:val="00750A54"/>
    <w:rsid w:val="007514E4"/>
    <w:rsid w:val="00751847"/>
    <w:rsid w:val="007519EA"/>
    <w:rsid w:val="00751C81"/>
    <w:rsid w:val="00751F62"/>
    <w:rsid w:val="0075230F"/>
    <w:rsid w:val="00752313"/>
    <w:rsid w:val="00752351"/>
    <w:rsid w:val="0075277D"/>
    <w:rsid w:val="00752A44"/>
    <w:rsid w:val="00752B42"/>
    <w:rsid w:val="0075351A"/>
    <w:rsid w:val="00753705"/>
    <w:rsid w:val="00753807"/>
    <w:rsid w:val="007538B4"/>
    <w:rsid w:val="00754119"/>
    <w:rsid w:val="0075448A"/>
    <w:rsid w:val="00754DBA"/>
    <w:rsid w:val="00754EA1"/>
    <w:rsid w:val="0075503C"/>
    <w:rsid w:val="007553B7"/>
    <w:rsid w:val="00755410"/>
    <w:rsid w:val="0075546E"/>
    <w:rsid w:val="00756794"/>
    <w:rsid w:val="00756C06"/>
    <w:rsid w:val="00756C78"/>
    <w:rsid w:val="00757442"/>
    <w:rsid w:val="007576B8"/>
    <w:rsid w:val="0075797F"/>
    <w:rsid w:val="00757C77"/>
    <w:rsid w:val="00757C89"/>
    <w:rsid w:val="0076008B"/>
    <w:rsid w:val="007601A4"/>
    <w:rsid w:val="007605DF"/>
    <w:rsid w:val="00760608"/>
    <w:rsid w:val="0076095F"/>
    <w:rsid w:val="00762107"/>
    <w:rsid w:val="007625EB"/>
    <w:rsid w:val="0076268A"/>
    <w:rsid w:val="007628AA"/>
    <w:rsid w:val="007628EF"/>
    <w:rsid w:val="0076296D"/>
    <w:rsid w:val="007629B2"/>
    <w:rsid w:val="00762A73"/>
    <w:rsid w:val="00762C84"/>
    <w:rsid w:val="00762E3C"/>
    <w:rsid w:val="00763132"/>
    <w:rsid w:val="00763927"/>
    <w:rsid w:val="00763A4D"/>
    <w:rsid w:val="00763D90"/>
    <w:rsid w:val="0076405B"/>
    <w:rsid w:val="007642E5"/>
    <w:rsid w:val="007646A0"/>
    <w:rsid w:val="00764FCB"/>
    <w:rsid w:val="007652B8"/>
    <w:rsid w:val="007653A4"/>
    <w:rsid w:val="00765A7D"/>
    <w:rsid w:val="007669F0"/>
    <w:rsid w:val="00766EAD"/>
    <w:rsid w:val="007676F0"/>
    <w:rsid w:val="007677DB"/>
    <w:rsid w:val="00767D93"/>
    <w:rsid w:val="007702C8"/>
    <w:rsid w:val="0077045A"/>
    <w:rsid w:val="00770BCB"/>
    <w:rsid w:val="00770D81"/>
    <w:rsid w:val="00770E58"/>
    <w:rsid w:val="00770EED"/>
    <w:rsid w:val="00771129"/>
    <w:rsid w:val="00771165"/>
    <w:rsid w:val="00771174"/>
    <w:rsid w:val="007717C1"/>
    <w:rsid w:val="00771987"/>
    <w:rsid w:val="0077266C"/>
    <w:rsid w:val="007726DB"/>
    <w:rsid w:val="0077279D"/>
    <w:rsid w:val="00772C00"/>
    <w:rsid w:val="00772D23"/>
    <w:rsid w:val="00773074"/>
    <w:rsid w:val="0077322E"/>
    <w:rsid w:val="0077328B"/>
    <w:rsid w:val="00773C72"/>
    <w:rsid w:val="00773D8A"/>
    <w:rsid w:val="00773FE0"/>
    <w:rsid w:val="00774D6D"/>
    <w:rsid w:val="00775E98"/>
    <w:rsid w:val="0077613C"/>
    <w:rsid w:val="00776266"/>
    <w:rsid w:val="007767C5"/>
    <w:rsid w:val="007768A3"/>
    <w:rsid w:val="00776F0D"/>
    <w:rsid w:val="007776D7"/>
    <w:rsid w:val="00777A03"/>
    <w:rsid w:val="00777F6B"/>
    <w:rsid w:val="0078020E"/>
    <w:rsid w:val="00780449"/>
    <w:rsid w:val="007808BA"/>
    <w:rsid w:val="00780EC6"/>
    <w:rsid w:val="007810B4"/>
    <w:rsid w:val="00781931"/>
    <w:rsid w:val="00781F9C"/>
    <w:rsid w:val="007826B5"/>
    <w:rsid w:val="00782914"/>
    <w:rsid w:val="00783207"/>
    <w:rsid w:val="007835B5"/>
    <w:rsid w:val="00783D10"/>
    <w:rsid w:val="0078407E"/>
    <w:rsid w:val="007840B5"/>
    <w:rsid w:val="00784294"/>
    <w:rsid w:val="00784349"/>
    <w:rsid w:val="00784439"/>
    <w:rsid w:val="0078454A"/>
    <w:rsid w:val="00784D86"/>
    <w:rsid w:val="00784EBE"/>
    <w:rsid w:val="00784F1F"/>
    <w:rsid w:val="00785281"/>
    <w:rsid w:val="00785DED"/>
    <w:rsid w:val="007864E9"/>
    <w:rsid w:val="00786506"/>
    <w:rsid w:val="00786BC7"/>
    <w:rsid w:val="00787146"/>
    <w:rsid w:val="00787503"/>
    <w:rsid w:val="0078757A"/>
    <w:rsid w:val="00787DD8"/>
    <w:rsid w:val="0079086D"/>
    <w:rsid w:val="007912AE"/>
    <w:rsid w:val="0079140E"/>
    <w:rsid w:val="00791645"/>
    <w:rsid w:val="0079165D"/>
    <w:rsid w:val="00791A17"/>
    <w:rsid w:val="00791C81"/>
    <w:rsid w:val="007924E1"/>
    <w:rsid w:val="00792D95"/>
    <w:rsid w:val="007931B1"/>
    <w:rsid w:val="007931CF"/>
    <w:rsid w:val="00793500"/>
    <w:rsid w:val="007935DF"/>
    <w:rsid w:val="007935E0"/>
    <w:rsid w:val="00793BDE"/>
    <w:rsid w:val="00793D15"/>
    <w:rsid w:val="00793FA6"/>
    <w:rsid w:val="007941B7"/>
    <w:rsid w:val="007942BB"/>
    <w:rsid w:val="00794359"/>
    <w:rsid w:val="007943ED"/>
    <w:rsid w:val="00794630"/>
    <w:rsid w:val="00794A70"/>
    <w:rsid w:val="0079528D"/>
    <w:rsid w:val="007952BE"/>
    <w:rsid w:val="00795ACC"/>
    <w:rsid w:val="00795EA6"/>
    <w:rsid w:val="007962FB"/>
    <w:rsid w:val="0079683A"/>
    <w:rsid w:val="00796974"/>
    <w:rsid w:val="00796CD0"/>
    <w:rsid w:val="007974FD"/>
    <w:rsid w:val="00797896"/>
    <w:rsid w:val="007979F1"/>
    <w:rsid w:val="00797D03"/>
    <w:rsid w:val="007A050B"/>
    <w:rsid w:val="007A072A"/>
    <w:rsid w:val="007A0C65"/>
    <w:rsid w:val="007A113C"/>
    <w:rsid w:val="007A11F6"/>
    <w:rsid w:val="007A16D8"/>
    <w:rsid w:val="007A189D"/>
    <w:rsid w:val="007A1EFD"/>
    <w:rsid w:val="007A207E"/>
    <w:rsid w:val="007A23AC"/>
    <w:rsid w:val="007A2750"/>
    <w:rsid w:val="007A2A3C"/>
    <w:rsid w:val="007A2C16"/>
    <w:rsid w:val="007A303E"/>
    <w:rsid w:val="007A3054"/>
    <w:rsid w:val="007A35B5"/>
    <w:rsid w:val="007A3BE3"/>
    <w:rsid w:val="007A3BF9"/>
    <w:rsid w:val="007A3FD6"/>
    <w:rsid w:val="007A40C0"/>
    <w:rsid w:val="007A43BD"/>
    <w:rsid w:val="007A528D"/>
    <w:rsid w:val="007A5787"/>
    <w:rsid w:val="007A6314"/>
    <w:rsid w:val="007A6523"/>
    <w:rsid w:val="007A6605"/>
    <w:rsid w:val="007A6775"/>
    <w:rsid w:val="007A6DD9"/>
    <w:rsid w:val="007A6E48"/>
    <w:rsid w:val="007A74F5"/>
    <w:rsid w:val="007A7830"/>
    <w:rsid w:val="007A7ED2"/>
    <w:rsid w:val="007B0016"/>
    <w:rsid w:val="007B02C1"/>
    <w:rsid w:val="007B02D5"/>
    <w:rsid w:val="007B08DD"/>
    <w:rsid w:val="007B09D6"/>
    <w:rsid w:val="007B0AA5"/>
    <w:rsid w:val="007B0B1E"/>
    <w:rsid w:val="007B0B84"/>
    <w:rsid w:val="007B10EE"/>
    <w:rsid w:val="007B1598"/>
    <w:rsid w:val="007B1F28"/>
    <w:rsid w:val="007B26ED"/>
    <w:rsid w:val="007B2901"/>
    <w:rsid w:val="007B2945"/>
    <w:rsid w:val="007B296F"/>
    <w:rsid w:val="007B2C37"/>
    <w:rsid w:val="007B2D21"/>
    <w:rsid w:val="007B332F"/>
    <w:rsid w:val="007B357E"/>
    <w:rsid w:val="007B39CD"/>
    <w:rsid w:val="007B3A96"/>
    <w:rsid w:val="007B3B3D"/>
    <w:rsid w:val="007B4571"/>
    <w:rsid w:val="007B4911"/>
    <w:rsid w:val="007B5656"/>
    <w:rsid w:val="007B569D"/>
    <w:rsid w:val="007B5C35"/>
    <w:rsid w:val="007B642E"/>
    <w:rsid w:val="007B66B6"/>
    <w:rsid w:val="007B6DCB"/>
    <w:rsid w:val="007B7081"/>
    <w:rsid w:val="007B782A"/>
    <w:rsid w:val="007B7C24"/>
    <w:rsid w:val="007B7C69"/>
    <w:rsid w:val="007B7FE3"/>
    <w:rsid w:val="007C06C9"/>
    <w:rsid w:val="007C0756"/>
    <w:rsid w:val="007C143A"/>
    <w:rsid w:val="007C144B"/>
    <w:rsid w:val="007C156C"/>
    <w:rsid w:val="007C1845"/>
    <w:rsid w:val="007C1D7B"/>
    <w:rsid w:val="007C1D84"/>
    <w:rsid w:val="007C1FED"/>
    <w:rsid w:val="007C21ED"/>
    <w:rsid w:val="007C2347"/>
    <w:rsid w:val="007C260C"/>
    <w:rsid w:val="007C269C"/>
    <w:rsid w:val="007C2A8D"/>
    <w:rsid w:val="007C2E14"/>
    <w:rsid w:val="007C2FD1"/>
    <w:rsid w:val="007C302B"/>
    <w:rsid w:val="007C3106"/>
    <w:rsid w:val="007C3218"/>
    <w:rsid w:val="007C3495"/>
    <w:rsid w:val="007C3518"/>
    <w:rsid w:val="007C3608"/>
    <w:rsid w:val="007C435A"/>
    <w:rsid w:val="007C46D3"/>
    <w:rsid w:val="007C4B91"/>
    <w:rsid w:val="007C5100"/>
    <w:rsid w:val="007C522B"/>
    <w:rsid w:val="007C5681"/>
    <w:rsid w:val="007C57F4"/>
    <w:rsid w:val="007C5C41"/>
    <w:rsid w:val="007C5D53"/>
    <w:rsid w:val="007C5E09"/>
    <w:rsid w:val="007C5F38"/>
    <w:rsid w:val="007C6763"/>
    <w:rsid w:val="007C6EE2"/>
    <w:rsid w:val="007C70DD"/>
    <w:rsid w:val="007C70F5"/>
    <w:rsid w:val="007C75F3"/>
    <w:rsid w:val="007C786A"/>
    <w:rsid w:val="007C7A39"/>
    <w:rsid w:val="007C7BC6"/>
    <w:rsid w:val="007C7BF9"/>
    <w:rsid w:val="007D0167"/>
    <w:rsid w:val="007D017A"/>
    <w:rsid w:val="007D0482"/>
    <w:rsid w:val="007D05B1"/>
    <w:rsid w:val="007D05F6"/>
    <w:rsid w:val="007D082A"/>
    <w:rsid w:val="007D08CF"/>
    <w:rsid w:val="007D0C77"/>
    <w:rsid w:val="007D141E"/>
    <w:rsid w:val="007D1646"/>
    <w:rsid w:val="007D1930"/>
    <w:rsid w:val="007D1968"/>
    <w:rsid w:val="007D1AAB"/>
    <w:rsid w:val="007D2814"/>
    <w:rsid w:val="007D2931"/>
    <w:rsid w:val="007D2A1E"/>
    <w:rsid w:val="007D2AF4"/>
    <w:rsid w:val="007D2B03"/>
    <w:rsid w:val="007D3141"/>
    <w:rsid w:val="007D3181"/>
    <w:rsid w:val="007D3796"/>
    <w:rsid w:val="007D3CC8"/>
    <w:rsid w:val="007D3EF9"/>
    <w:rsid w:val="007D405B"/>
    <w:rsid w:val="007D40FE"/>
    <w:rsid w:val="007D4520"/>
    <w:rsid w:val="007D47E4"/>
    <w:rsid w:val="007D4AD0"/>
    <w:rsid w:val="007D4BFB"/>
    <w:rsid w:val="007D514E"/>
    <w:rsid w:val="007D515A"/>
    <w:rsid w:val="007D5FEF"/>
    <w:rsid w:val="007D62D6"/>
    <w:rsid w:val="007D697B"/>
    <w:rsid w:val="007D6FD5"/>
    <w:rsid w:val="007D7127"/>
    <w:rsid w:val="007D7277"/>
    <w:rsid w:val="007D7929"/>
    <w:rsid w:val="007D7AF0"/>
    <w:rsid w:val="007D7B2F"/>
    <w:rsid w:val="007D7B78"/>
    <w:rsid w:val="007E02B9"/>
    <w:rsid w:val="007E08B3"/>
    <w:rsid w:val="007E090F"/>
    <w:rsid w:val="007E1213"/>
    <w:rsid w:val="007E19FE"/>
    <w:rsid w:val="007E2792"/>
    <w:rsid w:val="007E27B6"/>
    <w:rsid w:val="007E2B11"/>
    <w:rsid w:val="007E2BB7"/>
    <w:rsid w:val="007E2FA6"/>
    <w:rsid w:val="007E31E8"/>
    <w:rsid w:val="007E3288"/>
    <w:rsid w:val="007E3785"/>
    <w:rsid w:val="007E3AEA"/>
    <w:rsid w:val="007E3C2E"/>
    <w:rsid w:val="007E42E0"/>
    <w:rsid w:val="007E42E6"/>
    <w:rsid w:val="007E44F6"/>
    <w:rsid w:val="007E46B6"/>
    <w:rsid w:val="007E4F37"/>
    <w:rsid w:val="007E5233"/>
    <w:rsid w:val="007E546D"/>
    <w:rsid w:val="007E5532"/>
    <w:rsid w:val="007E5867"/>
    <w:rsid w:val="007E5A3C"/>
    <w:rsid w:val="007E5DF1"/>
    <w:rsid w:val="007E5F6B"/>
    <w:rsid w:val="007E6232"/>
    <w:rsid w:val="007E66E2"/>
    <w:rsid w:val="007E6FA4"/>
    <w:rsid w:val="007E7378"/>
    <w:rsid w:val="007E75F4"/>
    <w:rsid w:val="007E775E"/>
    <w:rsid w:val="007E797B"/>
    <w:rsid w:val="007F00FA"/>
    <w:rsid w:val="007F05E5"/>
    <w:rsid w:val="007F09EC"/>
    <w:rsid w:val="007F0AB4"/>
    <w:rsid w:val="007F10B1"/>
    <w:rsid w:val="007F1DFF"/>
    <w:rsid w:val="007F20FF"/>
    <w:rsid w:val="007F2213"/>
    <w:rsid w:val="007F246F"/>
    <w:rsid w:val="007F26A5"/>
    <w:rsid w:val="007F34C3"/>
    <w:rsid w:val="007F3A3E"/>
    <w:rsid w:val="007F3BFF"/>
    <w:rsid w:val="007F3F39"/>
    <w:rsid w:val="007F4294"/>
    <w:rsid w:val="007F4B2D"/>
    <w:rsid w:val="007F4F75"/>
    <w:rsid w:val="007F5C17"/>
    <w:rsid w:val="007F5E9C"/>
    <w:rsid w:val="007F60AC"/>
    <w:rsid w:val="007F62C3"/>
    <w:rsid w:val="007F65D9"/>
    <w:rsid w:val="007F68DB"/>
    <w:rsid w:val="007F6BC0"/>
    <w:rsid w:val="007F70D5"/>
    <w:rsid w:val="007F7108"/>
    <w:rsid w:val="007F71AE"/>
    <w:rsid w:val="0080051B"/>
    <w:rsid w:val="00800BC4"/>
    <w:rsid w:val="00800C0E"/>
    <w:rsid w:val="00800E4E"/>
    <w:rsid w:val="00801843"/>
    <w:rsid w:val="00801876"/>
    <w:rsid w:val="00801BD5"/>
    <w:rsid w:val="00801CA4"/>
    <w:rsid w:val="00801D9A"/>
    <w:rsid w:val="00801F39"/>
    <w:rsid w:val="00802295"/>
    <w:rsid w:val="00802738"/>
    <w:rsid w:val="0080350D"/>
    <w:rsid w:val="00803530"/>
    <w:rsid w:val="00803690"/>
    <w:rsid w:val="008039DF"/>
    <w:rsid w:val="00803F62"/>
    <w:rsid w:val="0080411B"/>
    <w:rsid w:val="00804508"/>
    <w:rsid w:val="008046AA"/>
    <w:rsid w:val="008047E7"/>
    <w:rsid w:val="00804984"/>
    <w:rsid w:val="00804CB2"/>
    <w:rsid w:val="00805000"/>
    <w:rsid w:val="008051FE"/>
    <w:rsid w:val="008052AA"/>
    <w:rsid w:val="0080569C"/>
    <w:rsid w:val="00805A34"/>
    <w:rsid w:val="00805BA5"/>
    <w:rsid w:val="00805FDF"/>
    <w:rsid w:val="0080614A"/>
    <w:rsid w:val="00806218"/>
    <w:rsid w:val="008066A0"/>
    <w:rsid w:val="00806A1C"/>
    <w:rsid w:val="00806D31"/>
    <w:rsid w:val="00806F72"/>
    <w:rsid w:val="008075B6"/>
    <w:rsid w:val="00807B49"/>
    <w:rsid w:val="008100F2"/>
    <w:rsid w:val="008107A1"/>
    <w:rsid w:val="008108F0"/>
    <w:rsid w:val="00810E38"/>
    <w:rsid w:val="00811149"/>
    <w:rsid w:val="00811349"/>
    <w:rsid w:val="0081167B"/>
    <w:rsid w:val="008116C0"/>
    <w:rsid w:val="00811AFD"/>
    <w:rsid w:val="00811B76"/>
    <w:rsid w:val="00811E08"/>
    <w:rsid w:val="008120B3"/>
    <w:rsid w:val="008121DB"/>
    <w:rsid w:val="0081284B"/>
    <w:rsid w:val="008129BB"/>
    <w:rsid w:val="00812C89"/>
    <w:rsid w:val="00813094"/>
    <w:rsid w:val="00813484"/>
    <w:rsid w:val="0081363A"/>
    <w:rsid w:val="00813666"/>
    <w:rsid w:val="00813752"/>
    <w:rsid w:val="0081407E"/>
    <w:rsid w:val="00814121"/>
    <w:rsid w:val="008145D3"/>
    <w:rsid w:val="00814764"/>
    <w:rsid w:val="00814CDB"/>
    <w:rsid w:val="00815027"/>
    <w:rsid w:val="0081506E"/>
    <w:rsid w:val="008159B1"/>
    <w:rsid w:val="00815C69"/>
    <w:rsid w:val="008160F2"/>
    <w:rsid w:val="0081613F"/>
    <w:rsid w:val="00816369"/>
    <w:rsid w:val="00816B30"/>
    <w:rsid w:val="00816CFC"/>
    <w:rsid w:val="00816E15"/>
    <w:rsid w:val="0081727A"/>
    <w:rsid w:val="008173D7"/>
    <w:rsid w:val="008176BD"/>
    <w:rsid w:val="00817703"/>
    <w:rsid w:val="00817AE3"/>
    <w:rsid w:val="00817FB9"/>
    <w:rsid w:val="00820148"/>
    <w:rsid w:val="0082047D"/>
    <w:rsid w:val="00820643"/>
    <w:rsid w:val="00820710"/>
    <w:rsid w:val="008208AC"/>
    <w:rsid w:val="00820B96"/>
    <w:rsid w:val="00820F6D"/>
    <w:rsid w:val="008214CF"/>
    <w:rsid w:val="00821631"/>
    <w:rsid w:val="0082274F"/>
    <w:rsid w:val="008228DA"/>
    <w:rsid w:val="00822BEB"/>
    <w:rsid w:val="0082319B"/>
    <w:rsid w:val="00823294"/>
    <w:rsid w:val="0082380A"/>
    <w:rsid w:val="00823A85"/>
    <w:rsid w:val="00823DB8"/>
    <w:rsid w:val="00823DB9"/>
    <w:rsid w:val="00824541"/>
    <w:rsid w:val="008246B0"/>
    <w:rsid w:val="0082472D"/>
    <w:rsid w:val="00824C9E"/>
    <w:rsid w:val="00824F9A"/>
    <w:rsid w:val="00825031"/>
    <w:rsid w:val="0082507D"/>
    <w:rsid w:val="008253E6"/>
    <w:rsid w:val="008256C5"/>
    <w:rsid w:val="0082593E"/>
    <w:rsid w:val="00825DC0"/>
    <w:rsid w:val="00826974"/>
    <w:rsid w:val="00826AC9"/>
    <w:rsid w:val="00826B70"/>
    <w:rsid w:val="00826D41"/>
    <w:rsid w:val="00826F7B"/>
    <w:rsid w:val="0082742C"/>
    <w:rsid w:val="00827685"/>
    <w:rsid w:val="00827DA0"/>
    <w:rsid w:val="00827DD7"/>
    <w:rsid w:val="00827ED8"/>
    <w:rsid w:val="00830731"/>
    <w:rsid w:val="00830B02"/>
    <w:rsid w:val="0083114F"/>
    <w:rsid w:val="008313A2"/>
    <w:rsid w:val="008315AA"/>
    <w:rsid w:val="008316DD"/>
    <w:rsid w:val="00831BA8"/>
    <w:rsid w:val="00831E17"/>
    <w:rsid w:val="0083269E"/>
    <w:rsid w:val="00832855"/>
    <w:rsid w:val="00833036"/>
    <w:rsid w:val="008330A5"/>
    <w:rsid w:val="00833C04"/>
    <w:rsid w:val="00833C43"/>
    <w:rsid w:val="00833F4D"/>
    <w:rsid w:val="008347B8"/>
    <w:rsid w:val="008348EA"/>
    <w:rsid w:val="008350A4"/>
    <w:rsid w:val="00835128"/>
    <w:rsid w:val="0083559B"/>
    <w:rsid w:val="0083572D"/>
    <w:rsid w:val="0083631B"/>
    <w:rsid w:val="00836409"/>
    <w:rsid w:val="008366F9"/>
    <w:rsid w:val="00836AAA"/>
    <w:rsid w:val="00836AE4"/>
    <w:rsid w:val="0083718A"/>
    <w:rsid w:val="00837276"/>
    <w:rsid w:val="00837537"/>
    <w:rsid w:val="008375B3"/>
    <w:rsid w:val="00837A34"/>
    <w:rsid w:val="00837D04"/>
    <w:rsid w:val="008400E6"/>
    <w:rsid w:val="008404AA"/>
    <w:rsid w:val="008405AF"/>
    <w:rsid w:val="0084071F"/>
    <w:rsid w:val="00840C42"/>
    <w:rsid w:val="00841040"/>
    <w:rsid w:val="00841228"/>
    <w:rsid w:val="00841870"/>
    <w:rsid w:val="00842399"/>
    <w:rsid w:val="00842708"/>
    <w:rsid w:val="00843204"/>
    <w:rsid w:val="0084331B"/>
    <w:rsid w:val="0084371D"/>
    <w:rsid w:val="00843EC9"/>
    <w:rsid w:val="008440AF"/>
    <w:rsid w:val="008440E3"/>
    <w:rsid w:val="00844284"/>
    <w:rsid w:val="0084440C"/>
    <w:rsid w:val="00844969"/>
    <w:rsid w:val="00844B5A"/>
    <w:rsid w:val="00844B7A"/>
    <w:rsid w:val="00844BAE"/>
    <w:rsid w:val="00844DA8"/>
    <w:rsid w:val="00844EBF"/>
    <w:rsid w:val="00845157"/>
    <w:rsid w:val="008453B5"/>
    <w:rsid w:val="008456B7"/>
    <w:rsid w:val="008458C5"/>
    <w:rsid w:val="00845963"/>
    <w:rsid w:val="00845AF9"/>
    <w:rsid w:val="0084667F"/>
    <w:rsid w:val="00846767"/>
    <w:rsid w:val="0084692C"/>
    <w:rsid w:val="00846BC6"/>
    <w:rsid w:val="00846FA1"/>
    <w:rsid w:val="00846FBB"/>
    <w:rsid w:val="00847862"/>
    <w:rsid w:val="00847B75"/>
    <w:rsid w:val="00847CC3"/>
    <w:rsid w:val="00847FEA"/>
    <w:rsid w:val="0085044B"/>
    <w:rsid w:val="00850F4C"/>
    <w:rsid w:val="008512E6"/>
    <w:rsid w:val="0085139C"/>
    <w:rsid w:val="00851A3C"/>
    <w:rsid w:val="00851C8B"/>
    <w:rsid w:val="00851E8A"/>
    <w:rsid w:val="008523EC"/>
    <w:rsid w:val="00852B49"/>
    <w:rsid w:val="00852BE3"/>
    <w:rsid w:val="00852DC9"/>
    <w:rsid w:val="00852E38"/>
    <w:rsid w:val="00853028"/>
    <w:rsid w:val="00853248"/>
    <w:rsid w:val="008534A7"/>
    <w:rsid w:val="00853671"/>
    <w:rsid w:val="008536AF"/>
    <w:rsid w:val="0085405A"/>
    <w:rsid w:val="008544AC"/>
    <w:rsid w:val="0085457D"/>
    <w:rsid w:val="008547CC"/>
    <w:rsid w:val="00854E64"/>
    <w:rsid w:val="00854F38"/>
    <w:rsid w:val="00855712"/>
    <w:rsid w:val="00855928"/>
    <w:rsid w:val="008560B3"/>
    <w:rsid w:val="00856E3F"/>
    <w:rsid w:val="00856FD0"/>
    <w:rsid w:val="00857229"/>
    <w:rsid w:val="008576EA"/>
    <w:rsid w:val="00857A91"/>
    <w:rsid w:val="00857CB8"/>
    <w:rsid w:val="00860213"/>
    <w:rsid w:val="008603FF"/>
    <w:rsid w:val="0086052A"/>
    <w:rsid w:val="00860697"/>
    <w:rsid w:val="008607C0"/>
    <w:rsid w:val="00860F48"/>
    <w:rsid w:val="008610BC"/>
    <w:rsid w:val="00861339"/>
    <w:rsid w:val="008619C4"/>
    <w:rsid w:val="00861A5E"/>
    <w:rsid w:val="00861F1A"/>
    <w:rsid w:val="00861FFE"/>
    <w:rsid w:val="008623E9"/>
    <w:rsid w:val="0086255B"/>
    <w:rsid w:val="00862A2A"/>
    <w:rsid w:val="00863228"/>
    <w:rsid w:val="0086325F"/>
    <w:rsid w:val="008636EC"/>
    <w:rsid w:val="008638D0"/>
    <w:rsid w:val="00863C60"/>
    <w:rsid w:val="00863D0B"/>
    <w:rsid w:val="00864080"/>
    <w:rsid w:val="008642B8"/>
    <w:rsid w:val="008642DD"/>
    <w:rsid w:val="008644B7"/>
    <w:rsid w:val="00864C68"/>
    <w:rsid w:val="00864C92"/>
    <w:rsid w:val="008651AA"/>
    <w:rsid w:val="008656FE"/>
    <w:rsid w:val="00866432"/>
    <w:rsid w:val="0086660D"/>
    <w:rsid w:val="008667F6"/>
    <w:rsid w:val="0086701A"/>
    <w:rsid w:val="0086724A"/>
    <w:rsid w:val="00867377"/>
    <w:rsid w:val="008676CC"/>
    <w:rsid w:val="00867A01"/>
    <w:rsid w:val="00867C72"/>
    <w:rsid w:val="0087016F"/>
    <w:rsid w:val="00870539"/>
    <w:rsid w:val="008706F5"/>
    <w:rsid w:val="0087080F"/>
    <w:rsid w:val="00870815"/>
    <w:rsid w:val="0087089B"/>
    <w:rsid w:val="008709D5"/>
    <w:rsid w:val="0087169C"/>
    <w:rsid w:val="00871AD4"/>
    <w:rsid w:val="00871F7B"/>
    <w:rsid w:val="00872341"/>
    <w:rsid w:val="00872CA1"/>
    <w:rsid w:val="00872CB5"/>
    <w:rsid w:val="00872D07"/>
    <w:rsid w:val="0087349F"/>
    <w:rsid w:val="0087381F"/>
    <w:rsid w:val="00873C48"/>
    <w:rsid w:val="00874589"/>
    <w:rsid w:val="00874AE5"/>
    <w:rsid w:val="00874B42"/>
    <w:rsid w:val="00875367"/>
    <w:rsid w:val="00875695"/>
    <w:rsid w:val="00875D27"/>
    <w:rsid w:val="00875F04"/>
    <w:rsid w:val="00876266"/>
    <w:rsid w:val="00876839"/>
    <w:rsid w:val="00876878"/>
    <w:rsid w:val="00876BB1"/>
    <w:rsid w:val="00876C9D"/>
    <w:rsid w:val="008770A0"/>
    <w:rsid w:val="008770FE"/>
    <w:rsid w:val="0087722C"/>
    <w:rsid w:val="0087726B"/>
    <w:rsid w:val="00877344"/>
    <w:rsid w:val="0087751B"/>
    <w:rsid w:val="00877642"/>
    <w:rsid w:val="008776BB"/>
    <w:rsid w:val="00877A0D"/>
    <w:rsid w:val="00877BE0"/>
    <w:rsid w:val="00877EDB"/>
    <w:rsid w:val="00880A64"/>
    <w:rsid w:val="00880E52"/>
    <w:rsid w:val="00881356"/>
    <w:rsid w:val="008814CA"/>
    <w:rsid w:val="0088151F"/>
    <w:rsid w:val="00881532"/>
    <w:rsid w:val="00881F1A"/>
    <w:rsid w:val="008821E9"/>
    <w:rsid w:val="008827FF"/>
    <w:rsid w:val="0088303A"/>
    <w:rsid w:val="00883366"/>
    <w:rsid w:val="00883431"/>
    <w:rsid w:val="008839A9"/>
    <w:rsid w:val="00883BAC"/>
    <w:rsid w:val="00884211"/>
    <w:rsid w:val="0088456B"/>
    <w:rsid w:val="008845C6"/>
    <w:rsid w:val="008847CF"/>
    <w:rsid w:val="00884B33"/>
    <w:rsid w:val="008857CB"/>
    <w:rsid w:val="00885993"/>
    <w:rsid w:val="00885B49"/>
    <w:rsid w:val="00885C98"/>
    <w:rsid w:val="00885D66"/>
    <w:rsid w:val="0088608C"/>
    <w:rsid w:val="00886274"/>
    <w:rsid w:val="008868E1"/>
    <w:rsid w:val="00886915"/>
    <w:rsid w:val="00886BEE"/>
    <w:rsid w:val="00886E11"/>
    <w:rsid w:val="0088707B"/>
    <w:rsid w:val="008873A0"/>
    <w:rsid w:val="008873D9"/>
    <w:rsid w:val="00887A6A"/>
    <w:rsid w:val="00887F16"/>
    <w:rsid w:val="0089041C"/>
    <w:rsid w:val="00890891"/>
    <w:rsid w:val="008909C1"/>
    <w:rsid w:val="0089166D"/>
    <w:rsid w:val="00891831"/>
    <w:rsid w:val="00891A43"/>
    <w:rsid w:val="00891F91"/>
    <w:rsid w:val="0089224D"/>
    <w:rsid w:val="008926A5"/>
    <w:rsid w:val="008929E8"/>
    <w:rsid w:val="008930BE"/>
    <w:rsid w:val="00893567"/>
    <w:rsid w:val="0089358F"/>
    <w:rsid w:val="00893AD1"/>
    <w:rsid w:val="00893B31"/>
    <w:rsid w:val="00894204"/>
    <w:rsid w:val="008942FD"/>
    <w:rsid w:val="00894537"/>
    <w:rsid w:val="008946D3"/>
    <w:rsid w:val="00894857"/>
    <w:rsid w:val="00894E16"/>
    <w:rsid w:val="008951EC"/>
    <w:rsid w:val="00895485"/>
    <w:rsid w:val="00895501"/>
    <w:rsid w:val="00895A88"/>
    <w:rsid w:val="00895C1C"/>
    <w:rsid w:val="00895C31"/>
    <w:rsid w:val="008962B1"/>
    <w:rsid w:val="008964AB"/>
    <w:rsid w:val="00896530"/>
    <w:rsid w:val="008965B2"/>
    <w:rsid w:val="008966B5"/>
    <w:rsid w:val="00896F6B"/>
    <w:rsid w:val="00897575"/>
    <w:rsid w:val="00897694"/>
    <w:rsid w:val="00897950"/>
    <w:rsid w:val="00897F5C"/>
    <w:rsid w:val="00897FEE"/>
    <w:rsid w:val="008A05CA"/>
    <w:rsid w:val="008A0B63"/>
    <w:rsid w:val="008A0D57"/>
    <w:rsid w:val="008A107D"/>
    <w:rsid w:val="008A1087"/>
    <w:rsid w:val="008A17E5"/>
    <w:rsid w:val="008A18B6"/>
    <w:rsid w:val="008A1FAF"/>
    <w:rsid w:val="008A2084"/>
    <w:rsid w:val="008A25A7"/>
    <w:rsid w:val="008A2697"/>
    <w:rsid w:val="008A27BF"/>
    <w:rsid w:val="008A2A84"/>
    <w:rsid w:val="008A2D10"/>
    <w:rsid w:val="008A2EA4"/>
    <w:rsid w:val="008A385E"/>
    <w:rsid w:val="008A3BED"/>
    <w:rsid w:val="008A3FD7"/>
    <w:rsid w:val="008A432D"/>
    <w:rsid w:val="008A44FD"/>
    <w:rsid w:val="008A4A77"/>
    <w:rsid w:val="008A4AFA"/>
    <w:rsid w:val="008A50FE"/>
    <w:rsid w:val="008A5422"/>
    <w:rsid w:val="008A552B"/>
    <w:rsid w:val="008A57AF"/>
    <w:rsid w:val="008A5C1A"/>
    <w:rsid w:val="008A5EF7"/>
    <w:rsid w:val="008A66FC"/>
    <w:rsid w:val="008A6826"/>
    <w:rsid w:val="008A6E48"/>
    <w:rsid w:val="008A6E94"/>
    <w:rsid w:val="008A7023"/>
    <w:rsid w:val="008A73AF"/>
    <w:rsid w:val="008A7E57"/>
    <w:rsid w:val="008A7F49"/>
    <w:rsid w:val="008B031E"/>
    <w:rsid w:val="008B0435"/>
    <w:rsid w:val="008B05B2"/>
    <w:rsid w:val="008B0B7A"/>
    <w:rsid w:val="008B0BA9"/>
    <w:rsid w:val="008B0C4A"/>
    <w:rsid w:val="008B10EA"/>
    <w:rsid w:val="008B1491"/>
    <w:rsid w:val="008B16C1"/>
    <w:rsid w:val="008B19C5"/>
    <w:rsid w:val="008B21FF"/>
    <w:rsid w:val="008B2353"/>
    <w:rsid w:val="008B238C"/>
    <w:rsid w:val="008B2ADF"/>
    <w:rsid w:val="008B2AED"/>
    <w:rsid w:val="008B2C67"/>
    <w:rsid w:val="008B2D4D"/>
    <w:rsid w:val="008B2F27"/>
    <w:rsid w:val="008B309D"/>
    <w:rsid w:val="008B3103"/>
    <w:rsid w:val="008B3A2A"/>
    <w:rsid w:val="008B3B56"/>
    <w:rsid w:val="008B3E24"/>
    <w:rsid w:val="008B45A7"/>
    <w:rsid w:val="008B4601"/>
    <w:rsid w:val="008B4609"/>
    <w:rsid w:val="008B4855"/>
    <w:rsid w:val="008B504F"/>
    <w:rsid w:val="008B514E"/>
    <w:rsid w:val="008B5649"/>
    <w:rsid w:val="008B5977"/>
    <w:rsid w:val="008B6655"/>
    <w:rsid w:val="008B6765"/>
    <w:rsid w:val="008B738A"/>
    <w:rsid w:val="008B7D7D"/>
    <w:rsid w:val="008C0147"/>
    <w:rsid w:val="008C047E"/>
    <w:rsid w:val="008C0C88"/>
    <w:rsid w:val="008C11C3"/>
    <w:rsid w:val="008C18CB"/>
    <w:rsid w:val="008C21A8"/>
    <w:rsid w:val="008C21AE"/>
    <w:rsid w:val="008C285C"/>
    <w:rsid w:val="008C2A72"/>
    <w:rsid w:val="008C2A98"/>
    <w:rsid w:val="008C31F9"/>
    <w:rsid w:val="008C3233"/>
    <w:rsid w:val="008C3380"/>
    <w:rsid w:val="008C36C9"/>
    <w:rsid w:val="008C3D02"/>
    <w:rsid w:val="008C3FB1"/>
    <w:rsid w:val="008C405D"/>
    <w:rsid w:val="008C4509"/>
    <w:rsid w:val="008C4B2F"/>
    <w:rsid w:val="008C4BBF"/>
    <w:rsid w:val="008C4C24"/>
    <w:rsid w:val="008C50CD"/>
    <w:rsid w:val="008C531D"/>
    <w:rsid w:val="008C57B0"/>
    <w:rsid w:val="008C5877"/>
    <w:rsid w:val="008C6BFB"/>
    <w:rsid w:val="008C6C40"/>
    <w:rsid w:val="008C786E"/>
    <w:rsid w:val="008C78A5"/>
    <w:rsid w:val="008C7D45"/>
    <w:rsid w:val="008D0309"/>
    <w:rsid w:val="008D0485"/>
    <w:rsid w:val="008D0522"/>
    <w:rsid w:val="008D0875"/>
    <w:rsid w:val="008D0C50"/>
    <w:rsid w:val="008D0CFF"/>
    <w:rsid w:val="008D1387"/>
    <w:rsid w:val="008D14E1"/>
    <w:rsid w:val="008D16D2"/>
    <w:rsid w:val="008D18B8"/>
    <w:rsid w:val="008D2168"/>
    <w:rsid w:val="008D229F"/>
    <w:rsid w:val="008D26BB"/>
    <w:rsid w:val="008D2D47"/>
    <w:rsid w:val="008D31F3"/>
    <w:rsid w:val="008D365F"/>
    <w:rsid w:val="008D3B32"/>
    <w:rsid w:val="008D3EC8"/>
    <w:rsid w:val="008D4D2E"/>
    <w:rsid w:val="008D5388"/>
    <w:rsid w:val="008D55D3"/>
    <w:rsid w:val="008D59F7"/>
    <w:rsid w:val="008D5D9E"/>
    <w:rsid w:val="008D6131"/>
    <w:rsid w:val="008D6AA0"/>
    <w:rsid w:val="008D7451"/>
    <w:rsid w:val="008D74B2"/>
    <w:rsid w:val="008D74DC"/>
    <w:rsid w:val="008D78B5"/>
    <w:rsid w:val="008D7947"/>
    <w:rsid w:val="008D79D3"/>
    <w:rsid w:val="008E0A98"/>
    <w:rsid w:val="008E0C7A"/>
    <w:rsid w:val="008E115D"/>
    <w:rsid w:val="008E19C3"/>
    <w:rsid w:val="008E1E23"/>
    <w:rsid w:val="008E209B"/>
    <w:rsid w:val="008E2A39"/>
    <w:rsid w:val="008E2CE7"/>
    <w:rsid w:val="008E2E16"/>
    <w:rsid w:val="008E2E39"/>
    <w:rsid w:val="008E2FFA"/>
    <w:rsid w:val="008E310C"/>
    <w:rsid w:val="008E3233"/>
    <w:rsid w:val="008E39EC"/>
    <w:rsid w:val="008E3DB3"/>
    <w:rsid w:val="008E40C0"/>
    <w:rsid w:val="008E42FB"/>
    <w:rsid w:val="008E43B0"/>
    <w:rsid w:val="008E4421"/>
    <w:rsid w:val="008E4643"/>
    <w:rsid w:val="008E4919"/>
    <w:rsid w:val="008E4AD6"/>
    <w:rsid w:val="008E4AEA"/>
    <w:rsid w:val="008E4E46"/>
    <w:rsid w:val="008E4EBB"/>
    <w:rsid w:val="008E5332"/>
    <w:rsid w:val="008E5D21"/>
    <w:rsid w:val="008E60B6"/>
    <w:rsid w:val="008E656A"/>
    <w:rsid w:val="008E6B57"/>
    <w:rsid w:val="008E6BBE"/>
    <w:rsid w:val="008E70CC"/>
    <w:rsid w:val="008E731A"/>
    <w:rsid w:val="008E7810"/>
    <w:rsid w:val="008E79AC"/>
    <w:rsid w:val="008E7FBD"/>
    <w:rsid w:val="008F0048"/>
    <w:rsid w:val="008F0801"/>
    <w:rsid w:val="008F0A49"/>
    <w:rsid w:val="008F0C4F"/>
    <w:rsid w:val="008F0DF1"/>
    <w:rsid w:val="008F138B"/>
    <w:rsid w:val="008F143C"/>
    <w:rsid w:val="008F1620"/>
    <w:rsid w:val="008F1773"/>
    <w:rsid w:val="008F1BF1"/>
    <w:rsid w:val="008F211B"/>
    <w:rsid w:val="008F24F1"/>
    <w:rsid w:val="008F25DF"/>
    <w:rsid w:val="008F2793"/>
    <w:rsid w:val="008F2C0B"/>
    <w:rsid w:val="008F2D6B"/>
    <w:rsid w:val="008F38C7"/>
    <w:rsid w:val="008F3ADB"/>
    <w:rsid w:val="008F3C86"/>
    <w:rsid w:val="008F3D52"/>
    <w:rsid w:val="008F3F8C"/>
    <w:rsid w:val="008F40B8"/>
    <w:rsid w:val="008F4156"/>
    <w:rsid w:val="008F417F"/>
    <w:rsid w:val="008F4413"/>
    <w:rsid w:val="008F4645"/>
    <w:rsid w:val="008F5336"/>
    <w:rsid w:val="008F56C6"/>
    <w:rsid w:val="008F5733"/>
    <w:rsid w:val="008F5BD3"/>
    <w:rsid w:val="008F60D0"/>
    <w:rsid w:val="008F617C"/>
    <w:rsid w:val="008F61A4"/>
    <w:rsid w:val="008F6B80"/>
    <w:rsid w:val="008F6E4C"/>
    <w:rsid w:val="008F7130"/>
    <w:rsid w:val="008F7198"/>
    <w:rsid w:val="008F725B"/>
    <w:rsid w:val="008F7CA1"/>
    <w:rsid w:val="00900080"/>
    <w:rsid w:val="009001C7"/>
    <w:rsid w:val="00900326"/>
    <w:rsid w:val="0090080C"/>
    <w:rsid w:val="00901790"/>
    <w:rsid w:val="00901B4D"/>
    <w:rsid w:val="00901C4D"/>
    <w:rsid w:val="00901E6A"/>
    <w:rsid w:val="009025C6"/>
    <w:rsid w:val="00902866"/>
    <w:rsid w:val="00902F5E"/>
    <w:rsid w:val="00903246"/>
    <w:rsid w:val="00903735"/>
    <w:rsid w:val="00904528"/>
    <w:rsid w:val="0090459E"/>
    <w:rsid w:val="00904837"/>
    <w:rsid w:val="00904CB5"/>
    <w:rsid w:val="009051BE"/>
    <w:rsid w:val="00905E41"/>
    <w:rsid w:val="00905E79"/>
    <w:rsid w:val="00906732"/>
    <w:rsid w:val="0090688B"/>
    <w:rsid w:val="009068FC"/>
    <w:rsid w:val="00906A2E"/>
    <w:rsid w:val="00906A60"/>
    <w:rsid w:val="00906F51"/>
    <w:rsid w:val="0090707E"/>
    <w:rsid w:val="00907424"/>
    <w:rsid w:val="00907493"/>
    <w:rsid w:val="00907546"/>
    <w:rsid w:val="00907F5D"/>
    <w:rsid w:val="009103F8"/>
    <w:rsid w:val="00910421"/>
    <w:rsid w:val="00910482"/>
    <w:rsid w:val="009107F5"/>
    <w:rsid w:val="00910A02"/>
    <w:rsid w:val="00910D87"/>
    <w:rsid w:val="00911142"/>
    <w:rsid w:val="009111E3"/>
    <w:rsid w:val="009112FC"/>
    <w:rsid w:val="0091132F"/>
    <w:rsid w:val="00911775"/>
    <w:rsid w:val="00912360"/>
    <w:rsid w:val="0091272A"/>
    <w:rsid w:val="00912731"/>
    <w:rsid w:val="009129D1"/>
    <w:rsid w:val="00912FBC"/>
    <w:rsid w:val="00913285"/>
    <w:rsid w:val="0091379D"/>
    <w:rsid w:val="0091393D"/>
    <w:rsid w:val="009139E3"/>
    <w:rsid w:val="00913BC8"/>
    <w:rsid w:val="00913DE9"/>
    <w:rsid w:val="00914384"/>
    <w:rsid w:val="009143F4"/>
    <w:rsid w:val="00914AD9"/>
    <w:rsid w:val="00915159"/>
    <w:rsid w:val="009152A5"/>
    <w:rsid w:val="0091550A"/>
    <w:rsid w:val="009155E4"/>
    <w:rsid w:val="009156BC"/>
    <w:rsid w:val="00915C2A"/>
    <w:rsid w:val="00915C3F"/>
    <w:rsid w:val="00915DD6"/>
    <w:rsid w:val="00915E32"/>
    <w:rsid w:val="0091628F"/>
    <w:rsid w:val="0091666D"/>
    <w:rsid w:val="009168C6"/>
    <w:rsid w:val="00916A83"/>
    <w:rsid w:val="00917B81"/>
    <w:rsid w:val="00917E8D"/>
    <w:rsid w:val="00917EBA"/>
    <w:rsid w:val="00920907"/>
    <w:rsid w:val="00920F89"/>
    <w:rsid w:val="0092128B"/>
    <w:rsid w:val="00921F19"/>
    <w:rsid w:val="009221E7"/>
    <w:rsid w:val="009225E5"/>
    <w:rsid w:val="0092272A"/>
    <w:rsid w:val="00922D51"/>
    <w:rsid w:val="00922DD6"/>
    <w:rsid w:val="009230B2"/>
    <w:rsid w:val="00923754"/>
    <w:rsid w:val="00923B34"/>
    <w:rsid w:val="00923DE4"/>
    <w:rsid w:val="0092437C"/>
    <w:rsid w:val="00924E73"/>
    <w:rsid w:val="00925303"/>
    <w:rsid w:val="00925B05"/>
    <w:rsid w:val="00925F3D"/>
    <w:rsid w:val="00925F7E"/>
    <w:rsid w:val="00926123"/>
    <w:rsid w:val="009261F0"/>
    <w:rsid w:val="009265CF"/>
    <w:rsid w:val="00926982"/>
    <w:rsid w:val="00926A53"/>
    <w:rsid w:val="00926C41"/>
    <w:rsid w:val="009279EA"/>
    <w:rsid w:val="00927E45"/>
    <w:rsid w:val="00927E66"/>
    <w:rsid w:val="0093085F"/>
    <w:rsid w:val="00930C22"/>
    <w:rsid w:val="00930CCC"/>
    <w:rsid w:val="00930DB5"/>
    <w:rsid w:val="009312C8"/>
    <w:rsid w:val="00931D63"/>
    <w:rsid w:val="00931D7F"/>
    <w:rsid w:val="00932270"/>
    <w:rsid w:val="00932742"/>
    <w:rsid w:val="00932909"/>
    <w:rsid w:val="00932E65"/>
    <w:rsid w:val="00932E78"/>
    <w:rsid w:val="0093384E"/>
    <w:rsid w:val="00934CA2"/>
    <w:rsid w:val="0093536C"/>
    <w:rsid w:val="009356A0"/>
    <w:rsid w:val="009356A1"/>
    <w:rsid w:val="00935BF7"/>
    <w:rsid w:val="00936686"/>
    <w:rsid w:val="009375D6"/>
    <w:rsid w:val="0093775F"/>
    <w:rsid w:val="009377A8"/>
    <w:rsid w:val="009379E6"/>
    <w:rsid w:val="00937CBE"/>
    <w:rsid w:val="00937DAE"/>
    <w:rsid w:val="009406C0"/>
    <w:rsid w:val="00940BA2"/>
    <w:rsid w:val="00940DF5"/>
    <w:rsid w:val="00940F90"/>
    <w:rsid w:val="009410CE"/>
    <w:rsid w:val="009411D4"/>
    <w:rsid w:val="0094152F"/>
    <w:rsid w:val="009416BE"/>
    <w:rsid w:val="009418B1"/>
    <w:rsid w:val="009419BF"/>
    <w:rsid w:val="00941AF1"/>
    <w:rsid w:val="00941EAD"/>
    <w:rsid w:val="00942004"/>
    <w:rsid w:val="00942145"/>
    <w:rsid w:val="009421BC"/>
    <w:rsid w:val="0094250E"/>
    <w:rsid w:val="00942A67"/>
    <w:rsid w:val="00942E5D"/>
    <w:rsid w:val="009437C5"/>
    <w:rsid w:val="00943BB6"/>
    <w:rsid w:val="00944320"/>
    <w:rsid w:val="0094437F"/>
    <w:rsid w:val="00944678"/>
    <w:rsid w:val="009448A3"/>
    <w:rsid w:val="00945498"/>
    <w:rsid w:val="009455F9"/>
    <w:rsid w:val="00945916"/>
    <w:rsid w:val="00945FFC"/>
    <w:rsid w:val="0094643A"/>
    <w:rsid w:val="009474A3"/>
    <w:rsid w:val="00947DA8"/>
    <w:rsid w:val="009500CB"/>
    <w:rsid w:val="009507AB"/>
    <w:rsid w:val="009511CE"/>
    <w:rsid w:val="00951DDD"/>
    <w:rsid w:val="009520C2"/>
    <w:rsid w:val="009521B7"/>
    <w:rsid w:val="0095259B"/>
    <w:rsid w:val="00952B3B"/>
    <w:rsid w:val="00953032"/>
    <w:rsid w:val="00953428"/>
    <w:rsid w:val="00953DB7"/>
    <w:rsid w:val="00954E88"/>
    <w:rsid w:val="00954FEF"/>
    <w:rsid w:val="00955119"/>
    <w:rsid w:val="0095564E"/>
    <w:rsid w:val="0095594D"/>
    <w:rsid w:val="00955B22"/>
    <w:rsid w:val="00955B2E"/>
    <w:rsid w:val="00955D4D"/>
    <w:rsid w:val="00956302"/>
    <w:rsid w:val="009563BD"/>
    <w:rsid w:val="00956727"/>
    <w:rsid w:val="00956EA7"/>
    <w:rsid w:val="00956FBC"/>
    <w:rsid w:val="0095700A"/>
    <w:rsid w:val="009577AB"/>
    <w:rsid w:val="00957ED3"/>
    <w:rsid w:val="009601AD"/>
    <w:rsid w:val="00960261"/>
    <w:rsid w:val="009602E9"/>
    <w:rsid w:val="009603A6"/>
    <w:rsid w:val="0096043E"/>
    <w:rsid w:val="009607F9"/>
    <w:rsid w:val="00960831"/>
    <w:rsid w:val="00960CA3"/>
    <w:rsid w:val="00960E3F"/>
    <w:rsid w:val="00960FFE"/>
    <w:rsid w:val="00961438"/>
    <w:rsid w:val="00961B52"/>
    <w:rsid w:val="00961B7E"/>
    <w:rsid w:val="00961D85"/>
    <w:rsid w:val="00961E25"/>
    <w:rsid w:val="009624AB"/>
    <w:rsid w:val="009635F2"/>
    <w:rsid w:val="009637C9"/>
    <w:rsid w:val="00963C55"/>
    <w:rsid w:val="00963D5A"/>
    <w:rsid w:val="00963DF2"/>
    <w:rsid w:val="00963E1A"/>
    <w:rsid w:val="00964424"/>
    <w:rsid w:val="0096476B"/>
    <w:rsid w:val="00964C27"/>
    <w:rsid w:val="0096581B"/>
    <w:rsid w:val="0096631C"/>
    <w:rsid w:val="009667EC"/>
    <w:rsid w:val="00966984"/>
    <w:rsid w:val="009673E4"/>
    <w:rsid w:val="0096788B"/>
    <w:rsid w:val="009702E6"/>
    <w:rsid w:val="0097058C"/>
    <w:rsid w:val="00970834"/>
    <w:rsid w:val="00970F98"/>
    <w:rsid w:val="0097120F"/>
    <w:rsid w:val="00971370"/>
    <w:rsid w:val="00971559"/>
    <w:rsid w:val="00971728"/>
    <w:rsid w:val="00971C34"/>
    <w:rsid w:val="00971C82"/>
    <w:rsid w:val="00971F7D"/>
    <w:rsid w:val="009721A8"/>
    <w:rsid w:val="009721E6"/>
    <w:rsid w:val="009724F8"/>
    <w:rsid w:val="00973040"/>
    <w:rsid w:val="0097321D"/>
    <w:rsid w:val="009739CE"/>
    <w:rsid w:val="00973E70"/>
    <w:rsid w:val="00974847"/>
    <w:rsid w:val="00974938"/>
    <w:rsid w:val="00974D5E"/>
    <w:rsid w:val="00974D8F"/>
    <w:rsid w:val="00974DF0"/>
    <w:rsid w:val="00975536"/>
    <w:rsid w:val="00975785"/>
    <w:rsid w:val="00976176"/>
    <w:rsid w:val="00976455"/>
    <w:rsid w:val="00976A74"/>
    <w:rsid w:val="00976AB6"/>
    <w:rsid w:val="00976EB4"/>
    <w:rsid w:val="009771B5"/>
    <w:rsid w:val="009775C5"/>
    <w:rsid w:val="00977691"/>
    <w:rsid w:val="009776BB"/>
    <w:rsid w:val="00977D8C"/>
    <w:rsid w:val="009802EA"/>
    <w:rsid w:val="009806E6"/>
    <w:rsid w:val="00980878"/>
    <w:rsid w:val="0098099F"/>
    <w:rsid w:val="00980ADD"/>
    <w:rsid w:val="00980C01"/>
    <w:rsid w:val="00981017"/>
    <w:rsid w:val="009812B2"/>
    <w:rsid w:val="00981416"/>
    <w:rsid w:val="00981E31"/>
    <w:rsid w:val="00982EC5"/>
    <w:rsid w:val="00982F48"/>
    <w:rsid w:val="0098348F"/>
    <w:rsid w:val="0098349F"/>
    <w:rsid w:val="0098370E"/>
    <w:rsid w:val="00983C22"/>
    <w:rsid w:val="00983E37"/>
    <w:rsid w:val="00983E57"/>
    <w:rsid w:val="00983EE9"/>
    <w:rsid w:val="00984C2D"/>
    <w:rsid w:val="00984DA7"/>
    <w:rsid w:val="00985198"/>
    <w:rsid w:val="009856FD"/>
    <w:rsid w:val="009858A9"/>
    <w:rsid w:val="00985C3B"/>
    <w:rsid w:val="00986496"/>
    <w:rsid w:val="009864C2"/>
    <w:rsid w:val="0098659F"/>
    <w:rsid w:val="00986A76"/>
    <w:rsid w:val="0098740F"/>
    <w:rsid w:val="00987856"/>
    <w:rsid w:val="00987CC7"/>
    <w:rsid w:val="00987F66"/>
    <w:rsid w:val="00990510"/>
    <w:rsid w:val="009907B8"/>
    <w:rsid w:val="009909BF"/>
    <w:rsid w:val="00990AFE"/>
    <w:rsid w:val="00990CFF"/>
    <w:rsid w:val="00990E12"/>
    <w:rsid w:val="00991E06"/>
    <w:rsid w:val="00991E26"/>
    <w:rsid w:val="00991F21"/>
    <w:rsid w:val="009920A0"/>
    <w:rsid w:val="009923B2"/>
    <w:rsid w:val="0099242D"/>
    <w:rsid w:val="009926E3"/>
    <w:rsid w:val="00992AD5"/>
    <w:rsid w:val="00992CDB"/>
    <w:rsid w:val="00993341"/>
    <w:rsid w:val="009935C1"/>
    <w:rsid w:val="009939AC"/>
    <w:rsid w:val="00993A20"/>
    <w:rsid w:val="00993E03"/>
    <w:rsid w:val="00994150"/>
    <w:rsid w:val="00994526"/>
    <w:rsid w:val="00995123"/>
    <w:rsid w:val="0099588D"/>
    <w:rsid w:val="00995DF9"/>
    <w:rsid w:val="00995E94"/>
    <w:rsid w:val="00996559"/>
    <w:rsid w:val="00996A37"/>
    <w:rsid w:val="009972B0"/>
    <w:rsid w:val="009972B9"/>
    <w:rsid w:val="009977FE"/>
    <w:rsid w:val="009A01D8"/>
    <w:rsid w:val="009A087E"/>
    <w:rsid w:val="009A08B4"/>
    <w:rsid w:val="009A0DBF"/>
    <w:rsid w:val="009A0F7F"/>
    <w:rsid w:val="009A133E"/>
    <w:rsid w:val="009A137F"/>
    <w:rsid w:val="009A1547"/>
    <w:rsid w:val="009A1760"/>
    <w:rsid w:val="009A19D1"/>
    <w:rsid w:val="009A1AE4"/>
    <w:rsid w:val="009A21F5"/>
    <w:rsid w:val="009A22BA"/>
    <w:rsid w:val="009A25B0"/>
    <w:rsid w:val="009A28DD"/>
    <w:rsid w:val="009A2BA8"/>
    <w:rsid w:val="009A2CE7"/>
    <w:rsid w:val="009A3628"/>
    <w:rsid w:val="009A3DA5"/>
    <w:rsid w:val="009A411E"/>
    <w:rsid w:val="009A59F8"/>
    <w:rsid w:val="009A67FF"/>
    <w:rsid w:val="009A68C0"/>
    <w:rsid w:val="009A6EDB"/>
    <w:rsid w:val="009A71C0"/>
    <w:rsid w:val="009A7407"/>
    <w:rsid w:val="009A7966"/>
    <w:rsid w:val="009A7C3D"/>
    <w:rsid w:val="009B09FA"/>
    <w:rsid w:val="009B0E4E"/>
    <w:rsid w:val="009B0FDF"/>
    <w:rsid w:val="009B1280"/>
    <w:rsid w:val="009B145B"/>
    <w:rsid w:val="009B18BC"/>
    <w:rsid w:val="009B1A0D"/>
    <w:rsid w:val="009B1BEC"/>
    <w:rsid w:val="009B1F62"/>
    <w:rsid w:val="009B21D3"/>
    <w:rsid w:val="009B2BA9"/>
    <w:rsid w:val="009B2E37"/>
    <w:rsid w:val="009B2E3C"/>
    <w:rsid w:val="009B2E64"/>
    <w:rsid w:val="009B3756"/>
    <w:rsid w:val="009B3A30"/>
    <w:rsid w:val="009B3F12"/>
    <w:rsid w:val="009B4153"/>
    <w:rsid w:val="009B418E"/>
    <w:rsid w:val="009B4525"/>
    <w:rsid w:val="009B46E5"/>
    <w:rsid w:val="009B49E2"/>
    <w:rsid w:val="009B4B64"/>
    <w:rsid w:val="009B4D9D"/>
    <w:rsid w:val="009B6E76"/>
    <w:rsid w:val="009B740D"/>
    <w:rsid w:val="009B7D7A"/>
    <w:rsid w:val="009B7ED9"/>
    <w:rsid w:val="009C002B"/>
    <w:rsid w:val="009C0104"/>
    <w:rsid w:val="009C04E1"/>
    <w:rsid w:val="009C069E"/>
    <w:rsid w:val="009C0B7E"/>
    <w:rsid w:val="009C0E4A"/>
    <w:rsid w:val="009C14A6"/>
    <w:rsid w:val="009C269C"/>
    <w:rsid w:val="009C2911"/>
    <w:rsid w:val="009C31B2"/>
    <w:rsid w:val="009C3695"/>
    <w:rsid w:val="009C3BC3"/>
    <w:rsid w:val="009C3EE5"/>
    <w:rsid w:val="009C5D6D"/>
    <w:rsid w:val="009C5E79"/>
    <w:rsid w:val="009C5E7F"/>
    <w:rsid w:val="009C6B0F"/>
    <w:rsid w:val="009C6C2B"/>
    <w:rsid w:val="009C72AD"/>
    <w:rsid w:val="009C7658"/>
    <w:rsid w:val="009C78DC"/>
    <w:rsid w:val="009C78FB"/>
    <w:rsid w:val="009C7C8A"/>
    <w:rsid w:val="009C7FDF"/>
    <w:rsid w:val="009D01C2"/>
    <w:rsid w:val="009D0A21"/>
    <w:rsid w:val="009D0BF7"/>
    <w:rsid w:val="009D1AD3"/>
    <w:rsid w:val="009D1B9E"/>
    <w:rsid w:val="009D1C21"/>
    <w:rsid w:val="009D208E"/>
    <w:rsid w:val="009D25AB"/>
    <w:rsid w:val="009D2892"/>
    <w:rsid w:val="009D299B"/>
    <w:rsid w:val="009D29D4"/>
    <w:rsid w:val="009D2A71"/>
    <w:rsid w:val="009D2B16"/>
    <w:rsid w:val="009D2C1E"/>
    <w:rsid w:val="009D372F"/>
    <w:rsid w:val="009D374F"/>
    <w:rsid w:val="009D3912"/>
    <w:rsid w:val="009D3A0B"/>
    <w:rsid w:val="009D3A40"/>
    <w:rsid w:val="009D3D99"/>
    <w:rsid w:val="009D402D"/>
    <w:rsid w:val="009D4356"/>
    <w:rsid w:val="009D452F"/>
    <w:rsid w:val="009D4595"/>
    <w:rsid w:val="009D474B"/>
    <w:rsid w:val="009D48C3"/>
    <w:rsid w:val="009D498C"/>
    <w:rsid w:val="009D4FE2"/>
    <w:rsid w:val="009D5058"/>
    <w:rsid w:val="009D5179"/>
    <w:rsid w:val="009D5613"/>
    <w:rsid w:val="009D570E"/>
    <w:rsid w:val="009D6608"/>
    <w:rsid w:val="009D6E37"/>
    <w:rsid w:val="009D736F"/>
    <w:rsid w:val="009D7ABB"/>
    <w:rsid w:val="009D7CAE"/>
    <w:rsid w:val="009E03EE"/>
    <w:rsid w:val="009E09D4"/>
    <w:rsid w:val="009E10FA"/>
    <w:rsid w:val="009E117C"/>
    <w:rsid w:val="009E132E"/>
    <w:rsid w:val="009E1476"/>
    <w:rsid w:val="009E1814"/>
    <w:rsid w:val="009E1D6D"/>
    <w:rsid w:val="009E2532"/>
    <w:rsid w:val="009E254C"/>
    <w:rsid w:val="009E2C40"/>
    <w:rsid w:val="009E333E"/>
    <w:rsid w:val="009E3B0C"/>
    <w:rsid w:val="009E3E9C"/>
    <w:rsid w:val="009E454E"/>
    <w:rsid w:val="009E4DF9"/>
    <w:rsid w:val="009E540F"/>
    <w:rsid w:val="009E545F"/>
    <w:rsid w:val="009E58ED"/>
    <w:rsid w:val="009E59DF"/>
    <w:rsid w:val="009E62EA"/>
    <w:rsid w:val="009E6318"/>
    <w:rsid w:val="009E6F12"/>
    <w:rsid w:val="009E70E3"/>
    <w:rsid w:val="009E7285"/>
    <w:rsid w:val="009E746F"/>
    <w:rsid w:val="009E7865"/>
    <w:rsid w:val="009F045F"/>
    <w:rsid w:val="009F04F0"/>
    <w:rsid w:val="009F078A"/>
    <w:rsid w:val="009F0860"/>
    <w:rsid w:val="009F0BA0"/>
    <w:rsid w:val="009F1122"/>
    <w:rsid w:val="009F1790"/>
    <w:rsid w:val="009F209A"/>
    <w:rsid w:val="009F20B8"/>
    <w:rsid w:val="009F25F9"/>
    <w:rsid w:val="009F26DE"/>
    <w:rsid w:val="009F28E0"/>
    <w:rsid w:val="009F32F9"/>
    <w:rsid w:val="009F3B30"/>
    <w:rsid w:val="009F3C69"/>
    <w:rsid w:val="009F46D3"/>
    <w:rsid w:val="009F48D8"/>
    <w:rsid w:val="009F499B"/>
    <w:rsid w:val="009F4D93"/>
    <w:rsid w:val="009F4F8C"/>
    <w:rsid w:val="009F6111"/>
    <w:rsid w:val="009F62FD"/>
    <w:rsid w:val="009F68D3"/>
    <w:rsid w:val="009F6BD9"/>
    <w:rsid w:val="009F7833"/>
    <w:rsid w:val="00A001A2"/>
    <w:rsid w:val="00A001C6"/>
    <w:rsid w:val="00A002E1"/>
    <w:rsid w:val="00A00338"/>
    <w:rsid w:val="00A00DBB"/>
    <w:rsid w:val="00A01B18"/>
    <w:rsid w:val="00A01F34"/>
    <w:rsid w:val="00A0256E"/>
    <w:rsid w:val="00A029B3"/>
    <w:rsid w:val="00A02B3E"/>
    <w:rsid w:val="00A03091"/>
    <w:rsid w:val="00A032DB"/>
    <w:rsid w:val="00A0371F"/>
    <w:rsid w:val="00A03C2D"/>
    <w:rsid w:val="00A03F9A"/>
    <w:rsid w:val="00A040E8"/>
    <w:rsid w:val="00A0451F"/>
    <w:rsid w:val="00A04844"/>
    <w:rsid w:val="00A05335"/>
    <w:rsid w:val="00A054E7"/>
    <w:rsid w:val="00A05A29"/>
    <w:rsid w:val="00A05D16"/>
    <w:rsid w:val="00A05E90"/>
    <w:rsid w:val="00A06194"/>
    <w:rsid w:val="00A061E0"/>
    <w:rsid w:val="00A063B7"/>
    <w:rsid w:val="00A068EA"/>
    <w:rsid w:val="00A06AD5"/>
    <w:rsid w:val="00A06D6E"/>
    <w:rsid w:val="00A06F94"/>
    <w:rsid w:val="00A070E9"/>
    <w:rsid w:val="00A07435"/>
    <w:rsid w:val="00A074AB"/>
    <w:rsid w:val="00A0753C"/>
    <w:rsid w:val="00A07BE1"/>
    <w:rsid w:val="00A10354"/>
    <w:rsid w:val="00A109D2"/>
    <w:rsid w:val="00A10FBC"/>
    <w:rsid w:val="00A1174B"/>
    <w:rsid w:val="00A11E35"/>
    <w:rsid w:val="00A11EF7"/>
    <w:rsid w:val="00A1211E"/>
    <w:rsid w:val="00A126F1"/>
    <w:rsid w:val="00A1299D"/>
    <w:rsid w:val="00A12F66"/>
    <w:rsid w:val="00A136AC"/>
    <w:rsid w:val="00A1390C"/>
    <w:rsid w:val="00A13A1A"/>
    <w:rsid w:val="00A13AB6"/>
    <w:rsid w:val="00A142BE"/>
    <w:rsid w:val="00A14797"/>
    <w:rsid w:val="00A14BE4"/>
    <w:rsid w:val="00A14CA7"/>
    <w:rsid w:val="00A14DF4"/>
    <w:rsid w:val="00A156B3"/>
    <w:rsid w:val="00A1582A"/>
    <w:rsid w:val="00A165A4"/>
    <w:rsid w:val="00A165B4"/>
    <w:rsid w:val="00A169B1"/>
    <w:rsid w:val="00A169BC"/>
    <w:rsid w:val="00A16B5A"/>
    <w:rsid w:val="00A17557"/>
    <w:rsid w:val="00A176D8"/>
    <w:rsid w:val="00A1772C"/>
    <w:rsid w:val="00A179AA"/>
    <w:rsid w:val="00A17A9F"/>
    <w:rsid w:val="00A17EA2"/>
    <w:rsid w:val="00A20635"/>
    <w:rsid w:val="00A206BC"/>
    <w:rsid w:val="00A20948"/>
    <w:rsid w:val="00A20C7F"/>
    <w:rsid w:val="00A20D25"/>
    <w:rsid w:val="00A2166F"/>
    <w:rsid w:val="00A22017"/>
    <w:rsid w:val="00A22790"/>
    <w:rsid w:val="00A227EB"/>
    <w:rsid w:val="00A22D06"/>
    <w:rsid w:val="00A2303D"/>
    <w:rsid w:val="00A2331D"/>
    <w:rsid w:val="00A23372"/>
    <w:rsid w:val="00A2379A"/>
    <w:rsid w:val="00A2428C"/>
    <w:rsid w:val="00A24A43"/>
    <w:rsid w:val="00A254D1"/>
    <w:rsid w:val="00A25813"/>
    <w:rsid w:val="00A25830"/>
    <w:rsid w:val="00A25921"/>
    <w:rsid w:val="00A269AA"/>
    <w:rsid w:val="00A26C1D"/>
    <w:rsid w:val="00A26CB3"/>
    <w:rsid w:val="00A27072"/>
    <w:rsid w:val="00A27D23"/>
    <w:rsid w:val="00A27EA2"/>
    <w:rsid w:val="00A27F1D"/>
    <w:rsid w:val="00A304B9"/>
    <w:rsid w:val="00A30555"/>
    <w:rsid w:val="00A30941"/>
    <w:rsid w:val="00A30B16"/>
    <w:rsid w:val="00A31104"/>
    <w:rsid w:val="00A31F78"/>
    <w:rsid w:val="00A320C1"/>
    <w:rsid w:val="00A328AA"/>
    <w:rsid w:val="00A329A0"/>
    <w:rsid w:val="00A32FD0"/>
    <w:rsid w:val="00A331E6"/>
    <w:rsid w:val="00A335EC"/>
    <w:rsid w:val="00A33635"/>
    <w:rsid w:val="00A337AF"/>
    <w:rsid w:val="00A33BF6"/>
    <w:rsid w:val="00A33CA9"/>
    <w:rsid w:val="00A34304"/>
    <w:rsid w:val="00A3430D"/>
    <w:rsid w:val="00A3451C"/>
    <w:rsid w:val="00A345F9"/>
    <w:rsid w:val="00A34723"/>
    <w:rsid w:val="00A350B4"/>
    <w:rsid w:val="00A35344"/>
    <w:rsid w:val="00A353AA"/>
    <w:rsid w:val="00A35561"/>
    <w:rsid w:val="00A3583F"/>
    <w:rsid w:val="00A3593C"/>
    <w:rsid w:val="00A35A7B"/>
    <w:rsid w:val="00A35B1F"/>
    <w:rsid w:val="00A35CAE"/>
    <w:rsid w:val="00A35E35"/>
    <w:rsid w:val="00A360D7"/>
    <w:rsid w:val="00A3633F"/>
    <w:rsid w:val="00A36427"/>
    <w:rsid w:val="00A36451"/>
    <w:rsid w:val="00A36866"/>
    <w:rsid w:val="00A36B28"/>
    <w:rsid w:val="00A36BAB"/>
    <w:rsid w:val="00A36BF1"/>
    <w:rsid w:val="00A36FE8"/>
    <w:rsid w:val="00A3725D"/>
    <w:rsid w:val="00A3759E"/>
    <w:rsid w:val="00A376A5"/>
    <w:rsid w:val="00A376DB"/>
    <w:rsid w:val="00A379D8"/>
    <w:rsid w:val="00A37AC1"/>
    <w:rsid w:val="00A37D0B"/>
    <w:rsid w:val="00A37F60"/>
    <w:rsid w:val="00A4004F"/>
    <w:rsid w:val="00A401A4"/>
    <w:rsid w:val="00A40361"/>
    <w:rsid w:val="00A40566"/>
    <w:rsid w:val="00A40C1A"/>
    <w:rsid w:val="00A40E5A"/>
    <w:rsid w:val="00A419FF"/>
    <w:rsid w:val="00A41AB7"/>
    <w:rsid w:val="00A41C09"/>
    <w:rsid w:val="00A41F03"/>
    <w:rsid w:val="00A421B7"/>
    <w:rsid w:val="00A423F6"/>
    <w:rsid w:val="00A4240C"/>
    <w:rsid w:val="00A42DAE"/>
    <w:rsid w:val="00A42F1F"/>
    <w:rsid w:val="00A430A0"/>
    <w:rsid w:val="00A43252"/>
    <w:rsid w:val="00A43682"/>
    <w:rsid w:val="00A441D3"/>
    <w:rsid w:val="00A448AC"/>
    <w:rsid w:val="00A44DAB"/>
    <w:rsid w:val="00A4552E"/>
    <w:rsid w:val="00A4553E"/>
    <w:rsid w:val="00A4562E"/>
    <w:rsid w:val="00A457C3"/>
    <w:rsid w:val="00A45DCB"/>
    <w:rsid w:val="00A45EC9"/>
    <w:rsid w:val="00A460EF"/>
    <w:rsid w:val="00A46110"/>
    <w:rsid w:val="00A4622F"/>
    <w:rsid w:val="00A462D4"/>
    <w:rsid w:val="00A46431"/>
    <w:rsid w:val="00A46D56"/>
    <w:rsid w:val="00A46DFA"/>
    <w:rsid w:val="00A4746B"/>
    <w:rsid w:val="00A4760A"/>
    <w:rsid w:val="00A4766D"/>
    <w:rsid w:val="00A476EB"/>
    <w:rsid w:val="00A47AAD"/>
    <w:rsid w:val="00A47F3E"/>
    <w:rsid w:val="00A47FA5"/>
    <w:rsid w:val="00A5051F"/>
    <w:rsid w:val="00A50867"/>
    <w:rsid w:val="00A50C05"/>
    <w:rsid w:val="00A50C81"/>
    <w:rsid w:val="00A50D7D"/>
    <w:rsid w:val="00A51467"/>
    <w:rsid w:val="00A51530"/>
    <w:rsid w:val="00A51582"/>
    <w:rsid w:val="00A516A9"/>
    <w:rsid w:val="00A51E6D"/>
    <w:rsid w:val="00A51F27"/>
    <w:rsid w:val="00A5206D"/>
    <w:rsid w:val="00A5314B"/>
    <w:rsid w:val="00A53165"/>
    <w:rsid w:val="00A532A6"/>
    <w:rsid w:val="00A532EB"/>
    <w:rsid w:val="00A53434"/>
    <w:rsid w:val="00A536C3"/>
    <w:rsid w:val="00A53CA8"/>
    <w:rsid w:val="00A53CDA"/>
    <w:rsid w:val="00A541FA"/>
    <w:rsid w:val="00A547E3"/>
    <w:rsid w:val="00A54880"/>
    <w:rsid w:val="00A5550C"/>
    <w:rsid w:val="00A55DEF"/>
    <w:rsid w:val="00A56059"/>
    <w:rsid w:val="00A5616A"/>
    <w:rsid w:val="00A565BA"/>
    <w:rsid w:val="00A5693D"/>
    <w:rsid w:val="00A56D0C"/>
    <w:rsid w:val="00A57194"/>
    <w:rsid w:val="00A5794F"/>
    <w:rsid w:val="00A579CB"/>
    <w:rsid w:val="00A57A50"/>
    <w:rsid w:val="00A600BB"/>
    <w:rsid w:val="00A6042A"/>
    <w:rsid w:val="00A6053F"/>
    <w:rsid w:val="00A6074A"/>
    <w:rsid w:val="00A60A00"/>
    <w:rsid w:val="00A60AD7"/>
    <w:rsid w:val="00A611BB"/>
    <w:rsid w:val="00A61267"/>
    <w:rsid w:val="00A61B3E"/>
    <w:rsid w:val="00A61DF6"/>
    <w:rsid w:val="00A61FB7"/>
    <w:rsid w:val="00A6203E"/>
    <w:rsid w:val="00A62462"/>
    <w:rsid w:val="00A625D1"/>
    <w:rsid w:val="00A62B86"/>
    <w:rsid w:val="00A62CD7"/>
    <w:rsid w:val="00A6360D"/>
    <w:rsid w:val="00A63B99"/>
    <w:rsid w:val="00A63D6F"/>
    <w:rsid w:val="00A645A6"/>
    <w:rsid w:val="00A649DA"/>
    <w:rsid w:val="00A64F8D"/>
    <w:rsid w:val="00A65437"/>
    <w:rsid w:val="00A65907"/>
    <w:rsid w:val="00A6592E"/>
    <w:rsid w:val="00A65A12"/>
    <w:rsid w:val="00A65A92"/>
    <w:rsid w:val="00A65CDB"/>
    <w:rsid w:val="00A66058"/>
    <w:rsid w:val="00A6637B"/>
    <w:rsid w:val="00A665BD"/>
    <w:rsid w:val="00A6677B"/>
    <w:rsid w:val="00A66869"/>
    <w:rsid w:val="00A668D0"/>
    <w:rsid w:val="00A66C83"/>
    <w:rsid w:val="00A66D3A"/>
    <w:rsid w:val="00A67E5B"/>
    <w:rsid w:val="00A67FEA"/>
    <w:rsid w:val="00A703CE"/>
    <w:rsid w:val="00A7043C"/>
    <w:rsid w:val="00A704F4"/>
    <w:rsid w:val="00A70566"/>
    <w:rsid w:val="00A706D5"/>
    <w:rsid w:val="00A706EF"/>
    <w:rsid w:val="00A7079F"/>
    <w:rsid w:val="00A707E7"/>
    <w:rsid w:val="00A708F8"/>
    <w:rsid w:val="00A70D6D"/>
    <w:rsid w:val="00A70E32"/>
    <w:rsid w:val="00A71299"/>
    <w:rsid w:val="00A71590"/>
    <w:rsid w:val="00A715F0"/>
    <w:rsid w:val="00A72ACD"/>
    <w:rsid w:val="00A72AD8"/>
    <w:rsid w:val="00A72B75"/>
    <w:rsid w:val="00A73041"/>
    <w:rsid w:val="00A7305F"/>
    <w:rsid w:val="00A73186"/>
    <w:rsid w:val="00A7339C"/>
    <w:rsid w:val="00A73504"/>
    <w:rsid w:val="00A735E8"/>
    <w:rsid w:val="00A740EA"/>
    <w:rsid w:val="00A74119"/>
    <w:rsid w:val="00A7423A"/>
    <w:rsid w:val="00A74A8D"/>
    <w:rsid w:val="00A74AA6"/>
    <w:rsid w:val="00A751AD"/>
    <w:rsid w:val="00A7582C"/>
    <w:rsid w:val="00A75A41"/>
    <w:rsid w:val="00A75CD4"/>
    <w:rsid w:val="00A75DF1"/>
    <w:rsid w:val="00A76089"/>
    <w:rsid w:val="00A760AF"/>
    <w:rsid w:val="00A760B6"/>
    <w:rsid w:val="00A76898"/>
    <w:rsid w:val="00A76A66"/>
    <w:rsid w:val="00A77162"/>
    <w:rsid w:val="00A77653"/>
    <w:rsid w:val="00A77683"/>
    <w:rsid w:val="00A77999"/>
    <w:rsid w:val="00A77DBA"/>
    <w:rsid w:val="00A80115"/>
    <w:rsid w:val="00A805A2"/>
    <w:rsid w:val="00A8112C"/>
    <w:rsid w:val="00A813DA"/>
    <w:rsid w:val="00A8164B"/>
    <w:rsid w:val="00A81738"/>
    <w:rsid w:val="00A81EE8"/>
    <w:rsid w:val="00A82177"/>
    <w:rsid w:val="00A82349"/>
    <w:rsid w:val="00A827C8"/>
    <w:rsid w:val="00A828CB"/>
    <w:rsid w:val="00A833C7"/>
    <w:rsid w:val="00A83ACF"/>
    <w:rsid w:val="00A83E5F"/>
    <w:rsid w:val="00A83EF3"/>
    <w:rsid w:val="00A83F8E"/>
    <w:rsid w:val="00A846A7"/>
    <w:rsid w:val="00A847EF"/>
    <w:rsid w:val="00A84816"/>
    <w:rsid w:val="00A8543C"/>
    <w:rsid w:val="00A8559E"/>
    <w:rsid w:val="00A858F8"/>
    <w:rsid w:val="00A859A3"/>
    <w:rsid w:val="00A85D66"/>
    <w:rsid w:val="00A85D9D"/>
    <w:rsid w:val="00A85E3D"/>
    <w:rsid w:val="00A85F01"/>
    <w:rsid w:val="00A861DB"/>
    <w:rsid w:val="00A862C0"/>
    <w:rsid w:val="00A865EF"/>
    <w:rsid w:val="00A8697C"/>
    <w:rsid w:val="00A86B68"/>
    <w:rsid w:val="00A872C9"/>
    <w:rsid w:val="00A87329"/>
    <w:rsid w:val="00A8738F"/>
    <w:rsid w:val="00A875AF"/>
    <w:rsid w:val="00A87E41"/>
    <w:rsid w:val="00A87FB4"/>
    <w:rsid w:val="00A9062B"/>
    <w:rsid w:val="00A90D9F"/>
    <w:rsid w:val="00A91432"/>
    <w:rsid w:val="00A91F80"/>
    <w:rsid w:val="00A92642"/>
    <w:rsid w:val="00A9290E"/>
    <w:rsid w:val="00A92970"/>
    <w:rsid w:val="00A92A8A"/>
    <w:rsid w:val="00A92BE9"/>
    <w:rsid w:val="00A92CC6"/>
    <w:rsid w:val="00A92E97"/>
    <w:rsid w:val="00A9323E"/>
    <w:rsid w:val="00A934F6"/>
    <w:rsid w:val="00A93802"/>
    <w:rsid w:val="00A9380E"/>
    <w:rsid w:val="00A93C1C"/>
    <w:rsid w:val="00A93EF8"/>
    <w:rsid w:val="00A941C0"/>
    <w:rsid w:val="00A94269"/>
    <w:rsid w:val="00A94368"/>
    <w:rsid w:val="00A9463F"/>
    <w:rsid w:val="00A949ED"/>
    <w:rsid w:val="00A94EAA"/>
    <w:rsid w:val="00A953E0"/>
    <w:rsid w:val="00A95770"/>
    <w:rsid w:val="00A95CA0"/>
    <w:rsid w:val="00A96D2F"/>
    <w:rsid w:val="00A9751C"/>
    <w:rsid w:val="00A97640"/>
    <w:rsid w:val="00A97A26"/>
    <w:rsid w:val="00A97BE9"/>
    <w:rsid w:val="00A97D25"/>
    <w:rsid w:val="00AA01AE"/>
    <w:rsid w:val="00AA01D2"/>
    <w:rsid w:val="00AA0205"/>
    <w:rsid w:val="00AA02E3"/>
    <w:rsid w:val="00AA0369"/>
    <w:rsid w:val="00AA04FD"/>
    <w:rsid w:val="00AA06A7"/>
    <w:rsid w:val="00AA0A33"/>
    <w:rsid w:val="00AA0E77"/>
    <w:rsid w:val="00AA1207"/>
    <w:rsid w:val="00AA14B2"/>
    <w:rsid w:val="00AA1E15"/>
    <w:rsid w:val="00AA2321"/>
    <w:rsid w:val="00AA254D"/>
    <w:rsid w:val="00AA28B0"/>
    <w:rsid w:val="00AA29E6"/>
    <w:rsid w:val="00AA2BB3"/>
    <w:rsid w:val="00AA3961"/>
    <w:rsid w:val="00AA459C"/>
    <w:rsid w:val="00AA481B"/>
    <w:rsid w:val="00AA4AE8"/>
    <w:rsid w:val="00AA4E57"/>
    <w:rsid w:val="00AA53EA"/>
    <w:rsid w:val="00AA5AB3"/>
    <w:rsid w:val="00AA5BC2"/>
    <w:rsid w:val="00AA5DEF"/>
    <w:rsid w:val="00AA6561"/>
    <w:rsid w:val="00AA65E1"/>
    <w:rsid w:val="00AA66DD"/>
    <w:rsid w:val="00AA68F9"/>
    <w:rsid w:val="00AA69D8"/>
    <w:rsid w:val="00AA6DF5"/>
    <w:rsid w:val="00AA6EF5"/>
    <w:rsid w:val="00AA79D1"/>
    <w:rsid w:val="00AB0260"/>
    <w:rsid w:val="00AB033C"/>
    <w:rsid w:val="00AB08F1"/>
    <w:rsid w:val="00AB0C68"/>
    <w:rsid w:val="00AB0FD3"/>
    <w:rsid w:val="00AB159A"/>
    <w:rsid w:val="00AB166E"/>
    <w:rsid w:val="00AB1F88"/>
    <w:rsid w:val="00AB2068"/>
    <w:rsid w:val="00AB222F"/>
    <w:rsid w:val="00AB22EC"/>
    <w:rsid w:val="00AB2317"/>
    <w:rsid w:val="00AB242C"/>
    <w:rsid w:val="00AB2550"/>
    <w:rsid w:val="00AB2B32"/>
    <w:rsid w:val="00AB2BF0"/>
    <w:rsid w:val="00AB2C52"/>
    <w:rsid w:val="00AB2DAB"/>
    <w:rsid w:val="00AB3551"/>
    <w:rsid w:val="00AB357B"/>
    <w:rsid w:val="00AB3750"/>
    <w:rsid w:val="00AB3A54"/>
    <w:rsid w:val="00AB4503"/>
    <w:rsid w:val="00AB4B6F"/>
    <w:rsid w:val="00AB4EE4"/>
    <w:rsid w:val="00AB51F4"/>
    <w:rsid w:val="00AB54FB"/>
    <w:rsid w:val="00AB5504"/>
    <w:rsid w:val="00AB5D18"/>
    <w:rsid w:val="00AB608C"/>
    <w:rsid w:val="00AB6147"/>
    <w:rsid w:val="00AB621A"/>
    <w:rsid w:val="00AB65A0"/>
    <w:rsid w:val="00AB6D4B"/>
    <w:rsid w:val="00AB6E87"/>
    <w:rsid w:val="00AB782F"/>
    <w:rsid w:val="00AB7A79"/>
    <w:rsid w:val="00AB7DEA"/>
    <w:rsid w:val="00AC0442"/>
    <w:rsid w:val="00AC06BD"/>
    <w:rsid w:val="00AC0A93"/>
    <w:rsid w:val="00AC1BF6"/>
    <w:rsid w:val="00AC1EE1"/>
    <w:rsid w:val="00AC2297"/>
    <w:rsid w:val="00AC2351"/>
    <w:rsid w:val="00AC2F62"/>
    <w:rsid w:val="00AC4777"/>
    <w:rsid w:val="00AC4927"/>
    <w:rsid w:val="00AC4F08"/>
    <w:rsid w:val="00AC50DD"/>
    <w:rsid w:val="00AC59DF"/>
    <w:rsid w:val="00AC5B60"/>
    <w:rsid w:val="00AC5FB7"/>
    <w:rsid w:val="00AC6636"/>
    <w:rsid w:val="00AC6983"/>
    <w:rsid w:val="00AC6C7C"/>
    <w:rsid w:val="00AC6E80"/>
    <w:rsid w:val="00AC701F"/>
    <w:rsid w:val="00AC713B"/>
    <w:rsid w:val="00AC7501"/>
    <w:rsid w:val="00AC7F57"/>
    <w:rsid w:val="00AD087C"/>
    <w:rsid w:val="00AD0F04"/>
    <w:rsid w:val="00AD123E"/>
    <w:rsid w:val="00AD1240"/>
    <w:rsid w:val="00AD1518"/>
    <w:rsid w:val="00AD165C"/>
    <w:rsid w:val="00AD1F31"/>
    <w:rsid w:val="00AD1F8E"/>
    <w:rsid w:val="00AD230E"/>
    <w:rsid w:val="00AD246A"/>
    <w:rsid w:val="00AD2557"/>
    <w:rsid w:val="00AD269A"/>
    <w:rsid w:val="00AD2A04"/>
    <w:rsid w:val="00AD312E"/>
    <w:rsid w:val="00AD324C"/>
    <w:rsid w:val="00AD3283"/>
    <w:rsid w:val="00AD3A01"/>
    <w:rsid w:val="00AD3A67"/>
    <w:rsid w:val="00AD3BE5"/>
    <w:rsid w:val="00AD3C44"/>
    <w:rsid w:val="00AD3F3D"/>
    <w:rsid w:val="00AD4266"/>
    <w:rsid w:val="00AD46F9"/>
    <w:rsid w:val="00AD494F"/>
    <w:rsid w:val="00AD4BA8"/>
    <w:rsid w:val="00AD4D0F"/>
    <w:rsid w:val="00AD5416"/>
    <w:rsid w:val="00AD5D88"/>
    <w:rsid w:val="00AD699B"/>
    <w:rsid w:val="00AD6B6B"/>
    <w:rsid w:val="00AD6FA4"/>
    <w:rsid w:val="00AD70CC"/>
    <w:rsid w:val="00AD7438"/>
    <w:rsid w:val="00AD7478"/>
    <w:rsid w:val="00AD78BF"/>
    <w:rsid w:val="00AD7C4E"/>
    <w:rsid w:val="00AD7D20"/>
    <w:rsid w:val="00AD7FBD"/>
    <w:rsid w:val="00AE00EF"/>
    <w:rsid w:val="00AE01A5"/>
    <w:rsid w:val="00AE039B"/>
    <w:rsid w:val="00AE0594"/>
    <w:rsid w:val="00AE0618"/>
    <w:rsid w:val="00AE0B17"/>
    <w:rsid w:val="00AE0B5D"/>
    <w:rsid w:val="00AE0C4C"/>
    <w:rsid w:val="00AE11F6"/>
    <w:rsid w:val="00AE12EF"/>
    <w:rsid w:val="00AE2453"/>
    <w:rsid w:val="00AE2998"/>
    <w:rsid w:val="00AE339E"/>
    <w:rsid w:val="00AE35EF"/>
    <w:rsid w:val="00AE3636"/>
    <w:rsid w:val="00AE3A37"/>
    <w:rsid w:val="00AE3A76"/>
    <w:rsid w:val="00AE3E14"/>
    <w:rsid w:val="00AE3EFF"/>
    <w:rsid w:val="00AE4208"/>
    <w:rsid w:val="00AE4401"/>
    <w:rsid w:val="00AE46CD"/>
    <w:rsid w:val="00AE4882"/>
    <w:rsid w:val="00AE49EB"/>
    <w:rsid w:val="00AE4BAB"/>
    <w:rsid w:val="00AE4C0E"/>
    <w:rsid w:val="00AE4D2E"/>
    <w:rsid w:val="00AE5449"/>
    <w:rsid w:val="00AE6194"/>
    <w:rsid w:val="00AE64B5"/>
    <w:rsid w:val="00AE7122"/>
    <w:rsid w:val="00AE72C3"/>
    <w:rsid w:val="00AE7447"/>
    <w:rsid w:val="00AE771C"/>
    <w:rsid w:val="00AF03E6"/>
    <w:rsid w:val="00AF085D"/>
    <w:rsid w:val="00AF1A1C"/>
    <w:rsid w:val="00AF1FD3"/>
    <w:rsid w:val="00AF2831"/>
    <w:rsid w:val="00AF34C1"/>
    <w:rsid w:val="00AF37C9"/>
    <w:rsid w:val="00AF399C"/>
    <w:rsid w:val="00AF40B9"/>
    <w:rsid w:val="00AF4730"/>
    <w:rsid w:val="00AF557B"/>
    <w:rsid w:val="00AF5CD5"/>
    <w:rsid w:val="00AF6257"/>
    <w:rsid w:val="00AF68AF"/>
    <w:rsid w:val="00AF6A78"/>
    <w:rsid w:val="00AF7171"/>
    <w:rsid w:val="00AF76D1"/>
    <w:rsid w:val="00AF7B14"/>
    <w:rsid w:val="00AF7BDC"/>
    <w:rsid w:val="00AF7C68"/>
    <w:rsid w:val="00AF7D57"/>
    <w:rsid w:val="00AF7DFD"/>
    <w:rsid w:val="00B000CD"/>
    <w:rsid w:val="00B00329"/>
    <w:rsid w:val="00B00432"/>
    <w:rsid w:val="00B00866"/>
    <w:rsid w:val="00B01992"/>
    <w:rsid w:val="00B01F34"/>
    <w:rsid w:val="00B024B1"/>
    <w:rsid w:val="00B025C7"/>
    <w:rsid w:val="00B0261B"/>
    <w:rsid w:val="00B028B5"/>
    <w:rsid w:val="00B02BB3"/>
    <w:rsid w:val="00B02E33"/>
    <w:rsid w:val="00B03436"/>
    <w:rsid w:val="00B03815"/>
    <w:rsid w:val="00B03B0E"/>
    <w:rsid w:val="00B03D40"/>
    <w:rsid w:val="00B03F15"/>
    <w:rsid w:val="00B03F9C"/>
    <w:rsid w:val="00B04141"/>
    <w:rsid w:val="00B048A5"/>
    <w:rsid w:val="00B04FB3"/>
    <w:rsid w:val="00B05A48"/>
    <w:rsid w:val="00B06371"/>
    <w:rsid w:val="00B06674"/>
    <w:rsid w:val="00B06742"/>
    <w:rsid w:val="00B067D5"/>
    <w:rsid w:val="00B06A7F"/>
    <w:rsid w:val="00B07487"/>
    <w:rsid w:val="00B079AB"/>
    <w:rsid w:val="00B07B54"/>
    <w:rsid w:val="00B07D4D"/>
    <w:rsid w:val="00B07F5D"/>
    <w:rsid w:val="00B10B0B"/>
    <w:rsid w:val="00B10B9C"/>
    <w:rsid w:val="00B10D92"/>
    <w:rsid w:val="00B10F4C"/>
    <w:rsid w:val="00B113D2"/>
    <w:rsid w:val="00B11878"/>
    <w:rsid w:val="00B118D4"/>
    <w:rsid w:val="00B1197B"/>
    <w:rsid w:val="00B12984"/>
    <w:rsid w:val="00B12AA0"/>
    <w:rsid w:val="00B12BE0"/>
    <w:rsid w:val="00B132FA"/>
    <w:rsid w:val="00B137C9"/>
    <w:rsid w:val="00B1382D"/>
    <w:rsid w:val="00B13C93"/>
    <w:rsid w:val="00B14168"/>
    <w:rsid w:val="00B142AC"/>
    <w:rsid w:val="00B14D27"/>
    <w:rsid w:val="00B156A6"/>
    <w:rsid w:val="00B1585C"/>
    <w:rsid w:val="00B1597E"/>
    <w:rsid w:val="00B16D80"/>
    <w:rsid w:val="00B16D9A"/>
    <w:rsid w:val="00B16ED4"/>
    <w:rsid w:val="00B17046"/>
    <w:rsid w:val="00B17260"/>
    <w:rsid w:val="00B17B46"/>
    <w:rsid w:val="00B17C50"/>
    <w:rsid w:val="00B17D0B"/>
    <w:rsid w:val="00B17F06"/>
    <w:rsid w:val="00B206ED"/>
    <w:rsid w:val="00B20968"/>
    <w:rsid w:val="00B209F3"/>
    <w:rsid w:val="00B20FD4"/>
    <w:rsid w:val="00B21262"/>
    <w:rsid w:val="00B21402"/>
    <w:rsid w:val="00B21729"/>
    <w:rsid w:val="00B21A9A"/>
    <w:rsid w:val="00B22140"/>
    <w:rsid w:val="00B22445"/>
    <w:rsid w:val="00B23214"/>
    <w:rsid w:val="00B23305"/>
    <w:rsid w:val="00B2346B"/>
    <w:rsid w:val="00B234FD"/>
    <w:rsid w:val="00B23788"/>
    <w:rsid w:val="00B23B67"/>
    <w:rsid w:val="00B23FCA"/>
    <w:rsid w:val="00B240F3"/>
    <w:rsid w:val="00B24FEC"/>
    <w:rsid w:val="00B253D0"/>
    <w:rsid w:val="00B25B61"/>
    <w:rsid w:val="00B25CB2"/>
    <w:rsid w:val="00B25E1E"/>
    <w:rsid w:val="00B2636F"/>
    <w:rsid w:val="00B26728"/>
    <w:rsid w:val="00B26743"/>
    <w:rsid w:val="00B27141"/>
    <w:rsid w:val="00B27427"/>
    <w:rsid w:val="00B2767C"/>
    <w:rsid w:val="00B27E0A"/>
    <w:rsid w:val="00B3019A"/>
    <w:rsid w:val="00B30231"/>
    <w:rsid w:val="00B308FB"/>
    <w:rsid w:val="00B31125"/>
    <w:rsid w:val="00B31297"/>
    <w:rsid w:val="00B31447"/>
    <w:rsid w:val="00B31548"/>
    <w:rsid w:val="00B316BB"/>
    <w:rsid w:val="00B318B9"/>
    <w:rsid w:val="00B31A31"/>
    <w:rsid w:val="00B3244D"/>
    <w:rsid w:val="00B328D4"/>
    <w:rsid w:val="00B32C12"/>
    <w:rsid w:val="00B33095"/>
    <w:rsid w:val="00B33543"/>
    <w:rsid w:val="00B336CB"/>
    <w:rsid w:val="00B33A96"/>
    <w:rsid w:val="00B33F13"/>
    <w:rsid w:val="00B34147"/>
    <w:rsid w:val="00B344D1"/>
    <w:rsid w:val="00B34A5A"/>
    <w:rsid w:val="00B34AC8"/>
    <w:rsid w:val="00B34E76"/>
    <w:rsid w:val="00B34EE0"/>
    <w:rsid w:val="00B34FE0"/>
    <w:rsid w:val="00B3540D"/>
    <w:rsid w:val="00B3544F"/>
    <w:rsid w:val="00B35852"/>
    <w:rsid w:val="00B3591A"/>
    <w:rsid w:val="00B35B44"/>
    <w:rsid w:val="00B36352"/>
    <w:rsid w:val="00B3639B"/>
    <w:rsid w:val="00B364BE"/>
    <w:rsid w:val="00B365CD"/>
    <w:rsid w:val="00B3669C"/>
    <w:rsid w:val="00B367E1"/>
    <w:rsid w:val="00B36987"/>
    <w:rsid w:val="00B36BB6"/>
    <w:rsid w:val="00B36C5A"/>
    <w:rsid w:val="00B36EAF"/>
    <w:rsid w:val="00B36FF6"/>
    <w:rsid w:val="00B370C0"/>
    <w:rsid w:val="00B37202"/>
    <w:rsid w:val="00B3737D"/>
    <w:rsid w:val="00B37898"/>
    <w:rsid w:val="00B37AE2"/>
    <w:rsid w:val="00B37BDB"/>
    <w:rsid w:val="00B40013"/>
    <w:rsid w:val="00B400D8"/>
    <w:rsid w:val="00B400DF"/>
    <w:rsid w:val="00B403F3"/>
    <w:rsid w:val="00B407DE"/>
    <w:rsid w:val="00B408D4"/>
    <w:rsid w:val="00B40934"/>
    <w:rsid w:val="00B40A0E"/>
    <w:rsid w:val="00B40B18"/>
    <w:rsid w:val="00B40BEB"/>
    <w:rsid w:val="00B40D20"/>
    <w:rsid w:val="00B40F13"/>
    <w:rsid w:val="00B40FC8"/>
    <w:rsid w:val="00B41176"/>
    <w:rsid w:val="00B41407"/>
    <w:rsid w:val="00B41503"/>
    <w:rsid w:val="00B415F5"/>
    <w:rsid w:val="00B41E6F"/>
    <w:rsid w:val="00B42319"/>
    <w:rsid w:val="00B42571"/>
    <w:rsid w:val="00B43285"/>
    <w:rsid w:val="00B43317"/>
    <w:rsid w:val="00B433F0"/>
    <w:rsid w:val="00B434D5"/>
    <w:rsid w:val="00B434DD"/>
    <w:rsid w:val="00B43D1E"/>
    <w:rsid w:val="00B43D55"/>
    <w:rsid w:val="00B43D9B"/>
    <w:rsid w:val="00B44136"/>
    <w:rsid w:val="00B45443"/>
    <w:rsid w:val="00B4546F"/>
    <w:rsid w:val="00B4559B"/>
    <w:rsid w:val="00B45907"/>
    <w:rsid w:val="00B45D88"/>
    <w:rsid w:val="00B46B7E"/>
    <w:rsid w:val="00B46FFF"/>
    <w:rsid w:val="00B47AE4"/>
    <w:rsid w:val="00B47F78"/>
    <w:rsid w:val="00B50022"/>
    <w:rsid w:val="00B500BC"/>
    <w:rsid w:val="00B50BB3"/>
    <w:rsid w:val="00B510DD"/>
    <w:rsid w:val="00B51420"/>
    <w:rsid w:val="00B51A65"/>
    <w:rsid w:val="00B51AEA"/>
    <w:rsid w:val="00B51BCC"/>
    <w:rsid w:val="00B51E4D"/>
    <w:rsid w:val="00B523E2"/>
    <w:rsid w:val="00B52963"/>
    <w:rsid w:val="00B52A1B"/>
    <w:rsid w:val="00B52CD6"/>
    <w:rsid w:val="00B52D82"/>
    <w:rsid w:val="00B52EF1"/>
    <w:rsid w:val="00B53080"/>
    <w:rsid w:val="00B533C5"/>
    <w:rsid w:val="00B534A7"/>
    <w:rsid w:val="00B5369F"/>
    <w:rsid w:val="00B5371A"/>
    <w:rsid w:val="00B53A22"/>
    <w:rsid w:val="00B53C1E"/>
    <w:rsid w:val="00B53D18"/>
    <w:rsid w:val="00B53FF4"/>
    <w:rsid w:val="00B54075"/>
    <w:rsid w:val="00B5464A"/>
    <w:rsid w:val="00B54687"/>
    <w:rsid w:val="00B550B4"/>
    <w:rsid w:val="00B5543C"/>
    <w:rsid w:val="00B55BF1"/>
    <w:rsid w:val="00B55C2D"/>
    <w:rsid w:val="00B56A04"/>
    <w:rsid w:val="00B56CA2"/>
    <w:rsid w:val="00B56D0A"/>
    <w:rsid w:val="00B5726F"/>
    <w:rsid w:val="00B57643"/>
    <w:rsid w:val="00B57791"/>
    <w:rsid w:val="00B579E4"/>
    <w:rsid w:val="00B6024B"/>
    <w:rsid w:val="00B602ED"/>
    <w:rsid w:val="00B60489"/>
    <w:rsid w:val="00B60A7A"/>
    <w:rsid w:val="00B60B48"/>
    <w:rsid w:val="00B61457"/>
    <w:rsid w:val="00B61468"/>
    <w:rsid w:val="00B61512"/>
    <w:rsid w:val="00B616FF"/>
    <w:rsid w:val="00B619A4"/>
    <w:rsid w:val="00B61A4C"/>
    <w:rsid w:val="00B61C67"/>
    <w:rsid w:val="00B6200A"/>
    <w:rsid w:val="00B62147"/>
    <w:rsid w:val="00B625D2"/>
    <w:rsid w:val="00B62B5E"/>
    <w:rsid w:val="00B62D50"/>
    <w:rsid w:val="00B62ECC"/>
    <w:rsid w:val="00B632EE"/>
    <w:rsid w:val="00B640AE"/>
    <w:rsid w:val="00B64520"/>
    <w:rsid w:val="00B65019"/>
    <w:rsid w:val="00B65108"/>
    <w:rsid w:val="00B6512A"/>
    <w:rsid w:val="00B65165"/>
    <w:rsid w:val="00B6522D"/>
    <w:rsid w:val="00B6526B"/>
    <w:rsid w:val="00B653F2"/>
    <w:rsid w:val="00B656B4"/>
    <w:rsid w:val="00B666DB"/>
    <w:rsid w:val="00B66737"/>
    <w:rsid w:val="00B66A56"/>
    <w:rsid w:val="00B66B04"/>
    <w:rsid w:val="00B66DEB"/>
    <w:rsid w:val="00B66F54"/>
    <w:rsid w:val="00B66FF8"/>
    <w:rsid w:val="00B676F6"/>
    <w:rsid w:val="00B67729"/>
    <w:rsid w:val="00B67846"/>
    <w:rsid w:val="00B6791F"/>
    <w:rsid w:val="00B7001E"/>
    <w:rsid w:val="00B70628"/>
    <w:rsid w:val="00B70932"/>
    <w:rsid w:val="00B70979"/>
    <w:rsid w:val="00B709FD"/>
    <w:rsid w:val="00B70B1A"/>
    <w:rsid w:val="00B710E3"/>
    <w:rsid w:val="00B7119B"/>
    <w:rsid w:val="00B716F8"/>
    <w:rsid w:val="00B716F9"/>
    <w:rsid w:val="00B722BB"/>
    <w:rsid w:val="00B72415"/>
    <w:rsid w:val="00B726BF"/>
    <w:rsid w:val="00B73438"/>
    <w:rsid w:val="00B73A92"/>
    <w:rsid w:val="00B73E14"/>
    <w:rsid w:val="00B745FC"/>
    <w:rsid w:val="00B74680"/>
    <w:rsid w:val="00B7483E"/>
    <w:rsid w:val="00B74CF7"/>
    <w:rsid w:val="00B74FA3"/>
    <w:rsid w:val="00B76F4F"/>
    <w:rsid w:val="00B7780B"/>
    <w:rsid w:val="00B778BA"/>
    <w:rsid w:val="00B77A54"/>
    <w:rsid w:val="00B8025F"/>
    <w:rsid w:val="00B80279"/>
    <w:rsid w:val="00B805D7"/>
    <w:rsid w:val="00B806CE"/>
    <w:rsid w:val="00B80778"/>
    <w:rsid w:val="00B809A2"/>
    <w:rsid w:val="00B80A2F"/>
    <w:rsid w:val="00B8197E"/>
    <w:rsid w:val="00B81B85"/>
    <w:rsid w:val="00B81B89"/>
    <w:rsid w:val="00B820DD"/>
    <w:rsid w:val="00B82629"/>
    <w:rsid w:val="00B82795"/>
    <w:rsid w:val="00B828EC"/>
    <w:rsid w:val="00B82ED3"/>
    <w:rsid w:val="00B839CE"/>
    <w:rsid w:val="00B84A82"/>
    <w:rsid w:val="00B84C27"/>
    <w:rsid w:val="00B850C4"/>
    <w:rsid w:val="00B8511E"/>
    <w:rsid w:val="00B85229"/>
    <w:rsid w:val="00B85446"/>
    <w:rsid w:val="00B855FF"/>
    <w:rsid w:val="00B8580E"/>
    <w:rsid w:val="00B8584E"/>
    <w:rsid w:val="00B858C1"/>
    <w:rsid w:val="00B86482"/>
    <w:rsid w:val="00B86990"/>
    <w:rsid w:val="00B86BD1"/>
    <w:rsid w:val="00B86CE1"/>
    <w:rsid w:val="00B86F15"/>
    <w:rsid w:val="00B8701B"/>
    <w:rsid w:val="00B87204"/>
    <w:rsid w:val="00B87224"/>
    <w:rsid w:val="00B87561"/>
    <w:rsid w:val="00B875C3"/>
    <w:rsid w:val="00B87E1D"/>
    <w:rsid w:val="00B87F2B"/>
    <w:rsid w:val="00B90057"/>
    <w:rsid w:val="00B90163"/>
    <w:rsid w:val="00B902F0"/>
    <w:rsid w:val="00B9048C"/>
    <w:rsid w:val="00B90893"/>
    <w:rsid w:val="00B90C5C"/>
    <w:rsid w:val="00B91AA5"/>
    <w:rsid w:val="00B92E59"/>
    <w:rsid w:val="00B930C3"/>
    <w:rsid w:val="00B930E3"/>
    <w:rsid w:val="00B933A7"/>
    <w:rsid w:val="00B94788"/>
    <w:rsid w:val="00B94AB3"/>
    <w:rsid w:val="00B95005"/>
    <w:rsid w:val="00B953F4"/>
    <w:rsid w:val="00B9550A"/>
    <w:rsid w:val="00B956C7"/>
    <w:rsid w:val="00B95C9F"/>
    <w:rsid w:val="00B95E75"/>
    <w:rsid w:val="00B95FE7"/>
    <w:rsid w:val="00B963B4"/>
    <w:rsid w:val="00B9653C"/>
    <w:rsid w:val="00B96B99"/>
    <w:rsid w:val="00B96CC9"/>
    <w:rsid w:val="00B96D2D"/>
    <w:rsid w:val="00B96DA9"/>
    <w:rsid w:val="00B97266"/>
    <w:rsid w:val="00B9752A"/>
    <w:rsid w:val="00B97BC4"/>
    <w:rsid w:val="00B97E75"/>
    <w:rsid w:val="00BA0489"/>
    <w:rsid w:val="00BA0753"/>
    <w:rsid w:val="00BA0804"/>
    <w:rsid w:val="00BA0C2C"/>
    <w:rsid w:val="00BA0E8F"/>
    <w:rsid w:val="00BA135C"/>
    <w:rsid w:val="00BA168F"/>
    <w:rsid w:val="00BA1809"/>
    <w:rsid w:val="00BA1AC6"/>
    <w:rsid w:val="00BA1B5F"/>
    <w:rsid w:val="00BA1C0B"/>
    <w:rsid w:val="00BA1CB0"/>
    <w:rsid w:val="00BA1FB8"/>
    <w:rsid w:val="00BA29E6"/>
    <w:rsid w:val="00BA2C08"/>
    <w:rsid w:val="00BA306C"/>
    <w:rsid w:val="00BA3136"/>
    <w:rsid w:val="00BA3735"/>
    <w:rsid w:val="00BA3BCC"/>
    <w:rsid w:val="00BA3F34"/>
    <w:rsid w:val="00BA3FAB"/>
    <w:rsid w:val="00BA40C1"/>
    <w:rsid w:val="00BA419A"/>
    <w:rsid w:val="00BA4237"/>
    <w:rsid w:val="00BA490F"/>
    <w:rsid w:val="00BA4EB4"/>
    <w:rsid w:val="00BA5882"/>
    <w:rsid w:val="00BA5D3B"/>
    <w:rsid w:val="00BA5EB3"/>
    <w:rsid w:val="00BA6065"/>
    <w:rsid w:val="00BA629D"/>
    <w:rsid w:val="00BA6961"/>
    <w:rsid w:val="00BA7093"/>
    <w:rsid w:val="00BA7A90"/>
    <w:rsid w:val="00BA7C84"/>
    <w:rsid w:val="00BB0547"/>
    <w:rsid w:val="00BB0C15"/>
    <w:rsid w:val="00BB14E3"/>
    <w:rsid w:val="00BB1781"/>
    <w:rsid w:val="00BB19A0"/>
    <w:rsid w:val="00BB1B91"/>
    <w:rsid w:val="00BB1D8F"/>
    <w:rsid w:val="00BB2850"/>
    <w:rsid w:val="00BB2A96"/>
    <w:rsid w:val="00BB2D2F"/>
    <w:rsid w:val="00BB3099"/>
    <w:rsid w:val="00BB3291"/>
    <w:rsid w:val="00BB3372"/>
    <w:rsid w:val="00BB3DD2"/>
    <w:rsid w:val="00BB40B2"/>
    <w:rsid w:val="00BB4270"/>
    <w:rsid w:val="00BB4865"/>
    <w:rsid w:val="00BB48E0"/>
    <w:rsid w:val="00BB4A07"/>
    <w:rsid w:val="00BB4C6C"/>
    <w:rsid w:val="00BB4D01"/>
    <w:rsid w:val="00BB4D54"/>
    <w:rsid w:val="00BB4F3A"/>
    <w:rsid w:val="00BB5B79"/>
    <w:rsid w:val="00BB5C25"/>
    <w:rsid w:val="00BB5EB6"/>
    <w:rsid w:val="00BB619B"/>
    <w:rsid w:val="00BB7350"/>
    <w:rsid w:val="00BB7561"/>
    <w:rsid w:val="00BB77AF"/>
    <w:rsid w:val="00BB78CC"/>
    <w:rsid w:val="00BB7911"/>
    <w:rsid w:val="00BB7C83"/>
    <w:rsid w:val="00BB7E1B"/>
    <w:rsid w:val="00BC00C2"/>
    <w:rsid w:val="00BC0397"/>
    <w:rsid w:val="00BC0CA4"/>
    <w:rsid w:val="00BC1383"/>
    <w:rsid w:val="00BC13CD"/>
    <w:rsid w:val="00BC1586"/>
    <w:rsid w:val="00BC1C9D"/>
    <w:rsid w:val="00BC222A"/>
    <w:rsid w:val="00BC24A4"/>
    <w:rsid w:val="00BC2516"/>
    <w:rsid w:val="00BC2669"/>
    <w:rsid w:val="00BC26A0"/>
    <w:rsid w:val="00BC2EFC"/>
    <w:rsid w:val="00BC2F9A"/>
    <w:rsid w:val="00BC32CA"/>
    <w:rsid w:val="00BC34DB"/>
    <w:rsid w:val="00BC34E4"/>
    <w:rsid w:val="00BC38D3"/>
    <w:rsid w:val="00BC3D80"/>
    <w:rsid w:val="00BC452A"/>
    <w:rsid w:val="00BC45EB"/>
    <w:rsid w:val="00BC474E"/>
    <w:rsid w:val="00BC4861"/>
    <w:rsid w:val="00BC4CEC"/>
    <w:rsid w:val="00BC4E18"/>
    <w:rsid w:val="00BC52FC"/>
    <w:rsid w:val="00BC54C9"/>
    <w:rsid w:val="00BC5D66"/>
    <w:rsid w:val="00BC5DCB"/>
    <w:rsid w:val="00BC65E4"/>
    <w:rsid w:val="00BC68E6"/>
    <w:rsid w:val="00BC6D13"/>
    <w:rsid w:val="00BC6D31"/>
    <w:rsid w:val="00BC7540"/>
    <w:rsid w:val="00BD013B"/>
    <w:rsid w:val="00BD210E"/>
    <w:rsid w:val="00BD25B9"/>
    <w:rsid w:val="00BD2711"/>
    <w:rsid w:val="00BD2B45"/>
    <w:rsid w:val="00BD2CCD"/>
    <w:rsid w:val="00BD2F8A"/>
    <w:rsid w:val="00BD365A"/>
    <w:rsid w:val="00BD3948"/>
    <w:rsid w:val="00BD3CE0"/>
    <w:rsid w:val="00BD3E95"/>
    <w:rsid w:val="00BD40D0"/>
    <w:rsid w:val="00BD44FA"/>
    <w:rsid w:val="00BD45F1"/>
    <w:rsid w:val="00BD4739"/>
    <w:rsid w:val="00BD4880"/>
    <w:rsid w:val="00BD496C"/>
    <w:rsid w:val="00BD49C4"/>
    <w:rsid w:val="00BD49DF"/>
    <w:rsid w:val="00BD4D5E"/>
    <w:rsid w:val="00BD5103"/>
    <w:rsid w:val="00BD511C"/>
    <w:rsid w:val="00BD52AA"/>
    <w:rsid w:val="00BD52F7"/>
    <w:rsid w:val="00BD5502"/>
    <w:rsid w:val="00BD5793"/>
    <w:rsid w:val="00BD584D"/>
    <w:rsid w:val="00BD5A11"/>
    <w:rsid w:val="00BD5B8A"/>
    <w:rsid w:val="00BD5D71"/>
    <w:rsid w:val="00BD61B2"/>
    <w:rsid w:val="00BD6B80"/>
    <w:rsid w:val="00BD7704"/>
    <w:rsid w:val="00BE034A"/>
    <w:rsid w:val="00BE04EE"/>
    <w:rsid w:val="00BE09EE"/>
    <w:rsid w:val="00BE0F50"/>
    <w:rsid w:val="00BE10A7"/>
    <w:rsid w:val="00BE137E"/>
    <w:rsid w:val="00BE1806"/>
    <w:rsid w:val="00BE1C1B"/>
    <w:rsid w:val="00BE28E1"/>
    <w:rsid w:val="00BE2A9B"/>
    <w:rsid w:val="00BE2C13"/>
    <w:rsid w:val="00BE2D8E"/>
    <w:rsid w:val="00BE2E45"/>
    <w:rsid w:val="00BE2ECC"/>
    <w:rsid w:val="00BE2F40"/>
    <w:rsid w:val="00BE384C"/>
    <w:rsid w:val="00BE385B"/>
    <w:rsid w:val="00BE396F"/>
    <w:rsid w:val="00BE3F47"/>
    <w:rsid w:val="00BE3F54"/>
    <w:rsid w:val="00BE3FA5"/>
    <w:rsid w:val="00BE425C"/>
    <w:rsid w:val="00BE49AB"/>
    <w:rsid w:val="00BE4AFA"/>
    <w:rsid w:val="00BE5217"/>
    <w:rsid w:val="00BE5253"/>
    <w:rsid w:val="00BE5520"/>
    <w:rsid w:val="00BE568D"/>
    <w:rsid w:val="00BE5D59"/>
    <w:rsid w:val="00BE5DF6"/>
    <w:rsid w:val="00BE631E"/>
    <w:rsid w:val="00BE64F0"/>
    <w:rsid w:val="00BE69DB"/>
    <w:rsid w:val="00BE6E3E"/>
    <w:rsid w:val="00BE7163"/>
    <w:rsid w:val="00BE7327"/>
    <w:rsid w:val="00BE7770"/>
    <w:rsid w:val="00BE7945"/>
    <w:rsid w:val="00BE7BAC"/>
    <w:rsid w:val="00BE7CB8"/>
    <w:rsid w:val="00BE7DC9"/>
    <w:rsid w:val="00BE7DFB"/>
    <w:rsid w:val="00BF0185"/>
    <w:rsid w:val="00BF02EB"/>
    <w:rsid w:val="00BF06E6"/>
    <w:rsid w:val="00BF0923"/>
    <w:rsid w:val="00BF0DCC"/>
    <w:rsid w:val="00BF1557"/>
    <w:rsid w:val="00BF1FCB"/>
    <w:rsid w:val="00BF2076"/>
    <w:rsid w:val="00BF2863"/>
    <w:rsid w:val="00BF2CBB"/>
    <w:rsid w:val="00BF3363"/>
    <w:rsid w:val="00BF3372"/>
    <w:rsid w:val="00BF3393"/>
    <w:rsid w:val="00BF3438"/>
    <w:rsid w:val="00BF346E"/>
    <w:rsid w:val="00BF3C50"/>
    <w:rsid w:val="00BF3F3A"/>
    <w:rsid w:val="00BF46D6"/>
    <w:rsid w:val="00BF48DA"/>
    <w:rsid w:val="00BF4A25"/>
    <w:rsid w:val="00BF4AD7"/>
    <w:rsid w:val="00BF4B82"/>
    <w:rsid w:val="00BF4C94"/>
    <w:rsid w:val="00BF513A"/>
    <w:rsid w:val="00BF5370"/>
    <w:rsid w:val="00BF5374"/>
    <w:rsid w:val="00BF5575"/>
    <w:rsid w:val="00BF5903"/>
    <w:rsid w:val="00BF592D"/>
    <w:rsid w:val="00BF5A7D"/>
    <w:rsid w:val="00BF5AE3"/>
    <w:rsid w:val="00BF60E4"/>
    <w:rsid w:val="00BF62E8"/>
    <w:rsid w:val="00BF662F"/>
    <w:rsid w:val="00BF6A2B"/>
    <w:rsid w:val="00BF70BA"/>
    <w:rsid w:val="00BF71B1"/>
    <w:rsid w:val="00BF75C6"/>
    <w:rsid w:val="00BF77DB"/>
    <w:rsid w:val="00BF7E9E"/>
    <w:rsid w:val="00BF7FEC"/>
    <w:rsid w:val="00C00013"/>
    <w:rsid w:val="00C000DE"/>
    <w:rsid w:val="00C001B0"/>
    <w:rsid w:val="00C002A0"/>
    <w:rsid w:val="00C00564"/>
    <w:rsid w:val="00C00589"/>
    <w:rsid w:val="00C007C8"/>
    <w:rsid w:val="00C00B3B"/>
    <w:rsid w:val="00C00BF5"/>
    <w:rsid w:val="00C00CE1"/>
    <w:rsid w:val="00C01197"/>
    <w:rsid w:val="00C0174A"/>
    <w:rsid w:val="00C01827"/>
    <w:rsid w:val="00C01A4C"/>
    <w:rsid w:val="00C0202C"/>
    <w:rsid w:val="00C02095"/>
    <w:rsid w:val="00C022F9"/>
    <w:rsid w:val="00C02854"/>
    <w:rsid w:val="00C029A5"/>
    <w:rsid w:val="00C02BF1"/>
    <w:rsid w:val="00C02E10"/>
    <w:rsid w:val="00C02E6D"/>
    <w:rsid w:val="00C03BE1"/>
    <w:rsid w:val="00C03EC6"/>
    <w:rsid w:val="00C041ED"/>
    <w:rsid w:val="00C042CD"/>
    <w:rsid w:val="00C04767"/>
    <w:rsid w:val="00C04C32"/>
    <w:rsid w:val="00C05132"/>
    <w:rsid w:val="00C05424"/>
    <w:rsid w:val="00C05711"/>
    <w:rsid w:val="00C05856"/>
    <w:rsid w:val="00C059C1"/>
    <w:rsid w:val="00C05C51"/>
    <w:rsid w:val="00C05D6D"/>
    <w:rsid w:val="00C05F85"/>
    <w:rsid w:val="00C06004"/>
    <w:rsid w:val="00C060DD"/>
    <w:rsid w:val="00C06220"/>
    <w:rsid w:val="00C06728"/>
    <w:rsid w:val="00C06C90"/>
    <w:rsid w:val="00C06D80"/>
    <w:rsid w:val="00C06E71"/>
    <w:rsid w:val="00C07269"/>
    <w:rsid w:val="00C07FCC"/>
    <w:rsid w:val="00C100BA"/>
    <w:rsid w:val="00C103E9"/>
    <w:rsid w:val="00C104DC"/>
    <w:rsid w:val="00C105F3"/>
    <w:rsid w:val="00C10A21"/>
    <w:rsid w:val="00C10F0A"/>
    <w:rsid w:val="00C11292"/>
    <w:rsid w:val="00C11441"/>
    <w:rsid w:val="00C11453"/>
    <w:rsid w:val="00C11626"/>
    <w:rsid w:val="00C11AC7"/>
    <w:rsid w:val="00C11AD4"/>
    <w:rsid w:val="00C11C7F"/>
    <w:rsid w:val="00C12D1D"/>
    <w:rsid w:val="00C12FEC"/>
    <w:rsid w:val="00C1319A"/>
    <w:rsid w:val="00C13516"/>
    <w:rsid w:val="00C13B0A"/>
    <w:rsid w:val="00C146A4"/>
    <w:rsid w:val="00C14FB1"/>
    <w:rsid w:val="00C1508D"/>
    <w:rsid w:val="00C15C3E"/>
    <w:rsid w:val="00C15E43"/>
    <w:rsid w:val="00C15EC2"/>
    <w:rsid w:val="00C16568"/>
    <w:rsid w:val="00C16872"/>
    <w:rsid w:val="00C169BA"/>
    <w:rsid w:val="00C16E55"/>
    <w:rsid w:val="00C1730F"/>
    <w:rsid w:val="00C17314"/>
    <w:rsid w:val="00C175F2"/>
    <w:rsid w:val="00C179DC"/>
    <w:rsid w:val="00C20698"/>
    <w:rsid w:val="00C206CE"/>
    <w:rsid w:val="00C2082E"/>
    <w:rsid w:val="00C20C0D"/>
    <w:rsid w:val="00C20EFD"/>
    <w:rsid w:val="00C21D04"/>
    <w:rsid w:val="00C22866"/>
    <w:rsid w:val="00C22EE7"/>
    <w:rsid w:val="00C23296"/>
    <w:rsid w:val="00C23390"/>
    <w:rsid w:val="00C23507"/>
    <w:rsid w:val="00C23D2A"/>
    <w:rsid w:val="00C24241"/>
    <w:rsid w:val="00C248DD"/>
    <w:rsid w:val="00C249FB"/>
    <w:rsid w:val="00C252A0"/>
    <w:rsid w:val="00C2569B"/>
    <w:rsid w:val="00C25ED5"/>
    <w:rsid w:val="00C25FAC"/>
    <w:rsid w:val="00C263B3"/>
    <w:rsid w:val="00C26911"/>
    <w:rsid w:val="00C26A63"/>
    <w:rsid w:val="00C30126"/>
    <w:rsid w:val="00C307AE"/>
    <w:rsid w:val="00C30855"/>
    <w:rsid w:val="00C30944"/>
    <w:rsid w:val="00C30954"/>
    <w:rsid w:val="00C3175D"/>
    <w:rsid w:val="00C31ACB"/>
    <w:rsid w:val="00C31BBB"/>
    <w:rsid w:val="00C31DB9"/>
    <w:rsid w:val="00C3212E"/>
    <w:rsid w:val="00C328CF"/>
    <w:rsid w:val="00C32B09"/>
    <w:rsid w:val="00C3357E"/>
    <w:rsid w:val="00C33623"/>
    <w:rsid w:val="00C33656"/>
    <w:rsid w:val="00C33BB6"/>
    <w:rsid w:val="00C33C4D"/>
    <w:rsid w:val="00C340E6"/>
    <w:rsid w:val="00C343FB"/>
    <w:rsid w:val="00C346F6"/>
    <w:rsid w:val="00C34C8E"/>
    <w:rsid w:val="00C34D55"/>
    <w:rsid w:val="00C34E40"/>
    <w:rsid w:val="00C34EF0"/>
    <w:rsid w:val="00C35090"/>
    <w:rsid w:val="00C3527A"/>
    <w:rsid w:val="00C35453"/>
    <w:rsid w:val="00C355EF"/>
    <w:rsid w:val="00C35627"/>
    <w:rsid w:val="00C35637"/>
    <w:rsid w:val="00C360F4"/>
    <w:rsid w:val="00C36566"/>
    <w:rsid w:val="00C366A0"/>
    <w:rsid w:val="00C36A6F"/>
    <w:rsid w:val="00C36F07"/>
    <w:rsid w:val="00C37B3F"/>
    <w:rsid w:val="00C37E98"/>
    <w:rsid w:val="00C4004D"/>
    <w:rsid w:val="00C4068E"/>
    <w:rsid w:val="00C40E03"/>
    <w:rsid w:val="00C40F98"/>
    <w:rsid w:val="00C410A6"/>
    <w:rsid w:val="00C415DD"/>
    <w:rsid w:val="00C416F4"/>
    <w:rsid w:val="00C41B58"/>
    <w:rsid w:val="00C41B62"/>
    <w:rsid w:val="00C41CA1"/>
    <w:rsid w:val="00C4204C"/>
    <w:rsid w:val="00C423EE"/>
    <w:rsid w:val="00C426F8"/>
    <w:rsid w:val="00C428F5"/>
    <w:rsid w:val="00C42CD6"/>
    <w:rsid w:val="00C42E23"/>
    <w:rsid w:val="00C431EE"/>
    <w:rsid w:val="00C4345E"/>
    <w:rsid w:val="00C44157"/>
    <w:rsid w:val="00C449A0"/>
    <w:rsid w:val="00C44D92"/>
    <w:rsid w:val="00C450B4"/>
    <w:rsid w:val="00C4518F"/>
    <w:rsid w:val="00C451A6"/>
    <w:rsid w:val="00C452CF"/>
    <w:rsid w:val="00C45E33"/>
    <w:rsid w:val="00C45E7E"/>
    <w:rsid w:val="00C4696A"/>
    <w:rsid w:val="00C46FF7"/>
    <w:rsid w:val="00C4711C"/>
    <w:rsid w:val="00C47516"/>
    <w:rsid w:val="00C476C3"/>
    <w:rsid w:val="00C47CCA"/>
    <w:rsid w:val="00C50154"/>
    <w:rsid w:val="00C501DE"/>
    <w:rsid w:val="00C50301"/>
    <w:rsid w:val="00C505E4"/>
    <w:rsid w:val="00C508E3"/>
    <w:rsid w:val="00C50BD6"/>
    <w:rsid w:val="00C50CDD"/>
    <w:rsid w:val="00C51101"/>
    <w:rsid w:val="00C5182E"/>
    <w:rsid w:val="00C51B00"/>
    <w:rsid w:val="00C51CEF"/>
    <w:rsid w:val="00C52708"/>
    <w:rsid w:val="00C52F77"/>
    <w:rsid w:val="00C5311E"/>
    <w:rsid w:val="00C53AA8"/>
    <w:rsid w:val="00C54523"/>
    <w:rsid w:val="00C54661"/>
    <w:rsid w:val="00C54A02"/>
    <w:rsid w:val="00C54EC9"/>
    <w:rsid w:val="00C54F52"/>
    <w:rsid w:val="00C55036"/>
    <w:rsid w:val="00C553BB"/>
    <w:rsid w:val="00C554B5"/>
    <w:rsid w:val="00C55789"/>
    <w:rsid w:val="00C55AC3"/>
    <w:rsid w:val="00C55AF6"/>
    <w:rsid w:val="00C55C26"/>
    <w:rsid w:val="00C55C4B"/>
    <w:rsid w:val="00C55E3F"/>
    <w:rsid w:val="00C55F19"/>
    <w:rsid w:val="00C56056"/>
    <w:rsid w:val="00C564B3"/>
    <w:rsid w:val="00C56713"/>
    <w:rsid w:val="00C568DD"/>
    <w:rsid w:val="00C56A24"/>
    <w:rsid w:val="00C56D4B"/>
    <w:rsid w:val="00C571D1"/>
    <w:rsid w:val="00C571FD"/>
    <w:rsid w:val="00C57221"/>
    <w:rsid w:val="00C57225"/>
    <w:rsid w:val="00C572DF"/>
    <w:rsid w:val="00C5760A"/>
    <w:rsid w:val="00C576A6"/>
    <w:rsid w:val="00C5791E"/>
    <w:rsid w:val="00C57C7D"/>
    <w:rsid w:val="00C60509"/>
    <w:rsid w:val="00C6051B"/>
    <w:rsid w:val="00C60832"/>
    <w:rsid w:val="00C60E04"/>
    <w:rsid w:val="00C61342"/>
    <w:rsid w:val="00C61CEE"/>
    <w:rsid w:val="00C61E97"/>
    <w:rsid w:val="00C62029"/>
    <w:rsid w:val="00C629DC"/>
    <w:rsid w:val="00C62EE3"/>
    <w:rsid w:val="00C62FCD"/>
    <w:rsid w:val="00C63462"/>
    <w:rsid w:val="00C639F1"/>
    <w:rsid w:val="00C63B70"/>
    <w:rsid w:val="00C63B9F"/>
    <w:rsid w:val="00C63C0F"/>
    <w:rsid w:val="00C63CA5"/>
    <w:rsid w:val="00C63DE6"/>
    <w:rsid w:val="00C63F58"/>
    <w:rsid w:val="00C64204"/>
    <w:rsid w:val="00C6449A"/>
    <w:rsid w:val="00C64DA1"/>
    <w:rsid w:val="00C65766"/>
    <w:rsid w:val="00C65772"/>
    <w:rsid w:val="00C65817"/>
    <w:rsid w:val="00C65A00"/>
    <w:rsid w:val="00C65D2D"/>
    <w:rsid w:val="00C66083"/>
    <w:rsid w:val="00C660C3"/>
    <w:rsid w:val="00C6613A"/>
    <w:rsid w:val="00C66405"/>
    <w:rsid w:val="00C668D5"/>
    <w:rsid w:val="00C66BD9"/>
    <w:rsid w:val="00C66E97"/>
    <w:rsid w:val="00C6741E"/>
    <w:rsid w:val="00C678AB"/>
    <w:rsid w:val="00C67C79"/>
    <w:rsid w:val="00C70938"/>
    <w:rsid w:val="00C70A3A"/>
    <w:rsid w:val="00C70EA4"/>
    <w:rsid w:val="00C70FDC"/>
    <w:rsid w:val="00C71FBE"/>
    <w:rsid w:val="00C71FCD"/>
    <w:rsid w:val="00C72003"/>
    <w:rsid w:val="00C72628"/>
    <w:rsid w:val="00C7274B"/>
    <w:rsid w:val="00C73008"/>
    <w:rsid w:val="00C731A8"/>
    <w:rsid w:val="00C737AD"/>
    <w:rsid w:val="00C73D87"/>
    <w:rsid w:val="00C73FFA"/>
    <w:rsid w:val="00C74176"/>
    <w:rsid w:val="00C74222"/>
    <w:rsid w:val="00C744BF"/>
    <w:rsid w:val="00C747E6"/>
    <w:rsid w:val="00C74E93"/>
    <w:rsid w:val="00C75366"/>
    <w:rsid w:val="00C7546F"/>
    <w:rsid w:val="00C7595B"/>
    <w:rsid w:val="00C75CDB"/>
    <w:rsid w:val="00C75D02"/>
    <w:rsid w:val="00C75FE4"/>
    <w:rsid w:val="00C76099"/>
    <w:rsid w:val="00C769DE"/>
    <w:rsid w:val="00C7706B"/>
    <w:rsid w:val="00C77EB8"/>
    <w:rsid w:val="00C8022D"/>
    <w:rsid w:val="00C80519"/>
    <w:rsid w:val="00C808C5"/>
    <w:rsid w:val="00C80B6D"/>
    <w:rsid w:val="00C80D19"/>
    <w:rsid w:val="00C80F08"/>
    <w:rsid w:val="00C81196"/>
    <w:rsid w:val="00C81242"/>
    <w:rsid w:val="00C8154B"/>
    <w:rsid w:val="00C81890"/>
    <w:rsid w:val="00C81A83"/>
    <w:rsid w:val="00C81B40"/>
    <w:rsid w:val="00C822AD"/>
    <w:rsid w:val="00C82712"/>
    <w:rsid w:val="00C82D92"/>
    <w:rsid w:val="00C82DB9"/>
    <w:rsid w:val="00C832B7"/>
    <w:rsid w:val="00C837B2"/>
    <w:rsid w:val="00C83C15"/>
    <w:rsid w:val="00C83CC7"/>
    <w:rsid w:val="00C83DE7"/>
    <w:rsid w:val="00C83E6F"/>
    <w:rsid w:val="00C8435B"/>
    <w:rsid w:val="00C843F2"/>
    <w:rsid w:val="00C846B6"/>
    <w:rsid w:val="00C846E0"/>
    <w:rsid w:val="00C84D80"/>
    <w:rsid w:val="00C8515E"/>
    <w:rsid w:val="00C853A8"/>
    <w:rsid w:val="00C85A96"/>
    <w:rsid w:val="00C85CB1"/>
    <w:rsid w:val="00C86114"/>
    <w:rsid w:val="00C861BD"/>
    <w:rsid w:val="00C8641B"/>
    <w:rsid w:val="00C86560"/>
    <w:rsid w:val="00C866D8"/>
    <w:rsid w:val="00C86840"/>
    <w:rsid w:val="00C86E91"/>
    <w:rsid w:val="00C871C5"/>
    <w:rsid w:val="00C873FF"/>
    <w:rsid w:val="00C8781D"/>
    <w:rsid w:val="00C87962"/>
    <w:rsid w:val="00C87D50"/>
    <w:rsid w:val="00C9039A"/>
    <w:rsid w:val="00C90534"/>
    <w:rsid w:val="00C90B1F"/>
    <w:rsid w:val="00C90BA7"/>
    <w:rsid w:val="00C90CCF"/>
    <w:rsid w:val="00C91671"/>
    <w:rsid w:val="00C91BF3"/>
    <w:rsid w:val="00C920D4"/>
    <w:rsid w:val="00C92530"/>
    <w:rsid w:val="00C927B9"/>
    <w:rsid w:val="00C92803"/>
    <w:rsid w:val="00C929D5"/>
    <w:rsid w:val="00C92D38"/>
    <w:rsid w:val="00C93079"/>
    <w:rsid w:val="00C93664"/>
    <w:rsid w:val="00C93786"/>
    <w:rsid w:val="00C938D1"/>
    <w:rsid w:val="00C9428D"/>
    <w:rsid w:val="00C9439F"/>
    <w:rsid w:val="00C94B85"/>
    <w:rsid w:val="00C94D42"/>
    <w:rsid w:val="00C94E8C"/>
    <w:rsid w:val="00C94F87"/>
    <w:rsid w:val="00C9504B"/>
    <w:rsid w:val="00C9570B"/>
    <w:rsid w:val="00C95842"/>
    <w:rsid w:val="00C965B0"/>
    <w:rsid w:val="00C9668C"/>
    <w:rsid w:val="00C976DF"/>
    <w:rsid w:val="00CA00E1"/>
    <w:rsid w:val="00CA066D"/>
    <w:rsid w:val="00CA07F3"/>
    <w:rsid w:val="00CA0A0F"/>
    <w:rsid w:val="00CA0F33"/>
    <w:rsid w:val="00CA16BD"/>
    <w:rsid w:val="00CA171E"/>
    <w:rsid w:val="00CA1852"/>
    <w:rsid w:val="00CA18DC"/>
    <w:rsid w:val="00CA1C01"/>
    <w:rsid w:val="00CA1EA8"/>
    <w:rsid w:val="00CA2310"/>
    <w:rsid w:val="00CA2388"/>
    <w:rsid w:val="00CA2651"/>
    <w:rsid w:val="00CA2E22"/>
    <w:rsid w:val="00CA33E6"/>
    <w:rsid w:val="00CA38D6"/>
    <w:rsid w:val="00CA398B"/>
    <w:rsid w:val="00CA39BF"/>
    <w:rsid w:val="00CA3E73"/>
    <w:rsid w:val="00CA407B"/>
    <w:rsid w:val="00CA41DC"/>
    <w:rsid w:val="00CA4386"/>
    <w:rsid w:val="00CA49BB"/>
    <w:rsid w:val="00CA549B"/>
    <w:rsid w:val="00CA55C5"/>
    <w:rsid w:val="00CA59F5"/>
    <w:rsid w:val="00CA5A68"/>
    <w:rsid w:val="00CA5CB5"/>
    <w:rsid w:val="00CA611C"/>
    <w:rsid w:val="00CA6451"/>
    <w:rsid w:val="00CA6618"/>
    <w:rsid w:val="00CA6DAD"/>
    <w:rsid w:val="00CA71E0"/>
    <w:rsid w:val="00CA753C"/>
    <w:rsid w:val="00CA7583"/>
    <w:rsid w:val="00CA7872"/>
    <w:rsid w:val="00CA7899"/>
    <w:rsid w:val="00CB03A9"/>
    <w:rsid w:val="00CB0727"/>
    <w:rsid w:val="00CB0FAC"/>
    <w:rsid w:val="00CB13A4"/>
    <w:rsid w:val="00CB1416"/>
    <w:rsid w:val="00CB24F3"/>
    <w:rsid w:val="00CB31E8"/>
    <w:rsid w:val="00CB367F"/>
    <w:rsid w:val="00CB3739"/>
    <w:rsid w:val="00CB3A51"/>
    <w:rsid w:val="00CB3B58"/>
    <w:rsid w:val="00CB3DD3"/>
    <w:rsid w:val="00CB4D42"/>
    <w:rsid w:val="00CB4E33"/>
    <w:rsid w:val="00CB52D6"/>
    <w:rsid w:val="00CB55A0"/>
    <w:rsid w:val="00CB56D5"/>
    <w:rsid w:val="00CB57FC"/>
    <w:rsid w:val="00CB58C5"/>
    <w:rsid w:val="00CB5EA3"/>
    <w:rsid w:val="00CB5FF2"/>
    <w:rsid w:val="00CB63E3"/>
    <w:rsid w:val="00CB6D3A"/>
    <w:rsid w:val="00CB6E40"/>
    <w:rsid w:val="00CB6E57"/>
    <w:rsid w:val="00CB6F5D"/>
    <w:rsid w:val="00CB714A"/>
    <w:rsid w:val="00CB7209"/>
    <w:rsid w:val="00CB77F0"/>
    <w:rsid w:val="00CB7AAD"/>
    <w:rsid w:val="00CB7B47"/>
    <w:rsid w:val="00CB7D78"/>
    <w:rsid w:val="00CB7DD3"/>
    <w:rsid w:val="00CB7E73"/>
    <w:rsid w:val="00CC0140"/>
    <w:rsid w:val="00CC049A"/>
    <w:rsid w:val="00CC05F0"/>
    <w:rsid w:val="00CC0B5E"/>
    <w:rsid w:val="00CC0F0E"/>
    <w:rsid w:val="00CC1188"/>
    <w:rsid w:val="00CC1DC8"/>
    <w:rsid w:val="00CC211C"/>
    <w:rsid w:val="00CC2228"/>
    <w:rsid w:val="00CC2C37"/>
    <w:rsid w:val="00CC2CB6"/>
    <w:rsid w:val="00CC2F82"/>
    <w:rsid w:val="00CC32C3"/>
    <w:rsid w:val="00CC38A8"/>
    <w:rsid w:val="00CC3A5A"/>
    <w:rsid w:val="00CC40F0"/>
    <w:rsid w:val="00CC4817"/>
    <w:rsid w:val="00CC4DFA"/>
    <w:rsid w:val="00CC55F1"/>
    <w:rsid w:val="00CC5F4F"/>
    <w:rsid w:val="00CC6300"/>
    <w:rsid w:val="00CC65C1"/>
    <w:rsid w:val="00CC707C"/>
    <w:rsid w:val="00CC7300"/>
    <w:rsid w:val="00CC7509"/>
    <w:rsid w:val="00CC75A7"/>
    <w:rsid w:val="00CD0016"/>
    <w:rsid w:val="00CD02DB"/>
    <w:rsid w:val="00CD0821"/>
    <w:rsid w:val="00CD08F3"/>
    <w:rsid w:val="00CD16E3"/>
    <w:rsid w:val="00CD1D88"/>
    <w:rsid w:val="00CD21F2"/>
    <w:rsid w:val="00CD2558"/>
    <w:rsid w:val="00CD2BCC"/>
    <w:rsid w:val="00CD302E"/>
    <w:rsid w:val="00CD3267"/>
    <w:rsid w:val="00CD34E8"/>
    <w:rsid w:val="00CD3903"/>
    <w:rsid w:val="00CD3FDF"/>
    <w:rsid w:val="00CD41EB"/>
    <w:rsid w:val="00CD4542"/>
    <w:rsid w:val="00CD4664"/>
    <w:rsid w:val="00CD497F"/>
    <w:rsid w:val="00CD4DCE"/>
    <w:rsid w:val="00CD5098"/>
    <w:rsid w:val="00CD515A"/>
    <w:rsid w:val="00CD5194"/>
    <w:rsid w:val="00CD521C"/>
    <w:rsid w:val="00CD5709"/>
    <w:rsid w:val="00CD6156"/>
    <w:rsid w:val="00CD639A"/>
    <w:rsid w:val="00CD6AC0"/>
    <w:rsid w:val="00CD7287"/>
    <w:rsid w:val="00CD75A8"/>
    <w:rsid w:val="00CD79B6"/>
    <w:rsid w:val="00CD79DE"/>
    <w:rsid w:val="00CD7F2E"/>
    <w:rsid w:val="00CE003D"/>
    <w:rsid w:val="00CE057B"/>
    <w:rsid w:val="00CE08A0"/>
    <w:rsid w:val="00CE0D9A"/>
    <w:rsid w:val="00CE115C"/>
    <w:rsid w:val="00CE118B"/>
    <w:rsid w:val="00CE133C"/>
    <w:rsid w:val="00CE18B1"/>
    <w:rsid w:val="00CE18DB"/>
    <w:rsid w:val="00CE1D83"/>
    <w:rsid w:val="00CE1E26"/>
    <w:rsid w:val="00CE20CB"/>
    <w:rsid w:val="00CE214A"/>
    <w:rsid w:val="00CE2352"/>
    <w:rsid w:val="00CE309F"/>
    <w:rsid w:val="00CE31AA"/>
    <w:rsid w:val="00CE3317"/>
    <w:rsid w:val="00CE331D"/>
    <w:rsid w:val="00CE35D5"/>
    <w:rsid w:val="00CE36CE"/>
    <w:rsid w:val="00CE3947"/>
    <w:rsid w:val="00CE3961"/>
    <w:rsid w:val="00CE3F0D"/>
    <w:rsid w:val="00CE41FB"/>
    <w:rsid w:val="00CE4F8C"/>
    <w:rsid w:val="00CE500E"/>
    <w:rsid w:val="00CE552D"/>
    <w:rsid w:val="00CE5588"/>
    <w:rsid w:val="00CE57C9"/>
    <w:rsid w:val="00CE57ED"/>
    <w:rsid w:val="00CE5AF0"/>
    <w:rsid w:val="00CE60F8"/>
    <w:rsid w:val="00CE61B6"/>
    <w:rsid w:val="00CE654A"/>
    <w:rsid w:val="00CE65B4"/>
    <w:rsid w:val="00CE7051"/>
    <w:rsid w:val="00CE741F"/>
    <w:rsid w:val="00CE7D3B"/>
    <w:rsid w:val="00CF012D"/>
    <w:rsid w:val="00CF02EE"/>
    <w:rsid w:val="00CF0333"/>
    <w:rsid w:val="00CF0515"/>
    <w:rsid w:val="00CF08EE"/>
    <w:rsid w:val="00CF0939"/>
    <w:rsid w:val="00CF0B55"/>
    <w:rsid w:val="00CF0EC1"/>
    <w:rsid w:val="00CF10C6"/>
    <w:rsid w:val="00CF1744"/>
    <w:rsid w:val="00CF1C46"/>
    <w:rsid w:val="00CF1FAA"/>
    <w:rsid w:val="00CF2402"/>
    <w:rsid w:val="00CF2BC7"/>
    <w:rsid w:val="00CF2D74"/>
    <w:rsid w:val="00CF2DEB"/>
    <w:rsid w:val="00CF315E"/>
    <w:rsid w:val="00CF324A"/>
    <w:rsid w:val="00CF3272"/>
    <w:rsid w:val="00CF3392"/>
    <w:rsid w:val="00CF342A"/>
    <w:rsid w:val="00CF37EF"/>
    <w:rsid w:val="00CF3B77"/>
    <w:rsid w:val="00CF3E55"/>
    <w:rsid w:val="00CF41D2"/>
    <w:rsid w:val="00CF43C0"/>
    <w:rsid w:val="00CF4DE4"/>
    <w:rsid w:val="00CF5015"/>
    <w:rsid w:val="00CF5239"/>
    <w:rsid w:val="00CF526B"/>
    <w:rsid w:val="00CF5485"/>
    <w:rsid w:val="00CF58B7"/>
    <w:rsid w:val="00CF59CB"/>
    <w:rsid w:val="00CF5A83"/>
    <w:rsid w:val="00CF6297"/>
    <w:rsid w:val="00CF62D4"/>
    <w:rsid w:val="00CF6653"/>
    <w:rsid w:val="00CF665C"/>
    <w:rsid w:val="00CF6B6F"/>
    <w:rsid w:val="00CF6D10"/>
    <w:rsid w:val="00CF7057"/>
    <w:rsid w:val="00CF73CD"/>
    <w:rsid w:val="00CF745A"/>
    <w:rsid w:val="00CF7983"/>
    <w:rsid w:val="00CF7BED"/>
    <w:rsid w:val="00D004B5"/>
    <w:rsid w:val="00D00B33"/>
    <w:rsid w:val="00D00BEA"/>
    <w:rsid w:val="00D00C41"/>
    <w:rsid w:val="00D0116C"/>
    <w:rsid w:val="00D01462"/>
    <w:rsid w:val="00D01486"/>
    <w:rsid w:val="00D01683"/>
    <w:rsid w:val="00D017C4"/>
    <w:rsid w:val="00D024A9"/>
    <w:rsid w:val="00D02A61"/>
    <w:rsid w:val="00D02BDE"/>
    <w:rsid w:val="00D02C7C"/>
    <w:rsid w:val="00D02CA4"/>
    <w:rsid w:val="00D02D08"/>
    <w:rsid w:val="00D037B0"/>
    <w:rsid w:val="00D03B8B"/>
    <w:rsid w:val="00D0414B"/>
    <w:rsid w:val="00D04FE6"/>
    <w:rsid w:val="00D05110"/>
    <w:rsid w:val="00D05413"/>
    <w:rsid w:val="00D05475"/>
    <w:rsid w:val="00D05A13"/>
    <w:rsid w:val="00D05D15"/>
    <w:rsid w:val="00D05F3B"/>
    <w:rsid w:val="00D067D6"/>
    <w:rsid w:val="00D06DDE"/>
    <w:rsid w:val="00D07113"/>
    <w:rsid w:val="00D0765B"/>
    <w:rsid w:val="00D07BED"/>
    <w:rsid w:val="00D07C93"/>
    <w:rsid w:val="00D07DC0"/>
    <w:rsid w:val="00D10596"/>
    <w:rsid w:val="00D10709"/>
    <w:rsid w:val="00D107F9"/>
    <w:rsid w:val="00D10AD6"/>
    <w:rsid w:val="00D10E81"/>
    <w:rsid w:val="00D10E8A"/>
    <w:rsid w:val="00D1111B"/>
    <w:rsid w:val="00D11A7B"/>
    <w:rsid w:val="00D11C4B"/>
    <w:rsid w:val="00D11F19"/>
    <w:rsid w:val="00D121F6"/>
    <w:rsid w:val="00D12C23"/>
    <w:rsid w:val="00D137F8"/>
    <w:rsid w:val="00D13979"/>
    <w:rsid w:val="00D13DF1"/>
    <w:rsid w:val="00D140B0"/>
    <w:rsid w:val="00D14372"/>
    <w:rsid w:val="00D14A2D"/>
    <w:rsid w:val="00D14A74"/>
    <w:rsid w:val="00D14C79"/>
    <w:rsid w:val="00D1517E"/>
    <w:rsid w:val="00D15416"/>
    <w:rsid w:val="00D15DE5"/>
    <w:rsid w:val="00D15ED2"/>
    <w:rsid w:val="00D160C0"/>
    <w:rsid w:val="00D1692C"/>
    <w:rsid w:val="00D1696C"/>
    <w:rsid w:val="00D16E1A"/>
    <w:rsid w:val="00D17392"/>
    <w:rsid w:val="00D17522"/>
    <w:rsid w:val="00D17654"/>
    <w:rsid w:val="00D178C7"/>
    <w:rsid w:val="00D17DB6"/>
    <w:rsid w:val="00D17E40"/>
    <w:rsid w:val="00D20179"/>
    <w:rsid w:val="00D20185"/>
    <w:rsid w:val="00D203D4"/>
    <w:rsid w:val="00D20641"/>
    <w:rsid w:val="00D2074C"/>
    <w:rsid w:val="00D2083D"/>
    <w:rsid w:val="00D20876"/>
    <w:rsid w:val="00D20B34"/>
    <w:rsid w:val="00D21244"/>
    <w:rsid w:val="00D213F2"/>
    <w:rsid w:val="00D21749"/>
    <w:rsid w:val="00D217AE"/>
    <w:rsid w:val="00D21B59"/>
    <w:rsid w:val="00D2216F"/>
    <w:rsid w:val="00D2217D"/>
    <w:rsid w:val="00D223B0"/>
    <w:rsid w:val="00D22934"/>
    <w:rsid w:val="00D22ABD"/>
    <w:rsid w:val="00D22BB3"/>
    <w:rsid w:val="00D22EA4"/>
    <w:rsid w:val="00D22F82"/>
    <w:rsid w:val="00D2306B"/>
    <w:rsid w:val="00D2308D"/>
    <w:rsid w:val="00D235A6"/>
    <w:rsid w:val="00D23B84"/>
    <w:rsid w:val="00D23EEE"/>
    <w:rsid w:val="00D23F14"/>
    <w:rsid w:val="00D24158"/>
    <w:rsid w:val="00D2415C"/>
    <w:rsid w:val="00D243F9"/>
    <w:rsid w:val="00D24747"/>
    <w:rsid w:val="00D24B60"/>
    <w:rsid w:val="00D24DE1"/>
    <w:rsid w:val="00D251FD"/>
    <w:rsid w:val="00D2530A"/>
    <w:rsid w:val="00D255CB"/>
    <w:rsid w:val="00D25716"/>
    <w:rsid w:val="00D25AFD"/>
    <w:rsid w:val="00D25E5E"/>
    <w:rsid w:val="00D25F9C"/>
    <w:rsid w:val="00D267C3"/>
    <w:rsid w:val="00D27256"/>
    <w:rsid w:val="00D272D1"/>
    <w:rsid w:val="00D272F6"/>
    <w:rsid w:val="00D273A0"/>
    <w:rsid w:val="00D2767A"/>
    <w:rsid w:val="00D278AF"/>
    <w:rsid w:val="00D27DB4"/>
    <w:rsid w:val="00D27E58"/>
    <w:rsid w:val="00D27E78"/>
    <w:rsid w:val="00D30872"/>
    <w:rsid w:val="00D30CB7"/>
    <w:rsid w:val="00D30F3D"/>
    <w:rsid w:val="00D311AF"/>
    <w:rsid w:val="00D31202"/>
    <w:rsid w:val="00D3127B"/>
    <w:rsid w:val="00D3137E"/>
    <w:rsid w:val="00D321E7"/>
    <w:rsid w:val="00D3228F"/>
    <w:rsid w:val="00D3281F"/>
    <w:rsid w:val="00D328BA"/>
    <w:rsid w:val="00D32FAA"/>
    <w:rsid w:val="00D32FB9"/>
    <w:rsid w:val="00D33034"/>
    <w:rsid w:val="00D3403E"/>
    <w:rsid w:val="00D34757"/>
    <w:rsid w:val="00D34D0D"/>
    <w:rsid w:val="00D34E97"/>
    <w:rsid w:val="00D35038"/>
    <w:rsid w:val="00D35373"/>
    <w:rsid w:val="00D35410"/>
    <w:rsid w:val="00D35949"/>
    <w:rsid w:val="00D35A72"/>
    <w:rsid w:val="00D3614C"/>
    <w:rsid w:val="00D3658A"/>
    <w:rsid w:val="00D36B0E"/>
    <w:rsid w:val="00D36FEE"/>
    <w:rsid w:val="00D3716C"/>
    <w:rsid w:val="00D37207"/>
    <w:rsid w:val="00D372E8"/>
    <w:rsid w:val="00D375E3"/>
    <w:rsid w:val="00D37E07"/>
    <w:rsid w:val="00D37E5C"/>
    <w:rsid w:val="00D408B2"/>
    <w:rsid w:val="00D40BBF"/>
    <w:rsid w:val="00D410B1"/>
    <w:rsid w:val="00D41167"/>
    <w:rsid w:val="00D41964"/>
    <w:rsid w:val="00D41B06"/>
    <w:rsid w:val="00D41BDE"/>
    <w:rsid w:val="00D4216F"/>
    <w:rsid w:val="00D42885"/>
    <w:rsid w:val="00D429BD"/>
    <w:rsid w:val="00D42C54"/>
    <w:rsid w:val="00D42CD7"/>
    <w:rsid w:val="00D4322C"/>
    <w:rsid w:val="00D4356B"/>
    <w:rsid w:val="00D43624"/>
    <w:rsid w:val="00D4367F"/>
    <w:rsid w:val="00D43878"/>
    <w:rsid w:val="00D43965"/>
    <w:rsid w:val="00D43A08"/>
    <w:rsid w:val="00D43BB6"/>
    <w:rsid w:val="00D443BC"/>
    <w:rsid w:val="00D44632"/>
    <w:rsid w:val="00D447FF"/>
    <w:rsid w:val="00D44CA7"/>
    <w:rsid w:val="00D454F3"/>
    <w:rsid w:val="00D458F2"/>
    <w:rsid w:val="00D4607F"/>
    <w:rsid w:val="00D464E6"/>
    <w:rsid w:val="00D46E25"/>
    <w:rsid w:val="00D47053"/>
    <w:rsid w:val="00D4793A"/>
    <w:rsid w:val="00D47B32"/>
    <w:rsid w:val="00D502DB"/>
    <w:rsid w:val="00D50AEE"/>
    <w:rsid w:val="00D50F03"/>
    <w:rsid w:val="00D50F35"/>
    <w:rsid w:val="00D5116F"/>
    <w:rsid w:val="00D521F8"/>
    <w:rsid w:val="00D52406"/>
    <w:rsid w:val="00D5241E"/>
    <w:rsid w:val="00D524FE"/>
    <w:rsid w:val="00D52827"/>
    <w:rsid w:val="00D52BE8"/>
    <w:rsid w:val="00D53168"/>
    <w:rsid w:val="00D533DF"/>
    <w:rsid w:val="00D53423"/>
    <w:rsid w:val="00D54165"/>
    <w:rsid w:val="00D542C8"/>
    <w:rsid w:val="00D542D7"/>
    <w:rsid w:val="00D55169"/>
    <w:rsid w:val="00D55A50"/>
    <w:rsid w:val="00D565C7"/>
    <w:rsid w:val="00D567B3"/>
    <w:rsid w:val="00D567E3"/>
    <w:rsid w:val="00D5693A"/>
    <w:rsid w:val="00D56E1C"/>
    <w:rsid w:val="00D57E1C"/>
    <w:rsid w:val="00D60067"/>
    <w:rsid w:val="00D6018E"/>
    <w:rsid w:val="00D603CA"/>
    <w:rsid w:val="00D60400"/>
    <w:rsid w:val="00D60E2D"/>
    <w:rsid w:val="00D6124B"/>
    <w:rsid w:val="00D61358"/>
    <w:rsid w:val="00D613C6"/>
    <w:rsid w:val="00D61E33"/>
    <w:rsid w:val="00D624A8"/>
    <w:rsid w:val="00D628D1"/>
    <w:rsid w:val="00D62E6D"/>
    <w:rsid w:val="00D632AF"/>
    <w:rsid w:val="00D6371C"/>
    <w:rsid w:val="00D637D2"/>
    <w:rsid w:val="00D63EB7"/>
    <w:rsid w:val="00D63F76"/>
    <w:rsid w:val="00D641D2"/>
    <w:rsid w:val="00D64262"/>
    <w:rsid w:val="00D643CD"/>
    <w:rsid w:val="00D64417"/>
    <w:rsid w:val="00D64560"/>
    <w:rsid w:val="00D64B04"/>
    <w:rsid w:val="00D64B29"/>
    <w:rsid w:val="00D65232"/>
    <w:rsid w:val="00D6536D"/>
    <w:rsid w:val="00D65EE8"/>
    <w:rsid w:val="00D65F86"/>
    <w:rsid w:val="00D668B6"/>
    <w:rsid w:val="00D66CA4"/>
    <w:rsid w:val="00D66DA5"/>
    <w:rsid w:val="00D66F0D"/>
    <w:rsid w:val="00D67255"/>
    <w:rsid w:val="00D67658"/>
    <w:rsid w:val="00D67C0F"/>
    <w:rsid w:val="00D70143"/>
    <w:rsid w:val="00D70637"/>
    <w:rsid w:val="00D70E3D"/>
    <w:rsid w:val="00D70E6F"/>
    <w:rsid w:val="00D71F1C"/>
    <w:rsid w:val="00D72134"/>
    <w:rsid w:val="00D72A36"/>
    <w:rsid w:val="00D72B75"/>
    <w:rsid w:val="00D72CA4"/>
    <w:rsid w:val="00D730BF"/>
    <w:rsid w:val="00D734C0"/>
    <w:rsid w:val="00D73B9F"/>
    <w:rsid w:val="00D7408C"/>
    <w:rsid w:val="00D7409D"/>
    <w:rsid w:val="00D742A1"/>
    <w:rsid w:val="00D7472D"/>
    <w:rsid w:val="00D74C0E"/>
    <w:rsid w:val="00D75941"/>
    <w:rsid w:val="00D75C3A"/>
    <w:rsid w:val="00D75CC0"/>
    <w:rsid w:val="00D76086"/>
    <w:rsid w:val="00D7628B"/>
    <w:rsid w:val="00D76731"/>
    <w:rsid w:val="00D76960"/>
    <w:rsid w:val="00D76E35"/>
    <w:rsid w:val="00D77E2A"/>
    <w:rsid w:val="00D77E2C"/>
    <w:rsid w:val="00D8004C"/>
    <w:rsid w:val="00D8004F"/>
    <w:rsid w:val="00D8009D"/>
    <w:rsid w:val="00D80318"/>
    <w:rsid w:val="00D8044A"/>
    <w:rsid w:val="00D8099F"/>
    <w:rsid w:val="00D80EFD"/>
    <w:rsid w:val="00D80F4A"/>
    <w:rsid w:val="00D80F88"/>
    <w:rsid w:val="00D80FA6"/>
    <w:rsid w:val="00D81307"/>
    <w:rsid w:val="00D813EC"/>
    <w:rsid w:val="00D814EA"/>
    <w:rsid w:val="00D8162E"/>
    <w:rsid w:val="00D81A59"/>
    <w:rsid w:val="00D81C48"/>
    <w:rsid w:val="00D81F5E"/>
    <w:rsid w:val="00D81F93"/>
    <w:rsid w:val="00D822D3"/>
    <w:rsid w:val="00D822D4"/>
    <w:rsid w:val="00D823A9"/>
    <w:rsid w:val="00D82FBD"/>
    <w:rsid w:val="00D832FB"/>
    <w:rsid w:val="00D833C1"/>
    <w:rsid w:val="00D8386C"/>
    <w:rsid w:val="00D83C12"/>
    <w:rsid w:val="00D83C40"/>
    <w:rsid w:val="00D83CC3"/>
    <w:rsid w:val="00D84051"/>
    <w:rsid w:val="00D841C7"/>
    <w:rsid w:val="00D847C7"/>
    <w:rsid w:val="00D84BD7"/>
    <w:rsid w:val="00D84FF0"/>
    <w:rsid w:val="00D851BD"/>
    <w:rsid w:val="00D85930"/>
    <w:rsid w:val="00D859AD"/>
    <w:rsid w:val="00D86420"/>
    <w:rsid w:val="00D86FF8"/>
    <w:rsid w:val="00D87341"/>
    <w:rsid w:val="00D873D3"/>
    <w:rsid w:val="00D87CE2"/>
    <w:rsid w:val="00D9031F"/>
    <w:rsid w:val="00D9057E"/>
    <w:rsid w:val="00D909AE"/>
    <w:rsid w:val="00D90C3D"/>
    <w:rsid w:val="00D90DFF"/>
    <w:rsid w:val="00D90FC6"/>
    <w:rsid w:val="00D915BE"/>
    <w:rsid w:val="00D92F7E"/>
    <w:rsid w:val="00D93044"/>
    <w:rsid w:val="00D930E7"/>
    <w:rsid w:val="00D93484"/>
    <w:rsid w:val="00D93701"/>
    <w:rsid w:val="00D937FA"/>
    <w:rsid w:val="00D93ACE"/>
    <w:rsid w:val="00D94198"/>
    <w:rsid w:val="00D94551"/>
    <w:rsid w:val="00D94F58"/>
    <w:rsid w:val="00D95209"/>
    <w:rsid w:val="00D95257"/>
    <w:rsid w:val="00D95BD8"/>
    <w:rsid w:val="00D95C35"/>
    <w:rsid w:val="00D95F2B"/>
    <w:rsid w:val="00D9655D"/>
    <w:rsid w:val="00D966A7"/>
    <w:rsid w:val="00D96769"/>
    <w:rsid w:val="00D96ED6"/>
    <w:rsid w:val="00D97463"/>
    <w:rsid w:val="00D97A84"/>
    <w:rsid w:val="00DA0126"/>
    <w:rsid w:val="00DA032E"/>
    <w:rsid w:val="00DA064D"/>
    <w:rsid w:val="00DA0C5C"/>
    <w:rsid w:val="00DA0ED4"/>
    <w:rsid w:val="00DA103E"/>
    <w:rsid w:val="00DA10DC"/>
    <w:rsid w:val="00DA16A3"/>
    <w:rsid w:val="00DA17A4"/>
    <w:rsid w:val="00DA1ABF"/>
    <w:rsid w:val="00DA1AD0"/>
    <w:rsid w:val="00DA1E47"/>
    <w:rsid w:val="00DA2643"/>
    <w:rsid w:val="00DA277B"/>
    <w:rsid w:val="00DA29E7"/>
    <w:rsid w:val="00DA2AEE"/>
    <w:rsid w:val="00DA2CC7"/>
    <w:rsid w:val="00DA30D6"/>
    <w:rsid w:val="00DA3835"/>
    <w:rsid w:val="00DA3AB5"/>
    <w:rsid w:val="00DA3FB6"/>
    <w:rsid w:val="00DA45C6"/>
    <w:rsid w:val="00DA4654"/>
    <w:rsid w:val="00DA46D6"/>
    <w:rsid w:val="00DA46FE"/>
    <w:rsid w:val="00DA4B29"/>
    <w:rsid w:val="00DA4BF0"/>
    <w:rsid w:val="00DA5933"/>
    <w:rsid w:val="00DA5B93"/>
    <w:rsid w:val="00DA5C4A"/>
    <w:rsid w:val="00DA614C"/>
    <w:rsid w:val="00DA7065"/>
    <w:rsid w:val="00DA71DA"/>
    <w:rsid w:val="00DA7A62"/>
    <w:rsid w:val="00DB0434"/>
    <w:rsid w:val="00DB0784"/>
    <w:rsid w:val="00DB0B8D"/>
    <w:rsid w:val="00DB1016"/>
    <w:rsid w:val="00DB1170"/>
    <w:rsid w:val="00DB1179"/>
    <w:rsid w:val="00DB11D5"/>
    <w:rsid w:val="00DB1563"/>
    <w:rsid w:val="00DB16AE"/>
    <w:rsid w:val="00DB1901"/>
    <w:rsid w:val="00DB248C"/>
    <w:rsid w:val="00DB271C"/>
    <w:rsid w:val="00DB29F8"/>
    <w:rsid w:val="00DB2B3D"/>
    <w:rsid w:val="00DB2CB9"/>
    <w:rsid w:val="00DB2D08"/>
    <w:rsid w:val="00DB2D3B"/>
    <w:rsid w:val="00DB2D94"/>
    <w:rsid w:val="00DB2FB0"/>
    <w:rsid w:val="00DB31D4"/>
    <w:rsid w:val="00DB3CBE"/>
    <w:rsid w:val="00DB3E29"/>
    <w:rsid w:val="00DB4919"/>
    <w:rsid w:val="00DB4DA4"/>
    <w:rsid w:val="00DB5992"/>
    <w:rsid w:val="00DB5C80"/>
    <w:rsid w:val="00DB5DF1"/>
    <w:rsid w:val="00DB641A"/>
    <w:rsid w:val="00DB65B8"/>
    <w:rsid w:val="00DB67EE"/>
    <w:rsid w:val="00DB7290"/>
    <w:rsid w:val="00DB72DC"/>
    <w:rsid w:val="00DB7BA9"/>
    <w:rsid w:val="00DB7CA4"/>
    <w:rsid w:val="00DC062F"/>
    <w:rsid w:val="00DC064B"/>
    <w:rsid w:val="00DC093B"/>
    <w:rsid w:val="00DC0C8D"/>
    <w:rsid w:val="00DC1523"/>
    <w:rsid w:val="00DC152D"/>
    <w:rsid w:val="00DC15F1"/>
    <w:rsid w:val="00DC1A67"/>
    <w:rsid w:val="00DC1EDB"/>
    <w:rsid w:val="00DC204E"/>
    <w:rsid w:val="00DC25DA"/>
    <w:rsid w:val="00DC26C4"/>
    <w:rsid w:val="00DC27B0"/>
    <w:rsid w:val="00DC2BA5"/>
    <w:rsid w:val="00DC2C1D"/>
    <w:rsid w:val="00DC2E4F"/>
    <w:rsid w:val="00DC4051"/>
    <w:rsid w:val="00DC42A8"/>
    <w:rsid w:val="00DC44A6"/>
    <w:rsid w:val="00DC45D9"/>
    <w:rsid w:val="00DC4645"/>
    <w:rsid w:val="00DC47FB"/>
    <w:rsid w:val="00DC4AD7"/>
    <w:rsid w:val="00DC4FAD"/>
    <w:rsid w:val="00DC5110"/>
    <w:rsid w:val="00DC51B4"/>
    <w:rsid w:val="00DC529D"/>
    <w:rsid w:val="00DC5333"/>
    <w:rsid w:val="00DC5C4F"/>
    <w:rsid w:val="00DC5CCA"/>
    <w:rsid w:val="00DC5EB7"/>
    <w:rsid w:val="00DC6175"/>
    <w:rsid w:val="00DC6558"/>
    <w:rsid w:val="00DC6640"/>
    <w:rsid w:val="00DC67CC"/>
    <w:rsid w:val="00DC6838"/>
    <w:rsid w:val="00DC693C"/>
    <w:rsid w:val="00DC71D0"/>
    <w:rsid w:val="00DC7671"/>
    <w:rsid w:val="00DC7770"/>
    <w:rsid w:val="00DC77B0"/>
    <w:rsid w:val="00DD02BF"/>
    <w:rsid w:val="00DD034D"/>
    <w:rsid w:val="00DD0590"/>
    <w:rsid w:val="00DD071F"/>
    <w:rsid w:val="00DD086A"/>
    <w:rsid w:val="00DD0905"/>
    <w:rsid w:val="00DD0910"/>
    <w:rsid w:val="00DD0F23"/>
    <w:rsid w:val="00DD0FCF"/>
    <w:rsid w:val="00DD1066"/>
    <w:rsid w:val="00DD109C"/>
    <w:rsid w:val="00DD185A"/>
    <w:rsid w:val="00DD1973"/>
    <w:rsid w:val="00DD1DD1"/>
    <w:rsid w:val="00DD2470"/>
    <w:rsid w:val="00DD2538"/>
    <w:rsid w:val="00DD2E12"/>
    <w:rsid w:val="00DD3076"/>
    <w:rsid w:val="00DD31D0"/>
    <w:rsid w:val="00DD331B"/>
    <w:rsid w:val="00DD38C9"/>
    <w:rsid w:val="00DD3B66"/>
    <w:rsid w:val="00DD3C58"/>
    <w:rsid w:val="00DD3C98"/>
    <w:rsid w:val="00DD466A"/>
    <w:rsid w:val="00DD47E9"/>
    <w:rsid w:val="00DD48B6"/>
    <w:rsid w:val="00DD48E8"/>
    <w:rsid w:val="00DD4928"/>
    <w:rsid w:val="00DD4E29"/>
    <w:rsid w:val="00DD51F1"/>
    <w:rsid w:val="00DD55B1"/>
    <w:rsid w:val="00DD5781"/>
    <w:rsid w:val="00DD5A0C"/>
    <w:rsid w:val="00DD6377"/>
    <w:rsid w:val="00DD6569"/>
    <w:rsid w:val="00DD6636"/>
    <w:rsid w:val="00DD6697"/>
    <w:rsid w:val="00DD670C"/>
    <w:rsid w:val="00DD6A05"/>
    <w:rsid w:val="00DD7112"/>
    <w:rsid w:val="00DD7897"/>
    <w:rsid w:val="00DD7970"/>
    <w:rsid w:val="00DD7A21"/>
    <w:rsid w:val="00DD7E84"/>
    <w:rsid w:val="00DE05F0"/>
    <w:rsid w:val="00DE0A06"/>
    <w:rsid w:val="00DE18C8"/>
    <w:rsid w:val="00DE218C"/>
    <w:rsid w:val="00DE2426"/>
    <w:rsid w:val="00DE24BB"/>
    <w:rsid w:val="00DE2529"/>
    <w:rsid w:val="00DE2630"/>
    <w:rsid w:val="00DE2F26"/>
    <w:rsid w:val="00DE2F4C"/>
    <w:rsid w:val="00DE360A"/>
    <w:rsid w:val="00DE3667"/>
    <w:rsid w:val="00DE370F"/>
    <w:rsid w:val="00DE3860"/>
    <w:rsid w:val="00DE4480"/>
    <w:rsid w:val="00DE455C"/>
    <w:rsid w:val="00DE4B90"/>
    <w:rsid w:val="00DE4DCC"/>
    <w:rsid w:val="00DE547A"/>
    <w:rsid w:val="00DE5488"/>
    <w:rsid w:val="00DE5693"/>
    <w:rsid w:val="00DE57A6"/>
    <w:rsid w:val="00DE5E19"/>
    <w:rsid w:val="00DE5FAC"/>
    <w:rsid w:val="00DE60CA"/>
    <w:rsid w:val="00DE60F3"/>
    <w:rsid w:val="00DE6373"/>
    <w:rsid w:val="00DE6379"/>
    <w:rsid w:val="00DE63F0"/>
    <w:rsid w:val="00DE6B4C"/>
    <w:rsid w:val="00DE6E29"/>
    <w:rsid w:val="00DE6FC9"/>
    <w:rsid w:val="00DE72AB"/>
    <w:rsid w:val="00DE7D58"/>
    <w:rsid w:val="00DE7DFF"/>
    <w:rsid w:val="00DE7E7C"/>
    <w:rsid w:val="00DE7FB7"/>
    <w:rsid w:val="00DF03F2"/>
    <w:rsid w:val="00DF06BC"/>
    <w:rsid w:val="00DF07A4"/>
    <w:rsid w:val="00DF07B2"/>
    <w:rsid w:val="00DF08D0"/>
    <w:rsid w:val="00DF08F1"/>
    <w:rsid w:val="00DF0E61"/>
    <w:rsid w:val="00DF1061"/>
    <w:rsid w:val="00DF1110"/>
    <w:rsid w:val="00DF11BB"/>
    <w:rsid w:val="00DF1454"/>
    <w:rsid w:val="00DF15E6"/>
    <w:rsid w:val="00DF1E43"/>
    <w:rsid w:val="00DF1E52"/>
    <w:rsid w:val="00DF1F67"/>
    <w:rsid w:val="00DF23A2"/>
    <w:rsid w:val="00DF260A"/>
    <w:rsid w:val="00DF26E1"/>
    <w:rsid w:val="00DF274F"/>
    <w:rsid w:val="00DF2887"/>
    <w:rsid w:val="00DF2935"/>
    <w:rsid w:val="00DF2ADA"/>
    <w:rsid w:val="00DF3041"/>
    <w:rsid w:val="00DF31FB"/>
    <w:rsid w:val="00DF3205"/>
    <w:rsid w:val="00DF32D7"/>
    <w:rsid w:val="00DF3304"/>
    <w:rsid w:val="00DF3B0A"/>
    <w:rsid w:val="00DF4013"/>
    <w:rsid w:val="00DF4206"/>
    <w:rsid w:val="00DF44E4"/>
    <w:rsid w:val="00DF46F4"/>
    <w:rsid w:val="00DF4CA7"/>
    <w:rsid w:val="00DF4FF8"/>
    <w:rsid w:val="00DF532E"/>
    <w:rsid w:val="00DF555D"/>
    <w:rsid w:val="00DF58E7"/>
    <w:rsid w:val="00DF5997"/>
    <w:rsid w:val="00DF5F95"/>
    <w:rsid w:val="00DF6226"/>
    <w:rsid w:val="00DF63BA"/>
    <w:rsid w:val="00DF6597"/>
    <w:rsid w:val="00DF6B43"/>
    <w:rsid w:val="00DF6FA4"/>
    <w:rsid w:val="00DF6FDA"/>
    <w:rsid w:val="00DF70B2"/>
    <w:rsid w:val="00DF747F"/>
    <w:rsid w:val="00DF75F2"/>
    <w:rsid w:val="00DF75FB"/>
    <w:rsid w:val="00DF79E3"/>
    <w:rsid w:val="00DF7A9D"/>
    <w:rsid w:val="00DF7B3C"/>
    <w:rsid w:val="00DF7C12"/>
    <w:rsid w:val="00E001F6"/>
    <w:rsid w:val="00E007AF"/>
    <w:rsid w:val="00E009B6"/>
    <w:rsid w:val="00E00BC3"/>
    <w:rsid w:val="00E00CE0"/>
    <w:rsid w:val="00E01027"/>
    <w:rsid w:val="00E01142"/>
    <w:rsid w:val="00E022CA"/>
    <w:rsid w:val="00E025B6"/>
    <w:rsid w:val="00E025CE"/>
    <w:rsid w:val="00E02A27"/>
    <w:rsid w:val="00E02EF5"/>
    <w:rsid w:val="00E031DA"/>
    <w:rsid w:val="00E03789"/>
    <w:rsid w:val="00E03C1D"/>
    <w:rsid w:val="00E03C5D"/>
    <w:rsid w:val="00E03D0F"/>
    <w:rsid w:val="00E04934"/>
    <w:rsid w:val="00E04ACA"/>
    <w:rsid w:val="00E04B17"/>
    <w:rsid w:val="00E04E13"/>
    <w:rsid w:val="00E04F60"/>
    <w:rsid w:val="00E05050"/>
    <w:rsid w:val="00E05469"/>
    <w:rsid w:val="00E05529"/>
    <w:rsid w:val="00E056E0"/>
    <w:rsid w:val="00E05EAD"/>
    <w:rsid w:val="00E05EDE"/>
    <w:rsid w:val="00E061AD"/>
    <w:rsid w:val="00E069FC"/>
    <w:rsid w:val="00E06AC6"/>
    <w:rsid w:val="00E06F19"/>
    <w:rsid w:val="00E074A8"/>
    <w:rsid w:val="00E076AF"/>
    <w:rsid w:val="00E076DB"/>
    <w:rsid w:val="00E076E3"/>
    <w:rsid w:val="00E077FE"/>
    <w:rsid w:val="00E07FC0"/>
    <w:rsid w:val="00E10EDC"/>
    <w:rsid w:val="00E10F2D"/>
    <w:rsid w:val="00E112A8"/>
    <w:rsid w:val="00E11498"/>
    <w:rsid w:val="00E114D5"/>
    <w:rsid w:val="00E11A0A"/>
    <w:rsid w:val="00E12137"/>
    <w:rsid w:val="00E12242"/>
    <w:rsid w:val="00E12638"/>
    <w:rsid w:val="00E1270D"/>
    <w:rsid w:val="00E1282E"/>
    <w:rsid w:val="00E12A4C"/>
    <w:rsid w:val="00E12D15"/>
    <w:rsid w:val="00E12E28"/>
    <w:rsid w:val="00E130F6"/>
    <w:rsid w:val="00E13C00"/>
    <w:rsid w:val="00E13C5C"/>
    <w:rsid w:val="00E13F34"/>
    <w:rsid w:val="00E1408F"/>
    <w:rsid w:val="00E1416C"/>
    <w:rsid w:val="00E14298"/>
    <w:rsid w:val="00E147E3"/>
    <w:rsid w:val="00E14897"/>
    <w:rsid w:val="00E14B4A"/>
    <w:rsid w:val="00E14D8C"/>
    <w:rsid w:val="00E14E9E"/>
    <w:rsid w:val="00E15543"/>
    <w:rsid w:val="00E15697"/>
    <w:rsid w:val="00E15F11"/>
    <w:rsid w:val="00E16211"/>
    <w:rsid w:val="00E166FF"/>
    <w:rsid w:val="00E1670C"/>
    <w:rsid w:val="00E16E7C"/>
    <w:rsid w:val="00E173E3"/>
    <w:rsid w:val="00E202CB"/>
    <w:rsid w:val="00E212B0"/>
    <w:rsid w:val="00E21598"/>
    <w:rsid w:val="00E2165C"/>
    <w:rsid w:val="00E21A45"/>
    <w:rsid w:val="00E21F87"/>
    <w:rsid w:val="00E224C3"/>
    <w:rsid w:val="00E22846"/>
    <w:rsid w:val="00E22CCF"/>
    <w:rsid w:val="00E22E75"/>
    <w:rsid w:val="00E22FF3"/>
    <w:rsid w:val="00E23644"/>
    <w:rsid w:val="00E236BB"/>
    <w:rsid w:val="00E23F74"/>
    <w:rsid w:val="00E244CC"/>
    <w:rsid w:val="00E2463C"/>
    <w:rsid w:val="00E249EB"/>
    <w:rsid w:val="00E25042"/>
    <w:rsid w:val="00E25B4A"/>
    <w:rsid w:val="00E26064"/>
    <w:rsid w:val="00E26145"/>
    <w:rsid w:val="00E267E2"/>
    <w:rsid w:val="00E26BD4"/>
    <w:rsid w:val="00E2730F"/>
    <w:rsid w:val="00E3004C"/>
    <w:rsid w:val="00E302AC"/>
    <w:rsid w:val="00E3030C"/>
    <w:rsid w:val="00E3065F"/>
    <w:rsid w:val="00E30730"/>
    <w:rsid w:val="00E3077F"/>
    <w:rsid w:val="00E312D8"/>
    <w:rsid w:val="00E32B34"/>
    <w:rsid w:val="00E32F8F"/>
    <w:rsid w:val="00E33294"/>
    <w:rsid w:val="00E33383"/>
    <w:rsid w:val="00E33C63"/>
    <w:rsid w:val="00E33DBD"/>
    <w:rsid w:val="00E33E1D"/>
    <w:rsid w:val="00E33EF8"/>
    <w:rsid w:val="00E34134"/>
    <w:rsid w:val="00E34929"/>
    <w:rsid w:val="00E35B99"/>
    <w:rsid w:val="00E35C5E"/>
    <w:rsid w:val="00E35D82"/>
    <w:rsid w:val="00E35E50"/>
    <w:rsid w:val="00E36296"/>
    <w:rsid w:val="00E376EA"/>
    <w:rsid w:val="00E3775B"/>
    <w:rsid w:val="00E37862"/>
    <w:rsid w:val="00E37B3A"/>
    <w:rsid w:val="00E37E43"/>
    <w:rsid w:val="00E37F8A"/>
    <w:rsid w:val="00E4028E"/>
    <w:rsid w:val="00E403D4"/>
    <w:rsid w:val="00E40801"/>
    <w:rsid w:val="00E409DD"/>
    <w:rsid w:val="00E41C02"/>
    <w:rsid w:val="00E4216E"/>
    <w:rsid w:val="00E42B8D"/>
    <w:rsid w:val="00E42EDE"/>
    <w:rsid w:val="00E42FC3"/>
    <w:rsid w:val="00E43332"/>
    <w:rsid w:val="00E436D7"/>
    <w:rsid w:val="00E4379E"/>
    <w:rsid w:val="00E43BB4"/>
    <w:rsid w:val="00E43EA8"/>
    <w:rsid w:val="00E441FB"/>
    <w:rsid w:val="00E4422E"/>
    <w:rsid w:val="00E448E2"/>
    <w:rsid w:val="00E44B77"/>
    <w:rsid w:val="00E44C84"/>
    <w:rsid w:val="00E45556"/>
    <w:rsid w:val="00E455EE"/>
    <w:rsid w:val="00E45620"/>
    <w:rsid w:val="00E4566C"/>
    <w:rsid w:val="00E45CDD"/>
    <w:rsid w:val="00E45E70"/>
    <w:rsid w:val="00E462BF"/>
    <w:rsid w:val="00E46DA6"/>
    <w:rsid w:val="00E472CB"/>
    <w:rsid w:val="00E473DE"/>
    <w:rsid w:val="00E477F2"/>
    <w:rsid w:val="00E479B5"/>
    <w:rsid w:val="00E479F8"/>
    <w:rsid w:val="00E47AA7"/>
    <w:rsid w:val="00E47B3D"/>
    <w:rsid w:val="00E50218"/>
    <w:rsid w:val="00E5045A"/>
    <w:rsid w:val="00E505E2"/>
    <w:rsid w:val="00E51939"/>
    <w:rsid w:val="00E51CD1"/>
    <w:rsid w:val="00E51D6E"/>
    <w:rsid w:val="00E52046"/>
    <w:rsid w:val="00E5247B"/>
    <w:rsid w:val="00E525D8"/>
    <w:rsid w:val="00E529E4"/>
    <w:rsid w:val="00E52A2C"/>
    <w:rsid w:val="00E52BEF"/>
    <w:rsid w:val="00E53329"/>
    <w:rsid w:val="00E53458"/>
    <w:rsid w:val="00E536C9"/>
    <w:rsid w:val="00E53ACF"/>
    <w:rsid w:val="00E54083"/>
    <w:rsid w:val="00E54BA2"/>
    <w:rsid w:val="00E54C58"/>
    <w:rsid w:val="00E54D27"/>
    <w:rsid w:val="00E550E8"/>
    <w:rsid w:val="00E55433"/>
    <w:rsid w:val="00E55880"/>
    <w:rsid w:val="00E55897"/>
    <w:rsid w:val="00E5606C"/>
    <w:rsid w:val="00E565F2"/>
    <w:rsid w:val="00E569B4"/>
    <w:rsid w:val="00E57144"/>
    <w:rsid w:val="00E576C7"/>
    <w:rsid w:val="00E576E0"/>
    <w:rsid w:val="00E57838"/>
    <w:rsid w:val="00E5792C"/>
    <w:rsid w:val="00E57C60"/>
    <w:rsid w:val="00E60B8C"/>
    <w:rsid w:val="00E6199A"/>
    <w:rsid w:val="00E61A22"/>
    <w:rsid w:val="00E61E7B"/>
    <w:rsid w:val="00E628A0"/>
    <w:rsid w:val="00E62D00"/>
    <w:rsid w:val="00E62EC4"/>
    <w:rsid w:val="00E630F8"/>
    <w:rsid w:val="00E6386B"/>
    <w:rsid w:val="00E63DC7"/>
    <w:rsid w:val="00E63F2B"/>
    <w:rsid w:val="00E64471"/>
    <w:rsid w:val="00E64599"/>
    <w:rsid w:val="00E64D19"/>
    <w:rsid w:val="00E64DCD"/>
    <w:rsid w:val="00E64FDF"/>
    <w:rsid w:val="00E662B8"/>
    <w:rsid w:val="00E66362"/>
    <w:rsid w:val="00E664E6"/>
    <w:rsid w:val="00E6651E"/>
    <w:rsid w:val="00E66B46"/>
    <w:rsid w:val="00E66CE2"/>
    <w:rsid w:val="00E670E1"/>
    <w:rsid w:val="00E676E7"/>
    <w:rsid w:val="00E67B4A"/>
    <w:rsid w:val="00E67C04"/>
    <w:rsid w:val="00E67D94"/>
    <w:rsid w:val="00E70278"/>
    <w:rsid w:val="00E706E9"/>
    <w:rsid w:val="00E70B72"/>
    <w:rsid w:val="00E70EA0"/>
    <w:rsid w:val="00E71053"/>
    <w:rsid w:val="00E7116D"/>
    <w:rsid w:val="00E71564"/>
    <w:rsid w:val="00E71602"/>
    <w:rsid w:val="00E71DA7"/>
    <w:rsid w:val="00E71F41"/>
    <w:rsid w:val="00E7225F"/>
    <w:rsid w:val="00E7262E"/>
    <w:rsid w:val="00E727BD"/>
    <w:rsid w:val="00E72A86"/>
    <w:rsid w:val="00E72B40"/>
    <w:rsid w:val="00E72C2D"/>
    <w:rsid w:val="00E73962"/>
    <w:rsid w:val="00E73C50"/>
    <w:rsid w:val="00E73D56"/>
    <w:rsid w:val="00E74646"/>
    <w:rsid w:val="00E746B3"/>
    <w:rsid w:val="00E75177"/>
    <w:rsid w:val="00E7557B"/>
    <w:rsid w:val="00E75772"/>
    <w:rsid w:val="00E75DBC"/>
    <w:rsid w:val="00E76639"/>
    <w:rsid w:val="00E76740"/>
    <w:rsid w:val="00E767AD"/>
    <w:rsid w:val="00E76DCB"/>
    <w:rsid w:val="00E77000"/>
    <w:rsid w:val="00E77390"/>
    <w:rsid w:val="00E779A7"/>
    <w:rsid w:val="00E77CEA"/>
    <w:rsid w:val="00E805A8"/>
    <w:rsid w:val="00E808D5"/>
    <w:rsid w:val="00E80A23"/>
    <w:rsid w:val="00E80CE4"/>
    <w:rsid w:val="00E80D45"/>
    <w:rsid w:val="00E81513"/>
    <w:rsid w:val="00E81B29"/>
    <w:rsid w:val="00E8222A"/>
    <w:rsid w:val="00E82382"/>
    <w:rsid w:val="00E824F6"/>
    <w:rsid w:val="00E82746"/>
    <w:rsid w:val="00E8311C"/>
    <w:rsid w:val="00E838B3"/>
    <w:rsid w:val="00E838F1"/>
    <w:rsid w:val="00E83A43"/>
    <w:rsid w:val="00E83A6B"/>
    <w:rsid w:val="00E83D25"/>
    <w:rsid w:val="00E8451E"/>
    <w:rsid w:val="00E84B63"/>
    <w:rsid w:val="00E84D15"/>
    <w:rsid w:val="00E84DE4"/>
    <w:rsid w:val="00E84F36"/>
    <w:rsid w:val="00E85279"/>
    <w:rsid w:val="00E85287"/>
    <w:rsid w:val="00E85591"/>
    <w:rsid w:val="00E85BDA"/>
    <w:rsid w:val="00E868B4"/>
    <w:rsid w:val="00E8690B"/>
    <w:rsid w:val="00E86EDA"/>
    <w:rsid w:val="00E87473"/>
    <w:rsid w:val="00E876C4"/>
    <w:rsid w:val="00E87877"/>
    <w:rsid w:val="00E87A2E"/>
    <w:rsid w:val="00E87C2D"/>
    <w:rsid w:val="00E87E7F"/>
    <w:rsid w:val="00E9068D"/>
    <w:rsid w:val="00E908A4"/>
    <w:rsid w:val="00E90A91"/>
    <w:rsid w:val="00E90BAB"/>
    <w:rsid w:val="00E90BC5"/>
    <w:rsid w:val="00E9107A"/>
    <w:rsid w:val="00E91186"/>
    <w:rsid w:val="00E9121E"/>
    <w:rsid w:val="00E91436"/>
    <w:rsid w:val="00E91CCB"/>
    <w:rsid w:val="00E91ECB"/>
    <w:rsid w:val="00E91F35"/>
    <w:rsid w:val="00E9239E"/>
    <w:rsid w:val="00E92B3B"/>
    <w:rsid w:val="00E92C5D"/>
    <w:rsid w:val="00E92D41"/>
    <w:rsid w:val="00E9319A"/>
    <w:rsid w:val="00E931ED"/>
    <w:rsid w:val="00E93377"/>
    <w:rsid w:val="00E935BC"/>
    <w:rsid w:val="00E93C4F"/>
    <w:rsid w:val="00E94449"/>
    <w:rsid w:val="00E94591"/>
    <w:rsid w:val="00E947EA"/>
    <w:rsid w:val="00E94B8D"/>
    <w:rsid w:val="00E94BD9"/>
    <w:rsid w:val="00E95043"/>
    <w:rsid w:val="00E95BFB"/>
    <w:rsid w:val="00E960AD"/>
    <w:rsid w:val="00E962D0"/>
    <w:rsid w:val="00E968F3"/>
    <w:rsid w:val="00E96927"/>
    <w:rsid w:val="00E96AD5"/>
    <w:rsid w:val="00E96C0C"/>
    <w:rsid w:val="00E9726A"/>
    <w:rsid w:val="00E97CB0"/>
    <w:rsid w:val="00E97E63"/>
    <w:rsid w:val="00EA0463"/>
    <w:rsid w:val="00EA0A11"/>
    <w:rsid w:val="00EA0E0C"/>
    <w:rsid w:val="00EA13AD"/>
    <w:rsid w:val="00EA1405"/>
    <w:rsid w:val="00EA1AA8"/>
    <w:rsid w:val="00EA1F18"/>
    <w:rsid w:val="00EA244C"/>
    <w:rsid w:val="00EA24FD"/>
    <w:rsid w:val="00EA27A9"/>
    <w:rsid w:val="00EA2D84"/>
    <w:rsid w:val="00EA2E3B"/>
    <w:rsid w:val="00EA3686"/>
    <w:rsid w:val="00EA415A"/>
    <w:rsid w:val="00EA440B"/>
    <w:rsid w:val="00EA4511"/>
    <w:rsid w:val="00EA45DD"/>
    <w:rsid w:val="00EA4BB1"/>
    <w:rsid w:val="00EA509C"/>
    <w:rsid w:val="00EA5287"/>
    <w:rsid w:val="00EA5382"/>
    <w:rsid w:val="00EA54F2"/>
    <w:rsid w:val="00EA5F7D"/>
    <w:rsid w:val="00EA6163"/>
    <w:rsid w:val="00EA64F4"/>
    <w:rsid w:val="00EA695E"/>
    <w:rsid w:val="00EA6E82"/>
    <w:rsid w:val="00EA78E4"/>
    <w:rsid w:val="00EA79D6"/>
    <w:rsid w:val="00EA79FA"/>
    <w:rsid w:val="00EB039F"/>
    <w:rsid w:val="00EB17CF"/>
    <w:rsid w:val="00EB1987"/>
    <w:rsid w:val="00EB1D83"/>
    <w:rsid w:val="00EB200E"/>
    <w:rsid w:val="00EB22A6"/>
    <w:rsid w:val="00EB271A"/>
    <w:rsid w:val="00EB2924"/>
    <w:rsid w:val="00EB2989"/>
    <w:rsid w:val="00EB2B80"/>
    <w:rsid w:val="00EB306E"/>
    <w:rsid w:val="00EB3866"/>
    <w:rsid w:val="00EB40EE"/>
    <w:rsid w:val="00EB4B22"/>
    <w:rsid w:val="00EB4D9C"/>
    <w:rsid w:val="00EB4DD1"/>
    <w:rsid w:val="00EB4FB5"/>
    <w:rsid w:val="00EB56C0"/>
    <w:rsid w:val="00EB5C68"/>
    <w:rsid w:val="00EB5FC2"/>
    <w:rsid w:val="00EB62D4"/>
    <w:rsid w:val="00EB63AA"/>
    <w:rsid w:val="00EB674C"/>
    <w:rsid w:val="00EB6896"/>
    <w:rsid w:val="00EB6D4A"/>
    <w:rsid w:val="00EB7010"/>
    <w:rsid w:val="00EB7348"/>
    <w:rsid w:val="00EB7537"/>
    <w:rsid w:val="00EB7556"/>
    <w:rsid w:val="00EB7C3B"/>
    <w:rsid w:val="00EB7D26"/>
    <w:rsid w:val="00EB7E04"/>
    <w:rsid w:val="00EB7FDE"/>
    <w:rsid w:val="00EC0045"/>
    <w:rsid w:val="00EC0140"/>
    <w:rsid w:val="00EC04AE"/>
    <w:rsid w:val="00EC07C9"/>
    <w:rsid w:val="00EC0AA8"/>
    <w:rsid w:val="00EC0B33"/>
    <w:rsid w:val="00EC0D4D"/>
    <w:rsid w:val="00EC0D4E"/>
    <w:rsid w:val="00EC0E79"/>
    <w:rsid w:val="00EC1349"/>
    <w:rsid w:val="00EC171D"/>
    <w:rsid w:val="00EC1CF1"/>
    <w:rsid w:val="00EC1EB4"/>
    <w:rsid w:val="00EC1F3B"/>
    <w:rsid w:val="00EC20DA"/>
    <w:rsid w:val="00EC2442"/>
    <w:rsid w:val="00EC2A98"/>
    <w:rsid w:val="00EC2DFB"/>
    <w:rsid w:val="00EC2F1C"/>
    <w:rsid w:val="00EC33BC"/>
    <w:rsid w:val="00EC3561"/>
    <w:rsid w:val="00EC4136"/>
    <w:rsid w:val="00EC489E"/>
    <w:rsid w:val="00EC4A29"/>
    <w:rsid w:val="00EC4A69"/>
    <w:rsid w:val="00EC4E2B"/>
    <w:rsid w:val="00EC527D"/>
    <w:rsid w:val="00EC534C"/>
    <w:rsid w:val="00EC55BC"/>
    <w:rsid w:val="00EC5B37"/>
    <w:rsid w:val="00EC5D15"/>
    <w:rsid w:val="00EC60C2"/>
    <w:rsid w:val="00EC63A5"/>
    <w:rsid w:val="00EC7330"/>
    <w:rsid w:val="00EC7CB7"/>
    <w:rsid w:val="00ED0462"/>
    <w:rsid w:val="00ED04E6"/>
    <w:rsid w:val="00ED0ACA"/>
    <w:rsid w:val="00ED1431"/>
    <w:rsid w:val="00ED14F7"/>
    <w:rsid w:val="00ED18B4"/>
    <w:rsid w:val="00ED197A"/>
    <w:rsid w:val="00ED19E8"/>
    <w:rsid w:val="00ED2109"/>
    <w:rsid w:val="00ED262E"/>
    <w:rsid w:val="00ED289F"/>
    <w:rsid w:val="00ED297C"/>
    <w:rsid w:val="00ED3234"/>
    <w:rsid w:val="00ED34F6"/>
    <w:rsid w:val="00ED3A71"/>
    <w:rsid w:val="00ED3B12"/>
    <w:rsid w:val="00ED3C62"/>
    <w:rsid w:val="00ED41A7"/>
    <w:rsid w:val="00ED446A"/>
    <w:rsid w:val="00ED45A8"/>
    <w:rsid w:val="00ED50BE"/>
    <w:rsid w:val="00ED5FC7"/>
    <w:rsid w:val="00ED600A"/>
    <w:rsid w:val="00ED628C"/>
    <w:rsid w:val="00ED6794"/>
    <w:rsid w:val="00ED69FC"/>
    <w:rsid w:val="00ED6D0A"/>
    <w:rsid w:val="00ED70E2"/>
    <w:rsid w:val="00ED73C6"/>
    <w:rsid w:val="00ED750A"/>
    <w:rsid w:val="00ED7680"/>
    <w:rsid w:val="00ED7AE0"/>
    <w:rsid w:val="00ED7ECA"/>
    <w:rsid w:val="00EE00A6"/>
    <w:rsid w:val="00EE0838"/>
    <w:rsid w:val="00EE098E"/>
    <w:rsid w:val="00EE0D64"/>
    <w:rsid w:val="00EE1398"/>
    <w:rsid w:val="00EE1490"/>
    <w:rsid w:val="00EE16E6"/>
    <w:rsid w:val="00EE1BC9"/>
    <w:rsid w:val="00EE1C70"/>
    <w:rsid w:val="00EE1F7D"/>
    <w:rsid w:val="00EE23A6"/>
    <w:rsid w:val="00EE3112"/>
    <w:rsid w:val="00EE31A2"/>
    <w:rsid w:val="00EE371B"/>
    <w:rsid w:val="00EE3825"/>
    <w:rsid w:val="00EE3A98"/>
    <w:rsid w:val="00EE4D06"/>
    <w:rsid w:val="00EE504F"/>
    <w:rsid w:val="00EE514E"/>
    <w:rsid w:val="00EE56EB"/>
    <w:rsid w:val="00EE6174"/>
    <w:rsid w:val="00EE6508"/>
    <w:rsid w:val="00EE6634"/>
    <w:rsid w:val="00EE667A"/>
    <w:rsid w:val="00EE668D"/>
    <w:rsid w:val="00EE67F0"/>
    <w:rsid w:val="00EE6948"/>
    <w:rsid w:val="00EE6B62"/>
    <w:rsid w:val="00EE7197"/>
    <w:rsid w:val="00EE764F"/>
    <w:rsid w:val="00EE7986"/>
    <w:rsid w:val="00EE7D54"/>
    <w:rsid w:val="00EE7D78"/>
    <w:rsid w:val="00EE7E17"/>
    <w:rsid w:val="00EE7F33"/>
    <w:rsid w:val="00EF0157"/>
    <w:rsid w:val="00EF0B1D"/>
    <w:rsid w:val="00EF0EF4"/>
    <w:rsid w:val="00EF118F"/>
    <w:rsid w:val="00EF1619"/>
    <w:rsid w:val="00EF1B7E"/>
    <w:rsid w:val="00EF1BD2"/>
    <w:rsid w:val="00EF2290"/>
    <w:rsid w:val="00EF25CA"/>
    <w:rsid w:val="00EF2E15"/>
    <w:rsid w:val="00EF33F0"/>
    <w:rsid w:val="00EF351D"/>
    <w:rsid w:val="00EF37A4"/>
    <w:rsid w:val="00EF3918"/>
    <w:rsid w:val="00EF3E5E"/>
    <w:rsid w:val="00EF3ED6"/>
    <w:rsid w:val="00EF3F83"/>
    <w:rsid w:val="00EF4299"/>
    <w:rsid w:val="00EF429F"/>
    <w:rsid w:val="00EF4944"/>
    <w:rsid w:val="00EF4B9B"/>
    <w:rsid w:val="00EF53EB"/>
    <w:rsid w:val="00EF5836"/>
    <w:rsid w:val="00EF598A"/>
    <w:rsid w:val="00EF5A7E"/>
    <w:rsid w:val="00EF5C13"/>
    <w:rsid w:val="00EF5C96"/>
    <w:rsid w:val="00EF5DC8"/>
    <w:rsid w:val="00EF5E5B"/>
    <w:rsid w:val="00EF5E7C"/>
    <w:rsid w:val="00EF60BF"/>
    <w:rsid w:val="00EF70C5"/>
    <w:rsid w:val="00EF7544"/>
    <w:rsid w:val="00EF75E9"/>
    <w:rsid w:val="00EF761E"/>
    <w:rsid w:val="00EF76A7"/>
    <w:rsid w:val="00EF78A2"/>
    <w:rsid w:val="00EF7A33"/>
    <w:rsid w:val="00F0002D"/>
    <w:rsid w:val="00F001AD"/>
    <w:rsid w:val="00F00547"/>
    <w:rsid w:val="00F00614"/>
    <w:rsid w:val="00F006B3"/>
    <w:rsid w:val="00F0083D"/>
    <w:rsid w:val="00F00C62"/>
    <w:rsid w:val="00F00FCE"/>
    <w:rsid w:val="00F01138"/>
    <w:rsid w:val="00F01530"/>
    <w:rsid w:val="00F0176A"/>
    <w:rsid w:val="00F018C4"/>
    <w:rsid w:val="00F01F42"/>
    <w:rsid w:val="00F0225E"/>
    <w:rsid w:val="00F02B5A"/>
    <w:rsid w:val="00F02D25"/>
    <w:rsid w:val="00F03267"/>
    <w:rsid w:val="00F0344E"/>
    <w:rsid w:val="00F034B7"/>
    <w:rsid w:val="00F03941"/>
    <w:rsid w:val="00F03C36"/>
    <w:rsid w:val="00F04B0A"/>
    <w:rsid w:val="00F04CBA"/>
    <w:rsid w:val="00F04CCD"/>
    <w:rsid w:val="00F05148"/>
    <w:rsid w:val="00F053A5"/>
    <w:rsid w:val="00F053D3"/>
    <w:rsid w:val="00F059D7"/>
    <w:rsid w:val="00F05D4A"/>
    <w:rsid w:val="00F05E62"/>
    <w:rsid w:val="00F06193"/>
    <w:rsid w:val="00F0659B"/>
    <w:rsid w:val="00F07A17"/>
    <w:rsid w:val="00F07A20"/>
    <w:rsid w:val="00F07BC1"/>
    <w:rsid w:val="00F07CFC"/>
    <w:rsid w:val="00F10543"/>
    <w:rsid w:val="00F1134A"/>
    <w:rsid w:val="00F11741"/>
    <w:rsid w:val="00F11A2C"/>
    <w:rsid w:val="00F11BCD"/>
    <w:rsid w:val="00F11D01"/>
    <w:rsid w:val="00F11D36"/>
    <w:rsid w:val="00F11E3B"/>
    <w:rsid w:val="00F12275"/>
    <w:rsid w:val="00F12282"/>
    <w:rsid w:val="00F1293A"/>
    <w:rsid w:val="00F12CEA"/>
    <w:rsid w:val="00F12E63"/>
    <w:rsid w:val="00F12EE1"/>
    <w:rsid w:val="00F1303E"/>
    <w:rsid w:val="00F131F7"/>
    <w:rsid w:val="00F134B7"/>
    <w:rsid w:val="00F135BC"/>
    <w:rsid w:val="00F13A0E"/>
    <w:rsid w:val="00F13B5A"/>
    <w:rsid w:val="00F13F02"/>
    <w:rsid w:val="00F144A4"/>
    <w:rsid w:val="00F145D5"/>
    <w:rsid w:val="00F14B95"/>
    <w:rsid w:val="00F15299"/>
    <w:rsid w:val="00F155CA"/>
    <w:rsid w:val="00F15689"/>
    <w:rsid w:val="00F16130"/>
    <w:rsid w:val="00F165BF"/>
    <w:rsid w:val="00F1682D"/>
    <w:rsid w:val="00F16882"/>
    <w:rsid w:val="00F168C3"/>
    <w:rsid w:val="00F17376"/>
    <w:rsid w:val="00F2015F"/>
    <w:rsid w:val="00F20356"/>
    <w:rsid w:val="00F20635"/>
    <w:rsid w:val="00F206F5"/>
    <w:rsid w:val="00F2147E"/>
    <w:rsid w:val="00F2195C"/>
    <w:rsid w:val="00F21D30"/>
    <w:rsid w:val="00F22003"/>
    <w:rsid w:val="00F2244F"/>
    <w:rsid w:val="00F22F83"/>
    <w:rsid w:val="00F23087"/>
    <w:rsid w:val="00F23841"/>
    <w:rsid w:val="00F23C72"/>
    <w:rsid w:val="00F23E63"/>
    <w:rsid w:val="00F23FB5"/>
    <w:rsid w:val="00F24443"/>
    <w:rsid w:val="00F24663"/>
    <w:rsid w:val="00F247C0"/>
    <w:rsid w:val="00F24E76"/>
    <w:rsid w:val="00F2514B"/>
    <w:rsid w:val="00F254E7"/>
    <w:rsid w:val="00F25705"/>
    <w:rsid w:val="00F257D2"/>
    <w:rsid w:val="00F25830"/>
    <w:rsid w:val="00F25EF5"/>
    <w:rsid w:val="00F25FF5"/>
    <w:rsid w:val="00F2618A"/>
    <w:rsid w:val="00F26574"/>
    <w:rsid w:val="00F267D4"/>
    <w:rsid w:val="00F26827"/>
    <w:rsid w:val="00F26E5E"/>
    <w:rsid w:val="00F2735B"/>
    <w:rsid w:val="00F273EB"/>
    <w:rsid w:val="00F27522"/>
    <w:rsid w:val="00F27586"/>
    <w:rsid w:val="00F27776"/>
    <w:rsid w:val="00F30264"/>
    <w:rsid w:val="00F3053E"/>
    <w:rsid w:val="00F3068A"/>
    <w:rsid w:val="00F30C9E"/>
    <w:rsid w:val="00F31051"/>
    <w:rsid w:val="00F310A1"/>
    <w:rsid w:val="00F31142"/>
    <w:rsid w:val="00F31B42"/>
    <w:rsid w:val="00F3207C"/>
    <w:rsid w:val="00F3243B"/>
    <w:rsid w:val="00F32471"/>
    <w:rsid w:val="00F3248E"/>
    <w:rsid w:val="00F32837"/>
    <w:rsid w:val="00F32846"/>
    <w:rsid w:val="00F32B83"/>
    <w:rsid w:val="00F32D46"/>
    <w:rsid w:val="00F32FE1"/>
    <w:rsid w:val="00F331DE"/>
    <w:rsid w:val="00F333CB"/>
    <w:rsid w:val="00F33633"/>
    <w:rsid w:val="00F3373C"/>
    <w:rsid w:val="00F33783"/>
    <w:rsid w:val="00F338CB"/>
    <w:rsid w:val="00F33A5D"/>
    <w:rsid w:val="00F33D95"/>
    <w:rsid w:val="00F33DA8"/>
    <w:rsid w:val="00F33E5A"/>
    <w:rsid w:val="00F33FF4"/>
    <w:rsid w:val="00F3445C"/>
    <w:rsid w:val="00F34487"/>
    <w:rsid w:val="00F34761"/>
    <w:rsid w:val="00F34963"/>
    <w:rsid w:val="00F34DF8"/>
    <w:rsid w:val="00F35141"/>
    <w:rsid w:val="00F3521F"/>
    <w:rsid w:val="00F35AA9"/>
    <w:rsid w:val="00F36040"/>
    <w:rsid w:val="00F3605B"/>
    <w:rsid w:val="00F3644D"/>
    <w:rsid w:val="00F36AB8"/>
    <w:rsid w:val="00F3779A"/>
    <w:rsid w:val="00F378D8"/>
    <w:rsid w:val="00F400F8"/>
    <w:rsid w:val="00F405AB"/>
    <w:rsid w:val="00F406AF"/>
    <w:rsid w:val="00F409C8"/>
    <w:rsid w:val="00F40AE9"/>
    <w:rsid w:val="00F40C96"/>
    <w:rsid w:val="00F40E58"/>
    <w:rsid w:val="00F40E7F"/>
    <w:rsid w:val="00F41136"/>
    <w:rsid w:val="00F4119A"/>
    <w:rsid w:val="00F41990"/>
    <w:rsid w:val="00F420E9"/>
    <w:rsid w:val="00F43106"/>
    <w:rsid w:val="00F43AAF"/>
    <w:rsid w:val="00F43FBB"/>
    <w:rsid w:val="00F43FD6"/>
    <w:rsid w:val="00F445C2"/>
    <w:rsid w:val="00F44AB7"/>
    <w:rsid w:val="00F4522C"/>
    <w:rsid w:val="00F456D9"/>
    <w:rsid w:val="00F457F7"/>
    <w:rsid w:val="00F459D1"/>
    <w:rsid w:val="00F45B78"/>
    <w:rsid w:val="00F45CAA"/>
    <w:rsid w:val="00F4607B"/>
    <w:rsid w:val="00F4655A"/>
    <w:rsid w:val="00F46917"/>
    <w:rsid w:val="00F46923"/>
    <w:rsid w:val="00F46C16"/>
    <w:rsid w:val="00F46E18"/>
    <w:rsid w:val="00F4769D"/>
    <w:rsid w:val="00F47A8C"/>
    <w:rsid w:val="00F50088"/>
    <w:rsid w:val="00F503F1"/>
    <w:rsid w:val="00F504CA"/>
    <w:rsid w:val="00F50612"/>
    <w:rsid w:val="00F50836"/>
    <w:rsid w:val="00F5083F"/>
    <w:rsid w:val="00F508E5"/>
    <w:rsid w:val="00F509FD"/>
    <w:rsid w:val="00F51049"/>
    <w:rsid w:val="00F51B4F"/>
    <w:rsid w:val="00F51B55"/>
    <w:rsid w:val="00F5224A"/>
    <w:rsid w:val="00F5260D"/>
    <w:rsid w:val="00F53201"/>
    <w:rsid w:val="00F5387B"/>
    <w:rsid w:val="00F53D03"/>
    <w:rsid w:val="00F53D6E"/>
    <w:rsid w:val="00F5450C"/>
    <w:rsid w:val="00F54833"/>
    <w:rsid w:val="00F54C4D"/>
    <w:rsid w:val="00F554AA"/>
    <w:rsid w:val="00F5596D"/>
    <w:rsid w:val="00F559AB"/>
    <w:rsid w:val="00F55A71"/>
    <w:rsid w:val="00F55A76"/>
    <w:rsid w:val="00F55B7A"/>
    <w:rsid w:val="00F56206"/>
    <w:rsid w:val="00F5676F"/>
    <w:rsid w:val="00F5697B"/>
    <w:rsid w:val="00F569A2"/>
    <w:rsid w:val="00F56C39"/>
    <w:rsid w:val="00F5700E"/>
    <w:rsid w:val="00F57233"/>
    <w:rsid w:val="00F57D22"/>
    <w:rsid w:val="00F57EF5"/>
    <w:rsid w:val="00F57EFE"/>
    <w:rsid w:val="00F600E1"/>
    <w:rsid w:val="00F6027D"/>
    <w:rsid w:val="00F604A4"/>
    <w:rsid w:val="00F608DF"/>
    <w:rsid w:val="00F6091C"/>
    <w:rsid w:val="00F60FA5"/>
    <w:rsid w:val="00F61034"/>
    <w:rsid w:val="00F610FA"/>
    <w:rsid w:val="00F611F1"/>
    <w:rsid w:val="00F6141F"/>
    <w:rsid w:val="00F6166B"/>
    <w:rsid w:val="00F61917"/>
    <w:rsid w:val="00F61C62"/>
    <w:rsid w:val="00F61DFE"/>
    <w:rsid w:val="00F62161"/>
    <w:rsid w:val="00F626C8"/>
    <w:rsid w:val="00F62C43"/>
    <w:rsid w:val="00F62F2F"/>
    <w:rsid w:val="00F6367A"/>
    <w:rsid w:val="00F63844"/>
    <w:rsid w:val="00F63907"/>
    <w:rsid w:val="00F639B5"/>
    <w:rsid w:val="00F63D47"/>
    <w:rsid w:val="00F63D84"/>
    <w:rsid w:val="00F64A98"/>
    <w:rsid w:val="00F64BEC"/>
    <w:rsid w:val="00F64F46"/>
    <w:rsid w:val="00F64F4F"/>
    <w:rsid w:val="00F6504B"/>
    <w:rsid w:val="00F654EF"/>
    <w:rsid w:val="00F65884"/>
    <w:rsid w:val="00F65F98"/>
    <w:rsid w:val="00F65FE0"/>
    <w:rsid w:val="00F66010"/>
    <w:rsid w:val="00F6676D"/>
    <w:rsid w:val="00F668D3"/>
    <w:rsid w:val="00F66ADE"/>
    <w:rsid w:val="00F66E65"/>
    <w:rsid w:val="00F6727F"/>
    <w:rsid w:val="00F6752F"/>
    <w:rsid w:val="00F67C82"/>
    <w:rsid w:val="00F67FAB"/>
    <w:rsid w:val="00F700AF"/>
    <w:rsid w:val="00F706BF"/>
    <w:rsid w:val="00F70A73"/>
    <w:rsid w:val="00F70CF6"/>
    <w:rsid w:val="00F70D87"/>
    <w:rsid w:val="00F71300"/>
    <w:rsid w:val="00F7188B"/>
    <w:rsid w:val="00F71C28"/>
    <w:rsid w:val="00F71DA3"/>
    <w:rsid w:val="00F72333"/>
    <w:rsid w:val="00F7243E"/>
    <w:rsid w:val="00F72452"/>
    <w:rsid w:val="00F73550"/>
    <w:rsid w:val="00F73732"/>
    <w:rsid w:val="00F737E4"/>
    <w:rsid w:val="00F73816"/>
    <w:rsid w:val="00F73821"/>
    <w:rsid w:val="00F739FD"/>
    <w:rsid w:val="00F73E62"/>
    <w:rsid w:val="00F74212"/>
    <w:rsid w:val="00F743FC"/>
    <w:rsid w:val="00F74C58"/>
    <w:rsid w:val="00F75081"/>
    <w:rsid w:val="00F752CF"/>
    <w:rsid w:val="00F759E8"/>
    <w:rsid w:val="00F75B34"/>
    <w:rsid w:val="00F75E64"/>
    <w:rsid w:val="00F76119"/>
    <w:rsid w:val="00F76144"/>
    <w:rsid w:val="00F76176"/>
    <w:rsid w:val="00F767F6"/>
    <w:rsid w:val="00F76993"/>
    <w:rsid w:val="00F76AE5"/>
    <w:rsid w:val="00F76D25"/>
    <w:rsid w:val="00F76D3D"/>
    <w:rsid w:val="00F76F92"/>
    <w:rsid w:val="00F7723D"/>
    <w:rsid w:val="00F7750C"/>
    <w:rsid w:val="00F77667"/>
    <w:rsid w:val="00F777D7"/>
    <w:rsid w:val="00F77F6A"/>
    <w:rsid w:val="00F80045"/>
    <w:rsid w:val="00F80430"/>
    <w:rsid w:val="00F80523"/>
    <w:rsid w:val="00F80D59"/>
    <w:rsid w:val="00F8105A"/>
    <w:rsid w:val="00F81172"/>
    <w:rsid w:val="00F81588"/>
    <w:rsid w:val="00F81A6A"/>
    <w:rsid w:val="00F81C9F"/>
    <w:rsid w:val="00F828D7"/>
    <w:rsid w:val="00F82F6A"/>
    <w:rsid w:val="00F831F3"/>
    <w:rsid w:val="00F83E33"/>
    <w:rsid w:val="00F83FCE"/>
    <w:rsid w:val="00F84275"/>
    <w:rsid w:val="00F84740"/>
    <w:rsid w:val="00F8475A"/>
    <w:rsid w:val="00F84D3A"/>
    <w:rsid w:val="00F85594"/>
    <w:rsid w:val="00F85F99"/>
    <w:rsid w:val="00F8622A"/>
    <w:rsid w:val="00F8704A"/>
    <w:rsid w:val="00F8714B"/>
    <w:rsid w:val="00F878BB"/>
    <w:rsid w:val="00F9085C"/>
    <w:rsid w:val="00F90920"/>
    <w:rsid w:val="00F90B40"/>
    <w:rsid w:val="00F90DAE"/>
    <w:rsid w:val="00F90DED"/>
    <w:rsid w:val="00F90FFF"/>
    <w:rsid w:val="00F91937"/>
    <w:rsid w:val="00F91AEA"/>
    <w:rsid w:val="00F91B5C"/>
    <w:rsid w:val="00F91D0F"/>
    <w:rsid w:val="00F91F45"/>
    <w:rsid w:val="00F91F5E"/>
    <w:rsid w:val="00F921FA"/>
    <w:rsid w:val="00F92322"/>
    <w:rsid w:val="00F923DB"/>
    <w:rsid w:val="00F9257C"/>
    <w:rsid w:val="00F926EA"/>
    <w:rsid w:val="00F92FBA"/>
    <w:rsid w:val="00F933F5"/>
    <w:rsid w:val="00F938F3"/>
    <w:rsid w:val="00F93A1A"/>
    <w:rsid w:val="00F93BAD"/>
    <w:rsid w:val="00F9412F"/>
    <w:rsid w:val="00F9423E"/>
    <w:rsid w:val="00F948EB"/>
    <w:rsid w:val="00F94B38"/>
    <w:rsid w:val="00F94D02"/>
    <w:rsid w:val="00F95145"/>
    <w:rsid w:val="00F953C9"/>
    <w:rsid w:val="00F954A8"/>
    <w:rsid w:val="00F95BBD"/>
    <w:rsid w:val="00F95D69"/>
    <w:rsid w:val="00F96184"/>
    <w:rsid w:val="00F961B8"/>
    <w:rsid w:val="00F96262"/>
    <w:rsid w:val="00F9628B"/>
    <w:rsid w:val="00F96574"/>
    <w:rsid w:val="00F96BBA"/>
    <w:rsid w:val="00F96BBE"/>
    <w:rsid w:val="00F979A3"/>
    <w:rsid w:val="00F97BE2"/>
    <w:rsid w:val="00F97D18"/>
    <w:rsid w:val="00F97DDB"/>
    <w:rsid w:val="00FA0A65"/>
    <w:rsid w:val="00FA117F"/>
    <w:rsid w:val="00FA17F3"/>
    <w:rsid w:val="00FA1959"/>
    <w:rsid w:val="00FA24D3"/>
    <w:rsid w:val="00FA27DF"/>
    <w:rsid w:val="00FA2A63"/>
    <w:rsid w:val="00FA33A5"/>
    <w:rsid w:val="00FA3666"/>
    <w:rsid w:val="00FA38F8"/>
    <w:rsid w:val="00FA3A6E"/>
    <w:rsid w:val="00FA424F"/>
    <w:rsid w:val="00FA4297"/>
    <w:rsid w:val="00FA4354"/>
    <w:rsid w:val="00FA451A"/>
    <w:rsid w:val="00FA4679"/>
    <w:rsid w:val="00FA4744"/>
    <w:rsid w:val="00FA49BA"/>
    <w:rsid w:val="00FA5358"/>
    <w:rsid w:val="00FA579F"/>
    <w:rsid w:val="00FA58D4"/>
    <w:rsid w:val="00FA58FB"/>
    <w:rsid w:val="00FA5C2A"/>
    <w:rsid w:val="00FA5CC8"/>
    <w:rsid w:val="00FA5CDE"/>
    <w:rsid w:val="00FA5DED"/>
    <w:rsid w:val="00FA604B"/>
    <w:rsid w:val="00FA65BA"/>
    <w:rsid w:val="00FA6B27"/>
    <w:rsid w:val="00FA6B58"/>
    <w:rsid w:val="00FA721D"/>
    <w:rsid w:val="00FA7760"/>
    <w:rsid w:val="00FB051B"/>
    <w:rsid w:val="00FB0B51"/>
    <w:rsid w:val="00FB0C87"/>
    <w:rsid w:val="00FB0F98"/>
    <w:rsid w:val="00FB116E"/>
    <w:rsid w:val="00FB1239"/>
    <w:rsid w:val="00FB1468"/>
    <w:rsid w:val="00FB1714"/>
    <w:rsid w:val="00FB1764"/>
    <w:rsid w:val="00FB192D"/>
    <w:rsid w:val="00FB216E"/>
    <w:rsid w:val="00FB2636"/>
    <w:rsid w:val="00FB2698"/>
    <w:rsid w:val="00FB2BC2"/>
    <w:rsid w:val="00FB31D9"/>
    <w:rsid w:val="00FB37C9"/>
    <w:rsid w:val="00FB3826"/>
    <w:rsid w:val="00FB39E2"/>
    <w:rsid w:val="00FB3D46"/>
    <w:rsid w:val="00FB3D4C"/>
    <w:rsid w:val="00FB4406"/>
    <w:rsid w:val="00FB4AD5"/>
    <w:rsid w:val="00FB4D46"/>
    <w:rsid w:val="00FB5860"/>
    <w:rsid w:val="00FB5F24"/>
    <w:rsid w:val="00FB5F4E"/>
    <w:rsid w:val="00FB623C"/>
    <w:rsid w:val="00FB6DC6"/>
    <w:rsid w:val="00FB6F7D"/>
    <w:rsid w:val="00FB7064"/>
    <w:rsid w:val="00FB723F"/>
    <w:rsid w:val="00FB7BEE"/>
    <w:rsid w:val="00FB7ED7"/>
    <w:rsid w:val="00FC04CE"/>
    <w:rsid w:val="00FC0CCF"/>
    <w:rsid w:val="00FC0E9C"/>
    <w:rsid w:val="00FC0EFB"/>
    <w:rsid w:val="00FC19DA"/>
    <w:rsid w:val="00FC1C00"/>
    <w:rsid w:val="00FC1D2F"/>
    <w:rsid w:val="00FC20F0"/>
    <w:rsid w:val="00FC2521"/>
    <w:rsid w:val="00FC2601"/>
    <w:rsid w:val="00FC2DAE"/>
    <w:rsid w:val="00FC2E81"/>
    <w:rsid w:val="00FC2FA6"/>
    <w:rsid w:val="00FC2FEC"/>
    <w:rsid w:val="00FC37CB"/>
    <w:rsid w:val="00FC3C0A"/>
    <w:rsid w:val="00FC3CA6"/>
    <w:rsid w:val="00FC3DFC"/>
    <w:rsid w:val="00FC3EC2"/>
    <w:rsid w:val="00FC4028"/>
    <w:rsid w:val="00FC4062"/>
    <w:rsid w:val="00FC41C1"/>
    <w:rsid w:val="00FC4367"/>
    <w:rsid w:val="00FC4523"/>
    <w:rsid w:val="00FC494F"/>
    <w:rsid w:val="00FC4AD6"/>
    <w:rsid w:val="00FC4B7B"/>
    <w:rsid w:val="00FC4D63"/>
    <w:rsid w:val="00FC4FF0"/>
    <w:rsid w:val="00FC5057"/>
    <w:rsid w:val="00FC539A"/>
    <w:rsid w:val="00FC56CD"/>
    <w:rsid w:val="00FC5880"/>
    <w:rsid w:val="00FC5CDC"/>
    <w:rsid w:val="00FC6367"/>
    <w:rsid w:val="00FC65B8"/>
    <w:rsid w:val="00FC6D8B"/>
    <w:rsid w:val="00FC6EEF"/>
    <w:rsid w:val="00FC6FB0"/>
    <w:rsid w:val="00FC701C"/>
    <w:rsid w:val="00FC736C"/>
    <w:rsid w:val="00FC73AB"/>
    <w:rsid w:val="00FC7851"/>
    <w:rsid w:val="00FC7A63"/>
    <w:rsid w:val="00FC7AB8"/>
    <w:rsid w:val="00FC7E05"/>
    <w:rsid w:val="00FD0013"/>
    <w:rsid w:val="00FD0666"/>
    <w:rsid w:val="00FD0AA6"/>
    <w:rsid w:val="00FD0BD7"/>
    <w:rsid w:val="00FD0DC7"/>
    <w:rsid w:val="00FD10F4"/>
    <w:rsid w:val="00FD143D"/>
    <w:rsid w:val="00FD1641"/>
    <w:rsid w:val="00FD1AB5"/>
    <w:rsid w:val="00FD208F"/>
    <w:rsid w:val="00FD20B7"/>
    <w:rsid w:val="00FD23DD"/>
    <w:rsid w:val="00FD2566"/>
    <w:rsid w:val="00FD2A17"/>
    <w:rsid w:val="00FD2D95"/>
    <w:rsid w:val="00FD2E45"/>
    <w:rsid w:val="00FD3078"/>
    <w:rsid w:val="00FD39F9"/>
    <w:rsid w:val="00FD3C56"/>
    <w:rsid w:val="00FD3FD2"/>
    <w:rsid w:val="00FD423B"/>
    <w:rsid w:val="00FD4B33"/>
    <w:rsid w:val="00FD4FA9"/>
    <w:rsid w:val="00FD53A8"/>
    <w:rsid w:val="00FD56BC"/>
    <w:rsid w:val="00FD5881"/>
    <w:rsid w:val="00FD5A3A"/>
    <w:rsid w:val="00FD5AA0"/>
    <w:rsid w:val="00FD5B57"/>
    <w:rsid w:val="00FD5CDD"/>
    <w:rsid w:val="00FD5DBF"/>
    <w:rsid w:val="00FD5EC5"/>
    <w:rsid w:val="00FD6167"/>
    <w:rsid w:val="00FD677A"/>
    <w:rsid w:val="00FD6F16"/>
    <w:rsid w:val="00FD7CFB"/>
    <w:rsid w:val="00FD7FFA"/>
    <w:rsid w:val="00FE0254"/>
    <w:rsid w:val="00FE03C3"/>
    <w:rsid w:val="00FE1334"/>
    <w:rsid w:val="00FE1434"/>
    <w:rsid w:val="00FE14B2"/>
    <w:rsid w:val="00FE1740"/>
    <w:rsid w:val="00FE1907"/>
    <w:rsid w:val="00FE193C"/>
    <w:rsid w:val="00FE1CBB"/>
    <w:rsid w:val="00FE20F8"/>
    <w:rsid w:val="00FE226E"/>
    <w:rsid w:val="00FE287D"/>
    <w:rsid w:val="00FE29B0"/>
    <w:rsid w:val="00FE330F"/>
    <w:rsid w:val="00FE3AE1"/>
    <w:rsid w:val="00FE3BDB"/>
    <w:rsid w:val="00FE41C9"/>
    <w:rsid w:val="00FE44F1"/>
    <w:rsid w:val="00FE4567"/>
    <w:rsid w:val="00FE4607"/>
    <w:rsid w:val="00FE4802"/>
    <w:rsid w:val="00FE49EA"/>
    <w:rsid w:val="00FE5461"/>
    <w:rsid w:val="00FE54CF"/>
    <w:rsid w:val="00FE55FE"/>
    <w:rsid w:val="00FE5681"/>
    <w:rsid w:val="00FE57EA"/>
    <w:rsid w:val="00FE5B0B"/>
    <w:rsid w:val="00FE5E31"/>
    <w:rsid w:val="00FE5E8E"/>
    <w:rsid w:val="00FE668E"/>
    <w:rsid w:val="00FE6AB8"/>
    <w:rsid w:val="00FE7250"/>
    <w:rsid w:val="00FF05A6"/>
    <w:rsid w:val="00FF0FA8"/>
    <w:rsid w:val="00FF10F7"/>
    <w:rsid w:val="00FF11B9"/>
    <w:rsid w:val="00FF1243"/>
    <w:rsid w:val="00FF158F"/>
    <w:rsid w:val="00FF191E"/>
    <w:rsid w:val="00FF1BCF"/>
    <w:rsid w:val="00FF1F44"/>
    <w:rsid w:val="00FF2502"/>
    <w:rsid w:val="00FF272C"/>
    <w:rsid w:val="00FF2E69"/>
    <w:rsid w:val="00FF2FC4"/>
    <w:rsid w:val="00FF3351"/>
    <w:rsid w:val="00FF34BC"/>
    <w:rsid w:val="00FF3669"/>
    <w:rsid w:val="00FF4A75"/>
    <w:rsid w:val="00FF4A9C"/>
    <w:rsid w:val="00FF4AB9"/>
    <w:rsid w:val="00FF4D4E"/>
    <w:rsid w:val="00FF529F"/>
    <w:rsid w:val="00FF5707"/>
    <w:rsid w:val="00FF5CB4"/>
    <w:rsid w:val="00FF5D00"/>
    <w:rsid w:val="00FF5E3F"/>
    <w:rsid w:val="00FF5E98"/>
    <w:rsid w:val="00FF61EF"/>
    <w:rsid w:val="00FF625D"/>
    <w:rsid w:val="00FF6745"/>
    <w:rsid w:val="00FF6C7B"/>
    <w:rsid w:val="00FF70BA"/>
    <w:rsid w:val="00FF7180"/>
    <w:rsid w:val="00FF74B2"/>
    <w:rsid w:val="00FF7698"/>
    <w:rsid w:val="5D1DD636"/>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64C0B7"/>
  <w15:chartTrackingRefBased/>
  <w15:docId w15:val="{F9A91D45-7352-48B3-B36E-5E263BE521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B7DB7"/>
    <w:pPr>
      <w:spacing w:line="360" w:lineRule="auto"/>
      <w:outlineLvl w:val="0"/>
    </w:pPr>
    <w:rPr>
      <w:rFonts w:ascii="Times New Roman" w:hAnsi="Times New Roman" w:cs="Times New Roman"/>
      <w:b/>
      <w:sz w:val="24"/>
      <w:szCs w:val="24"/>
    </w:rPr>
  </w:style>
  <w:style w:type="paragraph" w:styleId="Heading2">
    <w:name w:val="heading 2"/>
    <w:basedOn w:val="Normal"/>
    <w:next w:val="Normal"/>
    <w:link w:val="Heading2Char"/>
    <w:uiPriority w:val="9"/>
    <w:unhideWhenUsed/>
    <w:qFormat/>
    <w:rsid w:val="000B7DB7"/>
    <w:pPr>
      <w:spacing w:line="360" w:lineRule="auto"/>
      <w:outlineLvl w:val="1"/>
    </w:pPr>
    <w:rPr>
      <w:rFonts w:ascii="Times New Roman" w:hAnsi="Times New Roman" w:cs="Times New Roman"/>
      <w:b/>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371D"/>
    <w:pPr>
      <w:ind w:left="720"/>
      <w:contextualSpacing/>
    </w:pPr>
  </w:style>
  <w:style w:type="character" w:styleId="PlaceholderText">
    <w:name w:val="Placeholder Text"/>
    <w:basedOn w:val="DefaultParagraphFont"/>
    <w:uiPriority w:val="99"/>
    <w:semiHidden/>
    <w:rsid w:val="00FE49EA"/>
    <w:rPr>
      <w:color w:val="808080"/>
    </w:rPr>
  </w:style>
  <w:style w:type="paragraph" w:styleId="PlainText">
    <w:name w:val="Plain Text"/>
    <w:basedOn w:val="Normal"/>
    <w:link w:val="PlainTextChar"/>
    <w:uiPriority w:val="99"/>
    <w:semiHidden/>
    <w:unhideWhenUsed/>
    <w:rsid w:val="00DB72DC"/>
    <w:pPr>
      <w:spacing w:after="0" w:line="240" w:lineRule="auto"/>
    </w:pPr>
    <w:rPr>
      <w:rFonts w:ascii="Verdana" w:hAnsi="Verdana"/>
      <w:szCs w:val="21"/>
    </w:rPr>
  </w:style>
  <w:style w:type="character" w:customStyle="1" w:styleId="PlainTextChar">
    <w:name w:val="Plain Text Char"/>
    <w:basedOn w:val="DefaultParagraphFont"/>
    <w:link w:val="PlainText"/>
    <w:uiPriority w:val="99"/>
    <w:semiHidden/>
    <w:rsid w:val="00DB72DC"/>
    <w:rPr>
      <w:rFonts w:ascii="Verdana" w:hAnsi="Verdana"/>
      <w:szCs w:val="21"/>
    </w:rPr>
  </w:style>
  <w:style w:type="character" w:styleId="Hyperlink">
    <w:name w:val="Hyperlink"/>
    <w:basedOn w:val="DefaultParagraphFont"/>
    <w:uiPriority w:val="99"/>
    <w:unhideWhenUsed/>
    <w:rsid w:val="00A040E8"/>
    <w:rPr>
      <w:color w:val="0563C1" w:themeColor="hyperlink"/>
      <w:u w:val="single"/>
    </w:rPr>
  </w:style>
  <w:style w:type="character" w:customStyle="1" w:styleId="UnresolvedMention1">
    <w:name w:val="Unresolved Mention1"/>
    <w:basedOn w:val="DefaultParagraphFont"/>
    <w:uiPriority w:val="99"/>
    <w:semiHidden/>
    <w:unhideWhenUsed/>
    <w:rsid w:val="00A040E8"/>
    <w:rPr>
      <w:color w:val="605E5C"/>
      <w:shd w:val="clear" w:color="auto" w:fill="E1DFDD"/>
    </w:rPr>
  </w:style>
  <w:style w:type="paragraph" w:styleId="Title">
    <w:name w:val="Title"/>
    <w:basedOn w:val="paragraph"/>
    <w:next w:val="Normal"/>
    <w:link w:val="TitleChar"/>
    <w:uiPriority w:val="10"/>
    <w:qFormat/>
    <w:rsid w:val="000B7DB7"/>
    <w:pPr>
      <w:spacing w:before="0" w:beforeAutospacing="0" w:after="0" w:afterAutospacing="0" w:line="360" w:lineRule="auto"/>
      <w:textAlignment w:val="baseline"/>
    </w:pPr>
    <w:rPr>
      <w:rFonts w:asciiTheme="majorBidi" w:hAnsiTheme="majorBidi" w:cstheme="majorBidi"/>
      <w:sz w:val="28"/>
      <w:szCs w:val="28"/>
    </w:rPr>
  </w:style>
  <w:style w:type="character" w:customStyle="1" w:styleId="TitleChar">
    <w:name w:val="Title Char"/>
    <w:basedOn w:val="DefaultParagraphFont"/>
    <w:link w:val="Title"/>
    <w:uiPriority w:val="10"/>
    <w:rsid w:val="000B7DB7"/>
    <w:rPr>
      <w:rFonts w:asciiTheme="majorBidi" w:eastAsia="Times New Roman" w:hAnsiTheme="majorBidi" w:cstheme="majorBidi"/>
      <w:sz w:val="28"/>
      <w:szCs w:val="28"/>
      <w:lang w:eastAsia="en-GB" w:bidi="he-IL"/>
    </w:rPr>
  </w:style>
  <w:style w:type="paragraph" w:styleId="NoSpacing">
    <w:name w:val="No Spacing"/>
    <w:uiPriority w:val="1"/>
    <w:qFormat/>
    <w:rsid w:val="00CC55F1"/>
    <w:pPr>
      <w:spacing w:after="0" w:line="240" w:lineRule="auto"/>
    </w:pPr>
  </w:style>
  <w:style w:type="paragraph" w:styleId="HTMLPreformatted">
    <w:name w:val="HTML Preformatted"/>
    <w:basedOn w:val="Normal"/>
    <w:link w:val="HTMLPreformattedChar"/>
    <w:uiPriority w:val="99"/>
    <w:semiHidden/>
    <w:unhideWhenUsed/>
    <w:rsid w:val="004446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4446AA"/>
    <w:rPr>
      <w:rFonts w:ascii="Courier New" w:eastAsia="Times New Roman" w:hAnsi="Courier New" w:cs="Courier New"/>
      <w:sz w:val="20"/>
      <w:szCs w:val="20"/>
      <w:lang w:eastAsia="en-GB"/>
    </w:rPr>
  </w:style>
  <w:style w:type="character" w:styleId="CommentReference">
    <w:name w:val="annotation reference"/>
    <w:basedOn w:val="DefaultParagraphFont"/>
    <w:uiPriority w:val="99"/>
    <w:semiHidden/>
    <w:unhideWhenUsed/>
    <w:rsid w:val="0055364C"/>
    <w:rPr>
      <w:sz w:val="16"/>
      <w:szCs w:val="16"/>
    </w:rPr>
  </w:style>
  <w:style w:type="paragraph" w:styleId="CommentText">
    <w:name w:val="annotation text"/>
    <w:basedOn w:val="Normal"/>
    <w:link w:val="CommentTextChar"/>
    <w:uiPriority w:val="99"/>
    <w:unhideWhenUsed/>
    <w:rsid w:val="0055364C"/>
    <w:pPr>
      <w:spacing w:line="240" w:lineRule="auto"/>
    </w:pPr>
    <w:rPr>
      <w:sz w:val="20"/>
      <w:szCs w:val="20"/>
    </w:rPr>
  </w:style>
  <w:style w:type="character" w:customStyle="1" w:styleId="CommentTextChar">
    <w:name w:val="Comment Text Char"/>
    <w:basedOn w:val="DefaultParagraphFont"/>
    <w:link w:val="CommentText"/>
    <w:uiPriority w:val="99"/>
    <w:rsid w:val="0055364C"/>
    <w:rPr>
      <w:sz w:val="20"/>
      <w:szCs w:val="20"/>
    </w:rPr>
  </w:style>
  <w:style w:type="paragraph" w:styleId="CommentSubject">
    <w:name w:val="annotation subject"/>
    <w:basedOn w:val="CommentText"/>
    <w:next w:val="CommentText"/>
    <w:link w:val="CommentSubjectChar"/>
    <w:uiPriority w:val="99"/>
    <w:semiHidden/>
    <w:unhideWhenUsed/>
    <w:rsid w:val="0055364C"/>
    <w:rPr>
      <w:b/>
      <w:bCs/>
    </w:rPr>
  </w:style>
  <w:style w:type="character" w:customStyle="1" w:styleId="CommentSubjectChar">
    <w:name w:val="Comment Subject Char"/>
    <w:basedOn w:val="CommentTextChar"/>
    <w:link w:val="CommentSubject"/>
    <w:uiPriority w:val="99"/>
    <w:semiHidden/>
    <w:rsid w:val="0055364C"/>
    <w:rPr>
      <w:b/>
      <w:bCs/>
      <w:sz w:val="20"/>
      <w:szCs w:val="20"/>
    </w:rPr>
  </w:style>
  <w:style w:type="paragraph" w:styleId="BalloonText">
    <w:name w:val="Balloon Text"/>
    <w:basedOn w:val="Normal"/>
    <w:link w:val="BalloonTextChar"/>
    <w:uiPriority w:val="99"/>
    <w:semiHidden/>
    <w:unhideWhenUsed/>
    <w:rsid w:val="0055364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5364C"/>
    <w:rPr>
      <w:rFonts w:ascii="Segoe UI" w:hAnsi="Segoe UI" w:cs="Segoe UI"/>
      <w:sz w:val="18"/>
      <w:szCs w:val="18"/>
    </w:rPr>
  </w:style>
  <w:style w:type="paragraph" w:customStyle="1" w:styleId="p">
    <w:name w:val="p"/>
    <w:basedOn w:val="Normal"/>
    <w:rsid w:val="001A175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TMLCode">
    <w:name w:val="HTML Code"/>
    <w:basedOn w:val="DefaultParagraphFont"/>
    <w:uiPriority w:val="99"/>
    <w:semiHidden/>
    <w:unhideWhenUsed/>
    <w:rsid w:val="00F059D7"/>
    <w:rPr>
      <w:rFonts w:ascii="Courier New" w:eastAsia="Times New Roman" w:hAnsi="Courier New" w:cs="Courier New"/>
      <w:sz w:val="20"/>
      <w:szCs w:val="20"/>
    </w:rPr>
  </w:style>
  <w:style w:type="paragraph" w:styleId="NormalWeb">
    <w:name w:val="Normal (Web)"/>
    <w:basedOn w:val="Normal"/>
    <w:uiPriority w:val="99"/>
    <w:semiHidden/>
    <w:unhideWhenUsed/>
    <w:rsid w:val="009E1476"/>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E3112"/>
    <w:pPr>
      <w:spacing w:after="0" w:line="240" w:lineRule="auto"/>
    </w:pPr>
  </w:style>
  <w:style w:type="character" w:customStyle="1" w:styleId="UnresolvedMention2">
    <w:name w:val="Unresolved Mention2"/>
    <w:basedOn w:val="DefaultParagraphFont"/>
    <w:uiPriority w:val="99"/>
    <w:semiHidden/>
    <w:unhideWhenUsed/>
    <w:rsid w:val="00385982"/>
    <w:rPr>
      <w:color w:val="605E5C"/>
      <w:shd w:val="clear" w:color="auto" w:fill="E1DFDD"/>
    </w:rPr>
  </w:style>
  <w:style w:type="paragraph" w:customStyle="1" w:styleId="paragraph">
    <w:name w:val="paragraph"/>
    <w:basedOn w:val="Normal"/>
    <w:rsid w:val="003A4A1A"/>
    <w:pPr>
      <w:spacing w:before="100" w:beforeAutospacing="1" w:after="100" w:afterAutospacing="1" w:line="240" w:lineRule="auto"/>
    </w:pPr>
    <w:rPr>
      <w:rFonts w:ascii="Times New Roman" w:eastAsia="Times New Roman" w:hAnsi="Times New Roman" w:cs="Times New Roman"/>
      <w:sz w:val="24"/>
      <w:szCs w:val="24"/>
      <w:lang w:eastAsia="en-GB" w:bidi="he-IL"/>
    </w:rPr>
  </w:style>
  <w:style w:type="character" w:customStyle="1" w:styleId="normaltextrun">
    <w:name w:val="normaltextrun"/>
    <w:basedOn w:val="DefaultParagraphFont"/>
    <w:rsid w:val="003A4A1A"/>
  </w:style>
  <w:style w:type="character" w:customStyle="1" w:styleId="eop">
    <w:name w:val="eop"/>
    <w:basedOn w:val="DefaultParagraphFont"/>
    <w:rsid w:val="003A4A1A"/>
  </w:style>
  <w:style w:type="character" w:customStyle="1" w:styleId="spellingerror">
    <w:name w:val="spellingerror"/>
    <w:basedOn w:val="DefaultParagraphFont"/>
    <w:rsid w:val="003A4A1A"/>
  </w:style>
  <w:style w:type="paragraph" w:styleId="Header">
    <w:name w:val="header"/>
    <w:basedOn w:val="Normal"/>
    <w:link w:val="HeaderChar"/>
    <w:uiPriority w:val="99"/>
    <w:unhideWhenUsed/>
    <w:rsid w:val="00D55169"/>
    <w:pPr>
      <w:tabs>
        <w:tab w:val="center" w:pos="4513"/>
        <w:tab w:val="right" w:pos="9026"/>
      </w:tabs>
      <w:spacing w:after="0" w:line="240" w:lineRule="auto"/>
    </w:pPr>
  </w:style>
  <w:style w:type="character" w:customStyle="1" w:styleId="HeaderChar">
    <w:name w:val="Header Char"/>
    <w:basedOn w:val="DefaultParagraphFont"/>
    <w:link w:val="Header"/>
    <w:uiPriority w:val="99"/>
    <w:rsid w:val="00D55169"/>
  </w:style>
  <w:style w:type="paragraph" w:styleId="Footer">
    <w:name w:val="footer"/>
    <w:basedOn w:val="Normal"/>
    <w:link w:val="FooterChar"/>
    <w:uiPriority w:val="99"/>
    <w:unhideWhenUsed/>
    <w:rsid w:val="00D55169"/>
    <w:pPr>
      <w:tabs>
        <w:tab w:val="center" w:pos="4513"/>
        <w:tab w:val="right" w:pos="9026"/>
      </w:tabs>
      <w:spacing w:after="0" w:line="240" w:lineRule="auto"/>
    </w:pPr>
  </w:style>
  <w:style w:type="character" w:customStyle="1" w:styleId="FooterChar">
    <w:name w:val="Footer Char"/>
    <w:basedOn w:val="DefaultParagraphFont"/>
    <w:link w:val="Footer"/>
    <w:uiPriority w:val="99"/>
    <w:rsid w:val="00D55169"/>
  </w:style>
  <w:style w:type="character" w:customStyle="1" w:styleId="UnresolvedMention3">
    <w:name w:val="Unresolved Mention3"/>
    <w:basedOn w:val="DefaultParagraphFont"/>
    <w:uiPriority w:val="99"/>
    <w:semiHidden/>
    <w:unhideWhenUsed/>
    <w:rsid w:val="002D7ED6"/>
    <w:rPr>
      <w:color w:val="605E5C"/>
      <w:shd w:val="clear" w:color="auto" w:fill="E1DFDD"/>
    </w:rPr>
  </w:style>
  <w:style w:type="paragraph" w:customStyle="1" w:styleId="TableParagraph">
    <w:name w:val="Table Paragraph"/>
    <w:basedOn w:val="Normal"/>
    <w:uiPriority w:val="1"/>
    <w:qFormat/>
    <w:rsid w:val="00826AC9"/>
    <w:pPr>
      <w:widowControl w:val="0"/>
      <w:spacing w:after="0" w:line="240" w:lineRule="auto"/>
    </w:pPr>
    <w:rPr>
      <w:lang w:val="en-US"/>
    </w:rPr>
  </w:style>
  <w:style w:type="character" w:customStyle="1" w:styleId="Heading1Char">
    <w:name w:val="Heading 1 Char"/>
    <w:basedOn w:val="DefaultParagraphFont"/>
    <w:link w:val="Heading1"/>
    <w:uiPriority w:val="9"/>
    <w:rsid w:val="000B7DB7"/>
    <w:rPr>
      <w:rFonts w:ascii="Times New Roman" w:hAnsi="Times New Roman" w:cs="Times New Roman"/>
      <w:b/>
      <w:sz w:val="24"/>
      <w:szCs w:val="24"/>
    </w:rPr>
  </w:style>
  <w:style w:type="character" w:customStyle="1" w:styleId="Heading2Char">
    <w:name w:val="Heading 2 Char"/>
    <w:basedOn w:val="DefaultParagraphFont"/>
    <w:link w:val="Heading2"/>
    <w:uiPriority w:val="9"/>
    <w:rsid w:val="000B7DB7"/>
    <w:rPr>
      <w:rFonts w:ascii="Times New Roman" w:hAnsi="Times New Roman" w:cs="Times New Roman"/>
      <w:b/>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340110">
      <w:bodyDiv w:val="1"/>
      <w:marLeft w:val="0"/>
      <w:marRight w:val="0"/>
      <w:marTop w:val="0"/>
      <w:marBottom w:val="0"/>
      <w:divBdr>
        <w:top w:val="none" w:sz="0" w:space="0" w:color="auto"/>
        <w:left w:val="none" w:sz="0" w:space="0" w:color="auto"/>
        <w:bottom w:val="none" w:sz="0" w:space="0" w:color="auto"/>
        <w:right w:val="none" w:sz="0" w:space="0" w:color="auto"/>
      </w:divBdr>
    </w:div>
    <w:div w:id="137919611">
      <w:bodyDiv w:val="1"/>
      <w:marLeft w:val="0"/>
      <w:marRight w:val="0"/>
      <w:marTop w:val="0"/>
      <w:marBottom w:val="0"/>
      <w:divBdr>
        <w:top w:val="none" w:sz="0" w:space="0" w:color="auto"/>
        <w:left w:val="none" w:sz="0" w:space="0" w:color="auto"/>
        <w:bottom w:val="none" w:sz="0" w:space="0" w:color="auto"/>
        <w:right w:val="none" w:sz="0" w:space="0" w:color="auto"/>
      </w:divBdr>
    </w:div>
    <w:div w:id="146477062">
      <w:bodyDiv w:val="1"/>
      <w:marLeft w:val="0"/>
      <w:marRight w:val="0"/>
      <w:marTop w:val="0"/>
      <w:marBottom w:val="0"/>
      <w:divBdr>
        <w:top w:val="none" w:sz="0" w:space="0" w:color="auto"/>
        <w:left w:val="none" w:sz="0" w:space="0" w:color="auto"/>
        <w:bottom w:val="none" w:sz="0" w:space="0" w:color="auto"/>
        <w:right w:val="none" w:sz="0" w:space="0" w:color="auto"/>
      </w:divBdr>
    </w:div>
    <w:div w:id="149176010">
      <w:bodyDiv w:val="1"/>
      <w:marLeft w:val="0"/>
      <w:marRight w:val="0"/>
      <w:marTop w:val="0"/>
      <w:marBottom w:val="0"/>
      <w:divBdr>
        <w:top w:val="none" w:sz="0" w:space="0" w:color="auto"/>
        <w:left w:val="none" w:sz="0" w:space="0" w:color="auto"/>
        <w:bottom w:val="none" w:sz="0" w:space="0" w:color="auto"/>
        <w:right w:val="none" w:sz="0" w:space="0" w:color="auto"/>
      </w:divBdr>
    </w:div>
    <w:div w:id="193004034">
      <w:bodyDiv w:val="1"/>
      <w:marLeft w:val="0"/>
      <w:marRight w:val="0"/>
      <w:marTop w:val="0"/>
      <w:marBottom w:val="0"/>
      <w:divBdr>
        <w:top w:val="none" w:sz="0" w:space="0" w:color="auto"/>
        <w:left w:val="none" w:sz="0" w:space="0" w:color="auto"/>
        <w:bottom w:val="none" w:sz="0" w:space="0" w:color="auto"/>
        <w:right w:val="none" w:sz="0" w:space="0" w:color="auto"/>
      </w:divBdr>
    </w:div>
    <w:div w:id="212163246">
      <w:bodyDiv w:val="1"/>
      <w:marLeft w:val="0"/>
      <w:marRight w:val="0"/>
      <w:marTop w:val="0"/>
      <w:marBottom w:val="0"/>
      <w:divBdr>
        <w:top w:val="none" w:sz="0" w:space="0" w:color="auto"/>
        <w:left w:val="none" w:sz="0" w:space="0" w:color="auto"/>
        <w:bottom w:val="none" w:sz="0" w:space="0" w:color="auto"/>
        <w:right w:val="none" w:sz="0" w:space="0" w:color="auto"/>
      </w:divBdr>
    </w:div>
    <w:div w:id="259413191">
      <w:bodyDiv w:val="1"/>
      <w:marLeft w:val="0"/>
      <w:marRight w:val="0"/>
      <w:marTop w:val="0"/>
      <w:marBottom w:val="0"/>
      <w:divBdr>
        <w:top w:val="none" w:sz="0" w:space="0" w:color="auto"/>
        <w:left w:val="none" w:sz="0" w:space="0" w:color="auto"/>
        <w:bottom w:val="none" w:sz="0" w:space="0" w:color="auto"/>
        <w:right w:val="none" w:sz="0" w:space="0" w:color="auto"/>
      </w:divBdr>
    </w:div>
    <w:div w:id="263654326">
      <w:bodyDiv w:val="1"/>
      <w:marLeft w:val="0"/>
      <w:marRight w:val="0"/>
      <w:marTop w:val="0"/>
      <w:marBottom w:val="0"/>
      <w:divBdr>
        <w:top w:val="none" w:sz="0" w:space="0" w:color="auto"/>
        <w:left w:val="none" w:sz="0" w:space="0" w:color="auto"/>
        <w:bottom w:val="none" w:sz="0" w:space="0" w:color="auto"/>
        <w:right w:val="none" w:sz="0" w:space="0" w:color="auto"/>
      </w:divBdr>
    </w:div>
    <w:div w:id="280646042">
      <w:bodyDiv w:val="1"/>
      <w:marLeft w:val="0"/>
      <w:marRight w:val="0"/>
      <w:marTop w:val="0"/>
      <w:marBottom w:val="0"/>
      <w:divBdr>
        <w:top w:val="none" w:sz="0" w:space="0" w:color="auto"/>
        <w:left w:val="none" w:sz="0" w:space="0" w:color="auto"/>
        <w:bottom w:val="none" w:sz="0" w:space="0" w:color="auto"/>
        <w:right w:val="none" w:sz="0" w:space="0" w:color="auto"/>
      </w:divBdr>
    </w:div>
    <w:div w:id="295380743">
      <w:bodyDiv w:val="1"/>
      <w:marLeft w:val="0"/>
      <w:marRight w:val="0"/>
      <w:marTop w:val="0"/>
      <w:marBottom w:val="0"/>
      <w:divBdr>
        <w:top w:val="none" w:sz="0" w:space="0" w:color="auto"/>
        <w:left w:val="none" w:sz="0" w:space="0" w:color="auto"/>
        <w:bottom w:val="none" w:sz="0" w:space="0" w:color="auto"/>
        <w:right w:val="none" w:sz="0" w:space="0" w:color="auto"/>
      </w:divBdr>
    </w:div>
    <w:div w:id="348064144">
      <w:bodyDiv w:val="1"/>
      <w:marLeft w:val="0"/>
      <w:marRight w:val="0"/>
      <w:marTop w:val="0"/>
      <w:marBottom w:val="0"/>
      <w:divBdr>
        <w:top w:val="none" w:sz="0" w:space="0" w:color="auto"/>
        <w:left w:val="none" w:sz="0" w:space="0" w:color="auto"/>
        <w:bottom w:val="none" w:sz="0" w:space="0" w:color="auto"/>
        <w:right w:val="none" w:sz="0" w:space="0" w:color="auto"/>
      </w:divBdr>
    </w:div>
    <w:div w:id="387461114">
      <w:bodyDiv w:val="1"/>
      <w:marLeft w:val="0"/>
      <w:marRight w:val="0"/>
      <w:marTop w:val="0"/>
      <w:marBottom w:val="0"/>
      <w:divBdr>
        <w:top w:val="none" w:sz="0" w:space="0" w:color="auto"/>
        <w:left w:val="none" w:sz="0" w:space="0" w:color="auto"/>
        <w:bottom w:val="none" w:sz="0" w:space="0" w:color="auto"/>
        <w:right w:val="none" w:sz="0" w:space="0" w:color="auto"/>
      </w:divBdr>
    </w:div>
    <w:div w:id="418408362">
      <w:bodyDiv w:val="1"/>
      <w:marLeft w:val="0"/>
      <w:marRight w:val="0"/>
      <w:marTop w:val="0"/>
      <w:marBottom w:val="0"/>
      <w:divBdr>
        <w:top w:val="none" w:sz="0" w:space="0" w:color="auto"/>
        <w:left w:val="none" w:sz="0" w:space="0" w:color="auto"/>
        <w:bottom w:val="none" w:sz="0" w:space="0" w:color="auto"/>
        <w:right w:val="none" w:sz="0" w:space="0" w:color="auto"/>
      </w:divBdr>
    </w:div>
    <w:div w:id="446003797">
      <w:bodyDiv w:val="1"/>
      <w:marLeft w:val="0"/>
      <w:marRight w:val="0"/>
      <w:marTop w:val="0"/>
      <w:marBottom w:val="0"/>
      <w:divBdr>
        <w:top w:val="none" w:sz="0" w:space="0" w:color="auto"/>
        <w:left w:val="none" w:sz="0" w:space="0" w:color="auto"/>
        <w:bottom w:val="none" w:sz="0" w:space="0" w:color="auto"/>
        <w:right w:val="none" w:sz="0" w:space="0" w:color="auto"/>
      </w:divBdr>
    </w:div>
    <w:div w:id="453253047">
      <w:bodyDiv w:val="1"/>
      <w:marLeft w:val="0"/>
      <w:marRight w:val="0"/>
      <w:marTop w:val="0"/>
      <w:marBottom w:val="0"/>
      <w:divBdr>
        <w:top w:val="none" w:sz="0" w:space="0" w:color="auto"/>
        <w:left w:val="none" w:sz="0" w:space="0" w:color="auto"/>
        <w:bottom w:val="none" w:sz="0" w:space="0" w:color="auto"/>
        <w:right w:val="none" w:sz="0" w:space="0" w:color="auto"/>
      </w:divBdr>
    </w:div>
    <w:div w:id="469632786">
      <w:bodyDiv w:val="1"/>
      <w:marLeft w:val="0"/>
      <w:marRight w:val="0"/>
      <w:marTop w:val="0"/>
      <w:marBottom w:val="0"/>
      <w:divBdr>
        <w:top w:val="none" w:sz="0" w:space="0" w:color="auto"/>
        <w:left w:val="none" w:sz="0" w:space="0" w:color="auto"/>
        <w:bottom w:val="none" w:sz="0" w:space="0" w:color="auto"/>
        <w:right w:val="none" w:sz="0" w:space="0" w:color="auto"/>
      </w:divBdr>
    </w:div>
    <w:div w:id="470245930">
      <w:bodyDiv w:val="1"/>
      <w:marLeft w:val="0"/>
      <w:marRight w:val="0"/>
      <w:marTop w:val="0"/>
      <w:marBottom w:val="0"/>
      <w:divBdr>
        <w:top w:val="none" w:sz="0" w:space="0" w:color="auto"/>
        <w:left w:val="none" w:sz="0" w:space="0" w:color="auto"/>
        <w:bottom w:val="none" w:sz="0" w:space="0" w:color="auto"/>
        <w:right w:val="none" w:sz="0" w:space="0" w:color="auto"/>
      </w:divBdr>
      <w:divsChild>
        <w:div w:id="821119235">
          <w:marLeft w:val="0"/>
          <w:marRight w:val="0"/>
          <w:marTop w:val="0"/>
          <w:marBottom w:val="0"/>
          <w:divBdr>
            <w:top w:val="none" w:sz="0" w:space="0" w:color="auto"/>
            <w:left w:val="none" w:sz="0" w:space="0" w:color="auto"/>
            <w:bottom w:val="none" w:sz="0" w:space="0" w:color="auto"/>
            <w:right w:val="none" w:sz="0" w:space="0" w:color="auto"/>
          </w:divBdr>
          <w:divsChild>
            <w:div w:id="700402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544770">
      <w:bodyDiv w:val="1"/>
      <w:marLeft w:val="0"/>
      <w:marRight w:val="0"/>
      <w:marTop w:val="0"/>
      <w:marBottom w:val="0"/>
      <w:divBdr>
        <w:top w:val="none" w:sz="0" w:space="0" w:color="auto"/>
        <w:left w:val="none" w:sz="0" w:space="0" w:color="auto"/>
        <w:bottom w:val="none" w:sz="0" w:space="0" w:color="auto"/>
        <w:right w:val="none" w:sz="0" w:space="0" w:color="auto"/>
      </w:divBdr>
    </w:div>
    <w:div w:id="512963596">
      <w:bodyDiv w:val="1"/>
      <w:marLeft w:val="0"/>
      <w:marRight w:val="0"/>
      <w:marTop w:val="0"/>
      <w:marBottom w:val="0"/>
      <w:divBdr>
        <w:top w:val="none" w:sz="0" w:space="0" w:color="auto"/>
        <w:left w:val="none" w:sz="0" w:space="0" w:color="auto"/>
        <w:bottom w:val="none" w:sz="0" w:space="0" w:color="auto"/>
        <w:right w:val="none" w:sz="0" w:space="0" w:color="auto"/>
      </w:divBdr>
    </w:div>
    <w:div w:id="517888556">
      <w:bodyDiv w:val="1"/>
      <w:marLeft w:val="0"/>
      <w:marRight w:val="0"/>
      <w:marTop w:val="0"/>
      <w:marBottom w:val="0"/>
      <w:divBdr>
        <w:top w:val="none" w:sz="0" w:space="0" w:color="auto"/>
        <w:left w:val="none" w:sz="0" w:space="0" w:color="auto"/>
        <w:bottom w:val="none" w:sz="0" w:space="0" w:color="auto"/>
        <w:right w:val="none" w:sz="0" w:space="0" w:color="auto"/>
      </w:divBdr>
    </w:div>
    <w:div w:id="567228639">
      <w:bodyDiv w:val="1"/>
      <w:marLeft w:val="0"/>
      <w:marRight w:val="0"/>
      <w:marTop w:val="0"/>
      <w:marBottom w:val="0"/>
      <w:divBdr>
        <w:top w:val="none" w:sz="0" w:space="0" w:color="auto"/>
        <w:left w:val="none" w:sz="0" w:space="0" w:color="auto"/>
        <w:bottom w:val="none" w:sz="0" w:space="0" w:color="auto"/>
        <w:right w:val="none" w:sz="0" w:space="0" w:color="auto"/>
      </w:divBdr>
    </w:div>
    <w:div w:id="589966832">
      <w:bodyDiv w:val="1"/>
      <w:marLeft w:val="0"/>
      <w:marRight w:val="0"/>
      <w:marTop w:val="0"/>
      <w:marBottom w:val="0"/>
      <w:divBdr>
        <w:top w:val="none" w:sz="0" w:space="0" w:color="auto"/>
        <w:left w:val="none" w:sz="0" w:space="0" w:color="auto"/>
        <w:bottom w:val="none" w:sz="0" w:space="0" w:color="auto"/>
        <w:right w:val="none" w:sz="0" w:space="0" w:color="auto"/>
      </w:divBdr>
    </w:div>
    <w:div w:id="600920576">
      <w:bodyDiv w:val="1"/>
      <w:marLeft w:val="0"/>
      <w:marRight w:val="0"/>
      <w:marTop w:val="0"/>
      <w:marBottom w:val="0"/>
      <w:divBdr>
        <w:top w:val="none" w:sz="0" w:space="0" w:color="auto"/>
        <w:left w:val="none" w:sz="0" w:space="0" w:color="auto"/>
        <w:bottom w:val="none" w:sz="0" w:space="0" w:color="auto"/>
        <w:right w:val="none" w:sz="0" w:space="0" w:color="auto"/>
      </w:divBdr>
    </w:div>
    <w:div w:id="623654719">
      <w:bodyDiv w:val="1"/>
      <w:marLeft w:val="0"/>
      <w:marRight w:val="0"/>
      <w:marTop w:val="0"/>
      <w:marBottom w:val="0"/>
      <w:divBdr>
        <w:top w:val="none" w:sz="0" w:space="0" w:color="auto"/>
        <w:left w:val="none" w:sz="0" w:space="0" w:color="auto"/>
        <w:bottom w:val="none" w:sz="0" w:space="0" w:color="auto"/>
        <w:right w:val="none" w:sz="0" w:space="0" w:color="auto"/>
      </w:divBdr>
    </w:div>
    <w:div w:id="691684271">
      <w:bodyDiv w:val="1"/>
      <w:marLeft w:val="0"/>
      <w:marRight w:val="0"/>
      <w:marTop w:val="0"/>
      <w:marBottom w:val="0"/>
      <w:divBdr>
        <w:top w:val="none" w:sz="0" w:space="0" w:color="auto"/>
        <w:left w:val="none" w:sz="0" w:space="0" w:color="auto"/>
        <w:bottom w:val="none" w:sz="0" w:space="0" w:color="auto"/>
        <w:right w:val="none" w:sz="0" w:space="0" w:color="auto"/>
      </w:divBdr>
    </w:div>
    <w:div w:id="700206665">
      <w:bodyDiv w:val="1"/>
      <w:marLeft w:val="0"/>
      <w:marRight w:val="0"/>
      <w:marTop w:val="0"/>
      <w:marBottom w:val="0"/>
      <w:divBdr>
        <w:top w:val="none" w:sz="0" w:space="0" w:color="auto"/>
        <w:left w:val="none" w:sz="0" w:space="0" w:color="auto"/>
        <w:bottom w:val="none" w:sz="0" w:space="0" w:color="auto"/>
        <w:right w:val="none" w:sz="0" w:space="0" w:color="auto"/>
      </w:divBdr>
    </w:div>
    <w:div w:id="727798504">
      <w:bodyDiv w:val="1"/>
      <w:marLeft w:val="0"/>
      <w:marRight w:val="0"/>
      <w:marTop w:val="0"/>
      <w:marBottom w:val="0"/>
      <w:divBdr>
        <w:top w:val="none" w:sz="0" w:space="0" w:color="auto"/>
        <w:left w:val="none" w:sz="0" w:space="0" w:color="auto"/>
        <w:bottom w:val="none" w:sz="0" w:space="0" w:color="auto"/>
        <w:right w:val="none" w:sz="0" w:space="0" w:color="auto"/>
      </w:divBdr>
    </w:div>
    <w:div w:id="749928487">
      <w:bodyDiv w:val="1"/>
      <w:marLeft w:val="0"/>
      <w:marRight w:val="0"/>
      <w:marTop w:val="0"/>
      <w:marBottom w:val="0"/>
      <w:divBdr>
        <w:top w:val="none" w:sz="0" w:space="0" w:color="auto"/>
        <w:left w:val="none" w:sz="0" w:space="0" w:color="auto"/>
        <w:bottom w:val="none" w:sz="0" w:space="0" w:color="auto"/>
        <w:right w:val="none" w:sz="0" w:space="0" w:color="auto"/>
      </w:divBdr>
    </w:div>
    <w:div w:id="751507802">
      <w:bodyDiv w:val="1"/>
      <w:marLeft w:val="0"/>
      <w:marRight w:val="0"/>
      <w:marTop w:val="0"/>
      <w:marBottom w:val="0"/>
      <w:divBdr>
        <w:top w:val="none" w:sz="0" w:space="0" w:color="auto"/>
        <w:left w:val="none" w:sz="0" w:space="0" w:color="auto"/>
        <w:bottom w:val="none" w:sz="0" w:space="0" w:color="auto"/>
        <w:right w:val="none" w:sz="0" w:space="0" w:color="auto"/>
      </w:divBdr>
    </w:div>
    <w:div w:id="756823896">
      <w:bodyDiv w:val="1"/>
      <w:marLeft w:val="0"/>
      <w:marRight w:val="0"/>
      <w:marTop w:val="0"/>
      <w:marBottom w:val="0"/>
      <w:divBdr>
        <w:top w:val="none" w:sz="0" w:space="0" w:color="auto"/>
        <w:left w:val="none" w:sz="0" w:space="0" w:color="auto"/>
        <w:bottom w:val="none" w:sz="0" w:space="0" w:color="auto"/>
        <w:right w:val="none" w:sz="0" w:space="0" w:color="auto"/>
      </w:divBdr>
    </w:div>
    <w:div w:id="778645199">
      <w:bodyDiv w:val="1"/>
      <w:marLeft w:val="0"/>
      <w:marRight w:val="0"/>
      <w:marTop w:val="0"/>
      <w:marBottom w:val="0"/>
      <w:divBdr>
        <w:top w:val="none" w:sz="0" w:space="0" w:color="auto"/>
        <w:left w:val="none" w:sz="0" w:space="0" w:color="auto"/>
        <w:bottom w:val="none" w:sz="0" w:space="0" w:color="auto"/>
        <w:right w:val="none" w:sz="0" w:space="0" w:color="auto"/>
      </w:divBdr>
    </w:div>
    <w:div w:id="831529064">
      <w:bodyDiv w:val="1"/>
      <w:marLeft w:val="0"/>
      <w:marRight w:val="0"/>
      <w:marTop w:val="0"/>
      <w:marBottom w:val="0"/>
      <w:divBdr>
        <w:top w:val="none" w:sz="0" w:space="0" w:color="auto"/>
        <w:left w:val="none" w:sz="0" w:space="0" w:color="auto"/>
        <w:bottom w:val="none" w:sz="0" w:space="0" w:color="auto"/>
        <w:right w:val="none" w:sz="0" w:space="0" w:color="auto"/>
      </w:divBdr>
    </w:div>
    <w:div w:id="868102671">
      <w:bodyDiv w:val="1"/>
      <w:marLeft w:val="0"/>
      <w:marRight w:val="0"/>
      <w:marTop w:val="0"/>
      <w:marBottom w:val="0"/>
      <w:divBdr>
        <w:top w:val="none" w:sz="0" w:space="0" w:color="auto"/>
        <w:left w:val="none" w:sz="0" w:space="0" w:color="auto"/>
        <w:bottom w:val="none" w:sz="0" w:space="0" w:color="auto"/>
        <w:right w:val="none" w:sz="0" w:space="0" w:color="auto"/>
      </w:divBdr>
    </w:div>
    <w:div w:id="873227597">
      <w:bodyDiv w:val="1"/>
      <w:marLeft w:val="0"/>
      <w:marRight w:val="0"/>
      <w:marTop w:val="0"/>
      <w:marBottom w:val="0"/>
      <w:divBdr>
        <w:top w:val="none" w:sz="0" w:space="0" w:color="auto"/>
        <w:left w:val="none" w:sz="0" w:space="0" w:color="auto"/>
        <w:bottom w:val="none" w:sz="0" w:space="0" w:color="auto"/>
        <w:right w:val="none" w:sz="0" w:space="0" w:color="auto"/>
      </w:divBdr>
    </w:div>
    <w:div w:id="918829354">
      <w:bodyDiv w:val="1"/>
      <w:marLeft w:val="0"/>
      <w:marRight w:val="0"/>
      <w:marTop w:val="0"/>
      <w:marBottom w:val="0"/>
      <w:divBdr>
        <w:top w:val="none" w:sz="0" w:space="0" w:color="auto"/>
        <w:left w:val="none" w:sz="0" w:space="0" w:color="auto"/>
        <w:bottom w:val="none" w:sz="0" w:space="0" w:color="auto"/>
        <w:right w:val="none" w:sz="0" w:space="0" w:color="auto"/>
      </w:divBdr>
    </w:div>
    <w:div w:id="953828906">
      <w:bodyDiv w:val="1"/>
      <w:marLeft w:val="0"/>
      <w:marRight w:val="0"/>
      <w:marTop w:val="0"/>
      <w:marBottom w:val="0"/>
      <w:divBdr>
        <w:top w:val="none" w:sz="0" w:space="0" w:color="auto"/>
        <w:left w:val="none" w:sz="0" w:space="0" w:color="auto"/>
        <w:bottom w:val="none" w:sz="0" w:space="0" w:color="auto"/>
        <w:right w:val="none" w:sz="0" w:space="0" w:color="auto"/>
      </w:divBdr>
    </w:div>
    <w:div w:id="978068509">
      <w:bodyDiv w:val="1"/>
      <w:marLeft w:val="0"/>
      <w:marRight w:val="0"/>
      <w:marTop w:val="0"/>
      <w:marBottom w:val="0"/>
      <w:divBdr>
        <w:top w:val="none" w:sz="0" w:space="0" w:color="auto"/>
        <w:left w:val="none" w:sz="0" w:space="0" w:color="auto"/>
        <w:bottom w:val="none" w:sz="0" w:space="0" w:color="auto"/>
        <w:right w:val="none" w:sz="0" w:space="0" w:color="auto"/>
      </w:divBdr>
    </w:div>
    <w:div w:id="1022978037">
      <w:bodyDiv w:val="1"/>
      <w:marLeft w:val="0"/>
      <w:marRight w:val="0"/>
      <w:marTop w:val="0"/>
      <w:marBottom w:val="0"/>
      <w:divBdr>
        <w:top w:val="none" w:sz="0" w:space="0" w:color="auto"/>
        <w:left w:val="none" w:sz="0" w:space="0" w:color="auto"/>
        <w:bottom w:val="none" w:sz="0" w:space="0" w:color="auto"/>
        <w:right w:val="none" w:sz="0" w:space="0" w:color="auto"/>
      </w:divBdr>
    </w:div>
    <w:div w:id="1093168171">
      <w:bodyDiv w:val="1"/>
      <w:marLeft w:val="0"/>
      <w:marRight w:val="0"/>
      <w:marTop w:val="0"/>
      <w:marBottom w:val="0"/>
      <w:divBdr>
        <w:top w:val="none" w:sz="0" w:space="0" w:color="auto"/>
        <w:left w:val="none" w:sz="0" w:space="0" w:color="auto"/>
        <w:bottom w:val="none" w:sz="0" w:space="0" w:color="auto"/>
        <w:right w:val="none" w:sz="0" w:space="0" w:color="auto"/>
      </w:divBdr>
    </w:div>
    <w:div w:id="1106386786">
      <w:bodyDiv w:val="1"/>
      <w:marLeft w:val="0"/>
      <w:marRight w:val="0"/>
      <w:marTop w:val="0"/>
      <w:marBottom w:val="0"/>
      <w:divBdr>
        <w:top w:val="none" w:sz="0" w:space="0" w:color="auto"/>
        <w:left w:val="none" w:sz="0" w:space="0" w:color="auto"/>
        <w:bottom w:val="none" w:sz="0" w:space="0" w:color="auto"/>
        <w:right w:val="none" w:sz="0" w:space="0" w:color="auto"/>
      </w:divBdr>
    </w:div>
    <w:div w:id="1112943025">
      <w:bodyDiv w:val="1"/>
      <w:marLeft w:val="0"/>
      <w:marRight w:val="0"/>
      <w:marTop w:val="0"/>
      <w:marBottom w:val="0"/>
      <w:divBdr>
        <w:top w:val="none" w:sz="0" w:space="0" w:color="auto"/>
        <w:left w:val="none" w:sz="0" w:space="0" w:color="auto"/>
        <w:bottom w:val="none" w:sz="0" w:space="0" w:color="auto"/>
        <w:right w:val="none" w:sz="0" w:space="0" w:color="auto"/>
      </w:divBdr>
    </w:div>
    <w:div w:id="1197549112">
      <w:bodyDiv w:val="1"/>
      <w:marLeft w:val="0"/>
      <w:marRight w:val="0"/>
      <w:marTop w:val="0"/>
      <w:marBottom w:val="0"/>
      <w:divBdr>
        <w:top w:val="none" w:sz="0" w:space="0" w:color="auto"/>
        <w:left w:val="none" w:sz="0" w:space="0" w:color="auto"/>
        <w:bottom w:val="none" w:sz="0" w:space="0" w:color="auto"/>
        <w:right w:val="none" w:sz="0" w:space="0" w:color="auto"/>
      </w:divBdr>
    </w:div>
    <w:div w:id="1232420897">
      <w:bodyDiv w:val="1"/>
      <w:marLeft w:val="0"/>
      <w:marRight w:val="0"/>
      <w:marTop w:val="0"/>
      <w:marBottom w:val="0"/>
      <w:divBdr>
        <w:top w:val="none" w:sz="0" w:space="0" w:color="auto"/>
        <w:left w:val="none" w:sz="0" w:space="0" w:color="auto"/>
        <w:bottom w:val="none" w:sz="0" w:space="0" w:color="auto"/>
        <w:right w:val="none" w:sz="0" w:space="0" w:color="auto"/>
      </w:divBdr>
    </w:div>
    <w:div w:id="1232697106">
      <w:bodyDiv w:val="1"/>
      <w:marLeft w:val="0"/>
      <w:marRight w:val="0"/>
      <w:marTop w:val="0"/>
      <w:marBottom w:val="0"/>
      <w:divBdr>
        <w:top w:val="none" w:sz="0" w:space="0" w:color="auto"/>
        <w:left w:val="none" w:sz="0" w:space="0" w:color="auto"/>
        <w:bottom w:val="none" w:sz="0" w:space="0" w:color="auto"/>
        <w:right w:val="none" w:sz="0" w:space="0" w:color="auto"/>
      </w:divBdr>
    </w:div>
    <w:div w:id="1257982755">
      <w:bodyDiv w:val="1"/>
      <w:marLeft w:val="0"/>
      <w:marRight w:val="0"/>
      <w:marTop w:val="0"/>
      <w:marBottom w:val="0"/>
      <w:divBdr>
        <w:top w:val="none" w:sz="0" w:space="0" w:color="auto"/>
        <w:left w:val="none" w:sz="0" w:space="0" w:color="auto"/>
        <w:bottom w:val="none" w:sz="0" w:space="0" w:color="auto"/>
        <w:right w:val="none" w:sz="0" w:space="0" w:color="auto"/>
      </w:divBdr>
    </w:div>
    <w:div w:id="1267925597">
      <w:bodyDiv w:val="1"/>
      <w:marLeft w:val="0"/>
      <w:marRight w:val="0"/>
      <w:marTop w:val="0"/>
      <w:marBottom w:val="0"/>
      <w:divBdr>
        <w:top w:val="none" w:sz="0" w:space="0" w:color="auto"/>
        <w:left w:val="none" w:sz="0" w:space="0" w:color="auto"/>
        <w:bottom w:val="none" w:sz="0" w:space="0" w:color="auto"/>
        <w:right w:val="none" w:sz="0" w:space="0" w:color="auto"/>
      </w:divBdr>
    </w:div>
    <w:div w:id="1272662442">
      <w:bodyDiv w:val="1"/>
      <w:marLeft w:val="0"/>
      <w:marRight w:val="0"/>
      <w:marTop w:val="0"/>
      <w:marBottom w:val="0"/>
      <w:divBdr>
        <w:top w:val="none" w:sz="0" w:space="0" w:color="auto"/>
        <w:left w:val="none" w:sz="0" w:space="0" w:color="auto"/>
        <w:bottom w:val="none" w:sz="0" w:space="0" w:color="auto"/>
        <w:right w:val="none" w:sz="0" w:space="0" w:color="auto"/>
      </w:divBdr>
    </w:div>
    <w:div w:id="1286228196">
      <w:bodyDiv w:val="1"/>
      <w:marLeft w:val="0"/>
      <w:marRight w:val="0"/>
      <w:marTop w:val="0"/>
      <w:marBottom w:val="0"/>
      <w:divBdr>
        <w:top w:val="none" w:sz="0" w:space="0" w:color="auto"/>
        <w:left w:val="none" w:sz="0" w:space="0" w:color="auto"/>
        <w:bottom w:val="none" w:sz="0" w:space="0" w:color="auto"/>
        <w:right w:val="none" w:sz="0" w:space="0" w:color="auto"/>
      </w:divBdr>
    </w:div>
    <w:div w:id="1383603613">
      <w:bodyDiv w:val="1"/>
      <w:marLeft w:val="0"/>
      <w:marRight w:val="0"/>
      <w:marTop w:val="0"/>
      <w:marBottom w:val="0"/>
      <w:divBdr>
        <w:top w:val="none" w:sz="0" w:space="0" w:color="auto"/>
        <w:left w:val="none" w:sz="0" w:space="0" w:color="auto"/>
        <w:bottom w:val="none" w:sz="0" w:space="0" w:color="auto"/>
        <w:right w:val="none" w:sz="0" w:space="0" w:color="auto"/>
      </w:divBdr>
    </w:div>
    <w:div w:id="1387953450">
      <w:bodyDiv w:val="1"/>
      <w:marLeft w:val="0"/>
      <w:marRight w:val="0"/>
      <w:marTop w:val="0"/>
      <w:marBottom w:val="0"/>
      <w:divBdr>
        <w:top w:val="none" w:sz="0" w:space="0" w:color="auto"/>
        <w:left w:val="none" w:sz="0" w:space="0" w:color="auto"/>
        <w:bottom w:val="none" w:sz="0" w:space="0" w:color="auto"/>
        <w:right w:val="none" w:sz="0" w:space="0" w:color="auto"/>
      </w:divBdr>
    </w:div>
    <w:div w:id="1389718085">
      <w:bodyDiv w:val="1"/>
      <w:marLeft w:val="0"/>
      <w:marRight w:val="0"/>
      <w:marTop w:val="0"/>
      <w:marBottom w:val="0"/>
      <w:divBdr>
        <w:top w:val="none" w:sz="0" w:space="0" w:color="auto"/>
        <w:left w:val="none" w:sz="0" w:space="0" w:color="auto"/>
        <w:bottom w:val="none" w:sz="0" w:space="0" w:color="auto"/>
        <w:right w:val="none" w:sz="0" w:space="0" w:color="auto"/>
      </w:divBdr>
    </w:div>
    <w:div w:id="1447575561">
      <w:bodyDiv w:val="1"/>
      <w:marLeft w:val="0"/>
      <w:marRight w:val="0"/>
      <w:marTop w:val="0"/>
      <w:marBottom w:val="0"/>
      <w:divBdr>
        <w:top w:val="none" w:sz="0" w:space="0" w:color="auto"/>
        <w:left w:val="none" w:sz="0" w:space="0" w:color="auto"/>
        <w:bottom w:val="none" w:sz="0" w:space="0" w:color="auto"/>
        <w:right w:val="none" w:sz="0" w:space="0" w:color="auto"/>
      </w:divBdr>
    </w:div>
    <w:div w:id="1478693157">
      <w:bodyDiv w:val="1"/>
      <w:marLeft w:val="0"/>
      <w:marRight w:val="0"/>
      <w:marTop w:val="0"/>
      <w:marBottom w:val="0"/>
      <w:divBdr>
        <w:top w:val="none" w:sz="0" w:space="0" w:color="auto"/>
        <w:left w:val="none" w:sz="0" w:space="0" w:color="auto"/>
        <w:bottom w:val="none" w:sz="0" w:space="0" w:color="auto"/>
        <w:right w:val="none" w:sz="0" w:space="0" w:color="auto"/>
      </w:divBdr>
    </w:div>
    <w:div w:id="1531140639">
      <w:bodyDiv w:val="1"/>
      <w:marLeft w:val="0"/>
      <w:marRight w:val="0"/>
      <w:marTop w:val="0"/>
      <w:marBottom w:val="0"/>
      <w:divBdr>
        <w:top w:val="none" w:sz="0" w:space="0" w:color="auto"/>
        <w:left w:val="none" w:sz="0" w:space="0" w:color="auto"/>
        <w:bottom w:val="none" w:sz="0" w:space="0" w:color="auto"/>
        <w:right w:val="none" w:sz="0" w:space="0" w:color="auto"/>
      </w:divBdr>
    </w:div>
    <w:div w:id="1540897058">
      <w:bodyDiv w:val="1"/>
      <w:marLeft w:val="0"/>
      <w:marRight w:val="0"/>
      <w:marTop w:val="0"/>
      <w:marBottom w:val="0"/>
      <w:divBdr>
        <w:top w:val="none" w:sz="0" w:space="0" w:color="auto"/>
        <w:left w:val="none" w:sz="0" w:space="0" w:color="auto"/>
        <w:bottom w:val="none" w:sz="0" w:space="0" w:color="auto"/>
        <w:right w:val="none" w:sz="0" w:space="0" w:color="auto"/>
      </w:divBdr>
    </w:div>
    <w:div w:id="1586181558">
      <w:bodyDiv w:val="1"/>
      <w:marLeft w:val="0"/>
      <w:marRight w:val="0"/>
      <w:marTop w:val="0"/>
      <w:marBottom w:val="0"/>
      <w:divBdr>
        <w:top w:val="none" w:sz="0" w:space="0" w:color="auto"/>
        <w:left w:val="none" w:sz="0" w:space="0" w:color="auto"/>
        <w:bottom w:val="none" w:sz="0" w:space="0" w:color="auto"/>
        <w:right w:val="none" w:sz="0" w:space="0" w:color="auto"/>
      </w:divBdr>
    </w:div>
    <w:div w:id="1606570729">
      <w:bodyDiv w:val="1"/>
      <w:marLeft w:val="0"/>
      <w:marRight w:val="0"/>
      <w:marTop w:val="0"/>
      <w:marBottom w:val="0"/>
      <w:divBdr>
        <w:top w:val="none" w:sz="0" w:space="0" w:color="auto"/>
        <w:left w:val="none" w:sz="0" w:space="0" w:color="auto"/>
        <w:bottom w:val="none" w:sz="0" w:space="0" w:color="auto"/>
        <w:right w:val="none" w:sz="0" w:space="0" w:color="auto"/>
      </w:divBdr>
    </w:div>
    <w:div w:id="1640920902">
      <w:bodyDiv w:val="1"/>
      <w:marLeft w:val="0"/>
      <w:marRight w:val="0"/>
      <w:marTop w:val="0"/>
      <w:marBottom w:val="0"/>
      <w:divBdr>
        <w:top w:val="none" w:sz="0" w:space="0" w:color="auto"/>
        <w:left w:val="none" w:sz="0" w:space="0" w:color="auto"/>
        <w:bottom w:val="none" w:sz="0" w:space="0" w:color="auto"/>
        <w:right w:val="none" w:sz="0" w:space="0" w:color="auto"/>
      </w:divBdr>
    </w:div>
    <w:div w:id="1641379052">
      <w:bodyDiv w:val="1"/>
      <w:marLeft w:val="0"/>
      <w:marRight w:val="0"/>
      <w:marTop w:val="0"/>
      <w:marBottom w:val="0"/>
      <w:divBdr>
        <w:top w:val="none" w:sz="0" w:space="0" w:color="auto"/>
        <w:left w:val="none" w:sz="0" w:space="0" w:color="auto"/>
        <w:bottom w:val="none" w:sz="0" w:space="0" w:color="auto"/>
        <w:right w:val="none" w:sz="0" w:space="0" w:color="auto"/>
      </w:divBdr>
    </w:div>
    <w:div w:id="1664747175">
      <w:bodyDiv w:val="1"/>
      <w:marLeft w:val="0"/>
      <w:marRight w:val="0"/>
      <w:marTop w:val="0"/>
      <w:marBottom w:val="0"/>
      <w:divBdr>
        <w:top w:val="none" w:sz="0" w:space="0" w:color="auto"/>
        <w:left w:val="none" w:sz="0" w:space="0" w:color="auto"/>
        <w:bottom w:val="none" w:sz="0" w:space="0" w:color="auto"/>
        <w:right w:val="none" w:sz="0" w:space="0" w:color="auto"/>
      </w:divBdr>
    </w:div>
    <w:div w:id="1703745371">
      <w:bodyDiv w:val="1"/>
      <w:marLeft w:val="0"/>
      <w:marRight w:val="0"/>
      <w:marTop w:val="0"/>
      <w:marBottom w:val="0"/>
      <w:divBdr>
        <w:top w:val="none" w:sz="0" w:space="0" w:color="auto"/>
        <w:left w:val="none" w:sz="0" w:space="0" w:color="auto"/>
        <w:bottom w:val="none" w:sz="0" w:space="0" w:color="auto"/>
        <w:right w:val="none" w:sz="0" w:space="0" w:color="auto"/>
      </w:divBdr>
    </w:div>
    <w:div w:id="1705475062">
      <w:bodyDiv w:val="1"/>
      <w:marLeft w:val="0"/>
      <w:marRight w:val="0"/>
      <w:marTop w:val="0"/>
      <w:marBottom w:val="0"/>
      <w:divBdr>
        <w:top w:val="none" w:sz="0" w:space="0" w:color="auto"/>
        <w:left w:val="none" w:sz="0" w:space="0" w:color="auto"/>
        <w:bottom w:val="none" w:sz="0" w:space="0" w:color="auto"/>
        <w:right w:val="none" w:sz="0" w:space="0" w:color="auto"/>
      </w:divBdr>
    </w:div>
    <w:div w:id="1707870769">
      <w:bodyDiv w:val="1"/>
      <w:marLeft w:val="0"/>
      <w:marRight w:val="0"/>
      <w:marTop w:val="0"/>
      <w:marBottom w:val="0"/>
      <w:divBdr>
        <w:top w:val="none" w:sz="0" w:space="0" w:color="auto"/>
        <w:left w:val="none" w:sz="0" w:space="0" w:color="auto"/>
        <w:bottom w:val="none" w:sz="0" w:space="0" w:color="auto"/>
        <w:right w:val="none" w:sz="0" w:space="0" w:color="auto"/>
      </w:divBdr>
    </w:div>
    <w:div w:id="1718702648">
      <w:bodyDiv w:val="1"/>
      <w:marLeft w:val="0"/>
      <w:marRight w:val="0"/>
      <w:marTop w:val="0"/>
      <w:marBottom w:val="0"/>
      <w:divBdr>
        <w:top w:val="none" w:sz="0" w:space="0" w:color="auto"/>
        <w:left w:val="none" w:sz="0" w:space="0" w:color="auto"/>
        <w:bottom w:val="none" w:sz="0" w:space="0" w:color="auto"/>
        <w:right w:val="none" w:sz="0" w:space="0" w:color="auto"/>
      </w:divBdr>
    </w:div>
    <w:div w:id="1751730224">
      <w:bodyDiv w:val="1"/>
      <w:marLeft w:val="0"/>
      <w:marRight w:val="0"/>
      <w:marTop w:val="0"/>
      <w:marBottom w:val="0"/>
      <w:divBdr>
        <w:top w:val="none" w:sz="0" w:space="0" w:color="auto"/>
        <w:left w:val="none" w:sz="0" w:space="0" w:color="auto"/>
        <w:bottom w:val="none" w:sz="0" w:space="0" w:color="auto"/>
        <w:right w:val="none" w:sz="0" w:space="0" w:color="auto"/>
      </w:divBdr>
    </w:div>
    <w:div w:id="1819347097">
      <w:bodyDiv w:val="1"/>
      <w:marLeft w:val="0"/>
      <w:marRight w:val="0"/>
      <w:marTop w:val="0"/>
      <w:marBottom w:val="0"/>
      <w:divBdr>
        <w:top w:val="none" w:sz="0" w:space="0" w:color="auto"/>
        <w:left w:val="none" w:sz="0" w:space="0" w:color="auto"/>
        <w:bottom w:val="none" w:sz="0" w:space="0" w:color="auto"/>
        <w:right w:val="none" w:sz="0" w:space="0" w:color="auto"/>
      </w:divBdr>
    </w:div>
    <w:div w:id="1828089903">
      <w:bodyDiv w:val="1"/>
      <w:marLeft w:val="0"/>
      <w:marRight w:val="0"/>
      <w:marTop w:val="0"/>
      <w:marBottom w:val="0"/>
      <w:divBdr>
        <w:top w:val="none" w:sz="0" w:space="0" w:color="auto"/>
        <w:left w:val="none" w:sz="0" w:space="0" w:color="auto"/>
        <w:bottom w:val="none" w:sz="0" w:space="0" w:color="auto"/>
        <w:right w:val="none" w:sz="0" w:space="0" w:color="auto"/>
      </w:divBdr>
    </w:div>
    <w:div w:id="1837257012">
      <w:bodyDiv w:val="1"/>
      <w:marLeft w:val="0"/>
      <w:marRight w:val="0"/>
      <w:marTop w:val="0"/>
      <w:marBottom w:val="0"/>
      <w:divBdr>
        <w:top w:val="none" w:sz="0" w:space="0" w:color="auto"/>
        <w:left w:val="none" w:sz="0" w:space="0" w:color="auto"/>
        <w:bottom w:val="none" w:sz="0" w:space="0" w:color="auto"/>
        <w:right w:val="none" w:sz="0" w:space="0" w:color="auto"/>
      </w:divBdr>
    </w:div>
    <w:div w:id="1845625288">
      <w:bodyDiv w:val="1"/>
      <w:marLeft w:val="0"/>
      <w:marRight w:val="0"/>
      <w:marTop w:val="0"/>
      <w:marBottom w:val="0"/>
      <w:divBdr>
        <w:top w:val="none" w:sz="0" w:space="0" w:color="auto"/>
        <w:left w:val="none" w:sz="0" w:space="0" w:color="auto"/>
        <w:bottom w:val="none" w:sz="0" w:space="0" w:color="auto"/>
        <w:right w:val="none" w:sz="0" w:space="0" w:color="auto"/>
      </w:divBdr>
    </w:div>
    <w:div w:id="1846283961">
      <w:bodyDiv w:val="1"/>
      <w:marLeft w:val="0"/>
      <w:marRight w:val="0"/>
      <w:marTop w:val="0"/>
      <w:marBottom w:val="0"/>
      <w:divBdr>
        <w:top w:val="none" w:sz="0" w:space="0" w:color="auto"/>
        <w:left w:val="none" w:sz="0" w:space="0" w:color="auto"/>
        <w:bottom w:val="none" w:sz="0" w:space="0" w:color="auto"/>
        <w:right w:val="none" w:sz="0" w:space="0" w:color="auto"/>
      </w:divBdr>
    </w:div>
    <w:div w:id="1847984336">
      <w:bodyDiv w:val="1"/>
      <w:marLeft w:val="0"/>
      <w:marRight w:val="0"/>
      <w:marTop w:val="0"/>
      <w:marBottom w:val="0"/>
      <w:divBdr>
        <w:top w:val="none" w:sz="0" w:space="0" w:color="auto"/>
        <w:left w:val="none" w:sz="0" w:space="0" w:color="auto"/>
        <w:bottom w:val="none" w:sz="0" w:space="0" w:color="auto"/>
        <w:right w:val="none" w:sz="0" w:space="0" w:color="auto"/>
      </w:divBdr>
    </w:div>
    <w:div w:id="1860466711">
      <w:bodyDiv w:val="1"/>
      <w:marLeft w:val="0"/>
      <w:marRight w:val="0"/>
      <w:marTop w:val="0"/>
      <w:marBottom w:val="0"/>
      <w:divBdr>
        <w:top w:val="none" w:sz="0" w:space="0" w:color="auto"/>
        <w:left w:val="none" w:sz="0" w:space="0" w:color="auto"/>
        <w:bottom w:val="none" w:sz="0" w:space="0" w:color="auto"/>
        <w:right w:val="none" w:sz="0" w:space="0" w:color="auto"/>
      </w:divBdr>
    </w:div>
    <w:div w:id="1900363689">
      <w:bodyDiv w:val="1"/>
      <w:marLeft w:val="0"/>
      <w:marRight w:val="0"/>
      <w:marTop w:val="0"/>
      <w:marBottom w:val="0"/>
      <w:divBdr>
        <w:top w:val="none" w:sz="0" w:space="0" w:color="auto"/>
        <w:left w:val="none" w:sz="0" w:space="0" w:color="auto"/>
        <w:bottom w:val="none" w:sz="0" w:space="0" w:color="auto"/>
        <w:right w:val="none" w:sz="0" w:space="0" w:color="auto"/>
      </w:divBdr>
    </w:div>
    <w:div w:id="1950351693">
      <w:bodyDiv w:val="1"/>
      <w:marLeft w:val="0"/>
      <w:marRight w:val="0"/>
      <w:marTop w:val="0"/>
      <w:marBottom w:val="0"/>
      <w:divBdr>
        <w:top w:val="none" w:sz="0" w:space="0" w:color="auto"/>
        <w:left w:val="none" w:sz="0" w:space="0" w:color="auto"/>
        <w:bottom w:val="none" w:sz="0" w:space="0" w:color="auto"/>
        <w:right w:val="none" w:sz="0" w:space="0" w:color="auto"/>
      </w:divBdr>
    </w:div>
    <w:div w:id="2005818492">
      <w:bodyDiv w:val="1"/>
      <w:marLeft w:val="0"/>
      <w:marRight w:val="0"/>
      <w:marTop w:val="0"/>
      <w:marBottom w:val="0"/>
      <w:divBdr>
        <w:top w:val="none" w:sz="0" w:space="0" w:color="auto"/>
        <w:left w:val="none" w:sz="0" w:space="0" w:color="auto"/>
        <w:bottom w:val="none" w:sz="0" w:space="0" w:color="auto"/>
        <w:right w:val="none" w:sz="0" w:space="0" w:color="auto"/>
      </w:divBdr>
    </w:div>
    <w:div w:id="2026056308">
      <w:bodyDiv w:val="1"/>
      <w:marLeft w:val="0"/>
      <w:marRight w:val="0"/>
      <w:marTop w:val="0"/>
      <w:marBottom w:val="0"/>
      <w:divBdr>
        <w:top w:val="none" w:sz="0" w:space="0" w:color="auto"/>
        <w:left w:val="none" w:sz="0" w:space="0" w:color="auto"/>
        <w:bottom w:val="none" w:sz="0" w:space="0" w:color="auto"/>
        <w:right w:val="none" w:sz="0" w:space="0" w:color="auto"/>
      </w:divBdr>
    </w:div>
    <w:div w:id="2026442370">
      <w:bodyDiv w:val="1"/>
      <w:marLeft w:val="0"/>
      <w:marRight w:val="0"/>
      <w:marTop w:val="0"/>
      <w:marBottom w:val="0"/>
      <w:divBdr>
        <w:top w:val="none" w:sz="0" w:space="0" w:color="auto"/>
        <w:left w:val="none" w:sz="0" w:space="0" w:color="auto"/>
        <w:bottom w:val="none" w:sz="0" w:space="0" w:color="auto"/>
        <w:right w:val="none" w:sz="0" w:space="0" w:color="auto"/>
      </w:divBdr>
    </w:div>
    <w:div w:id="2045405995">
      <w:bodyDiv w:val="1"/>
      <w:marLeft w:val="0"/>
      <w:marRight w:val="0"/>
      <w:marTop w:val="0"/>
      <w:marBottom w:val="0"/>
      <w:divBdr>
        <w:top w:val="none" w:sz="0" w:space="0" w:color="auto"/>
        <w:left w:val="none" w:sz="0" w:space="0" w:color="auto"/>
        <w:bottom w:val="none" w:sz="0" w:space="0" w:color="auto"/>
        <w:right w:val="none" w:sz="0" w:space="0" w:color="auto"/>
      </w:divBdr>
    </w:div>
    <w:div w:id="2072920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ambridgebioresource.org.uk" TargetMode="External"/><Relationship Id="rId13" Type="http://schemas.openxmlformats.org/officeDocument/2006/relationships/image" Target="media/image1.png"/><Relationship Id="rId18" Type="http://schemas.openxmlformats.org/officeDocument/2006/relationships/image" Target="media/image6.tif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fil.ion.ucl.ac.uk/spm/software/spm12/"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sl.fmrib.ox.ac.uk/fsl/fslwiki/Randomise/UserGuide" TargetMode="Externa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yperlink" Target="https://warwick.ac.uk/fac/sci/statistics/staff/academic-research/nichols/scripts/fsl%20"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fmrib.ox.ac.uk/fsl" TargetMode="Externa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0CC61A-9D43-4872-BD05-5EDB0D0D30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34</Pages>
  <Words>69991</Words>
  <Characters>398950</Characters>
  <Application>Microsoft Office Word</Application>
  <DocSecurity>0</DocSecurity>
  <Lines>3324</Lines>
  <Paragraphs>936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468005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zhukovsky</dc:creator>
  <cp:keywords/>
  <dc:description/>
  <cp:lastModifiedBy>Blanshard, Lisa</cp:lastModifiedBy>
  <cp:revision>21</cp:revision>
  <dcterms:created xsi:type="dcterms:W3CDTF">2021-08-06T07:42:00Z</dcterms:created>
  <dcterms:modified xsi:type="dcterms:W3CDTF">2021-09-10T12:44:00Z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a2516782-5f14-3d93-88ec-c94f4cf573c1</vt:lpwstr>
  </property>
  <property fmtid="{D5CDD505-2E9C-101B-9397-08002B2CF9AE}" pid="4" name="Mendeley Citation Style_1">
    <vt:lpwstr>http://www.zotero.org/styles/biological-psychiatry</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http://www.zotero.org/styles/biological-psychiatry</vt:lpwstr>
  </property>
  <property fmtid="{D5CDD505-2E9C-101B-9397-08002B2CF9AE}" pid="8" name="Mendeley Recent Style Name 1_1">
    <vt:lpwstr>Biological Psychiatry</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17th edition (author-date)</vt:lpwstr>
  </property>
  <property fmtid="{D5CDD505-2E9C-101B-9397-08002B2CF9AE}" pid="11" name="Mendeley Recent Style Id 3_1">
    <vt:lpwstr>http://www.zotero.org/styles/harvard-cite-them-right</vt:lpwstr>
  </property>
  <property fmtid="{D5CDD505-2E9C-101B-9397-08002B2CF9AE}" pid="12" name="Mendeley Recent Style Name 3_1">
    <vt:lpwstr>Cite Them Right 10th edition - Harvard</vt:lpwstr>
  </property>
  <property fmtid="{D5CDD505-2E9C-101B-9397-08002B2CF9AE}" pid="13" name="Mendeley Recent Style Id 4_1">
    <vt:lpwstr>http://www.zotero.org/styles/european-neuropsychopharmacology</vt:lpwstr>
  </property>
  <property fmtid="{D5CDD505-2E9C-101B-9397-08002B2CF9AE}" pid="14" name="Mendeley Recent Style Name 4_1">
    <vt:lpwstr>European Neuropsychopharmacology</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http://www.zotero.org/styles/jama</vt:lpwstr>
  </property>
  <property fmtid="{D5CDD505-2E9C-101B-9397-08002B2CF9AE}" pid="18" name="Mendeley Recent Style Name 6_1">
    <vt:lpwstr>JAMA (The Journal of the American Medical Association)</vt:lpwstr>
  </property>
  <property fmtid="{D5CDD505-2E9C-101B-9397-08002B2CF9AE}" pid="19" name="Mendeley Recent Style Id 7_1">
    <vt:lpwstr>http://www.zotero.org/styles/neuropsychopharmacology</vt:lpwstr>
  </property>
  <property fmtid="{D5CDD505-2E9C-101B-9397-08002B2CF9AE}" pid="20" name="Mendeley Recent Style Name 7_1">
    <vt:lpwstr>Neuropsychopharmacology</vt:lpwstr>
  </property>
  <property fmtid="{D5CDD505-2E9C-101B-9397-08002B2CF9AE}" pid="21" name="Mendeley Recent Style Id 8_1">
    <vt:lpwstr>http://www.zotero.org/styles/pnas</vt:lpwstr>
  </property>
  <property fmtid="{D5CDD505-2E9C-101B-9397-08002B2CF9AE}" pid="22" name="Mendeley Recent Style Name 8_1">
    <vt:lpwstr>Proceedings of the National Academy of Sciences of the United States of America</vt:lpwstr>
  </property>
  <property fmtid="{D5CDD505-2E9C-101B-9397-08002B2CF9AE}" pid="23" name="Mendeley Recent Style Id 9_1">
    <vt:lpwstr>http://www.zotero.org/styles/the-lancet-neurology</vt:lpwstr>
  </property>
  <property fmtid="{D5CDD505-2E9C-101B-9397-08002B2CF9AE}" pid="24" name="Mendeley Recent Style Name 9_1">
    <vt:lpwstr>The Lancet Neurology</vt:lpwstr>
  </property>
</Properties>
</file>